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4"/>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56FB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noWrap w:val="0"/>
            <w:vAlign w:val="top"/>
          </w:tcPr>
          <w:p w14:paraId="18C8C4D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vertAlign w:val="baseline"/>
              </w:rPr>
            </w:pPr>
            <w:bookmarkStart w:id="0" w:name="_Hlt74729822"/>
            <w:bookmarkEnd w:id="0"/>
            <w:bookmarkStart w:id="1" w:name="_Hlt74728647"/>
            <w:bookmarkEnd w:id="1"/>
            <w:bookmarkStart w:id="2" w:name="_Hlt74649545"/>
            <w:bookmarkEnd w:id="2"/>
            <w:bookmarkStart w:id="3" w:name="_Hlt74707423"/>
            <w:bookmarkEnd w:id="3"/>
          </w:p>
        </w:tc>
      </w:tr>
      <w:tr w14:paraId="0915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noWrap w:val="0"/>
            <w:vAlign w:val="top"/>
          </w:tcPr>
          <w:p w14:paraId="058FC54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vertAlign w:val="baseline"/>
              </w:rPr>
            </w:pPr>
            <w:r>
              <w:rPr>
                <w:rFonts w:hint="eastAsia" w:ascii="仿宋" w:hAnsi="仿宋" w:eastAsia="仿宋" w:cs="仿宋"/>
                <w:color w:val="auto"/>
                <w:sz w:val="48"/>
                <w:szCs w:val="48"/>
              </w:rPr>
              <w:t>新街街道新盛村卫生保洁服务外包项目</w:t>
            </w:r>
          </w:p>
        </w:tc>
      </w:tr>
      <w:tr w14:paraId="03C9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noWrap w:val="0"/>
            <w:vAlign w:val="top"/>
          </w:tcPr>
          <w:p w14:paraId="66EC388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交易文件</w:t>
            </w:r>
          </w:p>
          <w:p w14:paraId="2FB0C18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lang w:eastAsia="zh-CN"/>
              </w:rPr>
            </w:pPr>
            <w:r>
              <w:rPr>
                <w:rFonts w:hint="eastAsia" w:ascii="仿宋" w:hAnsi="仿宋" w:eastAsia="仿宋" w:cs="仿宋"/>
                <w:b/>
                <w:color w:val="auto"/>
                <w:sz w:val="44"/>
                <w:szCs w:val="44"/>
                <w:lang w:eastAsia="zh-CN"/>
              </w:rPr>
              <w:t>（电子交易标）</w:t>
            </w:r>
          </w:p>
        </w:tc>
      </w:tr>
      <w:tr w14:paraId="64A2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noWrap w:val="0"/>
            <w:vAlign w:val="top"/>
          </w:tcPr>
          <w:p w14:paraId="0F299C49">
            <w:pPr>
              <w:pStyle w:val="4"/>
              <w:jc w:val="center"/>
              <w:rPr>
                <w:rFonts w:hint="default" w:ascii="仿宋" w:hAnsi="仿宋" w:eastAsia="仿宋" w:cs="仿宋"/>
                <w:color w:val="auto"/>
                <w:lang w:val="en-US" w:eastAsia="zh-CN"/>
              </w:rPr>
            </w:pPr>
            <w:r>
              <w:rPr>
                <w:rFonts w:hint="eastAsia" w:ascii="仿宋" w:hAnsi="仿宋" w:eastAsia="仿宋" w:cs="仿宋"/>
                <w:color w:val="auto"/>
                <w:sz w:val="30"/>
                <w:szCs w:val="30"/>
              </w:rPr>
              <w:t>编号:</w:t>
            </w:r>
            <w:r>
              <w:rPr>
                <w:rFonts w:hint="eastAsia" w:ascii="仿宋" w:eastAsia="仿宋" w:cs="仿宋"/>
                <w:color w:val="auto"/>
                <w:sz w:val="30"/>
                <w:szCs w:val="30"/>
                <w:lang w:val="en-US" w:eastAsia="zh-CN"/>
              </w:rPr>
              <w:t>HXXS2025-XJ-LCY015</w:t>
            </w:r>
          </w:p>
        </w:tc>
      </w:tr>
      <w:tr w14:paraId="4785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noWrap w:val="0"/>
            <w:vAlign w:val="top"/>
          </w:tcPr>
          <w:p w14:paraId="00466DCD">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48"/>
                <w:szCs w:val="48"/>
                <w:vertAlign w:val="baseline"/>
              </w:rPr>
            </w:pPr>
          </w:p>
        </w:tc>
      </w:tr>
      <w:tr w14:paraId="3827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noWrap w:val="0"/>
            <w:vAlign w:val="top"/>
          </w:tcPr>
          <w:p w14:paraId="77503D4F">
            <w:pPr>
              <w:snapToGrid w:val="0"/>
              <w:spacing w:line="360" w:lineRule="auto"/>
              <w:jc w:val="center"/>
              <w:rPr>
                <w:rFonts w:hint="eastAsia" w:ascii="仿宋" w:hAnsi="仿宋" w:eastAsia="仿宋" w:cs="仿宋"/>
                <w:bCs/>
                <w:color w:val="auto"/>
                <w:sz w:val="32"/>
                <w:szCs w:val="32"/>
                <w:vertAlign w:val="baseline"/>
              </w:rPr>
            </w:pPr>
            <w:r>
              <w:rPr>
                <w:rFonts w:hint="eastAsia" w:ascii="仿宋" w:hAnsi="仿宋" w:eastAsia="仿宋" w:cs="仿宋"/>
                <w:bCs/>
                <w:color w:val="auto"/>
                <w:sz w:val="32"/>
                <w:szCs w:val="32"/>
                <w:vertAlign w:val="baseline"/>
              </w:rPr>
              <w:t>杭州萧山新街新盛村股份经济联合社</w:t>
            </w:r>
          </w:p>
          <w:p w14:paraId="7AC1CC2D">
            <w:pPr>
              <w:snapToGrid w:val="0"/>
              <w:spacing w:line="360" w:lineRule="auto"/>
              <w:jc w:val="center"/>
              <w:rPr>
                <w:rFonts w:hint="eastAsia" w:ascii="仿宋" w:hAnsi="仿宋" w:eastAsia="仿宋" w:cs="仿宋"/>
                <w:color w:val="auto"/>
                <w:sz w:val="48"/>
                <w:szCs w:val="48"/>
                <w:vertAlign w:val="baseline"/>
              </w:rPr>
            </w:pPr>
          </w:p>
        </w:tc>
      </w:tr>
      <w:tr w14:paraId="77BC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noWrap w:val="0"/>
            <w:vAlign w:val="top"/>
          </w:tcPr>
          <w:p w14:paraId="09A969F2">
            <w:pPr>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浙江华夏工程管理有限公司</w:t>
            </w:r>
          </w:p>
          <w:p w14:paraId="00F1354A">
            <w:pPr>
              <w:snapToGrid w:val="0"/>
              <w:spacing w:line="360" w:lineRule="auto"/>
              <w:jc w:val="center"/>
              <w:rPr>
                <w:rFonts w:hint="eastAsia" w:ascii="仿宋" w:hAnsi="仿宋" w:eastAsia="仿宋" w:cs="仿宋"/>
                <w:color w:val="auto"/>
                <w:sz w:val="48"/>
                <w:szCs w:val="48"/>
                <w:vertAlign w:val="baseline"/>
              </w:rPr>
            </w:pPr>
            <w:r>
              <w:rPr>
                <w:rFonts w:hint="eastAsia" w:ascii="仿宋" w:hAnsi="仿宋" w:eastAsia="仿宋" w:cs="仿宋"/>
                <w:bCs/>
                <w:color w:val="auto"/>
                <w:sz w:val="32"/>
                <w:szCs w:val="32"/>
                <w:lang w:val="en-US" w:eastAsia="zh-CN"/>
              </w:rPr>
              <w:t xml:space="preserve">  2025</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07</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10</w:t>
            </w:r>
            <w:r>
              <w:rPr>
                <w:rFonts w:hint="eastAsia" w:ascii="仿宋" w:hAnsi="仿宋" w:eastAsia="仿宋" w:cs="仿宋"/>
                <w:bCs/>
                <w:color w:val="auto"/>
                <w:sz w:val="32"/>
                <w:szCs w:val="32"/>
              </w:rPr>
              <w:t>日</w:t>
            </w:r>
          </w:p>
        </w:tc>
      </w:tr>
    </w:tbl>
    <w:p w14:paraId="37644C04">
      <w:pPr>
        <w:adjustRightInd/>
        <w:spacing w:line="360" w:lineRule="auto"/>
        <w:jc w:val="center"/>
        <w:rPr>
          <w:rFonts w:hint="eastAsia" w:ascii="仿宋" w:hAnsi="仿宋" w:eastAsia="仿宋" w:cs="仿宋"/>
          <w:b/>
          <w:color w:val="auto"/>
          <w:sz w:val="44"/>
          <w:szCs w:val="44"/>
          <w:highlight w:val="none"/>
        </w:rPr>
      </w:pPr>
    </w:p>
    <w:p w14:paraId="022577DB">
      <w:pPr>
        <w:spacing w:line="480" w:lineRule="auto"/>
        <w:jc w:val="center"/>
        <w:rPr>
          <w:rFonts w:hint="eastAsia" w:ascii="仿宋" w:hAnsi="仿宋" w:eastAsia="仿宋" w:cs="仿宋"/>
          <w:b/>
          <w:color w:val="auto"/>
          <w:sz w:val="36"/>
          <w:szCs w:val="36"/>
          <w:highlight w:val="none"/>
        </w:rPr>
        <w:sectPr>
          <w:headerReference r:id="rId3" w:type="default"/>
          <w:footerReference r:id="rId4"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720" w:num="1"/>
          <w:docGrid w:linePitch="312" w:charSpace="0"/>
        </w:sectPr>
      </w:pPr>
    </w:p>
    <w:p w14:paraId="57A4B85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49D97273">
      <w:pPr>
        <w:spacing w:line="360" w:lineRule="auto"/>
        <w:rPr>
          <w:rFonts w:hint="eastAsia" w:ascii="仿宋" w:hAnsi="仿宋" w:eastAsia="仿宋" w:cs="仿宋"/>
          <w:color w:val="auto"/>
          <w:sz w:val="32"/>
          <w:szCs w:val="32"/>
          <w:highlight w:val="none"/>
        </w:rPr>
      </w:pPr>
    </w:p>
    <w:p w14:paraId="776B1A3A">
      <w:pPr>
        <w:spacing w:line="360" w:lineRule="auto"/>
        <w:rPr>
          <w:rFonts w:hint="eastAsia" w:ascii="仿宋" w:hAnsi="仿宋" w:eastAsia="仿宋" w:cs="仿宋"/>
          <w:color w:val="auto"/>
          <w:sz w:val="28"/>
          <w:szCs w:val="28"/>
          <w:highlight w:val="none"/>
        </w:rPr>
      </w:pPr>
    </w:p>
    <w:p w14:paraId="148923C7">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第一部分      交易公告</w:t>
      </w:r>
    </w:p>
    <w:p w14:paraId="728763D5">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第二部分      </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须知</w:t>
      </w:r>
    </w:p>
    <w:p w14:paraId="045F7AEF">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第三部分      交易需求</w:t>
      </w:r>
    </w:p>
    <w:p w14:paraId="15D9584A">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第四部分      </w:t>
      </w:r>
      <w:r>
        <w:rPr>
          <w:rFonts w:hint="eastAsia" w:ascii="仿宋" w:hAnsi="仿宋" w:eastAsia="仿宋" w:cs="仿宋"/>
          <w:color w:val="auto"/>
          <w:sz w:val="28"/>
          <w:szCs w:val="28"/>
          <w:highlight w:val="none"/>
          <w:lang w:val="en-US" w:eastAsia="zh-CN"/>
        </w:rPr>
        <w:t>评审</w:t>
      </w:r>
      <w:r>
        <w:rPr>
          <w:rFonts w:hint="eastAsia" w:ascii="仿宋" w:hAnsi="仿宋" w:eastAsia="仿宋" w:cs="仿宋"/>
          <w:color w:val="auto"/>
          <w:sz w:val="28"/>
          <w:szCs w:val="28"/>
          <w:highlight w:val="none"/>
        </w:rPr>
        <w:t>办法</w:t>
      </w:r>
    </w:p>
    <w:p w14:paraId="32DFE619">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第五部分      拟签订的合同文本</w:t>
      </w:r>
    </w:p>
    <w:p w14:paraId="23A8FD3F">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第六部分      应提交的有关格式范例</w:t>
      </w:r>
    </w:p>
    <w:p w14:paraId="1D6B1C60">
      <w:pPr>
        <w:pStyle w:val="43"/>
        <w:tabs>
          <w:tab w:val="right" w:leader="dot" w:pos="9071"/>
        </w:tabs>
        <w:spacing w:line="480" w:lineRule="auto"/>
        <w:rPr>
          <w:rFonts w:hint="eastAsia" w:ascii="仿宋" w:hAnsi="仿宋" w:eastAsia="仿宋" w:cs="仿宋"/>
          <w:color w:val="auto"/>
          <w:sz w:val="32"/>
          <w:szCs w:val="32"/>
          <w:highlight w:val="none"/>
        </w:rPr>
      </w:pPr>
    </w:p>
    <w:p w14:paraId="67820DA7">
      <w:pPr>
        <w:spacing w:line="360" w:lineRule="auto"/>
        <w:ind w:firstLine="549" w:firstLineChars="229"/>
        <w:rPr>
          <w:rFonts w:hint="eastAsia" w:ascii="仿宋" w:hAnsi="仿宋" w:eastAsia="仿宋" w:cs="仿宋"/>
          <w:color w:val="auto"/>
          <w:sz w:val="24"/>
          <w:highlight w:val="none"/>
        </w:rPr>
      </w:pPr>
      <w:bookmarkStart w:id="4" w:name="_Hlt91233176"/>
      <w:bookmarkEnd w:id="4"/>
      <w:bookmarkStart w:id="5" w:name="_Toc91899869"/>
    </w:p>
    <w:p w14:paraId="26EC4F5F">
      <w:pPr>
        <w:spacing w:line="360" w:lineRule="auto"/>
        <w:ind w:firstLine="549" w:firstLineChars="229"/>
        <w:rPr>
          <w:rFonts w:hint="eastAsia" w:ascii="仿宋" w:hAnsi="仿宋" w:eastAsia="仿宋" w:cs="仿宋"/>
          <w:color w:val="auto"/>
          <w:sz w:val="24"/>
          <w:highlight w:val="none"/>
        </w:rPr>
      </w:pPr>
    </w:p>
    <w:p w14:paraId="48FE67FA">
      <w:pPr>
        <w:spacing w:line="360" w:lineRule="auto"/>
        <w:ind w:firstLine="549" w:firstLineChars="229"/>
        <w:rPr>
          <w:rFonts w:hint="eastAsia" w:ascii="仿宋" w:hAnsi="仿宋" w:eastAsia="仿宋" w:cs="仿宋"/>
          <w:color w:val="auto"/>
          <w:sz w:val="24"/>
          <w:highlight w:val="none"/>
        </w:rPr>
      </w:pPr>
    </w:p>
    <w:p w14:paraId="79303915">
      <w:pPr>
        <w:spacing w:line="360" w:lineRule="auto"/>
        <w:ind w:firstLine="549" w:firstLineChars="229"/>
        <w:rPr>
          <w:rFonts w:hint="eastAsia" w:ascii="仿宋" w:hAnsi="仿宋" w:eastAsia="仿宋" w:cs="仿宋"/>
          <w:color w:val="auto"/>
          <w:sz w:val="24"/>
          <w:highlight w:val="none"/>
        </w:rPr>
      </w:pPr>
    </w:p>
    <w:p w14:paraId="0319D18F">
      <w:pPr>
        <w:spacing w:line="360" w:lineRule="auto"/>
        <w:ind w:firstLine="549" w:firstLineChars="229"/>
        <w:rPr>
          <w:rFonts w:hint="eastAsia" w:ascii="仿宋" w:hAnsi="仿宋" w:eastAsia="仿宋" w:cs="仿宋"/>
          <w:color w:val="auto"/>
          <w:sz w:val="24"/>
          <w:highlight w:val="none"/>
        </w:rPr>
      </w:pPr>
    </w:p>
    <w:p w14:paraId="5B3C3138">
      <w:pPr>
        <w:spacing w:line="360" w:lineRule="auto"/>
        <w:rPr>
          <w:rFonts w:hint="eastAsia" w:ascii="仿宋" w:hAnsi="仿宋" w:eastAsia="仿宋" w:cs="仿宋"/>
          <w:color w:val="auto"/>
          <w:sz w:val="24"/>
          <w:highlight w:val="none"/>
        </w:rPr>
      </w:pPr>
    </w:p>
    <w:bookmarkEnd w:id="5"/>
    <w:p w14:paraId="43AEA9D1">
      <w:pPr>
        <w:adjustRightInd/>
        <w:jc w:val="left"/>
        <w:rPr>
          <w:rFonts w:hint="eastAsia" w:ascii="仿宋" w:hAnsi="仿宋" w:eastAsia="仿宋" w:cs="仿宋"/>
          <w:b/>
          <w:color w:val="auto"/>
          <w:sz w:val="36"/>
          <w:szCs w:val="20"/>
          <w:highlight w:val="none"/>
        </w:rPr>
      </w:pPr>
      <w:bookmarkStart w:id="6" w:name="_Toc22549"/>
      <w:bookmarkStart w:id="7" w:name="_Toc32566"/>
      <w:bookmarkStart w:id="8" w:name="_Toc20619"/>
      <w:bookmarkStart w:id="9" w:name="_Toc27403"/>
      <w:bookmarkStart w:id="10" w:name="第二部分"/>
      <w:bookmarkStart w:id="11" w:name="_Toc91899870"/>
      <w:bookmarkStart w:id="12" w:name="_Toc91899871"/>
      <w:r>
        <w:rPr>
          <w:rFonts w:hint="eastAsia" w:ascii="仿宋" w:hAnsi="仿宋" w:eastAsia="仿宋" w:cs="仿宋"/>
          <w:b/>
          <w:color w:val="auto"/>
          <w:sz w:val="36"/>
          <w:szCs w:val="20"/>
          <w:highlight w:val="none"/>
        </w:rPr>
        <w:br w:type="page"/>
      </w:r>
    </w:p>
    <w:p w14:paraId="676E9732">
      <w:pPr>
        <w:adjustRightInd/>
        <w:spacing w:line="360" w:lineRule="auto"/>
        <w:jc w:val="center"/>
        <w:outlineLvl w:val="0"/>
        <w:rPr>
          <w:rFonts w:hint="eastAsia" w:ascii="仿宋" w:hAnsi="仿宋" w:eastAsia="仿宋" w:cs="仿宋"/>
          <w:b/>
          <w:color w:val="auto"/>
          <w:sz w:val="32"/>
          <w:szCs w:val="18"/>
          <w:highlight w:val="none"/>
          <w:lang w:eastAsia="zh-CN"/>
        </w:rPr>
      </w:pPr>
      <w:r>
        <w:rPr>
          <w:rFonts w:hint="eastAsia" w:ascii="仿宋" w:hAnsi="仿宋" w:eastAsia="仿宋" w:cs="仿宋"/>
          <w:b/>
          <w:color w:val="auto"/>
          <w:sz w:val="32"/>
          <w:szCs w:val="18"/>
          <w:highlight w:val="none"/>
        </w:rPr>
        <w:t xml:space="preserve">第一部分 </w:t>
      </w:r>
      <w:bookmarkEnd w:id="6"/>
      <w:bookmarkEnd w:id="7"/>
      <w:r>
        <w:rPr>
          <w:rFonts w:hint="eastAsia" w:ascii="仿宋" w:hAnsi="仿宋" w:eastAsia="仿宋" w:cs="仿宋"/>
          <w:b/>
          <w:color w:val="auto"/>
          <w:sz w:val="32"/>
          <w:szCs w:val="18"/>
          <w:highlight w:val="none"/>
        </w:rPr>
        <w:t>交易公告</w:t>
      </w:r>
      <w:bookmarkEnd w:id="8"/>
      <w:bookmarkEnd w:id="9"/>
    </w:p>
    <w:p w14:paraId="0BEFE8DA">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0712DC8D">
      <w:pPr>
        <w:pBdr>
          <w:top w:val="single" w:color="auto" w:sz="4" w:space="1"/>
          <w:left w:val="single" w:color="auto" w:sz="4" w:space="4"/>
          <w:bottom w:val="single" w:color="auto" w:sz="4" w:space="1"/>
          <w:right w:val="single" w:color="auto" w:sz="4" w:space="4"/>
        </w:pBdr>
        <w:snapToGrid w:val="0"/>
        <w:spacing w:line="360" w:lineRule="auto"/>
        <w:ind w:firstLine="420" w:firstLineChars="200"/>
        <w:rPr>
          <w:rFonts w:hint="eastAsia" w:ascii="仿宋" w:hAnsi="仿宋" w:eastAsia="仿宋" w:cs="仿宋"/>
          <w:bCs/>
          <w:snapToGrid w:val="0"/>
          <w:color w:val="auto"/>
          <w:kern w:val="28"/>
          <w:sz w:val="21"/>
          <w:szCs w:val="21"/>
          <w:highlight w:val="none"/>
          <w:u w:val="none"/>
        </w:rPr>
      </w:pPr>
      <w:r>
        <w:rPr>
          <w:rFonts w:hint="eastAsia" w:ascii="仿宋" w:hAnsi="仿宋" w:eastAsia="仿宋" w:cs="仿宋"/>
          <w:bCs/>
          <w:snapToGrid w:val="0"/>
          <w:color w:val="auto"/>
          <w:kern w:val="28"/>
          <w:sz w:val="21"/>
          <w:szCs w:val="21"/>
          <w:highlight w:val="none"/>
          <w:lang w:val="en-US" w:eastAsia="zh-CN" w:bidi="ar-SA"/>
        </w:rPr>
        <w:t>新街街道新盛村卫生保洁服务外包项目</w:t>
      </w:r>
      <w:r>
        <w:rPr>
          <w:rFonts w:hint="eastAsia" w:ascii="仿宋" w:hAnsi="仿宋" w:eastAsia="仿宋" w:cs="仿宋"/>
          <w:bCs/>
          <w:snapToGrid w:val="0"/>
          <w:color w:val="auto"/>
          <w:kern w:val="28"/>
          <w:sz w:val="21"/>
          <w:szCs w:val="21"/>
          <w:highlight w:val="none"/>
        </w:rPr>
        <w:t>的潜在</w:t>
      </w:r>
      <w:r>
        <w:rPr>
          <w:rFonts w:hint="eastAsia" w:ascii="仿宋" w:hAnsi="仿宋" w:eastAsia="仿宋" w:cs="仿宋"/>
          <w:bCs/>
          <w:snapToGrid w:val="0"/>
          <w:color w:val="auto"/>
          <w:kern w:val="28"/>
          <w:sz w:val="21"/>
          <w:szCs w:val="21"/>
          <w:highlight w:val="none"/>
          <w:lang w:eastAsia="zh-CN"/>
        </w:rPr>
        <w:t>响应人</w:t>
      </w:r>
      <w:r>
        <w:rPr>
          <w:rFonts w:hint="eastAsia" w:ascii="仿宋" w:hAnsi="仿宋" w:eastAsia="仿宋" w:cs="仿宋"/>
          <w:bCs/>
          <w:snapToGrid w:val="0"/>
          <w:color w:val="auto"/>
          <w:kern w:val="28"/>
          <w:sz w:val="21"/>
          <w:szCs w:val="21"/>
          <w:highlight w:val="none"/>
        </w:rPr>
        <w:t>应在</w:t>
      </w:r>
      <w:r>
        <w:rPr>
          <w:rFonts w:hint="eastAsia" w:ascii="仿宋" w:hAnsi="仿宋" w:eastAsia="仿宋" w:cs="仿宋"/>
          <w:bCs/>
          <w:snapToGrid w:val="0"/>
          <w:color w:val="auto"/>
          <w:kern w:val="28"/>
          <w:sz w:val="21"/>
          <w:szCs w:val="21"/>
          <w:highlight w:val="none"/>
          <w:shd w:val="clear" w:color="auto" w:fill="auto"/>
          <w:lang w:val="en-US" w:eastAsia="zh-CN"/>
        </w:rPr>
        <w:t>乐</w:t>
      </w:r>
      <w:r>
        <w:rPr>
          <w:rFonts w:hint="eastAsia" w:ascii="仿宋" w:hAnsi="仿宋" w:eastAsia="仿宋" w:cs="仿宋"/>
          <w:bCs/>
          <w:snapToGrid w:val="0"/>
          <w:color w:val="auto"/>
          <w:kern w:val="28"/>
          <w:sz w:val="21"/>
          <w:szCs w:val="21"/>
          <w:highlight w:val="none"/>
          <w:shd w:val="clear" w:color="auto" w:fill="auto"/>
        </w:rPr>
        <w:t>采云平台（https://middle.lecaiyun.com/）</w:t>
      </w:r>
      <w:r>
        <w:rPr>
          <w:rFonts w:hint="eastAsia" w:ascii="仿宋" w:hAnsi="仿宋" w:eastAsia="仿宋" w:cs="仿宋"/>
          <w:bCs/>
          <w:snapToGrid w:val="0"/>
          <w:color w:val="auto"/>
          <w:kern w:val="28"/>
          <w:sz w:val="21"/>
          <w:szCs w:val="21"/>
          <w:highlight w:val="none"/>
        </w:rPr>
        <w:fldChar w:fldCharType="begin"/>
      </w:r>
      <w:r>
        <w:rPr>
          <w:rFonts w:hint="eastAsia" w:ascii="仿宋" w:hAnsi="仿宋" w:eastAsia="仿宋" w:cs="仿宋"/>
          <w:bCs/>
          <w:snapToGrid w:val="0"/>
          <w:color w:val="auto"/>
          <w:kern w:val="28"/>
          <w:sz w:val="21"/>
          <w:szCs w:val="21"/>
          <w:highlight w:val="none"/>
        </w:rPr>
        <w:instrText xml:space="preserve"> HYPERLINK "https://www.zcygov.cn/）获取（下载）招标文件，并于2021年" </w:instrText>
      </w:r>
      <w:r>
        <w:rPr>
          <w:rFonts w:hint="eastAsia" w:ascii="仿宋" w:hAnsi="仿宋" w:eastAsia="仿宋" w:cs="仿宋"/>
          <w:bCs/>
          <w:snapToGrid w:val="0"/>
          <w:color w:val="auto"/>
          <w:kern w:val="28"/>
          <w:sz w:val="21"/>
          <w:szCs w:val="21"/>
          <w:highlight w:val="none"/>
        </w:rPr>
        <w:fldChar w:fldCharType="separate"/>
      </w:r>
      <w:r>
        <w:rPr>
          <w:rStyle w:val="70"/>
          <w:rFonts w:hint="eastAsia" w:ascii="仿宋" w:hAnsi="仿宋" w:eastAsia="仿宋" w:cs="仿宋"/>
          <w:bCs/>
          <w:snapToGrid w:val="0"/>
          <w:color w:val="auto"/>
          <w:kern w:val="28"/>
          <w:sz w:val="21"/>
          <w:szCs w:val="21"/>
          <w:highlight w:val="none"/>
        </w:rPr>
        <w:t>获取（下载）</w:t>
      </w:r>
      <w:r>
        <w:rPr>
          <w:rStyle w:val="70"/>
          <w:rFonts w:hint="eastAsia" w:ascii="仿宋" w:hAnsi="仿宋" w:eastAsia="仿宋" w:cs="仿宋"/>
          <w:bCs/>
          <w:snapToGrid w:val="0"/>
          <w:color w:val="auto"/>
          <w:kern w:val="28"/>
          <w:sz w:val="21"/>
          <w:szCs w:val="21"/>
          <w:highlight w:val="none"/>
          <w:lang w:eastAsia="zh-CN"/>
        </w:rPr>
        <w:t>交易文件</w:t>
      </w:r>
      <w:r>
        <w:rPr>
          <w:rStyle w:val="70"/>
          <w:rFonts w:hint="eastAsia" w:ascii="仿宋" w:hAnsi="仿宋" w:eastAsia="仿宋" w:cs="仿宋"/>
          <w:bCs/>
          <w:snapToGrid w:val="0"/>
          <w:color w:val="auto"/>
          <w:kern w:val="28"/>
          <w:sz w:val="21"/>
          <w:szCs w:val="21"/>
          <w:highlight w:val="none"/>
        </w:rPr>
        <w:t>，并于</w:t>
      </w:r>
      <w:r>
        <w:rPr>
          <w:rFonts w:hint="eastAsia" w:ascii="仿宋" w:hAnsi="仿宋" w:eastAsia="仿宋" w:cs="仿宋"/>
          <w:bCs/>
          <w:snapToGrid w:val="0"/>
          <w:color w:val="auto"/>
          <w:kern w:val="28"/>
          <w:sz w:val="21"/>
          <w:szCs w:val="21"/>
          <w:highlight w:val="none"/>
          <w:u w:val="none"/>
        </w:rPr>
        <w:t>202</w:t>
      </w:r>
      <w:r>
        <w:rPr>
          <w:rFonts w:hint="eastAsia" w:ascii="仿宋" w:hAnsi="仿宋" w:eastAsia="仿宋" w:cs="仿宋"/>
          <w:bCs/>
          <w:snapToGrid w:val="0"/>
          <w:color w:val="auto"/>
          <w:kern w:val="28"/>
          <w:sz w:val="21"/>
          <w:szCs w:val="21"/>
          <w:highlight w:val="none"/>
          <w:u w:val="none"/>
          <w:lang w:val="en-US" w:eastAsia="zh-CN"/>
        </w:rPr>
        <w:t>5</w:t>
      </w:r>
      <w:r>
        <w:rPr>
          <w:rFonts w:hint="eastAsia" w:ascii="仿宋" w:hAnsi="仿宋" w:eastAsia="仿宋" w:cs="仿宋"/>
          <w:bCs/>
          <w:snapToGrid w:val="0"/>
          <w:color w:val="auto"/>
          <w:kern w:val="28"/>
          <w:sz w:val="21"/>
          <w:szCs w:val="21"/>
          <w:highlight w:val="none"/>
          <w:u w:val="none"/>
        </w:rPr>
        <w:t>年</w:t>
      </w:r>
      <w:r>
        <w:rPr>
          <w:rFonts w:hint="eastAsia" w:ascii="仿宋" w:hAnsi="仿宋" w:eastAsia="仿宋" w:cs="仿宋"/>
          <w:bCs/>
          <w:snapToGrid w:val="0"/>
          <w:color w:val="auto"/>
          <w:kern w:val="28"/>
          <w:sz w:val="21"/>
          <w:szCs w:val="21"/>
          <w:highlight w:val="none"/>
          <w:u w:val="none"/>
          <w:lang w:val="en-US" w:eastAsia="zh-CN"/>
        </w:rPr>
        <w:t>07</w:t>
      </w:r>
      <w:r>
        <w:rPr>
          <w:rFonts w:hint="eastAsia" w:ascii="仿宋" w:hAnsi="仿宋" w:eastAsia="仿宋" w:cs="仿宋"/>
          <w:bCs/>
          <w:snapToGrid w:val="0"/>
          <w:color w:val="auto"/>
          <w:kern w:val="28"/>
          <w:sz w:val="21"/>
          <w:szCs w:val="21"/>
          <w:highlight w:val="none"/>
          <w:u w:val="none"/>
        </w:rPr>
        <w:t>月</w:t>
      </w:r>
      <w:r>
        <w:rPr>
          <w:rFonts w:hint="eastAsia" w:ascii="仿宋" w:hAnsi="仿宋" w:eastAsia="仿宋" w:cs="仿宋"/>
          <w:bCs/>
          <w:snapToGrid w:val="0"/>
          <w:color w:val="auto"/>
          <w:kern w:val="28"/>
          <w:sz w:val="21"/>
          <w:szCs w:val="21"/>
          <w:highlight w:val="none"/>
          <w:u w:val="none"/>
          <w:lang w:val="en-US" w:eastAsia="zh-CN"/>
        </w:rPr>
        <w:t>30</w:t>
      </w:r>
      <w:r>
        <w:rPr>
          <w:rFonts w:hint="eastAsia" w:ascii="仿宋" w:hAnsi="仿宋" w:eastAsia="仿宋" w:cs="仿宋"/>
          <w:bCs/>
          <w:snapToGrid w:val="0"/>
          <w:color w:val="auto"/>
          <w:kern w:val="28"/>
          <w:sz w:val="21"/>
          <w:szCs w:val="21"/>
          <w:highlight w:val="none"/>
          <w:u w:val="none"/>
        </w:rPr>
        <w:t>日</w:t>
      </w:r>
      <w:r>
        <w:rPr>
          <w:rFonts w:hint="eastAsia" w:ascii="仿宋" w:hAnsi="仿宋" w:eastAsia="仿宋" w:cs="仿宋"/>
          <w:bCs/>
          <w:snapToGrid w:val="0"/>
          <w:color w:val="auto"/>
          <w:kern w:val="28"/>
          <w:sz w:val="21"/>
          <w:szCs w:val="21"/>
          <w:highlight w:val="none"/>
          <w:u w:val="none"/>
          <w:lang w:val="en-US" w:eastAsia="zh-CN"/>
        </w:rPr>
        <w:t>09</w:t>
      </w:r>
      <w:r>
        <w:rPr>
          <w:rFonts w:hint="eastAsia" w:ascii="仿宋" w:hAnsi="仿宋" w:eastAsia="仿宋" w:cs="仿宋"/>
          <w:bCs/>
          <w:snapToGrid w:val="0"/>
          <w:color w:val="auto"/>
          <w:kern w:val="28"/>
          <w:sz w:val="21"/>
          <w:szCs w:val="21"/>
          <w:highlight w:val="none"/>
          <w:u w:val="none"/>
        </w:rPr>
        <w:t>点</w:t>
      </w:r>
      <w:r>
        <w:rPr>
          <w:rFonts w:hint="eastAsia" w:ascii="仿宋" w:hAnsi="仿宋" w:eastAsia="仿宋" w:cs="仿宋"/>
          <w:bCs/>
          <w:snapToGrid w:val="0"/>
          <w:color w:val="auto"/>
          <w:kern w:val="28"/>
          <w:sz w:val="21"/>
          <w:szCs w:val="21"/>
          <w:highlight w:val="none"/>
          <w:u w:val="none"/>
          <w:lang w:val="en-US" w:eastAsia="zh-CN"/>
        </w:rPr>
        <w:t>30</w:t>
      </w:r>
      <w:r>
        <w:rPr>
          <w:rFonts w:hint="eastAsia" w:ascii="仿宋" w:hAnsi="仿宋" w:eastAsia="仿宋" w:cs="仿宋"/>
          <w:bCs/>
          <w:snapToGrid w:val="0"/>
          <w:color w:val="auto"/>
          <w:kern w:val="28"/>
          <w:sz w:val="21"/>
          <w:szCs w:val="21"/>
          <w:highlight w:val="none"/>
          <w:u w:val="none"/>
        </w:rPr>
        <w:t>分00秒</w:t>
      </w:r>
      <w:r>
        <w:rPr>
          <w:rFonts w:hint="eastAsia" w:ascii="仿宋" w:hAnsi="仿宋" w:eastAsia="仿宋" w:cs="仿宋"/>
          <w:bCs/>
          <w:snapToGrid w:val="0"/>
          <w:color w:val="auto"/>
          <w:kern w:val="28"/>
          <w:sz w:val="21"/>
          <w:szCs w:val="21"/>
          <w:highlight w:val="none"/>
          <w:u w:val="none"/>
        </w:rPr>
        <w:fldChar w:fldCharType="end"/>
      </w:r>
      <w:r>
        <w:rPr>
          <w:rFonts w:hint="eastAsia" w:ascii="仿宋" w:hAnsi="仿宋" w:eastAsia="仿宋" w:cs="仿宋"/>
          <w:bCs/>
          <w:snapToGrid w:val="0"/>
          <w:color w:val="auto"/>
          <w:kern w:val="28"/>
          <w:sz w:val="21"/>
          <w:szCs w:val="21"/>
          <w:highlight w:val="none"/>
        </w:rPr>
        <w:t>（北京时间）前递交（上传）</w:t>
      </w:r>
      <w:r>
        <w:rPr>
          <w:rFonts w:hint="eastAsia" w:ascii="仿宋" w:hAnsi="仿宋" w:eastAsia="仿宋" w:cs="仿宋"/>
          <w:bCs/>
          <w:snapToGrid w:val="0"/>
          <w:color w:val="auto"/>
          <w:kern w:val="28"/>
          <w:sz w:val="21"/>
          <w:szCs w:val="21"/>
          <w:highlight w:val="none"/>
          <w:lang w:eastAsia="zh-CN"/>
        </w:rPr>
        <w:t>响应文件</w:t>
      </w:r>
      <w:r>
        <w:rPr>
          <w:rFonts w:hint="eastAsia" w:ascii="仿宋" w:hAnsi="仿宋" w:eastAsia="仿宋" w:cs="仿宋"/>
          <w:bCs/>
          <w:snapToGrid w:val="0"/>
          <w:color w:val="auto"/>
          <w:kern w:val="28"/>
          <w:sz w:val="21"/>
          <w:szCs w:val="21"/>
          <w:highlight w:val="none"/>
        </w:rPr>
        <w:t>。</w:t>
      </w:r>
    </w:p>
    <w:p w14:paraId="759F31DC">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一、项目基本情况                                            </w:t>
      </w:r>
    </w:p>
    <w:p w14:paraId="70712B3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lang w:eastAsia="zh-CN"/>
        </w:rPr>
        <w:t>交易编号</w:t>
      </w:r>
      <w:r>
        <w:rPr>
          <w:rFonts w:hint="eastAsia" w:ascii="仿宋" w:hAnsi="仿宋" w:eastAsia="仿宋" w:cs="仿宋"/>
          <w:b/>
          <w:color w:val="auto"/>
          <w:sz w:val="21"/>
          <w:szCs w:val="21"/>
          <w:highlight w:val="none"/>
        </w:rPr>
        <w:t>：</w:t>
      </w:r>
      <w:r>
        <w:rPr>
          <w:rFonts w:hint="eastAsia" w:ascii="仿宋" w:hAnsi="仿宋" w:eastAsia="仿宋" w:cs="仿宋"/>
          <w:b w:val="0"/>
          <w:bCs/>
          <w:color w:val="auto"/>
          <w:sz w:val="21"/>
          <w:szCs w:val="21"/>
          <w:highlight w:val="none"/>
          <w:lang w:val="en-US" w:eastAsia="zh-CN"/>
        </w:rPr>
        <w:t>HXXS2025-XJ-LCY015</w:t>
      </w:r>
    </w:p>
    <w:p w14:paraId="302D4650">
      <w:pPr>
        <w:spacing w:line="360" w:lineRule="auto"/>
        <w:ind w:firstLine="48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项目名称：</w:t>
      </w:r>
      <w:r>
        <w:rPr>
          <w:rFonts w:hint="eastAsia" w:ascii="仿宋" w:hAnsi="仿宋" w:eastAsia="仿宋" w:cs="仿宋"/>
          <w:color w:val="auto"/>
          <w:sz w:val="21"/>
          <w:szCs w:val="21"/>
          <w:highlight w:val="none"/>
          <w:lang w:eastAsia="zh-CN"/>
        </w:rPr>
        <w:t>新街街道新盛村卫生保洁服务外包项目</w:t>
      </w:r>
      <w:r>
        <w:rPr>
          <w:rFonts w:hint="eastAsia" w:ascii="仿宋" w:hAnsi="仿宋" w:eastAsia="仿宋" w:cs="仿宋"/>
          <w:b/>
          <w:color w:val="auto"/>
          <w:sz w:val="21"/>
          <w:szCs w:val="21"/>
          <w:highlight w:val="none"/>
        </w:rPr>
        <w:t xml:space="preserve"> </w:t>
      </w:r>
    </w:p>
    <w:p w14:paraId="162530FD">
      <w:pPr>
        <w:spacing w:line="360" w:lineRule="auto"/>
        <w:ind w:firstLine="480"/>
        <w:rPr>
          <w:rFonts w:hint="default" w:ascii="仿宋" w:hAnsi="仿宋" w:eastAsia="仿宋" w:cs="仿宋"/>
          <w:bCs/>
          <w:color w:val="auto"/>
          <w:sz w:val="21"/>
          <w:szCs w:val="21"/>
          <w:highlight w:val="none"/>
          <w:lang w:val="en-US" w:eastAsia="zh-CN"/>
        </w:rPr>
      </w:pPr>
      <w:r>
        <w:rPr>
          <w:rFonts w:hint="eastAsia" w:ascii="仿宋" w:hAnsi="仿宋" w:eastAsia="仿宋" w:cs="仿宋"/>
          <w:b/>
          <w:color w:val="auto"/>
          <w:sz w:val="21"/>
          <w:szCs w:val="21"/>
          <w:highlight w:val="none"/>
        </w:rPr>
        <w:t>预算金额（元）：</w:t>
      </w:r>
      <w:r>
        <w:rPr>
          <w:rFonts w:hint="eastAsia" w:ascii="仿宋" w:hAnsi="仿宋" w:eastAsia="仿宋" w:cs="仿宋"/>
          <w:b/>
          <w:color w:val="auto"/>
          <w:sz w:val="21"/>
          <w:szCs w:val="21"/>
          <w:highlight w:val="none"/>
          <w:lang w:val="en-US" w:eastAsia="zh-CN"/>
        </w:rPr>
        <w:t xml:space="preserve">1663776     </w:t>
      </w:r>
      <w:r>
        <w:rPr>
          <w:rFonts w:hint="eastAsia" w:ascii="仿宋" w:hAnsi="仿宋" w:eastAsia="仿宋" w:cs="仿宋"/>
          <w:b w:val="0"/>
          <w:bCs/>
          <w:color w:val="auto"/>
          <w:sz w:val="21"/>
          <w:szCs w:val="21"/>
          <w:highlight w:val="none"/>
          <w:lang w:val="en-US" w:eastAsia="zh-CN"/>
        </w:rPr>
        <w:t xml:space="preserve"> </w:t>
      </w:r>
    </w:p>
    <w:p w14:paraId="60F5284B">
      <w:pPr>
        <w:spacing w:line="360" w:lineRule="auto"/>
        <w:ind w:firstLine="480"/>
        <w:rPr>
          <w:rFonts w:hint="default"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rPr>
        <w:t>最高限价（元）：</w:t>
      </w:r>
      <w:r>
        <w:rPr>
          <w:rFonts w:hint="eastAsia" w:ascii="仿宋" w:hAnsi="仿宋" w:eastAsia="仿宋" w:cs="仿宋"/>
          <w:b/>
          <w:color w:val="auto"/>
          <w:sz w:val="21"/>
          <w:szCs w:val="21"/>
          <w:highlight w:val="none"/>
          <w:lang w:val="en-US" w:eastAsia="zh-CN"/>
        </w:rPr>
        <w:t xml:space="preserve">1414210     </w:t>
      </w:r>
      <w:r>
        <w:rPr>
          <w:rFonts w:hint="eastAsia" w:ascii="仿宋" w:hAnsi="仿宋" w:eastAsia="仿宋" w:cs="仿宋"/>
          <w:b w:val="0"/>
          <w:bCs/>
          <w:color w:val="auto"/>
          <w:sz w:val="21"/>
          <w:szCs w:val="21"/>
          <w:highlight w:val="none"/>
          <w:lang w:val="en-US" w:eastAsia="zh-CN"/>
        </w:rPr>
        <w:t xml:space="preserve"> </w:t>
      </w:r>
    </w:p>
    <w:p w14:paraId="4FF27E86">
      <w:pPr>
        <w:pStyle w:val="16"/>
        <w:spacing w:line="360" w:lineRule="auto"/>
        <w:ind w:firstLine="48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交易需求</w:t>
      </w:r>
      <w:r>
        <w:rPr>
          <w:rFonts w:hint="eastAsia" w:ascii="仿宋" w:hAnsi="仿宋" w:eastAsia="仿宋" w:cs="仿宋"/>
          <w:b/>
          <w:color w:val="auto"/>
          <w:sz w:val="21"/>
          <w:szCs w:val="21"/>
          <w:highlight w:val="none"/>
        </w:rPr>
        <w:t>：</w:t>
      </w:r>
      <w:r>
        <w:rPr>
          <w:rFonts w:hint="eastAsia" w:ascii="仿宋" w:hAnsi="仿宋" w:eastAsia="仿宋" w:cs="仿宋"/>
          <w:color w:val="auto"/>
          <w:sz w:val="21"/>
          <w:szCs w:val="21"/>
          <w:highlight w:val="none"/>
          <w:lang w:eastAsia="zh-CN"/>
        </w:rPr>
        <w:t>新街街道新盛村卫生保洁服务外包项目</w:t>
      </w:r>
      <w:r>
        <w:rPr>
          <w:rFonts w:hint="eastAsia" w:ascii="仿宋" w:hAnsi="仿宋" w:eastAsia="仿宋" w:cs="仿宋"/>
          <w:b w:val="0"/>
          <w:bCs/>
          <w:color w:val="auto"/>
          <w:sz w:val="21"/>
          <w:szCs w:val="21"/>
          <w:highlight w:val="none"/>
          <w:lang w:val="en-US" w:eastAsia="zh-CN"/>
        </w:rPr>
        <w:t>，主要内容： 新街街道新盛村卫生保洁服务外包项。具体以交易文件第三部分 交易需求为准，供应商可点击本公告下方“浏览交易文件”查看交易需求。</w:t>
      </w:r>
    </w:p>
    <w:p w14:paraId="29BABA9D">
      <w:pPr>
        <w:pStyle w:val="16"/>
        <w:spacing w:line="360" w:lineRule="auto"/>
        <w:ind w:firstLine="480"/>
        <w:rPr>
          <w:rFonts w:hint="eastAsia" w:ascii="仿宋" w:hAnsi="仿宋" w:eastAsia="仿宋" w:cs="仿宋"/>
          <w:bCs/>
          <w:color w:val="auto"/>
          <w:sz w:val="21"/>
          <w:szCs w:val="21"/>
          <w:highlight w:val="none"/>
        </w:rPr>
      </w:pPr>
      <w:bookmarkStart w:id="13" w:name="_Toc32443"/>
      <w:r>
        <w:rPr>
          <w:rFonts w:hint="eastAsia" w:ascii="仿宋" w:hAnsi="仿宋" w:eastAsia="仿宋" w:cs="仿宋"/>
          <w:b/>
          <w:color w:val="auto"/>
          <w:sz w:val="21"/>
          <w:szCs w:val="21"/>
          <w:highlight w:val="none"/>
        </w:rPr>
        <w:t>合同履约期限：</w:t>
      </w:r>
      <w:bookmarkEnd w:id="13"/>
      <w:r>
        <w:rPr>
          <w:rFonts w:hint="eastAsia" w:ascii="仿宋" w:hAnsi="仿宋" w:eastAsia="仿宋" w:cs="仿宋"/>
          <w:b/>
          <w:color w:val="auto"/>
          <w:sz w:val="21"/>
          <w:szCs w:val="21"/>
          <w:highlight w:val="none"/>
          <w:lang w:val="en-US" w:eastAsia="zh-CN"/>
        </w:rPr>
        <w:t>两年（合同一年一签）</w:t>
      </w:r>
      <w:r>
        <w:rPr>
          <w:rFonts w:hint="eastAsia" w:ascii="仿宋" w:hAnsi="仿宋" w:eastAsia="仿宋" w:cs="仿宋"/>
          <w:b/>
          <w:color w:val="auto"/>
          <w:sz w:val="21"/>
          <w:szCs w:val="21"/>
          <w:highlight w:val="none"/>
          <w:lang w:eastAsia="zh-CN"/>
        </w:rPr>
        <w:t>，</w:t>
      </w:r>
      <w:r>
        <w:rPr>
          <w:rFonts w:hint="eastAsia" w:ascii="仿宋" w:hAnsi="仿宋" w:eastAsia="仿宋" w:cs="仿宋"/>
          <w:bCs/>
          <w:color w:val="auto"/>
          <w:sz w:val="21"/>
          <w:szCs w:val="21"/>
          <w:highlight w:val="none"/>
        </w:rPr>
        <w:t>详见第三部分</w:t>
      </w:r>
      <w:r>
        <w:rPr>
          <w:rFonts w:hint="eastAsia" w:ascii="仿宋" w:hAnsi="仿宋" w:eastAsia="仿宋" w:cs="仿宋"/>
          <w:bCs/>
          <w:color w:val="auto"/>
          <w:sz w:val="21"/>
          <w:szCs w:val="21"/>
          <w:highlight w:val="none"/>
          <w:lang w:eastAsia="zh-CN"/>
        </w:rPr>
        <w:t>交易需求</w:t>
      </w:r>
      <w:r>
        <w:rPr>
          <w:rFonts w:hint="eastAsia" w:ascii="仿宋" w:hAnsi="仿宋" w:eastAsia="仿宋" w:cs="仿宋"/>
          <w:bCs/>
          <w:color w:val="auto"/>
          <w:sz w:val="21"/>
          <w:szCs w:val="21"/>
          <w:highlight w:val="none"/>
        </w:rPr>
        <w:t>。</w:t>
      </w:r>
    </w:p>
    <w:p w14:paraId="7F4D53D6">
      <w:pPr>
        <w:pStyle w:val="16"/>
        <w:spacing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本项目接受联合体交易：</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 xml:space="preserve"> </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是</w:t>
      </w:r>
      <w:r>
        <w:rPr>
          <w:rFonts w:hint="eastAsia" w:ascii="仿宋" w:hAnsi="仿宋" w:eastAsia="仿宋" w:cs="仿宋"/>
          <w:b w:val="0"/>
          <w:bCs/>
          <w:snapToGrid/>
          <w:color w:val="auto"/>
          <w:kern w:val="2"/>
          <w:sz w:val="21"/>
          <w:szCs w:val="21"/>
          <w:highlight w:val="none"/>
        </w:rPr>
        <w:t>；</w:t>
      </w:r>
      <w:r>
        <w:rPr>
          <w:rFonts w:hint="eastAsia" w:ascii="仿宋" w:hAnsi="仿宋" w:eastAsia="仿宋" w:cs="仿宋"/>
          <w:b w:val="0"/>
          <w:bCs/>
          <w:snapToGrid/>
          <w:color w:val="auto"/>
          <w:kern w:val="2"/>
          <w:sz w:val="21"/>
          <w:szCs w:val="21"/>
          <w:highlight w:val="none"/>
          <w:lang w:eastAsia="zh-CN"/>
        </w:rPr>
        <w:t>（</w:t>
      </w:r>
      <w:r>
        <w:rPr>
          <w:bCs/>
          <w:color w:val="auto"/>
          <w:sz w:val="21"/>
          <w:szCs w:val="21"/>
          <w:highlight w:val="none"/>
        </w:rPr>
        <w:t>√</w:t>
      </w:r>
      <w:r>
        <w:rPr>
          <w:rFonts w:hint="eastAsia" w:ascii="仿宋" w:hAnsi="仿宋" w:eastAsia="仿宋" w:cs="仿宋"/>
          <w:b w:val="0"/>
          <w:bCs/>
          <w:snapToGrid/>
          <w:color w:val="auto"/>
          <w:kern w:val="2"/>
          <w:sz w:val="21"/>
          <w:szCs w:val="21"/>
          <w:highlight w:val="none"/>
          <w:lang w:eastAsia="zh-CN"/>
        </w:rPr>
        <w:t>）</w:t>
      </w:r>
      <w:r>
        <w:rPr>
          <w:rFonts w:hint="eastAsia" w:ascii="仿宋" w:hAnsi="仿宋" w:eastAsia="仿宋" w:cs="仿宋"/>
          <w:b w:val="0"/>
          <w:bCs/>
          <w:color w:val="auto"/>
          <w:sz w:val="21"/>
          <w:szCs w:val="21"/>
          <w:highlight w:val="none"/>
        </w:rPr>
        <w:t>否</w:t>
      </w:r>
      <w:r>
        <w:rPr>
          <w:rFonts w:hint="eastAsia" w:ascii="仿宋" w:hAnsi="仿宋" w:eastAsia="仿宋" w:cs="仿宋"/>
          <w:bCs/>
          <w:color w:val="auto"/>
          <w:kern w:val="0"/>
          <w:sz w:val="21"/>
          <w:szCs w:val="21"/>
          <w:highlight w:val="none"/>
        </w:rPr>
        <w:t>。</w:t>
      </w:r>
    </w:p>
    <w:p w14:paraId="1A161009">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w:t>
      </w:r>
      <w:bookmarkStart w:id="14" w:name="_Hlk101132948"/>
      <w:r>
        <w:rPr>
          <w:rFonts w:hint="eastAsia" w:ascii="仿宋" w:hAnsi="仿宋" w:eastAsia="仿宋" w:cs="仿宋"/>
          <w:b/>
          <w:color w:val="auto"/>
          <w:sz w:val="21"/>
          <w:szCs w:val="21"/>
          <w:highlight w:val="none"/>
        </w:rPr>
        <w:t>申请人的资格要求</w:t>
      </w:r>
      <w:bookmarkEnd w:id="14"/>
      <w:r>
        <w:rPr>
          <w:rFonts w:hint="eastAsia" w:ascii="仿宋" w:hAnsi="仿宋" w:eastAsia="仿宋" w:cs="仿宋"/>
          <w:b/>
          <w:color w:val="auto"/>
          <w:sz w:val="21"/>
          <w:szCs w:val="21"/>
          <w:highlight w:val="none"/>
        </w:rPr>
        <w:t>：</w:t>
      </w:r>
    </w:p>
    <w:p w14:paraId="5BB61D24">
      <w:pPr>
        <w:spacing w:line="360" w:lineRule="auto"/>
        <w:ind w:firstLine="480"/>
        <w:rPr>
          <w:rFonts w:hint="eastAsia" w:ascii="仿宋" w:hAnsi="仿宋" w:eastAsia="仿宋" w:cs="仿宋"/>
          <w:snapToGrid w:val="0"/>
          <w:color w:val="auto"/>
          <w:kern w:val="28"/>
          <w:sz w:val="21"/>
          <w:szCs w:val="21"/>
          <w:highlight w:val="none"/>
          <w:lang w:val="en-US" w:eastAsia="zh-CN"/>
        </w:rPr>
      </w:pPr>
      <w:r>
        <w:rPr>
          <w:rFonts w:hint="eastAsia" w:ascii="仿宋" w:hAnsi="仿宋" w:eastAsia="仿宋" w:cs="仿宋"/>
          <w:snapToGrid w:val="0"/>
          <w:color w:val="auto"/>
          <w:kern w:val="28"/>
          <w:sz w:val="21"/>
          <w:szCs w:val="21"/>
          <w:highlight w:val="none"/>
          <w:lang w:val="en-US" w:eastAsia="zh-CN"/>
        </w:rPr>
        <w:t>基本资格要求：</w:t>
      </w:r>
    </w:p>
    <w:p w14:paraId="36C1E882">
      <w:pPr>
        <w:spacing w:line="360" w:lineRule="auto"/>
        <w:ind w:firstLine="48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w:t>
      </w:r>
      <w:r>
        <w:rPr>
          <w:rFonts w:hint="eastAsia" w:ascii="仿宋" w:hAnsi="仿宋" w:eastAsia="仿宋" w:cs="仿宋"/>
          <w:snapToGrid w:val="0"/>
          <w:color w:val="auto"/>
          <w:kern w:val="28"/>
          <w:sz w:val="21"/>
          <w:szCs w:val="21"/>
          <w:highlight w:val="none"/>
          <w:lang w:val="en-US" w:eastAsia="zh-CN"/>
        </w:rPr>
        <w:t>.</w:t>
      </w:r>
      <w:r>
        <w:rPr>
          <w:rFonts w:hint="eastAsia" w:ascii="仿宋" w:hAnsi="仿宋" w:eastAsia="仿宋" w:cs="仿宋"/>
          <w:snapToGrid w:val="0"/>
          <w:color w:val="auto"/>
          <w:kern w:val="28"/>
          <w:sz w:val="21"/>
          <w:szCs w:val="21"/>
          <w:highlight w:val="none"/>
        </w:rPr>
        <w:t>具有独立承担民事责任的能力；</w:t>
      </w:r>
    </w:p>
    <w:p w14:paraId="59652D14">
      <w:pPr>
        <w:spacing w:line="360" w:lineRule="auto"/>
        <w:ind w:firstLine="48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2</w:t>
      </w:r>
      <w:r>
        <w:rPr>
          <w:rFonts w:hint="eastAsia" w:ascii="仿宋" w:hAnsi="仿宋" w:eastAsia="仿宋" w:cs="仿宋"/>
          <w:snapToGrid w:val="0"/>
          <w:color w:val="auto"/>
          <w:kern w:val="28"/>
          <w:sz w:val="21"/>
          <w:szCs w:val="21"/>
          <w:highlight w:val="none"/>
          <w:lang w:val="en-US" w:eastAsia="zh-CN"/>
        </w:rPr>
        <w:t>.</w:t>
      </w:r>
      <w:r>
        <w:rPr>
          <w:rFonts w:hint="eastAsia" w:ascii="仿宋" w:hAnsi="仿宋" w:eastAsia="仿宋" w:cs="仿宋"/>
          <w:snapToGrid w:val="0"/>
          <w:color w:val="auto"/>
          <w:kern w:val="28"/>
          <w:sz w:val="21"/>
          <w:szCs w:val="21"/>
          <w:highlight w:val="none"/>
        </w:rPr>
        <w:t>具有良好的商业信誉和健全的财务会计制度；</w:t>
      </w:r>
    </w:p>
    <w:p w14:paraId="505EF1BF">
      <w:pPr>
        <w:spacing w:line="360" w:lineRule="auto"/>
        <w:ind w:firstLine="48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3</w:t>
      </w:r>
      <w:r>
        <w:rPr>
          <w:rFonts w:hint="eastAsia" w:ascii="仿宋" w:hAnsi="仿宋" w:eastAsia="仿宋" w:cs="仿宋"/>
          <w:snapToGrid w:val="0"/>
          <w:color w:val="auto"/>
          <w:kern w:val="28"/>
          <w:sz w:val="21"/>
          <w:szCs w:val="21"/>
          <w:highlight w:val="none"/>
          <w:lang w:val="en-US" w:eastAsia="zh-CN"/>
        </w:rPr>
        <w:t>.</w:t>
      </w:r>
      <w:r>
        <w:rPr>
          <w:rFonts w:hint="eastAsia" w:ascii="仿宋" w:hAnsi="仿宋" w:eastAsia="仿宋" w:cs="仿宋"/>
          <w:snapToGrid w:val="0"/>
          <w:color w:val="auto"/>
          <w:kern w:val="28"/>
          <w:sz w:val="21"/>
          <w:szCs w:val="21"/>
          <w:highlight w:val="none"/>
        </w:rPr>
        <w:t>具有履行合同所必需的设备和专业技术能力；</w:t>
      </w:r>
    </w:p>
    <w:p w14:paraId="18489E32">
      <w:pPr>
        <w:spacing w:line="360" w:lineRule="auto"/>
        <w:ind w:firstLine="48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4</w:t>
      </w:r>
      <w:r>
        <w:rPr>
          <w:rFonts w:hint="eastAsia" w:ascii="仿宋" w:hAnsi="仿宋" w:eastAsia="仿宋" w:cs="仿宋"/>
          <w:snapToGrid w:val="0"/>
          <w:color w:val="auto"/>
          <w:kern w:val="28"/>
          <w:sz w:val="21"/>
          <w:szCs w:val="21"/>
          <w:highlight w:val="none"/>
          <w:lang w:val="en-US" w:eastAsia="zh-CN"/>
        </w:rPr>
        <w:t>.</w:t>
      </w:r>
      <w:r>
        <w:rPr>
          <w:rFonts w:hint="eastAsia" w:ascii="仿宋" w:hAnsi="仿宋" w:eastAsia="仿宋" w:cs="仿宋"/>
          <w:snapToGrid w:val="0"/>
          <w:color w:val="auto"/>
          <w:kern w:val="28"/>
          <w:sz w:val="21"/>
          <w:szCs w:val="21"/>
          <w:highlight w:val="none"/>
        </w:rPr>
        <w:t>有依法缴纳税收和社会保障资金的良好记录；</w:t>
      </w:r>
    </w:p>
    <w:p w14:paraId="48350FF1">
      <w:pPr>
        <w:spacing w:line="360" w:lineRule="auto"/>
        <w:ind w:firstLine="48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5</w:t>
      </w:r>
      <w:r>
        <w:rPr>
          <w:rFonts w:hint="eastAsia" w:ascii="仿宋" w:hAnsi="仿宋" w:eastAsia="仿宋" w:cs="仿宋"/>
          <w:snapToGrid w:val="0"/>
          <w:color w:val="auto"/>
          <w:kern w:val="28"/>
          <w:sz w:val="21"/>
          <w:szCs w:val="21"/>
          <w:highlight w:val="none"/>
          <w:lang w:val="en-US" w:eastAsia="zh-CN"/>
        </w:rPr>
        <w:t>.</w:t>
      </w:r>
      <w:r>
        <w:rPr>
          <w:rFonts w:hint="eastAsia" w:ascii="仿宋" w:hAnsi="仿宋" w:eastAsia="仿宋" w:cs="仿宋"/>
          <w:snapToGrid w:val="0"/>
          <w:color w:val="auto"/>
          <w:kern w:val="28"/>
          <w:sz w:val="21"/>
          <w:szCs w:val="21"/>
          <w:highlight w:val="none"/>
        </w:rPr>
        <w:t>参加交易活动前三年内，在经营活动中没有重大违法记录；</w:t>
      </w:r>
    </w:p>
    <w:p w14:paraId="3B063D26">
      <w:pPr>
        <w:spacing w:line="360" w:lineRule="auto"/>
        <w:ind w:firstLine="48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6</w:t>
      </w:r>
      <w:r>
        <w:rPr>
          <w:rFonts w:hint="eastAsia" w:ascii="仿宋" w:hAnsi="仿宋" w:eastAsia="仿宋" w:cs="仿宋"/>
          <w:snapToGrid w:val="0"/>
          <w:color w:val="auto"/>
          <w:kern w:val="28"/>
          <w:sz w:val="21"/>
          <w:szCs w:val="21"/>
          <w:highlight w:val="none"/>
          <w:lang w:val="en-US" w:eastAsia="zh-CN"/>
        </w:rPr>
        <w:t>.</w:t>
      </w:r>
      <w:r>
        <w:rPr>
          <w:rFonts w:hint="eastAsia" w:ascii="仿宋" w:hAnsi="仿宋" w:eastAsia="仿宋" w:cs="仿宋"/>
          <w:snapToGrid w:val="0"/>
          <w:color w:val="auto"/>
          <w:kern w:val="28"/>
          <w:sz w:val="21"/>
          <w:szCs w:val="21"/>
          <w:highlight w:val="none"/>
        </w:rPr>
        <w:t>法律、行政法规规定的其他条件；</w:t>
      </w:r>
    </w:p>
    <w:p w14:paraId="42DC3385">
      <w:pPr>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 xml:space="preserve">   </w:t>
      </w:r>
      <w:r>
        <w:rPr>
          <w:rFonts w:hint="eastAsia" w:ascii="仿宋" w:hAnsi="仿宋" w:eastAsia="仿宋" w:cs="仿宋"/>
          <w:snapToGrid w:val="0"/>
          <w:color w:val="auto"/>
          <w:kern w:val="28"/>
          <w:sz w:val="21"/>
          <w:szCs w:val="21"/>
          <w:highlight w:val="none"/>
          <w:lang w:val="en-US" w:eastAsia="zh-CN"/>
        </w:rPr>
        <w:t xml:space="preserve">  7.</w:t>
      </w:r>
      <w:r>
        <w:rPr>
          <w:rFonts w:hint="eastAsia" w:ascii="仿宋" w:hAnsi="仿宋" w:eastAsia="仿宋" w:cs="仿宋"/>
          <w:color w:val="auto"/>
          <w:sz w:val="21"/>
          <w:szCs w:val="21"/>
          <w:highlight w:val="none"/>
        </w:rPr>
        <w:t>本项目的特定资格要求：</w:t>
      </w:r>
      <w:r>
        <w:rPr>
          <w:rFonts w:hint="eastAsia" w:ascii="仿宋" w:hAnsi="仿宋" w:eastAsia="仿宋" w:cs="仿宋"/>
          <w:color w:val="auto"/>
          <w:sz w:val="21"/>
          <w:szCs w:val="21"/>
          <w:highlight w:val="none"/>
          <w:lang w:val="en-US" w:eastAsia="zh-CN"/>
        </w:rPr>
        <w:t>无</w:t>
      </w:r>
      <w:r>
        <w:rPr>
          <w:rFonts w:hint="eastAsia" w:ascii="仿宋" w:hAnsi="仿宋" w:eastAsia="仿宋" w:cs="仿宋"/>
          <w:color w:val="auto"/>
          <w:sz w:val="21"/>
          <w:szCs w:val="21"/>
          <w:highlight w:val="none"/>
        </w:rPr>
        <w:t>；</w:t>
      </w:r>
    </w:p>
    <w:p w14:paraId="425B4CC1">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三、获取交易文件 </w:t>
      </w:r>
    </w:p>
    <w:p w14:paraId="4E3812BA">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bCs/>
          <w:color w:val="auto"/>
          <w:sz w:val="21"/>
          <w:szCs w:val="21"/>
          <w:highlight w:val="none"/>
        </w:rPr>
        <w:t>/至</w:t>
      </w:r>
      <w:r>
        <w:rPr>
          <w:rFonts w:hint="eastAsia" w:ascii="仿宋" w:hAnsi="仿宋" w:eastAsia="仿宋" w:cs="仿宋"/>
          <w:color w:val="auto"/>
          <w:sz w:val="21"/>
          <w:szCs w:val="21"/>
          <w:highlight w:val="none"/>
        </w:rPr>
        <w:t>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07</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日，每天上午09:00至12:00 ，下午13:00至17:30。</w:t>
      </w:r>
    </w:p>
    <w:p w14:paraId="2274DE10">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shd w:val="clear" w:color="auto" w:fill="auto"/>
          <w:lang w:val="en-US" w:eastAsia="zh-CN"/>
        </w:rPr>
        <w:t>乐</w:t>
      </w:r>
      <w:r>
        <w:rPr>
          <w:rFonts w:hint="eastAsia" w:ascii="仿宋" w:hAnsi="仿宋" w:eastAsia="仿宋" w:cs="仿宋"/>
          <w:color w:val="auto"/>
          <w:sz w:val="21"/>
          <w:szCs w:val="21"/>
          <w:highlight w:val="none"/>
          <w:shd w:val="clear" w:color="auto" w:fill="auto"/>
        </w:rPr>
        <w:t>采云平台（https://middle.lecaiyun.com/）</w:t>
      </w:r>
      <w:r>
        <w:rPr>
          <w:rFonts w:hint="eastAsia" w:ascii="仿宋" w:hAnsi="仿宋" w:eastAsia="仿宋" w:cs="仿宋"/>
          <w:color w:val="auto"/>
          <w:sz w:val="21"/>
          <w:szCs w:val="21"/>
          <w:highlight w:val="none"/>
        </w:rPr>
        <w:t>。</w:t>
      </w:r>
    </w:p>
    <w:p w14:paraId="4C27EF54">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供应商登录</w:t>
      </w:r>
      <w:r>
        <w:rPr>
          <w:rFonts w:hint="eastAsia" w:ascii="仿宋" w:hAnsi="仿宋" w:eastAsia="仿宋" w:cs="仿宋"/>
          <w:color w:val="auto"/>
          <w:sz w:val="21"/>
          <w:szCs w:val="21"/>
          <w:highlight w:val="none"/>
          <w:lang w:eastAsia="zh-CN"/>
        </w:rPr>
        <w:t>乐采云平台（https://middle.lecaiyun.com/）</w:t>
      </w:r>
      <w:r>
        <w:rPr>
          <w:rFonts w:hint="eastAsia" w:ascii="仿宋" w:hAnsi="仿宋" w:eastAsia="仿宋" w:cs="仿宋"/>
          <w:color w:val="auto"/>
          <w:sz w:val="21"/>
          <w:szCs w:val="21"/>
          <w:highlight w:val="none"/>
        </w:rPr>
        <w:t>在线申请获取交易文件（进入“项目采购”应用，在获取交易文件菜单中选择项目，申请获取交易文件）。</w:t>
      </w:r>
    </w:p>
    <w:p w14:paraId="37A5997F">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售价（元）：</w:t>
      </w:r>
      <w:r>
        <w:rPr>
          <w:rFonts w:hint="eastAsia" w:ascii="仿宋" w:hAnsi="仿宋" w:eastAsia="仿宋" w:cs="仿宋"/>
          <w:bCs/>
          <w:color w:val="auto"/>
          <w:sz w:val="21"/>
          <w:szCs w:val="21"/>
          <w:highlight w:val="none"/>
        </w:rPr>
        <w:t>0</w:t>
      </w:r>
      <w:r>
        <w:rPr>
          <w:rFonts w:hint="eastAsia" w:ascii="仿宋" w:hAnsi="仿宋" w:eastAsia="仿宋" w:cs="仿宋"/>
          <w:color w:val="auto"/>
          <w:sz w:val="21"/>
          <w:szCs w:val="21"/>
          <w:highlight w:val="none"/>
        </w:rPr>
        <w:t xml:space="preserve">元 </w:t>
      </w:r>
      <w:r>
        <w:rPr>
          <w:rFonts w:hint="eastAsia" w:ascii="仿宋" w:hAnsi="仿宋" w:eastAsia="仿宋" w:cs="仿宋"/>
          <w:color w:val="auto"/>
          <w:sz w:val="21"/>
          <w:szCs w:val="21"/>
          <w:highlight w:val="none"/>
        </w:rPr>
        <w:tab/>
      </w:r>
    </w:p>
    <w:p w14:paraId="59DE8B9D">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四、提交响应文件截止时间、</w:t>
      </w:r>
      <w:r>
        <w:rPr>
          <w:rFonts w:hint="eastAsia" w:ascii="仿宋" w:hAnsi="仿宋" w:eastAsia="仿宋" w:cs="仿宋"/>
          <w:b/>
          <w:color w:val="auto"/>
          <w:sz w:val="21"/>
          <w:szCs w:val="21"/>
          <w:highlight w:val="none"/>
          <w:lang w:eastAsia="zh-CN"/>
        </w:rPr>
        <w:t>交易</w:t>
      </w:r>
      <w:r>
        <w:rPr>
          <w:rFonts w:hint="eastAsia" w:ascii="仿宋" w:hAnsi="仿宋" w:eastAsia="仿宋" w:cs="仿宋"/>
          <w:b/>
          <w:color w:val="auto"/>
          <w:sz w:val="21"/>
          <w:szCs w:val="21"/>
          <w:highlight w:val="none"/>
        </w:rPr>
        <w:t>地点</w:t>
      </w:r>
    </w:p>
    <w:p w14:paraId="627F0D40">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提交响应文件截止时间：</w:t>
      </w:r>
      <w:r>
        <w:rPr>
          <w:rFonts w:hint="eastAsia" w:ascii="仿宋" w:hAnsi="仿宋" w:eastAsia="仿宋" w:cs="仿宋"/>
          <w:b w:val="0"/>
          <w:color w:val="auto"/>
          <w:sz w:val="21"/>
          <w:szCs w:val="21"/>
          <w:highlight w:val="none"/>
          <w:lang w:val="en-US" w:eastAsia="zh-CN"/>
        </w:rPr>
        <w:t>2</w:t>
      </w:r>
      <w:r>
        <w:rPr>
          <w:rFonts w:hint="eastAsia" w:ascii="仿宋" w:hAnsi="仿宋" w:eastAsia="仿宋" w:cs="仿宋"/>
          <w:color w:val="auto"/>
          <w:sz w:val="21"/>
          <w:szCs w:val="21"/>
          <w:highlight w:val="none"/>
        </w:rPr>
        <w:t>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07</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09</w:t>
      </w:r>
      <w:r>
        <w:rPr>
          <w:rFonts w:hint="eastAsia" w:ascii="仿宋" w:hAnsi="仿宋" w:eastAsia="仿宋" w:cs="仿宋"/>
          <w:color w:val="auto"/>
          <w:sz w:val="21"/>
          <w:szCs w:val="21"/>
          <w:highlight w:val="none"/>
        </w:rPr>
        <w:t>点30分00秒（北京时间）</w:t>
      </w:r>
    </w:p>
    <w:p w14:paraId="2192706A">
      <w:pPr>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交易地点（网址）：</w:t>
      </w:r>
      <w:r>
        <w:rPr>
          <w:rFonts w:hint="eastAsia" w:ascii="仿宋" w:hAnsi="仿宋" w:eastAsia="仿宋" w:cs="仿宋"/>
          <w:color w:val="auto"/>
          <w:sz w:val="21"/>
          <w:szCs w:val="21"/>
          <w:highlight w:val="none"/>
          <w:shd w:val="clear" w:color="auto" w:fill="auto"/>
          <w:lang w:val="en-US" w:eastAsia="zh-CN"/>
        </w:rPr>
        <w:t>乐</w:t>
      </w:r>
      <w:r>
        <w:rPr>
          <w:rFonts w:hint="eastAsia" w:ascii="仿宋" w:hAnsi="仿宋" w:eastAsia="仿宋" w:cs="仿宋"/>
          <w:color w:val="auto"/>
          <w:sz w:val="21"/>
          <w:szCs w:val="21"/>
          <w:highlight w:val="none"/>
          <w:shd w:val="clear" w:color="auto" w:fill="auto"/>
        </w:rPr>
        <w:t>采云平台（https://middle.lecaiyun.com/）</w:t>
      </w:r>
      <w:r>
        <w:rPr>
          <w:rFonts w:hint="eastAsia" w:ascii="仿宋" w:hAnsi="仿宋" w:eastAsia="仿宋" w:cs="仿宋"/>
          <w:color w:val="auto"/>
          <w:sz w:val="21"/>
          <w:szCs w:val="21"/>
          <w:highlight w:val="none"/>
        </w:rPr>
        <w:t xml:space="preserve"> </w:t>
      </w:r>
    </w:p>
    <w:p w14:paraId="4A731D86">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eastAsia="zh-CN"/>
        </w:rPr>
        <w:t>交易</w:t>
      </w: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07</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09</w:t>
      </w:r>
      <w:r>
        <w:rPr>
          <w:rFonts w:hint="eastAsia" w:ascii="仿宋" w:hAnsi="仿宋" w:eastAsia="仿宋" w:cs="仿宋"/>
          <w:color w:val="auto"/>
          <w:sz w:val="21"/>
          <w:szCs w:val="21"/>
          <w:highlight w:val="none"/>
        </w:rPr>
        <w:t>点30分00秒</w:t>
      </w:r>
    </w:p>
    <w:p w14:paraId="77D297BB">
      <w:pPr>
        <w:spacing w:line="360" w:lineRule="auto"/>
        <w:ind w:firstLine="422" w:firstLineChars="200"/>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lang w:eastAsia="zh-CN"/>
        </w:rPr>
        <w:t>交易</w:t>
      </w: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shd w:val="clear" w:color="auto" w:fill="auto"/>
          <w:lang w:val="en-US" w:eastAsia="zh-CN"/>
        </w:rPr>
        <w:t>乐</w:t>
      </w:r>
      <w:r>
        <w:rPr>
          <w:rFonts w:hint="eastAsia" w:ascii="仿宋" w:hAnsi="仿宋" w:eastAsia="仿宋" w:cs="仿宋"/>
          <w:color w:val="auto"/>
          <w:sz w:val="21"/>
          <w:szCs w:val="21"/>
          <w:highlight w:val="none"/>
          <w:shd w:val="clear" w:color="auto" w:fill="auto"/>
        </w:rPr>
        <w:t>采云平台（https://middle.lecaiyun.com/）</w:t>
      </w:r>
    </w:p>
    <w:p w14:paraId="16C6E642">
      <w:pPr>
        <w:spacing w:line="360" w:lineRule="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五、公告期限 </w:t>
      </w:r>
    </w:p>
    <w:p w14:paraId="6DEFE06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自本公告发布之日起5日。</w:t>
      </w:r>
    </w:p>
    <w:p w14:paraId="71E8FC10">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六、其他补充事宜</w:t>
      </w:r>
    </w:p>
    <w:p w14:paraId="26BF84CF">
      <w:pPr>
        <w:spacing w:line="360" w:lineRule="auto"/>
        <w:ind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1.供应商认为</w:t>
      </w:r>
      <w:r>
        <w:rPr>
          <w:rFonts w:hint="eastAsia" w:ascii="仿宋" w:hAnsi="仿宋" w:eastAsia="仿宋" w:cs="仿宋"/>
          <w:b w:val="0"/>
          <w:bCs/>
          <w:color w:val="auto"/>
          <w:sz w:val="21"/>
          <w:szCs w:val="21"/>
          <w:highlight w:val="none"/>
          <w:lang w:eastAsia="zh-CN"/>
        </w:rPr>
        <w:t>交易文件</w:t>
      </w:r>
      <w:r>
        <w:rPr>
          <w:rFonts w:hint="eastAsia" w:ascii="仿宋" w:hAnsi="仿宋" w:eastAsia="仿宋" w:cs="仿宋"/>
          <w:b w:val="0"/>
          <w:bCs/>
          <w:color w:val="auto"/>
          <w:sz w:val="21"/>
          <w:szCs w:val="21"/>
          <w:highlight w:val="none"/>
        </w:rPr>
        <w:t>使自己的权益受到损害的，可以自获取</w:t>
      </w:r>
      <w:r>
        <w:rPr>
          <w:rFonts w:hint="eastAsia" w:ascii="仿宋" w:hAnsi="仿宋" w:eastAsia="仿宋" w:cs="仿宋"/>
          <w:b w:val="0"/>
          <w:bCs/>
          <w:color w:val="auto"/>
          <w:sz w:val="21"/>
          <w:szCs w:val="21"/>
          <w:highlight w:val="none"/>
          <w:lang w:eastAsia="zh-CN"/>
        </w:rPr>
        <w:t>交易文件</w:t>
      </w:r>
      <w:r>
        <w:rPr>
          <w:rFonts w:hint="eastAsia" w:ascii="仿宋" w:hAnsi="仿宋" w:eastAsia="仿宋" w:cs="仿宋"/>
          <w:b w:val="0"/>
          <w:bCs/>
          <w:color w:val="auto"/>
          <w:sz w:val="21"/>
          <w:szCs w:val="21"/>
          <w:highlight w:val="none"/>
        </w:rPr>
        <w:t>之日起3日内，以书面形式向</w:t>
      </w:r>
      <w:r>
        <w:rPr>
          <w:rFonts w:hint="eastAsia" w:ascii="仿宋" w:hAnsi="仿宋" w:eastAsia="仿宋" w:cs="仿宋"/>
          <w:b w:val="0"/>
          <w:bCs/>
          <w:color w:val="auto"/>
          <w:sz w:val="21"/>
          <w:szCs w:val="21"/>
          <w:highlight w:val="none"/>
          <w:lang w:eastAsia="zh-CN"/>
        </w:rPr>
        <w:t>交易发起人</w:t>
      </w:r>
      <w:r>
        <w:rPr>
          <w:rFonts w:hint="eastAsia" w:ascii="仿宋" w:hAnsi="仿宋" w:eastAsia="仿宋" w:cs="仿宋"/>
          <w:b w:val="0"/>
          <w:bCs/>
          <w:color w:val="auto"/>
          <w:sz w:val="21"/>
          <w:szCs w:val="21"/>
          <w:highlight w:val="none"/>
        </w:rPr>
        <w:t>和</w:t>
      </w:r>
      <w:r>
        <w:rPr>
          <w:rFonts w:hint="eastAsia" w:ascii="仿宋" w:hAnsi="仿宋" w:eastAsia="仿宋" w:cs="仿宋"/>
          <w:b w:val="0"/>
          <w:bCs/>
          <w:color w:val="auto"/>
          <w:sz w:val="21"/>
          <w:szCs w:val="21"/>
          <w:highlight w:val="none"/>
          <w:lang w:eastAsia="zh-CN"/>
        </w:rPr>
        <w:t>代理机构</w:t>
      </w:r>
      <w:r>
        <w:rPr>
          <w:rFonts w:hint="eastAsia" w:ascii="仿宋" w:hAnsi="仿宋" w:eastAsia="仿宋" w:cs="仿宋"/>
          <w:b w:val="0"/>
          <w:bCs/>
          <w:color w:val="auto"/>
          <w:sz w:val="21"/>
          <w:szCs w:val="21"/>
          <w:highlight w:val="none"/>
        </w:rPr>
        <w:t>提出质疑。</w:t>
      </w:r>
    </w:p>
    <w:p w14:paraId="4703B09F">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rPr>
        <w:t>2.</w:t>
      </w:r>
      <w:r>
        <w:rPr>
          <w:rFonts w:hint="eastAsia" w:ascii="仿宋" w:hAnsi="仿宋" w:eastAsia="仿宋" w:cs="仿宋"/>
          <w:b w:val="0"/>
          <w:bCs/>
          <w:color w:val="auto"/>
          <w:sz w:val="21"/>
          <w:szCs w:val="21"/>
          <w:highlight w:val="none"/>
          <w:lang w:eastAsia="zh-CN"/>
        </w:rPr>
        <w:t>电子交易标</w:t>
      </w:r>
      <w:r>
        <w:rPr>
          <w:rFonts w:hint="eastAsia" w:ascii="仿宋" w:hAnsi="仿宋" w:eastAsia="仿宋" w:cs="仿宋"/>
          <w:b w:val="0"/>
          <w:bCs/>
          <w:color w:val="auto"/>
          <w:sz w:val="21"/>
          <w:szCs w:val="21"/>
          <w:highlight w:val="none"/>
        </w:rPr>
        <w:t>的说明： 1）</w:t>
      </w:r>
      <w:r>
        <w:rPr>
          <w:rFonts w:hint="eastAsia" w:ascii="仿宋" w:hAnsi="仿宋" w:eastAsia="仿宋" w:cs="仿宋"/>
          <w:b w:val="0"/>
          <w:bCs/>
          <w:color w:val="auto"/>
          <w:sz w:val="21"/>
          <w:szCs w:val="21"/>
          <w:highlight w:val="none"/>
          <w:lang w:eastAsia="zh-CN"/>
        </w:rPr>
        <w:t>电子交易标</w:t>
      </w:r>
      <w:r>
        <w:rPr>
          <w:rFonts w:hint="eastAsia" w:ascii="仿宋" w:hAnsi="仿宋" w:eastAsia="仿宋" w:cs="仿宋"/>
          <w:b w:val="0"/>
          <w:bCs/>
          <w:color w:val="auto"/>
          <w:sz w:val="21"/>
          <w:szCs w:val="21"/>
          <w:highlight w:val="none"/>
        </w:rPr>
        <w:t>：本项目以数据电文形式，依托“乐采云平台（www.lecaiyun.com）”进行</w:t>
      </w:r>
      <w:r>
        <w:rPr>
          <w:rFonts w:hint="eastAsia" w:ascii="仿宋" w:hAnsi="仿宋" w:eastAsia="仿宋" w:cs="仿宋"/>
          <w:b w:val="0"/>
          <w:bCs/>
          <w:color w:val="auto"/>
          <w:sz w:val="21"/>
          <w:szCs w:val="21"/>
          <w:highlight w:val="none"/>
          <w:lang w:eastAsia="zh-CN"/>
        </w:rPr>
        <w:t>交易</w:t>
      </w:r>
      <w:r>
        <w:rPr>
          <w:rFonts w:hint="eastAsia" w:ascii="仿宋" w:hAnsi="仿宋" w:eastAsia="仿宋" w:cs="仿宋"/>
          <w:b w:val="0"/>
          <w:bCs/>
          <w:color w:val="auto"/>
          <w:sz w:val="21"/>
          <w:szCs w:val="21"/>
          <w:highlight w:val="none"/>
        </w:rPr>
        <w:t>活动，不接受纸质</w:t>
      </w:r>
      <w:r>
        <w:rPr>
          <w:rFonts w:hint="eastAsia" w:ascii="仿宋" w:hAnsi="仿宋" w:eastAsia="仿宋" w:cs="仿宋"/>
          <w:b w:val="0"/>
          <w:bCs/>
          <w:color w:val="auto"/>
          <w:sz w:val="21"/>
          <w:szCs w:val="21"/>
          <w:highlight w:val="none"/>
          <w:lang w:eastAsia="zh-CN"/>
        </w:rPr>
        <w:t>响应文件</w:t>
      </w:r>
      <w:r>
        <w:rPr>
          <w:rFonts w:hint="eastAsia" w:ascii="仿宋" w:hAnsi="仿宋" w:eastAsia="仿宋" w:cs="仿宋"/>
          <w:b w:val="0"/>
          <w:bCs/>
          <w:color w:val="auto"/>
          <w:sz w:val="21"/>
          <w:szCs w:val="21"/>
          <w:highlight w:val="none"/>
        </w:rPr>
        <w:t>。2）</w:t>
      </w:r>
      <w:r>
        <w:rPr>
          <w:rFonts w:hint="eastAsia" w:ascii="仿宋" w:hAnsi="仿宋" w:eastAsia="仿宋" w:cs="仿宋"/>
          <w:b w:val="0"/>
          <w:bCs/>
          <w:color w:val="auto"/>
          <w:sz w:val="21"/>
          <w:szCs w:val="21"/>
          <w:highlight w:val="none"/>
          <w:lang w:eastAsia="zh-CN"/>
        </w:rPr>
        <w:t>响应</w:t>
      </w:r>
      <w:r>
        <w:rPr>
          <w:rFonts w:hint="eastAsia" w:ascii="仿宋" w:hAnsi="仿宋" w:eastAsia="仿宋" w:cs="仿宋"/>
          <w:b w:val="0"/>
          <w:bCs/>
          <w:color w:val="auto"/>
          <w:sz w:val="21"/>
          <w:szCs w:val="21"/>
          <w:highlight w:val="none"/>
        </w:rPr>
        <w:t>准备：注册账号--点击“商家入驻”，进行</w:t>
      </w:r>
      <w:r>
        <w:rPr>
          <w:rFonts w:hint="eastAsia" w:ascii="仿宋" w:hAnsi="仿宋" w:eastAsia="仿宋" w:cs="仿宋"/>
          <w:b w:val="0"/>
          <w:bCs/>
          <w:color w:val="auto"/>
          <w:sz w:val="21"/>
          <w:szCs w:val="21"/>
          <w:highlight w:val="none"/>
          <w:lang w:val="en-US" w:eastAsia="zh-CN"/>
        </w:rPr>
        <w:t>企业</w:t>
      </w:r>
      <w:r>
        <w:rPr>
          <w:rFonts w:hint="eastAsia" w:ascii="仿宋" w:hAnsi="仿宋" w:eastAsia="仿宋" w:cs="仿宋"/>
          <w:b w:val="0"/>
          <w:bCs/>
          <w:color w:val="auto"/>
          <w:sz w:val="21"/>
          <w:szCs w:val="21"/>
          <w:highlight w:val="none"/>
        </w:rPr>
        <w:t>采购供应商资料填写；申领CA数字证书---申领流程详见“</w:t>
      </w:r>
      <w:r>
        <w:rPr>
          <w:rFonts w:hint="eastAsia" w:ascii="仿宋" w:hAnsi="仿宋" w:eastAsia="仿宋" w:cs="仿宋"/>
          <w:b w:val="0"/>
          <w:bCs/>
          <w:color w:val="auto"/>
          <w:sz w:val="21"/>
          <w:szCs w:val="21"/>
          <w:highlight w:val="none"/>
          <w:lang w:eastAsia="zh-CN"/>
        </w:rPr>
        <w:t>浙江企业采购信息服务网</w:t>
      </w:r>
      <w:r>
        <w:rPr>
          <w:rFonts w:hint="eastAsia" w:ascii="仿宋" w:hAnsi="仿宋" w:eastAsia="仿宋" w:cs="仿宋"/>
          <w:b w:val="0"/>
          <w:bCs/>
          <w:color w:val="auto"/>
          <w:sz w:val="21"/>
          <w:szCs w:val="21"/>
          <w:highlight w:val="none"/>
        </w:rPr>
        <w:t>-下载专区-电子交易客户端-CA驱动和申领流程”；安装“</w:t>
      </w:r>
      <w:r>
        <w:rPr>
          <w:rFonts w:hint="eastAsia" w:ascii="仿宋" w:hAnsi="仿宋" w:eastAsia="仿宋" w:cs="仿宋"/>
          <w:b w:val="0"/>
          <w:bCs/>
          <w:color w:val="auto"/>
          <w:sz w:val="21"/>
          <w:szCs w:val="21"/>
          <w:highlight w:val="none"/>
          <w:lang w:eastAsia="zh-CN"/>
        </w:rPr>
        <w:t>乐采云投标客户端</w:t>
      </w:r>
      <w:r>
        <w:rPr>
          <w:rFonts w:hint="eastAsia" w:ascii="仿宋" w:hAnsi="仿宋" w:eastAsia="仿宋" w:cs="仿宋"/>
          <w:b w:val="0"/>
          <w:bCs/>
          <w:color w:val="auto"/>
          <w:sz w:val="21"/>
          <w:szCs w:val="21"/>
          <w:highlight w:val="none"/>
        </w:rPr>
        <w:t>”----前往“</w:t>
      </w:r>
      <w:r>
        <w:rPr>
          <w:rFonts w:hint="eastAsia" w:ascii="仿宋" w:hAnsi="仿宋" w:eastAsia="仿宋" w:cs="仿宋"/>
          <w:b w:val="0"/>
          <w:bCs/>
          <w:color w:val="auto"/>
          <w:sz w:val="21"/>
          <w:szCs w:val="21"/>
          <w:highlight w:val="none"/>
          <w:lang w:eastAsia="zh-CN"/>
        </w:rPr>
        <w:t>浙江企业采购信息服务网</w:t>
      </w:r>
      <w:r>
        <w:rPr>
          <w:rFonts w:hint="eastAsia" w:ascii="仿宋" w:hAnsi="仿宋" w:eastAsia="仿宋" w:cs="仿宋"/>
          <w:b w:val="0"/>
          <w:bCs/>
          <w:color w:val="auto"/>
          <w:sz w:val="21"/>
          <w:szCs w:val="21"/>
          <w:highlight w:val="none"/>
        </w:rPr>
        <w:t>-下载专区-电子交易客户端”进行下载并安装。3）</w:t>
      </w:r>
      <w:r>
        <w:rPr>
          <w:rFonts w:hint="eastAsia" w:ascii="仿宋" w:hAnsi="仿宋" w:eastAsia="仿宋" w:cs="仿宋"/>
          <w:b w:val="0"/>
          <w:bCs/>
          <w:color w:val="auto"/>
          <w:sz w:val="21"/>
          <w:szCs w:val="21"/>
          <w:highlight w:val="none"/>
          <w:lang w:eastAsia="zh-CN"/>
        </w:rPr>
        <w:t>交易文件</w:t>
      </w:r>
      <w:r>
        <w:rPr>
          <w:rFonts w:hint="eastAsia" w:ascii="仿宋" w:hAnsi="仿宋" w:eastAsia="仿宋" w:cs="仿宋"/>
          <w:b w:val="0"/>
          <w:bCs/>
          <w:color w:val="auto"/>
          <w:sz w:val="21"/>
          <w:szCs w:val="21"/>
          <w:highlight w:val="none"/>
        </w:rPr>
        <w:t>的获取：使用账号登录或者使用CA登录</w:t>
      </w:r>
      <w:r>
        <w:rPr>
          <w:rFonts w:hint="eastAsia" w:ascii="仿宋" w:hAnsi="仿宋" w:eastAsia="仿宋" w:cs="仿宋"/>
          <w:b w:val="0"/>
          <w:bCs/>
          <w:color w:val="auto"/>
          <w:sz w:val="21"/>
          <w:szCs w:val="21"/>
          <w:highlight w:val="none"/>
          <w:lang w:eastAsia="zh-CN"/>
        </w:rPr>
        <w:t>乐采云平台</w:t>
      </w:r>
      <w:r>
        <w:rPr>
          <w:rFonts w:hint="eastAsia" w:ascii="仿宋" w:hAnsi="仿宋" w:eastAsia="仿宋" w:cs="仿宋"/>
          <w:b w:val="0"/>
          <w:bCs/>
          <w:color w:val="auto"/>
          <w:sz w:val="21"/>
          <w:szCs w:val="21"/>
          <w:highlight w:val="none"/>
        </w:rPr>
        <w:t>；进入“项目采购”应用，在获取</w:t>
      </w:r>
      <w:r>
        <w:rPr>
          <w:rFonts w:hint="eastAsia" w:ascii="仿宋" w:hAnsi="仿宋" w:eastAsia="仿宋" w:cs="仿宋"/>
          <w:b w:val="0"/>
          <w:bCs/>
          <w:color w:val="auto"/>
          <w:sz w:val="21"/>
          <w:szCs w:val="21"/>
          <w:highlight w:val="none"/>
          <w:lang w:eastAsia="zh-CN"/>
        </w:rPr>
        <w:t>交易文件</w:t>
      </w:r>
      <w:r>
        <w:rPr>
          <w:rFonts w:hint="eastAsia" w:ascii="仿宋" w:hAnsi="仿宋" w:eastAsia="仿宋" w:cs="仿宋"/>
          <w:b w:val="0"/>
          <w:bCs/>
          <w:color w:val="auto"/>
          <w:sz w:val="21"/>
          <w:szCs w:val="21"/>
          <w:highlight w:val="none"/>
        </w:rPr>
        <w:t>菜单中选择项目，获取</w:t>
      </w:r>
      <w:r>
        <w:rPr>
          <w:rFonts w:hint="eastAsia" w:ascii="仿宋" w:hAnsi="仿宋" w:eastAsia="仿宋" w:cs="仿宋"/>
          <w:b w:val="0"/>
          <w:bCs/>
          <w:color w:val="auto"/>
          <w:sz w:val="21"/>
          <w:szCs w:val="21"/>
          <w:highlight w:val="none"/>
          <w:lang w:eastAsia="zh-CN"/>
        </w:rPr>
        <w:t>交易文件</w:t>
      </w:r>
      <w:r>
        <w:rPr>
          <w:rFonts w:hint="eastAsia" w:ascii="仿宋" w:hAnsi="仿宋" w:eastAsia="仿宋" w:cs="仿宋"/>
          <w:b w:val="0"/>
          <w:bCs/>
          <w:color w:val="auto"/>
          <w:sz w:val="21"/>
          <w:szCs w:val="21"/>
          <w:highlight w:val="none"/>
        </w:rPr>
        <w:t>。4）</w:t>
      </w:r>
      <w:r>
        <w:rPr>
          <w:rFonts w:hint="eastAsia" w:ascii="仿宋" w:hAnsi="仿宋" w:eastAsia="仿宋" w:cs="仿宋"/>
          <w:b w:val="0"/>
          <w:bCs/>
          <w:color w:val="auto"/>
          <w:sz w:val="21"/>
          <w:szCs w:val="21"/>
          <w:highlight w:val="none"/>
          <w:lang w:eastAsia="zh-CN"/>
        </w:rPr>
        <w:t>响应文件</w:t>
      </w:r>
      <w:r>
        <w:rPr>
          <w:rFonts w:hint="eastAsia" w:ascii="仿宋" w:hAnsi="仿宋" w:eastAsia="仿宋" w:cs="仿宋"/>
          <w:b w:val="0"/>
          <w:bCs/>
          <w:color w:val="auto"/>
          <w:sz w:val="21"/>
          <w:szCs w:val="21"/>
          <w:highlight w:val="none"/>
        </w:rPr>
        <w:t>的制作：在“</w:t>
      </w:r>
      <w:r>
        <w:rPr>
          <w:rFonts w:hint="eastAsia" w:ascii="仿宋" w:hAnsi="仿宋" w:eastAsia="仿宋" w:cs="仿宋"/>
          <w:b w:val="0"/>
          <w:bCs/>
          <w:color w:val="auto"/>
          <w:sz w:val="21"/>
          <w:szCs w:val="21"/>
          <w:highlight w:val="none"/>
          <w:lang w:eastAsia="zh-CN"/>
        </w:rPr>
        <w:t>乐采云投标客户端</w:t>
      </w:r>
      <w:r>
        <w:rPr>
          <w:rFonts w:hint="eastAsia" w:ascii="仿宋" w:hAnsi="仿宋" w:eastAsia="仿宋" w:cs="仿宋"/>
          <w:b w:val="0"/>
          <w:bCs/>
          <w:color w:val="auto"/>
          <w:sz w:val="21"/>
          <w:szCs w:val="21"/>
          <w:highlight w:val="none"/>
        </w:rPr>
        <w:t>”中完成“填写基本信息”、“导入</w:t>
      </w:r>
      <w:r>
        <w:rPr>
          <w:rFonts w:hint="eastAsia" w:ascii="仿宋" w:hAnsi="仿宋" w:eastAsia="仿宋" w:cs="仿宋"/>
          <w:b w:val="0"/>
          <w:bCs/>
          <w:color w:val="auto"/>
          <w:sz w:val="21"/>
          <w:szCs w:val="21"/>
          <w:highlight w:val="none"/>
          <w:lang w:eastAsia="zh-CN"/>
        </w:rPr>
        <w:t>响应文件</w:t>
      </w:r>
      <w:r>
        <w:rPr>
          <w:rFonts w:hint="eastAsia" w:ascii="仿宋" w:hAnsi="仿宋" w:eastAsia="仿宋" w:cs="仿宋"/>
          <w:b w:val="0"/>
          <w:bCs/>
          <w:color w:val="auto"/>
          <w:sz w:val="21"/>
          <w:szCs w:val="21"/>
          <w:highlight w:val="none"/>
        </w:rPr>
        <w:t>”、“标书关联”、“标书检查”、“电子签章”、“生成电子标书”等操作。5）</w:t>
      </w:r>
      <w:r>
        <w:rPr>
          <w:rFonts w:hint="eastAsia" w:ascii="仿宋" w:hAnsi="仿宋" w:eastAsia="仿宋" w:cs="仿宋"/>
          <w:b w:val="0"/>
          <w:bCs/>
          <w:color w:val="auto"/>
          <w:sz w:val="21"/>
          <w:szCs w:val="21"/>
          <w:highlight w:val="none"/>
          <w:lang w:eastAsia="zh-CN"/>
        </w:rPr>
        <w:t>交易发起人</w:t>
      </w:r>
      <w:r>
        <w:rPr>
          <w:rFonts w:hint="eastAsia" w:ascii="仿宋" w:hAnsi="仿宋" w:eastAsia="仿宋" w:cs="仿宋"/>
          <w:b w:val="0"/>
          <w:bCs/>
          <w:color w:val="auto"/>
          <w:sz w:val="21"/>
          <w:szCs w:val="21"/>
          <w:highlight w:val="none"/>
        </w:rPr>
        <w:t>、采购机构将依托</w:t>
      </w:r>
      <w:r>
        <w:rPr>
          <w:rFonts w:hint="eastAsia" w:ascii="仿宋" w:hAnsi="仿宋" w:eastAsia="仿宋" w:cs="仿宋"/>
          <w:b w:val="0"/>
          <w:bCs/>
          <w:color w:val="auto"/>
          <w:sz w:val="21"/>
          <w:szCs w:val="21"/>
          <w:highlight w:val="none"/>
          <w:lang w:eastAsia="zh-CN"/>
        </w:rPr>
        <w:t>乐采云平台</w:t>
      </w:r>
      <w:r>
        <w:rPr>
          <w:rFonts w:hint="eastAsia" w:ascii="仿宋" w:hAnsi="仿宋" w:eastAsia="仿宋" w:cs="仿宋"/>
          <w:b w:val="0"/>
          <w:bCs/>
          <w:color w:val="auto"/>
          <w:sz w:val="21"/>
          <w:szCs w:val="21"/>
          <w:highlight w:val="none"/>
        </w:rPr>
        <w:t>完成本项目的电子交易活动，平台不接受未按上述方式获取</w:t>
      </w:r>
      <w:r>
        <w:rPr>
          <w:rFonts w:hint="eastAsia" w:ascii="仿宋" w:hAnsi="仿宋" w:eastAsia="仿宋" w:cs="仿宋"/>
          <w:b w:val="0"/>
          <w:bCs/>
          <w:color w:val="auto"/>
          <w:sz w:val="21"/>
          <w:szCs w:val="21"/>
          <w:highlight w:val="none"/>
          <w:lang w:eastAsia="zh-CN"/>
        </w:rPr>
        <w:t>交易文件</w:t>
      </w:r>
      <w:r>
        <w:rPr>
          <w:rFonts w:hint="eastAsia" w:ascii="仿宋" w:hAnsi="仿宋" w:eastAsia="仿宋" w:cs="仿宋"/>
          <w:b w:val="0"/>
          <w:bCs/>
          <w:color w:val="auto"/>
          <w:sz w:val="21"/>
          <w:szCs w:val="21"/>
          <w:highlight w:val="none"/>
        </w:rPr>
        <w:t>的供应商进行</w:t>
      </w:r>
      <w:r>
        <w:rPr>
          <w:rFonts w:hint="eastAsia" w:ascii="仿宋" w:hAnsi="仿宋" w:eastAsia="仿宋" w:cs="仿宋"/>
          <w:b w:val="0"/>
          <w:bCs/>
          <w:color w:val="auto"/>
          <w:sz w:val="21"/>
          <w:szCs w:val="21"/>
          <w:highlight w:val="none"/>
          <w:lang w:eastAsia="zh-CN"/>
        </w:rPr>
        <w:t>响应</w:t>
      </w:r>
      <w:r>
        <w:rPr>
          <w:rFonts w:hint="eastAsia" w:ascii="仿宋" w:hAnsi="仿宋" w:eastAsia="仿宋" w:cs="仿宋"/>
          <w:b w:val="0"/>
          <w:bCs/>
          <w:color w:val="auto"/>
          <w:sz w:val="21"/>
          <w:szCs w:val="21"/>
          <w:highlight w:val="none"/>
        </w:rPr>
        <w:t>活动； 6）对未按上述方式获取</w:t>
      </w:r>
      <w:r>
        <w:rPr>
          <w:rFonts w:hint="eastAsia" w:ascii="仿宋" w:hAnsi="仿宋" w:eastAsia="仿宋" w:cs="仿宋"/>
          <w:b w:val="0"/>
          <w:bCs/>
          <w:color w:val="auto"/>
          <w:sz w:val="21"/>
          <w:szCs w:val="21"/>
          <w:highlight w:val="none"/>
          <w:lang w:eastAsia="zh-CN"/>
        </w:rPr>
        <w:t>交易文件</w:t>
      </w:r>
      <w:r>
        <w:rPr>
          <w:rFonts w:hint="eastAsia" w:ascii="仿宋" w:hAnsi="仿宋" w:eastAsia="仿宋" w:cs="仿宋"/>
          <w:b w:val="0"/>
          <w:bCs/>
          <w:color w:val="auto"/>
          <w:sz w:val="21"/>
          <w:szCs w:val="21"/>
          <w:highlight w:val="none"/>
        </w:rPr>
        <w:t>的供应商对该文件提出的质疑，</w:t>
      </w:r>
      <w:r>
        <w:rPr>
          <w:rFonts w:hint="eastAsia" w:ascii="仿宋" w:hAnsi="仿宋" w:eastAsia="仿宋" w:cs="仿宋"/>
          <w:b w:val="0"/>
          <w:bCs/>
          <w:color w:val="auto"/>
          <w:sz w:val="21"/>
          <w:szCs w:val="21"/>
          <w:highlight w:val="none"/>
          <w:lang w:eastAsia="zh-CN"/>
        </w:rPr>
        <w:t>交易发起人</w:t>
      </w:r>
      <w:r>
        <w:rPr>
          <w:rFonts w:hint="eastAsia" w:ascii="仿宋" w:hAnsi="仿宋" w:eastAsia="仿宋" w:cs="仿宋"/>
          <w:b w:val="0"/>
          <w:bCs/>
          <w:color w:val="auto"/>
          <w:sz w:val="21"/>
          <w:szCs w:val="21"/>
          <w:highlight w:val="none"/>
        </w:rPr>
        <w:t>或</w:t>
      </w:r>
      <w:r>
        <w:rPr>
          <w:rFonts w:hint="eastAsia" w:ascii="仿宋" w:hAnsi="仿宋" w:eastAsia="仿宋" w:cs="仿宋"/>
          <w:b w:val="0"/>
          <w:bCs/>
          <w:color w:val="auto"/>
          <w:sz w:val="21"/>
          <w:szCs w:val="21"/>
          <w:highlight w:val="none"/>
          <w:lang w:eastAsia="zh-CN"/>
        </w:rPr>
        <w:t>代理机构</w:t>
      </w:r>
      <w:r>
        <w:rPr>
          <w:rFonts w:hint="eastAsia" w:ascii="仿宋" w:hAnsi="仿宋" w:eastAsia="仿宋" w:cs="仿宋"/>
          <w:b w:val="0"/>
          <w:bCs/>
          <w:color w:val="auto"/>
          <w:sz w:val="21"/>
          <w:szCs w:val="21"/>
          <w:highlight w:val="none"/>
        </w:rPr>
        <w:t>将不予处理；7）不提供</w:t>
      </w:r>
      <w:r>
        <w:rPr>
          <w:rFonts w:hint="eastAsia" w:ascii="仿宋" w:hAnsi="仿宋" w:eastAsia="仿宋" w:cs="仿宋"/>
          <w:b w:val="0"/>
          <w:bCs/>
          <w:color w:val="auto"/>
          <w:sz w:val="21"/>
          <w:szCs w:val="21"/>
          <w:highlight w:val="none"/>
          <w:lang w:eastAsia="zh-CN"/>
        </w:rPr>
        <w:t>交易文件</w:t>
      </w:r>
      <w:r>
        <w:rPr>
          <w:rFonts w:hint="eastAsia" w:ascii="仿宋" w:hAnsi="仿宋" w:eastAsia="仿宋" w:cs="仿宋"/>
          <w:b w:val="0"/>
          <w:bCs/>
          <w:color w:val="auto"/>
          <w:sz w:val="21"/>
          <w:szCs w:val="21"/>
          <w:highlight w:val="none"/>
        </w:rPr>
        <w:t>纸质版。8）</w:t>
      </w:r>
      <w:r>
        <w:rPr>
          <w:rFonts w:hint="eastAsia" w:ascii="仿宋" w:hAnsi="仿宋" w:eastAsia="仿宋" w:cs="仿宋"/>
          <w:b w:val="0"/>
          <w:bCs/>
          <w:color w:val="auto"/>
          <w:sz w:val="21"/>
          <w:szCs w:val="21"/>
          <w:highlight w:val="none"/>
          <w:lang w:eastAsia="zh-CN"/>
        </w:rPr>
        <w:t>响应文件</w:t>
      </w:r>
      <w:r>
        <w:rPr>
          <w:rFonts w:hint="eastAsia" w:ascii="仿宋" w:hAnsi="仿宋" w:eastAsia="仿宋" w:cs="仿宋"/>
          <w:b w:val="0"/>
          <w:bCs/>
          <w:color w:val="auto"/>
          <w:sz w:val="21"/>
          <w:szCs w:val="21"/>
          <w:highlight w:val="none"/>
        </w:rPr>
        <w:t>的传输递交：</w:t>
      </w:r>
      <w:r>
        <w:rPr>
          <w:rFonts w:hint="eastAsia" w:ascii="仿宋" w:hAnsi="仿宋" w:eastAsia="仿宋" w:cs="仿宋"/>
          <w:b w:val="0"/>
          <w:bCs/>
          <w:color w:val="auto"/>
          <w:sz w:val="21"/>
          <w:szCs w:val="21"/>
          <w:highlight w:val="none"/>
          <w:lang w:eastAsia="zh-CN"/>
        </w:rPr>
        <w:t>响应人</w:t>
      </w:r>
      <w:r>
        <w:rPr>
          <w:rFonts w:hint="eastAsia" w:ascii="仿宋" w:hAnsi="仿宋" w:eastAsia="仿宋" w:cs="仿宋"/>
          <w:b w:val="0"/>
          <w:bCs/>
          <w:color w:val="auto"/>
          <w:sz w:val="21"/>
          <w:szCs w:val="21"/>
          <w:highlight w:val="none"/>
        </w:rPr>
        <w:t>在</w:t>
      </w:r>
      <w:r>
        <w:rPr>
          <w:rFonts w:hint="eastAsia" w:ascii="仿宋" w:hAnsi="仿宋" w:eastAsia="仿宋" w:cs="仿宋"/>
          <w:b w:val="0"/>
          <w:bCs/>
          <w:color w:val="auto"/>
          <w:sz w:val="21"/>
          <w:szCs w:val="21"/>
          <w:highlight w:val="none"/>
          <w:lang w:eastAsia="zh-CN"/>
        </w:rPr>
        <w:t>响应</w:t>
      </w:r>
      <w:r>
        <w:rPr>
          <w:rFonts w:hint="eastAsia" w:ascii="仿宋" w:hAnsi="仿宋" w:eastAsia="仿宋" w:cs="仿宋"/>
          <w:b w:val="0"/>
          <w:bCs/>
          <w:color w:val="auto"/>
          <w:sz w:val="21"/>
          <w:szCs w:val="21"/>
          <w:highlight w:val="none"/>
        </w:rPr>
        <w:t>截止时间前将加密的</w:t>
      </w:r>
      <w:r>
        <w:rPr>
          <w:rFonts w:hint="eastAsia" w:ascii="仿宋" w:hAnsi="仿宋" w:eastAsia="仿宋" w:cs="仿宋"/>
          <w:b w:val="0"/>
          <w:bCs/>
          <w:color w:val="auto"/>
          <w:sz w:val="21"/>
          <w:szCs w:val="21"/>
          <w:highlight w:val="none"/>
          <w:lang w:eastAsia="zh-CN"/>
        </w:rPr>
        <w:t>响应文件</w:t>
      </w:r>
      <w:r>
        <w:rPr>
          <w:rFonts w:hint="eastAsia" w:ascii="仿宋" w:hAnsi="仿宋" w:eastAsia="仿宋" w:cs="仿宋"/>
          <w:b w:val="0"/>
          <w:bCs/>
          <w:color w:val="auto"/>
          <w:sz w:val="21"/>
          <w:szCs w:val="21"/>
          <w:highlight w:val="none"/>
        </w:rPr>
        <w:t>上传至乐采云平台。9）</w:t>
      </w:r>
      <w:r>
        <w:rPr>
          <w:rFonts w:hint="eastAsia" w:ascii="仿宋" w:hAnsi="仿宋" w:eastAsia="仿宋" w:cs="仿宋"/>
          <w:b w:val="0"/>
          <w:bCs/>
          <w:color w:val="auto"/>
          <w:sz w:val="21"/>
          <w:szCs w:val="21"/>
          <w:highlight w:val="none"/>
          <w:lang w:eastAsia="zh-CN"/>
        </w:rPr>
        <w:t>响应文件</w:t>
      </w:r>
      <w:r>
        <w:rPr>
          <w:rFonts w:hint="eastAsia" w:ascii="仿宋" w:hAnsi="仿宋" w:eastAsia="仿宋" w:cs="仿宋"/>
          <w:b w:val="0"/>
          <w:bCs/>
          <w:color w:val="auto"/>
          <w:sz w:val="21"/>
          <w:szCs w:val="21"/>
          <w:highlight w:val="none"/>
        </w:rPr>
        <w:t>的解密：</w:t>
      </w:r>
      <w:r>
        <w:rPr>
          <w:rFonts w:hint="eastAsia" w:ascii="仿宋" w:hAnsi="仿宋" w:eastAsia="仿宋" w:cs="仿宋"/>
          <w:b w:val="0"/>
          <w:bCs/>
          <w:color w:val="auto"/>
          <w:sz w:val="21"/>
          <w:szCs w:val="21"/>
          <w:highlight w:val="none"/>
          <w:lang w:eastAsia="zh-CN"/>
        </w:rPr>
        <w:t>响应人</w:t>
      </w:r>
      <w:r>
        <w:rPr>
          <w:rFonts w:hint="eastAsia" w:ascii="仿宋" w:hAnsi="仿宋" w:eastAsia="仿宋" w:cs="仿宋"/>
          <w:b w:val="0"/>
          <w:bCs/>
          <w:color w:val="auto"/>
          <w:sz w:val="21"/>
          <w:szCs w:val="21"/>
          <w:highlight w:val="none"/>
        </w:rPr>
        <w:t>按照平台提示和</w:t>
      </w:r>
      <w:r>
        <w:rPr>
          <w:rFonts w:hint="eastAsia" w:ascii="仿宋" w:hAnsi="仿宋" w:eastAsia="仿宋" w:cs="仿宋"/>
          <w:b w:val="0"/>
          <w:bCs/>
          <w:color w:val="auto"/>
          <w:sz w:val="21"/>
          <w:szCs w:val="21"/>
          <w:highlight w:val="none"/>
          <w:lang w:eastAsia="zh-CN"/>
        </w:rPr>
        <w:t>交易文件</w:t>
      </w:r>
      <w:r>
        <w:rPr>
          <w:rFonts w:hint="eastAsia" w:ascii="仿宋" w:hAnsi="仿宋" w:eastAsia="仿宋" w:cs="仿宋"/>
          <w:b w:val="0"/>
          <w:bCs/>
          <w:color w:val="auto"/>
          <w:sz w:val="21"/>
          <w:szCs w:val="21"/>
          <w:highlight w:val="none"/>
        </w:rPr>
        <w:t>的规定在半小时内完成在线解密。10）具体操作指南：详见</w:t>
      </w:r>
      <w:r>
        <w:rPr>
          <w:rFonts w:hint="eastAsia" w:ascii="仿宋" w:hAnsi="仿宋" w:eastAsia="仿宋" w:cs="仿宋"/>
          <w:b w:val="0"/>
          <w:bCs/>
          <w:color w:val="auto"/>
          <w:sz w:val="21"/>
          <w:szCs w:val="21"/>
          <w:highlight w:val="none"/>
          <w:lang w:eastAsia="zh-CN"/>
        </w:rPr>
        <w:t>乐采云平台</w:t>
      </w:r>
      <w:r>
        <w:rPr>
          <w:rFonts w:hint="eastAsia" w:ascii="仿宋" w:hAnsi="仿宋" w:eastAsia="仿宋" w:cs="仿宋"/>
          <w:b w:val="0"/>
          <w:bCs/>
          <w:color w:val="auto"/>
          <w:sz w:val="21"/>
          <w:szCs w:val="21"/>
          <w:highlight w:val="none"/>
        </w:rPr>
        <w:t>“服务中心-帮助文档-项目采购-操作流程-</w:t>
      </w:r>
      <w:r>
        <w:rPr>
          <w:rFonts w:hint="eastAsia" w:ascii="仿宋" w:hAnsi="仿宋" w:eastAsia="仿宋" w:cs="仿宋"/>
          <w:b w:val="0"/>
          <w:bCs/>
          <w:color w:val="auto"/>
          <w:sz w:val="21"/>
          <w:szCs w:val="21"/>
          <w:highlight w:val="none"/>
          <w:lang w:eastAsia="zh-CN"/>
        </w:rPr>
        <w:t>电子交易标</w:t>
      </w:r>
      <w:r>
        <w:rPr>
          <w:rFonts w:hint="eastAsia" w:ascii="仿宋" w:hAnsi="仿宋" w:eastAsia="仿宋" w:cs="仿宋"/>
          <w:b w:val="0"/>
          <w:bCs/>
          <w:color w:val="auto"/>
          <w:sz w:val="21"/>
          <w:szCs w:val="21"/>
          <w:highlight w:val="none"/>
        </w:rPr>
        <w:t>-政府采购项目电子交易管理操作指南-供应商”。</w:t>
      </w:r>
      <w:r>
        <w:rPr>
          <w:rFonts w:hint="eastAsia" w:ascii="仿宋" w:hAnsi="仿宋" w:eastAsia="仿宋" w:cs="仿宋"/>
          <w:b w:val="0"/>
          <w:bCs/>
          <w:color w:val="auto"/>
          <w:sz w:val="21"/>
          <w:szCs w:val="21"/>
          <w:highlight w:val="none"/>
          <w:lang w:eastAsia="zh-CN"/>
        </w:rPr>
        <w:t>乐采云投标客户端</w:t>
      </w:r>
      <w:r>
        <w:rPr>
          <w:rFonts w:hint="eastAsia" w:ascii="仿宋" w:hAnsi="仿宋" w:eastAsia="仿宋" w:cs="仿宋"/>
          <w:b w:val="0"/>
          <w:bCs/>
          <w:color w:val="auto"/>
          <w:sz w:val="21"/>
          <w:szCs w:val="21"/>
          <w:highlight w:val="none"/>
        </w:rPr>
        <w:t>（下载链接：https://b.zhengcaiyun.cn/luban/category?parentId=550045&amp;childrenCode=qicaiCategory17&amp;utm=luban.luban-PC-39026.959-pc-websitegroup-navBar-front.8.c8789bc0520b11efb86dbfa49a87be0d））</w:t>
      </w:r>
    </w:p>
    <w:p w14:paraId="6316A47C">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七、对本次采购提出询问、质疑、投诉，请按以下方式联系</w:t>
      </w:r>
    </w:p>
    <w:p w14:paraId="72E2930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信息</w:t>
      </w:r>
    </w:p>
    <w:p w14:paraId="0F492E0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名    称：杭州萧山新街新盛村股份经济联合社 </w:t>
      </w:r>
    </w:p>
    <w:p w14:paraId="7BD38DB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    址：新盛村村委会1618号       </w:t>
      </w:r>
    </w:p>
    <w:p w14:paraId="2ED2EA89">
      <w:pPr>
        <w:spacing w:line="360" w:lineRule="auto"/>
        <w:ind w:firstLine="420" w:firstLineChars="200"/>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项目联系人（询问）：韩佳成</w:t>
      </w:r>
    </w:p>
    <w:p w14:paraId="34A350C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项目联系方式（询问）：0571-82616938</w:t>
      </w:r>
    </w:p>
    <w:p w14:paraId="35204CF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 xml:space="preserve">信息            </w:t>
      </w:r>
    </w:p>
    <w:p w14:paraId="06546A0C">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名称：浙江华夏工程管理有限公司</w:t>
      </w:r>
    </w:p>
    <w:p w14:paraId="4156F5CA">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地址：杭州市萧山区北干街道金城路540号心意广场3幢1802室</w:t>
      </w:r>
    </w:p>
    <w:p w14:paraId="22696323">
      <w:pPr>
        <w:spacing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val="en-US" w:eastAsia="zh-CN"/>
        </w:rPr>
        <w:t>林洒</w:t>
      </w:r>
    </w:p>
    <w:p w14:paraId="13A0257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项目联系方式（询问）：</w:t>
      </w:r>
      <w:r>
        <w:rPr>
          <w:rFonts w:hint="eastAsia" w:ascii="仿宋" w:hAnsi="仿宋" w:eastAsia="仿宋" w:cs="仿宋"/>
          <w:color w:val="auto"/>
          <w:sz w:val="21"/>
          <w:szCs w:val="21"/>
          <w:highlight w:val="none"/>
          <w:lang w:val="en-US" w:eastAsia="zh-CN"/>
        </w:rPr>
        <w:t>18268834344</w:t>
      </w:r>
      <w:r>
        <w:rPr>
          <w:rFonts w:hint="eastAsia" w:ascii="仿宋" w:hAnsi="仿宋" w:eastAsia="仿宋" w:cs="仿宋"/>
          <w:color w:val="auto"/>
          <w:sz w:val="21"/>
          <w:szCs w:val="21"/>
          <w:highlight w:val="none"/>
        </w:rPr>
        <w:t xml:space="preserve">   </w:t>
      </w:r>
    </w:p>
    <w:p w14:paraId="6137FCF8">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质疑联系人：</w:t>
      </w:r>
      <w:r>
        <w:rPr>
          <w:rFonts w:hint="eastAsia" w:ascii="仿宋" w:hAnsi="仿宋" w:eastAsia="仿宋" w:cs="仿宋"/>
          <w:color w:val="auto"/>
          <w:sz w:val="21"/>
          <w:szCs w:val="21"/>
          <w:highlight w:val="none"/>
          <w:lang w:val="en-US" w:eastAsia="zh-CN"/>
        </w:rPr>
        <w:t>傅翔</w:t>
      </w:r>
    </w:p>
    <w:p w14:paraId="54C4E154">
      <w:pPr>
        <w:spacing w:line="360" w:lineRule="auto"/>
        <w:ind w:firstLine="420" w:firstLineChars="200"/>
        <w:rPr>
          <w:rFonts w:hint="default" w:ascii="仿宋" w:hAnsi="仿宋" w:eastAsia="仿宋" w:cs="仿宋"/>
          <w:bCs/>
          <w:snapToGrid w:val="0"/>
          <w:color w:val="auto"/>
          <w:kern w:val="28"/>
          <w:sz w:val="21"/>
          <w:szCs w:val="21"/>
          <w:highlight w:val="none"/>
          <w:lang w:val="en-US" w:eastAsia="zh-CN"/>
        </w:rPr>
      </w:pPr>
      <w:r>
        <w:rPr>
          <w:rFonts w:hint="eastAsia" w:ascii="仿宋" w:hAnsi="仿宋" w:eastAsia="仿宋" w:cs="仿宋"/>
          <w:color w:val="auto"/>
          <w:sz w:val="21"/>
          <w:szCs w:val="21"/>
          <w:highlight w:val="none"/>
        </w:rPr>
        <w:t>质疑联系方式：</w:t>
      </w:r>
      <w:r>
        <w:rPr>
          <w:rFonts w:hint="eastAsia" w:ascii="仿宋" w:hAnsi="仿宋" w:eastAsia="仿宋" w:cs="仿宋"/>
          <w:color w:val="auto"/>
          <w:sz w:val="21"/>
          <w:szCs w:val="21"/>
          <w:highlight w:val="none"/>
          <w:lang w:val="en-US" w:eastAsia="zh-CN"/>
        </w:rPr>
        <w:t>0571-57572683</w:t>
      </w:r>
    </w:p>
    <w:p w14:paraId="6707B148">
      <w:pPr>
        <w:spacing w:line="360" w:lineRule="auto"/>
        <w:ind w:firstLine="420" w:firstLineChars="200"/>
        <w:rPr>
          <w:rFonts w:hint="eastAsia" w:ascii="仿宋" w:hAnsi="仿宋" w:eastAsia="仿宋" w:cs="仿宋"/>
          <w:color w:val="auto"/>
          <w:sz w:val="21"/>
          <w:szCs w:val="21"/>
          <w:highlight w:val="none"/>
        </w:rPr>
      </w:pPr>
    </w:p>
    <w:p w14:paraId="193EF8B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w:t>
      </w:r>
      <w:r>
        <w:rPr>
          <w:rFonts w:hint="eastAsia" w:ascii="仿宋" w:hAnsi="仿宋" w:eastAsia="仿宋" w:cs="仿宋"/>
          <w:color w:val="auto"/>
          <w:sz w:val="21"/>
          <w:szCs w:val="21"/>
          <w:highlight w:val="none"/>
          <w:lang w:eastAsia="zh-CN"/>
        </w:rPr>
        <w:t>乐采云平台（https://www.zcygov.cn/）</w:t>
      </w:r>
      <w:r>
        <w:rPr>
          <w:rFonts w:hint="eastAsia" w:ascii="仿宋" w:hAnsi="仿宋" w:eastAsia="仿宋" w:cs="仿宋"/>
          <w:color w:val="auto"/>
          <w:sz w:val="21"/>
          <w:szCs w:val="21"/>
          <w:highlight w:val="none"/>
        </w:rPr>
        <w:t>，点击右侧咨询小采，获取采小蜜智能服务管家帮助，或拨打</w:t>
      </w:r>
      <w:r>
        <w:rPr>
          <w:rFonts w:hint="eastAsia" w:ascii="仿宋" w:hAnsi="仿宋" w:eastAsia="仿宋" w:cs="仿宋"/>
          <w:color w:val="auto"/>
          <w:sz w:val="21"/>
          <w:szCs w:val="21"/>
          <w:highlight w:val="none"/>
          <w:lang w:eastAsia="zh-CN"/>
        </w:rPr>
        <w:t>乐</w:t>
      </w:r>
      <w:r>
        <w:rPr>
          <w:rFonts w:hint="eastAsia" w:ascii="仿宋" w:hAnsi="仿宋" w:eastAsia="仿宋" w:cs="仿宋"/>
          <w:color w:val="auto"/>
          <w:sz w:val="21"/>
          <w:szCs w:val="21"/>
          <w:highlight w:val="none"/>
        </w:rPr>
        <w:t>采云服务热线95763获取热线服务帮助。</w:t>
      </w:r>
    </w:p>
    <w:p w14:paraId="5E550F51">
      <w:pPr>
        <w:spacing w:line="360" w:lineRule="auto"/>
        <w:ind w:firstLine="420" w:firstLineChars="200"/>
        <w:jc w:val="center"/>
        <w:rPr>
          <w:rFonts w:hint="eastAsia" w:ascii="仿宋" w:hAnsi="仿宋" w:eastAsia="仿宋" w:cs="仿宋"/>
          <w:color w:val="auto"/>
          <w:sz w:val="36"/>
          <w:szCs w:val="20"/>
          <w:highlight w:val="none"/>
        </w:rPr>
      </w:pPr>
      <w:r>
        <w:rPr>
          <w:rFonts w:hint="eastAsia" w:ascii="仿宋" w:hAnsi="仿宋" w:eastAsia="仿宋" w:cs="仿宋"/>
          <w:color w:val="auto"/>
          <w:sz w:val="21"/>
          <w:szCs w:val="21"/>
          <w:highlight w:val="none"/>
        </w:rPr>
        <w:t>CA问题联系电话（人工）：汇信CA 400-888-4636；天谷CA 400-087-8198。</w:t>
      </w:r>
      <w:r>
        <w:rPr>
          <w:rFonts w:hint="eastAsia" w:ascii="仿宋" w:hAnsi="仿宋" w:eastAsia="仿宋" w:cs="仿宋"/>
          <w:color w:val="auto"/>
          <w:highlight w:val="none"/>
        </w:rPr>
        <w:br w:type="page"/>
      </w:r>
      <w:bookmarkStart w:id="15" w:name="_Toc19372"/>
      <w:bookmarkStart w:id="16" w:name="_Toc30990"/>
      <w:bookmarkStart w:id="17" w:name="_Toc4218"/>
      <w:bookmarkStart w:id="18" w:name="_Toc6666"/>
      <w:r>
        <w:rPr>
          <w:rFonts w:hint="eastAsia" w:ascii="仿宋" w:hAnsi="仿宋" w:eastAsia="仿宋" w:cs="仿宋"/>
          <w:b/>
          <w:color w:val="auto"/>
          <w:sz w:val="32"/>
          <w:szCs w:val="32"/>
          <w:highlight w:val="none"/>
        </w:rPr>
        <w:t>第二部分</w:t>
      </w:r>
      <w:bookmarkEnd w:id="10"/>
      <w:r>
        <w:rPr>
          <w:rFonts w:hint="eastAsia" w:ascii="仿宋" w:hAnsi="仿宋" w:eastAsia="仿宋" w:cs="仿宋"/>
          <w:b/>
          <w:color w:val="auto"/>
          <w:sz w:val="32"/>
          <w:szCs w:val="32"/>
          <w:highlight w:val="none"/>
        </w:rPr>
        <w:t xml:space="preserve"> 供应商须知</w:t>
      </w:r>
      <w:bookmarkEnd w:id="11"/>
      <w:bookmarkEnd w:id="15"/>
      <w:bookmarkEnd w:id="16"/>
      <w:bookmarkEnd w:id="17"/>
      <w:bookmarkEnd w:id="18"/>
    </w:p>
    <w:p w14:paraId="06B3840F">
      <w:pPr>
        <w:adjustRightInd/>
        <w:spacing w:line="360" w:lineRule="auto"/>
        <w:jc w:val="center"/>
        <w:outlineLvl w:val="0"/>
        <w:rPr>
          <w:rFonts w:hint="eastAsia" w:ascii="仿宋" w:hAnsi="仿宋" w:eastAsia="仿宋" w:cs="仿宋"/>
          <w:b/>
          <w:color w:val="auto"/>
          <w:sz w:val="28"/>
          <w:szCs w:val="28"/>
          <w:highlight w:val="none"/>
        </w:rPr>
      </w:pPr>
      <w:bookmarkStart w:id="19" w:name="_Toc10610"/>
      <w:bookmarkStart w:id="20" w:name="_Toc5471"/>
      <w:bookmarkStart w:id="21" w:name="_Toc1288"/>
      <w:bookmarkStart w:id="22" w:name="_Toc19912"/>
      <w:r>
        <w:rPr>
          <w:rFonts w:hint="eastAsia" w:ascii="仿宋" w:hAnsi="仿宋" w:eastAsia="仿宋" w:cs="仿宋"/>
          <w:b/>
          <w:color w:val="auto"/>
          <w:sz w:val="28"/>
          <w:szCs w:val="28"/>
          <w:highlight w:val="none"/>
        </w:rPr>
        <w:t>前附表</w:t>
      </w:r>
      <w:bookmarkEnd w:id="19"/>
      <w:bookmarkEnd w:id="20"/>
      <w:bookmarkEnd w:id="21"/>
      <w:bookmarkEnd w:id="22"/>
    </w:p>
    <w:tbl>
      <w:tblPr>
        <w:tblStyle w:val="63"/>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521"/>
        <w:gridCol w:w="6837"/>
      </w:tblGrid>
      <w:tr w14:paraId="3D11A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noWrap w:val="0"/>
            <w:vAlign w:val="center"/>
          </w:tcPr>
          <w:p w14:paraId="54E921BE">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521" w:type="dxa"/>
            <w:tcBorders>
              <w:tl2br w:val="nil"/>
              <w:tr2bl w:val="nil"/>
            </w:tcBorders>
            <w:noWrap w:val="0"/>
            <w:vAlign w:val="center"/>
          </w:tcPr>
          <w:p w14:paraId="6902D243">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6837" w:type="dxa"/>
            <w:tcBorders>
              <w:tl2br w:val="nil"/>
              <w:tr2bl w:val="nil"/>
            </w:tcBorders>
            <w:noWrap w:val="0"/>
            <w:vAlign w:val="center"/>
          </w:tcPr>
          <w:p w14:paraId="38B8BE69">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14:paraId="347A2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3" w:hRule="atLeast"/>
        </w:trPr>
        <w:tc>
          <w:tcPr>
            <w:tcW w:w="629" w:type="dxa"/>
            <w:tcBorders>
              <w:tl2br w:val="nil"/>
              <w:tr2bl w:val="nil"/>
            </w:tcBorders>
            <w:noWrap w:val="0"/>
            <w:vAlign w:val="center"/>
          </w:tcPr>
          <w:p w14:paraId="1E1197F9">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p>
        </w:tc>
        <w:tc>
          <w:tcPr>
            <w:tcW w:w="1521" w:type="dxa"/>
            <w:tcBorders>
              <w:tl2br w:val="nil"/>
              <w:tr2bl w:val="nil"/>
            </w:tcBorders>
            <w:noWrap w:val="0"/>
            <w:vAlign w:val="center"/>
          </w:tcPr>
          <w:p w14:paraId="5E1EAC4E">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w:t>
            </w:r>
          </w:p>
        </w:tc>
        <w:tc>
          <w:tcPr>
            <w:tcW w:w="6837" w:type="dxa"/>
            <w:tcBorders>
              <w:tl2br w:val="nil"/>
              <w:tr2bl w:val="nil"/>
            </w:tcBorders>
            <w:noWrap w:val="0"/>
            <w:vAlign w:val="center"/>
          </w:tcPr>
          <w:p w14:paraId="437EAF3B">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服务类</w:t>
            </w:r>
          </w:p>
        </w:tc>
      </w:tr>
      <w:tr w14:paraId="1A73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5" w:hRule="atLeast"/>
        </w:trPr>
        <w:tc>
          <w:tcPr>
            <w:tcW w:w="629" w:type="dxa"/>
            <w:tcBorders>
              <w:tl2br w:val="nil"/>
              <w:tr2bl w:val="nil"/>
            </w:tcBorders>
            <w:noWrap w:val="0"/>
            <w:vAlign w:val="center"/>
          </w:tcPr>
          <w:p w14:paraId="44D657F0">
            <w:pPr>
              <w:snapToGrid w:val="0"/>
              <w:spacing w:line="400" w:lineRule="exact"/>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2</w:t>
            </w:r>
          </w:p>
        </w:tc>
        <w:tc>
          <w:tcPr>
            <w:tcW w:w="1521" w:type="dxa"/>
            <w:tcBorders>
              <w:tl2br w:val="nil"/>
              <w:tr2bl w:val="nil"/>
            </w:tcBorders>
            <w:noWrap w:val="0"/>
            <w:vAlign w:val="center"/>
          </w:tcPr>
          <w:p w14:paraId="7571F960">
            <w:pPr>
              <w:snapToGrid w:val="0"/>
              <w:spacing w:line="400" w:lineRule="exact"/>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交易方式</w:t>
            </w:r>
          </w:p>
        </w:tc>
        <w:tc>
          <w:tcPr>
            <w:tcW w:w="6837" w:type="dxa"/>
            <w:tcBorders>
              <w:tl2br w:val="nil"/>
              <w:tr2bl w:val="nil"/>
            </w:tcBorders>
            <w:noWrap w:val="0"/>
            <w:vAlign w:val="center"/>
          </w:tcPr>
          <w:p w14:paraId="65858A2B">
            <w:pPr>
              <w:spacing w:line="400" w:lineRule="exac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lang w:val="en-US" w:eastAsia="zh-CN"/>
              </w:rPr>
              <w:t>公开交易</w:t>
            </w:r>
          </w:p>
        </w:tc>
      </w:tr>
      <w:tr w14:paraId="2241F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trPr>
        <w:tc>
          <w:tcPr>
            <w:tcW w:w="629" w:type="dxa"/>
            <w:tcBorders>
              <w:tl2br w:val="nil"/>
              <w:tr2bl w:val="nil"/>
            </w:tcBorders>
            <w:noWrap w:val="0"/>
            <w:vAlign w:val="center"/>
          </w:tcPr>
          <w:p w14:paraId="1FA3AF3A">
            <w:pPr>
              <w:snapToGrid w:val="0"/>
              <w:spacing w:line="400" w:lineRule="exact"/>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3</w:t>
            </w:r>
          </w:p>
        </w:tc>
        <w:tc>
          <w:tcPr>
            <w:tcW w:w="1521" w:type="dxa"/>
            <w:tcBorders>
              <w:tl2br w:val="nil"/>
              <w:tr2bl w:val="nil"/>
            </w:tcBorders>
            <w:noWrap w:val="0"/>
            <w:vAlign w:val="center"/>
          </w:tcPr>
          <w:p w14:paraId="637EFF4E">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6837" w:type="dxa"/>
            <w:tcBorders>
              <w:tl2br w:val="nil"/>
              <w:tr2bl w:val="nil"/>
            </w:tcBorders>
            <w:noWrap w:val="0"/>
            <w:vAlign w:val="center"/>
          </w:tcPr>
          <w:p w14:paraId="3E410929">
            <w:pPr>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本项目不允许采购进口产品。</w:t>
            </w:r>
          </w:p>
          <w:p w14:paraId="7D08AFD4">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可以就</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kern w:val="0"/>
                <w:sz w:val="21"/>
                <w:szCs w:val="21"/>
                <w:highlight w:val="none"/>
              </w:rPr>
              <w:t>采购进口产品。</w:t>
            </w:r>
          </w:p>
        </w:tc>
      </w:tr>
      <w:tr w14:paraId="63DAC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2" w:hRule="atLeast"/>
        </w:trPr>
        <w:tc>
          <w:tcPr>
            <w:tcW w:w="629" w:type="dxa"/>
            <w:tcBorders>
              <w:tl2br w:val="nil"/>
              <w:tr2bl w:val="nil"/>
            </w:tcBorders>
            <w:noWrap w:val="0"/>
            <w:vAlign w:val="center"/>
          </w:tcPr>
          <w:p w14:paraId="17CCF6A4">
            <w:pPr>
              <w:snapToGrid w:val="0"/>
              <w:spacing w:line="400" w:lineRule="exact"/>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4</w:t>
            </w:r>
          </w:p>
        </w:tc>
        <w:tc>
          <w:tcPr>
            <w:tcW w:w="1521" w:type="dxa"/>
            <w:tcBorders>
              <w:tl2br w:val="nil"/>
              <w:tr2bl w:val="nil"/>
            </w:tcBorders>
            <w:noWrap w:val="0"/>
            <w:vAlign w:val="center"/>
          </w:tcPr>
          <w:p w14:paraId="080C7512">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6837" w:type="dxa"/>
            <w:tcBorders>
              <w:tl2br w:val="nil"/>
              <w:tr2bl w:val="nil"/>
            </w:tcBorders>
            <w:noWrap w:val="0"/>
            <w:vAlign w:val="center"/>
          </w:tcPr>
          <w:p w14:paraId="677B6C77">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工作分包。</w:t>
            </w:r>
          </w:p>
          <w:p w14:paraId="04A981B4">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B</w:t>
            </w:r>
            <w:r>
              <w:rPr>
                <w:rFonts w:hint="eastAsia" w:ascii="仿宋" w:hAnsi="仿宋" w:eastAsia="仿宋" w:cs="仿宋"/>
                <w:color w:val="auto"/>
                <w:sz w:val="21"/>
                <w:szCs w:val="21"/>
                <w:highlight w:val="none"/>
              </w:rPr>
              <w:t>不同意分包。</w:t>
            </w:r>
          </w:p>
        </w:tc>
      </w:tr>
      <w:tr w14:paraId="066D2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30" w:hRule="atLeast"/>
        </w:trPr>
        <w:tc>
          <w:tcPr>
            <w:tcW w:w="629" w:type="dxa"/>
            <w:tcBorders>
              <w:tl2br w:val="nil"/>
              <w:tr2bl w:val="nil"/>
            </w:tcBorders>
            <w:noWrap w:val="0"/>
            <w:vAlign w:val="center"/>
          </w:tcPr>
          <w:p w14:paraId="7953D8E3">
            <w:pPr>
              <w:snapToGrid w:val="0"/>
              <w:spacing w:line="400" w:lineRule="exact"/>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5</w:t>
            </w:r>
          </w:p>
        </w:tc>
        <w:tc>
          <w:tcPr>
            <w:tcW w:w="1521" w:type="dxa"/>
            <w:tcBorders>
              <w:tl2br w:val="nil"/>
              <w:tr2bl w:val="nil"/>
            </w:tcBorders>
            <w:noWrap w:val="0"/>
            <w:vAlign w:val="center"/>
          </w:tcPr>
          <w:p w14:paraId="5EFBD8F4">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交易</w:t>
            </w:r>
            <w:r>
              <w:rPr>
                <w:rFonts w:hint="eastAsia" w:ascii="仿宋" w:hAnsi="仿宋" w:eastAsia="仿宋" w:cs="仿宋"/>
                <w:b/>
                <w:color w:val="auto"/>
                <w:sz w:val="21"/>
                <w:szCs w:val="21"/>
                <w:highlight w:val="none"/>
              </w:rPr>
              <w:t>前答疑会或现场考察</w:t>
            </w:r>
          </w:p>
        </w:tc>
        <w:tc>
          <w:tcPr>
            <w:tcW w:w="6837" w:type="dxa"/>
            <w:tcBorders>
              <w:tl2br w:val="nil"/>
              <w:tr2bl w:val="nil"/>
            </w:tcBorders>
            <w:noWrap w:val="0"/>
            <w:vAlign w:val="center"/>
          </w:tcPr>
          <w:p w14:paraId="200A2D96">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051F9F4B">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tc>
      </w:tr>
      <w:tr w14:paraId="783AF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noWrap w:val="0"/>
            <w:vAlign w:val="center"/>
          </w:tcPr>
          <w:p w14:paraId="5DE80375">
            <w:pPr>
              <w:snapToGrid w:val="0"/>
              <w:spacing w:line="400" w:lineRule="exact"/>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6</w:t>
            </w:r>
          </w:p>
        </w:tc>
        <w:tc>
          <w:tcPr>
            <w:tcW w:w="1521" w:type="dxa"/>
            <w:tcBorders>
              <w:tl2br w:val="nil"/>
              <w:tr2bl w:val="nil"/>
            </w:tcBorders>
            <w:noWrap w:val="0"/>
            <w:vAlign w:val="center"/>
          </w:tcPr>
          <w:p w14:paraId="745A0923">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6837" w:type="dxa"/>
            <w:tcBorders>
              <w:tl2br w:val="nil"/>
              <w:tr2bl w:val="nil"/>
            </w:tcBorders>
            <w:noWrap w:val="0"/>
            <w:vAlign w:val="center"/>
          </w:tcPr>
          <w:p w14:paraId="2E9F44D4">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A不</w:t>
            </w:r>
            <w:r>
              <w:rPr>
                <w:rFonts w:hint="eastAsia" w:ascii="仿宋" w:hAnsi="仿宋" w:eastAsia="仿宋" w:cs="仿宋"/>
                <w:color w:val="auto"/>
                <w:sz w:val="21"/>
                <w:szCs w:val="21"/>
                <w:highlight w:val="none"/>
              </w:rPr>
              <w:t>要求提供。</w:t>
            </w:r>
          </w:p>
          <w:p w14:paraId="191613A8">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B</w:t>
            </w:r>
            <w:r>
              <w:rPr>
                <w:rFonts w:hint="eastAsia" w:ascii="仿宋" w:hAnsi="仿宋" w:eastAsia="仿宋" w:cs="仿宋"/>
                <w:color w:val="auto"/>
                <w:sz w:val="21"/>
                <w:szCs w:val="21"/>
                <w:highlight w:val="none"/>
              </w:rPr>
              <w:t>要求提供。</w:t>
            </w:r>
          </w:p>
          <w:p w14:paraId="175DC008">
            <w:pPr>
              <w:spacing w:line="400" w:lineRule="exac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样品：</w:t>
            </w:r>
            <w:r>
              <w:rPr>
                <w:rFonts w:hint="eastAsia" w:ascii="仿宋" w:hAnsi="仿宋" w:eastAsia="仿宋" w:cs="仿宋"/>
                <w:color w:val="auto"/>
                <w:kern w:val="0"/>
                <w:sz w:val="21"/>
                <w:szCs w:val="21"/>
                <w:highlight w:val="none"/>
                <w:lang w:eastAsia="zh-CN"/>
              </w:rPr>
              <w:t>详见交易需求；</w:t>
            </w:r>
          </w:p>
          <w:p w14:paraId="341E40E9">
            <w:pPr>
              <w:spacing w:line="400" w:lineRule="exac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（2）样品制作的标准和要求：详见交易需求；</w:t>
            </w:r>
          </w:p>
          <w:p w14:paraId="518CC3DB">
            <w:pPr>
              <w:spacing w:line="400" w:lineRule="exac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（3）样品的评审方法以及评审标准：详见评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kern w:val="0"/>
                <w:sz w:val="21"/>
                <w:szCs w:val="21"/>
                <w:highlight w:val="none"/>
                <w:lang w:eastAsia="zh-CN"/>
              </w:rPr>
              <w:t>办法；</w:t>
            </w:r>
          </w:p>
          <w:p w14:paraId="2F56D4C7">
            <w:pPr>
              <w:spacing w:line="400" w:lineRule="exac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（4）是否需要随样品提交检测报告：（</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eastAsia="zh-CN"/>
              </w:rPr>
              <w:t xml:space="preserve"> ） A否；（</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eastAsia="zh-CN"/>
              </w:rPr>
              <w:t xml:space="preserve"> ）B是，检测机构的要求：</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eastAsia="zh-CN"/>
              </w:rPr>
              <w:t xml:space="preserve"> ；检测内容：</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eastAsia="zh-CN"/>
              </w:rPr>
              <w:t xml:space="preserve"> 。</w:t>
            </w:r>
          </w:p>
          <w:p w14:paraId="6E58D0A9">
            <w:pPr>
              <w:spacing w:line="400" w:lineRule="exac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（5）提供样品的时间：</w:t>
            </w:r>
            <w:r>
              <w:rPr>
                <w:rFonts w:hint="eastAsia" w:ascii="仿宋" w:hAnsi="仿宋" w:eastAsia="仿宋" w:cs="仿宋"/>
                <w:color w:val="auto"/>
                <w:kern w:val="0"/>
                <w:sz w:val="21"/>
                <w:szCs w:val="21"/>
                <w:highlight w:val="none"/>
                <w:lang w:val="en-US" w:eastAsia="zh-CN"/>
              </w:rPr>
              <w:t>202 年  月  日09点30分前</w:t>
            </w:r>
            <w:r>
              <w:rPr>
                <w:rFonts w:hint="eastAsia" w:ascii="仿宋" w:hAnsi="仿宋" w:eastAsia="仿宋" w:cs="仿宋"/>
                <w:color w:val="auto"/>
                <w:kern w:val="0"/>
                <w:sz w:val="21"/>
                <w:szCs w:val="21"/>
                <w:highlight w:val="none"/>
                <w:lang w:eastAsia="zh-CN"/>
              </w:rPr>
              <w:t>；地点：</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eastAsia="zh-CN"/>
              </w:rPr>
              <w:t>；</w:t>
            </w:r>
          </w:p>
          <w:p w14:paraId="32C9C4A4">
            <w:pPr>
              <w:spacing w:line="400" w:lineRule="exac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联系人：</w:t>
            </w:r>
            <w:r>
              <w:rPr>
                <w:rFonts w:hint="eastAsia" w:ascii="仿宋" w:hAnsi="仿宋" w:eastAsia="仿宋" w:cs="仿宋"/>
                <w:color w:val="auto"/>
                <w:kern w:val="0"/>
                <w:sz w:val="21"/>
                <w:szCs w:val="21"/>
                <w:highlight w:val="none"/>
                <w:lang w:val="en-US" w:eastAsia="zh-CN"/>
              </w:rPr>
              <w:t xml:space="preserve">  ;联系电话：   </w:t>
            </w:r>
            <w:r>
              <w:rPr>
                <w:rFonts w:hint="eastAsia" w:ascii="仿宋" w:hAnsi="仿宋" w:eastAsia="仿宋" w:cs="仿宋"/>
                <w:color w:val="auto"/>
                <w:kern w:val="0"/>
                <w:sz w:val="21"/>
                <w:szCs w:val="21"/>
                <w:highlight w:val="none"/>
                <w:lang w:eastAsia="zh-CN"/>
              </w:rPr>
              <w:t>。样品递交人须提供</w:t>
            </w: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lang w:eastAsia="zh-CN"/>
              </w:rPr>
              <w:t>人的授权书（见附件格式，法人代表请携带身份证复件及营业执照复印件）、身份证。</w:t>
            </w:r>
          </w:p>
          <w:p w14:paraId="66C5F889">
            <w:pPr>
              <w:spacing w:line="400" w:lineRule="exac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请</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kern w:val="0"/>
                <w:sz w:val="21"/>
                <w:szCs w:val="21"/>
                <w:highlight w:val="none"/>
                <w:lang w:eastAsia="zh-CN"/>
              </w:rPr>
              <w:t>在上述时间内提供样品。超过截止时间的，交易发起人或代理机构将不予接收，并将清场并封闭样品现场。</w:t>
            </w:r>
          </w:p>
          <w:p w14:paraId="6B4985E9">
            <w:pPr>
              <w:spacing w:line="400" w:lineRule="exac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(6)采购活动结束后，对于未</w:t>
            </w:r>
            <w:r>
              <w:rPr>
                <w:rFonts w:hint="eastAsia" w:ascii="仿宋" w:hAnsi="仿宋" w:eastAsia="仿宋" w:cs="仿宋"/>
                <w:color w:val="auto"/>
                <w:kern w:val="0"/>
                <w:sz w:val="21"/>
                <w:szCs w:val="21"/>
                <w:highlight w:val="none"/>
                <w:lang w:val="en-US" w:eastAsia="zh-CN"/>
              </w:rPr>
              <w:t>成交</w:t>
            </w:r>
            <w:r>
              <w:rPr>
                <w:rFonts w:hint="eastAsia" w:ascii="仿宋" w:hAnsi="仿宋" w:eastAsia="仿宋" w:cs="仿宋"/>
                <w:color w:val="auto"/>
                <w:kern w:val="0"/>
                <w:sz w:val="21"/>
                <w:szCs w:val="21"/>
                <w:highlight w:val="none"/>
                <w:lang w:eastAsia="zh-CN"/>
              </w:rPr>
              <w:t>人提供的样品，交易发起人、采购机构将通知未</w:t>
            </w:r>
            <w:r>
              <w:rPr>
                <w:rFonts w:hint="eastAsia" w:ascii="仿宋" w:hAnsi="仿宋" w:eastAsia="仿宋" w:cs="仿宋"/>
                <w:color w:val="auto"/>
                <w:kern w:val="0"/>
                <w:sz w:val="21"/>
                <w:szCs w:val="21"/>
                <w:highlight w:val="none"/>
                <w:lang w:val="en-US" w:eastAsia="zh-CN"/>
              </w:rPr>
              <w:t>成交</w:t>
            </w:r>
            <w:r>
              <w:rPr>
                <w:rFonts w:hint="eastAsia" w:ascii="仿宋" w:hAnsi="仿宋" w:eastAsia="仿宋" w:cs="仿宋"/>
                <w:color w:val="auto"/>
                <w:kern w:val="0"/>
                <w:sz w:val="21"/>
                <w:szCs w:val="21"/>
                <w:highlight w:val="none"/>
                <w:lang w:eastAsia="zh-CN"/>
              </w:rPr>
              <w:t>人在规定的时间内取回，逾期未取回的，交易发起人、采购机构不负保管义务；对于成交人提供的样品，交易发起人将进行保管、封存，并作为履约验收的参考。</w:t>
            </w:r>
          </w:p>
          <w:p w14:paraId="1DAD8806">
            <w:pPr>
              <w:spacing w:line="400" w:lineRule="exact"/>
              <w:rPr>
                <w:rFonts w:hint="eastAsia" w:ascii="仿宋" w:hAnsi="仿宋" w:eastAsia="仿宋" w:cs="仿宋"/>
                <w:b/>
                <w:color w:val="auto"/>
                <w:sz w:val="21"/>
                <w:szCs w:val="21"/>
                <w:highlight w:val="none"/>
                <w:lang w:eastAsia="zh-CN"/>
              </w:rPr>
            </w:pPr>
            <w:r>
              <w:rPr>
                <w:rFonts w:hint="eastAsia" w:ascii="仿宋" w:hAnsi="仿宋" w:eastAsia="仿宋" w:cs="仿宋"/>
                <w:color w:val="auto"/>
                <w:kern w:val="0"/>
                <w:sz w:val="21"/>
                <w:szCs w:val="21"/>
                <w:highlight w:val="none"/>
                <w:lang w:eastAsia="zh-CN"/>
              </w:rPr>
              <w:t>（7）制作、运输、安装和保管样品所发生的一切费用由响应人自理。</w:t>
            </w:r>
          </w:p>
        </w:tc>
      </w:tr>
      <w:tr w14:paraId="64E16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3" w:hRule="atLeast"/>
        </w:trPr>
        <w:tc>
          <w:tcPr>
            <w:tcW w:w="629" w:type="dxa"/>
            <w:tcBorders>
              <w:tl2br w:val="nil"/>
              <w:tr2bl w:val="nil"/>
            </w:tcBorders>
            <w:noWrap w:val="0"/>
            <w:vAlign w:val="center"/>
          </w:tcPr>
          <w:p w14:paraId="57585E25">
            <w:pPr>
              <w:snapToGrid w:val="0"/>
              <w:spacing w:line="400" w:lineRule="exact"/>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7</w:t>
            </w:r>
          </w:p>
        </w:tc>
        <w:tc>
          <w:tcPr>
            <w:tcW w:w="1521" w:type="dxa"/>
            <w:tcBorders>
              <w:tl2br w:val="nil"/>
              <w:tr2bl w:val="nil"/>
            </w:tcBorders>
            <w:noWrap w:val="0"/>
            <w:vAlign w:val="center"/>
          </w:tcPr>
          <w:p w14:paraId="6A1654CC">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方案讲解演示</w:t>
            </w:r>
          </w:p>
        </w:tc>
        <w:tc>
          <w:tcPr>
            <w:tcW w:w="6837" w:type="dxa"/>
            <w:tcBorders>
              <w:tl2br w:val="nil"/>
              <w:tr2bl w:val="nil"/>
            </w:tcBorders>
            <w:noWrap w:val="0"/>
            <w:vAlign w:val="center"/>
          </w:tcPr>
          <w:p w14:paraId="31BF62A9">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7C92EAB0">
            <w:pPr>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B组织。</w:t>
            </w:r>
          </w:p>
          <w:p w14:paraId="6D5246F6">
            <w:pPr>
              <w:snapToGrid/>
              <w:spacing w:line="400" w:lineRule="exac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（1）在评标时安排每个响应人进行方案讲解演示。每个响应人时间不超过</w:t>
            </w:r>
            <w:r>
              <w:rPr>
                <w:rFonts w:hint="eastAsia" w:ascii="仿宋" w:hAnsi="仿宋" w:eastAsia="仿宋" w:cs="仿宋"/>
                <w:color w:val="auto"/>
                <w:kern w:val="0"/>
                <w:sz w:val="21"/>
                <w:szCs w:val="21"/>
                <w:highlight w:val="none"/>
                <w:lang w:val="zh-CN" w:eastAsia="zh-CN"/>
              </w:rPr>
              <w:t>30</w:t>
            </w:r>
            <w:r>
              <w:rPr>
                <w:rFonts w:hint="eastAsia" w:ascii="仿宋" w:hAnsi="仿宋" w:eastAsia="仿宋" w:cs="仿宋"/>
                <w:color w:val="auto"/>
                <w:kern w:val="0"/>
                <w:sz w:val="21"/>
                <w:szCs w:val="21"/>
                <w:highlight w:val="none"/>
                <w:lang w:val="zh-CN"/>
              </w:rPr>
              <w:t>分钟，讲解次序以响应文件解密时间先后次序为准，讲解演示人员不超过</w:t>
            </w:r>
            <w:r>
              <w:rPr>
                <w:rFonts w:hint="eastAsia" w:ascii="仿宋" w:hAnsi="仿宋" w:eastAsia="仿宋" w:cs="仿宋"/>
                <w:color w:val="auto"/>
                <w:kern w:val="0"/>
                <w:sz w:val="21"/>
                <w:szCs w:val="21"/>
                <w:highlight w:val="none"/>
                <w:u w:val="none"/>
                <w:lang w:val="en-US" w:eastAsia="zh-CN"/>
              </w:rPr>
              <w:t>3</w:t>
            </w:r>
            <w:r>
              <w:rPr>
                <w:rFonts w:hint="eastAsia" w:ascii="仿宋" w:hAnsi="仿宋" w:eastAsia="仿宋" w:cs="仿宋"/>
                <w:color w:val="auto"/>
                <w:kern w:val="0"/>
                <w:sz w:val="21"/>
                <w:szCs w:val="21"/>
                <w:highlight w:val="none"/>
                <w:lang w:val="zh-CN"/>
              </w:rPr>
              <w:t>人。讲解演示结束后按要求解答评标委员会提问。</w:t>
            </w:r>
          </w:p>
          <w:p w14:paraId="7B39A22D">
            <w:pPr>
              <w:keepNext w:val="0"/>
              <w:keepLines w:val="0"/>
              <w:spacing w:line="400" w:lineRule="exact"/>
              <w:ind w:left="0"/>
              <w:jc w:val="both"/>
              <w:rPr>
                <w:rFonts w:hint="eastAsia" w:ascii="仿宋" w:hAnsi="仿宋" w:eastAsia="仿宋" w:cs="仿宋"/>
                <w:b w:val="0"/>
                <w:bCs w:val="0"/>
                <w:color w:val="auto"/>
                <w:kern w:val="0"/>
                <w:sz w:val="21"/>
                <w:szCs w:val="21"/>
                <w:highlight w:val="none"/>
                <w:lang w:val="zh-CN"/>
              </w:rPr>
            </w:pPr>
            <w:r>
              <w:rPr>
                <w:rFonts w:hint="eastAsia" w:ascii="仿宋" w:hAnsi="仿宋" w:eastAsia="仿宋" w:cs="仿宋"/>
                <w:b w:val="0"/>
                <w:bCs w:val="0"/>
                <w:color w:val="auto"/>
                <w:kern w:val="0"/>
                <w:sz w:val="21"/>
                <w:szCs w:val="21"/>
                <w:highlight w:val="none"/>
                <w:lang w:val="zh-CN"/>
              </w:rPr>
              <w:t>（2）现场讲解演示。现场讲解地点为</w:t>
            </w:r>
            <w:r>
              <w:rPr>
                <w:rFonts w:hint="eastAsia" w:ascii="仿宋" w:hAnsi="仿宋" w:eastAsia="仿宋" w:cs="仿宋"/>
                <w:b w:val="0"/>
                <w:bCs w:val="0"/>
                <w:color w:val="auto"/>
                <w:kern w:val="0"/>
                <w:sz w:val="21"/>
                <w:szCs w:val="21"/>
                <w:highlight w:val="none"/>
                <w:lang w:val="en-US" w:eastAsia="zh-CN"/>
              </w:rPr>
              <w:t xml:space="preserve">      </w:t>
            </w:r>
            <w:r>
              <w:rPr>
                <w:rFonts w:hint="eastAsia" w:ascii="仿宋" w:hAnsi="仿宋" w:eastAsia="仿宋" w:cs="仿宋"/>
                <w:b w:val="0"/>
                <w:bCs w:val="0"/>
                <w:color w:val="auto"/>
                <w:kern w:val="0"/>
                <w:sz w:val="21"/>
                <w:szCs w:val="21"/>
                <w:highlight w:val="none"/>
                <w:lang w:val="zh-CN"/>
              </w:rPr>
              <w:t>，讲解演示所用电脑等设备由响应人自备。现场讲解演示人员进场时提供讲解人员名单（加盖公章）及身份证明，法人代表请携带身份证复件及营业执照复印件），否则不得讲解演示。</w:t>
            </w:r>
          </w:p>
          <w:p w14:paraId="719459C1">
            <w:pPr>
              <w:spacing w:line="40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kern w:val="0"/>
                <w:sz w:val="21"/>
                <w:szCs w:val="21"/>
                <w:highlight w:val="none"/>
                <w:lang w:val="zh-CN"/>
              </w:rPr>
              <w:t>注：因响应人自身原因导致无法演示或者演示效果不理想的，责任自负。</w:t>
            </w:r>
            <w:r>
              <w:rPr>
                <w:rFonts w:hint="eastAsia" w:ascii="仿宋" w:hAnsi="仿宋" w:eastAsia="仿宋" w:cs="仿宋"/>
                <w:b w:val="0"/>
                <w:bCs w:val="0"/>
                <w:color w:val="auto"/>
                <w:kern w:val="0"/>
                <w:sz w:val="21"/>
                <w:szCs w:val="21"/>
                <w:highlight w:val="none"/>
                <w:lang w:val="zh-CN" w:eastAsia="zh-CN" w:bidi="ar-SA"/>
              </w:rPr>
              <w:t>演示人员须提供响应人的授权书（见附件格式，法人代表请携带身份证复件及营业执照复印件）、身份证（复印件）。</w:t>
            </w:r>
          </w:p>
        </w:tc>
      </w:tr>
      <w:tr w14:paraId="4217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vMerge w:val="restart"/>
            <w:tcBorders>
              <w:tl2br w:val="nil"/>
              <w:tr2bl w:val="nil"/>
            </w:tcBorders>
            <w:noWrap w:val="0"/>
            <w:vAlign w:val="center"/>
          </w:tcPr>
          <w:p w14:paraId="2CDC50F3">
            <w:pPr>
              <w:snapToGrid w:val="0"/>
              <w:spacing w:line="400" w:lineRule="exact"/>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8</w:t>
            </w:r>
          </w:p>
        </w:tc>
        <w:tc>
          <w:tcPr>
            <w:tcW w:w="1521" w:type="dxa"/>
            <w:vMerge w:val="restart"/>
            <w:tcBorders>
              <w:tl2br w:val="nil"/>
              <w:tr2bl w:val="nil"/>
            </w:tcBorders>
            <w:noWrap w:val="0"/>
            <w:vAlign w:val="center"/>
          </w:tcPr>
          <w:p w14:paraId="6B7E8D52">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供应商应当提供的资格、资信证明文件</w:t>
            </w:r>
          </w:p>
        </w:tc>
        <w:tc>
          <w:tcPr>
            <w:tcW w:w="6837" w:type="dxa"/>
            <w:tcBorders>
              <w:tl2br w:val="nil"/>
              <w:tr2bl w:val="nil"/>
            </w:tcBorders>
            <w:noWrap w:val="0"/>
            <w:vAlign w:val="center"/>
          </w:tcPr>
          <w:p w14:paraId="2C8E7F65">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（1）资格证明文件：见交易文件第二部分11.1。</w:t>
            </w:r>
          </w:p>
          <w:p w14:paraId="5D88E49A">
            <w:pPr>
              <w:spacing w:line="400" w:lineRule="exac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供应商未提供有效的资格证明文件的，视为供应商不具备交易文件中规定的资格要求，响应无效。</w:t>
            </w:r>
          </w:p>
        </w:tc>
      </w:tr>
      <w:tr w14:paraId="620ED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9" w:hRule="atLeast"/>
        </w:trPr>
        <w:tc>
          <w:tcPr>
            <w:tcW w:w="629" w:type="dxa"/>
            <w:vMerge w:val="continue"/>
            <w:tcBorders>
              <w:tl2br w:val="nil"/>
              <w:tr2bl w:val="nil"/>
            </w:tcBorders>
            <w:noWrap w:val="0"/>
            <w:vAlign w:val="center"/>
          </w:tcPr>
          <w:p w14:paraId="58396021">
            <w:pPr>
              <w:snapToGrid w:val="0"/>
              <w:spacing w:line="400" w:lineRule="exact"/>
              <w:jc w:val="center"/>
              <w:rPr>
                <w:rFonts w:hint="eastAsia" w:ascii="仿宋" w:hAnsi="仿宋" w:eastAsia="仿宋" w:cs="仿宋"/>
                <w:b/>
                <w:color w:val="auto"/>
                <w:sz w:val="21"/>
                <w:szCs w:val="21"/>
                <w:highlight w:val="none"/>
              </w:rPr>
            </w:pPr>
          </w:p>
        </w:tc>
        <w:tc>
          <w:tcPr>
            <w:tcW w:w="1521" w:type="dxa"/>
            <w:vMerge w:val="continue"/>
            <w:tcBorders>
              <w:tl2br w:val="nil"/>
              <w:tr2bl w:val="nil"/>
            </w:tcBorders>
            <w:noWrap w:val="0"/>
            <w:vAlign w:val="center"/>
          </w:tcPr>
          <w:p w14:paraId="3EC89AC7">
            <w:pPr>
              <w:snapToGrid w:val="0"/>
              <w:spacing w:line="400" w:lineRule="exact"/>
              <w:jc w:val="center"/>
              <w:rPr>
                <w:rFonts w:hint="eastAsia" w:ascii="仿宋" w:hAnsi="仿宋" w:eastAsia="仿宋" w:cs="仿宋"/>
                <w:b/>
                <w:color w:val="auto"/>
                <w:sz w:val="21"/>
                <w:szCs w:val="21"/>
                <w:highlight w:val="none"/>
              </w:rPr>
            </w:pPr>
          </w:p>
        </w:tc>
        <w:tc>
          <w:tcPr>
            <w:tcW w:w="6837" w:type="dxa"/>
            <w:tcBorders>
              <w:tl2br w:val="nil"/>
              <w:tr2bl w:val="nil"/>
            </w:tcBorders>
            <w:noWrap w:val="0"/>
            <w:vAlign w:val="center"/>
          </w:tcPr>
          <w:p w14:paraId="47FA4DEC">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（2）资信证明文件：根据交易文件第四部分评审标准提供。</w:t>
            </w:r>
          </w:p>
        </w:tc>
      </w:tr>
      <w:tr w14:paraId="2C7E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3" w:hRule="atLeast"/>
        </w:trPr>
        <w:tc>
          <w:tcPr>
            <w:tcW w:w="629" w:type="dxa"/>
            <w:tcBorders>
              <w:tl2br w:val="nil"/>
              <w:tr2bl w:val="nil"/>
            </w:tcBorders>
            <w:noWrap w:val="0"/>
            <w:vAlign w:val="center"/>
          </w:tcPr>
          <w:p w14:paraId="2DBC8312">
            <w:pPr>
              <w:snapToGrid w:val="0"/>
              <w:spacing w:line="400" w:lineRule="exact"/>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9</w:t>
            </w:r>
          </w:p>
        </w:tc>
        <w:tc>
          <w:tcPr>
            <w:tcW w:w="1521" w:type="dxa"/>
            <w:tcBorders>
              <w:tl2br w:val="nil"/>
              <w:tr2bl w:val="nil"/>
            </w:tcBorders>
            <w:noWrap w:val="0"/>
            <w:vAlign w:val="center"/>
          </w:tcPr>
          <w:p w14:paraId="1D2080F0">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6837" w:type="dxa"/>
            <w:tcBorders>
              <w:tl2br w:val="nil"/>
              <w:tr2bl w:val="nil"/>
            </w:tcBorders>
            <w:noWrap w:val="0"/>
            <w:vAlign w:val="center"/>
          </w:tcPr>
          <w:p w14:paraId="2C753BD4">
            <w:pPr>
              <w:snapToGrid w:val="0"/>
              <w:spacing w:line="400" w:lineRule="exact"/>
              <w:jc w:val="left"/>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b/>
                <w:bCs/>
                <w:color w:val="auto"/>
                <w:kern w:val="0"/>
                <w:sz w:val="21"/>
                <w:szCs w:val="21"/>
                <w:highlight w:val="none"/>
                <w:lang w:val="zh-CN"/>
              </w:rPr>
              <w:t>响应文件</w:t>
            </w:r>
            <w:r>
              <w:rPr>
                <w:rFonts w:hint="eastAsia" w:ascii="仿宋" w:hAnsi="仿宋" w:eastAsia="仿宋" w:cs="仿宋"/>
                <w:b/>
                <w:bCs/>
                <w:color w:val="auto"/>
                <w:sz w:val="21"/>
                <w:szCs w:val="21"/>
                <w:highlight w:val="none"/>
                <w:lang w:eastAsia="zh-CN"/>
              </w:rPr>
              <w:t>交易</w:t>
            </w:r>
            <w:r>
              <w:rPr>
                <w:rFonts w:hint="eastAsia" w:ascii="仿宋" w:hAnsi="仿宋" w:eastAsia="仿宋" w:cs="仿宋"/>
                <w:b/>
                <w:bCs/>
                <w:color w:val="auto"/>
                <w:sz w:val="21"/>
                <w:szCs w:val="21"/>
                <w:highlight w:val="none"/>
              </w:rPr>
              <w:t>一览表（报价表）是报价的唯一载体，如供应商在政府采购云平台填写的响应总价与响应文件报价文件中</w:t>
            </w:r>
            <w:r>
              <w:rPr>
                <w:rFonts w:hint="eastAsia" w:ascii="仿宋" w:hAnsi="仿宋" w:eastAsia="仿宋" w:cs="仿宋"/>
                <w:b/>
                <w:bCs/>
                <w:color w:val="auto"/>
                <w:sz w:val="21"/>
                <w:szCs w:val="21"/>
                <w:highlight w:val="none"/>
                <w:lang w:eastAsia="zh-CN"/>
              </w:rPr>
              <w:t>交易</w:t>
            </w:r>
            <w:r>
              <w:rPr>
                <w:rFonts w:hint="eastAsia" w:ascii="仿宋" w:hAnsi="仿宋" w:eastAsia="仿宋" w:cs="仿宋"/>
                <w:b/>
                <w:bCs/>
                <w:color w:val="auto"/>
                <w:sz w:val="21"/>
                <w:szCs w:val="21"/>
                <w:highlight w:val="none"/>
              </w:rPr>
              <w:t>一览表（报价表）不一致的，以报价文件中</w:t>
            </w:r>
            <w:r>
              <w:rPr>
                <w:rFonts w:hint="eastAsia" w:ascii="仿宋" w:hAnsi="仿宋" w:eastAsia="仿宋" w:cs="仿宋"/>
                <w:b/>
                <w:bCs/>
                <w:color w:val="auto"/>
                <w:sz w:val="21"/>
                <w:szCs w:val="21"/>
                <w:highlight w:val="none"/>
                <w:lang w:eastAsia="zh-CN"/>
              </w:rPr>
              <w:t>交易</w:t>
            </w:r>
            <w:r>
              <w:rPr>
                <w:rFonts w:hint="eastAsia" w:ascii="仿宋" w:hAnsi="仿宋" w:eastAsia="仿宋" w:cs="仿宋"/>
                <w:b/>
                <w:bCs/>
                <w:color w:val="auto"/>
                <w:sz w:val="21"/>
                <w:szCs w:val="21"/>
                <w:highlight w:val="none"/>
              </w:rPr>
              <w:t>一览表（报价表）为准。</w:t>
            </w:r>
            <w:r>
              <w:rPr>
                <w:rFonts w:hint="eastAsia" w:ascii="仿宋" w:hAnsi="仿宋" w:eastAsia="仿宋" w:cs="仿宋"/>
                <w:color w:val="auto"/>
                <w:kern w:val="0"/>
                <w:sz w:val="21"/>
                <w:szCs w:val="21"/>
                <w:highlight w:val="none"/>
                <w:lang w:val="zh-CN"/>
              </w:rPr>
              <w:t>响应文件中价格全部采用人民币报价。交易文件未列明，而供应商认为必需的费用也需列入报价。</w:t>
            </w:r>
          </w:p>
          <w:p w14:paraId="4AB91BFF">
            <w:pPr>
              <w:snapToGrid w:val="0"/>
              <w:spacing w:line="400" w:lineRule="exact"/>
              <w:jc w:val="lef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响应总价出现下列情形的，响应无效：</w:t>
            </w:r>
          </w:p>
          <w:p w14:paraId="1AE409D6">
            <w:pPr>
              <w:snapToGrid w:val="0"/>
              <w:spacing w:line="400" w:lineRule="exact"/>
              <w:ind w:firstLine="211" w:firstLineChars="100"/>
              <w:jc w:val="lef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响应文件出现不是唯一的、有选择性响应总价的；</w:t>
            </w:r>
          </w:p>
          <w:p w14:paraId="08F870F3">
            <w:pPr>
              <w:snapToGrid w:val="0"/>
              <w:spacing w:line="400" w:lineRule="exact"/>
              <w:ind w:firstLine="211" w:firstLineChars="100"/>
              <w:jc w:val="left"/>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响应总价超过交易文件中规定的预算金额或者最高限价的;</w:t>
            </w:r>
          </w:p>
          <w:p w14:paraId="63A624DD">
            <w:pPr>
              <w:spacing w:line="400" w:lineRule="exact"/>
              <w:ind w:firstLine="211" w:firstLineChars="100"/>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138F48FE">
            <w:pPr>
              <w:spacing w:line="400" w:lineRule="exact"/>
              <w:ind w:firstLine="211" w:firstLineChars="100"/>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供应商对根据修正原则修正后的报价不确认的</w:t>
            </w:r>
            <w:r>
              <w:rPr>
                <w:rFonts w:hint="eastAsia" w:ascii="仿宋" w:hAnsi="仿宋" w:eastAsia="仿宋" w:cs="仿宋"/>
                <w:b/>
                <w:color w:val="auto"/>
                <w:sz w:val="21"/>
                <w:szCs w:val="21"/>
                <w:highlight w:val="none"/>
              </w:rPr>
              <w:t>。</w:t>
            </w:r>
          </w:p>
        </w:tc>
      </w:tr>
      <w:tr w14:paraId="47963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3" w:hRule="atLeast"/>
        </w:trPr>
        <w:tc>
          <w:tcPr>
            <w:tcW w:w="629" w:type="dxa"/>
            <w:tcBorders>
              <w:tl2br w:val="nil"/>
              <w:tr2bl w:val="nil"/>
            </w:tcBorders>
            <w:noWrap w:val="0"/>
            <w:vAlign w:val="center"/>
          </w:tcPr>
          <w:p w14:paraId="01380C40">
            <w:pPr>
              <w:snapToGrid w:val="0"/>
              <w:spacing w:line="400" w:lineRule="exact"/>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10</w:t>
            </w:r>
          </w:p>
        </w:tc>
        <w:tc>
          <w:tcPr>
            <w:tcW w:w="1521" w:type="dxa"/>
            <w:tcBorders>
              <w:tl2br w:val="nil"/>
              <w:tr2bl w:val="nil"/>
            </w:tcBorders>
            <w:noWrap w:val="0"/>
            <w:vAlign w:val="center"/>
          </w:tcPr>
          <w:p w14:paraId="55BCAD92">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备份响应文件送达地点和签收人员</w:t>
            </w:r>
          </w:p>
        </w:tc>
        <w:tc>
          <w:tcPr>
            <w:tcW w:w="6837" w:type="dxa"/>
            <w:tcBorders>
              <w:tl2br w:val="nil"/>
              <w:tr2bl w:val="nil"/>
            </w:tcBorders>
            <w:noWrap w:val="0"/>
            <w:vAlign w:val="center"/>
          </w:tcPr>
          <w:p w14:paraId="7D693311">
            <w:pPr>
              <w:pStyle w:val="33"/>
              <w:spacing w:line="400" w:lineRule="exact"/>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备份响应文件送达地点：</w:t>
            </w:r>
            <w:r>
              <w:rPr>
                <w:rFonts w:hint="eastAsia" w:ascii="仿宋" w:hAnsi="仿宋" w:eastAsia="仿宋" w:cs="仿宋"/>
                <w:color w:val="auto"/>
                <w:kern w:val="28"/>
                <w:sz w:val="21"/>
                <w:szCs w:val="21"/>
                <w:highlight w:val="none"/>
                <w:lang w:val="en-US" w:eastAsia="zh-CN"/>
              </w:rPr>
              <w:t>不收取</w:t>
            </w:r>
            <w:r>
              <w:rPr>
                <w:rFonts w:hint="eastAsia" w:ascii="仿宋" w:hAnsi="仿宋" w:eastAsia="仿宋" w:cs="仿宋"/>
                <w:color w:val="auto"/>
                <w:kern w:val="28"/>
                <w:sz w:val="21"/>
                <w:szCs w:val="21"/>
                <w:highlight w:val="none"/>
              </w:rPr>
              <w:t>；</w:t>
            </w:r>
          </w:p>
          <w:p w14:paraId="56D947C5">
            <w:pPr>
              <w:pStyle w:val="33"/>
              <w:spacing w:line="400" w:lineRule="exact"/>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备份响应文件签收人员联系电话：</w:t>
            </w:r>
            <w:r>
              <w:rPr>
                <w:rFonts w:hint="eastAsia" w:ascii="仿宋" w:hAnsi="仿宋" w:eastAsia="仿宋" w:cs="仿宋"/>
                <w:color w:val="auto"/>
                <w:kern w:val="28"/>
                <w:sz w:val="21"/>
                <w:szCs w:val="21"/>
                <w:highlight w:val="none"/>
                <w:lang w:val="en-US" w:eastAsia="zh-CN"/>
              </w:rPr>
              <w:t>/</w:t>
            </w:r>
            <w:r>
              <w:rPr>
                <w:rFonts w:hint="eastAsia" w:ascii="仿宋" w:hAnsi="仿宋" w:eastAsia="仿宋" w:cs="仿宋"/>
                <w:color w:val="auto"/>
                <w:kern w:val="28"/>
                <w:sz w:val="21"/>
                <w:szCs w:val="21"/>
                <w:highlight w:val="none"/>
              </w:rPr>
              <w:t>。</w:t>
            </w:r>
            <w:r>
              <w:rPr>
                <w:rFonts w:hint="eastAsia" w:ascii="仿宋" w:hAnsi="仿宋" w:eastAsia="仿宋" w:cs="仿宋"/>
                <w:color w:val="auto"/>
                <w:kern w:val="28"/>
                <w:sz w:val="21"/>
                <w:szCs w:val="21"/>
                <w:highlight w:val="none"/>
                <w:lang w:eastAsia="zh-CN"/>
              </w:rPr>
              <w:t>交易发起人</w:t>
            </w:r>
            <w:r>
              <w:rPr>
                <w:rFonts w:hint="eastAsia" w:ascii="仿宋" w:hAnsi="仿宋" w:eastAsia="仿宋" w:cs="仿宋"/>
                <w:color w:val="auto"/>
                <w:kern w:val="28"/>
                <w:sz w:val="21"/>
                <w:szCs w:val="21"/>
                <w:highlight w:val="none"/>
              </w:rPr>
              <w:t>、</w:t>
            </w:r>
            <w:r>
              <w:rPr>
                <w:rFonts w:hint="eastAsia" w:ascii="仿宋" w:hAnsi="仿宋" w:eastAsia="仿宋" w:cs="仿宋"/>
                <w:color w:val="auto"/>
                <w:kern w:val="28"/>
                <w:sz w:val="21"/>
                <w:szCs w:val="21"/>
                <w:highlight w:val="none"/>
                <w:lang w:eastAsia="zh-CN"/>
              </w:rPr>
              <w:t>代理机构</w:t>
            </w:r>
            <w:r>
              <w:rPr>
                <w:rFonts w:hint="eastAsia" w:ascii="仿宋" w:hAnsi="仿宋" w:eastAsia="仿宋" w:cs="仿宋"/>
                <w:color w:val="auto"/>
                <w:kern w:val="28"/>
                <w:sz w:val="21"/>
                <w:szCs w:val="21"/>
                <w:highlight w:val="none"/>
              </w:rPr>
              <w:t>不强制或变相强制供应商提交备份响应文件。</w:t>
            </w:r>
          </w:p>
        </w:tc>
      </w:tr>
      <w:tr w14:paraId="45533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3" w:hRule="atLeast"/>
        </w:trPr>
        <w:tc>
          <w:tcPr>
            <w:tcW w:w="629" w:type="dxa"/>
            <w:tcBorders>
              <w:tl2br w:val="nil"/>
              <w:tr2bl w:val="nil"/>
            </w:tcBorders>
            <w:noWrap w:val="0"/>
            <w:vAlign w:val="center"/>
          </w:tcPr>
          <w:p w14:paraId="1528F9C2">
            <w:pPr>
              <w:snapToGrid w:val="0"/>
              <w:spacing w:line="400" w:lineRule="exact"/>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1</w:t>
            </w:r>
          </w:p>
        </w:tc>
        <w:tc>
          <w:tcPr>
            <w:tcW w:w="1521" w:type="dxa"/>
            <w:tcBorders>
              <w:tl2br w:val="nil"/>
              <w:tr2bl w:val="nil"/>
            </w:tcBorders>
            <w:noWrap w:val="0"/>
            <w:vAlign w:val="center"/>
          </w:tcPr>
          <w:p w14:paraId="696F31E0">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采购机构代理费用</w:t>
            </w:r>
          </w:p>
        </w:tc>
        <w:tc>
          <w:tcPr>
            <w:tcW w:w="6837" w:type="dxa"/>
            <w:tcBorders>
              <w:tl2br w:val="nil"/>
              <w:tr2bl w:val="nil"/>
            </w:tcBorders>
            <w:noWrap w:val="0"/>
            <w:vAlign w:val="center"/>
          </w:tcPr>
          <w:p w14:paraId="23944661">
            <w:pPr>
              <w:pStyle w:val="33"/>
              <w:spacing w:line="400" w:lineRule="exact"/>
              <w:rPr>
                <w:rFonts w:hint="eastAsia" w:ascii="仿宋" w:hAnsi="仿宋" w:eastAsia="仿宋" w:cs="仿宋"/>
                <w:color w:val="auto"/>
                <w:kern w:val="28"/>
                <w:sz w:val="21"/>
                <w:szCs w:val="21"/>
                <w:highlight w:val="none"/>
                <w:lang w:val="en-US" w:eastAsia="zh-CN"/>
              </w:rPr>
            </w:pPr>
            <w:r>
              <w:rPr>
                <w:rFonts w:hint="eastAsia" w:ascii="仿宋" w:hAnsi="仿宋" w:eastAsia="仿宋" w:cs="仿宋"/>
                <w:color w:val="auto"/>
                <w:kern w:val="28"/>
                <w:sz w:val="21"/>
                <w:szCs w:val="21"/>
                <w:highlight w:val="none"/>
                <w:lang w:val="en-US" w:eastAsia="zh-CN"/>
              </w:rPr>
              <w:t>本项目的代理费由成交人支付。计费标准：以中标金额为计费基准，按《计价格［2002］1980 号》及《发改办价格［2003］857 号》规定的收费标准40%计取。</w:t>
            </w:r>
          </w:p>
        </w:tc>
      </w:tr>
      <w:tr w14:paraId="23B83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trPr>
        <w:tc>
          <w:tcPr>
            <w:tcW w:w="629" w:type="dxa"/>
            <w:tcBorders>
              <w:tl2br w:val="nil"/>
              <w:tr2bl w:val="nil"/>
            </w:tcBorders>
            <w:noWrap w:val="0"/>
            <w:vAlign w:val="center"/>
          </w:tcPr>
          <w:p w14:paraId="52321DCD">
            <w:pPr>
              <w:snapToGrid w:val="0"/>
              <w:spacing w:line="400" w:lineRule="exact"/>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12</w:t>
            </w:r>
          </w:p>
        </w:tc>
        <w:tc>
          <w:tcPr>
            <w:tcW w:w="1521" w:type="dxa"/>
            <w:tcBorders>
              <w:tl2br w:val="nil"/>
              <w:tr2bl w:val="nil"/>
            </w:tcBorders>
            <w:noWrap w:val="0"/>
            <w:vAlign w:val="center"/>
          </w:tcPr>
          <w:p w14:paraId="115231ED">
            <w:pPr>
              <w:snapToGrid w:val="0"/>
              <w:spacing w:line="40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履约保证金</w:t>
            </w:r>
          </w:p>
        </w:tc>
        <w:tc>
          <w:tcPr>
            <w:tcW w:w="6837" w:type="dxa"/>
            <w:tcBorders>
              <w:tl2br w:val="nil"/>
              <w:tr2bl w:val="nil"/>
            </w:tcBorders>
            <w:noWrap w:val="0"/>
            <w:vAlign w:val="center"/>
          </w:tcPr>
          <w:p w14:paraId="727173D4">
            <w:pPr>
              <w:pStyle w:val="33"/>
              <w:spacing w:line="40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合同金额的1%。</w:t>
            </w:r>
          </w:p>
          <w:p w14:paraId="0E7B10F7">
            <w:pPr>
              <w:pStyle w:val="33"/>
              <w:spacing w:line="40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供应商应当以支票、汇票、本票或者金融机构、担保机构出具的保函等非现金形式提交。</w:t>
            </w:r>
          </w:p>
        </w:tc>
      </w:tr>
      <w:tr w14:paraId="2C6B1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trPr>
        <w:tc>
          <w:tcPr>
            <w:tcW w:w="629" w:type="dxa"/>
            <w:tcBorders>
              <w:tl2br w:val="nil"/>
              <w:tr2bl w:val="nil"/>
            </w:tcBorders>
            <w:noWrap w:val="0"/>
            <w:vAlign w:val="center"/>
          </w:tcPr>
          <w:p w14:paraId="24682EAE">
            <w:pPr>
              <w:snapToGrid w:val="0"/>
              <w:spacing w:line="400" w:lineRule="exact"/>
              <w:jc w:val="center"/>
              <w:rPr>
                <w:rFonts w:hint="eastAsia" w:ascii="仿宋" w:hAnsi="仿宋" w:eastAsia="仿宋" w:cs="仿宋"/>
                <w:b/>
                <w:color w:val="auto"/>
                <w:sz w:val="21"/>
                <w:szCs w:val="21"/>
                <w:highlight w:val="none"/>
                <w:lang w:val="en-US" w:eastAsia="zh-CN"/>
              </w:rPr>
            </w:pPr>
            <w:bookmarkStart w:id="23" w:name="_Toc13302"/>
            <w:bookmarkStart w:id="24" w:name="第三部分"/>
            <w:bookmarkStart w:id="25" w:name="_Toc164416483"/>
            <w:r>
              <w:rPr>
                <w:rFonts w:hint="eastAsia" w:ascii="仿宋" w:hAnsi="仿宋" w:eastAsia="仿宋" w:cs="仿宋"/>
                <w:b/>
                <w:color w:val="auto"/>
                <w:sz w:val="21"/>
                <w:szCs w:val="21"/>
                <w:highlight w:val="none"/>
                <w:lang w:val="en-US" w:eastAsia="zh-CN"/>
              </w:rPr>
              <w:t>13</w:t>
            </w:r>
          </w:p>
        </w:tc>
        <w:tc>
          <w:tcPr>
            <w:tcW w:w="1521" w:type="dxa"/>
            <w:tcBorders>
              <w:tl2br w:val="nil"/>
              <w:tr2bl w:val="nil"/>
            </w:tcBorders>
            <w:noWrap w:val="0"/>
            <w:vAlign w:val="center"/>
          </w:tcPr>
          <w:p w14:paraId="723007DB">
            <w:pPr>
              <w:snapToGrid w:val="0"/>
              <w:spacing w:line="400" w:lineRule="exact"/>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质疑</w:t>
            </w:r>
            <w:r>
              <w:rPr>
                <w:rFonts w:hint="eastAsia" w:ascii="仿宋" w:hAnsi="仿宋" w:eastAsia="仿宋" w:cs="仿宋"/>
                <w:b/>
                <w:color w:val="auto"/>
                <w:sz w:val="21"/>
                <w:szCs w:val="21"/>
                <w:highlight w:val="none"/>
              </w:rPr>
              <w:t>接收人及答复</w:t>
            </w:r>
          </w:p>
        </w:tc>
        <w:tc>
          <w:tcPr>
            <w:tcW w:w="6837" w:type="dxa"/>
            <w:tcBorders>
              <w:tl2br w:val="nil"/>
              <w:tr2bl w:val="nil"/>
            </w:tcBorders>
            <w:noWrap w:val="0"/>
            <w:vAlign w:val="center"/>
          </w:tcPr>
          <w:p w14:paraId="7934AAE1">
            <w:pPr>
              <w:snapToGrid w:val="0"/>
              <w:spacing w:line="50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rPr>
              <w:t>对交易文件提出质疑的，最迟应在响应截止时间前一日16:00分前提出，过后</w:t>
            </w:r>
            <w:r>
              <w:rPr>
                <w:rFonts w:hint="eastAsia" w:ascii="仿宋" w:hAnsi="仿宋" w:eastAsia="仿宋" w:cs="仿宋"/>
                <w:b/>
                <w:bCs/>
                <w:color w:val="auto"/>
                <w:kern w:val="0"/>
                <w:sz w:val="21"/>
                <w:szCs w:val="21"/>
                <w:highlight w:val="none"/>
                <w:lang w:val="zh-CN"/>
              </w:rPr>
              <w:t>交易发起人或者代理机构不予受理。</w:t>
            </w:r>
          </w:p>
          <w:p w14:paraId="0C067734">
            <w:pPr>
              <w:snapToGrid w:val="0"/>
              <w:spacing w:line="50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代理机构</w:t>
            </w:r>
            <w:r>
              <w:rPr>
                <w:rFonts w:hint="eastAsia" w:ascii="仿宋" w:hAnsi="仿宋" w:eastAsia="仿宋" w:cs="仿宋"/>
                <w:color w:val="auto"/>
                <w:sz w:val="21"/>
                <w:szCs w:val="21"/>
                <w:highlight w:val="none"/>
                <w:lang w:val="en-US" w:eastAsia="zh-CN"/>
              </w:rPr>
              <w:t>质疑</w:t>
            </w:r>
            <w:r>
              <w:rPr>
                <w:rFonts w:hint="eastAsia" w:ascii="仿宋" w:hAnsi="仿宋" w:eastAsia="仿宋" w:cs="仿宋"/>
                <w:color w:val="auto"/>
                <w:sz w:val="21"/>
                <w:szCs w:val="21"/>
                <w:highlight w:val="none"/>
              </w:rPr>
              <w:t>接收人：</w:t>
            </w:r>
            <w:r>
              <w:rPr>
                <w:rFonts w:hint="eastAsia" w:ascii="仿宋" w:hAnsi="仿宋" w:eastAsia="仿宋" w:cs="仿宋"/>
                <w:color w:val="auto"/>
                <w:sz w:val="21"/>
                <w:szCs w:val="21"/>
                <w:highlight w:val="none"/>
                <w:u w:val="single"/>
                <w:lang w:val="en-US" w:eastAsia="zh-CN"/>
              </w:rPr>
              <w:t xml:space="preserve">傅翔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lang w:val="en-US" w:eastAsia="zh-CN"/>
              </w:rPr>
              <w:t>0571-57572683</w:t>
            </w:r>
          </w:p>
          <w:p w14:paraId="601220F2">
            <w:pPr>
              <w:snapToGrid w:val="0"/>
              <w:spacing w:line="50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single"/>
                <w:lang w:val="en-US" w:eastAsia="zh-CN"/>
              </w:rPr>
              <w:t>杭州市萧山区金城路</w:t>
            </w:r>
            <w:r>
              <w:rPr>
                <w:rFonts w:hint="eastAsia" w:ascii="仿宋" w:hAnsi="仿宋" w:eastAsia="仿宋" w:cs="仿宋"/>
                <w:color w:val="auto"/>
                <w:sz w:val="21"/>
                <w:szCs w:val="21"/>
                <w:highlight w:val="none"/>
                <w:u w:val="single"/>
              </w:rPr>
              <w:t>540号心意广场3幢1802室</w:t>
            </w:r>
          </w:p>
          <w:p w14:paraId="09D82E87">
            <w:pPr>
              <w:snapToGrid w:val="0"/>
              <w:spacing w:line="500" w:lineRule="exac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邮箱：</w:t>
            </w:r>
            <w:r>
              <w:rPr>
                <w:rFonts w:hint="eastAsia" w:ascii="仿宋" w:hAnsi="仿宋" w:eastAsia="仿宋" w:cs="仿宋"/>
                <w:color w:val="auto"/>
                <w:sz w:val="21"/>
                <w:szCs w:val="21"/>
                <w:highlight w:val="none"/>
                <w:u w:val="single"/>
                <w:lang w:val="en-US" w:eastAsia="zh-CN"/>
              </w:rPr>
              <w:t>514478636@qq.com</w:t>
            </w:r>
          </w:p>
          <w:p w14:paraId="36E101B6">
            <w:pPr>
              <w:snapToGrid w:val="0"/>
              <w:spacing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如通过邮箱方式发送</w:t>
            </w:r>
            <w:r>
              <w:rPr>
                <w:rFonts w:hint="eastAsia" w:ascii="仿宋" w:hAnsi="仿宋" w:eastAsia="仿宋" w:cs="仿宋"/>
                <w:b/>
                <w:color w:val="auto"/>
                <w:sz w:val="21"/>
                <w:szCs w:val="21"/>
                <w:highlight w:val="none"/>
                <w:lang w:val="en-US" w:eastAsia="zh-CN"/>
              </w:rPr>
              <w:t>质疑</w:t>
            </w:r>
            <w:r>
              <w:rPr>
                <w:rFonts w:hint="eastAsia" w:ascii="仿宋" w:hAnsi="仿宋" w:eastAsia="仿宋" w:cs="仿宋"/>
                <w:b/>
                <w:color w:val="auto"/>
                <w:sz w:val="21"/>
                <w:szCs w:val="21"/>
                <w:highlight w:val="none"/>
              </w:rPr>
              <w:t>，须提交符合法规及</w:t>
            </w:r>
            <w:r>
              <w:rPr>
                <w:rFonts w:hint="eastAsia" w:ascii="仿宋" w:hAnsi="仿宋" w:eastAsia="仿宋" w:cs="仿宋"/>
                <w:b/>
                <w:color w:val="auto"/>
                <w:sz w:val="21"/>
                <w:szCs w:val="21"/>
                <w:highlight w:val="none"/>
                <w:lang w:eastAsia="zh-CN"/>
              </w:rPr>
              <w:t>交易文件</w:t>
            </w:r>
            <w:r>
              <w:rPr>
                <w:rFonts w:hint="eastAsia" w:ascii="仿宋" w:hAnsi="仿宋" w:eastAsia="仿宋" w:cs="仿宋"/>
                <w:b/>
                <w:color w:val="auto"/>
                <w:sz w:val="21"/>
                <w:szCs w:val="21"/>
                <w:highlight w:val="none"/>
              </w:rPr>
              <w:t>要求的</w:t>
            </w:r>
            <w:r>
              <w:rPr>
                <w:rFonts w:hint="eastAsia" w:ascii="仿宋" w:hAnsi="仿宋" w:eastAsia="仿宋" w:cs="仿宋"/>
                <w:b/>
                <w:color w:val="auto"/>
                <w:sz w:val="21"/>
                <w:szCs w:val="21"/>
                <w:highlight w:val="none"/>
                <w:lang w:val="en-US" w:eastAsia="zh-CN"/>
              </w:rPr>
              <w:t>质疑</w:t>
            </w:r>
            <w:r>
              <w:rPr>
                <w:rFonts w:hint="eastAsia" w:ascii="仿宋" w:hAnsi="仿宋" w:eastAsia="仿宋" w:cs="仿宋"/>
                <w:b/>
                <w:color w:val="auto"/>
                <w:sz w:val="21"/>
                <w:szCs w:val="21"/>
                <w:highlight w:val="none"/>
              </w:rPr>
              <w:t>文件（参考附件</w:t>
            </w: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），盖章扫描后发送，</w:t>
            </w:r>
            <w:r>
              <w:rPr>
                <w:rFonts w:hint="eastAsia" w:ascii="仿宋" w:hAnsi="仿宋" w:eastAsia="仿宋" w:cs="仿宋"/>
                <w:b/>
                <w:color w:val="auto"/>
                <w:sz w:val="21"/>
                <w:szCs w:val="21"/>
                <w:highlight w:val="none"/>
                <w:lang w:val="en-US" w:eastAsia="zh-CN"/>
              </w:rPr>
              <w:t>质疑</w:t>
            </w:r>
            <w:r>
              <w:rPr>
                <w:rFonts w:hint="eastAsia" w:ascii="仿宋" w:hAnsi="仿宋" w:eastAsia="仿宋" w:cs="仿宋"/>
                <w:b/>
                <w:color w:val="auto"/>
                <w:sz w:val="21"/>
                <w:szCs w:val="21"/>
                <w:highlight w:val="none"/>
              </w:rPr>
              <w:t>的受理按答复主体划分以交易发起人或代理机构邮箱回复确认受理为准。</w:t>
            </w:r>
          </w:p>
          <w:p w14:paraId="35BBE6E9">
            <w:pPr>
              <w:snapToGrid w:val="0"/>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本项目涉及资格条件、交易需求、评分办法及交易过程中有关现场考察或开标前答疑会事项由交易发起人进行答复。</w:t>
            </w:r>
          </w:p>
          <w:p w14:paraId="6F36D5DB">
            <w:pPr>
              <w:pStyle w:val="33"/>
              <w:spacing w:line="40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涉及流程组织等相关事项，由代理机构进行答复。</w:t>
            </w:r>
          </w:p>
        </w:tc>
      </w:tr>
      <w:tr w14:paraId="13906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trPr>
        <w:tc>
          <w:tcPr>
            <w:tcW w:w="629" w:type="dxa"/>
            <w:tcBorders>
              <w:tl2br w:val="nil"/>
              <w:tr2bl w:val="nil"/>
            </w:tcBorders>
            <w:noWrap w:val="0"/>
            <w:vAlign w:val="center"/>
          </w:tcPr>
          <w:p w14:paraId="4ADD01D3">
            <w:pPr>
              <w:snapToGrid w:val="0"/>
              <w:spacing w:line="400" w:lineRule="exact"/>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14</w:t>
            </w:r>
          </w:p>
        </w:tc>
        <w:tc>
          <w:tcPr>
            <w:tcW w:w="1521" w:type="dxa"/>
            <w:tcBorders>
              <w:tl2br w:val="nil"/>
              <w:tr2bl w:val="nil"/>
            </w:tcBorders>
            <w:noWrap w:val="0"/>
            <w:vAlign w:val="center"/>
          </w:tcPr>
          <w:p w14:paraId="64C7BE47">
            <w:pPr>
              <w:snapToGrid w:val="0"/>
              <w:spacing w:line="400" w:lineRule="exact"/>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特别说明</w:t>
            </w:r>
          </w:p>
        </w:tc>
        <w:tc>
          <w:tcPr>
            <w:tcW w:w="6837" w:type="dxa"/>
            <w:tcBorders>
              <w:tl2br w:val="nil"/>
              <w:tr2bl w:val="nil"/>
            </w:tcBorders>
            <w:noWrap w:val="0"/>
            <w:vAlign w:val="center"/>
          </w:tcPr>
          <w:p w14:paraId="7E473CFE">
            <w:pPr>
              <w:pStyle w:val="33"/>
              <w:spacing w:line="400" w:lineRule="exac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本项目通用总则条款与前附表等专用特别规定有冲突之处，以专用条款（特别规定）为准。</w:t>
            </w:r>
          </w:p>
        </w:tc>
      </w:tr>
      <w:bookmarkEnd w:id="12"/>
    </w:tbl>
    <w:p w14:paraId="5A5865B0">
      <w:pPr>
        <w:adjustRightInd/>
        <w:spacing w:line="360" w:lineRule="auto"/>
        <w:ind w:firstLine="3845" w:firstLineChars="1197"/>
        <w:outlineLvl w:val="0"/>
        <w:rPr>
          <w:rFonts w:hint="eastAsia" w:ascii="仿宋" w:hAnsi="仿宋" w:eastAsia="仿宋" w:cs="仿宋"/>
          <w:b/>
          <w:color w:val="auto"/>
          <w:sz w:val="32"/>
          <w:szCs w:val="20"/>
          <w:highlight w:val="none"/>
        </w:rPr>
        <w:sectPr>
          <w:footerReference r:id="rId5"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720" w:num="1"/>
          <w:docGrid w:linePitch="312" w:charSpace="0"/>
        </w:sectPr>
      </w:pPr>
    </w:p>
    <w:p w14:paraId="4FAA81CB">
      <w:pPr>
        <w:adjustRightInd/>
        <w:spacing w:line="360" w:lineRule="auto"/>
        <w:jc w:val="center"/>
        <w:outlineLvl w:val="0"/>
        <w:rPr>
          <w:rFonts w:hint="eastAsia" w:ascii="仿宋" w:hAnsi="仿宋" w:eastAsia="仿宋" w:cs="仿宋"/>
          <w:b/>
          <w:color w:val="auto"/>
          <w:sz w:val="28"/>
          <w:szCs w:val="18"/>
          <w:highlight w:val="none"/>
        </w:rPr>
      </w:pPr>
      <w:bookmarkStart w:id="26" w:name="_Toc12793"/>
      <w:bookmarkStart w:id="27" w:name="_Toc27790"/>
      <w:bookmarkStart w:id="28" w:name="_Toc16942"/>
      <w:r>
        <w:rPr>
          <w:rFonts w:hint="eastAsia" w:ascii="仿宋" w:hAnsi="仿宋" w:eastAsia="仿宋" w:cs="仿宋"/>
          <w:b/>
          <w:color w:val="auto"/>
          <w:sz w:val="28"/>
          <w:szCs w:val="18"/>
          <w:highlight w:val="none"/>
        </w:rPr>
        <w:t>一、总则</w:t>
      </w:r>
      <w:bookmarkEnd w:id="23"/>
      <w:bookmarkEnd w:id="26"/>
      <w:bookmarkEnd w:id="27"/>
      <w:bookmarkEnd w:id="28"/>
    </w:p>
    <w:p w14:paraId="2B9A4FF2">
      <w:pPr>
        <w:pStyle w:val="33"/>
        <w:spacing w:line="360" w:lineRule="auto"/>
        <w:ind w:firstLine="422" w:firstLineChars="200"/>
        <w:rPr>
          <w:rFonts w:hint="eastAsia" w:ascii="仿宋" w:hAnsi="仿宋" w:eastAsia="仿宋" w:cs="仿宋"/>
          <w:b/>
          <w:color w:val="auto"/>
          <w:sz w:val="21"/>
          <w:szCs w:val="21"/>
          <w:highlight w:val="none"/>
        </w:rPr>
      </w:pPr>
      <w:bookmarkStart w:id="29" w:name="_Toc12048"/>
      <w:r>
        <w:rPr>
          <w:rFonts w:hint="eastAsia" w:ascii="仿宋" w:hAnsi="仿宋" w:eastAsia="仿宋" w:cs="仿宋"/>
          <w:b/>
          <w:color w:val="auto"/>
          <w:sz w:val="21"/>
          <w:szCs w:val="21"/>
          <w:highlight w:val="none"/>
        </w:rPr>
        <w:t>1.适用范围</w:t>
      </w:r>
      <w:bookmarkEnd w:id="29"/>
    </w:p>
    <w:p w14:paraId="4180599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本项目采用公开竞争方式，</w:t>
      </w:r>
      <w:r>
        <w:rPr>
          <w:rFonts w:hint="eastAsia" w:ascii="仿宋" w:hAnsi="仿宋" w:eastAsia="仿宋" w:cs="仿宋"/>
          <w:color w:val="auto"/>
          <w:sz w:val="21"/>
          <w:szCs w:val="21"/>
          <w:highlight w:val="none"/>
        </w:rPr>
        <w:t>本交易文件适用于</w:t>
      </w:r>
      <w:r>
        <w:rPr>
          <w:rFonts w:hint="eastAsia" w:ascii="仿宋" w:hAnsi="仿宋" w:eastAsia="仿宋" w:cs="仿宋"/>
          <w:color w:val="auto"/>
          <w:sz w:val="21"/>
          <w:szCs w:val="21"/>
          <w:highlight w:val="none"/>
          <w:lang w:val="en-US" w:eastAsia="zh-CN"/>
        </w:rPr>
        <w:t>本</w:t>
      </w:r>
      <w:r>
        <w:rPr>
          <w:rFonts w:hint="eastAsia" w:ascii="仿宋" w:hAnsi="仿宋" w:eastAsia="仿宋" w:cs="仿宋"/>
          <w:color w:val="auto"/>
          <w:sz w:val="21"/>
          <w:szCs w:val="21"/>
          <w:highlight w:val="none"/>
        </w:rPr>
        <w:t>项目的交易、响应、资格审查及信用信息查询、评审、定标、合同、验收等行为（法律、法规另有规定的，从其规定）。</w:t>
      </w:r>
    </w:p>
    <w:p w14:paraId="038DC402">
      <w:pPr>
        <w:pStyle w:val="33"/>
        <w:spacing w:line="360" w:lineRule="auto"/>
        <w:ind w:firstLine="422" w:firstLineChars="200"/>
        <w:rPr>
          <w:rFonts w:hint="eastAsia" w:ascii="仿宋" w:hAnsi="仿宋" w:eastAsia="仿宋" w:cs="仿宋"/>
          <w:b/>
          <w:color w:val="auto"/>
          <w:sz w:val="21"/>
          <w:szCs w:val="21"/>
          <w:highlight w:val="none"/>
        </w:rPr>
      </w:pPr>
      <w:bookmarkStart w:id="30" w:name="_Toc24879"/>
      <w:r>
        <w:rPr>
          <w:rFonts w:hint="eastAsia" w:ascii="仿宋" w:hAnsi="仿宋" w:eastAsia="仿宋" w:cs="仿宋"/>
          <w:b/>
          <w:color w:val="auto"/>
          <w:sz w:val="21"/>
          <w:szCs w:val="21"/>
          <w:highlight w:val="none"/>
        </w:rPr>
        <w:t>2.定义</w:t>
      </w:r>
      <w:bookmarkEnd w:id="30"/>
    </w:p>
    <w:p w14:paraId="23777D0D">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”系指交易公告中载明的本项目的</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w:t>
      </w:r>
    </w:p>
    <w:p w14:paraId="054A702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”系指交易公告中载明的本项目的</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w:t>
      </w:r>
    </w:p>
    <w:p w14:paraId="606D50C9">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2.3“供应商”“</w:t>
      </w:r>
      <w:r>
        <w:rPr>
          <w:rFonts w:hint="eastAsia" w:ascii="仿宋" w:hAnsi="仿宋" w:eastAsia="仿宋" w:cs="仿宋"/>
          <w:color w:val="auto"/>
          <w:sz w:val="21"/>
          <w:szCs w:val="21"/>
          <w:highlight w:val="none"/>
          <w:lang w:val="en-US" w:eastAsia="zh-CN"/>
        </w:rPr>
        <w:t>响应人</w:t>
      </w:r>
      <w:r>
        <w:rPr>
          <w:rFonts w:hint="eastAsia" w:ascii="仿宋" w:hAnsi="仿宋" w:eastAsia="仿宋" w:cs="仿宋"/>
          <w:color w:val="auto"/>
          <w:sz w:val="21"/>
          <w:szCs w:val="21"/>
          <w:highlight w:val="none"/>
        </w:rPr>
        <w:t>”系指是指响应采购、参加交易竞争的法人、其他组织或者自然人。</w:t>
      </w:r>
    </w:p>
    <w:p w14:paraId="5DDE842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2.4“负责人”系指法人企业的法定负责人，或其他组织为法律、行政法规规定代表单位行使职权的主要负责人，或自然人本人。</w:t>
      </w:r>
    </w:p>
    <w:p w14:paraId="16B7F36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6476CC1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2.6“电子交易平台”系指本项目采购活动所依托的</w:t>
      </w:r>
      <w:r>
        <w:rPr>
          <w:rFonts w:hint="eastAsia" w:ascii="仿宋" w:hAnsi="仿宋" w:eastAsia="仿宋" w:cs="仿宋"/>
          <w:color w:val="auto"/>
          <w:sz w:val="21"/>
          <w:szCs w:val="21"/>
          <w:highlight w:val="none"/>
          <w:shd w:val="clear" w:color="auto" w:fill="auto"/>
          <w:lang w:val="en-US" w:eastAsia="zh-CN"/>
        </w:rPr>
        <w:t>乐</w:t>
      </w:r>
      <w:r>
        <w:rPr>
          <w:rFonts w:hint="eastAsia" w:ascii="仿宋" w:hAnsi="仿宋" w:eastAsia="仿宋" w:cs="仿宋"/>
          <w:color w:val="auto"/>
          <w:sz w:val="21"/>
          <w:szCs w:val="21"/>
          <w:highlight w:val="none"/>
          <w:shd w:val="clear" w:color="auto" w:fill="auto"/>
        </w:rPr>
        <w:t>采云平台（https://middle.lecaiyun.com/）</w:t>
      </w:r>
      <w:r>
        <w:rPr>
          <w:rFonts w:hint="eastAsia" w:ascii="仿宋" w:hAnsi="仿宋" w:eastAsia="仿宋" w:cs="仿宋"/>
          <w:color w:val="auto"/>
          <w:sz w:val="21"/>
          <w:szCs w:val="21"/>
          <w:highlight w:val="none"/>
        </w:rPr>
        <w:t>。</w:t>
      </w:r>
    </w:p>
    <w:p w14:paraId="729F235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2.7“▲”系指实质性要求条款，“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”系指适用本项目的要求，“</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”系指不适用本项目的要求。</w:t>
      </w:r>
    </w:p>
    <w:p w14:paraId="5EC99472">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.询问、质疑、投诉</w:t>
      </w:r>
    </w:p>
    <w:p w14:paraId="7E18DBDF">
      <w:pPr>
        <w:autoSpaceDE w:val="0"/>
        <w:autoSpaceDN w:val="0"/>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zh-CN"/>
        </w:rPr>
        <w:t>供应商询问</w:t>
      </w:r>
    </w:p>
    <w:p w14:paraId="5181E611">
      <w:pPr>
        <w:autoSpaceDE w:val="0"/>
        <w:autoSpaceDN w:val="0"/>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对采购活动事项有疑问的，可以提出询问，交易发起人或者代理机构应当在3日内对供应商依法提出的询问作出答复，但答复的内容不得涉及商业秘密。供应商提出的询问超出交易发起人对代理机构委托授权范围的，代理机构应当告知供应商向交易发起人提出。</w:t>
      </w:r>
    </w:p>
    <w:p w14:paraId="24F6AFCB">
      <w:pPr>
        <w:autoSpaceDE w:val="0"/>
        <w:autoSpaceDN w:val="0"/>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zh-CN"/>
        </w:rPr>
        <w:t>供应商质疑</w:t>
      </w:r>
    </w:p>
    <w:p w14:paraId="7B5E2B47">
      <w:pPr>
        <w:autoSpaceDE w:val="0"/>
        <w:autoSpaceDN w:val="0"/>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zh-CN"/>
        </w:rPr>
        <w:t>.1提出质疑的供应商应当是参与所质疑项目采购活动的供应商。潜在供应商已依法获取其可质疑的交易文件的，可以对该文件提出质疑。</w:t>
      </w:r>
    </w:p>
    <w:p w14:paraId="7BB3E55F">
      <w:pPr>
        <w:autoSpaceDE w:val="0"/>
        <w:autoSpaceDN w:val="0"/>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zh-CN"/>
        </w:rPr>
        <w:t>.2供应商认为交易文件、采购过程和成交结果使自己的权益受到损害的，可以在知道或者应知其权益受到损害之日起</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val="zh-CN"/>
        </w:rPr>
        <w:t>日内，以书面形式向交易发起人或者代理机构提出质疑，否则，交易发起人或者代理机构不予受理。</w:t>
      </w:r>
    </w:p>
    <w:p w14:paraId="4C320A5E">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3.2.3</w:t>
      </w:r>
      <w:r>
        <w:rPr>
          <w:rFonts w:hint="eastAsia" w:ascii="仿宋" w:hAnsi="仿宋" w:eastAsia="仿宋" w:cs="仿宋"/>
          <w:color w:val="auto"/>
          <w:sz w:val="21"/>
          <w:szCs w:val="21"/>
          <w:highlight w:val="none"/>
        </w:rPr>
        <w:t>对交易过程提出</w:t>
      </w:r>
      <w:r>
        <w:rPr>
          <w:rFonts w:hint="eastAsia" w:ascii="仿宋" w:hAnsi="仿宋" w:eastAsia="仿宋" w:cs="仿宋"/>
          <w:color w:val="auto"/>
          <w:kern w:val="0"/>
          <w:sz w:val="21"/>
          <w:szCs w:val="21"/>
          <w:highlight w:val="none"/>
          <w:lang w:val="zh-CN"/>
        </w:rPr>
        <w:t>异议</w:t>
      </w:r>
      <w:r>
        <w:rPr>
          <w:rFonts w:hint="eastAsia" w:ascii="仿宋" w:hAnsi="仿宋" w:eastAsia="仿宋" w:cs="仿宋"/>
          <w:color w:val="auto"/>
          <w:sz w:val="21"/>
          <w:szCs w:val="21"/>
          <w:highlight w:val="none"/>
        </w:rPr>
        <w:t>的，</w:t>
      </w:r>
      <w:r>
        <w:rPr>
          <w:rFonts w:hint="eastAsia" w:ascii="仿宋" w:hAnsi="仿宋" w:eastAsia="仿宋" w:cs="仿宋"/>
          <w:color w:val="auto"/>
          <w:kern w:val="0"/>
          <w:sz w:val="21"/>
          <w:szCs w:val="21"/>
          <w:highlight w:val="none"/>
          <w:lang w:val="zh-CN"/>
        </w:rPr>
        <w:t>异议</w:t>
      </w:r>
      <w:r>
        <w:rPr>
          <w:rFonts w:hint="eastAsia" w:ascii="仿宋" w:hAnsi="仿宋" w:eastAsia="仿宋" w:cs="仿宋"/>
          <w:color w:val="auto"/>
          <w:sz w:val="21"/>
          <w:szCs w:val="21"/>
          <w:highlight w:val="none"/>
        </w:rPr>
        <w:t>期限为各交易程序环节结束之日起计算。对同一交易程序环节的</w:t>
      </w:r>
      <w:r>
        <w:rPr>
          <w:rFonts w:hint="eastAsia" w:ascii="仿宋" w:hAnsi="仿宋" w:eastAsia="仿宋" w:cs="仿宋"/>
          <w:color w:val="auto"/>
          <w:kern w:val="0"/>
          <w:sz w:val="21"/>
          <w:szCs w:val="21"/>
          <w:highlight w:val="none"/>
          <w:lang w:val="zh-CN"/>
        </w:rPr>
        <w:t>异议</w:t>
      </w:r>
      <w:r>
        <w:rPr>
          <w:rFonts w:hint="eastAsia" w:ascii="仿宋" w:hAnsi="仿宋" w:eastAsia="仿宋" w:cs="仿宋"/>
          <w:color w:val="auto"/>
          <w:sz w:val="21"/>
          <w:szCs w:val="21"/>
          <w:highlight w:val="none"/>
        </w:rPr>
        <w:t>，响应人须一次性提出。</w:t>
      </w:r>
    </w:p>
    <w:p w14:paraId="55915A3E">
      <w:pPr>
        <w:autoSpaceDE w:val="0"/>
        <w:autoSpaceDN w:val="0"/>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en-US" w:eastAsia="zh-CN"/>
        </w:rPr>
        <w:t xml:space="preserve">4 </w:t>
      </w:r>
      <w:r>
        <w:rPr>
          <w:rFonts w:hint="eastAsia" w:ascii="仿宋" w:hAnsi="仿宋" w:eastAsia="仿宋" w:cs="仿宋"/>
          <w:color w:val="auto"/>
          <w:kern w:val="0"/>
          <w:sz w:val="21"/>
          <w:szCs w:val="21"/>
          <w:highlight w:val="none"/>
          <w:lang w:val="zh-CN"/>
        </w:rPr>
        <w:t>供应商提出质疑应当提交质疑函和必要的证明材料。质疑函应当包括下列内容：</w:t>
      </w:r>
    </w:p>
    <w:p w14:paraId="4DB89D75">
      <w:pPr>
        <w:pStyle w:val="33"/>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zh-CN"/>
        </w:rPr>
        <w:t>.1供应商的姓名或者名称、地址、邮编、联系人及联系电话；</w:t>
      </w:r>
    </w:p>
    <w:p w14:paraId="2E943862">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en-US" w:eastAsia="zh-CN"/>
        </w:rPr>
        <w:t>3</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rPr>
        <w:t>2</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lang w:val="en-US" w:eastAsia="zh-CN"/>
        </w:rPr>
        <w:t>4</w:t>
      </w:r>
      <w:r>
        <w:rPr>
          <w:rFonts w:hint="eastAsia" w:ascii="仿宋" w:hAnsi="仿宋" w:eastAsia="仿宋" w:cs="仿宋"/>
          <w:snapToGrid/>
          <w:color w:val="auto"/>
          <w:kern w:val="0"/>
          <w:sz w:val="21"/>
          <w:szCs w:val="21"/>
          <w:highlight w:val="none"/>
          <w:lang w:val="zh-CN"/>
        </w:rPr>
        <w:t>.2质疑项目的名称、编号；</w:t>
      </w:r>
    </w:p>
    <w:p w14:paraId="4BCAB61D">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en-US" w:eastAsia="zh-CN"/>
        </w:rPr>
        <w:t>3</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rPr>
        <w:t>2</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lang w:val="en-US" w:eastAsia="zh-CN"/>
        </w:rPr>
        <w:t>4</w:t>
      </w:r>
      <w:r>
        <w:rPr>
          <w:rFonts w:hint="eastAsia" w:ascii="仿宋" w:hAnsi="仿宋" w:eastAsia="仿宋" w:cs="仿宋"/>
          <w:snapToGrid/>
          <w:color w:val="auto"/>
          <w:kern w:val="0"/>
          <w:sz w:val="21"/>
          <w:szCs w:val="21"/>
          <w:highlight w:val="none"/>
          <w:lang w:val="zh-CN"/>
        </w:rPr>
        <w:t>.3具体、明确的质疑事项和与质疑事项相关的请求；</w:t>
      </w:r>
    </w:p>
    <w:p w14:paraId="5402A036">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en-US" w:eastAsia="zh-CN"/>
        </w:rPr>
        <w:t>3</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rPr>
        <w:t>2</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lang w:val="en-US" w:eastAsia="zh-CN"/>
        </w:rPr>
        <w:t>4</w:t>
      </w:r>
      <w:r>
        <w:rPr>
          <w:rFonts w:hint="eastAsia" w:ascii="仿宋" w:hAnsi="仿宋" w:eastAsia="仿宋" w:cs="仿宋"/>
          <w:snapToGrid/>
          <w:color w:val="auto"/>
          <w:kern w:val="0"/>
          <w:sz w:val="21"/>
          <w:szCs w:val="21"/>
          <w:highlight w:val="none"/>
          <w:lang w:val="zh-CN"/>
        </w:rPr>
        <w:t>.4事实依据；</w:t>
      </w:r>
    </w:p>
    <w:p w14:paraId="21A291EF">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en-US" w:eastAsia="zh-CN"/>
        </w:rPr>
        <w:t>3</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rPr>
        <w:t>2</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lang w:val="en-US" w:eastAsia="zh-CN"/>
        </w:rPr>
        <w:t>4</w:t>
      </w:r>
      <w:r>
        <w:rPr>
          <w:rFonts w:hint="eastAsia" w:ascii="仿宋" w:hAnsi="仿宋" w:eastAsia="仿宋" w:cs="仿宋"/>
          <w:snapToGrid/>
          <w:color w:val="auto"/>
          <w:kern w:val="0"/>
          <w:sz w:val="21"/>
          <w:szCs w:val="21"/>
          <w:highlight w:val="none"/>
          <w:lang w:val="zh-CN"/>
        </w:rPr>
        <w:t>.5必要的法律依据；</w:t>
      </w:r>
    </w:p>
    <w:p w14:paraId="67C4907E">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en-US" w:eastAsia="zh-CN"/>
        </w:rPr>
        <w:t>3</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rPr>
        <w:t>2</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lang w:val="en-US" w:eastAsia="zh-CN"/>
        </w:rPr>
        <w:t>4</w:t>
      </w:r>
      <w:r>
        <w:rPr>
          <w:rFonts w:hint="eastAsia" w:ascii="仿宋" w:hAnsi="仿宋" w:eastAsia="仿宋" w:cs="仿宋"/>
          <w:snapToGrid/>
          <w:color w:val="auto"/>
          <w:kern w:val="0"/>
          <w:sz w:val="21"/>
          <w:szCs w:val="21"/>
          <w:highlight w:val="none"/>
          <w:lang w:val="zh-CN"/>
        </w:rPr>
        <w:t>.6提出质疑的日期。</w:t>
      </w:r>
    </w:p>
    <w:p w14:paraId="0BD4027A">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4132618">
      <w:pPr>
        <w:pStyle w:val="891"/>
        <w:shd w:val="clear" w:color="auto" w:fill="FFFFFF"/>
        <w:snapToGrid w:val="0"/>
        <w:spacing w:before="0" w:beforeAutospacing="0" w:after="0" w:afterAutospacing="0" w:line="360" w:lineRule="auto"/>
        <w:ind w:firstLine="420" w:firstLineChars="200"/>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质疑函范本及制作说明详见附件1。</w:t>
      </w:r>
    </w:p>
    <w:p w14:paraId="2BB51418">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en-US" w:eastAsia="zh-CN"/>
        </w:rPr>
        <w:t>3</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rPr>
        <w:t>2</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lang w:val="en-US" w:eastAsia="zh-CN"/>
        </w:rPr>
        <w:t>5</w:t>
      </w:r>
      <w:r>
        <w:rPr>
          <w:rFonts w:hint="eastAsia" w:ascii="仿宋" w:hAnsi="仿宋" w:eastAsia="仿宋" w:cs="仿宋"/>
          <w:snapToGrid/>
          <w:color w:val="auto"/>
          <w:kern w:val="0"/>
          <w:sz w:val="21"/>
          <w:szCs w:val="21"/>
          <w:highlight w:val="none"/>
          <w:lang w:val="zh-CN"/>
        </w:rPr>
        <w:t>对同一</w:t>
      </w:r>
      <w:r>
        <w:rPr>
          <w:rFonts w:hint="eastAsia" w:ascii="仿宋" w:hAnsi="仿宋" w:eastAsia="仿宋" w:cs="仿宋"/>
          <w:snapToGrid/>
          <w:color w:val="auto"/>
          <w:kern w:val="0"/>
          <w:sz w:val="21"/>
          <w:szCs w:val="21"/>
          <w:highlight w:val="none"/>
          <w:lang w:val="en-US" w:eastAsia="zh-CN"/>
        </w:rPr>
        <w:t>交易</w:t>
      </w:r>
      <w:r>
        <w:rPr>
          <w:rFonts w:hint="eastAsia" w:ascii="仿宋" w:hAnsi="仿宋" w:eastAsia="仿宋" w:cs="仿宋"/>
          <w:snapToGrid/>
          <w:color w:val="auto"/>
          <w:kern w:val="0"/>
          <w:sz w:val="21"/>
          <w:szCs w:val="21"/>
          <w:highlight w:val="none"/>
          <w:lang w:val="zh-CN"/>
        </w:rPr>
        <w:t>程序环节的质疑，供应商须在法定质疑期内一次性提出。</w:t>
      </w:r>
    </w:p>
    <w:p w14:paraId="1031BBC8">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en-US" w:eastAsia="zh-CN"/>
        </w:rPr>
        <w:t>3</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rPr>
        <w:t>2</w:t>
      </w:r>
      <w:r>
        <w:rPr>
          <w:rFonts w:hint="eastAsia" w:ascii="仿宋" w:hAnsi="仿宋" w:eastAsia="仿宋" w:cs="仿宋"/>
          <w:snapToGrid/>
          <w:color w:val="auto"/>
          <w:kern w:val="0"/>
          <w:sz w:val="21"/>
          <w:szCs w:val="21"/>
          <w:highlight w:val="none"/>
          <w:lang w:val="zh-CN"/>
        </w:rPr>
        <w:t>.</w:t>
      </w:r>
      <w:r>
        <w:rPr>
          <w:rFonts w:hint="eastAsia" w:ascii="仿宋" w:hAnsi="仿宋" w:eastAsia="仿宋" w:cs="仿宋"/>
          <w:snapToGrid/>
          <w:color w:val="auto"/>
          <w:kern w:val="0"/>
          <w:sz w:val="21"/>
          <w:szCs w:val="21"/>
          <w:highlight w:val="none"/>
          <w:lang w:val="en-US" w:eastAsia="zh-CN"/>
        </w:rPr>
        <w:t>6</w:t>
      </w:r>
      <w:r>
        <w:rPr>
          <w:rFonts w:hint="eastAsia" w:ascii="仿宋" w:hAnsi="仿宋" w:eastAsia="仿宋" w:cs="仿宋"/>
          <w:snapToGrid/>
          <w:color w:val="auto"/>
          <w:kern w:val="0"/>
          <w:sz w:val="21"/>
          <w:szCs w:val="21"/>
          <w:highlight w:val="none"/>
          <w:lang w:val="zh-CN"/>
        </w:rPr>
        <w:t>询问或者质疑事项可能影响采购结果的，交易发起人应当暂停签订合同，已经签订合同的，应当中止履行合同。</w:t>
      </w:r>
    </w:p>
    <w:p w14:paraId="526A7142">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en-US" w:eastAsia="zh-CN"/>
        </w:rPr>
        <w:t>3</w:t>
      </w:r>
      <w:r>
        <w:rPr>
          <w:rFonts w:hint="eastAsia" w:ascii="仿宋" w:hAnsi="仿宋" w:eastAsia="仿宋" w:cs="仿宋"/>
          <w:snapToGrid/>
          <w:color w:val="auto"/>
          <w:kern w:val="0"/>
          <w:sz w:val="21"/>
          <w:szCs w:val="21"/>
          <w:highlight w:val="none"/>
          <w:lang w:val="zh-CN"/>
        </w:rPr>
        <w:t>.3供应商投诉</w:t>
      </w:r>
    </w:p>
    <w:p w14:paraId="493A33D9">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zh-CN"/>
        </w:rPr>
        <w:t>3.3.1供应商对交易发起人、代理机构的答复不满意或者交易发起人、代理机构未在规定的时间内作出答复的，可以在答复期满后10日内向基层监督机构部门提出投诉。</w:t>
      </w:r>
    </w:p>
    <w:p w14:paraId="3ECE4728">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zh-CN"/>
        </w:rPr>
        <w:t>3.3.2供应商投诉的事项不得超出已</w:t>
      </w:r>
      <w:r>
        <w:rPr>
          <w:rFonts w:hint="eastAsia" w:ascii="仿宋" w:hAnsi="仿宋" w:eastAsia="仿宋" w:cs="仿宋"/>
          <w:snapToGrid/>
          <w:color w:val="auto"/>
          <w:kern w:val="0"/>
          <w:sz w:val="21"/>
          <w:szCs w:val="21"/>
          <w:highlight w:val="none"/>
          <w:lang w:val="en-US" w:eastAsia="zh-CN"/>
        </w:rPr>
        <w:t>质疑</w:t>
      </w:r>
      <w:r>
        <w:rPr>
          <w:rFonts w:hint="eastAsia" w:ascii="仿宋" w:hAnsi="仿宋" w:eastAsia="仿宋" w:cs="仿宋"/>
          <w:snapToGrid/>
          <w:color w:val="auto"/>
          <w:kern w:val="0"/>
          <w:sz w:val="21"/>
          <w:szCs w:val="21"/>
          <w:highlight w:val="none"/>
          <w:lang w:val="zh-CN"/>
        </w:rPr>
        <w:t>事项的范围，基于</w:t>
      </w:r>
      <w:r>
        <w:rPr>
          <w:rFonts w:hint="eastAsia" w:ascii="仿宋" w:hAnsi="仿宋" w:eastAsia="仿宋" w:cs="仿宋"/>
          <w:snapToGrid/>
          <w:color w:val="auto"/>
          <w:kern w:val="0"/>
          <w:sz w:val="21"/>
          <w:szCs w:val="21"/>
          <w:highlight w:val="none"/>
          <w:lang w:val="en-US" w:eastAsia="zh-CN"/>
        </w:rPr>
        <w:t>质疑</w:t>
      </w:r>
      <w:r>
        <w:rPr>
          <w:rFonts w:hint="eastAsia" w:ascii="仿宋" w:hAnsi="仿宋" w:eastAsia="仿宋" w:cs="仿宋"/>
          <w:snapToGrid/>
          <w:color w:val="auto"/>
          <w:kern w:val="0"/>
          <w:sz w:val="21"/>
          <w:szCs w:val="21"/>
          <w:highlight w:val="none"/>
          <w:lang w:val="zh-CN"/>
        </w:rPr>
        <w:t>答复内容提出的投诉事项除外。</w:t>
      </w:r>
    </w:p>
    <w:p w14:paraId="11DF8051">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zh-CN"/>
        </w:rPr>
        <w:t>3.3.3供应商投诉应当有明确的请求和必要的证明材料。</w:t>
      </w:r>
    </w:p>
    <w:p w14:paraId="2BAA8898">
      <w:pPr>
        <w:pStyle w:val="33"/>
        <w:spacing w:line="360" w:lineRule="auto"/>
        <w:ind w:firstLine="420" w:firstLineChars="200"/>
        <w:rPr>
          <w:rFonts w:hint="eastAsia" w:ascii="仿宋" w:hAnsi="仿宋" w:eastAsia="仿宋" w:cs="仿宋"/>
          <w:snapToGrid/>
          <w:color w:val="auto"/>
          <w:kern w:val="0"/>
          <w:sz w:val="21"/>
          <w:szCs w:val="21"/>
          <w:highlight w:val="none"/>
          <w:lang w:val="zh-CN"/>
        </w:rPr>
      </w:pPr>
      <w:r>
        <w:rPr>
          <w:rFonts w:hint="eastAsia" w:ascii="仿宋" w:hAnsi="仿宋" w:eastAsia="仿宋" w:cs="仿宋"/>
          <w:snapToGrid/>
          <w:color w:val="auto"/>
          <w:kern w:val="0"/>
          <w:sz w:val="21"/>
          <w:szCs w:val="21"/>
          <w:highlight w:val="none"/>
          <w:lang w:val="zh-CN"/>
        </w:rPr>
        <w:t>3.3.4以联合体形式参加交易活动的，其投诉应当由组成联合体的所有响应人共同提出。</w:t>
      </w:r>
    </w:p>
    <w:p w14:paraId="316BB24F">
      <w:pPr>
        <w:pStyle w:val="33"/>
        <w:spacing w:line="360" w:lineRule="auto"/>
        <w:ind w:firstLine="42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1"/>
          <w:szCs w:val="21"/>
          <w:highlight w:val="none"/>
          <w:lang w:val="zh-CN"/>
        </w:rPr>
        <w:t>投诉书范本及制作说明详见附件2。</w:t>
      </w:r>
    </w:p>
    <w:p w14:paraId="661A7255">
      <w:pPr>
        <w:pStyle w:val="891"/>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p>
    <w:p w14:paraId="35DE5035">
      <w:pPr>
        <w:adjustRightInd/>
        <w:spacing w:line="360" w:lineRule="auto"/>
        <w:jc w:val="center"/>
        <w:outlineLvl w:val="0"/>
        <w:rPr>
          <w:rFonts w:hint="eastAsia" w:ascii="仿宋" w:hAnsi="仿宋" w:eastAsia="仿宋" w:cs="仿宋"/>
          <w:b/>
          <w:color w:val="auto"/>
          <w:sz w:val="28"/>
          <w:szCs w:val="18"/>
          <w:highlight w:val="none"/>
        </w:rPr>
      </w:pPr>
      <w:bookmarkStart w:id="31" w:name="_Toc18941"/>
      <w:bookmarkStart w:id="32" w:name="_Toc8135"/>
      <w:bookmarkStart w:id="33" w:name="_Toc12080"/>
      <w:bookmarkStart w:id="34" w:name="_Toc25133"/>
      <w:r>
        <w:rPr>
          <w:rFonts w:hint="eastAsia" w:ascii="仿宋" w:hAnsi="仿宋" w:eastAsia="仿宋" w:cs="仿宋"/>
          <w:b/>
          <w:color w:val="auto"/>
          <w:sz w:val="28"/>
          <w:szCs w:val="18"/>
          <w:highlight w:val="none"/>
        </w:rPr>
        <w:t>二、交易文件的构成、澄清、修改</w:t>
      </w:r>
      <w:bookmarkEnd w:id="31"/>
      <w:bookmarkEnd w:id="32"/>
      <w:bookmarkEnd w:id="33"/>
      <w:bookmarkEnd w:id="34"/>
    </w:p>
    <w:p w14:paraId="60800CBE">
      <w:pPr>
        <w:pStyle w:val="33"/>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.交易文件的构成</w:t>
      </w:r>
    </w:p>
    <w:p w14:paraId="16D5492E">
      <w:pPr>
        <w:pStyle w:val="33"/>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.1交易文件包括下列文件及附件：</w:t>
      </w:r>
    </w:p>
    <w:p w14:paraId="5B3419AF">
      <w:pPr>
        <w:pStyle w:val="33"/>
        <w:tabs>
          <w:tab w:val="left" w:pos="84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.1.1交易公告；</w:t>
      </w:r>
    </w:p>
    <w:p w14:paraId="40D1D2B4">
      <w:pPr>
        <w:pStyle w:val="33"/>
        <w:tabs>
          <w:tab w:val="left" w:pos="84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.1.2供应商须知；</w:t>
      </w:r>
    </w:p>
    <w:p w14:paraId="058EDBF7">
      <w:pPr>
        <w:pStyle w:val="33"/>
        <w:tabs>
          <w:tab w:val="left" w:pos="84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交易需求</w:t>
      </w:r>
      <w:r>
        <w:rPr>
          <w:rFonts w:hint="eastAsia" w:ascii="仿宋" w:hAnsi="仿宋" w:eastAsia="仿宋" w:cs="仿宋"/>
          <w:color w:val="auto"/>
          <w:sz w:val="21"/>
          <w:szCs w:val="21"/>
          <w:highlight w:val="none"/>
        </w:rPr>
        <w:t>；</w:t>
      </w:r>
    </w:p>
    <w:p w14:paraId="15BD11CA">
      <w:pPr>
        <w:pStyle w:val="33"/>
        <w:tabs>
          <w:tab w:val="left" w:pos="84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.1.4评审办法；</w:t>
      </w:r>
    </w:p>
    <w:p w14:paraId="2CF62CCB">
      <w:pPr>
        <w:pStyle w:val="33"/>
        <w:tabs>
          <w:tab w:val="left" w:pos="84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.1.5拟签订的合同文本；</w:t>
      </w:r>
    </w:p>
    <w:p w14:paraId="2A252077">
      <w:pPr>
        <w:pStyle w:val="33"/>
        <w:tabs>
          <w:tab w:val="left" w:pos="84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.1.6应提交的有关格式范例。</w:t>
      </w:r>
    </w:p>
    <w:p w14:paraId="48BF44A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.2与本项目有关的</w:t>
      </w:r>
      <w:r>
        <w:rPr>
          <w:rFonts w:hint="eastAsia" w:ascii="仿宋" w:hAnsi="仿宋" w:eastAsia="仿宋" w:cs="仿宋"/>
          <w:bCs/>
          <w:color w:val="auto"/>
          <w:sz w:val="21"/>
          <w:szCs w:val="21"/>
          <w:highlight w:val="none"/>
        </w:rPr>
        <w:t>澄清或者修改的内容为交易文件的组成部分</w:t>
      </w:r>
      <w:r>
        <w:rPr>
          <w:rFonts w:hint="eastAsia" w:ascii="仿宋" w:hAnsi="仿宋" w:eastAsia="仿宋" w:cs="仿宋"/>
          <w:color w:val="auto"/>
          <w:sz w:val="21"/>
          <w:szCs w:val="21"/>
          <w:highlight w:val="none"/>
        </w:rPr>
        <w:t>。</w:t>
      </w:r>
    </w:p>
    <w:p w14:paraId="6503D02B">
      <w:pPr>
        <w:pStyle w:val="33"/>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5</w:t>
      </w:r>
      <w:r>
        <w:rPr>
          <w:rFonts w:hint="eastAsia" w:ascii="仿宋" w:hAnsi="仿宋" w:eastAsia="仿宋" w:cs="仿宋"/>
          <w:b/>
          <w:color w:val="auto"/>
          <w:sz w:val="21"/>
          <w:szCs w:val="21"/>
          <w:highlight w:val="none"/>
        </w:rPr>
        <w:t>.交易文件的澄清、修改</w:t>
      </w:r>
    </w:p>
    <w:p w14:paraId="772BC8AE">
      <w:pPr>
        <w:pStyle w:val="16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.1已获取交易文件的潜在供应商，若有问题需要澄清，应于响应截止时间前，以书面形式向</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提出。</w:t>
      </w:r>
    </w:p>
    <w:p w14:paraId="31C7B555">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对交易文件进行澄清或修改的，将同时通过电子交易平台通知已获取交易文件的潜在供应商。依法应当公告的，将按规定公告，同时视情况延长响应截止时间和</w:t>
      </w: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时间。该澄清或者修改的内容为交易文件的组成部分。</w:t>
      </w:r>
    </w:p>
    <w:p w14:paraId="10E46561">
      <w:pPr>
        <w:pStyle w:val="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48A63B9">
      <w:pPr>
        <w:rPr>
          <w:rFonts w:hint="eastAsia" w:ascii="仿宋" w:hAnsi="仿宋" w:eastAsia="仿宋" w:cs="仿宋"/>
          <w:b/>
          <w:color w:val="auto"/>
          <w:sz w:val="32"/>
          <w:szCs w:val="21"/>
          <w:highlight w:val="none"/>
        </w:rPr>
      </w:pPr>
      <w:bookmarkStart w:id="35" w:name="_Toc25528"/>
      <w:bookmarkStart w:id="36" w:name="_Toc5564"/>
      <w:bookmarkStart w:id="37" w:name="_Toc31530"/>
      <w:bookmarkStart w:id="38" w:name="_Toc19369"/>
      <w:r>
        <w:rPr>
          <w:rFonts w:hint="eastAsia" w:ascii="仿宋" w:hAnsi="仿宋" w:eastAsia="仿宋" w:cs="仿宋"/>
          <w:b/>
          <w:color w:val="auto"/>
          <w:sz w:val="32"/>
          <w:szCs w:val="21"/>
          <w:highlight w:val="none"/>
        </w:rPr>
        <w:br w:type="page"/>
      </w:r>
    </w:p>
    <w:p w14:paraId="4CEA3080">
      <w:pPr>
        <w:adjustRightInd/>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w:t>
      </w:r>
      <w:bookmarkEnd w:id="35"/>
      <w:bookmarkEnd w:id="36"/>
      <w:r>
        <w:rPr>
          <w:rFonts w:hint="eastAsia" w:ascii="仿宋" w:hAnsi="仿宋" w:eastAsia="仿宋" w:cs="仿宋"/>
          <w:b/>
          <w:color w:val="auto"/>
          <w:sz w:val="28"/>
          <w:szCs w:val="28"/>
          <w:highlight w:val="none"/>
        </w:rPr>
        <w:t>响应</w:t>
      </w:r>
      <w:bookmarkEnd w:id="37"/>
      <w:bookmarkEnd w:id="38"/>
    </w:p>
    <w:p w14:paraId="4594D049">
      <w:pPr>
        <w:pStyle w:val="33"/>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6</w:t>
      </w:r>
      <w:r>
        <w:rPr>
          <w:rFonts w:hint="eastAsia" w:ascii="仿宋" w:hAnsi="仿宋" w:eastAsia="仿宋" w:cs="仿宋"/>
          <w:b/>
          <w:color w:val="auto"/>
          <w:sz w:val="21"/>
          <w:szCs w:val="21"/>
          <w:highlight w:val="none"/>
        </w:rPr>
        <w:t>.交易文件的获取</w:t>
      </w:r>
    </w:p>
    <w:p w14:paraId="1A00970F">
      <w:pPr>
        <w:spacing w:line="360" w:lineRule="auto"/>
        <w:ind w:firstLine="420" w:firstLineChars="20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详见交易公告中获取交易文件的时间期限、地点、方式及交易文件售价。</w:t>
      </w:r>
    </w:p>
    <w:p w14:paraId="580AAD63">
      <w:pPr>
        <w:pStyle w:val="33"/>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7</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eastAsia="zh-CN"/>
        </w:rPr>
        <w:t>交易</w:t>
      </w:r>
      <w:r>
        <w:rPr>
          <w:rFonts w:hint="eastAsia" w:ascii="仿宋" w:hAnsi="仿宋" w:eastAsia="仿宋" w:cs="仿宋"/>
          <w:b/>
          <w:color w:val="auto"/>
          <w:sz w:val="21"/>
          <w:szCs w:val="21"/>
          <w:highlight w:val="none"/>
        </w:rPr>
        <w:t>前答疑会或现场考察</w:t>
      </w:r>
    </w:p>
    <w:p w14:paraId="60EA111B">
      <w:pPr>
        <w:pStyle w:val="33"/>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组织潜在供应商现场考察或者召开</w:t>
      </w: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前答疑会的，潜在供应商按第二部分供应商须知前附表的规定参加现场考察或者</w:t>
      </w: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前答疑会。</w:t>
      </w:r>
    </w:p>
    <w:p w14:paraId="3C358D1C">
      <w:pPr>
        <w:pStyle w:val="33"/>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kern w:val="28"/>
          <w:sz w:val="21"/>
          <w:szCs w:val="21"/>
          <w:highlight w:val="none"/>
          <w:lang w:val="en-US" w:eastAsia="zh-CN"/>
        </w:rPr>
        <w:t>8</w:t>
      </w:r>
      <w:r>
        <w:rPr>
          <w:rFonts w:hint="eastAsia" w:ascii="仿宋" w:hAnsi="仿宋" w:eastAsia="仿宋" w:cs="仿宋"/>
          <w:b/>
          <w:color w:val="auto"/>
          <w:kern w:val="28"/>
          <w:sz w:val="21"/>
          <w:szCs w:val="21"/>
          <w:highlight w:val="none"/>
        </w:rPr>
        <w:t>.响应保证金</w:t>
      </w:r>
    </w:p>
    <w:p w14:paraId="3E0331F5">
      <w:pPr>
        <w:pStyle w:val="16"/>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本项目不需缴纳响应保证金。</w:t>
      </w:r>
    </w:p>
    <w:p w14:paraId="2E456DAD">
      <w:pPr>
        <w:pStyle w:val="33"/>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9</w:t>
      </w:r>
      <w:r>
        <w:rPr>
          <w:rFonts w:hint="eastAsia" w:ascii="仿宋" w:hAnsi="仿宋" w:eastAsia="仿宋" w:cs="仿宋"/>
          <w:b/>
          <w:color w:val="auto"/>
          <w:sz w:val="21"/>
          <w:szCs w:val="21"/>
          <w:highlight w:val="none"/>
        </w:rPr>
        <w:t>.响应文件的语言</w:t>
      </w:r>
    </w:p>
    <w:p w14:paraId="219F8F3C">
      <w:pPr>
        <w:pStyle w:val="16"/>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响应文件及供应商与采购有关的来往通知、函件和文件均应使用中文。</w:t>
      </w:r>
    </w:p>
    <w:p w14:paraId="2B8ABAA6">
      <w:pPr>
        <w:pStyle w:val="33"/>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0</w:t>
      </w:r>
      <w:r>
        <w:rPr>
          <w:rFonts w:hint="eastAsia" w:ascii="仿宋" w:hAnsi="仿宋" w:eastAsia="仿宋" w:cs="仿宋"/>
          <w:b/>
          <w:color w:val="auto"/>
          <w:sz w:val="21"/>
          <w:szCs w:val="21"/>
          <w:highlight w:val="none"/>
        </w:rPr>
        <w:t>.响应文件的组成</w:t>
      </w:r>
    </w:p>
    <w:p w14:paraId="1F5D0FB6">
      <w:pPr>
        <w:snapToGrid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10.1</w:t>
      </w:r>
      <w:r>
        <w:rPr>
          <w:rFonts w:hint="eastAsia" w:ascii="仿宋" w:hAnsi="仿宋" w:eastAsia="仿宋" w:cs="仿宋"/>
          <w:b/>
          <w:color w:val="auto"/>
          <w:sz w:val="21"/>
          <w:szCs w:val="21"/>
          <w:highlight w:val="none"/>
        </w:rPr>
        <w:t>资格文件</w:t>
      </w:r>
      <w:r>
        <w:rPr>
          <w:rFonts w:hint="eastAsia" w:ascii="仿宋" w:hAnsi="仿宋" w:eastAsia="仿宋" w:cs="仿宋"/>
          <w:color w:val="auto"/>
          <w:sz w:val="21"/>
          <w:szCs w:val="21"/>
          <w:highlight w:val="none"/>
        </w:rPr>
        <w:t>：</w:t>
      </w:r>
    </w:p>
    <w:p w14:paraId="2B99E9A0">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10.1.1符合参加交易活动应当具备的一般条件的承诺函；</w:t>
      </w:r>
    </w:p>
    <w:p w14:paraId="1A622BC1">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10.1.2本项目的特定资格要求。</w:t>
      </w:r>
    </w:p>
    <w:p w14:paraId="4F718D69">
      <w:pPr>
        <w:snapToGrid w:val="0"/>
        <w:spacing w:line="360" w:lineRule="auto"/>
        <w:ind w:firstLine="422" w:firstLineChars="200"/>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1</w:t>
      </w:r>
      <w:r>
        <w:rPr>
          <w:rFonts w:hint="eastAsia" w:ascii="仿宋" w:hAnsi="仿宋" w:eastAsia="仿宋" w:cs="仿宋"/>
          <w:b/>
          <w:bCs/>
          <w:color w:val="auto"/>
          <w:sz w:val="21"/>
          <w:szCs w:val="21"/>
          <w:highlight w:val="none"/>
        </w:rPr>
        <w:t>0</w:t>
      </w:r>
      <w:r>
        <w:rPr>
          <w:rFonts w:hint="eastAsia" w:ascii="仿宋" w:hAnsi="仿宋" w:eastAsia="仿宋" w:cs="仿宋"/>
          <w:b/>
          <w:bCs/>
          <w:color w:val="auto"/>
          <w:sz w:val="21"/>
          <w:szCs w:val="21"/>
          <w:highlight w:val="none"/>
          <w:lang w:val="zh-CN"/>
        </w:rPr>
        <w:t>.</w:t>
      </w:r>
      <w:r>
        <w:rPr>
          <w:rFonts w:hint="eastAsia" w:ascii="仿宋" w:hAnsi="仿宋" w:eastAsia="仿宋" w:cs="仿宋"/>
          <w:b/>
          <w:bCs/>
          <w:color w:val="auto"/>
          <w:sz w:val="21"/>
          <w:szCs w:val="21"/>
          <w:highlight w:val="none"/>
        </w:rPr>
        <w:t>2商务技术</w:t>
      </w:r>
      <w:r>
        <w:rPr>
          <w:rFonts w:hint="eastAsia" w:ascii="仿宋" w:hAnsi="仿宋" w:eastAsia="仿宋" w:cs="仿宋"/>
          <w:b/>
          <w:bCs/>
          <w:color w:val="auto"/>
          <w:sz w:val="21"/>
          <w:szCs w:val="21"/>
          <w:highlight w:val="none"/>
          <w:lang w:val="zh-CN"/>
        </w:rPr>
        <w:t>文件：</w:t>
      </w:r>
    </w:p>
    <w:p w14:paraId="0BC3B4ED">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10.2.1</w:t>
      </w:r>
      <w:r>
        <w:rPr>
          <w:rFonts w:hint="eastAsia" w:ascii="仿宋" w:hAnsi="仿宋" w:eastAsia="仿宋" w:cs="仿宋"/>
          <w:color w:val="auto"/>
          <w:sz w:val="21"/>
          <w:szCs w:val="21"/>
          <w:highlight w:val="none"/>
          <w:lang w:eastAsia="zh-CN"/>
        </w:rPr>
        <w:t>响应函</w:t>
      </w:r>
      <w:r>
        <w:rPr>
          <w:rFonts w:hint="eastAsia" w:ascii="仿宋" w:hAnsi="仿宋" w:eastAsia="仿宋" w:cs="仿宋"/>
          <w:color w:val="auto"/>
          <w:sz w:val="21"/>
          <w:szCs w:val="21"/>
          <w:highlight w:val="none"/>
        </w:rPr>
        <w:t>；</w:t>
      </w:r>
    </w:p>
    <w:p w14:paraId="68915AF1">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10.2.2授权委托书或法定代表人（单位负责人、自然人本人）身份证明；</w:t>
      </w:r>
    </w:p>
    <w:p w14:paraId="63688BA4">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10.2.3</w:t>
      </w:r>
      <w:r>
        <w:rPr>
          <w:rFonts w:hint="eastAsia" w:ascii="仿宋" w:hAnsi="仿宋" w:eastAsia="仿宋" w:cs="仿宋"/>
          <w:color w:val="auto"/>
          <w:sz w:val="21"/>
          <w:szCs w:val="21"/>
          <w:highlight w:val="none"/>
          <w:lang w:eastAsia="zh-CN"/>
        </w:rPr>
        <w:t>营业执照</w:t>
      </w:r>
      <w:r>
        <w:rPr>
          <w:rFonts w:hint="eastAsia" w:ascii="仿宋" w:hAnsi="仿宋" w:eastAsia="仿宋" w:cs="仿宋"/>
          <w:color w:val="auto"/>
          <w:sz w:val="21"/>
          <w:szCs w:val="21"/>
          <w:highlight w:val="none"/>
        </w:rPr>
        <w:t>；</w:t>
      </w:r>
    </w:p>
    <w:p w14:paraId="717D6DE2">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10.2.4符合性审查资料；</w:t>
      </w:r>
    </w:p>
    <w:p w14:paraId="76966BA6">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10.2.5评审标准相应的商务技术资料；</w:t>
      </w:r>
    </w:p>
    <w:p w14:paraId="0A869F30">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10.2.6商务技术偏离表；</w:t>
      </w:r>
    </w:p>
    <w:p w14:paraId="6C6AEA71">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10.2.7</w:t>
      </w:r>
      <w:r>
        <w:rPr>
          <w:rFonts w:hint="eastAsia" w:ascii="仿宋" w:hAnsi="仿宋" w:eastAsia="仿宋" w:cs="仿宋"/>
          <w:color w:val="auto"/>
          <w:sz w:val="21"/>
          <w:szCs w:val="21"/>
          <w:highlight w:val="none"/>
          <w:lang w:val="zh-CN"/>
        </w:rPr>
        <w:t>供应商廉洁自律承诺书。</w:t>
      </w:r>
    </w:p>
    <w:p w14:paraId="6A3247ED">
      <w:pPr>
        <w:snapToGrid w:val="0"/>
        <w:spacing w:line="360" w:lineRule="auto"/>
        <w:ind w:firstLine="422" w:firstLineChars="200"/>
        <w:rPr>
          <w:rFonts w:hint="eastAsia" w:ascii="仿宋" w:hAnsi="仿宋" w:eastAsia="仿宋" w:cs="仿宋"/>
          <w:b/>
          <w:bCs/>
          <w:color w:val="auto"/>
          <w:sz w:val="21"/>
          <w:szCs w:val="21"/>
          <w:highlight w:val="none"/>
          <w:u w:val="single"/>
          <w:lang w:val="zh-CN"/>
        </w:rPr>
      </w:pPr>
      <w:r>
        <w:rPr>
          <w:rFonts w:hint="eastAsia" w:ascii="仿宋" w:hAnsi="仿宋" w:eastAsia="仿宋" w:cs="仿宋"/>
          <w:b/>
          <w:bCs/>
          <w:color w:val="auto"/>
          <w:kern w:val="0"/>
          <w:sz w:val="21"/>
          <w:szCs w:val="21"/>
          <w:highlight w:val="none"/>
          <w:lang w:val="zh-CN"/>
        </w:rPr>
        <w:t>1</w:t>
      </w:r>
      <w:r>
        <w:rPr>
          <w:rFonts w:hint="eastAsia" w:ascii="仿宋" w:hAnsi="仿宋" w:eastAsia="仿宋" w:cs="仿宋"/>
          <w:b/>
          <w:bCs/>
          <w:color w:val="auto"/>
          <w:kern w:val="0"/>
          <w:sz w:val="21"/>
          <w:szCs w:val="21"/>
          <w:highlight w:val="none"/>
        </w:rPr>
        <w:t>0</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kern w:val="0"/>
          <w:sz w:val="21"/>
          <w:szCs w:val="21"/>
          <w:highlight w:val="none"/>
        </w:rPr>
        <w:t>3</w:t>
      </w:r>
      <w:r>
        <w:rPr>
          <w:rFonts w:hint="eastAsia" w:ascii="仿宋" w:hAnsi="仿宋" w:eastAsia="仿宋" w:cs="仿宋"/>
          <w:b/>
          <w:bCs/>
          <w:color w:val="auto"/>
          <w:sz w:val="21"/>
          <w:szCs w:val="21"/>
          <w:highlight w:val="none"/>
        </w:rPr>
        <w:t>报价文件：</w:t>
      </w:r>
    </w:p>
    <w:p w14:paraId="3E87705E">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10.3.1交易一览表（报价表）。</w:t>
      </w:r>
    </w:p>
    <w:p w14:paraId="01125D73">
      <w:pPr>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响应文件含有交易发起人不能接受的附加条件的，交易无效；</w:t>
      </w:r>
    </w:p>
    <w:p w14:paraId="58C7C3E9">
      <w:pPr>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响应人提供虚假材料</w:t>
      </w:r>
      <w:r>
        <w:rPr>
          <w:rFonts w:hint="eastAsia" w:ascii="仿宋" w:hAnsi="仿宋" w:eastAsia="仿宋" w:cs="仿宋"/>
          <w:b/>
          <w:color w:val="auto"/>
          <w:sz w:val="21"/>
          <w:szCs w:val="21"/>
          <w:highlight w:val="none"/>
          <w:lang w:eastAsia="zh-CN"/>
        </w:rPr>
        <w:t>响应</w:t>
      </w:r>
      <w:r>
        <w:rPr>
          <w:rFonts w:hint="eastAsia" w:ascii="仿宋" w:hAnsi="仿宋" w:eastAsia="仿宋" w:cs="仿宋"/>
          <w:b/>
          <w:color w:val="auto"/>
          <w:sz w:val="21"/>
          <w:szCs w:val="21"/>
          <w:highlight w:val="none"/>
        </w:rPr>
        <w:t>的，交易无效。</w:t>
      </w:r>
    </w:p>
    <w:p w14:paraId="6442A232">
      <w:pPr>
        <w:spacing w:line="360" w:lineRule="auto"/>
        <w:ind w:firstLine="422" w:firstLineChars="200"/>
        <w:rPr>
          <w:rFonts w:hint="eastAsia" w:ascii="仿宋" w:hAnsi="仿宋" w:eastAsia="仿宋" w:cs="仿宋"/>
          <w:b/>
          <w:color w:val="auto"/>
          <w:sz w:val="21"/>
          <w:szCs w:val="21"/>
          <w:highlight w:val="none"/>
        </w:rPr>
      </w:pPr>
      <w:bookmarkStart w:id="39" w:name="_Toc21752"/>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lang w:val="zh-CN"/>
        </w:rPr>
        <w:t>.</w:t>
      </w:r>
      <w:r>
        <w:rPr>
          <w:rFonts w:hint="eastAsia" w:ascii="仿宋" w:hAnsi="仿宋" w:eastAsia="仿宋" w:cs="仿宋"/>
          <w:b/>
          <w:color w:val="auto"/>
          <w:sz w:val="21"/>
          <w:szCs w:val="21"/>
          <w:highlight w:val="none"/>
        </w:rPr>
        <w:t>响应文件的编制</w:t>
      </w:r>
      <w:bookmarkEnd w:id="39"/>
    </w:p>
    <w:p w14:paraId="480C697E">
      <w:pPr>
        <w:snapToGrid w:val="0"/>
        <w:spacing w:line="360" w:lineRule="auto"/>
        <w:ind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zh-CN"/>
        </w:rPr>
        <w:t>1</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4961C2DA">
      <w:pPr>
        <w:snapToGrid w:val="0"/>
        <w:spacing w:line="360" w:lineRule="auto"/>
        <w:ind w:firstLine="420" w:firstLineChars="200"/>
        <w:rPr>
          <w:rFonts w:hint="eastAsia" w:ascii="仿宋" w:hAnsi="仿宋" w:eastAsia="仿宋" w:cs="仿宋"/>
          <w:b w:val="0"/>
          <w:bCs/>
          <w:color w:val="auto"/>
          <w:sz w:val="21"/>
          <w:szCs w:val="21"/>
          <w:highlight w:val="none"/>
          <w:lang w:val="zh-CN"/>
        </w:rPr>
      </w:pPr>
      <w:r>
        <w:rPr>
          <w:rFonts w:hint="eastAsia" w:ascii="仿宋" w:hAnsi="仿宋" w:eastAsia="仿宋" w:cs="仿宋"/>
          <w:b w:val="0"/>
          <w:bCs/>
          <w:color w:val="auto"/>
          <w:sz w:val="21"/>
          <w:szCs w:val="21"/>
          <w:highlight w:val="none"/>
          <w:lang w:val="zh-CN"/>
        </w:rPr>
        <w:t>1</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val="zh-CN"/>
        </w:rPr>
        <w:t>.2供应商进行电子响应应安装客户端软件—“乐采云投标客户端”，并按照交易文件和电子交易平台的要求编制并加密响应文件。供应商未按规定加密的响应文件，电子交易平台将拒收并提示。</w:t>
      </w:r>
    </w:p>
    <w:p w14:paraId="37AF29FC">
      <w:pPr>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b w:val="0"/>
          <w:bCs/>
          <w:color w:val="auto"/>
          <w:sz w:val="21"/>
          <w:szCs w:val="21"/>
          <w:highlight w:val="none"/>
          <w:lang w:val="zh-CN"/>
        </w:rPr>
        <w:t>1</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val="zh-CN"/>
        </w:rPr>
        <w:t>.3使用“乐采云投标客户端”需要提前申领CA数字证书，申领流程请自行前往“浙江政府采购网-下载专区-电子交易客户端-CA驱动和申领流程”进行查阅。</w:t>
      </w:r>
    </w:p>
    <w:p w14:paraId="34B59506">
      <w:pPr>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.响应文件的签署、盖章</w:t>
      </w:r>
    </w:p>
    <w:p w14:paraId="09769692">
      <w:pPr>
        <w:pStyle w:val="163"/>
        <w:snapToGrid w:val="0"/>
        <w:spacing w:before="0" w:line="360" w:lineRule="auto"/>
        <w:ind w:firstLine="48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.1响应文件按照交易文件第六部分格式要求进行签署、盖章。</w:t>
      </w:r>
      <w:r>
        <w:rPr>
          <w:rFonts w:hint="eastAsia" w:ascii="仿宋" w:hAnsi="仿宋" w:eastAsia="仿宋" w:cs="仿宋"/>
          <w:b/>
          <w:color w:val="auto"/>
          <w:sz w:val="21"/>
          <w:szCs w:val="21"/>
          <w:highlight w:val="none"/>
        </w:rPr>
        <w:t>▲供应商的响应文件未按照交易文件要求签署、盖章的，其响应无效</w:t>
      </w:r>
      <w:r>
        <w:rPr>
          <w:rFonts w:hint="eastAsia" w:ascii="仿宋" w:hAnsi="仿宋" w:eastAsia="仿宋" w:cs="仿宋"/>
          <w:color w:val="auto"/>
          <w:sz w:val="21"/>
          <w:szCs w:val="21"/>
          <w:highlight w:val="none"/>
        </w:rPr>
        <w:t>。</w:t>
      </w:r>
    </w:p>
    <w:p w14:paraId="0EBC711D">
      <w:pPr>
        <w:pStyle w:val="163"/>
        <w:snapToGrid w:val="0"/>
        <w:spacing w:before="0"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.2为确保网上操作合法、有效和安全，供应商应当在响应截止时间前完成在“</w:t>
      </w:r>
      <w:r>
        <w:rPr>
          <w:rFonts w:hint="eastAsia" w:ascii="仿宋" w:hAnsi="仿宋" w:eastAsia="仿宋" w:cs="仿宋"/>
          <w:color w:val="auto"/>
          <w:sz w:val="21"/>
          <w:szCs w:val="21"/>
          <w:highlight w:val="none"/>
          <w:lang w:val="en-US" w:eastAsia="zh-CN"/>
        </w:rPr>
        <w:t>企业</w:t>
      </w:r>
      <w:r>
        <w:rPr>
          <w:rFonts w:hint="eastAsia" w:ascii="仿宋" w:hAnsi="仿宋" w:eastAsia="仿宋" w:cs="仿宋"/>
          <w:color w:val="auto"/>
          <w:sz w:val="21"/>
          <w:szCs w:val="21"/>
          <w:highlight w:val="none"/>
        </w:rPr>
        <w:t>采购云平台”的身份认证，确保在电子响应过程中能够对相关数据电文进行加密和使用电子签名。</w:t>
      </w:r>
    </w:p>
    <w:p w14:paraId="192F22CA">
      <w:pPr>
        <w:pStyle w:val="163"/>
        <w:snapToGrid w:val="0"/>
        <w:spacing w:before="0"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.3交易文件对响应文件签署、盖章的要求适用于电子签名。</w:t>
      </w:r>
    </w:p>
    <w:p w14:paraId="1579004A">
      <w:pPr>
        <w:pStyle w:val="33"/>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.响应文件的提交、补充、修改、撤回</w:t>
      </w:r>
    </w:p>
    <w:p w14:paraId="0C46F3B4">
      <w:pPr>
        <w:pStyle w:val="16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C784139">
      <w:pPr>
        <w:pStyle w:val="16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.2电子交易平台收到响应文件，将妥善保存并即时向供应商发出确认回执通知。在响应截止时间前，除供应商补充、修改或者撤回响应文件外，任何单位和个人不得解密或提取响应文件。</w:t>
      </w:r>
    </w:p>
    <w:p w14:paraId="5CEA4864">
      <w:pPr>
        <w:pStyle w:val="16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可以视情况延长响应文件提交的截止时间。在上述情况下，</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与供应商以前在响应截止期方面的全部权利、责任和义务，将适用于延长至新的响应截止期。</w:t>
      </w:r>
    </w:p>
    <w:p w14:paraId="7B1AD479">
      <w:pPr>
        <w:pStyle w:val="33"/>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.备份响应文件</w:t>
      </w:r>
    </w:p>
    <w:p w14:paraId="12A43E17">
      <w:pPr>
        <w:pStyle w:val="33"/>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kern w:val="28"/>
          <w:sz w:val="21"/>
          <w:szCs w:val="21"/>
          <w:highlight w:val="none"/>
        </w:rPr>
        <w:t>不收取备份响应文件。</w:t>
      </w:r>
    </w:p>
    <w:p w14:paraId="5E7CEA0A">
      <w:pPr>
        <w:pStyle w:val="163"/>
        <w:spacing w:before="0" w:line="360" w:lineRule="auto"/>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5</w:t>
      </w:r>
      <w:r>
        <w:rPr>
          <w:rFonts w:hint="eastAsia" w:ascii="仿宋" w:hAnsi="仿宋" w:eastAsia="仿宋" w:cs="仿宋"/>
          <w:b/>
          <w:color w:val="auto"/>
          <w:sz w:val="21"/>
          <w:szCs w:val="21"/>
          <w:highlight w:val="none"/>
        </w:rPr>
        <w:t>.响应文件的无效处理</w:t>
      </w:r>
    </w:p>
    <w:p w14:paraId="560DE17E">
      <w:pPr>
        <w:pStyle w:val="25"/>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有交易文件第四部分4.2规定的情形之一的，响应无效：</w:t>
      </w:r>
    </w:p>
    <w:p w14:paraId="0A924E07">
      <w:pPr>
        <w:pStyle w:val="163"/>
        <w:spacing w:before="0" w:line="360" w:lineRule="auto"/>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6</w:t>
      </w:r>
      <w:r>
        <w:rPr>
          <w:rFonts w:hint="eastAsia" w:ascii="仿宋" w:hAnsi="仿宋" w:eastAsia="仿宋" w:cs="仿宋"/>
          <w:b/>
          <w:color w:val="auto"/>
          <w:sz w:val="21"/>
          <w:szCs w:val="21"/>
          <w:highlight w:val="none"/>
        </w:rPr>
        <w:t>.响应有效期</w:t>
      </w:r>
    </w:p>
    <w:p w14:paraId="2CCFD23A">
      <w:pPr>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.1响应有效期为从提交响应文件的截止之日起90天。▲</w:t>
      </w:r>
      <w:r>
        <w:rPr>
          <w:rFonts w:hint="eastAsia" w:ascii="仿宋" w:hAnsi="仿宋" w:eastAsia="仿宋" w:cs="仿宋"/>
          <w:b/>
          <w:color w:val="auto"/>
          <w:sz w:val="21"/>
          <w:szCs w:val="21"/>
          <w:highlight w:val="none"/>
        </w:rPr>
        <w:t>供应商的响应文件中承诺的响应有效期少于交易文件中载明的响应有效期的，响应无效。</w:t>
      </w:r>
    </w:p>
    <w:p w14:paraId="5A8F4F94">
      <w:pPr>
        <w:pStyle w:val="163"/>
        <w:spacing w:before="0"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.2响应文件合格投递后，自响应截止日期起，在响应有效期内有效。</w:t>
      </w:r>
    </w:p>
    <w:p w14:paraId="3F34BFE7">
      <w:pPr>
        <w:pStyle w:val="163"/>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.3在原定响应有效期满之前，如果出现特殊情况，</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可以以书面形式通知供应商延长响应有效期。供应商同意延长的，不得要求或被允许修改其响应文件，供应商拒绝延长的，其响应无效。</w:t>
      </w:r>
    </w:p>
    <w:p w14:paraId="427BB73B">
      <w:pPr>
        <w:pStyle w:val="2"/>
        <w:rPr>
          <w:rFonts w:hint="eastAsia" w:ascii="仿宋" w:hAnsi="仿宋" w:eastAsia="仿宋" w:cs="仿宋"/>
          <w:color w:val="auto"/>
          <w:sz w:val="18"/>
          <w:szCs w:val="18"/>
          <w:highlight w:val="none"/>
          <w:lang w:val="en-US"/>
        </w:rPr>
      </w:pPr>
      <w:bookmarkStart w:id="40" w:name="_Toc12266"/>
    </w:p>
    <w:p w14:paraId="3E80AB6F">
      <w:pPr>
        <w:adjustRightInd/>
        <w:spacing w:line="360" w:lineRule="auto"/>
        <w:jc w:val="center"/>
        <w:outlineLvl w:val="0"/>
        <w:rPr>
          <w:rFonts w:hint="eastAsia" w:ascii="仿宋" w:hAnsi="仿宋" w:eastAsia="仿宋" w:cs="仿宋"/>
          <w:b/>
          <w:color w:val="auto"/>
          <w:sz w:val="28"/>
          <w:szCs w:val="28"/>
          <w:highlight w:val="none"/>
        </w:rPr>
      </w:pPr>
      <w:bookmarkStart w:id="41" w:name="_Toc12187"/>
      <w:bookmarkStart w:id="42" w:name="_Toc12937"/>
      <w:r>
        <w:rPr>
          <w:rFonts w:hint="eastAsia" w:ascii="仿宋" w:hAnsi="仿宋" w:eastAsia="仿宋" w:cs="仿宋"/>
          <w:b/>
          <w:color w:val="auto"/>
          <w:sz w:val="28"/>
          <w:szCs w:val="28"/>
          <w:highlight w:val="none"/>
        </w:rPr>
        <w:t>四、</w:t>
      </w:r>
      <w:r>
        <w:rPr>
          <w:rFonts w:hint="eastAsia" w:ascii="仿宋" w:hAnsi="仿宋" w:eastAsia="仿宋" w:cs="仿宋"/>
          <w:b/>
          <w:color w:val="auto"/>
          <w:sz w:val="28"/>
          <w:szCs w:val="28"/>
          <w:highlight w:val="none"/>
          <w:lang w:eastAsia="zh-CN"/>
        </w:rPr>
        <w:t>交易</w:t>
      </w:r>
      <w:r>
        <w:rPr>
          <w:rFonts w:hint="eastAsia" w:ascii="仿宋" w:hAnsi="仿宋" w:eastAsia="仿宋" w:cs="仿宋"/>
          <w:b/>
          <w:color w:val="auto"/>
          <w:sz w:val="28"/>
          <w:szCs w:val="28"/>
          <w:highlight w:val="none"/>
        </w:rPr>
        <w:t>、资格审查与信用信息查询</w:t>
      </w:r>
      <w:bookmarkEnd w:id="40"/>
      <w:bookmarkEnd w:id="41"/>
      <w:bookmarkEnd w:id="42"/>
    </w:p>
    <w:p w14:paraId="5F20F184">
      <w:pPr>
        <w:pStyle w:val="559"/>
        <w:spacing w:before="0" w:line="360" w:lineRule="auto"/>
        <w:ind w:left="0" w:firstLine="422" w:firstLineChars="200"/>
        <w:contextualSpacing/>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7</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eastAsia="zh-CN"/>
        </w:rPr>
        <w:t>交易</w:t>
      </w:r>
      <w:r>
        <w:rPr>
          <w:rFonts w:hint="eastAsia" w:ascii="仿宋" w:hAnsi="仿宋" w:eastAsia="仿宋" w:cs="仿宋"/>
          <w:color w:val="auto"/>
          <w:sz w:val="21"/>
          <w:szCs w:val="21"/>
          <w:highlight w:val="none"/>
        </w:rPr>
        <w:t xml:space="preserve"> </w:t>
      </w:r>
    </w:p>
    <w:p w14:paraId="5717C462">
      <w:pPr>
        <w:pStyle w:val="559"/>
        <w:spacing w:before="0" w:line="360" w:lineRule="auto"/>
        <w:ind w:left="0"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按照交易文件规定的时间通过电子交易平台组织</w:t>
      </w: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，所有供应商均应当准时在线参加。供应商不足3家的，不得</w:t>
      </w: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w:t>
      </w:r>
    </w:p>
    <w:p w14:paraId="5FBD2B76">
      <w:pPr>
        <w:pStyle w:val="559"/>
        <w:spacing w:before="0" w:line="360" w:lineRule="auto"/>
        <w:ind w:left="0"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时，电子交易平台按交易地点自动提取所有响应文件。</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依托电子交易平台发起开始解密指令，供应商按照平台提示和交易文件的规定在半小时内完成在线解密。</w:t>
      </w:r>
    </w:p>
    <w:p w14:paraId="3148AE6C">
      <w:pPr>
        <w:widowControl/>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8</w:t>
      </w:r>
      <w:r>
        <w:rPr>
          <w:rFonts w:hint="eastAsia" w:ascii="仿宋" w:hAnsi="仿宋" w:eastAsia="仿宋" w:cs="仿宋"/>
          <w:b/>
          <w:color w:val="auto"/>
          <w:sz w:val="21"/>
          <w:szCs w:val="21"/>
          <w:highlight w:val="none"/>
        </w:rPr>
        <w:t>.资格审查</w:t>
      </w:r>
    </w:p>
    <w:p w14:paraId="5C21D35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.1</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或</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依据法律法规和交易文件的规定，对供应商的资格进行审查。</w:t>
      </w:r>
    </w:p>
    <w:p w14:paraId="2A04D30B">
      <w:pPr>
        <w:pStyle w:val="16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.2供应商未按照交易文件要求提供与</w:t>
      </w:r>
      <w:r>
        <w:rPr>
          <w:rFonts w:hint="eastAsia" w:ascii="仿宋" w:hAnsi="仿宋" w:eastAsia="仿宋" w:cs="仿宋"/>
          <w:color w:val="auto"/>
          <w:sz w:val="21"/>
          <w:szCs w:val="21"/>
          <w:highlight w:val="none"/>
        </w:rPr>
        <w:t>资格条件相应的</w:t>
      </w:r>
      <w:r>
        <w:rPr>
          <w:rFonts w:hint="eastAsia" w:ascii="仿宋" w:hAnsi="仿宋" w:eastAsia="仿宋" w:cs="仿宋"/>
          <w:color w:val="auto"/>
          <w:kern w:val="0"/>
          <w:sz w:val="21"/>
          <w:szCs w:val="21"/>
          <w:highlight w:val="none"/>
        </w:rPr>
        <w:t>有效资格证明材料的，视为</w:t>
      </w:r>
      <w:r>
        <w:rPr>
          <w:rFonts w:hint="eastAsia" w:ascii="仿宋" w:hAnsi="仿宋" w:eastAsia="仿宋" w:cs="仿宋"/>
          <w:color w:val="auto"/>
          <w:sz w:val="21"/>
          <w:szCs w:val="21"/>
          <w:highlight w:val="none"/>
        </w:rPr>
        <w:t>供应商不具备交易文件中规定的资格要求，其响应无效。</w:t>
      </w:r>
    </w:p>
    <w:p w14:paraId="459BFD3F">
      <w:pPr>
        <w:pStyle w:val="16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3对未通过资格审查的供应商，</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或</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告知其未通过的原因。</w:t>
      </w:r>
    </w:p>
    <w:p w14:paraId="59D466DE">
      <w:pPr>
        <w:pStyle w:val="16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4合格供应商不足3家的，不再评审。</w:t>
      </w:r>
    </w:p>
    <w:p w14:paraId="078DA615">
      <w:pPr>
        <w:pStyle w:val="163"/>
        <w:spacing w:before="0"/>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19</w:t>
      </w:r>
      <w:r>
        <w:rPr>
          <w:rFonts w:hint="eastAsia" w:ascii="仿宋" w:hAnsi="仿宋" w:eastAsia="仿宋" w:cs="仿宋"/>
          <w:b/>
          <w:color w:val="auto"/>
          <w:sz w:val="21"/>
          <w:szCs w:val="21"/>
          <w:highlight w:val="none"/>
        </w:rPr>
        <w:t>.信用信息查询</w:t>
      </w:r>
    </w:p>
    <w:p w14:paraId="6512CD65">
      <w:pPr>
        <w:pStyle w:val="163"/>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19</w:t>
      </w:r>
      <w:r>
        <w:rPr>
          <w:rFonts w:hint="eastAsia" w:ascii="仿宋" w:hAnsi="仿宋" w:eastAsia="仿宋" w:cs="仿宋"/>
          <w:color w:val="auto"/>
          <w:kern w:val="0"/>
          <w:sz w:val="21"/>
          <w:szCs w:val="21"/>
          <w:highlight w:val="none"/>
        </w:rPr>
        <w:t>.1信用信息查询渠道及截止时间：</w:t>
      </w:r>
      <w:r>
        <w:rPr>
          <w:rFonts w:hint="eastAsia" w:ascii="仿宋" w:hAnsi="仿宋" w:eastAsia="仿宋" w:cs="仿宋"/>
          <w:color w:val="auto"/>
          <w:kern w:val="0"/>
          <w:sz w:val="21"/>
          <w:szCs w:val="21"/>
          <w:highlight w:val="none"/>
          <w:lang w:eastAsia="zh-CN"/>
        </w:rPr>
        <w:t>代理机构</w:t>
      </w:r>
      <w:r>
        <w:rPr>
          <w:rFonts w:hint="eastAsia" w:ascii="仿宋" w:hAnsi="仿宋" w:eastAsia="仿宋" w:cs="仿宋"/>
          <w:color w:val="auto"/>
          <w:kern w:val="0"/>
          <w:sz w:val="21"/>
          <w:szCs w:val="21"/>
          <w:highlight w:val="none"/>
        </w:rPr>
        <w:t>将在资格审查时通过“信用中国”网站(www.creditchina.gov.cn)、中国政府采购网(www.ccgp.gov.cn)渠道查询供应商接受资格审查时的信用记录。</w:t>
      </w:r>
    </w:p>
    <w:p w14:paraId="18AD2D47">
      <w:pPr>
        <w:pStyle w:val="163"/>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19</w:t>
      </w:r>
      <w:r>
        <w:rPr>
          <w:rFonts w:hint="eastAsia" w:ascii="仿宋" w:hAnsi="仿宋" w:eastAsia="仿宋" w:cs="仿宋"/>
          <w:color w:val="auto"/>
          <w:kern w:val="0"/>
          <w:sz w:val="21"/>
          <w:szCs w:val="21"/>
          <w:highlight w:val="none"/>
        </w:rPr>
        <w:t>.2信用信息查询记录和证据留存的具体方式：现场查询的供应商的信用记录、查询结果经确认后将与交易文件一起存档。</w:t>
      </w:r>
    </w:p>
    <w:p w14:paraId="184C1AF7">
      <w:pPr>
        <w:pStyle w:val="163"/>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19</w:t>
      </w:r>
      <w:r>
        <w:rPr>
          <w:rFonts w:hint="eastAsia" w:ascii="仿宋" w:hAnsi="仿宋" w:eastAsia="仿宋" w:cs="仿宋"/>
          <w:color w:val="auto"/>
          <w:kern w:val="0"/>
          <w:sz w:val="21"/>
          <w:szCs w:val="21"/>
          <w:highlight w:val="none"/>
        </w:rPr>
        <w:t>.3信用信息的使用规则：经查询列入失信被执行人名单、重大税收违法案件当事人名单、政府采购严重违法失信行为记录名单的供应商将被拒绝参与采购活动。</w:t>
      </w:r>
    </w:p>
    <w:p w14:paraId="47CE6E1B">
      <w:pPr>
        <w:pStyle w:val="163"/>
        <w:spacing w:before="0"/>
        <w:ind w:firstLine="480"/>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lang w:val="en-US" w:eastAsia="zh-CN"/>
        </w:rPr>
        <w:t>19</w:t>
      </w:r>
      <w:r>
        <w:rPr>
          <w:rFonts w:hint="eastAsia" w:ascii="仿宋" w:hAnsi="仿宋" w:eastAsia="仿宋" w:cs="仿宋"/>
          <w:color w:val="auto"/>
          <w:kern w:val="0"/>
          <w:sz w:val="21"/>
          <w:szCs w:val="21"/>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sz w:val="21"/>
          <w:szCs w:val="21"/>
          <w:highlight w:val="none"/>
        </w:rPr>
        <w:t>。</w:t>
      </w:r>
    </w:p>
    <w:p w14:paraId="0705D406">
      <w:pPr>
        <w:pStyle w:val="163"/>
        <w:spacing w:before="0"/>
        <w:ind w:firstLine="0" w:firstLineChars="0"/>
        <w:rPr>
          <w:rFonts w:hint="eastAsia" w:ascii="仿宋" w:hAnsi="仿宋" w:eastAsia="仿宋" w:cs="仿宋"/>
          <w:color w:val="auto"/>
          <w:kern w:val="0"/>
          <w:szCs w:val="24"/>
          <w:highlight w:val="none"/>
        </w:rPr>
      </w:pPr>
    </w:p>
    <w:p w14:paraId="2571FAE4">
      <w:pPr>
        <w:snapToGrid w:val="0"/>
        <w:spacing w:line="360" w:lineRule="auto"/>
        <w:jc w:val="center"/>
        <w:outlineLvl w:val="0"/>
        <w:rPr>
          <w:rFonts w:hint="eastAsia" w:ascii="仿宋" w:hAnsi="仿宋" w:eastAsia="仿宋" w:cs="仿宋"/>
          <w:b/>
          <w:color w:val="auto"/>
          <w:sz w:val="28"/>
          <w:szCs w:val="28"/>
          <w:highlight w:val="none"/>
        </w:rPr>
      </w:pPr>
      <w:bookmarkStart w:id="43" w:name="_Toc20752"/>
      <w:bookmarkStart w:id="44" w:name="_Toc14499"/>
      <w:bookmarkStart w:id="45" w:name="_Toc25671"/>
      <w:bookmarkStart w:id="46" w:name="_Toc18437"/>
      <w:r>
        <w:rPr>
          <w:rFonts w:hint="eastAsia" w:ascii="仿宋" w:hAnsi="仿宋" w:eastAsia="仿宋" w:cs="仿宋"/>
          <w:b/>
          <w:color w:val="auto"/>
          <w:sz w:val="28"/>
          <w:szCs w:val="28"/>
          <w:highlight w:val="none"/>
        </w:rPr>
        <w:t>五、</w:t>
      </w:r>
      <w:bookmarkEnd w:id="43"/>
      <w:bookmarkEnd w:id="44"/>
      <w:r>
        <w:rPr>
          <w:rFonts w:hint="eastAsia" w:ascii="仿宋" w:hAnsi="仿宋" w:eastAsia="仿宋" w:cs="仿宋"/>
          <w:b/>
          <w:color w:val="auto"/>
          <w:sz w:val="28"/>
          <w:szCs w:val="28"/>
          <w:highlight w:val="none"/>
        </w:rPr>
        <w:t>评审</w:t>
      </w:r>
      <w:bookmarkEnd w:id="45"/>
      <w:bookmarkEnd w:id="46"/>
    </w:p>
    <w:p w14:paraId="331FDC1A">
      <w:pPr>
        <w:spacing w:line="360" w:lineRule="auto"/>
        <w:ind w:firstLine="420" w:firstLineChars="200"/>
        <w:rPr>
          <w:rFonts w:hint="eastAsia" w:ascii="仿宋" w:hAnsi="仿宋" w:eastAsia="仿宋" w:cs="仿宋"/>
          <w:b/>
          <w:color w:val="auto"/>
          <w:sz w:val="21"/>
          <w:szCs w:val="21"/>
          <w:highlight w:val="none"/>
        </w:rPr>
      </w:pPr>
      <w:bookmarkStart w:id="47" w:name="_Toc91899903"/>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0</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auto"/>
          <w:sz w:val="21"/>
          <w:szCs w:val="21"/>
          <w:highlight w:val="none"/>
        </w:rPr>
        <w:t>详见交易文件第四部分评审办法。</w:t>
      </w:r>
    </w:p>
    <w:p w14:paraId="413EF901">
      <w:pPr>
        <w:pStyle w:val="163"/>
        <w:spacing w:before="0"/>
        <w:ind w:firstLine="0" w:firstLineChars="0"/>
        <w:rPr>
          <w:rFonts w:hint="eastAsia" w:ascii="仿宋" w:hAnsi="仿宋" w:eastAsia="仿宋" w:cs="仿宋"/>
          <w:color w:val="auto"/>
          <w:kern w:val="0"/>
          <w:szCs w:val="24"/>
          <w:highlight w:val="none"/>
        </w:rPr>
      </w:pPr>
      <w:bookmarkStart w:id="48" w:name="_Toc3025"/>
      <w:bookmarkStart w:id="49" w:name="_Toc5755"/>
    </w:p>
    <w:p w14:paraId="3908099F">
      <w:pPr>
        <w:snapToGrid w:val="0"/>
        <w:spacing w:line="360" w:lineRule="auto"/>
        <w:jc w:val="center"/>
        <w:outlineLvl w:val="0"/>
        <w:rPr>
          <w:rFonts w:hint="eastAsia" w:ascii="仿宋" w:hAnsi="仿宋" w:eastAsia="仿宋" w:cs="仿宋"/>
          <w:b/>
          <w:color w:val="auto"/>
          <w:sz w:val="28"/>
          <w:szCs w:val="28"/>
          <w:highlight w:val="none"/>
        </w:rPr>
      </w:pPr>
      <w:bookmarkStart w:id="50" w:name="_Toc8108"/>
      <w:bookmarkStart w:id="51" w:name="_Toc19516"/>
      <w:r>
        <w:rPr>
          <w:rFonts w:hint="eastAsia" w:ascii="仿宋" w:hAnsi="仿宋" w:eastAsia="仿宋" w:cs="仿宋"/>
          <w:b/>
          <w:color w:val="auto"/>
          <w:sz w:val="28"/>
          <w:szCs w:val="28"/>
          <w:highlight w:val="none"/>
        </w:rPr>
        <w:t>六、定标</w:t>
      </w:r>
      <w:bookmarkEnd w:id="48"/>
      <w:bookmarkEnd w:id="49"/>
      <w:bookmarkEnd w:id="50"/>
      <w:bookmarkEnd w:id="51"/>
    </w:p>
    <w:p w14:paraId="49780C4C">
      <w:pPr>
        <w:pStyle w:val="25"/>
        <w:spacing w:line="360" w:lineRule="auto"/>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.确定成交供应商</w:t>
      </w:r>
    </w:p>
    <w:p w14:paraId="52A260B0">
      <w:pPr>
        <w:pStyle w:val="163"/>
        <w:snapToGrid w:val="0"/>
        <w:spacing w:before="0"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应当自收到评审报告之日起</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日内确定成交或者成交供应商。成交、成交通知书和成交、成交结果公告应当在规定时间内同时发出。</w:t>
      </w:r>
    </w:p>
    <w:p w14:paraId="382E5E70">
      <w:pPr>
        <w:pStyle w:val="163"/>
        <w:snapToGrid w:val="0"/>
        <w:spacing w:before="0" w:line="360" w:lineRule="auto"/>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.成交通知与成交结果公告</w:t>
      </w:r>
    </w:p>
    <w:p w14:paraId="28B0B1F9">
      <w:pPr>
        <w:widowControl/>
        <w:shd w:val="clear" w:color="auto" w:fill="FFFFFF"/>
        <w:spacing w:line="36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.1代理机构通过电子交易平台向成交人发出成交通知书，同时编制发布成交结果公告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公示期限不得少于１个工作日</w:t>
      </w:r>
      <w:r>
        <w:rPr>
          <w:rFonts w:hint="eastAsia" w:ascii="仿宋" w:hAnsi="仿宋" w:eastAsia="仿宋" w:cs="仿宋"/>
          <w:color w:val="auto"/>
          <w:sz w:val="21"/>
          <w:szCs w:val="21"/>
          <w:highlight w:val="none"/>
        </w:rPr>
        <w:t>。代理机构也可以以纸质形式进行成交通知。</w:t>
      </w:r>
    </w:p>
    <w:p w14:paraId="7CC59269">
      <w:pPr>
        <w:widowControl/>
        <w:shd w:val="clear" w:color="auto" w:fill="FFFFFF"/>
        <w:spacing w:line="36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.2成交结果公告内容包括交易发起人及其委托的代理机构的名称、地址、联系方式，项目名称和交易编号，成交人名称、地址和成交金额。</w:t>
      </w:r>
    </w:p>
    <w:p w14:paraId="418560B5">
      <w:pPr>
        <w:pStyle w:val="163"/>
        <w:spacing w:before="0"/>
        <w:ind w:firstLine="0" w:firstLineChars="0"/>
        <w:rPr>
          <w:rFonts w:hint="eastAsia" w:ascii="仿宋" w:hAnsi="仿宋" w:eastAsia="仿宋" w:cs="仿宋"/>
          <w:color w:val="auto"/>
          <w:kern w:val="0"/>
          <w:szCs w:val="24"/>
          <w:highlight w:val="none"/>
        </w:rPr>
      </w:pPr>
    </w:p>
    <w:p w14:paraId="7D01E9B6">
      <w:pPr>
        <w:snapToGrid w:val="0"/>
        <w:spacing w:line="360" w:lineRule="auto"/>
        <w:ind w:left="120" w:leftChars="57"/>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64A9188B">
      <w:pPr>
        <w:pStyle w:val="25"/>
        <w:spacing w:line="360" w:lineRule="auto"/>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w:t>
      </w:r>
      <w:r>
        <w:rPr>
          <w:rFonts w:hint="eastAsia" w:ascii="仿宋" w:hAnsi="仿宋" w:eastAsia="仿宋" w:cs="仿宋"/>
          <w:color w:val="auto"/>
          <w:sz w:val="21"/>
          <w:szCs w:val="21"/>
          <w:highlight w:val="none"/>
        </w:rPr>
        <w:t>合同主要条款详见第五部分拟签订的合同文本。</w:t>
      </w:r>
    </w:p>
    <w:p w14:paraId="153E3121">
      <w:pPr>
        <w:pStyle w:val="25"/>
        <w:spacing w:line="360" w:lineRule="auto"/>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.合同的签订</w:t>
      </w:r>
    </w:p>
    <w:p w14:paraId="03D9DD74">
      <w:pPr>
        <w:widowControl/>
        <w:shd w:val="clear" w:color="auto" w:fill="FFFFFF"/>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w:t>
      </w:r>
      <w:r>
        <w:rPr>
          <w:rFonts w:hint="eastAsia" w:ascii="仿宋" w:hAnsi="仿宋" w:eastAsia="仿宋" w:cs="仿宋"/>
          <w:color w:val="auto"/>
          <w:kern w:val="0"/>
          <w:sz w:val="21"/>
          <w:szCs w:val="21"/>
          <w:highlight w:val="none"/>
          <w:lang w:eastAsia="zh-CN"/>
        </w:rPr>
        <w:t>交易发起人</w:t>
      </w:r>
      <w:r>
        <w:rPr>
          <w:rFonts w:hint="eastAsia" w:ascii="仿宋" w:hAnsi="仿宋" w:eastAsia="仿宋" w:cs="仿宋"/>
          <w:color w:val="auto"/>
          <w:kern w:val="0"/>
          <w:sz w:val="21"/>
          <w:szCs w:val="21"/>
          <w:highlight w:val="none"/>
        </w:rPr>
        <w:t>与成交人应当在成交通知书发出之日起三十日内，按照交易文件确定的事项签订采购合同。</w:t>
      </w:r>
    </w:p>
    <w:p w14:paraId="22EE51BC">
      <w:pPr>
        <w:pStyle w:val="163"/>
        <w:snapToGrid w:val="0"/>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BB06BCB">
      <w:pPr>
        <w:pStyle w:val="16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.3如签订合同并生效后，供应商无故拒绝或延期，除按照合同条款处理外，列入不良行为记录一次，并给予通报。</w:t>
      </w:r>
    </w:p>
    <w:p w14:paraId="2D7D2F57">
      <w:pPr>
        <w:pStyle w:val="16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.4成交供应商拒绝与</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签订合同的，</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可以按照评审报告推荐的成交或者成交候选人名单排序，确定下一候选人为成交供应商，也可以重新开展采购活动。</w:t>
      </w:r>
    </w:p>
    <w:p w14:paraId="02504B44">
      <w:pPr>
        <w:pStyle w:val="25"/>
        <w:spacing w:line="360" w:lineRule="auto"/>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5</w:t>
      </w:r>
      <w:r>
        <w:rPr>
          <w:rFonts w:hint="eastAsia" w:ascii="仿宋" w:hAnsi="仿宋" w:eastAsia="仿宋" w:cs="仿宋"/>
          <w:b/>
          <w:color w:val="auto"/>
          <w:sz w:val="21"/>
          <w:szCs w:val="21"/>
          <w:highlight w:val="none"/>
        </w:rPr>
        <w:t>.履约保证金</w:t>
      </w:r>
    </w:p>
    <w:p w14:paraId="2815C042">
      <w:pPr>
        <w:tabs>
          <w:tab w:val="left" w:pos="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1"/>
          <w:szCs w:val="21"/>
          <w:highlight w:val="none"/>
        </w:rPr>
        <w:t>。</w:t>
      </w:r>
    </w:p>
    <w:p w14:paraId="12F209EC">
      <w:pPr>
        <w:snapToGrid w:val="0"/>
        <w:spacing w:line="288" w:lineRule="auto"/>
        <w:ind w:firstLine="3357" w:firstLineChars="1045"/>
        <w:rPr>
          <w:rFonts w:hint="eastAsia" w:ascii="仿宋" w:hAnsi="仿宋" w:eastAsia="仿宋" w:cs="仿宋"/>
          <w:b/>
          <w:color w:val="auto"/>
          <w:sz w:val="32"/>
          <w:highlight w:val="none"/>
        </w:rPr>
      </w:pPr>
    </w:p>
    <w:p w14:paraId="19D78A60">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66F3D846">
      <w:pPr>
        <w:pStyle w:val="163"/>
        <w:snapToGrid w:val="0"/>
        <w:spacing w:before="0"/>
        <w:ind w:firstLine="482"/>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val="en-US" w:eastAsia="zh-CN"/>
        </w:rPr>
        <w:t>6</w:t>
      </w:r>
      <w:r>
        <w:rPr>
          <w:rFonts w:hint="eastAsia" w:ascii="仿宋" w:hAnsi="仿宋" w:eastAsia="仿宋" w:cs="仿宋"/>
          <w:b/>
          <w:color w:val="auto"/>
          <w:sz w:val="21"/>
          <w:szCs w:val="21"/>
          <w:highlight w:val="none"/>
        </w:rPr>
        <w:t>.电子交易活动的中止</w:t>
      </w:r>
    </w:p>
    <w:p w14:paraId="08558C75">
      <w:pPr>
        <w:pStyle w:val="16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交易</w:t>
      </w:r>
      <w:r>
        <w:rPr>
          <w:rFonts w:hint="eastAsia" w:ascii="仿宋" w:hAnsi="仿宋" w:eastAsia="仿宋" w:cs="仿宋"/>
          <w:color w:val="auto"/>
          <w:sz w:val="21"/>
          <w:szCs w:val="21"/>
          <w:highlight w:val="none"/>
        </w:rPr>
        <w:t>过程中出现以下情形，导致电子交易平台无法正常运行，或者无法保证电子交易的公平、公正和安全时，</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可中止电子交易活动：</w:t>
      </w:r>
    </w:p>
    <w:p w14:paraId="38470776">
      <w:pPr>
        <w:pStyle w:val="16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 xml:space="preserve">.1电子交易平台发生故障而无法登录访问的； </w:t>
      </w:r>
    </w:p>
    <w:p w14:paraId="08FD5DC3">
      <w:pPr>
        <w:pStyle w:val="16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.2电子交易平台应用或数据库出现错误，不能进行正常操作的；</w:t>
      </w:r>
    </w:p>
    <w:p w14:paraId="027CCB72">
      <w:pPr>
        <w:pStyle w:val="16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.3电子交易平台发现严重安全漏洞，有潜在泄密危险的；</w:t>
      </w:r>
    </w:p>
    <w:p w14:paraId="01F459ED">
      <w:pPr>
        <w:pStyle w:val="16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 xml:space="preserve">.4病毒发作导致不能进行正常操作的； </w:t>
      </w:r>
    </w:p>
    <w:p w14:paraId="0D06209E">
      <w:pPr>
        <w:pStyle w:val="16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.5其他无法保证电子交易的公平、公正和安全的情况。</w:t>
      </w:r>
    </w:p>
    <w:p w14:paraId="28B08950">
      <w:pPr>
        <w:pStyle w:val="16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出现以上情形，不影响</w:t>
      </w:r>
      <w:r>
        <w:rPr>
          <w:rFonts w:hint="eastAsia" w:ascii="仿宋" w:hAnsi="仿宋" w:eastAsia="仿宋" w:cs="仿宋"/>
          <w:color w:val="auto"/>
          <w:sz w:val="21"/>
          <w:szCs w:val="21"/>
          <w:highlight w:val="none"/>
          <w:lang w:val="en-US" w:eastAsia="zh-CN"/>
        </w:rPr>
        <w:t>交易</w:t>
      </w:r>
      <w:r>
        <w:rPr>
          <w:rFonts w:hint="eastAsia" w:ascii="仿宋" w:hAnsi="仿宋" w:eastAsia="仿宋" w:cs="仿宋"/>
          <w:color w:val="auto"/>
          <w:sz w:val="21"/>
          <w:szCs w:val="21"/>
          <w:highlight w:val="none"/>
        </w:rPr>
        <w:t>公平、公正性的，采购组织机构可以待上述情形消除后继续组织电子交易活动，也可以决定某些环节以纸质形式进行；影响或可能影响</w:t>
      </w:r>
      <w:r>
        <w:rPr>
          <w:rFonts w:hint="eastAsia" w:ascii="仿宋" w:hAnsi="仿宋" w:eastAsia="仿宋" w:cs="仿宋"/>
          <w:color w:val="auto"/>
          <w:sz w:val="21"/>
          <w:szCs w:val="21"/>
          <w:highlight w:val="none"/>
          <w:lang w:val="en-US" w:eastAsia="zh-CN"/>
        </w:rPr>
        <w:t>交易</w:t>
      </w:r>
      <w:r>
        <w:rPr>
          <w:rFonts w:hint="eastAsia" w:ascii="仿宋" w:hAnsi="仿宋" w:eastAsia="仿宋" w:cs="仿宋"/>
          <w:color w:val="auto"/>
          <w:sz w:val="21"/>
          <w:szCs w:val="21"/>
          <w:highlight w:val="none"/>
        </w:rPr>
        <w:t>公平、公正性的，应当重新</w:t>
      </w:r>
      <w:r>
        <w:rPr>
          <w:rFonts w:hint="eastAsia" w:ascii="仿宋" w:hAnsi="仿宋" w:eastAsia="仿宋" w:cs="仿宋"/>
          <w:color w:val="auto"/>
          <w:sz w:val="21"/>
          <w:szCs w:val="21"/>
          <w:highlight w:val="none"/>
          <w:lang w:val="en-US" w:eastAsia="zh-CN"/>
        </w:rPr>
        <w:t>交易</w:t>
      </w:r>
      <w:r>
        <w:rPr>
          <w:rFonts w:hint="eastAsia" w:ascii="仿宋" w:hAnsi="仿宋" w:eastAsia="仿宋" w:cs="仿宋"/>
          <w:color w:val="auto"/>
          <w:sz w:val="21"/>
          <w:szCs w:val="21"/>
          <w:highlight w:val="none"/>
        </w:rPr>
        <w:t>。</w:t>
      </w:r>
    </w:p>
    <w:p w14:paraId="6F107BCF">
      <w:pPr>
        <w:snapToGrid w:val="0"/>
        <w:spacing w:line="360" w:lineRule="auto"/>
        <w:jc w:val="center"/>
        <w:rPr>
          <w:rFonts w:hint="eastAsia" w:ascii="仿宋" w:hAnsi="仿宋" w:eastAsia="仿宋" w:cs="仿宋"/>
          <w:b/>
          <w:color w:val="auto"/>
          <w:sz w:val="28"/>
          <w:szCs w:val="28"/>
          <w:highlight w:val="none"/>
        </w:rPr>
      </w:pPr>
    </w:p>
    <w:p w14:paraId="24CDC42A">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30F990A4">
      <w:pPr>
        <w:pStyle w:val="25"/>
        <w:spacing w:line="360" w:lineRule="auto"/>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28.验收</w:t>
      </w:r>
    </w:p>
    <w:p w14:paraId="68CA2679">
      <w:pPr>
        <w:tabs>
          <w:tab w:val="left" w:pos="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28.1</w:t>
      </w:r>
      <w:r>
        <w:rPr>
          <w:rFonts w:hint="eastAsia" w:ascii="仿宋" w:hAnsi="仿宋" w:eastAsia="仿宋" w:cs="仿宋"/>
          <w:color w:val="auto"/>
          <w:kern w:val="0"/>
          <w:sz w:val="21"/>
          <w:szCs w:val="21"/>
          <w:highlight w:val="none"/>
          <w:lang w:eastAsia="zh-CN"/>
        </w:rPr>
        <w:t>交易发起人</w:t>
      </w:r>
      <w:r>
        <w:rPr>
          <w:rFonts w:hint="eastAsia" w:ascii="仿宋" w:hAnsi="仿宋" w:eastAsia="仿宋" w:cs="仿宋"/>
          <w:color w:val="auto"/>
          <w:kern w:val="0"/>
          <w:sz w:val="21"/>
          <w:szCs w:val="21"/>
          <w:highlight w:val="none"/>
        </w:rPr>
        <w:t>组织对供应商履约的验收。</w:t>
      </w:r>
    </w:p>
    <w:bookmarkEnd w:id="47"/>
    <w:p w14:paraId="7CD36D06">
      <w:pPr>
        <w:tabs>
          <w:tab w:val="left" w:pos="0"/>
        </w:tabs>
        <w:spacing w:line="360" w:lineRule="auto"/>
        <w:ind w:firstLine="480" w:firstLineChars="200"/>
        <w:rPr>
          <w:rFonts w:hint="eastAsia" w:ascii="仿宋" w:hAnsi="仿宋" w:eastAsia="仿宋" w:cs="仿宋"/>
          <w:color w:val="auto"/>
          <w:kern w:val="0"/>
          <w:sz w:val="24"/>
          <w:highlight w:val="none"/>
        </w:rPr>
        <w:sectPr>
          <w:pgSz w:w="11905" w:h="16838"/>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bookmarkStart w:id="52" w:name="_Hlt74729768"/>
      <w:bookmarkEnd w:id="52"/>
      <w:bookmarkStart w:id="53" w:name="_Hlt75236101"/>
      <w:bookmarkEnd w:id="53"/>
      <w:bookmarkStart w:id="54" w:name="_Hlt68057669"/>
      <w:bookmarkEnd w:id="54"/>
      <w:bookmarkStart w:id="55" w:name="_Hlt68073093"/>
      <w:bookmarkEnd w:id="55"/>
      <w:bookmarkStart w:id="56" w:name="_Hlt68403820"/>
      <w:bookmarkEnd w:id="56"/>
      <w:bookmarkStart w:id="57" w:name="_Hlt74730295"/>
      <w:bookmarkEnd w:id="57"/>
      <w:bookmarkStart w:id="58" w:name="_Hlt74714665"/>
      <w:bookmarkEnd w:id="58"/>
      <w:bookmarkStart w:id="59" w:name="_Hlt68072998"/>
      <w:bookmarkEnd w:id="59"/>
      <w:bookmarkStart w:id="60" w:name="_Hlt75236011"/>
      <w:bookmarkEnd w:id="60"/>
      <w:bookmarkStart w:id="61" w:name="_Hlt75236290"/>
      <w:bookmarkEnd w:id="61"/>
      <w:bookmarkStart w:id="62" w:name="_Hlt74707468"/>
      <w:bookmarkEnd w:id="62"/>
      <w:bookmarkStart w:id="63" w:name="_Hlt68072990"/>
      <w:bookmarkEnd w:id="63"/>
    </w:p>
    <w:bookmarkEnd w:id="24"/>
    <w:bookmarkEnd w:id="25"/>
    <w:p w14:paraId="2B6B5072">
      <w:pPr>
        <w:spacing w:line="360" w:lineRule="auto"/>
        <w:jc w:val="center"/>
        <w:outlineLvl w:val="0"/>
        <w:rPr>
          <w:rFonts w:hint="eastAsia" w:ascii="仿宋" w:hAnsi="仿宋" w:eastAsia="仿宋" w:cs="仿宋"/>
          <w:b/>
          <w:color w:val="auto"/>
          <w:sz w:val="32"/>
          <w:szCs w:val="32"/>
          <w:highlight w:val="none"/>
          <w:lang w:eastAsia="zh-CN"/>
        </w:rPr>
      </w:pPr>
      <w:bookmarkStart w:id="64" w:name="_Toc12399"/>
      <w:bookmarkStart w:id="65" w:name="_Toc5403"/>
      <w:bookmarkStart w:id="66" w:name="_Toc1222"/>
      <w:bookmarkStart w:id="67" w:name="_Toc19271"/>
      <w:bookmarkStart w:id="68" w:name="第四部分"/>
      <w:r>
        <w:rPr>
          <w:rFonts w:hint="eastAsia" w:ascii="仿宋" w:hAnsi="仿宋" w:eastAsia="仿宋" w:cs="仿宋"/>
          <w:b/>
          <w:color w:val="auto"/>
          <w:sz w:val="32"/>
          <w:szCs w:val="32"/>
          <w:highlight w:val="none"/>
        </w:rPr>
        <w:t xml:space="preserve">第三部分 </w:t>
      </w:r>
      <w:bookmarkEnd w:id="64"/>
      <w:bookmarkEnd w:id="65"/>
      <w:bookmarkEnd w:id="66"/>
      <w:bookmarkEnd w:id="67"/>
      <w:r>
        <w:rPr>
          <w:rFonts w:hint="eastAsia" w:ascii="仿宋" w:hAnsi="仿宋" w:eastAsia="仿宋" w:cs="仿宋"/>
          <w:b/>
          <w:color w:val="auto"/>
          <w:sz w:val="32"/>
          <w:szCs w:val="32"/>
          <w:highlight w:val="none"/>
          <w:lang w:eastAsia="zh-CN"/>
        </w:rPr>
        <w:t>交易需求</w:t>
      </w:r>
    </w:p>
    <w:p w14:paraId="440CABFD">
      <w:pPr>
        <w:pStyle w:val="968"/>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属于实质性要求条款的，请用符号“▲”标明，否则属于非实质性要求。</w:t>
      </w:r>
    </w:p>
    <w:p w14:paraId="69D75676">
      <w:pPr>
        <w:adjustRightInd w:val="0"/>
        <w:snapToGrid w:val="0"/>
        <w:spacing w:line="360" w:lineRule="auto"/>
        <w:ind w:firstLine="241" w:firstLineChars="100"/>
        <w:jc w:val="center"/>
        <w:rPr>
          <w:rFonts w:hint="eastAsia" w:ascii="仿宋" w:hAnsi="仿宋" w:eastAsia="仿宋" w:cs="仿宋"/>
          <w:b/>
          <w:bCs/>
          <w:color w:val="auto"/>
          <w:sz w:val="24"/>
          <w:szCs w:val="24"/>
          <w:highlight w:val="none"/>
        </w:rPr>
      </w:pPr>
    </w:p>
    <w:p w14:paraId="75A2D5DA">
      <w:pPr>
        <w:adjustRightInd w:val="0"/>
        <w:snapToGrid w:val="0"/>
        <w:spacing w:line="360" w:lineRule="auto"/>
        <w:ind w:firstLine="281" w:firstLine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交易</w:t>
      </w:r>
      <w:r>
        <w:rPr>
          <w:rFonts w:hint="eastAsia" w:ascii="仿宋" w:hAnsi="仿宋" w:eastAsia="仿宋" w:cs="仿宋"/>
          <w:b/>
          <w:bCs/>
          <w:color w:val="auto"/>
          <w:sz w:val="28"/>
          <w:szCs w:val="28"/>
          <w:highlight w:val="none"/>
        </w:rPr>
        <w:t>一览表</w:t>
      </w:r>
    </w:p>
    <w:p w14:paraId="753EF6C4">
      <w:pPr>
        <w:pStyle w:val="2"/>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标项：1</w:t>
      </w:r>
    </w:p>
    <w:tbl>
      <w:tblPr>
        <w:tblStyle w:val="6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13"/>
        <w:gridCol w:w="2192"/>
        <w:gridCol w:w="576"/>
        <w:gridCol w:w="576"/>
        <w:gridCol w:w="1476"/>
        <w:gridCol w:w="2916"/>
        <w:gridCol w:w="576"/>
      </w:tblGrid>
      <w:tr w14:paraId="1C696D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1" w:hRule="atLeast"/>
          <w:jc w:val="center"/>
        </w:trPr>
        <w:tc>
          <w:tcPr>
            <w:tcW w:w="613" w:type="dxa"/>
            <w:noWrap w:val="0"/>
            <w:vAlign w:val="center"/>
          </w:tcPr>
          <w:p w14:paraId="3382AE5B">
            <w:pPr>
              <w:spacing w:line="276"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标项</w:t>
            </w:r>
          </w:p>
        </w:tc>
        <w:tc>
          <w:tcPr>
            <w:tcW w:w="2192" w:type="dxa"/>
            <w:noWrap w:val="0"/>
            <w:vAlign w:val="center"/>
          </w:tcPr>
          <w:p w14:paraId="371D662A">
            <w:pPr>
              <w:spacing w:line="276" w:lineRule="auto"/>
              <w:ind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名称</w:t>
            </w:r>
          </w:p>
        </w:tc>
        <w:tc>
          <w:tcPr>
            <w:tcW w:w="576" w:type="dxa"/>
            <w:noWrap w:val="0"/>
            <w:vAlign w:val="center"/>
          </w:tcPr>
          <w:p w14:paraId="70798D5A">
            <w:pPr>
              <w:spacing w:line="276"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数量</w:t>
            </w:r>
          </w:p>
        </w:tc>
        <w:tc>
          <w:tcPr>
            <w:tcW w:w="576" w:type="dxa"/>
            <w:noWrap w:val="0"/>
            <w:vAlign w:val="center"/>
          </w:tcPr>
          <w:p w14:paraId="39F5A4B8">
            <w:pPr>
              <w:spacing w:line="276"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w:t>
            </w:r>
          </w:p>
        </w:tc>
        <w:tc>
          <w:tcPr>
            <w:tcW w:w="1476" w:type="dxa"/>
            <w:noWrap w:val="0"/>
            <w:vAlign w:val="center"/>
          </w:tcPr>
          <w:p w14:paraId="766FD54D">
            <w:pPr>
              <w:spacing w:line="276"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预算金额（元）</w:t>
            </w:r>
          </w:p>
        </w:tc>
        <w:tc>
          <w:tcPr>
            <w:tcW w:w="2916" w:type="dxa"/>
            <w:noWrap w:val="0"/>
            <w:vAlign w:val="center"/>
          </w:tcPr>
          <w:p w14:paraId="1B96B176">
            <w:pPr>
              <w:spacing w:line="276"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简要规格描述或标项基本概况介绍</w:t>
            </w:r>
          </w:p>
        </w:tc>
        <w:tc>
          <w:tcPr>
            <w:tcW w:w="576" w:type="dxa"/>
            <w:noWrap w:val="0"/>
            <w:vAlign w:val="center"/>
          </w:tcPr>
          <w:p w14:paraId="04D354E1">
            <w:pPr>
              <w:spacing w:line="276"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14:paraId="0B0965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5" w:hRule="atLeast"/>
          <w:jc w:val="center"/>
        </w:trPr>
        <w:tc>
          <w:tcPr>
            <w:tcW w:w="613" w:type="dxa"/>
            <w:noWrap w:val="0"/>
            <w:vAlign w:val="center"/>
          </w:tcPr>
          <w:p w14:paraId="67347F28">
            <w:pPr>
              <w:spacing w:line="276"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2192" w:type="dxa"/>
            <w:noWrap w:val="0"/>
            <w:vAlign w:val="center"/>
          </w:tcPr>
          <w:p w14:paraId="5677C3A1">
            <w:pPr>
              <w:spacing w:line="276"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新街街道新盛村卫生保洁服务外包项目</w:t>
            </w:r>
          </w:p>
        </w:tc>
        <w:tc>
          <w:tcPr>
            <w:tcW w:w="576" w:type="dxa"/>
            <w:noWrap w:val="0"/>
            <w:vAlign w:val="center"/>
          </w:tcPr>
          <w:p w14:paraId="627E6BE3">
            <w:pPr>
              <w:spacing w:line="276" w:lineRule="auto"/>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76" w:type="dxa"/>
            <w:noWrap w:val="0"/>
            <w:vAlign w:val="center"/>
          </w:tcPr>
          <w:p w14:paraId="48FECE7F">
            <w:pPr>
              <w:spacing w:line="276" w:lineRule="auto"/>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年</w:t>
            </w:r>
          </w:p>
        </w:tc>
        <w:tc>
          <w:tcPr>
            <w:tcW w:w="1476" w:type="dxa"/>
            <w:noWrap w:val="0"/>
            <w:vAlign w:val="center"/>
          </w:tcPr>
          <w:p w14:paraId="3C74C5A4">
            <w:pPr>
              <w:spacing w:line="276" w:lineRule="auto"/>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1663776.00</w:t>
            </w:r>
          </w:p>
        </w:tc>
        <w:tc>
          <w:tcPr>
            <w:tcW w:w="2916" w:type="dxa"/>
            <w:noWrap w:val="0"/>
            <w:vAlign w:val="center"/>
          </w:tcPr>
          <w:p w14:paraId="3417B613">
            <w:pPr>
              <w:spacing w:line="276"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详见交易需求</w:t>
            </w:r>
          </w:p>
        </w:tc>
        <w:tc>
          <w:tcPr>
            <w:tcW w:w="576" w:type="dxa"/>
            <w:noWrap w:val="0"/>
            <w:vAlign w:val="center"/>
          </w:tcPr>
          <w:p w14:paraId="10FBFBA5">
            <w:pPr>
              <w:spacing w:line="276" w:lineRule="auto"/>
              <w:ind w:firstLine="360" w:firstLineChars="200"/>
              <w:jc w:val="center"/>
              <w:rPr>
                <w:rFonts w:hint="eastAsia" w:ascii="仿宋" w:hAnsi="仿宋" w:eastAsia="仿宋" w:cs="仿宋"/>
                <w:color w:val="auto"/>
                <w:sz w:val="18"/>
                <w:szCs w:val="18"/>
                <w:highlight w:val="none"/>
              </w:rPr>
            </w:pPr>
          </w:p>
        </w:tc>
      </w:tr>
    </w:tbl>
    <w:p w14:paraId="68294493">
      <w:pPr>
        <w:spacing w:line="360" w:lineRule="auto"/>
        <w:ind w:firstLine="241" w:firstLineChars="100"/>
        <w:jc w:val="center"/>
        <w:rPr>
          <w:rFonts w:hint="eastAsia" w:ascii="仿宋" w:hAnsi="仿宋" w:eastAsia="仿宋" w:cs="仿宋"/>
          <w:b/>
          <w:color w:val="auto"/>
          <w:sz w:val="24"/>
          <w:szCs w:val="24"/>
          <w:highlight w:val="none"/>
        </w:rPr>
      </w:pPr>
    </w:p>
    <w:p w14:paraId="450360EB">
      <w:pPr>
        <w:spacing w:line="360" w:lineRule="auto"/>
        <w:ind w:firstLine="281" w:firstLineChars="100"/>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val="en-US" w:eastAsia="zh-CN"/>
        </w:rPr>
        <w:t>交易</w:t>
      </w:r>
      <w:r>
        <w:rPr>
          <w:rFonts w:hint="eastAsia" w:ascii="仿宋" w:hAnsi="仿宋" w:eastAsia="仿宋" w:cs="仿宋"/>
          <w:b/>
          <w:color w:val="auto"/>
          <w:sz w:val="28"/>
          <w:szCs w:val="28"/>
          <w:highlight w:val="none"/>
        </w:rPr>
        <w:t>需求</w:t>
      </w:r>
    </w:p>
    <w:p w14:paraId="5E1F8DAA">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新街街道新盛村地处浙江（中国）花木城西侧，紧邻萧山经济开发区，新农都依建建设四路及规划的建设三路，新盛村属地管理，村民房也逐渐成为新农都的配套用房，居住环境十分复杂，外来人口较多。新盛村由19个村民小组组成，共有1126户，常住人口</w:t>
      </w:r>
      <w:r>
        <w:rPr>
          <w:rFonts w:hint="eastAsia" w:ascii="仿宋" w:hAnsi="仿宋" w:eastAsia="仿宋" w:cs="仿宋"/>
          <w:color w:val="auto"/>
          <w:sz w:val="21"/>
          <w:szCs w:val="21"/>
          <w:highlight w:val="none"/>
          <w:lang w:val="en-US" w:eastAsia="zh-CN"/>
        </w:rPr>
        <w:t>4214</w:t>
      </w:r>
      <w:r>
        <w:rPr>
          <w:rFonts w:hint="eastAsia" w:ascii="仿宋" w:hAnsi="仿宋" w:eastAsia="仿宋" w:cs="仿宋"/>
          <w:color w:val="auto"/>
          <w:sz w:val="21"/>
          <w:szCs w:val="21"/>
          <w:highlight w:val="none"/>
        </w:rPr>
        <w:t>人，2022年城中村改造拆迁之后，新盛村已实现整村拆迁,分为2个区块，建设四路以北新盛村工业园区及建设四路以南拆迁区块。目前，全村大小企业共有104家，五金、塑料、化纤、家具为其四大产业，本村整村周长为4.86公里。</w:t>
      </w:r>
    </w:p>
    <w:p w14:paraId="6BD09A42">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一、保洁内容</w:t>
      </w:r>
    </w:p>
    <w:p w14:paraId="40023A41">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新街街道新盛村整村道路以及道路两边堆积物，公厕、垃圾桶（箱）、沟渠、牛皮癣</w:t>
      </w:r>
      <w:bookmarkStart w:id="498" w:name="_GoBack"/>
      <w:bookmarkEnd w:id="498"/>
      <w:r>
        <w:rPr>
          <w:rFonts w:hint="eastAsia" w:ascii="仿宋" w:hAnsi="仿宋" w:eastAsia="仿宋" w:cs="仿宋"/>
          <w:color w:val="auto"/>
          <w:sz w:val="21"/>
          <w:szCs w:val="21"/>
          <w:highlight w:val="none"/>
        </w:rPr>
        <w:t>广告纸、村级公园、绿化带、健身点等公共场所室外保洁，老年过渡房、房前屋后堆积物垃圾清理清运，村级垃圾中转站的各类垃圾做好分类清运，厨余垃圾分类清运，负责清运处理新街中转站不接收的其他垃圾。</w:t>
      </w:r>
    </w:p>
    <w:p w14:paraId="5D8813EA">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1.辖区内所有硬化道路、农户出入道路、停车位。</w:t>
      </w:r>
    </w:p>
    <w:p w14:paraId="659A67DF">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2.主干道两边的杂草、河边、绿化带内及周边的垃圾。</w:t>
      </w:r>
    </w:p>
    <w:p w14:paraId="39864151">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3.居民活动点、公园、健身场所。</w:t>
      </w:r>
    </w:p>
    <w:p w14:paraId="3CB1A974">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4.公厕（1座）需要配备一名全天候保洁人员，不能采用巡回保洁。</w:t>
      </w:r>
    </w:p>
    <w:p w14:paraId="3C0AD7A5">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5.建筑物及电线杆、宣传栏上张贴的牛皮癣、喷漆。</w:t>
      </w:r>
    </w:p>
    <w:p w14:paraId="2B387168">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6.辖区内所有堆积物，建筑垃圾、工业垃圾、装潢垃圾、大件垃圾及企事业单位所产生的垃圾分类清理及外运。</w:t>
      </w:r>
    </w:p>
    <w:p w14:paraId="3241B901">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7.村级集置点的的生活垃圾由保洁公司配合街道直运，必须日清。</w:t>
      </w:r>
    </w:p>
    <w:p w14:paraId="24A2950C">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8.农林垃圾由保洁公司运送至街道提供的消纳场。</w:t>
      </w:r>
    </w:p>
    <w:p w14:paraId="6C2FE1F2">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9.垃圾中转站、垃圾箱（房）的清运及保洁，每天对桶装直运的桶清洗干净。</w:t>
      </w:r>
    </w:p>
    <w:p w14:paraId="066315B0">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10.区域交界处的卫生保洁。</w:t>
      </w:r>
    </w:p>
    <w:p w14:paraId="714E04FC">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11.上级部门要求整改的事项。</w:t>
      </w:r>
    </w:p>
    <w:p w14:paraId="52B5B6B0">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注：本次保洁内容包括全村范围内（包括拆迁区域）的所有生活垃圾、非生活垃圾，包括建筑垃圾、装修垃圾、工业垃圾等其他混合垃圾。</w:t>
      </w:r>
    </w:p>
    <w:p w14:paraId="34184D04">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二、保洁要求</w:t>
      </w:r>
    </w:p>
    <w:p w14:paraId="0F348BB4">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（1）保洁公司安排专人负责管理保洁人员，保证人员的到岗率及上岗时间，道路管理人员不得少于1人，道路保洁人员不得少于</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人（其中扫地</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人、牛皮癣1人、公厕1人），沟渠清理不得少2人，垃圾桶清运不得少于2人，垃圾分类厨余垃圾清运不得少于</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人，外围垃圾秸秆清理不得少于1人。保洁时间每天不少于8小时，落实不少于3人全天巡回保洁，确保发现问题立即解决。对上级的抄告单要第一时间落实。确保路面整洁无垃圾，道路两旁无杂草，垃圾箱及周边的垃圾必须当日运至垃圾集置点，集置点保持整洁，无积水。一户一桶垃圾收集3辆车(车辆由村社提供），采用垃圾桶装直运的方式收集、清运垃圾，每天不得少于两次。在收集垃圾桶后，桶外不得有散落垃圾。及时清理主要道路、房前屋后绿化带及堆积物、死角卫生。厕所冲洗每天早晚各一次，厕所外环境打扫，清理牛皮癣每天一次，各类牛皮癣要做到早发现早清理，滞留时间不可超过三天。交易发起人提供车辆</w:t>
      </w:r>
      <w:r>
        <w:rPr>
          <w:rFonts w:hint="eastAsia" w:ascii="仿宋" w:hAnsi="仿宋" w:eastAsia="仿宋" w:cs="仿宋"/>
          <w:color w:val="auto"/>
          <w:sz w:val="21"/>
          <w:szCs w:val="21"/>
          <w:highlight w:val="none"/>
          <w:lang w:eastAsia="zh-CN"/>
        </w:rPr>
        <w:t>（一户一桶垃圾收集3辆车）</w:t>
      </w:r>
      <w:r>
        <w:rPr>
          <w:rFonts w:hint="eastAsia" w:ascii="仿宋" w:hAnsi="仿宋" w:eastAsia="仿宋" w:cs="仿宋"/>
          <w:color w:val="auto"/>
          <w:sz w:val="21"/>
          <w:szCs w:val="21"/>
          <w:highlight w:val="none"/>
        </w:rPr>
        <w:t>，日常车辆保养及维修由保洁公司负责，其他保洁等用具均由保洁公司自备。</w:t>
      </w:r>
    </w:p>
    <w:p w14:paraId="3EA3BB56">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（2）区域内的各类建筑垃圾、工业垃圾、装潢垃圾由保洁公司运至村提供的临时堆放场地，并定期清理，去向由保洁公司自行负责</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处理方法需合法合规）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农林</w:t>
      </w:r>
      <w:r>
        <w:rPr>
          <w:rFonts w:hint="eastAsia" w:ascii="仿宋" w:hAnsi="仿宋" w:eastAsia="仿宋" w:cs="仿宋"/>
          <w:color w:val="auto"/>
          <w:sz w:val="21"/>
          <w:szCs w:val="21"/>
          <w:highlight w:val="none"/>
        </w:rPr>
        <w:t>垃圾由保洁公司运送至街道提供的消纳场。</w:t>
      </w:r>
    </w:p>
    <w:p w14:paraId="3C4893C9">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（3）交易发起人组织突击工作任务，保洁公司应无条件落实人员设备配合。</w:t>
      </w:r>
    </w:p>
    <w:p w14:paraId="0C1C3414">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保洁公司不得以任何方式收取辖区内农户任何费用。不得将保洁工作转包给其他单位和个人，如有类似情况发生交易发起人将立即终止合同。保洁公司如多次未完成合同规定要求，经交易发起人警告三次以上不整改到位的，交易发起人有权单方解除合同。如被单方解除合同的，交易发起人有权没收保洁公司的履约保证金等处罚。</w:t>
      </w:r>
    </w:p>
    <w:p w14:paraId="04BFBDA1">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（5）前期卫生遗留问题由新成交单位与原承包者协商处理干净（包括大件建筑垃圾）。</w:t>
      </w:r>
    </w:p>
    <w:p w14:paraId="5A6CEACC">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（6）保洁工作标准</w:t>
      </w:r>
    </w:p>
    <w:p w14:paraId="74688D4A">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1、道路管理人员</w:t>
      </w:r>
    </w:p>
    <w:p w14:paraId="0DFF558C">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1）服从领导，听从指挥，遇事及时请示，报告。坚守岗位，不脱岗不串岗，不闲聊，不做与工作无关的事情。</w:t>
      </w:r>
    </w:p>
    <w:p w14:paraId="28D83EDF">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2）明辨是非，坚持原则，对情况仔细观察，仪态端正，着装整洁，态度和气，语言文明。</w:t>
      </w:r>
    </w:p>
    <w:p w14:paraId="39A5D874">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3）工作效率高，做到发现快，处理快，到位快，展开快，完成任务圆满。</w:t>
      </w:r>
    </w:p>
    <w:p w14:paraId="49BABF63">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4）做好协调经营户的进货堆放整齐，劝其不得占地堆放，占道经营，协调好车辆的正确停放；维持好经营户的文明经营秩序。</w:t>
      </w:r>
    </w:p>
    <w:p w14:paraId="31956C7D">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5）加强巡逻频率，规劝消费人员车辆停放、确保道路畅通，有序购物。</w:t>
      </w:r>
    </w:p>
    <w:p w14:paraId="78E94BFB">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6）严格管理道路秩序，监督不规范、不法经营，及时取缔流动摊贩，监督不法人员流串作业。</w:t>
      </w:r>
    </w:p>
    <w:p w14:paraId="326A278E">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7）定期对道路两侧消防器材、自来水笼头、消防栓、电路闸刀、配电箱、市政设施、基础设施等进行检查，并及时汇报。</w:t>
      </w:r>
    </w:p>
    <w:p w14:paraId="5CEC32B6">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2、保洁、垃圾清运人员的作业方案</w:t>
      </w:r>
    </w:p>
    <w:p w14:paraId="1434E3E9">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1）在村委的领导下，全面负责贯彻实施保洁范围内的清洁卫生工作；</w:t>
      </w:r>
    </w:p>
    <w:p w14:paraId="3482106B">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2）实行全天候人工保洁，作业时间为：6:00-18:00。每天必须在7:30前完成第一次普扫，之后巡回保洁，直至下班；</w:t>
      </w:r>
    </w:p>
    <w:p w14:paraId="7DFD7660">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3）保洁时段内，垃圾须在30分钟内及时清除，做到无积存垃圾、无杂草、无杂物、无积水；叉路口扫出5米。</w:t>
      </w:r>
    </w:p>
    <w:p w14:paraId="5DE45914">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4）普扫完成后，保洁巡视人员进行巡视。巡视过程中，巡视人员将清扫保洁不到位或不彻底的地方及时通知保洁人员及时重新清扫或捡拾。清扫作业完成后将垃圾存放到指定地点，经运输车集中收集，运到指定垃圾处理场。</w:t>
      </w:r>
    </w:p>
    <w:p w14:paraId="1DF0ECF5">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5）实行普扫与循环捉脏相结合的作业方式确保道路在规定的时段内符合规定的人员配置数量，到岗率为100%。</w:t>
      </w:r>
    </w:p>
    <w:p w14:paraId="2CEF5AF6">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6）由管理员实行巡回监督，对清扫未按标准的实行罚重扫一遍；制定百分考核进行扣分；对工作不负责任的进行辞退更换人员。</w:t>
      </w:r>
    </w:p>
    <w:p w14:paraId="28833FF8">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7）归拢的垃圾在离人行道三十厘米出打堆，现堆现收，不漏扫。清扫道路时遇窨井须绕开，不得将垃圾扫入窨井、喇叭口、绿地，并疏通井口。</w:t>
      </w:r>
    </w:p>
    <w:p w14:paraId="273FA50C">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8）每天清洗公厕2次以上，并不能采用巡回保洁，需全天候配备专人保洁。</w:t>
      </w:r>
    </w:p>
    <w:p w14:paraId="663C3C18">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9）及时清理沟渠漂浮物、沟渠两侧堆积物，若沟渠发生堵塞，或有淤泥，及时清理疏通干净，并保持整洁干净。</w:t>
      </w:r>
    </w:p>
    <w:p w14:paraId="5D63EB27">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10）垃圾清运人员做到对村内各类垃圾以及店面垃圾一日两次收集清运，若有特殊情况，则增加清运次数。</w:t>
      </w:r>
    </w:p>
    <w:p w14:paraId="4B55A5E1">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11）每天冲洗垃圾箱、桶，保持干净整洁，不让垃圾外溢，确保垃圾箱（桶）周边干净整洁。</w:t>
      </w:r>
    </w:p>
    <w:p w14:paraId="6C90CB7D">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12）墙体牛皮癣、农贸市场、绿化带、公园、健身点及其他村级公共设施室外场地保持干净整洁。</w:t>
      </w:r>
    </w:p>
    <w:p w14:paraId="2EAB047E">
      <w:pPr>
        <w:pStyle w:val="978"/>
        <w:widowControl/>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13）如遇上级检查或考核时，对村级主要道路进行洒水作业。</w:t>
      </w:r>
    </w:p>
    <w:p w14:paraId="369464B8">
      <w:pPr>
        <w:pStyle w:val="978"/>
        <w:widowControl/>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14）不准焚烧垃圾、树叶，及时清除归堆垃圾，不得沿路抛洒。</w:t>
      </w:r>
    </w:p>
    <w:p w14:paraId="23F8E5D2">
      <w:pPr>
        <w:pStyle w:val="978"/>
        <w:widowControl/>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15）作业时遵守交通管理法规，保证安全，发生各种意外事故，由承包方自行解决。</w:t>
      </w:r>
    </w:p>
    <w:p w14:paraId="6F35A788">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3、其他保洁要求</w:t>
      </w:r>
    </w:p>
    <w:p w14:paraId="2AA45874">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1）公园、树圈、绿化带做到无垃圾、杂物。</w:t>
      </w:r>
    </w:p>
    <w:p w14:paraId="6EC107A8">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2）做好公园清扫保洁，及时清除杂物。</w:t>
      </w:r>
    </w:p>
    <w:p w14:paraId="5D1AFF47">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3）垃圾三轮车及机动车密闭运输，途中无垃圾散落、无吊挂，车辆无破损。</w:t>
      </w:r>
    </w:p>
    <w:p w14:paraId="2166560D">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4、做好政府、村提出的突击整治工作，承担拆违等非常情况下的垃圾收集清除工作。</w:t>
      </w:r>
    </w:p>
    <w:p w14:paraId="3125438B">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5、承担合同期内全村范围公共厕所内部设施的日常养护和零配件更换及垃圾箱的维修。</w:t>
      </w:r>
    </w:p>
    <w:p w14:paraId="21BF4DCE">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6、在合同期内，如有新增加保洁项目（如新建公厕，垃圾箱，道路绿化等）不再增加保洁费用。</w:t>
      </w:r>
    </w:p>
    <w:p w14:paraId="2910F9A7">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7、本项目中建房户大堆建筑垃圾由建房户自行清理，零星堆放的建筑垃圾和垃圾箱旁边的小堆建筑垃圾由保洁公司负责。</w:t>
      </w:r>
    </w:p>
    <w:p w14:paraId="0E351C82">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三、安全责任</w:t>
      </w:r>
    </w:p>
    <w:p w14:paraId="6DA97F63">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保洁公司必须定期对保洁全体人员进行上岗培训工作和安全防范知识教育，如发生不安全事故，则由保洁公司负全部责任，与交易发起人无关。</w:t>
      </w:r>
    </w:p>
    <w:p w14:paraId="140CAD34">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考核办法</w:t>
      </w:r>
    </w:p>
    <w:p w14:paraId="2ABFA91F">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罚</w:t>
      </w:r>
    </w:p>
    <w:p w14:paraId="50F406FB">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交易发起人检查中有大堆垃圾未清运或建筑垃圾(无主)在3天内不清理的每处扣50元/次，发现大面积牛皮藓、小广告及陈旧横幅未及时清理的扣每处30元/次，并通知承包方。如发现承包方焚烧垃圾的每次扣500元，及没有做好管理工作的发现焚烧垃圾的每次扣200元的处罚。</w:t>
      </w:r>
    </w:p>
    <w:p w14:paraId="2D2CB06D">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2、在新街街道上级部门卫生检查中、被拍照抄告的每处扣100元/次，如对方抄告不进行整改的，同一地方被第二次抄告的每处扣200元/次，被三次抄告的并仍不落实整改的，给予每处600元的处罚。</w:t>
      </w:r>
    </w:p>
    <w:p w14:paraId="0CEAFFEF">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3、在区级卫生检查中被抄告的，每处400元/次，在同一地方第二次被抄告的，并没有落实措施的扣800元/处，第三次被抄告的扣2000元/处。</w:t>
      </w:r>
    </w:p>
    <w:p w14:paraId="5650F94B">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4、垃圾扫入窨井、河道、农田、水沟，发现一次罚款50元。</w:t>
      </w:r>
    </w:p>
    <w:p w14:paraId="70C49073">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5、工作人员作业时不穿闪光背心，不戴黄帽，发现一次罚款20元/人。</w:t>
      </w:r>
    </w:p>
    <w:p w14:paraId="24A3E34A">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6、如垃圾清扫人员有脱岗行为的每人每次罚款100元。</w:t>
      </w:r>
    </w:p>
    <w:p w14:paraId="2A5CBA88">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7、全村路面保洁人员不足</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人，倒桶人员不足2人，每少一人罚3000元。</w:t>
      </w:r>
    </w:p>
    <w:p w14:paraId="3AECBD07">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五、商务需求</w:t>
      </w:r>
    </w:p>
    <w:p w14:paraId="41631E6E">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2.1服务期：2年，合同一年一签，具体起止日期在合同中明确。中标人在服务期内应严格履行合同，在合同到期前，经交易发起人考核中标人业绩达到合格及以上，且经村民代表大会通过的可签订下一年度合同。续签合同价不变，服务费用按原合同签订的付款方式支付。 </w:t>
      </w:r>
    </w:p>
    <w:p w14:paraId="2E556EC4">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合同履行完毕后，在未找到接替服务方前，中标人应延续服务，直至下届中标人或交易发起人确定的新服务方接替。费用根据实际服务时间以本合同签订的标准按比例支付，其他权利义务参照本合同约定执行。</w:t>
      </w:r>
    </w:p>
    <w:p w14:paraId="03B54CFD">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2.2承包方式：包工包料。</w:t>
      </w:r>
    </w:p>
    <w:p w14:paraId="07B0BB4C">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2.3本项目响应人一旦中标，不得分包转包，一经发现中标人存在分包转包的行为，本项目合同立即自动中止，同时采购人有权没收投标单位履约保证金。</w:t>
      </w:r>
    </w:p>
    <w:p w14:paraId="09A3EFC8">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▲2.4付款方式</w:t>
      </w:r>
    </w:p>
    <w:p w14:paraId="1333F3A6">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由交易发起人按季度支付，中标价按季度折算并根据管理考核办法扣除考核金后拨付，于下一季度的次月10日（遇节假顺延）前支付；承包期满后根据考核结果余款一次付清。（具体在合同中明确）</w:t>
      </w:r>
    </w:p>
    <w:p w14:paraId="4173FB6A">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3.项目实施计划</w:t>
      </w:r>
    </w:p>
    <w:p w14:paraId="531275C3">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项目实施的组织工作方案：工作时间进度表、工作程序或步骤、管理和协调方法、</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方案等。</w:t>
      </w:r>
    </w:p>
    <w:p w14:paraId="7F1CF564">
      <w:pPr>
        <w:pStyle w:val="978"/>
        <w:widowControl/>
        <w:ind w:firstLine="48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4、其他说明</w:t>
      </w:r>
    </w:p>
    <w:p w14:paraId="2220F96D">
      <w:pPr>
        <w:pStyle w:val="978"/>
        <w:widowControl/>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配合交易发起人项目交接平稳过渡。</w:t>
      </w:r>
    </w:p>
    <w:p w14:paraId="63EE75AC">
      <w:pPr>
        <w:rPr>
          <w:rFonts w:hint="eastAsia"/>
          <w:color w:val="auto"/>
        </w:rPr>
      </w:pPr>
    </w:p>
    <w:p w14:paraId="369CC556">
      <w:pPr>
        <w:spacing w:after="0" w:line="360"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注：1.</w:t>
      </w:r>
      <w:r>
        <w:rPr>
          <w:rFonts w:hint="eastAsia" w:ascii="仿宋" w:hAnsi="仿宋" w:eastAsia="仿宋" w:cs="仿宋"/>
          <w:b w:val="0"/>
          <w:bCs w:val="0"/>
          <w:color w:val="auto"/>
          <w:sz w:val="21"/>
          <w:szCs w:val="21"/>
          <w:highlight w:val="none"/>
          <w:lang w:eastAsia="zh-CN"/>
        </w:rPr>
        <w:t>交易文件</w:t>
      </w:r>
      <w:r>
        <w:rPr>
          <w:rFonts w:hint="eastAsia" w:ascii="仿宋" w:hAnsi="仿宋" w:eastAsia="仿宋" w:cs="仿宋"/>
          <w:b w:val="0"/>
          <w:bCs w:val="0"/>
          <w:color w:val="auto"/>
          <w:sz w:val="21"/>
          <w:szCs w:val="21"/>
          <w:highlight w:val="none"/>
        </w:rPr>
        <w:t>和</w:t>
      </w:r>
      <w:r>
        <w:rPr>
          <w:rFonts w:hint="eastAsia" w:ascii="仿宋" w:hAnsi="仿宋" w:eastAsia="仿宋" w:cs="仿宋"/>
          <w:b w:val="0"/>
          <w:bCs w:val="0"/>
          <w:color w:val="auto"/>
          <w:sz w:val="21"/>
          <w:szCs w:val="21"/>
          <w:highlight w:val="none"/>
          <w:lang w:eastAsia="zh-CN"/>
        </w:rPr>
        <w:t>交易需求</w:t>
      </w:r>
      <w:r>
        <w:rPr>
          <w:rFonts w:hint="eastAsia" w:ascii="仿宋" w:hAnsi="仿宋" w:eastAsia="仿宋" w:cs="仿宋"/>
          <w:b w:val="0"/>
          <w:bCs w:val="0"/>
          <w:color w:val="auto"/>
          <w:sz w:val="21"/>
          <w:szCs w:val="21"/>
          <w:highlight w:val="none"/>
        </w:rPr>
        <w:t>清单中打</w:t>
      </w:r>
      <w:bookmarkStart w:id="69" w:name="_Hlk152859576"/>
      <w:r>
        <w:rPr>
          <w:rFonts w:hint="eastAsia" w:ascii="仿宋" w:hAnsi="仿宋" w:eastAsia="仿宋" w:cs="仿宋"/>
          <w:b w:val="0"/>
          <w:bCs w:val="0"/>
          <w:color w:val="auto"/>
          <w:sz w:val="21"/>
          <w:szCs w:val="21"/>
          <w:highlight w:val="none"/>
        </w:rPr>
        <w:t>▲</w:t>
      </w:r>
      <w:bookmarkEnd w:id="69"/>
      <w:r>
        <w:rPr>
          <w:rFonts w:hint="eastAsia" w:ascii="仿宋" w:hAnsi="仿宋" w:eastAsia="仿宋" w:cs="仿宋"/>
          <w:b w:val="0"/>
          <w:bCs w:val="0"/>
          <w:color w:val="auto"/>
          <w:sz w:val="21"/>
          <w:szCs w:val="21"/>
          <w:highlight w:val="none"/>
        </w:rPr>
        <w:t>内容为实质性要求，不允许有负偏离，否则将以涉及无效</w:t>
      </w:r>
      <w:r>
        <w:rPr>
          <w:rFonts w:hint="eastAsia" w:ascii="仿宋" w:hAnsi="仿宋" w:eastAsia="仿宋" w:cs="仿宋"/>
          <w:b w:val="0"/>
          <w:bCs w:val="0"/>
          <w:color w:val="auto"/>
          <w:sz w:val="21"/>
          <w:szCs w:val="21"/>
          <w:highlight w:val="none"/>
          <w:lang w:eastAsia="zh-CN"/>
        </w:rPr>
        <w:t>响应</w:t>
      </w:r>
      <w:r>
        <w:rPr>
          <w:rFonts w:hint="eastAsia" w:ascii="仿宋" w:hAnsi="仿宋" w:eastAsia="仿宋" w:cs="仿宋"/>
          <w:b w:val="0"/>
          <w:bCs w:val="0"/>
          <w:color w:val="auto"/>
          <w:sz w:val="21"/>
          <w:szCs w:val="21"/>
          <w:highlight w:val="none"/>
        </w:rPr>
        <w:t>条款作无效</w:t>
      </w:r>
      <w:r>
        <w:rPr>
          <w:rFonts w:hint="eastAsia" w:ascii="仿宋" w:hAnsi="仿宋" w:eastAsia="仿宋" w:cs="仿宋"/>
          <w:b w:val="0"/>
          <w:bCs w:val="0"/>
          <w:color w:val="auto"/>
          <w:sz w:val="21"/>
          <w:szCs w:val="21"/>
          <w:highlight w:val="none"/>
          <w:lang w:eastAsia="zh-CN"/>
        </w:rPr>
        <w:t>响应</w:t>
      </w:r>
      <w:r>
        <w:rPr>
          <w:rFonts w:hint="eastAsia" w:ascii="仿宋" w:hAnsi="仿宋" w:eastAsia="仿宋" w:cs="仿宋"/>
          <w:b w:val="0"/>
          <w:bCs w:val="0"/>
          <w:color w:val="auto"/>
          <w:sz w:val="21"/>
          <w:szCs w:val="21"/>
          <w:highlight w:val="none"/>
        </w:rPr>
        <w:t>。</w:t>
      </w:r>
    </w:p>
    <w:p w14:paraId="7FCBF432">
      <w:pPr>
        <w:pStyle w:val="4"/>
        <w:numPr>
          <w:ilvl w:val="0"/>
          <w:numId w:val="0"/>
        </w:numPr>
        <w:spacing w:line="360" w:lineRule="auto"/>
        <w:ind w:left="0" w:firstLine="420" w:firstLineChars="200"/>
        <w:rPr>
          <w:rFonts w:hint="eastAsia" w:asci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2.</w:t>
      </w:r>
      <w:r>
        <w:rPr>
          <w:rFonts w:hint="eastAsia" w:ascii="仿宋" w:eastAsia="仿宋" w:cs="仿宋"/>
          <w:b w:val="0"/>
          <w:bCs w:val="0"/>
          <w:color w:val="auto"/>
          <w:sz w:val="21"/>
          <w:szCs w:val="21"/>
          <w:highlight w:val="none"/>
          <w:lang w:val="en-US" w:eastAsia="zh-CN"/>
        </w:rPr>
        <w:t>成交</w:t>
      </w:r>
      <w:r>
        <w:rPr>
          <w:rFonts w:hint="eastAsia" w:ascii="仿宋" w:hAnsi="仿宋" w:eastAsia="仿宋" w:cs="仿宋"/>
          <w:b w:val="0"/>
          <w:bCs w:val="0"/>
          <w:color w:val="auto"/>
          <w:sz w:val="21"/>
          <w:szCs w:val="21"/>
          <w:highlight w:val="none"/>
        </w:rPr>
        <w:t>供应商所提供的货物、服务须与</w:t>
      </w:r>
      <w:r>
        <w:rPr>
          <w:rFonts w:hint="eastAsia" w:ascii="仿宋" w:eastAsia="仿宋" w:cs="仿宋"/>
          <w:b w:val="0"/>
          <w:bCs w:val="0"/>
          <w:color w:val="auto"/>
          <w:sz w:val="21"/>
          <w:szCs w:val="21"/>
          <w:highlight w:val="none"/>
          <w:lang w:eastAsia="zh-CN"/>
        </w:rPr>
        <w:t>响应</w:t>
      </w:r>
      <w:r>
        <w:rPr>
          <w:rFonts w:hint="eastAsia" w:ascii="仿宋" w:hAnsi="仿宋" w:eastAsia="仿宋" w:cs="仿宋"/>
          <w:b w:val="0"/>
          <w:bCs w:val="0"/>
          <w:color w:val="auto"/>
          <w:sz w:val="21"/>
          <w:szCs w:val="21"/>
          <w:highlight w:val="none"/>
        </w:rPr>
        <w:t>承诺一致，不得以次充好、偷工减料，若在项目验收中发现有上述情况，将向有关部门举报，根据相关规定进行处理。</w:t>
      </w:r>
    </w:p>
    <w:p w14:paraId="27332ECB">
      <w:pPr>
        <w:rPr>
          <w:rFonts w:hint="eastAsia" w:ascii="仿宋" w:hAnsi="仿宋" w:eastAsia="仿宋" w:cs="仿宋"/>
          <w:b/>
          <w:bCs/>
          <w:color w:val="auto"/>
          <w:sz w:val="24"/>
          <w:highlight w:val="none"/>
          <w:lang w:val="en-US" w:eastAsia="zh-CN"/>
        </w:rPr>
        <w:sectPr>
          <w:footerReference r:id="rId6" w:type="default"/>
          <w:pgSz w:w="11905" w:h="16838"/>
          <w:pgMar w:top="1440" w:right="1080" w:bottom="1440" w:left="1080" w:header="851" w:footer="850"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bCs/>
          <w:color w:val="auto"/>
          <w:sz w:val="24"/>
          <w:highlight w:val="none"/>
          <w:lang w:val="en-US" w:eastAsia="zh-CN"/>
        </w:rPr>
        <w:br w:type="page"/>
      </w:r>
    </w:p>
    <w:p w14:paraId="2AAE908D">
      <w:pPr>
        <w:spacing w:line="360" w:lineRule="auto"/>
        <w:ind w:firstLine="0" w:firstLineChars="0"/>
        <w:jc w:val="center"/>
        <w:outlineLvl w:val="9"/>
        <w:rPr>
          <w:rFonts w:hint="eastAsia" w:ascii="仿宋" w:hAnsi="仿宋" w:eastAsia="仿宋" w:cs="仿宋"/>
          <w:b/>
          <w:color w:val="auto"/>
          <w:sz w:val="32"/>
          <w:szCs w:val="32"/>
          <w:highlight w:val="none"/>
        </w:rPr>
      </w:pPr>
      <w:bookmarkStart w:id="70" w:name="_Toc4144"/>
      <w:bookmarkStart w:id="71" w:name="_Toc8223"/>
      <w:bookmarkStart w:id="72" w:name="_Toc17175"/>
      <w:bookmarkStart w:id="73" w:name="_Toc7735"/>
      <w:r>
        <w:rPr>
          <w:rFonts w:hint="eastAsia" w:ascii="仿宋" w:hAnsi="仿宋" w:eastAsia="仿宋" w:cs="仿宋"/>
          <w:b/>
          <w:color w:val="auto"/>
          <w:sz w:val="32"/>
          <w:szCs w:val="32"/>
          <w:highlight w:val="none"/>
        </w:rPr>
        <w:t xml:space="preserve">第四部分 </w:t>
      </w:r>
      <w:bookmarkStart w:id="74" w:name="_Toc184313265"/>
      <w:bookmarkEnd w:id="74"/>
      <w:bookmarkStart w:id="75" w:name="_Toc184312114"/>
      <w:bookmarkEnd w:id="75"/>
      <w:bookmarkStart w:id="76" w:name="_Toc184313282"/>
      <w:bookmarkEnd w:id="76"/>
      <w:bookmarkStart w:id="77" w:name="_Toc184313291"/>
      <w:bookmarkEnd w:id="77"/>
      <w:bookmarkStart w:id="78" w:name="_Toc184310313"/>
      <w:bookmarkEnd w:id="78"/>
      <w:bookmarkStart w:id="79" w:name="_Toc184314422"/>
      <w:bookmarkEnd w:id="79"/>
      <w:bookmarkStart w:id="80" w:name="_Toc184313281"/>
      <w:bookmarkEnd w:id="80"/>
      <w:bookmarkStart w:id="81" w:name="_Toc184310329"/>
      <w:bookmarkEnd w:id="81"/>
      <w:bookmarkStart w:id="82" w:name="_Toc184312131"/>
      <w:bookmarkEnd w:id="82"/>
      <w:bookmarkStart w:id="83" w:name="_Toc184308042"/>
      <w:bookmarkEnd w:id="83"/>
      <w:bookmarkStart w:id="84" w:name="_Toc184312100"/>
      <w:bookmarkEnd w:id="84"/>
      <w:bookmarkStart w:id="85" w:name="_Toc184312101"/>
      <w:bookmarkEnd w:id="85"/>
      <w:bookmarkStart w:id="86" w:name="_Toc184312099"/>
      <w:bookmarkEnd w:id="86"/>
      <w:bookmarkStart w:id="87" w:name="_Toc184314451"/>
      <w:bookmarkEnd w:id="87"/>
      <w:bookmarkStart w:id="88" w:name="_Toc184312086"/>
      <w:bookmarkEnd w:id="88"/>
      <w:bookmarkStart w:id="89" w:name="_Toc184314440"/>
      <w:bookmarkEnd w:id="89"/>
      <w:bookmarkStart w:id="90" w:name="_Toc184313275"/>
      <w:bookmarkEnd w:id="90"/>
      <w:bookmarkStart w:id="91" w:name="_Toc184310287"/>
      <w:bookmarkEnd w:id="91"/>
      <w:bookmarkStart w:id="92" w:name="_Toc184313279"/>
      <w:bookmarkEnd w:id="92"/>
      <w:bookmarkStart w:id="93" w:name="_Toc184313300"/>
      <w:bookmarkEnd w:id="93"/>
      <w:bookmarkStart w:id="94" w:name="_Toc184308036"/>
      <w:bookmarkEnd w:id="94"/>
      <w:bookmarkStart w:id="95" w:name="_Toc184308069"/>
      <w:bookmarkEnd w:id="95"/>
      <w:bookmarkStart w:id="96" w:name="_Toc184310304"/>
      <w:bookmarkEnd w:id="96"/>
      <w:bookmarkStart w:id="97" w:name="_Toc184312133"/>
      <w:bookmarkEnd w:id="97"/>
      <w:bookmarkStart w:id="98" w:name="_Toc184314437"/>
      <w:bookmarkEnd w:id="98"/>
      <w:bookmarkStart w:id="99" w:name="_Toc184312106"/>
      <w:bookmarkEnd w:id="99"/>
      <w:bookmarkStart w:id="100" w:name="_Toc184313263"/>
      <w:bookmarkEnd w:id="100"/>
      <w:bookmarkStart w:id="101" w:name="_Toc184313271"/>
      <w:bookmarkEnd w:id="101"/>
      <w:bookmarkStart w:id="102" w:name="_Toc184310282"/>
      <w:bookmarkEnd w:id="102"/>
      <w:bookmarkStart w:id="103" w:name="_Toc184310330"/>
      <w:bookmarkEnd w:id="103"/>
      <w:bookmarkStart w:id="104" w:name="_Toc184310333"/>
      <w:bookmarkEnd w:id="104"/>
      <w:bookmarkStart w:id="105" w:name="_Toc184312125"/>
      <w:bookmarkEnd w:id="105"/>
      <w:bookmarkStart w:id="106" w:name="_Toc184310305"/>
      <w:bookmarkEnd w:id="106"/>
      <w:bookmarkStart w:id="107" w:name="_Toc184312136"/>
      <w:bookmarkEnd w:id="107"/>
      <w:bookmarkStart w:id="108" w:name="_Toc184310276"/>
      <w:bookmarkEnd w:id="108"/>
      <w:bookmarkStart w:id="109" w:name="_Toc184308095"/>
      <w:bookmarkEnd w:id="109"/>
      <w:bookmarkStart w:id="110" w:name="_Toc184310337"/>
      <w:bookmarkEnd w:id="110"/>
      <w:bookmarkStart w:id="111" w:name="_Toc184310340"/>
      <w:bookmarkEnd w:id="111"/>
      <w:bookmarkStart w:id="112" w:name="_Toc184313251"/>
      <w:bookmarkEnd w:id="112"/>
      <w:bookmarkStart w:id="113" w:name="_Toc184314412"/>
      <w:bookmarkEnd w:id="113"/>
      <w:bookmarkStart w:id="114" w:name="_Toc184308039"/>
      <w:bookmarkEnd w:id="114"/>
      <w:bookmarkStart w:id="115" w:name="_Toc184314428"/>
      <w:bookmarkEnd w:id="115"/>
      <w:bookmarkStart w:id="116" w:name="_Toc184308093"/>
      <w:bookmarkEnd w:id="116"/>
      <w:bookmarkStart w:id="117" w:name="_Toc184314418"/>
      <w:bookmarkEnd w:id="117"/>
      <w:bookmarkStart w:id="118" w:name="_Toc184310328"/>
      <w:bookmarkEnd w:id="118"/>
      <w:bookmarkStart w:id="119" w:name="_Toc184312138"/>
      <w:bookmarkEnd w:id="119"/>
      <w:bookmarkStart w:id="120" w:name="_Toc184313261"/>
      <w:bookmarkEnd w:id="120"/>
      <w:bookmarkStart w:id="121" w:name="_Toc184312117"/>
      <w:bookmarkEnd w:id="121"/>
      <w:bookmarkStart w:id="122" w:name="_Toc184308052"/>
      <w:bookmarkEnd w:id="122"/>
      <w:bookmarkStart w:id="123" w:name="_Toc184314425"/>
      <w:bookmarkEnd w:id="123"/>
      <w:bookmarkStart w:id="124" w:name="_Toc184313301"/>
      <w:bookmarkEnd w:id="124"/>
      <w:bookmarkStart w:id="125" w:name="_Toc184312110"/>
      <w:bookmarkEnd w:id="125"/>
      <w:bookmarkStart w:id="126" w:name="_Toc184314469"/>
      <w:bookmarkEnd w:id="126"/>
      <w:bookmarkStart w:id="127" w:name="_Toc184313257"/>
      <w:bookmarkEnd w:id="127"/>
      <w:bookmarkStart w:id="128" w:name="_Toc184313242"/>
      <w:bookmarkEnd w:id="128"/>
      <w:bookmarkStart w:id="129" w:name="_Toc184313268"/>
      <w:bookmarkEnd w:id="129"/>
      <w:bookmarkStart w:id="130" w:name="_Toc184308103"/>
      <w:bookmarkEnd w:id="130"/>
      <w:bookmarkStart w:id="131" w:name="_Toc184312090"/>
      <w:bookmarkEnd w:id="131"/>
      <w:bookmarkStart w:id="132" w:name="_Toc184312118"/>
      <w:bookmarkEnd w:id="132"/>
      <w:bookmarkStart w:id="133" w:name="_Toc184310299"/>
      <w:bookmarkEnd w:id="133"/>
      <w:bookmarkStart w:id="134" w:name="_Toc184308071"/>
      <w:bookmarkEnd w:id="134"/>
      <w:bookmarkStart w:id="135" w:name="_Toc184308106"/>
      <w:bookmarkEnd w:id="135"/>
      <w:bookmarkStart w:id="136" w:name="_Toc184312097"/>
      <w:bookmarkEnd w:id="136"/>
      <w:bookmarkStart w:id="137" w:name="_Toc184310316"/>
      <w:bookmarkEnd w:id="137"/>
      <w:bookmarkStart w:id="138" w:name="_Toc184312103"/>
      <w:bookmarkEnd w:id="138"/>
      <w:bookmarkStart w:id="139" w:name="_Toc184314448"/>
      <w:bookmarkEnd w:id="139"/>
      <w:bookmarkStart w:id="140" w:name="_Toc184313273"/>
      <w:bookmarkEnd w:id="140"/>
      <w:bookmarkStart w:id="141" w:name="_Toc184312092"/>
      <w:bookmarkEnd w:id="141"/>
      <w:bookmarkStart w:id="142" w:name="_Toc184310291"/>
      <w:bookmarkEnd w:id="142"/>
      <w:bookmarkStart w:id="143" w:name="_Toc184312128"/>
      <w:bookmarkEnd w:id="143"/>
      <w:bookmarkStart w:id="144" w:name="_Toc184308041"/>
      <w:bookmarkEnd w:id="144"/>
      <w:bookmarkStart w:id="145" w:name="_Toc184314450"/>
      <w:bookmarkEnd w:id="145"/>
      <w:bookmarkStart w:id="146" w:name="_Toc184314411"/>
      <w:bookmarkEnd w:id="146"/>
      <w:bookmarkStart w:id="147" w:name="_Toc184310318"/>
      <w:bookmarkEnd w:id="147"/>
      <w:bookmarkStart w:id="148" w:name="_Toc184312119"/>
      <w:bookmarkEnd w:id="148"/>
      <w:bookmarkStart w:id="149" w:name="_Toc184308081"/>
      <w:bookmarkEnd w:id="149"/>
      <w:bookmarkStart w:id="150" w:name="_Toc184312073"/>
      <w:bookmarkEnd w:id="150"/>
      <w:bookmarkStart w:id="151" w:name="_Toc184308046"/>
      <w:bookmarkEnd w:id="151"/>
      <w:bookmarkStart w:id="152" w:name="_Toc184312113"/>
      <w:bookmarkEnd w:id="152"/>
      <w:bookmarkStart w:id="153" w:name="_Toc184313309"/>
      <w:bookmarkEnd w:id="153"/>
      <w:bookmarkStart w:id="154" w:name="_Toc184312121"/>
      <w:bookmarkEnd w:id="154"/>
      <w:bookmarkStart w:id="155" w:name="_Toc184314462"/>
      <w:bookmarkEnd w:id="155"/>
      <w:bookmarkStart w:id="156" w:name="_Toc184308100"/>
      <w:bookmarkEnd w:id="156"/>
      <w:bookmarkStart w:id="157" w:name="_Toc184314479"/>
      <w:bookmarkEnd w:id="157"/>
      <w:bookmarkStart w:id="158" w:name="_Toc184310324"/>
      <w:bookmarkEnd w:id="158"/>
      <w:bookmarkStart w:id="159" w:name="_Toc184314466"/>
      <w:bookmarkEnd w:id="159"/>
      <w:bookmarkStart w:id="160" w:name="_Toc184310288"/>
      <w:bookmarkEnd w:id="160"/>
      <w:bookmarkStart w:id="161" w:name="_Toc184313299"/>
      <w:bookmarkEnd w:id="161"/>
      <w:bookmarkStart w:id="162" w:name="_Toc184312127"/>
      <w:bookmarkEnd w:id="162"/>
      <w:bookmarkStart w:id="163" w:name="_Toc184310284"/>
      <w:bookmarkEnd w:id="163"/>
      <w:bookmarkStart w:id="164" w:name="_Toc184314463"/>
      <w:bookmarkEnd w:id="164"/>
      <w:bookmarkStart w:id="165" w:name="_Toc184308088"/>
      <w:bookmarkEnd w:id="165"/>
      <w:bookmarkStart w:id="166" w:name="_Toc184314447"/>
      <w:bookmarkEnd w:id="166"/>
      <w:bookmarkStart w:id="167" w:name="_Toc184312074"/>
      <w:bookmarkEnd w:id="167"/>
      <w:bookmarkStart w:id="168" w:name="_Toc184313292"/>
      <w:bookmarkEnd w:id="168"/>
      <w:bookmarkStart w:id="169" w:name="_Toc184313258"/>
      <w:bookmarkEnd w:id="169"/>
      <w:bookmarkStart w:id="170" w:name="_Toc184312072"/>
      <w:bookmarkEnd w:id="170"/>
      <w:bookmarkStart w:id="171" w:name="_Toc184314459"/>
      <w:bookmarkEnd w:id="171"/>
      <w:bookmarkStart w:id="172" w:name="_Toc184308062"/>
      <w:bookmarkEnd w:id="172"/>
      <w:bookmarkStart w:id="173" w:name="_Toc184310283"/>
      <w:bookmarkEnd w:id="173"/>
      <w:bookmarkStart w:id="174" w:name="_Toc184308067"/>
      <w:bookmarkEnd w:id="174"/>
      <w:bookmarkStart w:id="175" w:name="_Toc184308038"/>
      <w:bookmarkEnd w:id="175"/>
      <w:bookmarkStart w:id="176" w:name="_Toc184308090"/>
      <w:bookmarkEnd w:id="176"/>
      <w:bookmarkStart w:id="177" w:name="_Toc184310296"/>
      <w:bookmarkEnd w:id="177"/>
      <w:bookmarkStart w:id="178" w:name="_Toc184310294"/>
      <w:bookmarkEnd w:id="178"/>
      <w:bookmarkStart w:id="179" w:name="_Toc184310325"/>
      <w:bookmarkEnd w:id="179"/>
      <w:bookmarkStart w:id="180" w:name="_Toc184313276"/>
      <w:bookmarkEnd w:id="180"/>
      <w:bookmarkStart w:id="181" w:name="_Toc184310295"/>
      <w:bookmarkEnd w:id="181"/>
      <w:bookmarkStart w:id="182" w:name="_Toc184310309"/>
      <w:bookmarkEnd w:id="182"/>
      <w:bookmarkStart w:id="183" w:name="_Toc184308107"/>
      <w:bookmarkEnd w:id="183"/>
      <w:bookmarkStart w:id="184" w:name="_Toc184313306"/>
      <w:bookmarkEnd w:id="184"/>
      <w:bookmarkStart w:id="185" w:name="_Toc184308044"/>
      <w:bookmarkEnd w:id="185"/>
      <w:bookmarkStart w:id="186" w:name="_Toc184313272"/>
      <w:bookmarkEnd w:id="186"/>
      <w:bookmarkStart w:id="187" w:name="_Toc184312069"/>
      <w:bookmarkEnd w:id="187"/>
      <w:bookmarkStart w:id="188" w:name="_Toc184313284"/>
      <w:bookmarkEnd w:id="188"/>
      <w:bookmarkStart w:id="189" w:name="_Toc184308091"/>
      <w:bookmarkEnd w:id="189"/>
      <w:bookmarkStart w:id="190" w:name="_Toc184308054"/>
      <w:bookmarkEnd w:id="190"/>
      <w:bookmarkStart w:id="191" w:name="_Toc184310293"/>
      <w:bookmarkEnd w:id="191"/>
      <w:bookmarkStart w:id="192" w:name="_Toc184314433"/>
      <w:bookmarkEnd w:id="192"/>
      <w:bookmarkStart w:id="193" w:name="_Toc184312102"/>
      <w:bookmarkEnd w:id="193"/>
      <w:bookmarkStart w:id="194" w:name="_Toc184308056"/>
      <w:bookmarkEnd w:id="194"/>
      <w:bookmarkStart w:id="195" w:name="_Toc184308099"/>
      <w:bookmarkEnd w:id="195"/>
      <w:bookmarkStart w:id="196" w:name="_Toc184310280"/>
      <w:bookmarkEnd w:id="196"/>
      <w:bookmarkStart w:id="197" w:name="_Toc184310302"/>
      <w:bookmarkEnd w:id="197"/>
      <w:bookmarkStart w:id="198" w:name="_Toc184310281"/>
      <w:bookmarkEnd w:id="198"/>
      <w:bookmarkStart w:id="199" w:name="_Toc184314441"/>
      <w:bookmarkEnd w:id="199"/>
      <w:bookmarkStart w:id="200" w:name="_Toc184314426"/>
      <w:bookmarkEnd w:id="200"/>
      <w:bookmarkStart w:id="201" w:name="_Toc184313267"/>
      <w:bookmarkEnd w:id="201"/>
      <w:bookmarkStart w:id="202" w:name="_Toc184313307"/>
      <w:bookmarkEnd w:id="202"/>
      <w:bookmarkStart w:id="203" w:name="_Toc184314455"/>
      <w:bookmarkEnd w:id="203"/>
      <w:bookmarkStart w:id="204" w:name="_Toc184308055"/>
      <w:bookmarkEnd w:id="204"/>
      <w:bookmarkStart w:id="205" w:name="_Toc184314471"/>
      <w:bookmarkEnd w:id="205"/>
      <w:bookmarkStart w:id="206" w:name="_Toc184308104"/>
      <w:bookmarkEnd w:id="206"/>
      <w:bookmarkStart w:id="207" w:name="_Toc184312077"/>
      <w:bookmarkEnd w:id="207"/>
      <w:bookmarkStart w:id="208" w:name="_Toc184314434"/>
      <w:bookmarkEnd w:id="208"/>
      <w:bookmarkStart w:id="209" w:name="_Toc184314449"/>
      <w:bookmarkEnd w:id="209"/>
      <w:bookmarkStart w:id="210" w:name="_Toc184310335"/>
      <w:bookmarkEnd w:id="210"/>
      <w:bookmarkStart w:id="211" w:name="_Toc184312115"/>
      <w:bookmarkEnd w:id="211"/>
      <w:bookmarkStart w:id="212" w:name="_Toc184314461"/>
      <w:bookmarkEnd w:id="212"/>
      <w:bookmarkStart w:id="213" w:name="_Toc184312093"/>
      <w:bookmarkEnd w:id="213"/>
      <w:bookmarkStart w:id="214" w:name="_Toc184314421"/>
      <w:bookmarkEnd w:id="214"/>
      <w:bookmarkStart w:id="215" w:name="_Toc184308092"/>
      <w:bookmarkEnd w:id="215"/>
      <w:bookmarkStart w:id="216" w:name="_Toc184312075"/>
      <w:bookmarkEnd w:id="216"/>
      <w:bookmarkStart w:id="217" w:name="_Toc184314473"/>
      <w:bookmarkEnd w:id="217"/>
      <w:bookmarkStart w:id="218" w:name="_Toc184314413"/>
      <w:bookmarkEnd w:id="218"/>
      <w:bookmarkStart w:id="219" w:name="_Toc184314442"/>
      <w:bookmarkEnd w:id="219"/>
      <w:bookmarkStart w:id="220" w:name="_Toc184312124"/>
      <w:bookmarkEnd w:id="220"/>
      <w:bookmarkStart w:id="221" w:name="_Toc184308089"/>
      <w:bookmarkEnd w:id="221"/>
      <w:bookmarkStart w:id="222" w:name="_Toc184312068"/>
      <w:bookmarkEnd w:id="222"/>
      <w:bookmarkStart w:id="223" w:name="_Toc184308059"/>
      <w:bookmarkEnd w:id="223"/>
      <w:bookmarkStart w:id="224" w:name="_Toc184308066"/>
      <w:bookmarkEnd w:id="224"/>
      <w:bookmarkStart w:id="225" w:name="_Toc184313270"/>
      <w:bookmarkEnd w:id="225"/>
      <w:bookmarkStart w:id="226" w:name="_Toc184308068"/>
      <w:bookmarkEnd w:id="226"/>
      <w:bookmarkStart w:id="227" w:name="_Toc184310334"/>
      <w:bookmarkEnd w:id="227"/>
      <w:bookmarkStart w:id="228" w:name="_Toc184312130"/>
      <w:bookmarkEnd w:id="228"/>
      <w:bookmarkStart w:id="229" w:name="_Toc184313253"/>
      <w:bookmarkEnd w:id="229"/>
      <w:bookmarkStart w:id="230" w:name="_Toc184312081"/>
      <w:bookmarkEnd w:id="230"/>
      <w:bookmarkStart w:id="231" w:name="_Toc184310277"/>
      <w:bookmarkEnd w:id="231"/>
      <w:bookmarkStart w:id="232" w:name="_Toc184308094"/>
      <w:bookmarkEnd w:id="232"/>
      <w:bookmarkStart w:id="233" w:name="_Toc184314460"/>
      <w:bookmarkEnd w:id="233"/>
      <w:bookmarkStart w:id="234" w:name="_Toc184312126"/>
      <w:bookmarkEnd w:id="234"/>
      <w:bookmarkStart w:id="235" w:name="_Toc184308075"/>
      <w:bookmarkEnd w:id="235"/>
      <w:bookmarkStart w:id="236" w:name="_Toc184312105"/>
      <w:bookmarkEnd w:id="236"/>
      <w:bookmarkStart w:id="237" w:name="_Toc184313283"/>
      <w:bookmarkEnd w:id="237"/>
      <w:bookmarkStart w:id="238" w:name="_Toc184314464"/>
      <w:bookmarkEnd w:id="238"/>
      <w:bookmarkStart w:id="239" w:name="_Toc184313277"/>
      <w:bookmarkEnd w:id="239"/>
      <w:bookmarkStart w:id="240" w:name="_Toc184313290"/>
      <w:bookmarkEnd w:id="240"/>
      <w:bookmarkStart w:id="241" w:name="_Toc184313249"/>
      <w:bookmarkEnd w:id="241"/>
      <w:bookmarkStart w:id="242" w:name="_Toc184308050"/>
      <w:bookmarkEnd w:id="242"/>
      <w:bookmarkStart w:id="243" w:name="_Toc184312080"/>
      <w:bookmarkEnd w:id="243"/>
      <w:bookmarkStart w:id="244" w:name="_Toc184314457"/>
      <w:bookmarkEnd w:id="244"/>
      <w:bookmarkStart w:id="245" w:name="_Toc184313302"/>
      <w:bookmarkEnd w:id="245"/>
      <w:bookmarkStart w:id="246" w:name="_Toc184310308"/>
      <w:bookmarkEnd w:id="246"/>
      <w:bookmarkStart w:id="247" w:name="_Toc184312087"/>
      <w:bookmarkEnd w:id="247"/>
      <w:bookmarkStart w:id="248" w:name="_Toc184313274"/>
      <w:bookmarkEnd w:id="248"/>
      <w:bookmarkStart w:id="249" w:name="_Toc184313259"/>
      <w:bookmarkEnd w:id="249"/>
      <w:bookmarkStart w:id="250" w:name="_Toc184313247"/>
      <w:bookmarkEnd w:id="250"/>
      <w:bookmarkStart w:id="251" w:name="_Toc184313305"/>
      <w:bookmarkEnd w:id="251"/>
      <w:bookmarkStart w:id="252" w:name="_Toc184310321"/>
      <w:bookmarkEnd w:id="252"/>
      <w:bookmarkStart w:id="253" w:name="_Toc184314427"/>
      <w:bookmarkEnd w:id="253"/>
      <w:bookmarkStart w:id="254" w:name="_Toc184310301"/>
      <w:bookmarkEnd w:id="254"/>
      <w:bookmarkStart w:id="255" w:name="_Toc184308085"/>
      <w:bookmarkEnd w:id="255"/>
      <w:bookmarkStart w:id="256" w:name="_Toc184312067"/>
      <w:bookmarkEnd w:id="256"/>
      <w:bookmarkStart w:id="257" w:name="_Toc184313255"/>
      <w:bookmarkEnd w:id="257"/>
      <w:bookmarkStart w:id="258" w:name="_Toc184313289"/>
      <w:bookmarkEnd w:id="258"/>
      <w:bookmarkStart w:id="259" w:name="_Toc184313296"/>
      <w:bookmarkEnd w:id="259"/>
      <w:bookmarkStart w:id="260" w:name="_Toc184314438"/>
      <w:bookmarkEnd w:id="260"/>
      <w:bookmarkStart w:id="261" w:name="_Toc184314431"/>
      <w:bookmarkEnd w:id="261"/>
      <w:bookmarkStart w:id="262" w:name="_Toc184308101"/>
      <w:bookmarkEnd w:id="262"/>
      <w:bookmarkStart w:id="263" w:name="_Toc184310326"/>
      <w:bookmarkEnd w:id="263"/>
      <w:bookmarkStart w:id="264" w:name="_Toc184313244"/>
      <w:bookmarkEnd w:id="264"/>
      <w:bookmarkStart w:id="265" w:name="_Toc184310300"/>
      <w:bookmarkEnd w:id="265"/>
      <w:bookmarkStart w:id="266" w:name="_Toc184312085"/>
      <w:bookmarkEnd w:id="266"/>
      <w:bookmarkStart w:id="267" w:name="_Toc184313310"/>
      <w:bookmarkEnd w:id="267"/>
      <w:bookmarkStart w:id="268" w:name="_Toc184314424"/>
      <w:bookmarkEnd w:id="268"/>
      <w:bookmarkStart w:id="269" w:name="_Toc184312112"/>
      <w:bookmarkEnd w:id="269"/>
      <w:bookmarkStart w:id="270" w:name="_Toc184310306"/>
      <w:bookmarkEnd w:id="270"/>
      <w:bookmarkStart w:id="271" w:name="_Toc184313241"/>
      <w:bookmarkEnd w:id="271"/>
      <w:bookmarkStart w:id="272" w:name="_Toc184312089"/>
      <w:bookmarkEnd w:id="272"/>
      <w:bookmarkStart w:id="273" w:name="_Toc184314423"/>
      <w:bookmarkEnd w:id="273"/>
      <w:bookmarkStart w:id="274" w:name="_Toc184310343"/>
      <w:bookmarkEnd w:id="274"/>
      <w:bookmarkStart w:id="275" w:name="_Toc184314414"/>
      <w:bookmarkEnd w:id="275"/>
      <w:bookmarkStart w:id="276" w:name="_Toc184310278"/>
      <w:bookmarkEnd w:id="276"/>
      <w:bookmarkStart w:id="277" w:name="_Toc184310273"/>
      <w:bookmarkEnd w:id="277"/>
      <w:bookmarkStart w:id="278" w:name="_Toc184312071"/>
      <w:bookmarkEnd w:id="278"/>
      <w:bookmarkStart w:id="279" w:name="_Toc184312088"/>
      <w:bookmarkEnd w:id="279"/>
      <w:bookmarkStart w:id="280" w:name="_Toc184314435"/>
      <w:bookmarkEnd w:id="280"/>
      <w:bookmarkStart w:id="281" w:name="_Toc184310332"/>
      <w:bookmarkEnd w:id="281"/>
      <w:bookmarkStart w:id="282" w:name="_Toc184313293"/>
      <w:bookmarkEnd w:id="282"/>
      <w:bookmarkStart w:id="283" w:name="_Toc184310331"/>
      <w:bookmarkEnd w:id="283"/>
      <w:bookmarkStart w:id="284" w:name="_Toc184310310"/>
      <w:bookmarkEnd w:id="284"/>
      <w:bookmarkStart w:id="285" w:name="_Toc184310292"/>
      <w:bookmarkEnd w:id="285"/>
      <w:bookmarkStart w:id="286" w:name="_Toc184310323"/>
      <w:bookmarkEnd w:id="286"/>
      <w:bookmarkStart w:id="287" w:name="_Toc184314454"/>
      <w:bookmarkEnd w:id="287"/>
      <w:bookmarkStart w:id="288" w:name="_Toc184313245"/>
      <w:bookmarkEnd w:id="288"/>
      <w:bookmarkStart w:id="289" w:name="_Toc184308057"/>
      <w:bookmarkEnd w:id="289"/>
      <w:bookmarkStart w:id="290" w:name="_Toc184312129"/>
      <w:bookmarkEnd w:id="290"/>
      <w:bookmarkStart w:id="291" w:name="_Toc184313297"/>
      <w:bookmarkEnd w:id="291"/>
      <w:bookmarkStart w:id="292" w:name="_Toc184312094"/>
      <w:bookmarkEnd w:id="292"/>
      <w:bookmarkStart w:id="293" w:name="_Toc184314420"/>
      <w:bookmarkEnd w:id="293"/>
      <w:bookmarkStart w:id="294" w:name="_Toc184313303"/>
      <w:bookmarkEnd w:id="294"/>
      <w:bookmarkStart w:id="295" w:name="_Toc184312111"/>
      <w:bookmarkEnd w:id="295"/>
      <w:bookmarkStart w:id="296" w:name="_Toc184308064"/>
      <w:bookmarkEnd w:id="296"/>
      <w:bookmarkStart w:id="297" w:name="_Toc184314458"/>
      <w:bookmarkEnd w:id="297"/>
      <w:bookmarkStart w:id="298" w:name="_Toc184310315"/>
      <w:bookmarkEnd w:id="298"/>
      <w:bookmarkStart w:id="299" w:name="_Toc184313243"/>
      <w:bookmarkEnd w:id="299"/>
      <w:bookmarkStart w:id="300" w:name="_Toc184310336"/>
      <w:bookmarkEnd w:id="300"/>
      <w:bookmarkStart w:id="301" w:name="_Toc184308072"/>
      <w:bookmarkEnd w:id="301"/>
      <w:bookmarkStart w:id="302" w:name="_Toc184313278"/>
      <w:bookmarkEnd w:id="302"/>
      <w:bookmarkStart w:id="303" w:name="_Toc184310290"/>
      <w:bookmarkEnd w:id="303"/>
      <w:bookmarkStart w:id="304" w:name="_Toc184310311"/>
      <w:bookmarkEnd w:id="304"/>
      <w:bookmarkStart w:id="305" w:name="_Toc184314474"/>
      <w:bookmarkEnd w:id="305"/>
      <w:bookmarkStart w:id="306" w:name="_Toc184310298"/>
      <w:bookmarkEnd w:id="306"/>
      <w:bookmarkStart w:id="307" w:name="_Toc184308063"/>
      <w:bookmarkEnd w:id="307"/>
      <w:bookmarkStart w:id="308" w:name="_Toc184313248"/>
      <w:bookmarkEnd w:id="308"/>
      <w:bookmarkStart w:id="309" w:name="_Toc184313254"/>
      <w:bookmarkEnd w:id="309"/>
      <w:bookmarkStart w:id="310" w:name="_Toc184310341"/>
      <w:bookmarkEnd w:id="310"/>
      <w:bookmarkStart w:id="311" w:name="_Toc184314470"/>
      <w:bookmarkEnd w:id="311"/>
      <w:bookmarkStart w:id="312" w:name="_Toc184310320"/>
      <w:bookmarkEnd w:id="312"/>
      <w:bookmarkStart w:id="313" w:name="_Toc184313240"/>
      <w:bookmarkEnd w:id="313"/>
      <w:bookmarkStart w:id="314" w:name="_Toc184308084"/>
      <w:bookmarkEnd w:id="314"/>
      <w:bookmarkStart w:id="315" w:name="_Toc184312070"/>
      <w:bookmarkEnd w:id="315"/>
      <w:bookmarkStart w:id="316" w:name="_Toc184310327"/>
      <w:bookmarkEnd w:id="316"/>
      <w:bookmarkStart w:id="317" w:name="_Toc184313266"/>
      <w:bookmarkEnd w:id="317"/>
      <w:bookmarkStart w:id="318" w:name="_Toc184310307"/>
      <w:bookmarkEnd w:id="318"/>
      <w:bookmarkStart w:id="319" w:name="_Toc184312120"/>
      <w:bookmarkEnd w:id="319"/>
      <w:bookmarkStart w:id="320" w:name="_Toc184310342"/>
      <w:bookmarkEnd w:id="320"/>
      <w:bookmarkStart w:id="321" w:name="_Toc184314444"/>
      <w:bookmarkEnd w:id="321"/>
      <w:bookmarkStart w:id="322" w:name="_Toc184308049"/>
      <w:bookmarkEnd w:id="322"/>
      <w:bookmarkStart w:id="323" w:name="_Toc184312109"/>
      <w:bookmarkEnd w:id="323"/>
      <w:bookmarkStart w:id="324" w:name="_Toc184310319"/>
      <w:bookmarkEnd w:id="324"/>
      <w:bookmarkStart w:id="325" w:name="_Toc184308074"/>
      <w:bookmarkEnd w:id="325"/>
      <w:bookmarkStart w:id="326" w:name="_Toc184312132"/>
      <w:bookmarkEnd w:id="326"/>
      <w:bookmarkStart w:id="327" w:name="_Toc184310312"/>
      <w:bookmarkEnd w:id="327"/>
      <w:bookmarkStart w:id="328" w:name="_Toc184308108"/>
      <w:bookmarkEnd w:id="328"/>
      <w:bookmarkStart w:id="329" w:name="_Toc184312107"/>
      <w:bookmarkEnd w:id="329"/>
      <w:bookmarkStart w:id="330" w:name="_Toc184314439"/>
      <w:bookmarkEnd w:id="330"/>
      <w:bookmarkStart w:id="331" w:name="_Toc184312122"/>
      <w:bookmarkEnd w:id="331"/>
      <w:bookmarkStart w:id="332" w:name="_Toc184312076"/>
      <w:bookmarkEnd w:id="332"/>
      <w:bookmarkStart w:id="333" w:name="_Toc184310297"/>
      <w:bookmarkEnd w:id="333"/>
      <w:bookmarkStart w:id="334" w:name="_Toc184313250"/>
      <w:bookmarkEnd w:id="334"/>
      <w:bookmarkStart w:id="335" w:name="_Toc184308073"/>
      <w:bookmarkEnd w:id="335"/>
      <w:bookmarkStart w:id="336" w:name="_Toc184308037"/>
      <w:bookmarkEnd w:id="336"/>
      <w:bookmarkStart w:id="337" w:name="_Toc184314456"/>
      <w:bookmarkEnd w:id="337"/>
      <w:bookmarkStart w:id="338" w:name="_Toc184313238"/>
      <w:bookmarkEnd w:id="338"/>
      <w:bookmarkStart w:id="339" w:name="_Toc184313308"/>
      <w:bookmarkEnd w:id="339"/>
      <w:bookmarkStart w:id="340" w:name="_Toc184314410"/>
      <w:bookmarkEnd w:id="340"/>
      <w:bookmarkStart w:id="341" w:name="_Toc184308086"/>
      <w:bookmarkEnd w:id="341"/>
      <w:bookmarkStart w:id="342" w:name="_Toc184310317"/>
      <w:bookmarkEnd w:id="342"/>
      <w:bookmarkStart w:id="343" w:name="_Toc184308102"/>
      <w:bookmarkEnd w:id="343"/>
      <w:bookmarkStart w:id="344" w:name="_Toc184313280"/>
      <w:bookmarkEnd w:id="344"/>
      <w:bookmarkStart w:id="345" w:name="_Toc184310339"/>
      <w:bookmarkEnd w:id="345"/>
      <w:bookmarkStart w:id="346" w:name="_Toc184312079"/>
      <w:bookmarkEnd w:id="346"/>
      <w:bookmarkStart w:id="347" w:name="_Toc184314436"/>
      <w:bookmarkEnd w:id="347"/>
      <w:bookmarkStart w:id="348" w:name="_Toc184308080"/>
      <w:bookmarkEnd w:id="348"/>
      <w:bookmarkStart w:id="349" w:name="_Toc184313256"/>
      <w:bookmarkEnd w:id="349"/>
      <w:bookmarkStart w:id="350" w:name="_Toc184308047"/>
      <w:bookmarkEnd w:id="350"/>
      <w:bookmarkStart w:id="351" w:name="_Toc184308065"/>
      <w:bookmarkEnd w:id="351"/>
      <w:bookmarkStart w:id="352" w:name="_Toc184308040"/>
      <w:bookmarkEnd w:id="352"/>
      <w:bookmarkStart w:id="353" w:name="_Toc184312116"/>
      <w:bookmarkEnd w:id="353"/>
      <w:bookmarkStart w:id="354" w:name="_Toc184308082"/>
      <w:bookmarkEnd w:id="354"/>
      <w:bookmarkStart w:id="355" w:name="_Toc184308087"/>
      <w:bookmarkEnd w:id="355"/>
      <w:bookmarkStart w:id="356" w:name="_Toc184308097"/>
      <w:bookmarkEnd w:id="356"/>
      <w:bookmarkStart w:id="357" w:name="_Toc184310303"/>
      <w:bookmarkEnd w:id="357"/>
      <w:bookmarkStart w:id="358" w:name="_Toc184310274"/>
      <w:bookmarkEnd w:id="358"/>
      <w:bookmarkStart w:id="359" w:name="_Toc184313252"/>
      <w:bookmarkEnd w:id="359"/>
      <w:bookmarkStart w:id="360" w:name="_Toc184312137"/>
      <w:bookmarkEnd w:id="360"/>
      <w:bookmarkStart w:id="361" w:name="_Toc184312083"/>
      <w:bookmarkEnd w:id="361"/>
      <w:bookmarkStart w:id="362" w:name="_Toc184312104"/>
      <w:bookmarkEnd w:id="362"/>
      <w:bookmarkStart w:id="363" w:name="_Toc184308083"/>
      <w:bookmarkEnd w:id="363"/>
      <w:bookmarkStart w:id="364" w:name="_Toc184314480"/>
      <w:bookmarkEnd w:id="364"/>
      <w:bookmarkStart w:id="365" w:name="_Toc184310272"/>
      <w:bookmarkEnd w:id="365"/>
      <w:bookmarkStart w:id="366" w:name="_Toc184308078"/>
      <w:bookmarkEnd w:id="366"/>
      <w:bookmarkStart w:id="367" w:name="_Toc184312084"/>
      <w:bookmarkEnd w:id="367"/>
      <w:bookmarkStart w:id="368" w:name="_Toc184312098"/>
      <w:bookmarkEnd w:id="368"/>
      <w:bookmarkStart w:id="369" w:name="_Toc184312078"/>
      <w:bookmarkEnd w:id="369"/>
      <w:bookmarkStart w:id="370" w:name="_Toc184314468"/>
      <w:bookmarkEnd w:id="370"/>
      <w:bookmarkStart w:id="371" w:name="_Toc184314465"/>
      <w:bookmarkEnd w:id="371"/>
      <w:bookmarkStart w:id="372" w:name="_Toc184312108"/>
      <w:bookmarkEnd w:id="372"/>
      <w:bookmarkStart w:id="373" w:name="_Toc184313304"/>
      <w:bookmarkEnd w:id="373"/>
      <w:bookmarkStart w:id="374" w:name="_Toc184312082"/>
      <w:bookmarkEnd w:id="374"/>
      <w:bookmarkStart w:id="375" w:name="_Toc184314478"/>
      <w:bookmarkEnd w:id="375"/>
      <w:bookmarkStart w:id="376" w:name="_Toc184308051"/>
      <w:bookmarkEnd w:id="376"/>
      <w:bookmarkStart w:id="377" w:name="_Toc184308060"/>
      <w:bookmarkEnd w:id="377"/>
      <w:bookmarkStart w:id="378" w:name="_Toc184310289"/>
      <w:bookmarkEnd w:id="378"/>
      <w:bookmarkStart w:id="379" w:name="_Toc184313286"/>
      <w:bookmarkEnd w:id="379"/>
      <w:bookmarkStart w:id="380" w:name="_Toc184314482"/>
      <w:bookmarkEnd w:id="380"/>
      <w:bookmarkStart w:id="381" w:name="_Toc184314445"/>
      <w:bookmarkEnd w:id="381"/>
      <w:bookmarkStart w:id="382" w:name="_Toc184308079"/>
      <w:bookmarkEnd w:id="382"/>
      <w:bookmarkStart w:id="383" w:name="_Toc184314432"/>
      <w:bookmarkEnd w:id="383"/>
      <w:bookmarkStart w:id="384" w:name="_Toc184314416"/>
      <w:bookmarkEnd w:id="384"/>
      <w:bookmarkStart w:id="385" w:name="_Toc184312095"/>
      <w:bookmarkEnd w:id="385"/>
      <w:bookmarkStart w:id="386" w:name="_Toc184313269"/>
      <w:bookmarkEnd w:id="386"/>
      <w:bookmarkStart w:id="387" w:name="_Toc184313260"/>
      <w:bookmarkEnd w:id="387"/>
      <w:bookmarkStart w:id="388" w:name="_Toc184313264"/>
      <w:bookmarkEnd w:id="388"/>
      <w:bookmarkStart w:id="389" w:name="_Toc184308045"/>
      <w:bookmarkEnd w:id="389"/>
      <w:bookmarkStart w:id="390" w:name="_Toc184312135"/>
      <w:bookmarkEnd w:id="390"/>
      <w:bookmarkStart w:id="391" w:name="_Toc184314453"/>
      <w:bookmarkEnd w:id="391"/>
      <w:bookmarkStart w:id="392" w:name="_Toc184314452"/>
      <w:bookmarkEnd w:id="392"/>
      <w:bookmarkStart w:id="393" w:name="_Toc184313287"/>
      <w:bookmarkEnd w:id="393"/>
      <w:bookmarkStart w:id="394" w:name="_Toc184314417"/>
      <w:bookmarkEnd w:id="394"/>
      <w:bookmarkStart w:id="395" w:name="_Toc184314477"/>
      <w:bookmarkEnd w:id="395"/>
      <w:bookmarkStart w:id="396" w:name="_Toc184314443"/>
      <w:bookmarkEnd w:id="396"/>
      <w:bookmarkStart w:id="397" w:name="_Toc184314429"/>
      <w:bookmarkEnd w:id="397"/>
      <w:bookmarkStart w:id="398" w:name="_Toc184312096"/>
      <w:bookmarkEnd w:id="398"/>
      <w:bookmarkStart w:id="399" w:name="_Toc184314476"/>
      <w:bookmarkEnd w:id="399"/>
      <w:bookmarkStart w:id="400" w:name="_Toc184312123"/>
      <w:bookmarkEnd w:id="400"/>
      <w:bookmarkStart w:id="401" w:name="_Toc184310338"/>
      <w:bookmarkEnd w:id="401"/>
      <w:bookmarkStart w:id="402" w:name="_Toc184310344"/>
      <w:bookmarkEnd w:id="402"/>
      <w:bookmarkStart w:id="403" w:name="_Toc184308061"/>
      <w:bookmarkEnd w:id="403"/>
      <w:bookmarkStart w:id="404" w:name="_Toc184310322"/>
      <w:bookmarkEnd w:id="404"/>
      <w:bookmarkStart w:id="405" w:name="_Toc184312134"/>
      <w:bookmarkEnd w:id="405"/>
      <w:bookmarkStart w:id="406" w:name="_Toc184313246"/>
      <w:bookmarkEnd w:id="406"/>
      <w:bookmarkStart w:id="407" w:name="_Toc184308096"/>
      <w:bookmarkEnd w:id="407"/>
      <w:bookmarkStart w:id="408" w:name="_Toc184312091"/>
      <w:bookmarkEnd w:id="408"/>
      <w:bookmarkStart w:id="409" w:name="_Toc184314430"/>
      <w:bookmarkEnd w:id="409"/>
      <w:bookmarkStart w:id="410" w:name="_Toc184313239"/>
      <w:bookmarkEnd w:id="410"/>
      <w:bookmarkStart w:id="411" w:name="_Toc184308053"/>
      <w:bookmarkEnd w:id="411"/>
      <w:bookmarkStart w:id="412" w:name="_Toc184314472"/>
      <w:bookmarkEnd w:id="412"/>
      <w:bookmarkStart w:id="413" w:name="_Toc184314475"/>
      <w:bookmarkEnd w:id="413"/>
      <w:bookmarkStart w:id="414" w:name="_Toc184314467"/>
      <w:bookmarkEnd w:id="414"/>
      <w:bookmarkStart w:id="415" w:name="_Toc184310285"/>
      <w:bookmarkEnd w:id="415"/>
      <w:bookmarkStart w:id="416" w:name="_Toc184312139"/>
      <w:bookmarkEnd w:id="416"/>
      <w:bookmarkStart w:id="417" w:name="_Toc184313285"/>
      <w:bookmarkEnd w:id="417"/>
      <w:bookmarkStart w:id="418" w:name="_Toc184314481"/>
      <w:bookmarkEnd w:id="418"/>
      <w:bookmarkStart w:id="419" w:name="_Toc184310286"/>
      <w:bookmarkEnd w:id="419"/>
      <w:bookmarkStart w:id="420" w:name="_Toc184308076"/>
      <w:bookmarkEnd w:id="420"/>
      <w:bookmarkStart w:id="421" w:name="_Toc184314415"/>
      <w:bookmarkEnd w:id="421"/>
      <w:bookmarkStart w:id="422" w:name="_Toc184313294"/>
      <w:bookmarkEnd w:id="422"/>
      <w:bookmarkStart w:id="423" w:name="_Toc184313288"/>
      <w:bookmarkEnd w:id="423"/>
      <w:bookmarkStart w:id="424" w:name="_Toc184308070"/>
      <w:bookmarkEnd w:id="424"/>
      <w:bookmarkStart w:id="425" w:name="_Toc184310275"/>
      <w:bookmarkEnd w:id="425"/>
      <w:bookmarkStart w:id="426" w:name="_Toc184313298"/>
      <w:bookmarkEnd w:id="426"/>
      <w:bookmarkStart w:id="427" w:name="_Toc184313295"/>
      <w:bookmarkEnd w:id="427"/>
      <w:bookmarkStart w:id="428" w:name="_Toc184310279"/>
      <w:bookmarkEnd w:id="428"/>
      <w:bookmarkStart w:id="429" w:name="_Toc184308077"/>
      <w:bookmarkEnd w:id="429"/>
      <w:bookmarkStart w:id="430" w:name="_Toc184308105"/>
      <w:bookmarkEnd w:id="430"/>
      <w:bookmarkStart w:id="431" w:name="_Toc184313262"/>
      <w:bookmarkEnd w:id="431"/>
      <w:bookmarkStart w:id="432" w:name="_Toc184308058"/>
      <w:bookmarkEnd w:id="432"/>
      <w:bookmarkStart w:id="433" w:name="_Toc184308048"/>
      <w:bookmarkEnd w:id="433"/>
      <w:bookmarkStart w:id="434" w:name="_Toc184314419"/>
      <w:bookmarkEnd w:id="434"/>
      <w:bookmarkStart w:id="435" w:name="_Toc184308098"/>
      <w:bookmarkEnd w:id="435"/>
      <w:bookmarkStart w:id="436" w:name="_Toc184308043"/>
      <w:bookmarkEnd w:id="436"/>
      <w:bookmarkStart w:id="437" w:name="_Toc184314446"/>
      <w:bookmarkEnd w:id="437"/>
      <w:bookmarkStart w:id="438" w:name="_Toc184310314"/>
      <w:bookmarkEnd w:id="438"/>
      <w:r>
        <w:rPr>
          <w:rFonts w:hint="eastAsia" w:ascii="仿宋" w:hAnsi="仿宋" w:eastAsia="仿宋" w:cs="仿宋"/>
          <w:b/>
          <w:color w:val="auto"/>
          <w:sz w:val="32"/>
          <w:szCs w:val="32"/>
          <w:highlight w:val="none"/>
        </w:rPr>
        <w:t>评审办法</w:t>
      </w:r>
      <w:bookmarkEnd w:id="70"/>
      <w:bookmarkEnd w:id="71"/>
      <w:bookmarkEnd w:id="72"/>
      <w:bookmarkEnd w:id="73"/>
    </w:p>
    <w:p w14:paraId="00D01AF7">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评审</w:t>
      </w:r>
      <w:r>
        <w:rPr>
          <w:rFonts w:hint="eastAsia" w:ascii="仿宋" w:hAnsi="仿宋" w:eastAsia="仿宋" w:cs="仿宋"/>
          <w:b/>
          <w:color w:val="auto"/>
          <w:sz w:val="28"/>
          <w:szCs w:val="28"/>
          <w:highlight w:val="none"/>
        </w:rPr>
        <w:t>办法前附表</w:t>
      </w:r>
    </w:p>
    <w:p w14:paraId="0B289F5A">
      <w:pPr>
        <w:pStyle w:val="54"/>
        <w:spacing w:line="360" w:lineRule="auto"/>
        <w:ind w:left="0" w:leftChars="0"/>
        <w:rPr>
          <w:rFonts w:hint="eastAsia" w:ascii="仿宋" w:hAnsi="仿宋" w:eastAsia="仿宋" w:cs="仿宋"/>
          <w:b w:val="0"/>
          <w:bCs/>
          <w:color w:val="auto"/>
          <w:sz w:val="21"/>
          <w:szCs w:val="21"/>
          <w:highlight w:val="none"/>
        </w:rPr>
      </w:pPr>
      <w:bookmarkStart w:id="439" w:name="OLE_LINK9"/>
      <w:bookmarkStart w:id="440" w:name="OLE_LINK1"/>
      <w:bookmarkStart w:id="441" w:name="OLE_LINK8"/>
      <w:r>
        <w:rPr>
          <w:rFonts w:hint="eastAsia" w:ascii="仿宋" w:hAnsi="仿宋" w:eastAsia="仿宋" w:cs="仿宋"/>
          <w:b w:val="0"/>
          <w:bCs/>
          <w:color w:val="auto"/>
          <w:sz w:val="21"/>
          <w:szCs w:val="21"/>
          <w:highlight w:val="none"/>
        </w:rPr>
        <w:t>1、商务</w:t>
      </w:r>
      <w:r>
        <w:rPr>
          <w:rFonts w:hint="eastAsia" w:ascii="仿宋" w:hAnsi="仿宋" w:eastAsia="仿宋" w:cs="仿宋"/>
          <w:b w:val="0"/>
          <w:bCs/>
          <w:color w:val="auto"/>
          <w:sz w:val="21"/>
          <w:szCs w:val="21"/>
          <w:highlight w:val="none"/>
          <w:lang w:val="en-US" w:eastAsia="zh-CN"/>
        </w:rPr>
        <w:t>及</w:t>
      </w:r>
      <w:r>
        <w:rPr>
          <w:rFonts w:hint="eastAsia" w:ascii="仿宋" w:hAnsi="仿宋" w:eastAsia="仿宋" w:cs="仿宋"/>
          <w:b w:val="0"/>
          <w:bCs/>
          <w:color w:val="auto"/>
          <w:sz w:val="21"/>
          <w:szCs w:val="21"/>
          <w:highlight w:val="none"/>
        </w:rPr>
        <w:t>技术部分（</w:t>
      </w:r>
      <w:r>
        <w:rPr>
          <w:rFonts w:hint="eastAsia" w:ascii="仿宋" w:hAnsi="仿宋" w:eastAsia="仿宋" w:cs="仿宋"/>
          <w:b w:val="0"/>
          <w:bCs/>
          <w:color w:val="auto"/>
          <w:sz w:val="21"/>
          <w:szCs w:val="21"/>
          <w:highlight w:val="none"/>
          <w:lang w:val="en-US" w:eastAsia="zh-CN"/>
        </w:rPr>
        <w:t>8</w:t>
      </w:r>
      <w:r>
        <w:rPr>
          <w:rFonts w:hint="eastAsia" w:ascii="仿宋" w:hAnsi="仿宋" w:eastAsia="仿宋" w:cs="仿宋"/>
          <w:b w:val="0"/>
          <w:bCs/>
          <w:color w:val="auto"/>
          <w:sz w:val="21"/>
          <w:szCs w:val="21"/>
          <w:highlight w:val="none"/>
        </w:rPr>
        <w:t>0分）</w:t>
      </w:r>
    </w:p>
    <w:tbl>
      <w:tblPr>
        <w:tblStyle w:val="64"/>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622"/>
        <w:gridCol w:w="6345"/>
        <w:gridCol w:w="903"/>
        <w:gridCol w:w="947"/>
      </w:tblGrid>
      <w:tr w14:paraId="2EDC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14:paraId="702A8335">
            <w:pPr>
              <w:jc w:val="center"/>
              <w:rPr>
                <w:rFonts w:hint="eastAsia" w:ascii="仿宋" w:hAnsi="仿宋" w:eastAsia="仿宋" w:cs="仿宋"/>
                <w:bCs/>
                <w:color w:val="auto"/>
                <w:sz w:val="21"/>
                <w:szCs w:val="21"/>
                <w:highlight w:val="none"/>
              </w:rPr>
            </w:pPr>
          </w:p>
        </w:tc>
        <w:tc>
          <w:tcPr>
            <w:tcW w:w="622" w:type="dxa"/>
            <w:noWrap w:val="0"/>
            <w:vAlign w:val="center"/>
          </w:tcPr>
          <w:p w14:paraId="5FFF0ED9">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6345" w:type="dxa"/>
            <w:noWrap w:val="0"/>
            <w:vAlign w:val="center"/>
          </w:tcPr>
          <w:p w14:paraId="26516336">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评分内容和标准</w:t>
            </w:r>
          </w:p>
        </w:tc>
        <w:tc>
          <w:tcPr>
            <w:tcW w:w="903" w:type="dxa"/>
            <w:noWrap w:val="0"/>
            <w:vAlign w:val="center"/>
          </w:tcPr>
          <w:p w14:paraId="18EB5EFA">
            <w:pPr>
              <w:jc w:val="center"/>
              <w:rPr>
                <w:rFonts w:hint="default"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权重</w:t>
            </w:r>
          </w:p>
        </w:tc>
        <w:tc>
          <w:tcPr>
            <w:tcW w:w="947" w:type="dxa"/>
            <w:noWrap w:val="0"/>
            <w:vAlign w:val="center"/>
          </w:tcPr>
          <w:p w14:paraId="3CD3E9E4">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主客</w:t>
            </w:r>
          </w:p>
          <w:p w14:paraId="3B367057">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观分</w:t>
            </w:r>
          </w:p>
        </w:tc>
      </w:tr>
      <w:tr w14:paraId="3844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restart"/>
            <w:noWrap w:val="0"/>
            <w:vAlign w:val="center"/>
          </w:tcPr>
          <w:p w14:paraId="71B78A8A">
            <w:pPr>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商务资信分（8分）</w:t>
            </w:r>
          </w:p>
        </w:tc>
        <w:tc>
          <w:tcPr>
            <w:tcW w:w="622" w:type="dxa"/>
            <w:noWrap w:val="0"/>
            <w:vAlign w:val="center"/>
          </w:tcPr>
          <w:p w14:paraId="2019C5A8">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1</w:t>
            </w:r>
          </w:p>
        </w:tc>
        <w:tc>
          <w:tcPr>
            <w:tcW w:w="6345" w:type="dxa"/>
            <w:noWrap w:val="0"/>
            <w:vAlign w:val="center"/>
          </w:tcPr>
          <w:p w14:paraId="02BD30E6">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供应商</w:t>
            </w:r>
            <w:r>
              <w:rPr>
                <w:rFonts w:hint="eastAsia" w:ascii="仿宋" w:hAnsi="仿宋" w:eastAsia="仿宋" w:cs="仿宋"/>
                <w:color w:val="auto"/>
                <w:sz w:val="21"/>
                <w:szCs w:val="21"/>
              </w:rPr>
              <w:t>具备有效期内的质量管理体系认证、环境体系认证的、职业健康安全管理体系认证证书的，每1项得</w:t>
            </w:r>
            <w:r>
              <w:rPr>
                <w:rFonts w:hint="eastAsia" w:ascii="仿宋" w:hAnsi="仿宋" w:eastAsia="仿宋" w:cs="仿宋"/>
                <w:color w:val="auto"/>
                <w:sz w:val="21"/>
                <w:szCs w:val="21"/>
                <w:lang w:eastAsia="zh-CN"/>
              </w:rPr>
              <w:t>2</w:t>
            </w:r>
            <w:r>
              <w:rPr>
                <w:rFonts w:hint="eastAsia" w:ascii="仿宋" w:hAnsi="仿宋" w:eastAsia="仿宋" w:cs="仿宋"/>
                <w:color w:val="auto"/>
                <w:sz w:val="21"/>
                <w:szCs w:val="21"/>
              </w:rPr>
              <w:t>分，最高得</w:t>
            </w:r>
            <w:r>
              <w:rPr>
                <w:rFonts w:hint="eastAsia" w:ascii="仿宋" w:hAnsi="仿宋" w:eastAsia="仿宋" w:cs="仿宋"/>
                <w:color w:val="auto"/>
                <w:sz w:val="21"/>
                <w:szCs w:val="21"/>
                <w:lang w:eastAsia="zh-CN"/>
              </w:rPr>
              <w:t>6</w:t>
            </w:r>
            <w:r>
              <w:rPr>
                <w:rFonts w:hint="eastAsia" w:ascii="仿宋" w:hAnsi="仿宋" w:eastAsia="仿宋" w:cs="仿宋"/>
                <w:color w:val="auto"/>
                <w:sz w:val="21"/>
                <w:szCs w:val="21"/>
              </w:rPr>
              <w:t>分。</w:t>
            </w:r>
          </w:p>
          <w:p w14:paraId="19603FB0">
            <w:pPr>
              <w:spacing w:line="240" w:lineRule="auto"/>
              <w:rPr>
                <w:rFonts w:hint="eastAsia" w:ascii="仿宋" w:hAnsi="仿宋" w:eastAsia="仿宋" w:cs="仿宋"/>
                <w:bCs w:val="0"/>
                <w:color w:val="auto"/>
                <w:sz w:val="21"/>
                <w:szCs w:val="21"/>
                <w:highlight w:val="none"/>
              </w:rPr>
            </w:pPr>
            <w:r>
              <w:rPr>
                <w:rFonts w:hint="eastAsia" w:ascii="仿宋" w:hAnsi="仿宋" w:eastAsia="仿宋" w:cs="仿宋"/>
                <w:color w:val="auto"/>
                <w:sz w:val="21"/>
                <w:szCs w:val="21"/>
              </w:rPr>
              <w:t>（证明材料：有效的认证证书复印件加盖公章。）</w:t>
            </w:r>
          </w:p>
        </w:tc>
        <w:tc>
          <w:tcPr>
            <w:tcW w:w="903" w:type="dxa"/>
            <w:noWrap w:val="0"/>
            <w:vAlign w:val="center"/>
          </w:tcPr>
          <w:p w14:paraId="27C0B59B">
            <w:pPr>
              <w:ind w:lef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color w:val="auto"/>
                <w:sz w:val="21"/>
                <w:szCs w:val="21"/>
                <w:lang w:eastAsia="zh-CN"/>
              </w:rPr>
              <w:t>6</w:t>
            </w:r>
            <w:r>
              <w:rPr>
                <w:rFonts w:hint="eastAsia" w:ascii="仿宋" w:hAnsi="仿宋" w:eastAsia="仿宋" w:cs="仿宋"/>
                <w:color w:val="auto"/>
                <w:sz w:val="21"/>
                <w:szCs w:val="21"/>
              </w:rPr>
              <w:t>分</w:t>
            </w:r>
          </w:p>
        </w:tc>
        <w:tc>
          <w:tcPr>
            <w:tcW w:w="947" w:type="dxa"/>
            <w:noWrap w:val="0"/>
            <w:vAlign w:val="center"/>
          </w:tcPr>
          <w:p w14:paraId="47A9BEE5">
            <w:pPr>
              <w:jc w:val="center"/>
              <w:rPr>
                <w:rFonts w:hint="eastAsia" w:ascii="仿宋" w:hAnsi="仿宋" w:eastAsia="仿宋" w:cs="仿宋"/>
                <w:bCs/>
                <w:color w:val="auto"/>
                <w:sz w:val="21"/>
                <w:szCs w:val="21"/>
                <w:highlight w:val="none"/>
              </w:rPr>
            </w:pPr>
            <w:r>
              <w:rPr>
                <w:rFonts w:hint="eastAsia" w:ascii="仿宋" w:hAnsi="仿宋" w:eastAsia="仿宋" w:cs="仿宋"/>
                <w:color w:val="auto"/>
                <w:sz w:val="21"/>
                <w:szCs w:val="21"/>
              </w:rPr>
              <w:t>客观分</w:t>
            </w:r>
          </w:p>
        </w:tc>
      </w:tr>
      <w:tr w14:paraId="71C2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22" w:type="dxa"/>
            <w:vMerge w:val="continue"/>
            <w:noWrap w:val="0"/>
            <w:vAlign w:val="center"/>
          </w:tcPr>
          <w:p w14:paraId="4BAAD529">
            <w:pPr>
              <w:jc w:val="center"/>
              <w:rPr>
                <w:rFonts w:hint="eastAsia" w:ascii="仿宋" w:hAnsi="仿宋" w:eastAsia="仿宋" w:cs="仿宋"/>
                <w:bCs/>
                <w:color w:val="auto"/>
                <w:sz w:val="21"/>
                <w:szCs w:val="21"/>
                <w:highlight w:val="none"/>
                <w:lang w:val="en-US" w:eastAsia="zh-CN"/>
              </w:rPr>
            </w:pPr>
          </w:p>
        </w:tc>
        <w:tc>
          <w:tcPr>
            <w:tcW w:w="622" w:type="dxa"/>
            <w:noWrap w:val="0"/>
            <w:vAlign w:val="center"/>
          </w:tcPr>
          <w:p w14:paraId="0662D10F">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2</w:t>
            </w:r>
          </w:p>
        </w:tc>
        <w:tc>
          <w:tcPr>
            <w:tcW w:w="6345" w:type="dxa"/>
            <w:noWrap w:val="0"/>
            <w:vAlign w:val="center"/>
          </w:tcPr>
          <w:p w14:paraId="3E0AD6E5">
            <w:pPr>
              <w:spacing w:line="240" w:lineRule="auto"/>
              <w:rPr>
                <w:rFonts w:hint="eastAsia" w:ascii="仿宋" w:hAnsi="仿宋" w:eastAsia="仿宋" w:cs="仿宋"/>
                <w:color w:val="auto"/>
                <w:spacing w:val="0"/>
                <w:sz w:val="21"/>
                <w:szCs w:val="21"/>
                <w:lang w:eastAsia="zh-CN"/>
              </w:rPr>
            </w:pPr>
            <w:r>
              <w:rPr>
                <w:rFonts w:hint="eastAsia" w:ascii="仿宋" w:hAnsi="仿宋" w:eastAsia="仿宋" w:cs="仿宋"/>
                <w:color w:val="auto"/>
                <w:spacing w:val="0"/>
                <w:sz w:val="21"/>
                <w:szCs w:val="21"/>
                <w:lang w:val="en-US" w:eastAsia="zh-CN"/>
              </w:rPr>
              <w:t>供应商</w:t>
            </w:r>
            <w:r>
              <w:rPr>
                <w:rFonts w:hint="eastAsia" w:ascii="仿宋" w:hAnsi="仿宋" w:eastAsia="仿宋" w:cs="仿宋"/>
                <w:color w:val="auto"/>
                <w:spacing w:val="0"/>
                <w:sz w:val="21"/>
                <w:szCs w:val="21"/>
                <w:lang w:eastAsia="zh-CN"/>
              </w:rPr>
              <w:t>自202</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lang w:eastAsia="zh-CN"/>
              </w:rPr>
              <w:t>年1月1日至今(以合同签订时间为准）有类似</w:t>
            </w:r>
            <w:r>
              <w:rPr>
                <w:rFonts w:hint="eastAsia" w:ascii="仿宋" w:hAnsi="仿宋" w:eastAsia="仿宋" w:cs="仿宋"/>
                <w:color w:val="auto"/>
                <w:sz w:val="21"/>
                <w:szCs w:val="21"/>
                <w:lang w:eastAsia="zh-CN"/>
              </w:rPr>
              <w:t>村镇保洁</w:t>
            </w:r>
            <w:r>
              <w:rPr>
                <w:rFonts w:hint="eastAsia" w:ascii="仿宋" w:hAnsi="仿宋" w:eastAsia="仿宋" w:cs="仿宋"/>
                <w:color w:val="auto"/>
                <w:spacing w:val="0"/>
                <w:sz w:val="21"/>
                <w:szCs w:val="21"/>
                <w:lang w:eastAsia="zh-CN"/>
              </w:rPr>
              <w:t>业绩，每提供一个业绩得0.5分，最高得2分。</w:t>
            </w:r>
          </w:p>
          <w:p w14:paraId="45E173E2">
            <w:pPr>
              <w:spacing w:line="240" w:lineRule="auto"/>
              <w:rPr>
                <w:rFonts w:hint="eastAsia" w:ascii="仿宋" w:hAnsi="仿宋" w:eastAsia="仿宋" w:cs="仿宋"/>
                <w:bCs w:val="0"/>
                <w:color w:val="auto"/>
                <w:sz w:val="21"/>
                <w:szCs w:val="21"/>
                <w:highlight w:val="none"/>
              </w:rPr>
            </w:pPr>
            <w:r>
              <w:rPr>
                <w:rFonts w:hint="eastAsia" w:ascii="仿宋" w:hAnsi="仿宋" w:eastAsia="仿宋" w:cs="仿宋"/>
                <w:color w:val="auto"/>
                <w:sz w:val="21"/>
                <w:szCs w:val="21"/>
                <w:lang w:eastAsia="zh-CN"/>
              </w:rPr>
              <w:t>（</w:t>
            </w:r>
            <w:r>
              <w:rPr>
                <w:rFonts w:hint="eastAsia" w:ascii="仿宋" w:hAnsi="仿宋" w:eastAsia="仿宋" w:cs="仿宋"/>
                <w:snapToGrid/>
                <w:color w:val="auto"/>
                <w:sz w:val="21"/>
                <w:szCs w:val="21"/>
                <w:lang w:eastAsia="zh-CN"/>
              </w:rPr>
              <w:t>证明材料：服务合同复印件加盖公章。</w:t>
            </w:r>
            <w:r>
              <w:rPr>
                <w:rFonts w:hint="eastAsia" w:ascii="仿宋" w:hAnsi="仿宋" w:eastAsia="仿宋" w:cs="仿宋"/>
                <w:color w:val="auto"/>
                <w:sz w:val="21"/>
                <w:szCs w:val="21"/>
              </w:rPr>
              <w:t>）</w:t>
            </w:r>
          </w:p>
        </w:tc>
        <w:tc>
          <w:tcPr>
            <w:tcW w:w="903" w:type="dxa"/>
            <w:noWrap w:val="0"/>
            <w:vAlign w:val="center"/>
          </w:tcPr>
          <w:p w14:paraId="7EFDF942">
            <w:pPr>
              <w:ind w:lef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color w:val="auto"/>
                <w:sz w:val="21"/>
                <w:szCs w:val="21"/>
                <w:lang w:eastAsia="zh-CN"/>
              </w:rPr>
              <w:t>2</w:t>
            </w:r>
            <w:r>
              <w:rPr>
                <w:rFonts w:hint="eastAsia" w:ascii="仿宋" w:hAnsi="仿宋" w:eastAsia="仿宋" w:cs="仿宋"/>
                <w:color w:val="auto"/>
                <w:sz w:val="21"/>
                <w:szCs w:val="21"/>
              </w:rPr>
              <w:t>分</w:t>
            </w:r>
          </w:p>
        </w:tc>
        <w:tc>
          <w:tcPr>
            <w:tcW w:w="947" w:type="dxa"/>
            <w:noWrap w:val="0"/>
            <w:vAlign w:val="center"/>
          </w:tcPr>
          <w:p w14:paraId="6431A9E9">
            <w:pPr>
              <w:jc w:val="center"/>
              <w:rPr>
                <w:rFonts w:hint="eastAsia" w:ascii="仿宋" w:hAnsi="仿宋" w:eastAsia="仿宋" w:cs="仿宋"/>
                <w:bCs/>
                <w:color w:val="auto"/>
                <w:sz w:val="21"/>
                <w:szCs w:val="21"/>
                <w:highlight w:val="none"/>
              </w:rPr>
            </w:pPr>
            <w:r>
              <w:rPr>
                <w:rFonts w:hint="eastAsia" w:ascii="仿宋" w:hAnsi="仿宋" w:eastAsia="仿宋" w:cs="仿宋"/>
                <w:color w:val="auto"/>
                <w:sz w:val="21"/>
                <w:szCs w:val="21"/>
              </w:rPr>
              <w:t>客观分</w:t>
            </w:r>
          </w:p>
        </w:tc>
      </w:tr>
      <w:tr w14:paraId="056E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restart"/>
            <w:noWrap w:val="0"/>
            <w:vAlign w:val="center"/>
          </w:tcPr>
          <w:p w14:paraId="5B7244AC">
            <w:pPr>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技术分（72分）</w:t>
            </w:r>
          </w:p>
        </w:tc>
        <w:tc>
          <w:tcPr>
            <w:tcW w:w="622" w:type="dxa"/>
            <w:noWrap w:val="0"/>
            <w:vAlign w:val="center"/>
          </w:tcPr>
          <w:p w14:paraId="758AA36E">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6345" w:type="dxa"/>
            <w:noWrap w:val="0"/>
            <w:vAlign w:val="center"/>
          </w:tcPr>
          <w:p w14:paraId="49E9D5DD">
            <w:pPr>
              <w:spacing w:line="240" w:lineRule="auto"/>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lang w:val="zh-CN"/>
              </w:rPr>
              <w:t>方案的合理性、科学性、全面性</w:t>
            </w:r>
            <w:r>
              <w:rPr>
                <w:rFonts w:hint="eastAsia" w:ascii="仿宋" w:hAnsi="仿宋" w:eastAsia="仿宋" w:cs="仿宋"/>
                <w:color w:val="auto"/>
                <w:sz w:val="21"/>
                <w:szCs w:val="21"/>
                <w:lang w:val="zh-CN" w:eastAsia="zh-CN"/>
              </w:rPr>
              <w:t>：</w:t>
            </w:r>
            <w:r>
              <w:rPr>
                <w:rFonts w:hint="eastAsia" w:ascii="仿宋" w:hAnsi="仿宋" w:eastAsia="仿宋" w:cs="仿宋"/>
                <w:color w:val="auto"/>
                <w:sz w:val="21"/>
                <w:szCs w:val="21"/>
                <w:lang w:val="zh-CN"/>
              </w:rPr>
              <w:t>根据对</w:t>
            </w:r>
            <w:r>
              <w:rPr>
                <w:rFonts w:hint="eastAsia" w:ascii="仿宋" w:hAnsi="仿宋" w:eastAsia="仿宋" w:cs="仿宋"/>
                <w:color w:val="auto"/>
                <w:sz w:val="21"/>
                <w:szCs w:val="21"/>
                <w:lang w:val="zh-CN" w:eastAsia="zh-CN"/>
              </w:rPr>
              <w:t>响应</w:t>
            </w:r>
            <w:r>
              <w:rPr>
                <w:rFonts w:hint="eastAsia" w:ascii="仿宋" w:hAnsi="仿宋" w:eastAsia="仿宋" w:cs="仿宋"/>
                <w:color w:val="auto"/>
                <w:sz w:val="21"/>
                <w:szCs w:val="21"/>
                <w:lang w:val="zh-CN"/>
              </w:rPr>
              <w:t>项目的理解程度、总体设计、组织实施、独到优势等情况综合评定</w:t>
            </w:r>
            <w:r>
              <w:rPr>
                <w:rFonts w:hint="eastAsia" w:ascii="仿宋" w:hAnsi="仿宋" w:eastAsia="仿宋" w:cs="仿宋"/>
                <w:color w:val="auto"/>
                <w:sz w:val="21"/>
                <w:szCs w:val="21"/>
                <w:lang w:val="zh-CN" w:eastAsia="zh-CN"/>
              </w:rPr>
              <w:t>。</w:t>
            </w:r>
          </w:p>
          <w:p w14:paraId="40AD9A3D">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评分设定：5,4,3,2,1,0</w:t>
            </w:r>
            <w:r>
              <w:rPr>
                <w:rFonts w:hint="eastAsia" w:ascii="仿宋" w:hAnsi="仿宋" w:eastAsia="仿宋" w:cs="仿宋"/>
                <w:color w:val="auto"/>
                <w:sz w:val="21"/>
                <w:szCs w:val="21"/>
                <w:lang w:eastAsia="zh-CN"/>
              </w:rPr>
              <w:t>）</w:t>
            </w:r>
          </w:p>
        </w:tc>
        <w:tc>
          <w:tcPr>
            <w:tcW w:w="903" w:type="dxa"/>
            <w:noWrap w:val="0"/>
            <w:vAlign w:val="center"/>
          </w:tcPr>
          <w:p w14:paraId="189BD428">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5分</w:t>
            </w:r>
          </w:p>
        </w:tc>
        <w:tc>
          <w:tcPr>
            <w:tcW w:w="947" w:type="dxa"/>
            <w:noWrap w:val="0"/>
            <w:vAlign w:val="center"/>
          </w:tcPr>
          <w:p w14:paraId="37D36E2D">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r>
      <w:tr w14:paraId="1B79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noWrap w:val="0"/>
            <w:vAlign w:val="center"/>
          </w:tcPr>
          <w:p w14:paraId="758663B9">
            <w:pPr>
              <w:jc w:val="center"/>
              <w:rPr>
                <w:rFonts w:hint="eastAsia" w:ascii="仿宋" w:hAnsi="仿宋" w:eastAsia="仿宋" w:cs="仿宋"/>
                <w:bCs/>
                <w:color w:val="auto"/>
                <w:sz w:val="21"/>
                <w:szCs w:val="21"/>
                <w:highlight w:val="none"/>
                <w:lang w:val="en-US" w:eastAsia="zh-CN"/>
              </w:rPr>
            </w:pPr>
          </w:p>
        </w:tc>
        <w:tc>
          <w:tcPr>
            <w:tcW w:w="622" w:type="dxa"/>
            <w:noWrap w:val="0"/>
            <w:vAlign w:val="center"/>
          </w:tcPr>
          <w:p w14:paraId="13AA7538">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6345" w:type="dxa"/>
            <w:noWrap w:val="0"/>
            <w:vAlign w:val="center"/>
          </w:tcPr>
          <w:p w14:paraId="748DA0B4">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日常清卫保洁实施方案，内容完整性和实用性强等情况综合评定</w:t>
            </w:r>
            <w:r>
              <w:rPr>
                <w:rFonts w:hint="eastAsia" w:ascii="仿宋" w:hAnsi="仿宋" w:eastAsia="仿宋" w:cs="仿宋"/>
                <w:color w:val="auto"/>
                <w:sz w:val="21"/>
                <w:szCs w:val="21"/>
                <w:lang w:val="zh-CN" w:eastAsia="zh-CN"/>
              </w:rPr>
              <w:t>。（评分设定：5,4,3,2,1,0）</w:t>
            </w:r>
          </w:p>
        </w:tc>
        <w:tc>
          <w:tcPr>
            <w:tcW w:w="903" w:type="dxa"/>
            <w:shd w:val="clear" w:color="auto" w:fill="auto"/>
            <w:noWrap w:val="0"/>
            <w:vAlign w:val="center"/>
          </w:tcPr>
          <w:p w14:paraId="50E98D85">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5分</w:t>
            </w:r>
          </w:p>
        </w:tc>
        <w:tc>
          <w:tcPr>
            <w:tcW w:w="947" w:type="dxa"/>
            <w:shd w:val="clear" w:color="auto" w:fill="auto"/>
            <w:noWrap w:val="0"/>
            <w:vAlign w:val="center"/>
          </w:tcPr>
          <w:p w14:paraId="10A55519">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r w14:paraId="7903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noWrap w:val="0"/>
            <w:vAlign w:val="center"/>
          </w:tcPr>
          <w:p w14:paraId="74670E25">
            <w:pPr>
              <w:jc w:val="center"/>
              <w:rPr>
                <w:rFonts w:hint="eastAsia" w:ascii="仿宋" w:hAnsi="仿宋" w:eastAsia="仿宋" w:cs="仿宋"/>
                <w:bCs/>
                <w:color w:val="auto"/>
                <w:sz w:val="21"/>
                <w:szCs w:val="21"/>
                <w:highlight w:val="none"/>
                <w:lang w:val="en-US" w:eastAsia="zh-CN"/>
              </w:rPr>
            </w:pPr>
          </w:p>
        </w:tc>
        <w:tc>
          <w:tcPr>
            <w:tcW w:w="622" w:type="dxa"/>
            <w:noWrap w:val="0"/>
            <w:vAlign w:val="center"/>
          </w:tcPr>
          <w:p w14:paraId="773FA02F">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6345" w:type="dxa"/>
            <w:noWrap w:val="0"/>
            <w:vAlign w:val="center"/>
          </w:tcPr>
          <w:p w14:paraId="102ECBA9">
            <w:pPr>
              <w:spacing w:line="240" w:lineRule="auto"/>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rPr>
              <w:t>公厕保洁施方案，内容完整性和实用性强等情况综合评定</w:t>
            </w:r>
            <w:r>
              <w:rPr>
                <w:rFonts w:hint="eastAsia" w:ascii="仿宋" w:hAnsi="仿宋" w:eastAsia="仿宋" w:cs="仿宋"/>
                <w:color w:val="auto"/>
                <w:sz w:val="21"/>
                <w:szCs w:val="21"/>
                <w:lang w:val="zh-CN" w:eastAsia="zh-CN"/>
              </w:rPr>
              <w:t>。</w:t>
            </w:r>
          </w:p>
          <w:p w14:paraId="78951819">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eastAsia="zh-CN"/>
              </w:rPr>
              <w:t>（评分设定：5,4,3,2,1,0）</w:t>
            </w:r>
          </w:p>
        </w:tc>
        <w:tc>
          <w:tcPr>
            <w:tcW w:w="903" w:type="dxa"/>
            <w:shd w:val="clear" w:color="auto" w:fill="auto"/>
            <w:noWrap w:val="0"/>
            <w:vAlign w:val="center"/>
          </w:tcPr>
          <w:p w14:paraId="3537D104">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5分</w:t>
            </w:r>
          </w:p>
        </w:tc>
        <w:tc>
          <w:tcPr>
            <w:tcW w:w="947" w:type="dxa"/>
            <w:shd w:val="clear" w:color="auto" w:fill="auto"/>
            <w:noWrap w:val="0"/>
            <w:vAlign w:val="center"/>
          </w:tcPr>
          <w:p w14:paraId="252222DC">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r w14:paraId="2405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noWrap w:val="0"/>
            <w:vAlign w:val="center"/>
          </w:tcPr>
          <w:p w14:paraId="6D044F4C">
            <w:pPr>
              <w:jc w:val="center"/>
              <w:rPr>
                <w:rFonts w:hint="eastAsia" w:ascii="仿宋" w:hAnsi="仿宋" w:eastAsia="仿宋" w:cs="仿宋"/>
                <w:bCs/>
                <w:color w:val="auto"/>
                <w:sz w:val="21"/>
                <w:szCs w:val="21"/>
                <w:highlight w:val="none"/>
                <w:lang w:val="en-US" w:eastAsia="zh-CN"/>
              </w:rPr>
            </w:pPr>
          </w:p>
        </w:tc>
        <w:tc>
          <w:tcPr>
            <w:tcW w:w="622" w:type="dxa"/>
            <w:noWrap w:val="0"/>
            <w:vAlign w:val="center"/>
          </w:tcPr>
          <w:p w14:paraId="50F6BF70">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6345" w:type="dxa"/>
            <w:noWrap w:val="0"/>
            <w:vAlign w:val="center"/>
          </w:tcPr>
          <w:p w14:paraId="2FEA03C4">
            <w:pPr>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zh-CN"/>
              </w:rPr>
              <w:t>清卫保洁质量管理保障体系（含人员、制度）和控制措施、手段、方法</w:t>
            </w:r>
            <w:r>
              <w:rPr>
                <w:rFonts w:hint="eastAsia" w:ascii="仿宋" w:hAnsi="仿宋" w:eastAsia="仿宋" w:cs="仿宋"/>
                <w:color w:val="auto"/>
                <w:sz w:val="21"/>
                <w:szCs w:val="21"/>
                <w:lang w:val="en-US" w:eastAsia="zh-CN"/>
              </w:rPr>
              <w:t>等情况综合评定。</w:t>
            </w:r>
          </w:p>
          <w:p w14:paraId="782DF4AD">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（评分设定：5,4,3,2,1,0）</w:t>
            </w:r>
          </w:p>
        </w:tc>
        <w:tc>
          <w:tcPr>
            <w:tcW w:w="903" w:type="dxa"/>
            <w:shd w:val="clear" w:color="auto" w:fill="auto"/>
            <w:noWrap w:val="0"/>
            <w:vAlign w:val="center"/>
          </w:tcPr>
          <w:p w14:paraId="5875BE76">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5分</w:t>
            </w:r>
          </w:p>
        </w:tc>
        <w:tc>
          <w:tcPr>
            <w:tcW w:w="947" w:type="dxa"/>
            <w:shd w:val="clear" w:color="auto" w:fill="auto"/>
            <w:noWrap w:val="0"/>
            <w:vAlign w:val="center"/>
          </w:tcPr>
          <w:p w14:paraId="135E20B2">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r w14:paraId="3A2D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noWrap w:val="0"/>
            <w:vAlign w:val="center"/>
          </w:tcPr>
          <w:p w14:paraId="60C60F3F">
            <w:pPr>
              <w:jc w:val="center"/>
              <w:rPr>
                <w:rFonts w:hint="eastAsia" w:ascii="仿宋" w:hAnsi="仿宋" w:eastAsia="仿宋" w:cs="仿宋"/>
                <w:bCs/>
                <w:color w:val="auto"/>
                <w:sz w:val="21"/>
                <w:szCs w:val="21"/>
                <w:highlight w:val="none"/>
                <w:lang w:val="en-US" w:eastAsia="zh-CN"/>
              </w:rPr>
            </w:pPr>
          </w:p>
        </w:tc>
        <w:tc>
          <w:tcPr>
            <w:tcW w:w="622" w:type="dxa"/>
            <w:noWrap w:val="0"/>
            <w:vAlign w:val="center"/>
          </w:tcPr>
          <w:p w14:paraId="52D21A68">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7</w:t>
            </w:r>
          </w:p>
        </w:tc>
        <w:tc>
          <w:tcPr>
            <w:tcW w:w="6345" w:type="dxa"/>
            <w:noWrap w:val="0"/>
            <w:vAlign w:val="center"/>
          </w:tcPr>
          <w:p w14:paraId="3BB1922A">
            <w:pPr>
              <w:spacing w:line="240" w:lineRule="auto"/>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rPr>
              <w:t>重大检查、自然灾情等特殊时期保洁的具体保证措施综合评定</w:t>
            </w:r>
            <w:r>
              <w:rPr>
                <w:rFonts w:hint="eastAsia" w:ascii="仿宋" w:hAnsi="仿宋" w:eastAsia="仿宋" w:cs="仿宋"/>
                <w:color w:val="auto"/>
                <w:sz w:val="21"/>
                <w:szCs w:val="21"/>
                <w:lang w:val="zh-CN" w:eastAsia="zh-CN"/>
              </w:rPr>
              <w:t>。</w:t>
            </w:r>
          </w:p>
          <w:p w14:paraId="59ECD77E">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eastAsia="zh-CN"/>
              </w:rPr>
              <w:t>（评分设定：5,4,3,2,1,0）</w:t>
            </w:r>
          </w:p>
        </w:tc>
        <w:tc>
          <w:tcPr>
            <w:tcW w:w="903" w:type="dxa"/>
            <w:shd w:val="clear" w:color="auto" w:fill="auto"/>
            <w:noWrap w:val="0"/>
            <w:vAlign w:val="center"/>
          </w:tcPr>
          <w:p w14:paraId="79C021FE">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5分</w:t>
            </w:r>
          </w:p>
        </w:tc>
        <w:tc>
          <w:tcPr>
            <w:tcW w:w="947" w:type="dxa"/>
            <w:shd w:val="clear" w:color="auto" w:fill="auto"/>
            <w:noWrap w:val="0"/>
            <w:vAlign w:val="center"/>
          </w:tcPr>
          <w:p w14:paraId="28EA72D6">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r w14:paraId="3172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noWrap w:val="0"/>
            <w:vAlign w:val="center"/>
          </w:tcPr>
          <w:p w14:paraId="4DFD2E93">
            <w:pPr>
              <w:jc w:val="center"/>
              <w:rPr>
                <w:rFonts w:hint="eastAsia" w:ascii="仿宋" w:hAnsi="仿宋" w:eastAsia="仿宋" w:cs="仿宋"/>
                <w:bCs/>
                <w:color w:val="auto"/>
                <w:sz w:val="21"/>
                <w:szCs w:val="21"/>
                <w:highlight w:val="none"/>
                <w:lang w:val="en-US" w:eastAsia="zh-CN"/>
              </w:rPr>
            </w:pPr>
          </w:p>
        </w:tc>
        <w:tc>
          <w:tcPr>
            <w:tcW w:w="622" w:type="dxa"/>
            <w:noWrap w:val="0"/>
            <w:vAlign w:val="center"/>
          </w:tcPr>
          <w:p w14:paraId="315BC8A8">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8</w:t>
            </w:r>
          </w:p>
        </w:tc>
        <w:tc>
          <w:tcPr>
            <w:tcW w:w="6345" w:type="dxa"/>
            <w:noWrap w:val="0"/>
            <w:vAlign w:val="center"/>
          </w:tcPr>
          <w:p w14:paraId="0898ACB6">
            <w:pPr>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zh-CN"/>
              </w:rPr>
              <w:t>应急抢险（含抗雪、防冻、防台、防汛、抗旱等）</w:t>
            </w:r>
            <w:r>
              <w:rPr>
                <w:rFonts w:hint="eastAsia" w:ascii="仿宋" w:hAnsi="仿宋" w:eastAsia="仿宋" w:cs="仿宋"/>
                <w:color w:val="auto"/>
                <w:sz w:val="21"/>
                <w:szCs w:val="21"/>
              </w:rPr>
              <w:t>方案</w:t>
            </w:r>
            <w:r>
              <w:rPr>
                <w:rFonts w:hint="eastAsia" w:ascii="仿宋" w:hAnsi="仿宋" w:eastAsia="仿宋" w:cs="仿宋"/>
                <w:color w:val="auto"/>
                <w:sz w:val="21"/>
                <w:szCs w:val="21"/>
                <w:lang w:val="en-US" w:eastAsia="zh-CN"/>
              </w:rPr>
              <w:t>综合评定。</w:t>
            </w:r>
          </w:p>
          <w:p w14:paraId="72B4651F">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（评分设定：5,4,3,2,1,0）</w:t>
            </w:r>
          </w:p>
        </w:tc>
        <w:tc>
          <w:tcPr>
            <w:tcW w:w="903" w:type="dxa"/>
            <w:shd w:val="clear" w:color="auto" w:fill="auto"/>
            <w:noWrap w:val="0"/>
            <w:vAlign w:val="center"/>
          </w:tcPr>
          <w:p w14:paraId="17CD7070">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5分</w:t>
            </w:r>
          </w:p>
        </w:tc>
        <w:tc>
          <w:tcPr>
            <w:tcW w:w="947" w:type="dxa"/>
            <w:shd w:val="clear" w:color="auto" w:fill="auto"/>
            <w:noWrap w:val="0"/>
            <w:vAlign w:val="center"/>
          </w:tcPr>
          <w:p w14:paraId="0E53ECC1">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r w14:paraId="34CD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noWrap w:val="0"/>
            <w:vAlign w:val="center"/>
          </w:tcPr>
          <w:p w14:paraId="6FFAA030">
            <w:pPr>
              <w:jc w:val="center"/>
              <w:rPr>
                <w:rFonts w:hint="eastAsia" w:ascii="仿宋" w:hAnsi="仿宋" w:eastAsia="仿宋" w:cs="仿宋"/>
                <w:bCs/>
                <w:color w:val="auto"/>
                <w:sz w:val="21"/>
                <w:szCs w:val="21"/>
                <w:highlight w:val="none"/>
                <w:lang w:val="en-US" w:eastAsia="zh-CN"/>
              </w:rPr>
            </w:pPr>
          </w:p>
        </w:tc>
        <w:tc>
          <w:tcPr>
            <w:tcW w:w="622" w:type="dxa"/>
            <w:noWrap w:val="0"/>
            <w:vAlign w:val="center"/>
          </w:tcPr>
          <w:p w14:paraId="0F40A2B3">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9</w:t>
            </w:r>
          </w:p>
        </w:tc>
        <w:tc>
          <w:tcPr>
            <w:tcW w:w="6345" w:type="dxa"/>
            <w:noWrap w:val="0"/>
            <w:vAlign w:val="center"/>
          </w:tcPr>
          <w:p w14:paraId="66E883C9">
            <w:pPr>
              <w:spacing w:line="240" w:lineRule="auto"/>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rPr>
              <w:t>保</w:t>
            </w:r>
            <w:r>
              <w:rPr>
                <w:rFonts w:hint="eastAsia" w:ascii="仿宋" w:hAnsi="仿宋" w:eastAsia="仿宋" w:cs="仿宋"/>
                <w:color w:val="auto"/>
                <w:sz w:val="21"/>
                <w:szCs w:val="21"/>
                <w:lang w:val="zh-CN"/>
              </w:rPr>
              <w:t>洁安全保证体系和安全管理制度等情况</w:t>
            </w:r>
            <w:r>
              <w:rPr>
                <w:rFonts w:hint="eastAsia" w:ascii="仿宋" w:hAnsi="仿宋" w:eastAsia="仿宋" w:cs="仿宋"/>
                <w:color w:val="auto"/>
                <w:sz w:val="21"/>
                <w:szCs w:val="21"/>
                <w:lang w:val="zh-CN" w:eastAsia="zh-CN"/>
              </w:rPr>
              <w:t>综合评定。</w:t>
            </w:r>
          </w:p>
          <w:p w14:paraId="53E18624">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eastAsia="zh-CN"/>
              </w:rPr>
              <w:t>（评分设定：5,4,3,2,1,0）</w:t>
            </w:r>
          </w:p>
        </w:tc>
        <w:tc>
          <w:tcPr>
            <w:tcW w:w="903" w:type="dxa"/>
            <w:shd w:val="clear" w:color="auto" w:fill="auto"/>
            <w:noWrap w:val="0"/>
            <w:vAlign w:val="center"/>
          </w:tcPr>
          <w:p w14:paraId="2C2F6F19">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5分</w:t>
            </w:r>
          </w:p>
        </w:tc>
        <w:tc>
          <w:tcPr>
            <w:tcW w:w="947" w:type="dxa"/>
            <w:shd w:val="clear" w:color="auto" w:fill="auto"/>
            <w:noWrap w:val="0"/>
            <w:vAlign w:val="center"/>
          </w:tcPr>
          <w:p w14:paraId="5F83CD26">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r w14:paraId="2DF2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shd w:val="clear" w:color="auto" w:fill="auto"/>
            <w:noWrap w:val="0"/>
            <w:vAlign w:val="center"/>
          </w:tcPr>
          <w:p w14:paraId="395A163B">
            <w:pPr>
              <w:jc w:val="center"/>
              <w:rPr>
                <w:rFonts w:hint="eastAsia" w:ascii="仿宋" w:hAnsi="仿宋" w:eastAsia="仿宋" w:cs="仿宋"/>
                <w:bCs/>
                <w:color w:val="auto"/>
                <w:sz w:val="21"/>
                <w:szCs w:val="21"/>
                <w:highlight w:val="none"/>
                <w:lang w:val="en-US" w:eastAsia="zh-CN"/>
              </w:rPr>
            </w:pPr>
          </w:p>
        </w:tc>
        <w:tc>
          <w:tcPr>
            <w:tcW w:w="622" w:type="dxa"/>
            <w:shd w:val="clear" w:color="auto" w:fill="auto"/>
            <w:noWrap w:val="0"/>
            <w:vAlign w:val="center"/>
          </w:tcPr>
          <w:p w14:paraId="190D745B">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10</w:t>
            </w:r>
          </w:p>
        </w:tc>
        <w:tc>
          <w:tcPr>
            <w:tcW w:w="6345" w:type="dxa"/>
            <w:noWrap w:val="0"/>
            <w:vAlign w:val="center"/>
          </w:tcPr>
          <w:p w14:paraId="0BAB1ADA">
            <w:pPr>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拟派项目负责人具有本科及以上学历同时具有高级环卫一体化项目经理或高级垃圾分类处理工程师的得3分。</w:t>
            </w:r>
          </w:p>
          <w:p w14:paraId="65336C70">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（响应文件中提供项目负责人员近一个月社保缴纳证明、学历证书复印件、证书复印件加盖公章，未提供的不得分。）</w:t>
            </w:r>
          </w:p>
        </w:tc>
        <w:tc>
          <w:tcPr>
            <w:tcW w:w="903" w:type="dxa"/>
            <w:shd w:val="clear" w:color="auto" w:fill="auto"/>
            <w:noWrap w:val="0"/>
            <w:vAlign w:val="center"/>
          </w:tcPr>
          <w:p w14:paraId="6357ED6B">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3分</w:t>
            </w:r>
          </w:p>
        </w:tc>
        <w:tc>
          <w:tcPr>
            <w:tcW w:w="947" w:type="dxa"/>
            <w:shd w:val="clear" w:color="auto" w:fill="auto"/>
            <w:noWrap w:val="0"/>
            <w:vAlign w:val="center"/>
          </w:tcPr>
          <w:p w14:paraId="46F1042F">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客观分</w:t>
            </w:r>
          </w:p>
        </w:tc>
      </w:tr>
      <w:tr w14:paraId="2A28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shd w:val="clear" w:color="auto" w:fill="auto"/>
            <w:noWrap w:val="0"/>
            <w:vAlign w:val="center"/>
          </w:tcPr>
          <w:p w14:paraId="6729C960">
            <w:pPr>
              <w:jc w:val="center"/>
              <w:rPr>
                <w:rFonts w:hint="eastAsia" w:ascii="仿宋" w:hAnsi="仿宋" w:eastAsia="仿宋" w:cs="仿宋"/>
                <w:bCs/>
                <w:color w:val="auto"/>
                <w:sz w:val="21"/>
                <w:szCs w:val="21"/>
                <w:highlight w:val="none"/>
                <w:lang w:val="en-US" w:eastAsia="zh-CN"/>
              </w:rPr>
            </w:pPr>
          </w:p>
        </w:tc>
        <w:tc>
          <w:tcPr>
            <w:tcW w:w="622" w:type="dxa"/>
            <w:shd w:val="clear" w:color="auto" w:fill="auto"/>
            <w:noWrap w:val="0"/>
            <w:vAlign w:val="center"/>
          </w:tcPr>
          <w:p w14:paraId="6080489C">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11</w:t>
            </w:r>
          </w:p>
        </w:tc>
        <w:tc>
          <w:tcPr>
            <w:tcW w:w="6345" w:type="dxa"/>
            <w:noWrap w:val="0"/>
            <w:vAlign w:val="center"/>
          </w:tcPr>
          <w:p w14:paraId="7BD30EB6">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项目拟投入使用的机械设备中，投入使用的车辆中有洒水车的得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rPr>
              <w:t>有道路扫路车的得2分；</w:t>
            </w:r>
            <w:r>
              <w:rPr>
                <w:rFonts w:hint="eastAsia" w:ascii="仿宋" w:hAnsi="仿宋" w:eastAsia="仿宋" w:cs="仿宋"/>
                <w:color w:val="auto"/>
                <w:sz w:val="21"/>
                <w:szCs w:val="21"/>
              </w:rPr>
              <w:t>有压缩式垃圾车的得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rPr>
              <w:t>企业提供清运杂类垃圾农用车或货车的得2分;有铲车的得2分;有</w:t>
            </w:r>
            <w:r>
              <w:rPr>
                <w:rFonts w:hint="eastAsia" w:ascii="仿宋" w:hAnsi="仿宋" w:eastAsia="仿宋" w:cs="仿宋"/>
                <w:color w:val="auto"/>
                <w:sz w:val="21"/>
                <w:szCs w:val="21"/>
              </w:rPr>
              <w:t>垃圾分类电瓶车辆5辆及以上得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分；没有的或达不到上述要求的不得分。</w:t>
            </w:r>
          </w:p>
          <w:p w14:paraId="3D702807">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响应文件中提供相关车辆行驶证复印件，其他设备提供发票并加盖公章，未提供或提供的复印件不符合的均按不得分处理）</w:t>
            </w:r>
            <w:r>
              <w:rPr>
                <w:rFonts w:hint="eastAsia" w:ascii="仿宋" w:hAnsi="仿宋" w:eastAsia="仿宋" w:cs="仿宋"/>
                <w:color w:val="auto"/>
                <w:sz w:val="21"/>
                <w:szCs w:val="21"/>
              </w:rPr>
              <w:t>。</w:t>
            </w:r>
          </w:p>
        </w:tc>
        <w:tc>
          <w:tcPr>
            <w:tcW w:w="903" w:type="dxa"/>
            <w:shd w:val="clear" w:color="auto" w:fill="auto"/>
            <w:noWrap w:val="0"/>
            <w:vAlign w:val="center"/>
          </w:tcPr>
          <w:p w14:paraId="15BE2C3A">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12分</w:t>
            </w:r>
          </w:p>
        </w:tc>
        <w:tc>
          <w:tcPr>
            <w:tcW w:w="947" w:type="dxa"/>
            <w:shd w:val="clear" w:color="auto" w:fill="auto"/>
            <w:noWrap w:val="0"/>
            <w:vAlign w:val="center"/>
          </w:tcPr>
          <w:p w14:paraId="6C650F13">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客观分</w:t>
            </w:r>
          </w:p>
        </w:tc>
      </w:tr>
      <w:tr w14:paraId="7E9A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shd w:val="clear" w:color="auto" w:fill="auto"/>
            <w:noWrap w:val="0"/>
            <w:vAlign w:val="center"/>
          </w:tcPr>
          <w:p w14:paraId="2D475B41">
            <w:pPr>
              <w:jc w:val="center"/>
              <w:rPr>
                <w:rFonts w:hint="eastAsia" w:ascii="仿宋" w:hAnsi="仿宋" w:eastAsia="仿宋" w:cs="仿宋"/>
                <w:bCs/>
                <w:color w:val="auto"/>
                <w:sz w:val="21"/>
                <w:szCs w:val="21"/>
                <w:highlight w:val="none"/>
                <w:lang w:val="en-US" w:eastAsia="zh-CN"/>
              </w:rPr>
            </w:pPr>
          </w:p>
        </w:tc>
        <w:tc>
          <w:tcPr>
            <w:tcW w:w="622" w:type="dxa"/>
            <w:shd w:val="clear" w:color="auto" w:fill="auto"/>
            <w:noWrap w:val="0"/>
            <w:vAlign w:val="center"/>
          </w:tcPr>
          <w:p w14:paraId="3DFF0466">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12</w:t>
            </w:r>
          </w:p>
        </w:tc>
        <w:tc>
          <w:tcPr>
            <w:tcW w:w="6345" w:type="dxa"/>
            <w:noWrap w:val="0"/>
            <w:vAlign w:val="center"/>
          </w:tcPr>
          <w:p w14:paraId="28933F54">
            <w:pPr>
              <w:spacing w:line="240" w:lineRule="auto"/>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rPr>
              <w:t>内部岗位责任制度、管理运作制度、管理人员考核制度及标准等情况</w:t>
            </w:r>
            <w:r>
              <w:rPr>
                <w:rFonts w:hint="eastAsia" w:ascii="仿宋" w:hAnsi="仿宋" w:eastAsia="仿宋" w:cs="仿宋"/>
                <w:color w:val="auto"/>
                <w:sz w:val="21"/>
                <w:szCs w:val="21"/>
                <w:lang w:val="zh-CN" w:eastAsia="zh-CN"/>
              </w:rPr>
              <w:t>综合评定。</w:t>
            </w:r>
          </w:p>
          <w:p w14:paraId="2D1BDBAB">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eastAsia="zh-CN"/>
              </w:rPr>
              <w:t>（评分设定：4,3,2,1,0）</w:t>
            </w:r>
          </w:p>
        </w:tc>
        <w:tc>
          <w:tcPr>
            <w:tcW w:w="903" w:type="dxa"/>
            <w:shd w:val="clear" w:color="auto" w:fill="auto"/>
            <w:noWrap w:val="0"/>
            <w:vAlign w:val="center"/>
          </w:tcPr>
          <w:p w14:paraId="514B31A4">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4分</w:t>
            </w:r>
          </w:p>
        </w:tc>
        <w:tc>
          <w:tcPr>
            <w:tcW w:w="947" w:type="dxa"/>
            <w:shd w:val="clear" w:color="auto" w:fill="auto"/>
            <w:noWrap w:val="0"/>
            <w:vAlign w:val="center"/>
          </w:tcPr>
          <w:p w14:paraId="67ABC2BD">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r w14:paraId="6FD4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shd w:val="clear" w:color="auto" w:fill="auto"/>
            <w:noWrap w:val="0"/>
            <w:vAlign w:val="center"/>
          </w:tcPr>
          <w:p w14:paraId="1CA02E45">
            <w:pPr>
              <w:jc w:val="center"/>
              <w:rPr>
                <w:rFonts w:hint="eastAsia" w:ascii="仿宋" w:hAnsi="仿宋" w:eastAsia="仿宋" w:cs="仿宋"/>
                <w:bCs/>
                <w:color w:val="auto"/>
                <w:sz w:val="21"/>
                <w:szCs w:val="21"/>
                <w:highlight w:val="none"/>
                <w:lang w:val="en-US" w:eastAsia="zh-CN"/>
              </w:rPr>
            </w:pPr>
          </w:p>
        </w:tc>
        <w:tc>
          <w:tcPr>
            <w:tcW w:w="622" w:type="dxa"/>
            <w:shd w:val="clear" w:color="auto" w:fill="auto"/>
            <w:noWrap w:val="0"/>
            <w:vAlign w:val="center"/>
          </w:tcPr>
          <w:p w14:paraId="189E7440">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13</w:t>
            </w:r>
          </w:p>
        </w:tc>
        <w:tc>
          <w:tcPr>
            <w:tcW w:w="6345" w:type="dxa"/>
            <w:noWrap w:val="0"/>
            <w:vAlign w:val="center"/>
          </w:tcPr>
          <w:p w14:paraId="46DE5743">
            <w:pPr>
              <w:spacing w:line="240" w:lineRule="auto"/>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rPr>
              <w:t>根据人员、设施、设备管理服务、采购人方反馈资料、行政文件资料等档案的建立与管理等</w:t>
            </w:r>
            <w:r>
              <w:rPr>
                <w:rFonts w:hint="eastAsia" w:ascii="仿宋" w:hAnsi="仿宋" w:eastAsia="仿宋" w:cs="仿宋"/>
                <w:color w:val="auto"/>
                <w:sz w:val="21"/>
                <w:szCs w:val="21"/>
                <w:lang w:val="zh-CN" w:eastAsia="zh-CN"/>
              </w:rPr>
              <w:t>综合评定。</w:t>
            </w:r>
          </w:p>
          <w:p w14:paraId="4E08E2ED">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eastAsia="zh-CN"/>
              </w:rPr>
              <w:t>（评分设定：4,3,2,1,0）</w:t>
            </w:r>
          </w:p>
        </w:tc>
        <w:tc>
          <w:tcPr>
            <w:tcW w:w="903" w:type="dxa"/>
            <w:shd w:val="clear" w:color="auto" w:fill="auto"/>
            <w:noWrap w:val="0"/>
            <w:vAlign w:val="center"/>
          </w:tcPr>
          <w:p w14:paraId="6BCC1FBF">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4分</w:t>
            </w:r>
          </w:p>
        </w:tc>
        <w:tc>
          <w:tcPr>
            <w:tcW w:w="947" w:type="dxa"/>
            <w:shd w:val="clear" w:color="auto" w:fill="auto"/>
            <w:noWrap w:val="0"/>
            <w:vAlign w:val="center"/>
          </w:tcPr>
          <w:p w14:paraId="02E01027">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r w14:paraId="6384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shd w:val="clear" w:color="auto" w:fill="auto"/>
            <w:noWrap w:val="0"/>
            <w:vAlign w:val="center"/>
          </w:tcPr>
          <w:p w14:paraId="3799161F">
            <w:pPr>
              <w:jc w:val="center"/>
              <w:rPr>
                <w:rFonts w:hint="eastAsia" w:ascii="仿宋" w:hAnsi="仿宋" w:eastAsia="仿宋" w:cs="仿宋"/>
                <w:bCs/>
                <w:color w:val="auto"/>
                <w:sz w:val="21"/>
                <w:szCs w:val="21"/>
                <w:highlight w:val="none"/>
                <w:lang w:val="en-US" w:eastAsia="zh-CN"/>
              </w:rPr>
            </w:pPr>
          </w:p>
        </w:tc>
        <w:tc>
          <w:tcPr>
            <w:tcW w:w="622" w:type="dxa"/>
            <w:shd w:val="clear" w:color="auto" w:fill="auto"/>
            <w:noWrap w:val="0"/>
            <w:vAlign w:val="center"/>
          </w:tcPr>
          <w:p w14:paraId="68F5DB8A">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14</w:t>
            </w:r>
          </w:p>
        </w:tc>
        <w:tc>
          <w:tcPr>
            <w:tcW w:w="6345" w:type="dxa"/>
            <w:noWrap w:val="0"/>
            <w:vAlign w:val="center"/>
          </w:tcPr>
          <w:p w14:paraId="6688141F">
            <w:pPr>
              <w:spacing w:line="240" w:lineRule="auto"/>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rPr>
              <w:t>供应商是否有完善的运作流程、激励机制、监督机制、自我约束机制、信息反馈渠道及处理机制、财务保障机制等</w:t>
            </w:r>
            <w:r>
              <w:rPr>
                <w:rFonts w:hint="eastAsia" w:ascii="仿宋" w:hAnsi="仿宋" w:eastAsia="仿宋" w:cs="仿宋"/>
                <w:color w:val="auto"/>
                <w:sz w:val="21"/>
                <w:szCs w:val="21"/>
                <w:lang w:val="zh-CN" w:eastAsia="zh-CN"/>
              </w:rPr>
              <w:t>综合评定。</w:t>
            </w:r>
          </w:p>
          <w:p w14:paraId="7CC9FA5F">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eastAsia="zh-CN"/>
              </w:rPr>
              <w:t>（评分设定：5,4,3,2,1,0）</w:t>
            </w:r>
          </w:p>
        </w:tc>
        <w:tc>
          <w:tcPr>
            <w:tcW w:w="903" w:type="dxa"/>
            <w:shd w:val="clear" w:color="auto" w:fill="auto"/>
            <w:noWrap w:val="0"/>
            <w:vAlign w:val="center"/>
          </w:tcPr>
          <w:p w14:paraId="7A3D2001">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5分</w:t>
            </w:r>
          </w:p>
        </w:tc>
        <w:tc>
          <w:tcPr>
            <w:tcW w:w="947" w:type="dxa"/>
            <w:shd w:val="clear" w:color="auto" w:fill="auto"/>
            <w:noWrap w:val="0"/>
            <w:vAlign w:val="center"/>
          </w:tcPr>
          <w:p w14:paraId="29A8C155">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r w14:paraId="39C9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2" w:type="dxa"/>
            <w:vMerge w:val="continue"/>
            <w:shd w:val="clear" w:color="auto" w:fill="auto"/>
            <w:noWrap w:val="0"/>
            <w:vAlign w:val="center"/>
          </w:tcPr>
          <w:p w14:paraId="4078830E">
            <w:pPr>
              <w:jc w:val="center"/>
              <w:rPr>
                <w:rFonts w:hint="eastAsia" w:ascii="仿宋" w:hAnsi="仿宋" w:eastAsia="仿宋" w:cs="仿宋"/>
                <w:bCs/>
                <w:color w:val="auto"/>
                <w:sz w:val="21"/>
                <w:szCs w:val="21"/>
                <w:highlight w:val="none"/>
                <w:lang w:val="en-US" w:eastAsia="zh-CN"/>
              </w:rPr>
            </w:pPr>
          </w:p>
        </w:tc>
        <w:tc>
          <w:tcPr>
            <w:tcW w:w="622" w:type="dxa"/>
            <w:shd w:val="clear" w:color="auto" w:fill="auto"/>
            <w:noWrap w:val="0"/>
            <w:vAlign w:val="center"/>
          </w:tcPr>
          <w:p w14:paraId="2E057C03">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15</w:t>
            </w:r>
          </w:p>
        </w:tc>
        <w:tc>
          <w:tcPr>
            <w:tcW w:w="6345" w:type="dxa"/>
            <w:noWrap w:val="0"/>
            <w:vAlign w:val="center"/>
          </w:tcPr>
          <w:p w14:paraId="05AE452F">
            <w:pPr>
              <w:spacing w:line="240" w:lineRule="auto"/>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rPr>
              <w:t>拟派本项目服务团队的配置</w:t>
            </w:r>
            <w:r>
              <w:rPr>
                <w:rFonts w:hint="eastAsia" w:ascii="仿宋" w:hAnsi="仿宋" w:eastAsia="仿宋" w:cs="仿宋"/>
                <w:color w:val="auto"/>
                <w:sz w:val="21"/>
                <w:szCs w:val="21"/>
                <w:lang w:val="en-US" w:eastAsia="zh-CN"/>
              </w:rPr>
              <w:t>分工、作息管理</w:t>
            </w:r>
            <w:r>
              <w:rPr>
                <w:rFonts w:hint="eastAsia" w:ascii="仿宋" w:hAnsi="仿宋" w:eastAsia="仿宋" w:cs="仿宋"/>
                <w:color w:val="auto"/>
                <w:sz w:val="21"/>
                <w:szCs w:val="21"/>
                <w:lang w:val="zh-CN"/>
              </w:rPr>
              <w:t>的全面性、专业性等以及服务团队综合实力与项目需求的吻合程度进行综合评分</w:t>
            </w:r>
            <w:r>
              <w:rPr>
                <w:rFonts w:hint="eastAsia" w:ascii="仿宋" w:hAnsi="仿宋" w:eastAsia="仿宋" w:cs="仿宋"/>
                <w:color w:val="auto"/>
                <w:sz w:val="21"/>
                <w:szCs w:val="21"/>
                <w:lang w:val="zh-CN" w:eastAsia="zh-CN"/>
              </w:rPr>
              <w:t>。</w:t>
            </w:r>
          </w:p>
          <w:p w14:paraId="02307D00">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eastAsia="zh-CN"/>
              </w:rPr>
              <w:t>（评分设定：5,4,3,2,1,0）</w:t>
            </w:r>
          </w:p>
        </w:tc>
        <w:tc>
          <w:tcPr>
            <w:tcW w:w="903" w:type="dxa"/>
            <w:shd w:val="clear" w:color="auto" w:fill="auto"/>
            <w:noWrap w:val="0"/>
            <w:vAlign w:val="center"/>
          </w:tcPr>
          <w:p w14:paraId="53825D09">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5分</w:t>
            </w:r>
          </w:p>
        </w:tc>
        <w:tc>
          <w:tcPr>
            <w:tcW w:w="947" w:type="dxa"/>
            <w:shd w:val="clear" w:color="auto" w:fill="auto"/>
            <w:noWrap w:val="0"/>
            <w:vAlign w:val="center"/>
          </w:tcPr>
          <w:p w14:paraId="43E12149">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r w14:paraId="211E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22" w:type="dxa"/>
            <w:vMerge w:val="continue"/>
            <w:noWrap w:val="0"/>
            <w:vAlign w:val="center"/>
          </w:tcPr>
          <w:p w14:paraId="266396A3">
            <w:pPr>
              <w:jc w:val="center"/>
              <w:rPr>
                <w:rFonts w:hint="eastAsia" w:ascii="仿宋" w:hAnsi="仿宋" w:eastAsia="仿宋" w:cs="仿宋"/>
                <w:bCs/>
                <w:color w:val="auto"/>
                <w:sz w:val="21"/>
                <w:szCs w:val="21"/>
                <w:highlight w:val="none"/>
                <w:lang w:val="en-US" w:eastAsia="zh-CN"/>
              </w:rPr>
            </w:pPr>
          </w:p>
        </w:tc>
        <w:tc>
          <w:tcPr>
            <w:tcW w:w="622" w:type="dxa"/>
            <w:noWrap w:val="0"/>
            <w:vAlign w:val="center"/>
          </w:tcPr>
          <w:p w14:paraId="2E8C4162">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16</w:t>
            </w:r>
          </w:p>
        </w:tc>
        <w:tc>
          <w:tcPr>
            <w:tcW w:w="6345" w:type="dxa"/>
            <w:noWrap w:val="0"/>
            <w:vAlign w:val="center"/>
          </w:tcPr>
          <w:p w14:paraId="10CBFA42">
            <w:pPr>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交接管理中标后的平稳过度工作，提供完整的工作交接方案。根据提供且符合项目需求情况综合评定。</w:t>
            </w:r>
          </w:p>
          <w:p w14:paraId="5C735D9D">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（评分设定：4,3,2,1,0）</w:t>
            </w:r>
          </w:p>
        </w:tc>
        <w:tc>
          <w:tcPr>
            <w:tcW w:w="903" w:type="dxa"/>
            <w:shd w:val="clear" w:color="auto" w:fill="auto"/>
            <w:noWrap w:val="0"/>
            <w:vAlign w:val="center"/>
          </w:tcPr>
          <w:p w14:paraId="21CD7E3A">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4分</w:t>
            </w:r>
          </w:p>
        </w:tc>
        <w:tc>
          <w:tcPr>
            <w:tcW w:w="947" w:type="dxa"/>
            <w:shd w:val="clear" w:color="auto" w:fill="auto"/>
            <w:noWrap w:val="0"/>
            <w:vAlign w:val="center"/>
          </w:tcPr>
          <w:p w14:paraId="3683A479">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r>
    </w:tbl>
    <w:p w14:paraId="3E12887A">
      <w:pPr>
        <w:pStyle w:val="2"/>
        <w:rPr>
          <w:rFonts w:hint="eastAsia" w:ascii="仿宋" w:hAnsi="仿宋" w:eastAsia="仿宋" w:cs="仿宋"/>
          <w:b w:val="0"/>
          <w:bCs/>
          <w:color w:val="auto"/>
          <w:sz w:val="21"/>
          <w:szCs w:val="21"/>
          <w:highlight w:val="none"/>
        </w:rPr>
      </w:pPr>
    </w:p>
    <w:p w14:paraId="3E0ACFDD">
      <w:pPr>
        <w:spacing w:line="360" w:lineRule="auto"/>
        <w:rPr>
          <w:rFonts w:hint="eastAsia" w:ascii="仿宋" w:hAnsi="仿宋" w:eastAsia="仿宋" w:cs="仿宋"/>
          <w:bCs/>
          <w:color w:val="auto"/>
          <w:sz w:val="21"/>
          <w:szCs w:val="21"/>
          <w:highlight w:val="none"/>
          <w:shd w:val="clear" w:color="auto" w:fill="FFFFFF"/>
        </w:rPr>
      </w:pPr>
      <w:r>
        <w:rPr>
          <w:rFonts w:hint="eastAsia" w:ascii="仿宋" w:hAnsi="仿宋" w:eastAsia="仿宋" w:cs="仿宋"/>
          <w:b w:val="0"/>
          <w:bCs/>
          <w:color w:val="auto"/>
          <w:sz w:val="21"/>
          <w:szCs w:val="21"/>
          <w:highlight w:val="none"/>
        </w:rPr>
        <w:t>2、</w:t>
      </w:r>
      <w:r>
        <w:rPr>
          <w:rFonts w:hint="eastAsia" w:ascii="仿宋" w:hAnsi="仿宋" w:eastAsia="仿宋" w:cs="仿宋"/>
          <w:b w:val="0"/>
          <w:bCs/>
          <w:color w:val="auto"/>
          <w:sz w:val="21"/>
          <w:szCs w:val="21"/>
          <w:highlight w:val="none"/>
          <w:lang w:val="en-US" w:eastAsia="zh-CN"/>
        </w:rPr>
        <w:t>价格</w:t>
      </w:r>
      <w:r>
        <w:rPr>
          <w:rFonts w:hint="eastAsia" w:ascii="仿宋" w:hAnsi="仿宋" w:eastAsia="仿宋" w:cs="仿宋"/>
          <w:b w:val="0"/>
          <w:bCs/>
          <w:color w:val="auto"/>
          <w:sz w:val="21"/>
          <w:szCs w:val="21"/>
          <w:highlight w:val="none"/>
        </w:rPr>
        <w:t>部分（</w:t>
      </w:r>
      <w:r>
        <w:rPr>
          <w:rFonts w:hint="eastAsia" w:ascii="仿宋" w:hAnsi="仿宋" w:eastAsia="仿宋" w:cs="仿宋"/>
          <w:b w:val="0"/>
          <w:bCs/>
          <w:color w:val="auto"/>
          <w:sz w:val="21"/>
          <w:szCs w:val="21"/>
          <w:highlight w:val="none"/>
          <w:lang w:val="en-US" w:eastAsia="zh-CN"/>
        </w:rPr>
        <w:t>2</w:t>
      </w:r>
      <w:r>
        <w:rPr>
          <w:rFonts w:hint="eastAsia" w:ascii="仿宋" w:hAnsi="仿宋" w:eastAsia="仿宋" w:cs="仿宋"/>
          <w:b w:val="0"/>
          <w:bCs/>
          <w:color w:val="auto"/>
          <w:sz w:val="21"/>
          <w:szCs w:val="21"/>
          <w:highlight w:val="none"/>
        </w:rPr>
        <w:t>0分）</w:t>
      </w:r>
    </w:p>
    <w:tbl>
      <w:tblPr>
        <w:tblStyle w:val="63"/>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6483"/>
      </w:tblGrid>
      <w:tr w14:paraId="72EC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56" w:type="dxa"/>
            <w:tcBorders>
              <w:top w:val="single" w:color="auto" w:sz="4" w:space="0"/>
              <w:left w:val="single" w:color="auto" w:sz="4" w:space="0"/>
              <w:bottom w:val="single" w:color="auto" w:sz="4" w:space="0"/>
              <w:right w:val="single" w:color="auto" w:sz="4" w:space="0"/>
            </w:tcBorders>
            <w:noWrap w:val="0"/>
            <w:vAlign w:val="center"/>
          </w:tcPr>
          <w:p w14:paraId="7D4AA2CD">
            <w:pPr>
              <w:autoSpaceDE w:val="0"/>
              <w:autoSpaceDN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价格权值</w:t>
            </w:r>
          </w:p>
        </w:tc>
        <w:tc>
          <w:tcPr>
            <w:tcW w:w="6483" w:type="dxa"/>
            <w:tcBorders>
              <w:top w:val="single" w:color="auto" w:sz="4" w:space="0"/>
              <w:left w:val="single" w:color="auto" w:sz="4" w:space="0"/>
              <w:bottom w:val="single" w:color="auto" w:sz="4" w:space="0"/>
              <w:right w:val="single" w:color="auto" w:sz="4" w:space="0"/>
            </w:tcBorders>
            <w:noWrap w:val="0"/>
            <w:vAlign w:val="center"/>
          </w:tcPr>
          <w:p w14:paraId="506C296F">
            <w:pPr>
              <w:autoSpaceDE w:val="0"/>
              <w:autoSpaceDN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计算方法</w:t>
            </w:r>
          </w:p>
        </w:tc>
      </w:tr>
      <w:tr w14:paraId="7906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56" w:type="dxa"/>
            <w:tcBorders>
              <w:top w:val="single" w:color="auto" w:sz="4" w:space="0"/>
              <w:left w:val="single" w:color="auto" w:sz="4" w:space="0"/>
              <w:bottom w:val="single" w:color="auto" w:sz="4" w:space="0"/>
              <w:right w:val="single" w:color="auto" w:sz="4" w:space="0"/>
            </w:tcBorders>
            <w:noWrap w:val="0"/>
            <w:vAlign w:val="center"/>
          </w:tcPr>
          <w:p w14:paraId="5331E471">
            <w:pPr>
              <w:autoSpaceDE w:val="0"/>
              <w:autoSpaceDN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价格权值=0.</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p>
        </w:tc>
        <w:tc>
          <w:tcPr>
            <w:tcW w:w="6483" w:type="dxa"/>
            <w:tcBorders>
              <w:top w:val="single" w:color="auto" w:sz="4" w:space="0"/>
              <w:left w:val="single" w:color="auto" w:sz="4" w:space="0"/>
              <w:bottom w:val="single" w:color="auto" w:sz="4" w:space="0"/>
              <w:right w:val="single" w:color="auto" w:sz="4" w:space="0"/>
            </w:tcBorders>
            <w:noWrap w:val="0"/>
            <w:vAlign w:val="center"/>
          </w:tcPr>
          <w:p w14:paraId="5B053098">
            <w:pPr>
              <w:autoSpaceDE w:val="0"/>
              <w:autoSpaceDN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最低有效</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价格为评标基准价</w:t>
            </w:r>
          </w:p>
          <w:p w14:paraId="60E24545">
            <w:pPr>
              <w:autoSpaceDE w:val="0"/>
              <w:autoSpaceDN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报价得分=(评标基准价／</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 xml:space="preserve">报价)×价格权值×100 </w:t>
            </w:r>
          </w:p>
          <w:p w14:paraId="666AA172">
            <w:pPr>
              <w:autoSpaceDE w:val="0"/>
              <w:autoSpaceDN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（计算得分保留小数点后2位）</w:t>
            </w:r>
          </w:p>
        </w:tc>
      </w:tr>
    </w:tbl>
    <w:p w14:paraId="05FCDABB">
      <w:pPr>
        <w:spacing w:line="360" w:lineRule="auto"/>
        <w:rPr>
          <w:rFonts w:hint="eastAsia" w:ascii="仿宋" w:hAnsi="仿宋" w:eastAsia="仿宋" w:cs="仿宋"/>
          <w:bCs/>
          <w:color w:val="auto"/>
          <w:sz w:val="21"/>
          <w:szCs w:val="21"/>
          <w:highlight w:val="none"/>
        </w:rPr>
      </w:pPr>
    </w:p>
    <w:bookmarkEnd w:id="439"/>
    <w:bookmarkEnd w:id="440"/>
    <w:bookmarkEnd w:id="441"/>
    <w:p w14:paraId="1062AE24">
      <w:pPr>
        <w:rPr>
          <w:rFonts w:hint="eastAsia" w:ascii="仿宋" w:hAnsi="仿宋" w:eastAsia="仿宋" w:cs="仿宋"/>
          <w:color w:val="auto"/>
          <w:highlight w:val="none"/>
        </w:rPr>
      </w:pPr>
      <w:r>
        <w:rPr>
          <w:rFonts w:hint="eastAsia" w:ascii="仿宋" w:hAnsi="仿宋" w:eastAsia="仿宋" w:cs="仿宋"/>
          <w:color w:val="auto"/>
          <w:sz w:val="21"/>
          <w:szCs w:val="21"/>
          <w:highlight w:val="none"/>
          <w:shd w:val="clear" w:color="auto" w:fill="FFFFFF"/>
        </w:rPr>
        <w:t>*</w:t>
      </w:r>
      <w:r>
        <w:rPr>
          <w:rFonts w:hint="eastAsia" w:ascii="仿宋" w:hAnsi="仿宋" w:eastAsia="仿宋" w:cs="仿宋"/>
          <w:b/>
          <w:color w:val="auto"/>
          <w:sz w:val="21"/>
          <w:szCs w:val="21"/>
          <w:highlight w:val="none"/>
        </w:rPr>
        <w:t>备注：</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编制</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（商务技术文件部分）时，建议按此目录（序号和内容）提供评标标准相应的商务技术资料。</w:t>
      </w:r>
      <w:r>
        <w:rPr>
          <w:rFonts w:hint="eastAsia" w:ascii="仿宋" w:hAnsi="仿宋" w:eastAsia="仿宋" w:cs="仿宋"/>
          <w:color w:val="auto"/>
          <w:sz w:val="21"/>
          <w:szCs w:val="21"/>
          <w:highlight w:val="none"/>
        </w:rPr>
        <w:br w:type="page"/>
      </w:r>
    </w:p>
    <w:p w14:paraId="146471C6">
      <w:pPr>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一、评审方法</w:t>
      </w:r>
    </w:p>
    <w:p w14:paraId="654A17E3">
      <w:pPr>
        <w:adjustRightInd/>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1.本项目采用</w:t>
      </w:r>
      <w:r>
        <w:rPr>
          <w:rFonts w:hint="eastAsia" w:ascii="仿宋" w:hAnsi="仿宋" w:eastAsia="仿宋" w:cs="仿宋"/>
          <w:b/>
          <w:color w:val="auto"/>
          <w:kern w:val="0"/>
          <w:sz w:val="21"/>
          <w:szCs w:val="21"/>
          <w:highlight w:val="none"/>
          <w:lang w:eastAsia="zh-CN"/>
        </w:rPr>
        <w:t>综合评估法</w:t>
      </w:r>
      <w:r>
        <w:rPr>
          <w:rFonts w:hint="eastAsia" w:ascii="仿宋" w:hAnsi="仿宋" w:eastAsia="仿宋" w:cs="仿宋"/>
          <w:b/>
          <w:color w:val="auto"/>
          <w:kern w:val="0"/>
          <w:sz w:val="21"/>
          <w:szCs w:val="21"/>
          <w:highlight w:val="none"/>
        </w:rPr>
        <w:t>。</w:t>
      </w:r>
      <w:r>
        <w:rPr>
          <w:rFonts w:hint="eastAsia" w:ascii="仿宋" w:hAnsi="仿宋" w:eastAsia="仿宋" w:cs="仿宋"/>
          <w:b w:val="0"/>
          <w:bCs/>
          <w:color w:val="auto"/>
          <w:kern w:val="0"/>
          <w:sz w:val="21"/>
          <w:szCs w:val="21"/>
          <w:highlight w:val="none"/>
        </w:rPr>
        <w:t>是指以响应文件最大限度地满足交易文件中规定的各项综合评价标准和最高、最低(如有)控制价要求，并按商务、技术、资信综合得分排名确定成交候选人的评审办法。</w:t>
      </w:r>
      <w:r>
        <w:rPr>
          <w:rFonts w:hint="eastAsia" w:ascii="仿宋" w:hAnsi="仿宋" w:eastAsia="仿宋" w:cs="仿宋"/>
          <w:bCs/>
          <w:color w:val="auto"/>
          <w:kern w:val="0"/>
          <w:sz w:val="21"/>
          <w:szCs w:val="21"/>
          <w:highlight w:val="none"/>
          <w:lang w:eastAsia="zh-CN"/>
        </w:rPr>
        <w:t>综合评估法</w:t>
      </w:r>
      <w:r>
        <w:rPr>
          <w:rFonts w:hint="eastAsia" w:ascii="仿宋" w:hAnsi="仿宋" w:eastAsia="仿宋" w:cs="仿宋"/>
          <w:color w:val="auto"/>
          <w:kern w:val="0"/>
          <w:sz w:val="21"/>
          <w:szCs w:val="21"/>
          <w:highlight w:val="none"/>
          <w:lang w:eastAsia="zh-CN"/>
        </w:rPr>
        <w:t>。</w:t>
      </w:r>
    </w:p>
    <w:p w14:paraId="09807B43">
      <w:pPr>
        <w:adjustRightInd/>
        <w:spacing w:line="360" w:lineRule="auto"/>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二、评审标准</w:t>
      </w:r>
    </w:p>
    <w:p w14:paraId="4A9906BE">
      <w:pPr>
        <w:spacing w:line="360" w:lineRule="auto"/>
        <w:ind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评审标准：</w:t>
      </w:r>
      <w:r>
        <w:rPr>
          <w:rFonts w:hint="eastAsia" w:ascii="仿宋" w:hAnsi="仿宋" w:eastAsia="仿宋" w:cs="仿宋"/>
          <w:color w:val="auto"/>
          <w:kern w:val="0"/>
          <w:sz w:val="21"/>
          <w:szCs w:val="21"/>
          <w:highlight w:val="none"/>
        </w:rPr>
        <w:t>见评审办法前附表。</w:t>
      </w:r>
    </w:p>
    <w:p w14:paraId="58E986C9">
      <w:pPr>
        <w:adjustRightInd/>
        <w:spacing w:line="360" w:lineRule="auto"/>
        <w:rPr>
          <w:rFonts w:hint="eastAsia" w:ascii="仿宋" w:hAnsi="仿宋" w:eastAsia="仿宋" w:cs="仿宋"/>
          <w:b/>
          <w:color w:val="auto"/>
          <w:sz w:val="21"/>
          <w:szCs w:val="21"/>
          <w:highlight w:val="none"/>
        </w:rPr>
      </w:pPr>
      <w:bookmarkStart w:id="442" w:name="_Toc8674"/>
      <w:r>
        <w:rPr>
          <w:rFonts w:hint="eastAsia" w:ascii="仿宋" w:hAnsi="仿宋" w:eastAsia="仿宋" w:cs="仿宋"/>
          <w:b/>
          <w:color w:val="auto"/>
          <w:sz w:val="21"/>
          <w:szCs w:val="21"/>
          <w:highlight w:val="none"/>
        </w:rPr>
        <w:t>三、评审程序</w:t>
      </w:r>
      <w:bookmarkEnd w:id="442"/>
    </w:p>
    <w:p w14:paraId="15E41677">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3.1符合性审查。</w:t>
      </w:r>
      <w:r>
        <w:rPr>
          <w:rFonts w:hint="eastAsia" w:ascii="仿宋" w:hAnsi="仿宋" w:eastAsia="仿宋" w:cs="仿宋"/>
          <w:color w:val="auto"/>
          <w:kern w:val="0"/>
          <w:sz w:val="21"/>
          <w:szCs w:val="21"/>
          <w:highlight w:val="none"/>
        </w:rPr>
        <w:t>评审委员会应当对符合资格的供应商的响应文件进行符合性审查，以确定其是否满足</w:t>
      </w:r>
      <w:r>
        <w:rPr>
          <w:rFonts w:hint="eastAsia" w:ascii="仿宋" w:hAnsi="仿宋" w:eastAsia="仿宋" w:cs="仿宋"/>
          <w:color w:val="auto"/>
          <w:kern w:val="0"/>
          <w:sz w:val="21"/>
          <w:szCs w:val="21"/>
          <w:highlight w:val="none"/>
          <w:lang w:eastAsia="zh-CN"/>
        </w:rPr>
        <w:t>交易文件</w:t>
      </w:r>
      <w:r>
        <w:rPr>
          <w:rFonts w:hint="eastAsia" w:ascii="仿宋" w:hAnsi="仿宋" w:eastAsia="仿宋" w:cs="仿宋"/>
          <w:color w:val="auto"/>
          <w:kern w:val="0"/>
          <w:sz w:val="21"/>
          <w:szCs w:val="21"/>
          <w:highlight w:val="none"/>
        </w:rPr>
        <w:t>的实质性要求。不满足</w:t>
      </w:r>
      <w:r>
        <w:rPr>
          <w:rFonts w:hint="eastAsia" w:ascii="仿宋" w:hAnsi="仿宋" w:eastAsia="仿宋" w:cs="仿宋"/>
          <w:color w:val="auto"/>
          <w:kern w:val="0"/>
          <w:sz w:val="21"/>
          <w:szCs w:val="21"/>
          <w:highlight w:val="none"/>
          <w:lang w:eastAsia="zh-CN"/>
        </w:rPr>
        <w:t>交易文件</w:t>
      </w:r>
      <w:r>
        <w:rPr>
          <w:rFonts w:hint="eastAsia" w:ascii="仿宋" w:hAnsi="仿宋" w:eastAsia="仿宋" w:cs="仿宋"/>
          <w:color w:val="auto"/>
          <w:kern w:val="0"/>
          <w:sz w:val="21"/>
          <w:szCs w:val="21"/>
          <w:highlight w:val="none"/>
        </w:rPr>
        <w:t>的实质性要求的，响应无效。</w:t>
      </w:r>
    </w:p>
    <w:p w14:paraId="6B26E85A">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3.2 比较与评价。</w:t>
      </w:r>
      <w:r>
        <w:rPr>
          <w:rFonts w:hint="eastAsia" w:ascii="仿宋" w:hAnsi="仿宋" w:eastAsia="仿宋" w:cs="仿宋"/>
          <w:color w:val="auto"/>
          <w:kern w:val="0"/>
          <w:sz w:val="21"/>
          <w:szCs w:val="21"/>
          <w:highlight w:val="none"/>
        </w:rPr>
        <w:t>评审委员会应当按照</w:t>
      </w:r>
      <w:r>
        <w:rPr>
          <w:rFonts w:hint="eastAsia" w:ascii="仿宋" w:hAnsi="仿宋" w:eastAsia="仿宋" w:cs="仿宋"/>
          <w:color w:val="auto"/>
          <w:kern w:val="0"/>
          <w:sz w:val="21"/>
          <w:szCs w:val="21"/>
          <w:highlight w:val="none"/>
          <w:lang w:eastAsia="zh-CN"/>
        </w:rPr>
        <w:t>交易文件</w:t>
      </w:r>
      <w:r>
        <w:rPr>
          <w:rFonts w:hint="eastAsia" w:ascii="仿宋" w:hAnsi="仿宋" w:eastAsia="仿宋" w:cs="仿宋"/>
          <w:color w:val="auto"/>
          <w:kern w:val="0"/>
          <w:sz w:val="21"/>
          <w:szCs w:val="21"/>
          <w:highlight w:val="none"/>
        </w:rPr>
        <w:t>中规定的评审方法和标准，对符合性审查合格的响应文件进行商务和技术评估，综合比较与评价。</w:t>
      </w:r>
    </w:p>
    <w:p w14:paraId="1518DE98">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3.3汇总商务技术得分。</w:t>
      </w:r>
      <w:r>
        <w:rPr>
          <w:rFonts w:hint="eastAsia" w:ascii="仿宋" w:hAnsi="仿宋" w:eastAsia="仿宋" w:cs="仿宋"/>
          <w:color w:val="auto"/>
          <w:kern w:val="0"/>
          <w:sz w:val="21"/>
          <w:szCs w:val="21"/>
          <w:highlight w:val="none"/>
        </w:rPr>
        <w:t>评审委员会各成员应当独立对每个供应商的商务和技术文件进行评价，并汇总商务技术得分情况。</w:t>
      </w:r>
    </w:p>
    <w:p w14:paraId="4A17C302">
      <w:pPr>
        <w:spacing w:line="360" w:lineRule="auto"/>
        <w:ind w:firstLine="413" w:firstLineChars="196"/>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3.4报价评审。</w:t>
      </w:r>
    </w:p>
    <w:p w14:paraId="12BC483F">
      <w:pPr>
        <w:pStyle w:val="163"/>
        <w:spacing w:before="0" w:line="360" w:lineRule="auto"/>
        <w:ind w:firstLine="445" w:firstLineChars="21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3.4.1响应文件报价出现前后不一致的，按照下列规定修正：</w:t>
      </w:r>
    </w:p>
    <w:p w14:paraId="32B7021C">
      <w:pPr>
        <w:pStyle w:val="163"/>
        <w:spacing w:before="0"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3.4.1.1响应文件中</w:t>
      </w:r>
      <w:r>
        <w:rPr>
          <w:rFonts w:hint="eastAsia" w:ascii="仿宋" w:hAnsi="仿宋" w:eastAsia="仿宋" w:cs="仿宋"/>
          <w:color w:val="auto"/>
          <w:kern w:val="0"/>
          <w:sz w:val="21"/>
          <w:szCs w:val="21"/>
          <w:highlight w:val="none"/>
          <w:lang w:eastAsia="zh-CN"/>
        </w:rPr>
        <w:t>交易一览表(报价表)</w:t>
      </w:r>
      <w:r>
        <w:rPr>
          <w:rFonts w:hint="eastAsia" w:ascii="仿宋" w:hAnsi="仿宋" w:eastAsia="仿宋" w:cs="仿宋"/>
          <w:color w:val="auto"/>
          <w:kern w:val="0"/>
          <w:sz w:val="21"/>
          <w:szCs w:val="21"/>
          <w:highlight w:val="none"/>
        </w:rPr>
        <w:t>内容与响应文件中相应内容不一致的，以</w:t>
      </w:r>
      <w:r>
        <w:rPr>
          <w:rFonts w:hint="eastAsia" w:ascii="仿宋" w:hAnsi="仿宋" w:eastAsia="仿宋" w:cs="仿宋"/>
          <w:color w:val="auto"/>
          <w:kern w:val="0"/>
          <w:sz w:val="21"/>
          <w:szCs w:val="21"/>
          <w:highlight w:val="none"/>
          <w:lang w:eastAsia="zh-CN"/>
        </w:rPr>
        <w:t>交易一览表(报价表)</w:t>
      </w:r>
      <w:r>
        <w:rPr>
          <w:rFonts w:hint="eastAsia" w:ascii="仿宋" w:hAnsi="仿宋" w:eastAsia="仿宋" w:cs="仿宋"/>
          <w:color w:val="auto"/>
          <w:kern w:val="0"/>
          <w:sz w:val="21"/>
          <w:szCs w:val="21"/>
          <w:highlight w:val="none"/>
        </w:rPr>
        <w:t>为准;</w:t>
      </w:r>
    </w:p>
    <w:p w14:paraId="14911D7D">
      <w:pPr>
        <w:pStyle w:val="163"/>
        <w:spacing w:before="0"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3.4.1.2大写金额和小写金额不一致的，以大写金额为准;</w:t>
      </w:r>
    </w:p>
    <w:p w14:paraId="2D308EC0">
      <w:pPr>
        <w:pStyle w:val="163"/>
        <w:spacing w:before="0"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3.4.1.3单价金额小数点或者百分比有明显错位的，以</w:t>
      </w:r>
      <w:r>
        <w:rPr>
          <w:rFonts w:hint="eastAsia" w:ascii="仿宋" w:hAnsi="仿宋" w:eastAsia="仿宋" w:cs="仿宋"/>
          <w:color w:val="auto"/>
          <w:kern w:val="0"/>
          <w:sz w:val="21"/>
          <w:szCs w:val="21"/>
          <w:highlight w:val="none"/>
          <w:lang w:eastAsia="zh-CN"/>
        </w:rPr>
        <w:t>交易一览表（报价表）</w:t>
      </w:r>
      <w:r>
        <w:rPr>
          <w:rFonts w:hint="eastAsia" w:ascii="仿宋" w:hAnsi="仿宋" w:eastAsia="仿宋" w:cs="仿宋"/>
          <w:color w:val="auto"/>
          <w:kern w:val="0"/>
          <w:sz w:val="21"/>
          <w:szCs w:val="21"/>
          <w:highlight w:val="none"/>
        </w:rPr>
        <w:t>的总价为准，并修改单价;</w:t>
      </w:r>
    </w:p>
    <w:p w14:paraId="72FF0C76">
      <w:pPr>
        <w:pStyle w:val="163"/>
        <w:spacing w:before="0"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3.4.1.4总价金额与按单价汇总金额不一致的，以单价金额计算结果为准。</w:t>
      </w:r>
    </w:p>
    <w:p w14:paraId="04933F10">
      <w:pPr>
        <w:pStyle w:val="163"/>
        <w:spacing w:before="0"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3.4.1.5同时出现两种以上不一致的，按照3.4.1规定的顺序修正。</w:t>
      </w:r>
    </w:p>
    <w:p w14:paraId="606C03F9">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3.4.2响应文件出现不是唯一的、有选择性响应报价的，响应无效。</w:t>
      </w:r>
    </w:p>
    <w:p w14:paraId="7DB0F07C">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3.4.3响应报价超过</w:t>
      </w:r>
      <w:r>
        <w:rPr>
          <w:rFonts w:hint="eastAsia" w:ascii="仿宋" w:hAnsi="仿宋" w:eastAsia="仿宋" w:cs="仿宋"/>
          <w:color w:val="auto"/>
          <w:kern w:val="0"/>
          <w:sz w:val="21"/>
          <w:szCs w:val="21"/>
          <w:highlight w:val="none"/>
          <w:lang w:eastAsia="zh-CN"/>
        </w:rPr>
        <w:t>交易文件</w:t>
      </w:r>
      <w:r>
        <w:rPr>
          <w:rFonts w:hint="eastAsia" w:ascii="仿宋" w:hAnsi="仿宋" w:eastAsia="仿宋" w:cs="仿宋"/>
          <w:color w:val="auto"/>
          <w:kern w:val="0"/>
          <w:sz w:val="21"/>
          <w:szCs w:val="21"/>
          <w:highlight w:val="none"/>
        </w:rPr>
        <w:t>中规定的预算金额或者最高限价的，响应无效。</w:t>
      </w:r>
    </w:p>
    <w:p w14:paraId="40D32A9F">
      <w:pPr>
        <w:pStyle w:val="163"/>
        <w:spacing w:before="0"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14:paraId="21CB1375">
      <w:pPr>
        <w:spacing w:line="360"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3.5排序与推荐。</w:t>
      </w:r>
      <w:r>
        <w:rPr>
          <w:rFonts w:hint="eastAsia" w:ascii="仿宋" w:hAnsi="仿宋" w:eastAsia="仿宋" w:cs="仿宋"/>
          <w:color w:val="auto"/>
          <w:kern w:val="0"/>
          <w:sz w:val="21"/>
          <w:szCs w:val="21"/>
          <w:highlight w:val="none"/>
        </w:rPr>
        <w:t>采用</w:t>
      </w:r>
      <w:r>
        <w:rPr>
          <w:rFonts w:hint="eastAsia" w:ascii="仿宋" w:hAnsi="仿宋" w:eastAsia="仿宋" w:cs="仿宋"/>
          <w:color w:val="auto"/>
          <w:kern w:val="0"/>
          <w:sz w:val="21"/>
          <w:szCs w:val="21"/>
          <w:highlight w:val="none"/>
          <w:lang w:eastAsia="zh-CN"/>
        </w:rPr>
        <w:t>综合评估法</w:t>
      </w:r>
      <w:r>
        <w:rPr>
          <w:rFonts w:hint="eastAsia" w:ascii="仿宋" w:hAnsi="仿宋" w:eastAsia="仿宋" w:cs="仿宋"/>
          <w:color w:val="auto"/>
          <w:kern w:val="0"/>
          <w:sz w:val="21"/>
          <w:szCs w:val="21"/>
          <w:highlight w:val="none"/>
        </w:rPr>
        <w:t>的，评审结果按评审后得分由高到低顺序排列。得分相同的，按响应报价由低到高顺序排列。得分且响应报价相同的并列。响应文件满足</w:t>
      </w:r>
      <w:r>
        <w:rPr>
          <w:rFonts w:hint="eastAsia" w:ascii="仿宋" w:hAnsi="仿宋" w:eastAsia="仿宋" w:cs="仿宋"/>
          <w:color w:val="auto"/>
          <w:kern w:val="0"/>
          <w:sz w:val="21"/>
          <w:szCs w:val="21"/>
          <w:highlight w:val="none"/>
          <w:lang w:eastAsia="zh-CN"/>
        </w:rPr>
        <w:t>交易文件</w:t>
      </w:r>
      <w:r>
        <w:rPr>
          <w:rFonts w:hint="eastAsia" w:ascii="仿宋" w:hAnsi="仿宋" w:eastAsia="仿宋" w:cs="仿宋"/>
          <w:color w:val="auto"/>
          <w:kern w:val="0"/>
          <w:sz w:val="21"/>
          <w:szCs w:val="21"/>
          <w:highlight w:val="none"/>
        </w:rPr>
        <w:t>全部实质性要求，且按照评审因素的量化指标评审得分最高的供应商为排名第一的</w:t>
      </w:r>
      <w:r>
        <w:rPr>
          <w:rFonts w:hint="eastAsia" w:ascii="仿宋" w:hAnsi="仿宋" w:eastAsia="仿宋" w:cs="仿宋"/>
          <w:color w:val="auto"/>
          <w:kern w:val="0"/>
          <w:sz w:val="21"/>
          <w:szCs w:val="21"/>
          <w:highlight w:val="none"/>
          <w:lang w:eastAsia="zh-CN"/>
        </w:rPr>
        <w:t>成交候选人</w:t>
      </w:r>
      <w:r>
        <w:rPr>
          <w:rFonts w:hint="eastAsia" w:ascii="仿宋" w:hAnsi="仿宋" w:eastAsia="仿宋" w:cs="仿宋"/>
          <w:color w:val="auto"/>
          <w:kern w:val="0"/>
          <w:sz w:val="21"/>
          <w:szCs w:val="21"/>
          <w:highlight w:val="none"/>
        </w:rPr>
        <w:t>。</w:t>
      </w:r>
    </w:p>
    <w:p w14:paraId="1C4AE347">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3.6编写评审报告。</w:t>
      </w:r>
      <w:r>
        <w:rPr>
          <w:rFonts w:hint="eastAsia" w:ascii="仿宋" w:hAnsi="仿宋" w:eastAsia="仿宋" w:cs="仿宋"/>
          <w:color w:val="auto"/>
          <w:kern w:val="0"/>
          <w:sz w:val="21"/>
          <w:szCs w:val="21"/>
          <w:highlight w:val="none"/>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640C657E">
      <w:pPr>
        <w:widowControl/>
        <w:shd w:val="clear"/>
        <w:adjustRightInd/>
        <w:spacing w:after="0" w:line="24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49A4808D">
      <w:pPr>
        <w:widowControl/>
        <w:shd w:val="clear" w:color="auto" w:fill="FFFFFF"/>
        <w:adjustRightInd/>
        <w:spacing w:after="225"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四、评审中的其他事项</w:t>
      </w:r>
    </w:p>
    <w:p w14:paraId="3757202E">
      <w:pPr>
        <w:pStyle w:val="163"/>
        <w:spacing w:before="0"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4.1供应商澄清、说明或者补正。</w:t>
      </w:r>
      <w:r>
        <w:rPr>
          <w:rFonts w:hint="eastAsia" w:ascii="仿宋" w:hAnsi="仿宋" w:eastAsia="仿宋" w:cs="仿宋"/>
          <w:color w:val="auto"/>
          <w:kern w:val="0"/>
          <w:sz w:val="21"/>
          <w:szCs w:val="21"/>
          <w:highlight w:val="none"/>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E499197">
      <w:pPr>
        <w:pStyle w:val="25"/>
        <w:spacing w:line="360" w:lineRule="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4.2响应无效。</w:t>
      </w:r>
      <w:r>
        <w:rPr>
          <w:rFonts w:hint="eastAsia" w:ascii="仿宋" w:hAnsi="仿宋" w:eastAsia="仿宋" w:cs="仿宋"/>
          <w:color w:val="auto"/>
          <w:sz w:val="21"/>
          <w:szCs w:val="21"/>
          <w:highlight w:val="none"/>
        </w:rPr>
        <w:t>有下列情形之一的，响应无效：</w:t>
      </w:r>
    </w:p>
    <w:p w14:paraId="69859BAF">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4.2.1供应商不具备</w:t>
      </w:r>
      <w:r>
        <w:rPr>
          <w:rFonts w:hint="eastAsia" w:ascii="仿宋" w:hAnsi="仿宋" w:eastAsia="仿宋" w:cs="仿宋"/>
          <w:color w:val="auto"/>
          <w:kern w:val="0"/>
          <w:sz w:val="21"/>
          <w:szCs w:val="21"/>
          <w:highlight w:val="none"/>
          <w:lang w:eastAsia="zh-CN"/>
        </w:rPr>
        <w:t>交易文件</w:t>
      </w:r>
      <w:r>
        <w:rPr>
          <w:rFonts w:hint="eastAsia" w:ascii="仿宋" w:hAnsi="仿宋" w:eastAsia="仿宋" w:cs="仿宋"/>
          <w:color w:val="auto"/>
          <w:kern w:val="0"/>
          <w:sz w:val="21"/>
          <w:szCs w:val="21"/>
          <w:highlight w:val="none"/>
        </w:rPr>
        <w:t>中规定的资格要求的（供应商未提供有效的资格文件的，视为供应商不具备</w:t>
      </w:r>
      <w:r>
        <w:rPr>
          <w:rFonts w:hint="eastAsia" w:ascii="仿宋" w:hAnsi="仿宋" w:eastAsia="仿宋" w:cs="仿宋"/>
          <w:color w:val="auto"/>
          <w:kern w:val="0"/>
          <w:sz w:val="21"/>
          <w:szCs w:val="21"/>
          <w:highlight w:val="none"/>
          <w:lang w:eastAsia="zh-CN"/>
        </w:rPr>
        <w:t>交易文件</w:t>
      </w:r>
      <w:r>
        <w:rPr>
          <w:rFonts w:hint="eastAsia" w:ascii="仿宋" w:hAnsi="仿宋" w:eastAsia="仿宋" w:cs="仿宋"/>
          <w:color w:val="auto"/>
          <w:kern w:val="0"/>
          <w:sz w:val="21"/>
          <w:szCs w:val="21"/>
          <w:highlight w:val="none"/>
        </w:rPr>
        <w:t>中规定的资格要求）；</w:t>
      </w:r>
    </w:p>
    <w:p w14:paraId="2199DC74">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4.2.2响应文件未按照</w:t>
      </w:r>
      <w:r>
        <w:rPr>
          <w:rFonts w:hint="eastAsia" w:ascii="仿宋" w:hAnsi="仿宋" w:eastAsia="仿宋" w:cs="仿宋"/>
          <w:color w:val="auto"/>
          <w:kern w:val="0"/>
          <w:sz w:val="21"/>
          <w:szCs w:val="21"/>
          <w:highlight w:val="none"/>
          <w:lang w:eastAsia="zh-CN"/>
        </w:rPr>
        <w:t>交易文件</w:t>
      </w:r>
      <w:r>
        <w:rPr>
          <w:rFonts w:hint="eastAsia" w:ascii="仿宋" w:hAnsi="仿宋" w:eastAsia="仿宋" w:cs="仿宋"/>
          <w:color w:val="auto"/>
          <w:kern w:val="0"/>
          <w:sz w:val="21"/>
          <w:szCs w:val="21"/>
          <w:highlight w:val="none"/>
        </w:rPr>
        <w:t>要求签署、盖章的；</w:t>
      </w:r>
    </w:p>
    <w:p w14:paraId="2BBE013A">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4.2.3响应文件含有</w:t>
      </w:r>
      <w:r>
        <w:rPr>
          <w:rFonts w:hint="eastAsia" w:ascii="仿宋" w:hAnsi="仿宋" w:eastAsia="仿宋" w:cs="仿宋"/>
          <w:color w:val="auto"/>
          <w:kern w:val="0"/>
          <w:sz w:val="21"/>
          <w:szCs w:val="21"/>
          <w:highlight w:val="none"/>
          <w:lang w:eastAsia="zh-CN"/>
        </w:rPr>
        <w:t>交易发起人</w:t>
      </w:r>
      <w:r>
        <w:rPr>
          <w:rFonts w:hint="eastAsia" w:ascii="仿宋" w:hAnsi="仿宋" w:eastAsia="仿宋" w:cs="仿宋"/>
          <w:color w:val="auto"/>
          <w:kern w:val="0"/>
          <w:sz w:val="21"/>
          <w:szCs w:val="21"/>
          <w:highlight w:val="none"/>
        </w:rPr>
        <w:t>不能接受的附加条件的；</w:t>
      </w:r>
    </w:p>
    <w:p w14:paraId="7B087AE8">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4.2.4响应文件中承诺的响应有效期少于</w:t>
      </w:r>
      <w:r>
        <w:rPr>
          <w:rFonts w:hint="eastAsia" w:ascii="仿宋" w:hAnsi="仿宋" w:eastAsia="仿宋" w:cs="仿宋"/>
          <w:color w:val="auto"/>
          <w:kern w:val="0"/>
          <w:sz w:val="21"/>
          <w:szCs w:val="21"/>
          <w:highlight w:val="none"/>
          <w:lang w:eastAsia="zh-CN"/>
        </w:rPr>
        <w:t>交易文件</w:t>
      </w:r>
      <w:r>
        <w:rPr>
          <w:rFonts w:hint="eastAsia" w:ascii="仿宋" w:hAnsi="仿宋" w:eastAsia="仿宋" w:cs="仿宋"/>
          <w:color w:val="auto"/>
          <w:kern w:val="0"/>
          <w:sz w:val="21"/>
          <w:szCs w:val="21"/>
          <w:highlight w:val="none"/>
        </w:rPr>
        <w:t>中载明的响应有效期的；</w:t>
      </w:r>
    </w:p>
    <w:p w14:paraId="35720340">
      <w:pPr>
        <w:snapToGrid w:val="0"/>
        <w:spacing w:line="360" w:lineRule="auto"/>
        <w:ind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4.2.5响应文件出现不是唯一的、有选择性响应报价的;</w:t>
      </w:r>
    </w:p>
    <w:p w14:paraId="33ED083F">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4.2.6响应报价超过</w:t>
      </w:r>
      <w:r>
        <w:rPr>
          <w:rFonts w:hint="eastAsia" w:ascii="仿宋" w:hAnsi="仿宋" w:eastAsia="仿宋" w:cs="仿宋"/>
          <w:color w:val="auto"/>
          <w:kern w:val="0"/>
          <w:sz w:val="21"/>
          <w:szCs w:val="21"/>
          <w:highlight w:val="none"/>
          <w:lang w:eastAsia="zh-CN"/>
        </w:rPr>
        <w:t>交易文件</w:t>
      </w:r>
      <w:r>
        <w:rPr>
          <w:rFonts w:hint="eastAsia" w:ascii="仿宋" w:hAnsi="仿宋" w:eastAsia="仿宋" w:cs="仿宋"/>
          <w:color w:val="auto"/>
          <w:kern w:val="0"/>
          <w:sz w:val="21"/>
          <w:szCs w:val="21"/>
          <w:highlight w:val="none"/>
        </w:rPr>
        <w:t>中规定的预算金额或者最高限价的;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报价低于项目预算50%，未在报价文件中详细阐述不影响产品质量或者诚信履约的具体原因的；</w:t>
      </w:r>
    </w:p>
    <w:p w14:paraId="47663EB6">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4.2.7报价明显低于其他通过符合性审查供应商的报价，有可能影响产品质量或者不能诚信履约的，未能按要求提供书面说明或者提交相关证明材料，不能证明其报价合理性的;</w:t>
      </w:r>
    </w:p>
    <w:p w14:paraId="2D15911E">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4.2.8供应商对根据修正原则修正后的报价不确认的；</w:t>
      </w:r>
    </w:p>
    <w:p w14:paraId="0439C64D">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4.2.9供应商提供虚假材料响应的；</w:t>
      </w:r>
    </w:p>
    <w:p w14:paraId="73011195">
      <w:pPr>
        <w:spacing w:line="360" w:lineRule="auto"/>
        <w:ind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4.2.10供应商有恶意串通、妨碍其他供应商的竞争行为、损害</w:t>
      </w:r>
      <w:r>
        <w:rPr>
          <w:rFonts w:hint="eastAsia" w:ascii="仿宋" w:hAnsi="仿宋" w:eastAsia="仿宋" w:cs="仿宋"/>
          <w:color w:val="auto"/>
          <w:kern w:val="0"/>
          <w:sz w:val="21"/>
          <w:szCs w:val="21"/>
          <w:highlight w:val="none"/>
          <w:lang w:eastAsia="zh-CN"/>
        </w:rPr>
        <w:t>交易发起人</w:t>
      </w:r>
      <w:r>
        <w:rPr>
          <w:rFonts w:hint="eastAsia" w:ascii="仿宋" w:hAnsi="仿宋" w:eastAsia="仿宋" w:cs="仿宋"/>
          <w:color w:val="auto"/>
          <w:kern w:val="0"/>
          <w:sz w:val="21"/>
          <w:szCs w:val="21"/>
          <w:highlight w:val="none"/>
        </w:rPr>
        <w:t>或者其他供应商的合法权益情形的；</w:t>
      </w:r>
    </w:p>
    <w:p w14:paraId="13CB9654">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4.2.12供应商未在电子交易平台传输递交响应文件的，响应无效；</w:t>
      </w:r>
    </w:p>
    <w:p w14:paraId="19122C1B">
      <w:pPr>
        <w:spacing w:line="360" w:lineRule="auto"/>
        <w:ind w:firstLine="420" w:firstLineChars="200"/>
        <w:rPr>
          <w:rFonts w:hint="eastAsia" w:ascii="仿宋" w:hAnsi="仿宋" w:eastAsia="仿宋" w:cs="仿宋"/>
          <w:color w:val="auto"/>
          <w:kern w:val="0"/>
          <w:sz w:val="21"/>
          <w:szCs w:val="21"/>
          <w:highlight w:val="none"/>
        </w:rPr>
      </w:pPr>
      <w:bookmarkStart w:id="443" w:name="_Toc17410"/>
      <w:r>
        <w:rPr>
          <w:rFonts w:hint="eastAsia" w:ascii="仿宋" w:hAnsi="仿宋" w:eastAsia="仿宋" w:cs="仿宋"/>
          <w:color w:val="auto"/>
          <w:kern w:val="0"/>
          <w:sz w:val="21"/>
          <w:szCs w:val="21"/>
          <w:highlight w:val="none"/>
        </w:rPr>
        <w:t xml:space="preserve">4.2.13 </w:t>
      </w:r>
      <w:r>
        <w:rPr>
          <w:rFonts w:hint="eastAsia" w:ascii="仿宋" w:hAnsi="仿宋" w:eastAsia="仿宋" w:cs="仿宋"/>
          <w:color w:val="auto"/>
          <w:kern w:val="0"/>
          <w:sz w:val="21"/>
          <w:szCs w:val="21"/>
          <w:highlight w:val="none"/>
          <w:lang w:val="en-US" w:eastAsia="zh-CN"/>
        </w:rPr>
        <w:t>参与同一个采购包（标段）的供应商存在下列情形之一且无法合理解释的，其响应文件无效：（1）不同供应商的电子响应文件上传计算机的网卡MAC地址或硬盘序列号等硬件信息相同的；（2）上传的电子响应文件若出现使用本项目其他响应供应商的数字证书加密的，或者加盖本项目其他响应供应商的电子印章的；（3）不同供应商的响应文件的内容存在3处（含）以上错误一致的；（4）不同供应商联系人为同一人或不同联系人的联系电话一致的。</w:t>
      </w:r>
    </w:p>
    <w:p w14:paraId="561021E8">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4.2.14</w:t>
      </w:r>
      <w:r>
        <w:rPr>
          <w:rFonts w:hint="eastAsia" w:ascii="仿宋" w:hAnsi="仿宋" w:eastAsia="仿宋" w:cs="仿宋"/>
          <w:color w:val="auto"/>
          <w:kern w:val="0"/>
          <w:sz w:val="21"/>
          <w:szCs w:val="21"/>
          <w:highlight w:val="none"/>
        </w:rPr>
        <w:t>响应文件不满足</w:t>
      </w:r>
      <w:r>
        <w:rPr>
          <w:rFonts w:hint="eastAsia" w:ascii="仿宋" w:hAnsi="仿宋" w:eastAsia="仿宋" w:cs="仿宋"/>
          <w:color w:val="auto"/>
          <w:kern w:val="0"/>
          <w:sz w:val="21"/>
          <w:szCs w:val="21"/>
          <w:highlight w:val="none"/>
          <w:lang w:eastAsia="zh-CN"/>
        </w:rPr>
        <w:t>交易文件</w:t>
      </w:r>
      <w:r>
        <w:rPr>
          <w:rFonts w:hint="eastAsia" w:ascii="仿宋" w:hAnsi="仿宋" w:eastAsia="仿宋" w:cs="仿宋"/>
          <w:color w:val="auto"/>
          <w:kern w:val="0"/>
          <w:sz w:val="21"/>
          <w:szCs w:val="21"/>
          <w:highlight w:val="none"/>
        </w:rPr>
        <w:t>的其它实质性要求的；</w:t>
      </w:r>
      <w:bookmarkEnd w:id="443"/>
    </w:p>
    <w:p w14:paraId="0F954AB5">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法律、法规、规章（适用本市的）及省级以上规范性文件（适用本市的）规定的其他无效情形。</w:t>
      </w:r>
    </w:p>
    <w:p w14:paraId="395D9561">
      <w:pPr>
        <w:pStyle w:val="25"/>
        <w:snapToGrid w:val="0"/>
        <w:spacing w:line="360" w:lineRule="auto"/>
        <w:ind w:firstLine="413" w:firstLineChars="196"/>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5.废标。</w:t>
      </w:r>
      <w:r>
        <w:rPr>
          <w:rFonts w:hint="eastAsia" w:ascii="仿宋" w:hAnsi="仿宋" w:eastAsia="仿宋" w:cs="仿宋"/>
          <w:color w:val="auto"/>
          <w:sz w:val="21"/>
          <w:szCs w:val="21"/>
          <w:highlight w:val="none"/>
        </w:rPr>
        <w:t>根据《中华人民共和国政府采购法》第三十六条之规定，在采购中，出现下列情形之一的，应予废标：</w:t>
      </w:r>
    </w:p>
    <w:p w14:paraId="2C6EBBD0">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5.1符合专业条件的供应商或者对</w:t>
      </w:r>
      <w:r>
        <w:rPr>
          <w:rFonts w:hint="eastAsia" w:ascii="仿宋" w:hAnsi="仿宋" w:eastAsia="仿宋" w:cs="仿宋"/>
          <w:color w:val="auto"/>
          <w:sz w:val="21"/>
          <w:szCs w:val="21"/>
          <w:highlight w:val="none"/>
          <w:lang w:eastAsia="zh-CN"/>
        </w:rPr>
        <w:t>交易文件</w:t>
      </w:r>
      <w:r>
        <w:rPr>
          <w:rFonts w:hint="eastAsia" w:ascii="仿宋" w:hAnsi="仿宋" w:eastAsia="仿宋" w:cs="仿宋"/>
          <w:color w:val="auto"/>
          <w:sz w:val="21"/>
          <w:szCs w:val="21"/>
          <w:highlight w:val="none"/>
        </w:rPr>
        <w:t>作实质响应的供应商不足3家的；</w:t>
      </w:r>
    </w:p>
    <w:p w14:paraId="6DD9291F">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5.2出现影响采购公正的违法、违规行为的；</w:t>
      </w:r>
    </w:p>
    <w:p w14:paraId="2A88E875">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5.3供应商的报价均超过了采购预算，</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不能支付的；</w:t>
      </w:r>
    </w:p>
    <w:p w14:paraId="41476375">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5.4因重大变故，采购任务取消的。</w:t>
      </w:r>
    </w:p>
    <w:p w14:paraId="508DE5FB">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废标后，</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应当将废标理由通知所有供应商。</w:t>
      </w:r>
    </w:p>
    <w:p w14:paraId="4F07D265">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6.修改</w:t>
      </w:r>
      <w:r>
        <w:rPr>
          <w:rFonts w:hint="eastAsia" w:ascii="仿宋" w:hAnsi="仿宋" w:eastAsia="仿宋" w:cs="仿宋"/>
          <w:b/>
          <w:color w:val="auto"/>
          <w:sz w:val="21"/>
          <w:szCs w:val="21"/>
          <w:highlight w:val="none"/>
          <w:lang w:eastAsia="zh-CN"/>
        </w:rPr>
        <w:t>交易文件</w:t>
      </w:r>
      <w:r>
        <w:rPr>
          <w:rFonts w:hint="eastAsia" w:ascii="仿宋" w:hAnsi="仿宋" w:eastAsia="仿宋" w:cs="仿宋"/>
          <w:b/>
          <w:color w:val="auto"/>
          <w:sz w:val="21"/>
          <w:szCs w:val="21"/>
          <w:highlight w:val="none"/>
        </w:rPr>
        <w:t>，重新组织采购活动。</w:t>
      </w:r>
      <w:r>
        <w:rPr>
          <w:rFonts w:hint="eastAsia" w:ascii="仿宋" w:hAnsi="仿宋" w:eastAsia="仿宋" w:cs="仿宋"/>
          <w:color w:val="auto"/>
          <w:sz w:val="21"/>
          <w:szCs w:val="21"/>
          <w:highlight w:val="none"/>
        </w:rPr>
        <w:t>评审委员会发现</w:t>
      </w:r>
      <w:r>
        <w:rPr>
          <w:rFonts w:hint="eastAsia" w:ascii="仿宋" w:hAnsi="仿宋" w:eastAsia="仿宋" w:cs="仿宋"/>
          <w:color w:val="auto"/>
          <w:sz w:val="21"/>
          <w:szCs w:val="21"/>
          <w:highlight w:val="none"/>
          <w:lang w:eastAsia="zh-CN"/>
        </w:rPr>
        <w:t>交易文件</w:t>
      </w:r>
      <w:r>
        <w:rPr>
          <w:rFonts w:hint="eastAsia" w:ascii="仿宋" w:hAnsi="仿宋" w:eastAsia="仿宋" w:cs="仿宋"/>
          <w:color w:val="auto"/>
          <w:sz w:val="21"/>
          <w:szCs w:val="21"/>
          <w:highlight w:val="none"/>
        </w:rPr>
        <w:t>存在歧义、重大缺陷导致评审工作无法进行，或者</w:t>
      </w:r>
      <w:r>
        <w:rPr>
          <w:rFonts w:hint="eastAsia" w:ascii="仿宋" w:hAnsi="仿宋" w:eastAsia="仿宋" w:cs="仿宋"/>
          <w:color w:val="auto"/>
          <w:sz w:val="21"/>
          <w:szCs w:val="21"/>
          <w:highlight w:val="none"/>
          <w:lang w:eastAsia="zh-CN"/>
        </w:rPr>
        <w:t>交易文件</w:t>
      </w:r>
      <w:r>
        <w:rPr>
          <w:rFonts w:hint="eastAsia" w:ascii="仿宋" w:hAnsi="仿宋" w:eastAsia="仿宋" w:cs="仿宋"/>
          <w:color w:val="auto"/>
          <w:sz w:val="21"/>
          <w:szCs w:val="21"/>
          <w:highlight w:val="none"/>
        </w:rPr>
        <w:t>内容违反国家有关强制性规定的，将停止评审工作，并与</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沟通并作书面记录。</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代理机构</w:t>
      </w:r>
      <w:r>
        <w:rPr>
          <w:rFonts w:hint="eastAsia" w:ascii="仿宋" w:hAnsi="仿宋" w:eastAsia="仿宋" w:cs="仿宋"/>
          <w:color w:val="auto"/>
          <w:sz w:val="21"/>
          <w:szCs w:val="21"/>
          <w:highlight w:val="none"/>
        </w:rPr>
        <w:t>确认后，将修改</w:t>
      </w:r>
      <w:r>
        <w:rPr>
          <w:rFonts w:hint="eastAsia" w:ascii="仿宋" w:hAnsi="仿宋" w:eastAsia="仿宋" w:cs="仿宋"/>
          <w:color w:val="auto"/>
          <w:sz w:val="21"/>
          <w:szCs w:val="21"/>
          <w:highlight w:val="none"/>
          <w:lang w:eastAsia="zh-CN"/>
        </w:rPr>
        <w:t>交易文件</w:t>
      </w:r>
      <w:r>
        <w:rPr>
          <w:rFonts w:hint="eastAsia" w:ascii="仿宋" w:hAnsi="仿宋" w:eastAsia="仿宋" w:cs="仿宋"/>
          <w:color w:val="auto"/>
          <w:sz w:val="21"/>
          <w:szCs w:val="21"/>
          <w:highlight w:val="none"/>
        </w:rPr>
        <w:t>，重新组织采购活动。</w:t>
      </w:r>
    </w:p>
    <w:p w14:paraId="082E758B">
      <w:pPr>
        <w:pStyle w:val="25"/>
        <w:snapToGrid w:val="0"/>
        <w:spacing w:line="360" w:lineRule="auto"/>
        <w:ind w:firstLine="482"/>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7.重新开展采购。</w:t>
      </w:r>
      <w:r>
        <w:rPr>
          <w:rFonts w:hint="eastAsia" w:ascii="仿宋" w:hAnsi="仿宋" w:eastAsia="仿宋" w:cs="仿宋"/>
          <w:color w:val="auto"/>
          <w:sz w:val="21"/>
          <w:szCs w:val="21"/>
          <w:highlight w:val="none"/>
        </w:rPr>
        <w:t>影响或者可能影响</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结果的，依照下列规定处理：</w:t>
      </w:r>
    </w:p>
    <w:p w14:paraId="6FF7AEE4">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7.1未确定</w:t>
      </w:r>
      <w:r>
        <w:rPr>
          <w:rFonts w:hint="eastAsia" w:ascii="仿宋" w:hAnsi="仿宋" w:eastAsia="仿宋" w:cs="仿宋"/>
          <w:color w:val="auto"/>
          <w:sz w:val="21"/>
          <w:szCs w:val="21"/>
          <w:highlight w:val="none"/>
          <w:lang w:eastAsia="zh-CN"/>
        </w:rPr>
        <w:t>成交人</w:t>
      </w:r>
      <w:r>
        <w:rPr>
          <w:rFonts w:hint="eastAsia" w:ascii="仿宋" w:hAnsi="仿宋" w:eastAsia="仿宋" w:cs="仿宋"/>
          <w:color w:val="auto"/>
          <w:sz w:val="21"/>
          <w:szCs w:val="21"/>
          <w:highlight w:val="none"/>
        </w:rPr>
        <w:t>的，终止本次</w:t>
      </w: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活动，重新开展</w:t>
      </w: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活动。</w:t>
      </w:r>
    </w:p>
    <w:p w14:paraId="60CCF7FE">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7.2已确定</w:t>
      </w:r>
      <w:r>
        <w:rPr>
          <w:rFonts w:hint="eastAsia" w:ascii="仿宋" w:hAnsi="仿宋" w:eastAsia="仿宋" w:cs="仿宋"/>
          <w:color w:val="auto"/>
          <w:sz w:val="21"/>
          <w:szCs w:val="21"/>
          <w:highlight w:val="none"/>
          <w:lang w:eastAsia="zh-CN"/>
        </w:rPr>
        <w:t>成交人</w:t>
      </w:r>
      <w:r>
        <w:rPr>
          <w:rFonts w:hint="eastAsia" w:ascii="仿宋" w:hAnsi="仿宋" w:eastAsia="仿宋" w:cs="仿宋"/>
          <w:color w:val="auto"/>
          <w:sz w:val="21"/>
          <w:szCs w:val="21"/>
          <w:highlight w:val="none"/>
        </w:rPr>
        <w:t>但尚未签订采购合同的，</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结果无效，从合格的</w:t>
      </w:r>
      <w:r>
        <w:rPr>
          <w:rFonts w:hint="eastAsia" w:ascii="仿宋" w:hAnsi="仿宋" w:eastAsia="仿宋" w:cs="仿宋"/>
          <w:color w:val="auto"/>
          <w:sz w:val="21"/>
          <w:szCs w:val="21"/>
          <w:highlight w:val="none"/>
          <w:lang w:eastAsia="zh-CN"/>
        </w:rPr>
        <w:t>成交候选人</w:t>
      </w:r>
      <w:r>
        <w:rPr>
          <w:rFonts w:hint="eastAsia" w:ascii="仿宋" w:hAnsi="仿宋" w:eastAsia="仿宋" w:cs="仿宋"/>
          <w:color w:val="auto"/>
          <w:sz w:val="21"/>
          <w:szCs w:val="21"/>
          <w:highlight w:val="none"/>
        </w:rPr>
        <w:t>中另行确定</w:t>
      </w:r>
      <w:r>
        <w:rPr>
          <w:rFonts w:hint="eastAsia" w:ascii="仿宋" w:hAnsi="仿宋" w:eastAsia="仿宋" w:cs="仿宋"/>
          <w:color w:val="auto"/>
          <w:sz w:val="21"/>
          <w:szCs w:val="21"/>
          <w:highlight w:val="none"/>
          <w:lang w:eastAsia="zh-CN"/>
        </w:rPr>
        <w:t>成交人</w:t>
      </w:r>
      <w:r>
        <w:rPr>
          <w:rFonts w:hint="eastAsia" w:ascii="仿宋" w:hAnsi="仿宋" w:eastAsia="仿宋" w:cs="仿宋"/>
          <w:color w:val="auto"/>
          <w:sz w:val="21"/>
          <w:szCs w:val="21"/>
          <w:highlight w:val="none"/>
        </w:rPr>
        <w:t>；没有合格的</w:t>
      </w:r>
      <w:r>
        <w:rPr>
          <w:rFonts w:hint="eastAsia" w:ascii="仿宋" w:hAnsi="仿宋" w:eastAsia="仿宋" w:cs="仿宋"/>
          <w:color w:val="auto"/>
          <w:sz w:val="21"/>
          <w:szCs w:val="21"/>
          <w:highlight w:val="none"/>
          <w:lang w:eastAsia="zh-CN"/>
        </w:rPr>
        <w:t>成交候选人</w:t>
      </w:r>
      <w:r>
        <w:rPr>
          <w:rFonts w:hint="eastAsia" w:ascii="仿宋" w:hAnsi="仿宋" w:eastAsia="仿宋" w:cs="仿宋"/>
          <w:color w:val="auto"/>
          <w:sz w:val="21"/>
          <w:szCs w:val="21"/>
          <w:highlight w:val="none"/>
        </w:rPr>
        <w:t>的，重新开展</w:t>
      </w: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活动。</w:t>
      </w:r>
    </w:p>
    <w:p w14:paraId="2EEC67AF">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7.3采购合同已签订但尚未履行的，撤销合同，从合格的</w:t>
      </w:r>
      <w:r>
        <w:rPr>
          <w:rFonts w:hint="eastAsia" w:ascii="仿宋" w:hAnsi="仿宋" w:eastAsia="仿宋" w:cs="仿宋"/>
          <w:color w:val="auto"/>
          <w:sz w:val="21"/>
          <w:szCs w:val="21"/>
          <w:highlight w:val="none"/>
          <w:lang w:eastAsia="zh-CN"/>
        </w:rPr>
        <w:t>成交候选人</w:t>
      </w:r>
      <w:r>
        <w:rPr>
          <w:rFonts w:hint="eastAsia" w:ascii="仿宋" w:hAnsi="仿宋" w:eastAsia="仿宋" w:cs="仿宋"/>
          <w:color w:val="auto"/>
          <w:sz w:val="21"/>
          <w:szCs w:val="21"/>
          <w:highlight w:val="none"/>
        </w:rPr>
        <w:t>中另行确定</w:t>
      </w:r>
      <w:r>
        <w:rPr>
          <w:rFonts w:hint="eastAsia" w:ascii="仿宋" w:hAnsi="仿宋" w:eastAsia="仿宋" w:cs="仿宋"/>
          <w:color w:val="auto"/>
          <w:sz w:val="21"/>
          <w:szCs w:val="21"/>
          <w:highlight w:val="none"/>
          <w:lang w:eastAsia="zh-CN"/>
        </w:rPr>
        <w:t>成交人</w:t>
      </w:r>
      <w:r>
        <w:rPr>
          <w:rFonts w:hint="eastAsia" w:ascii="仿宋" w:hAnsi="仿宋" w:eastAsia="仿宋" w:cs="仿宋"/>
          <w:color w:val="auto"/>
          <w:sz w:val="21"/>
          <w:szCs w:val="21"/>
          <w:highlight w:val="none"/>
        </w:rPr>
        <w:t>；没有合格的</w:t>
      </w:r>
      <w:r>
        <w:rPr>
          <w:rFonts w:hint="eastAsia" w:ascii="仿宋" w:hAnsi="仿宋" w:eastAsia="仿宋" w:cs="仿宋"/>
          <w:color w:val="auto"/>
          <w:sz w:val="21"/>
          <w:szCs w:val="21"/>
          <w:highlight w:val="none"/>
          <w:lang w:eastAsia="zh-CN"/>
        </w:rPr>
        <w:t>成交候选人</w:t>
      </w:r>
      <w:r>
        <w:rPr>
          <w:rFonts w:hint="eastAsia" w:ascii="仿宋" w:hAnsi="仿宋" w:eastAsia="仿宋" w:cs="仿宋"/>
          <w:color w:val="auto"/>
          <w:sz w:val="21"/>
          <w:szCs w:val="21"/>
          <w:highlight w:val="none"/>
        </w:rPr>
        <w:t>的，重新开展</w:t>
      </w: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活动。</w:t>
      </w:r>
    </w:p>
    <w:p w14:paraId="4DA54B5C">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1"/>
          <w:szCs w:val="21"/>
          <w:highlight w:val="none"/>
        </w:rPr>
        <w:t>7.4采购合同已经履行，给</w:t>
      </w: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、供应商造成损失的，由责任人承担赔偿责任。</w:t>
      </w:r>
    </w:p>
    <w:p w14:paraId="6F2CA66C">
      <w:pPr>
        <w:pStyle w:val="25"/>
        <w:snapToGrid w:val="0"/>
        <w:spacing w:line="360" w:lineRule="auto"/>
        <w:ind w:firstLine="0" w:firstLineChars="0"/>
        <w:rPr>
          <w:rFonts w:hint="eastAsia" w:ascii="仿宋" w:hAnsi="仿宋" w:eastAsia="仿宋" w:cs="仿宋"/>
          <w:color w:val="auto"/>
          <w:highlight w:val="none"/>
        </w:rPr>
      </w:pPr>
    </w:p>
    <w:bookmarkEnd w:id="68"/>
    <w:p w14:paraId="3F2394A9">
      <w:pPr>
        <w:spacing w:line="360" w:lineRule="auto"/>
        <w:ind w:left="720" w:leftChars="343" w:firstLine="1084" w:firstLineChars="300"/>
        <w:outlineLvl w:val="0"/>
        <w:rPr>
          <w:rFonts w:hint="eastAsia" w:ascii="仿宋" w:hAnsi="仿宋" w:eastAsia="仿宋" w:cs="仿宋"/>
          <w:b/>
          <w:color w:val="auto"/>
          <w:sz w:val="36"/>
          <w:szCs w:val="36"/>
          <w:highlight w:val="none"/>
        </w:rPr>
        <w:sectPr>
          <w:pgSz w:w="11905" w:h="16838"/>
          <w:pgMar w:top="1440" w:right="1080" w:bottom="1440" w:left="1080" w:header="851" w:footer="850" w:gutter="0"/>
          <w:pgBorders>
            <w:top w:val="none" w:sz="0" w:space="0"/>
            <w:left w:val="none" w:sz="0" w:space="0"/>
            <w:bottom w:val="none" w:sz="0" w:space="0"/>
            <w:right w:val="none" w:sz="0" w:space="0"/>
          </w:pgBorders>
          <w:pgNumType w:fmt="decimal"/>
          <w:cols w:space="720" w:num="1"/>
        </w:sectPr>
      </w:pPr>
      <w:bookmarkStart w:id="444" w:name="_Toc14100"/>
      <w:bookmarkStart w:id="445" w:name="第五部分"/>
      <w:bookmarkStart w:id="446" w:name="_Toc86217003"/>
    </w:p>
    <w:p w14:paraId="24542806">
      <w:pPr>
        <w:spacing w:line="360" w:lineRule="auto"/>
        <w:jc w:val="center"/>
        <w:outlineLvl w:val="0"/>
        <w:rPr>
          <w:rFonts w:hint="eastAsia" w:ascii="仿宋" w:hAnsi="仿宋" w:eastAsia="仿宋" w:cs="仿宋"/>
          <w:b/>
          <w:color w:val="auto"/>
          <w:sz w:val="32"/>
          <w:szCs w:val="32"/>
          <w:highlight w:val="none"/>
        </w:rPr>
      </w:pPr>
      <w:bookmarkStart w:id="447" w:name="_Toc4810"/>
      <w:bookmarkStart w:id="448" w:name="_Toc22379"/>
      <w:bookmarkStart w:id="449" w:name="_Toc4511"/>
      <w:r>
        <w:rPr>
          <w:rFonts w:hint="eastAsia" w:ascii="仿宋" w:hAnsi="仿宋" w:eastAsia="仿宋" w:cs="仿宋"/>
          <w:b/>
          <w:color w:val="auto"/>
          <w:sz w:val="32"/>
          <w:szCs w:val="32"/>
          <w:highlight w:val="none"/>
        </w:rPr>
        <w:t>第五部分 拟签订的合同文本</w:t>
      </w:r>
      <w:bookmarkEnd w:id="444"/>
      <w:bookmarkEnd w:id="447"/>
      <w:bookmarkEnd w:id="448"/>
      <w:bookmarkEnd w:id="449"/>
    </w:p>
    <w:p w14:paraId="38C53F41">
      <w:pPr>
        <w:rPr>
          <w:rFonts w:ascii="仿宋" w:hAnsi="仿宋" w:eastAsia="仿宋" w:cs="仿宋"/>
          <w:color w:val="auto"/>
          <w:sz w:val="24"/>
          <w:highlight w:val="none"/>
        </w:rPr>
      </w:pPr>
      <w:bookmarkStart w:id="450" w:name="_Toc12770"/>
      <w:bookmarkStart w:id="451" w:name="_Toc23083"/>
      <w:bookmarkStart w:id="452" w:name="_Toc28060"/>
      <w:bookmarkStart w:id="453" w:name="_Toc10052"/>
    </w:p>
    <w:p w14:paraId="7BF12409">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合同编号：</w:t>
      </w:r>
    </w:p>
    <w:p w14:paraId="6EF275C9">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签订地点：                                 签订时间：20* 年  月  日</w:t>
      </w:r>
    </w:p>
    <w:p w14:paraId="35B3F78C">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p w14:paraId="3174B186">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甲方（需方）：                                     </w:t>
      </w:r>
    </w:p>
    <w:p w14:paraId="7B025359">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乙方（供方）：                                     </w:t>
      </w:r>
    </w:p>
    <w:p w14:paraId="411DB351">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供、需双方根据                      项目（</w:t>
      </w:r>
      <w:r>
        <w:rPr>
          <w:rFonts w:hint="eastAsia" w:ascii="仿宋" w:hAnsi="仿宋" w:eastAsia="仿宋" w:cs="仿宋"/>
          <w:color w:val="auto"/>
          <w:sz w:val="21"/>
          <w:szCs w:val="21"/>
          <w:lang w:eastAsia="zh-CN"/>
        </w:rPr>
        <w:t>交易</w:t>
      </w:r>
      <w:r>
        <w:rPr>
          <w:rFonts w:hint="eastAsia" w:ascii="仿宋" w:hAnsi="仿宋" w:eastAsia="仿宋" w:cs="仿宋"/>
          <w:color w:val="auto"/>
          <w:sz w:val="21"/>
          <w:szCs w:val="21"/>
        </w:rPr>
        <w:t>编号  -   ）</w:t>
      </w:r>
      <w:r>
        <w:rPr>
          <w:rFonts w:hint="eastAsia" w:ascii="仿宋" w:hAnsi="仿宋" w:eastAsia="仿宋" w:cs="仿宋"/>
          <w:color w:val="auto"/>
          <w:sz w:val="21"/>
          <w:szCs w:val="21"/>
          <w:lang w:eastAsia="zh-CN"/>
        </w:rPr>
        <w:t>交易</w:t>
      </w:r>
      <w:r>
        <w:rPr>
          <w:rFonts w:hint="eastAsia" w:ascii="仿宋" w:hAnsi="仿宋" w:eastAsia="仿宋" w:cs="仿宋"/>
          <w:color w:val="auto"/>
          <w:sz w:val="21"/>
          <w:szCs w:val="21"/>
        </w:rPr>
        <w:t>结果和</w:t>
      </w:r>
      <w:r>
        <w:rPr>
          <w:rFonts w:hint="eastAsia" w:ascii="仿宋" w:hAnsi="仿宋" w:eastAsia="仿宋" w:cs="仿宋"/>
          <w:color w:val="auto"/>
          <w:sz w:val="21"/>
          <w:szCs w:val="21"/>
          <w:lang w:eastAsia="zh-CN"/>
        </w:rPr>
        <w:t>交易文件</w:t>
      </w:r>
      <w:r>
        <w:rPr>
          <w:rFonts w:hint="eastAsia" w:ascii="仿宋" w:hAnsi="仿宋" w:eastAsia="仿宋" w:cs="仿宋"/>
          <w:color w:val="auto"/>
          <w:sz w:val="21"/>
          <w:szCs w:val="21"/>
        </w:rPr>
        <w:t>的要求，并经双方协调一致，订立本采购合同。</w:t>
      </w:r>
    </w:p>
    <w:p w14:paraId="2660FD4A">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一、合同文件：</w:t>
      </w:r>
    </w:p>
    <w:p w14:paraId="55051E51">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1、合同条款。</w:t>
      </w:r>
    </w:p>
    <w:p w14:paraId="47C8F669">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eastAsia="zh-CN"/>
        </w:rPr>
        <w:t>成交</w:t>
      </w:r>
      <w:r>
        <w:rPr>
          <w:rFonts w:hint="eastAsia" w:ascii="仿宋" w:hAnsi="仿宋" w:eastAsia="仿宋" w:cs="仿宋"/>
          <w:color w:val="auto"/>
          <w:sz w:val="21"/>
          <w:szCs w:val="21"/>
        </w:rPr>
        <w:t>通知书。</w:t>
      </w:r>
    </w:p>
    <w:p w14:paraId="01BD8557">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eastAsia="zh-CN"/>
        </w:rPr>
        <w:t>交易文件</w:t>
      </w:r>
      <w:r>
        <w:rPr>
          <w:rFonts w:hint="eastAsia" w:ascii="仿宋" w:hAnsi="仿宋" w:eastAsia="仿宋" w:cs="仿宋"/>
          <w:color w:val="auto"/>
          <w:sz w:val="21"/>
          <w:szCs w:val="21"/>
        </w:rPr>
        <w:t>。</w:t>
      </w:r>
    </w:p>
    <w:p w14:paraId="3943D53D">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4、更正公告。</w:t>
      </w:r>
    </w:p>
    <w:p w14:paraId="29A841B5">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eastAsia="zh-CN"/>
        </w:rPr>
        <w:t>成交人响应文件</w:t>
      </w:r>
      <w:r>
        <w:rPr>
          <w:rFonts w:hint="eastAsia" w:ascii="仿宋" w:hAnsi="仿宋" w:eastAsia="仿宋" w:cs="仿宋"/>
          <w:color w:val="auto"/>
          <w:sz w:val="21"/>
          <w:szCs w:val="21"/>
        </w:rPr>
        <w:t>。</w:t>
      </w:r>
    </w:p>
    <w:p w14:paraId="5D48BA94">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6、其他。</w:t>
      </w:r>
    </w:p>
    <w:p w14:paraId="480478D7">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二、合同金额: 本合同金额为(大写)_________________元（￥　　　　元）人民币附：</w:t>
      </w:r>
    </w:p>
    <w:p w14:paraId="24DCF1A2">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《采购项目清单内容》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45"/>
        <w:gridCol w:w="1176"/>
        <w:gridCol w:w="1896"/>
        <w:gridCol w:w="696"/>
        <w:gridCol w:w="1896"/>
      </w:tblGrid>
      <w:tr w14:paraId="4B53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429D3A37">
            <w:pPr>
              <w:pStyle w:val="25"/>
              <w:snapToGrid w:val="0"/>
              <w:spacing w:line="36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18493B7D">
            <w:pPr>
              <w:pStyle w:val="25"/>
              <w:snapToGrid w:val="0"/>
              <w:spacing w:line="36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采购项目</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2BDAF65F">
            <w:pPr>
              <w:pStyle w:val="25"/>
              <w:snapToGrid w:val="0"/>
              <w:spacing w:line="36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成交</w:t>
            </w:r>
            <w:r>
              <w:rPr>
                <w:rFonts w:hint="eastAsia" w:ascii="仿宋" w:hAnsi="仿宋" w:eastAsia="仿宋" w:cs="仿宋"/>
                <w:color w:val="auto"/>
                <w:sz w:val="21"/>
                <w:szCs w:val="21"/>
              </w:rPr>
              <w:t>内容</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3C19B73">
            <w:pPr>
              <w:pStyle w:val="25"/>
              <w:snapToGrid w:val="0"/>
              <w:spacing w:line="36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成交</w:t>
            </w:r>
            <w:r>
              <w:rPr>
                <w:rFonts w:hint="eastAsia" w:ascii="仿宋" w:hAnsi="仿宋" w:eastAsia="仿宋" w:cs="仿宋"/>
                <w:color w:val="auto"/>
                <w:sz w:val="21"/>
                <w:szCs w:val="21"/>
              </w:rPr>
              <w:t>单价（元）</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09B2537F">
            <w:pPr>
              <w:pStyle w:val="25"/>
              <w:snapToGrid w:val="0"/>
              <w:spacing w:line="36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B2076AA">
            <w:pPr>
              <w:pStyle w:val="25"/>
              <w:snapToGrid w:val="0"/>
              <w:spacing w:line="36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成交</w:t>
            </w:r>
            <w:r>
              <w:rPr>
                <w:rFonts w:hint="eastAsia" w:ascii="仿宋" w:hAnsi="仿宋" w:eastAsia="仿宋" w:cs="仿宋"/>
                <w:color w:val="auto"/>
                <w:sz w:val="21"/>
                <w:szCs w:val="21"/>
              </w:rPr>
              <w:t>总价（元）</w:t>
            </w:r>
          </w:p>
        </w:tc>
      </w:tr>
      <w:tr w14:paraId="3D3A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368860B3">
            <w:pPr>
              <w:pStyle w:val="25"/>
              <w:snapToGrid w:val="0"/>
              <w:spacing w:line="360"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18E43D10">
            <w:pPr>
              <w:pStyle w:val="25"/>
              <w:snapToGrid w:val="0"/>
              <w:spacing w:line="360" w:lineRule="auto"/>
              <w:rPr>
                <w:rFonts w:hint="eastAsia" w:ascii="仿宋" w:hAnsi="仿宋" w:eastAsia="仿宋" w:cs="仿宋"/>
                <w:color w:val="auto"/>
                <w:sz w:val="21"/>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F895724">
            <w:pPr>
              <w:pStyle w:val="25"/>
              <w:snapToGrid w:val="0"/>
              <w:spacing w:line="360" w:lineRule="auto"/>
              <w:rPr>
                <w:rFonts w:hint="eastAsia" w:ascii="仿宋" w:hAnsi="仿宋" w:eastAsia="仿宋" w:cs="仿宋"/>
                <w:color w:val="auto"/>
                <w:sz w:val="21"/>
                <w:szCs w:val="21"/>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29EC972">
            <w:pPr>
              <w:pStyle w:val="25"/>
              <w:snapToGrid w:val="0"/>
              <w:spacing w:line="360" w:lineRule="auto"/>
              <w:rPr>
                <w:rFonts w:hint="eastAsia" w:ascii="仿宋" w:hAnsi="仿宋" w:eastAsia="仿宋" w:cs="仿宋"/>
                <w:color w:val="auto"/>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20B1BA64">
            <w:pPr>
              <w:pStyle w:val="25"/>
              <w:snapToGrid w:val="0"/>
              <w:spacing w:line="360" w:lineRule="auto"/>
              <w:rPr>
                <w:rFonts w:hint="eastAsia" w:ascii="仿宋" w:hAnsi="仿宋" w:eastAsia="仿宋" w:cs="仿宋"/>
                <w:color w:val="auto"/>
                <w:sz w:val="21"/>
                <w:szCs w:val="21"/>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4BFC1C79">
            <w:pPr>
              <w:pStyle w:val="25"/>
              <w:snapToGrid w:val="0"/>
              <w:spacing w:line="360" w:lineRule="auto"/>
              <w:rPr>
                <w:rFonts w:hint="eastAsia" w:ascii="仿宋" w:hAnsi="仿宋" w:eastAsia="仿宋" w:cs="仿宋"/>
                <w:color w:val="auto"/>
                <w:sz w:val="21"/>
                <w:szCs w:val="21"/>
              </w:rPr>
            </w:pPr>
          </w:p>
        </w:tc>
      </w:tr>
      <w:tr w14:paraId="116E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17B5C093">
            <w:pPr>
              <w:pStyle w:val="25"/>
              <w:snapToGrid w:val="0"/>
              <w:spacing w:line="360"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1D0DEC24">
            <w:pPr>
              <w:pStyle w:val="25"/>
              <w:snapToGrid w:val="0"/>
              <w:spacing w:line="360" w:lineRule="auto"/>
              <w:rPr>
                <w:rFonts w:hint="eastAsia" w:ascii="仿宋" w:hAnsi="仿宋" w:eastAsia="仿宋" w:cs="仿宋"/>
                <w:color w:val="auto"/>
                <w:sz w:val="21"/>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79ACFAE">
            <w:pPr>
              <w:pStyle w:val="25"/>
              <w:snapToGrid w:val="0"/>
              <w:spacing w:line="360" w:lineRule="auto"/>
              <w:rPr>
                <w:rFonts w:hint="eastAsia" w:ascii="仿宋" w:hAnsi="仿宋" w:eastAsia="仿宋" w:cs="仿宋"/>
                <w:color w:val="auto"/>
                <w:sz w:val="21"/>
                <w:szCs w:val="21"/>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10ACBB10">
            <w:pPr>
              <w:pStyle w:val="25"/>
              <w:snapToGrid w:val="0"/>
              <w:spacing w:line="360" w:lineRule="auto"/>
              <w:rPr>
                <w:rFonts w:hint="eastAsia" w:ascii="仿宋" w:hAnsi="仿宋" w:eastAsia="仿宋" w:cs="仿宋"/>
                <w:color w:val="auto"/>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D478B47">
            <w:pPr>
              <w:pStyle w:val="25"/>
              <w:snapToGrid w:val="0"/>
              <w:spacing w:line="360" w:lineRule="auto"/>
              <w:rPr>
                <w:rFonts w:hint="eastAsia" w:ascii="仿宋" w:hAnsi="仿宋" w:eastAsia="仿宋" w:cs="仿宋"/>
                <w:color w:val="auto"/>
                <w:sz w:val="21"/>
                <w:szCs w:val="21"/>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54FE556D">
            <w:pPr>
              <w:pStyle w:val="25"/>
              <w:snapToGrid w:val="0"/>
              <w:spacing w:line="360" w:lineRule="auto"/>
              <w:rPr>
                <w:rFonts w:hint="eastAsia" w:ascii="仿宋" w:hAnsi="仿宋" w:eastAsia="仿宋" w:cs="仿宋"/>
                <w:color w:val="auto"/>
                <w:sz w:val="21"/>
                <w:szCs w:val="21"/>
              </w:rPr>
            </w:pPr>
          </w:p>
        </w:tc>
      </w:tr>
    </w:tbl>
    <w:p w14:paraId="2B5A27E3">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三、技术资料</w:t>
      </w:r>
    </w:p>
    <w:p w14:paraId="476EFB13">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1.乙方应按</w:t>
      </w:r>
      <w:r>
        <w:rPr>
          <w:rFonts w:hint="eastAsia" w:ascii="仿宋" w:hAnsi="仿宋" w:eastAsia="仿宋" w:cs="仿宋"/>
          <w:color w:val="auto"/>
          <w:sz w:val="21"/>
          <w:szCs w:val="21"/>
          <w:lang w:eastAsia="zh-CN"/>
        </w:rPr>
        <w:t>交易文件</w:t>
      </w:r>
      <w:r>
        <w:rPr>
          <w:rFonts w:hint="eastAsia" w:ascii="仿宋" w:hAnsi="仿宋" w:eastAsia="仿宋" w:cs="仿宋"/>
          <w:color w:val="auto"/>
          <w:sz w:val="21"/>
          <w:szCs w:val="21"/>
        </w:rPr>
        <w:t>规定的时间向甲方提供有关技术资料。</w:t>
      </w:r>
    </w:p>
    <w:p w14:paraId="5B23A073">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C607434">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四、知识产权</w:t>
      </w:r>
    </w:p>
    <w:p w14:paraId="026BD42E">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乙方应保证提供服务过程中不会侵犯任何第三方的知识产权。</w:t>
      </w:r>
    </w:p>
    <w:p w14:paraId="2AAC9672">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五、履约保证金</w:t>
      </w:r>
    </w:p>
    <w:p w14:paraId="380BB27B">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本合同履约保证金    元。（乙方应当以支票、汇票、本票或者金融机构、担保机构出具的保函等非现金形式提交。）</w:t>
      </w:r>
    </w:p>
    <w:p w14:paraId="7588E694">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六、转包或分包</w:t>
      </w:r>
    </w:p>
    <w:p w14:paraId="6DE20497">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1.本合同范围的服务，应由乙方直接供应，不得转让他人供应；</w:t>
      </w:r>
    </w:p>
    <w:p w14:paraId="49A9CFF9">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2.除非得到甲方的书面同意，乙方不得将本合同范围的服务全部或部分分包给他人供应；</w:t>
      </w:r>
    </w:p>
    <w:p w14:paraId="457EF195">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3.如有转让和未经甲方同意的分包行为，甲方有权解除合同，没收履约保证金并追究乙方的违约责任。</w:t>
      </w:r>
    </w:p>
    <w:p w14:paraId="57B0F168">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七、服务质量保证期</w:t>
      </w:r>
    </w:p>
    <w:p w14:paraId="7C80A294">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 服务质量保证期      年。（自验收合格之日起计）</w:t>
      </w:r>
    </w:p>
    <w:p w14:paraId="2758844C">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八、合同履行时间、履行方式及履行地点</w:t>
      </w:r>
    </w:p>
    <w:p w14:paraId="5D0230A4">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 履行时间：</w:t>
      </w:r>
    </w:p>
    <w:p w14:paraId="014C589D">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 履行方式：</w:t>
      </w:r>
    </w:p>
    <w:p w14:paraId="701CCC1B">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 履行地点：</w:t>
      </w:r>
    </w:p>
    <w:p w14:paraId="77ED75AD">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九、款项支付</w:t>
      </w:r>
    </w:p>
    <w:p w14:paraId="77FF9138">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1.付款方式：</w:t>
      </w:r>
    </w:p>
    <w:p w14:paraId="443C9834">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2.合同履行完毕，需方根据合同进行验收，验收合格后</w:t>
      </w:r>
      <w:r>
        <w:rPr>
          <w:rFonts w:hint="eastAsia" w:ascii="仿宋" w:hAnsi="仿宋" w:eastAsia="仿宋" w:cs="仿宋"/>
          <w:color w:val="auto"/>
          <w:sz w:val="21"/>
          <w:szCs w:val="21"/>
          <w:lang w:eastAsia="zh-CN"/>
        </w:rPr>
        <w:t>响应</w:t>
      </w:r>
      <w:r>
        <w:rPr>
          <w:rFonts w:hint="eastAsia" w:ascii="仿宋" w:hAnsi="仿宋" w:eastAsia="仿宋" w:cs="仿宋"/>
          <w:color w:val="auto"/>
          <w:sz w:val="21"/>
          <w:szCs w:val="21"/>
        </w:rPr>
        <w:t>人按财政结算要求办理货款结算手续。</w:t>
      </w:r>
    </w:p>
    <w:p w14:paraId="71CC0824">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十、税费</w:t>
      </w:r>
    </w:p>
    <w:p w14:paraId="6E05A901">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本合同执行中相关的一切税费均由乙方负担。</w:t>
      </w:r>
    </w:p>
    <w:p w14:paraId="4032787B">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十一、质量保证及后续服务</w:t>
      </w:r>
    </w:p>
    <w:p w14:paraId="3CC999CE">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 乙方应按</w:t>
      </w:r>
      <w:r>
        <w:rPr>
          <w:rFonts w:hint="eastAsia" w:ascii="仿宋" w:hAnsi="仿宋" w:eastAsia="仿宋" w:cs="仿宋"/>
          <w:color w:val="auto"/>
          <w:sz w:val="21"/>
          <w:szCs w:val="21"/>
          <w:lang w:eastAsia="zh-CN"/>
        </w:rPr>
        <w:t>交易文件</w:t>
      </w:r>
      <w:r>
        <w:rPr>
          <w:rFonts w:hint="eastAsia" w:ascii="仿宋" w:hAnsi="仿宋" w:eastAsia="仿宋" w:cs="仿宋"/>
          <w:color w:val="auto"/>
          <w:sz w:val="21"/>
          <w:szCs w:val="21"/>
        </w:rPr>
        <w:t>规定向甲方提供服务。</w:t>
      </w:r>
    </w:p>
    <w:p w14:paraId="37E67469">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 乙方提供的服务成果在服务质量保证期内发生故障，乙方应负责免费提供后续服务。对达不到要求者，根据实际情况，经双方协商，可按以下办法处理：</w:t>
      </w:r>
    </w:p>
    <w:p w14:paraId="6BC231BA">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⑴重做：由乙方承担所发生的全部费用。</w:t>
      </w:r>
    </w:p>
    <w:p w14:paraId="65ECF780">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⑵贬值处理：由甲乙双方合议定价。</w:t>
      </w:r>
    </w:p>
    <w:p w14:paraId="386A7747">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⑶解除合同。</w:t>
      </w:r>
    </w:p>
    <w:p w14:paraId="42C673F1">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 如在使用过程中发生问题，乙方在接到甲方通知后在   小时内到达甲方现场。</w:t>
      </w:r>
    </w:p>
    <w:p w14:paraId="7DBFA6F8">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4.在服务质量保证期内，乙方应对出现的质量及安全问题负责处理解决并承担一切费用。</w:t>
      </w:r>
    </w:p>
    <w:p w14:paraId="3D85D92F">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十二、违约责任</w:t>
      </w:r>
    </w:p>
    <w:p w14:paraId="41BDB63A">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1.甲方无正当理由拒绝接收服务的，甲方向乙方偿付合同款项百分之 五 作为违约金。</w:t>
      </w:r>
    </w:p>
    <w:p w14:paraId="25746ED1">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2.甲方无故逾期验收和办理款项支付手续的，甲方应按逾期付款总额每日万分之 五向乙方支付违约金。</w:t>
      </w:r>
    </w:p>
    <w:p w14:paraId="5299A236">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54C73FFB">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4.供方在服务项目验收合格之日起保修期内违反本合同有关承诺保证的，损失由乙方承担赔偿。</w:t>
      </w:r>
    </w:p>
    <w:p w14:paraId="6152C21C">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5.如发现乙方违反招</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和合同的有关规定，甲方有权根据约定对乙方进行处罚，并有权提前终止合同。</w:t>
      </w:r>
    </w:p>
    <w:p w14:paraId="70DD3613">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十三、争议的解决</w:t>
      </w:r>
    </w:p>
    <w:p w14:paraId="50EF61FC">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因本合同引起的或与本合同有关的任何争议，合同双方应首先通过协商解决，达成书面协议，如协商不成，可选择下列第      种方式解决。</w:t>
      </w:r>
    </w:p>
    <w:p w14:paraId="016C0107">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（1）提请杭州仲裁委员会按照该会仲裁规则进行仲裁，仲裁裁决是终局的，对合同双方均有约束力。</w:t>
      </w:r>
    </w:p>
    <w:p w14:paraId="6C13F2BF">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（2）向有管辖权的人民法院提起诉讼。</w:t>
      </w:r>
    </w:p>
    <w:p w14:paraId="4BA9FE27">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十四、合同生效</w:t>
      </w:r>
    </w:p>
    <w:p w14:paraId="66841024">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eastAsia="zh-CN"/>
        </w:rPr>
        <w:t>成交</w:t>
      </w:r>
      <w:r>
        <w:rPr>
          <w:rFonts w:hint="eastAsia" w:ascii="仿宋" w:hAnsi="仿宋" w:eastAsia="仿宋" w:cs="仿宋"/>
          <w:color w:val="auto"/>
          <w:sz w:val="21"/>
          <w:szCs w:val="21"/>
        </w:rPr>
        <w:t>方持</w:t>
      </w:r>
      <w:r>
        <w:rPr>
          <w:rFonts w:hint="eastAsia" w:ascii="仿宋" w:hAnsi="仿宋" w:eastAsia="仿宋" w:cs="仿宋"/>
          <w:color w:val="auto"/>
          <w:sz w:val="21"/>
          <w:szCs w:val="21"/>
          <w:lang w:eastAsia="zh-CN"/>
        </w:rPr>
        <w:t>成交</w:t>
      </w:r>
      <w:r>
        <w:rPr>
          <w:rFonts w:hint="eastAsia" w:ascii="仿宋" w:hAnsi="仿宋" w:eastAsia="仿宋" w:cs="仿宋"/>
          <w:color w:val="auto"/>
          <w:sz w:val="21"/>
          <w:szCs w:val="21"/>
        </w:rPr>
        <w:t>通知书作为与需方签订合同的凭证。</w:t>
      </w:r>
    </w:p>
    <w:p w14:paraId="5D3BF22E">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2.本合同经需、供双方法定代表人（符合浙财采监【2013】24号第六条规定的为负责人）或其授权委托人签字并加盖单位公章后生效。</w:t>
      </w:r>
    </w:p>
    <w:p w14:paraId="17A6BC62">
      <w:pPr>
        <w:pStyle w:val="25"/>
        <w:snapToGrid w:val="0"/>
        <w:spacing w:line="360" w:lineRule="auto"/>
        <w:rPr>
          <w:rFonts w:hint="eastAsia" w:ascii="仿宋" w:hAnsi="仿宋" w:eastAsia="仿宋" w:cs="仿宋"/>
          <w:color w:val="auto"/>
          <w:sz w:val="21"/>
          <w:szCs w:val="21"/>
        </w:rPr>
      </w:pPr>
    </w:p>
    <w:p w14:paraId="213B24E1">
      <w:pPr>
        <w:pStyle w:val="16"/>
        <w:rPr>
          <w:rFonts w:hint="eastAsia" w:ascii="仿宋" w:hAnsi="仿宋" w:eastAsia="仿宋" w:cs="仿宋"/>
          <w:color w:val="auto"/>
          <w:sz w:val="21"/>
          <w:szCs w:val="21"/>
        </w:rPr>
      </w:pPr>
    </w:p>
    <w:p w14:paraId="03D9F251">
      <w:pPr>
        <w:pStyle w:val="16"/>
        <w:rPr>
          <w:rFonts w:hint="eastAsia" w:ascii="仿宋" w:hAnsi="仿宋" w:eastAsia="仿宋" w:cs="仿宋"/>
          <w:color w:val="auto"/>
          <w:sz w:val="21"/>
          <w:szCs w:val="21"/>
        </w:rPr>
      </w:pPr>
    </w:p>
    <w:p w14:paraId="0DC165F4">
      <w:pPr>
        <w:pStyle w:val="25"/>
        <w:snapToGrid w:val="0"/>
        <w:spacing w:line="360" w:lineRule="auto"/>
        <w:rPr>
          <w:rFonts w:hint="eastAsia" w:ascii="仿宋" w:hAnsi="仿宋" w:eastAsia="仿宋" w:cs="仿宋"/>
          <w:color w:val="auto"/>
          <w:sz w:val="21"/>
          <w:szCs w:val="21"/>
        </w:rPr>
      </w:pPr>
    </w:p>
    <w:p w14:paraId="70E4AC36">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需方（盖章）：                     供方（盖章）：</w:t>
      </w:r>
    </w:p>
    <w:p w14:paraId="1418C76F">
      <w:pPr>
        <w:pStyle w:val="25"/>
        <w:snapToGrid w:val="0"/>
        <w:spacing w:line="360" w:lineRule="auto"/>
        <w:rPr>
          <w:rFonts w:hint="eastAsia" w:ascii="仿宋" w:hAnsi="仿宋" w:eastAsia="仿宋" w:cs="仿宋"/>
          <w:color w:val="auto"/>
          <w:sz w:val="21"/>
          <w:szCs w:val="21"/>
        </w:rPr>
      </w:pPr>
    </w:p>
    <w:p w14:paraId="3F60399C">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地址：                             地址：</w:t>
      </w:r>
    </w:p>
    <w:p w14:paraId="0B8BA7EA">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法定代表人（或委托代理人）签名：   法定代表人（或委托代理人）签名：</w:t>
      </w:r>
    </w:p>
    <w:p w14:paraId="4B063C6C">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14:paraId="59730831">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联系电话：                         联系电话：</w:t>
      </w:r>
    </w:p>
    <w:p w14:paraId="67DB9422">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邮政编码：                         邮政编码：</w:t>
      </w:r>
    </w:p>
    <w:p w14:paraId="7FD12FD2">
      <w:pPr>
        <w:pStyle w:val="25"/>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开户银行：                         开户银行：    </w:t>
      </w:r>
    </w:p>
    <w:p w14:paraId="3FF393F6">
      <w:pPr>
        <w:spacing w:line="360" w:lineRule="auto"/>
        <w:ind w:firstLine="420" w:firstLineChars="200"/>
        <w:jc w:val="left"/>
        <w:rPr>
          <w:rFonts w:hint="eastAsia" w:ascii="仿宋" w:hAnsi="仿宋" w:eastAsia="仿宋" w:cs="仿宋"/>
          <w:color w:val="auto"/>
          <w:sz w:val="21"/>
          <w:szCs w:val="21"/>
        </w:rPr>
        <w:sectPr>
          <w:headerReference r:id="rId7" w:type="default"/>
          <w:footerReference r:id="rId8" w:type="default"/>
          <w:pgSz w:w="11906" w:h="16838"/>
          <w:pgMar w:top="1440" w:right="1080" w:bottom="1440" w:left="1080" w:header="850" w:footer="850" w:gutter="0"/>
          <w:pgNumType w:fmt="decimal"/>
          <w:cols w:space="720" w:num="1"/>
          <w:docGrid w:linePitch="312" w:charSpace="0"/>
        </w:sectPr>
      </w:pPr>
      <w:r>
        <w:rPr>
          <w:rFonts w:hint="eastAsia" w:ascii="仿宋" w:hAnsi="仿宋" w:eastAsia="仿宋" w:cs="仿宋"/>
          <w:color w:val="auto"/>
          <w:sz w:val="21"/>
          <w:szCs w:val="21"/>
        </w:rPr>
        <w:t>帐号：                             帐号：</w:t>
      </w:r>
    </w:p>
    <w:p w14:paraId="6A505820">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445"/>
      <w:r>
        <w:rPr>
          <w:rFonts w:hint="eastAsia" w:ascii="仿宋" w:hAnsi="仿宋" w:eastAsia="仿宋" w:cs="仿宋"/>
          <w:b/>
          <w:color w:val="auto"/>
          <w:sz w:val="32"/>
          <w:szCs w:val="32"/>
          <w:highlight w:val="none"/>
        </w:rPr>
        <w:t xml:space="preserve"> </w:t>
      </w:r>
      <w:bookmarkEnd w:id="446"/>
      <w:r>
        <w:rPr>
          <w:rFonts w:hint="eastAsia" w:ascii="仿宋" w:hAnsi="仿宋" w:eastAsia="仿宋" w:cs="仿宋"/>
          <w:b/>
          <w:color w:val="auto"/>
          <w:sz w:val="32"/>
          <w:szCs w:val="32"/>
          <w:highlight w:val="none"/>
        </w:rPr>
        <w:t>应提交的有关格式范例</w:t>
      </w:r>
      <w:bookmarkEnd w:id="450"/>
      <w:bookmarkEnd w:id="451"/>
      <w:bookmarkEnd w:id="452"/>
      <w:bookmarkEnd w:id="453"/>
    </w:p>
    <w:p w14:paraId="0CB137E6">
      <w:pPr>
        <w:rPr>
          <w:rFonts w:hint="eastAsia" w:ascii="仿宋" w:hAnsi="仿宋" w:eastAsia="仿宋" w:cs="仿宋"/>
          <w:color w:val="auto"/>
          <w:highlight w:val="none"/>
        </w:rPr>
      </w:pPr>
    </w:p>
    <w:p w14:paraId="300388FA">
      <w:pPr>
        <w:spacing w:line="360" w:lineRule="auto"/>
        <w:jc w:val="center"/>
        <w:rPr>
          <w:rFonts w:hint="eastAsia" w:ascii="仿宋" w:hAnsi="仿宋" w:eastAsia="仿宋" w:cs="仿宋"/>
          <w:b/>
          <w:bCs/>
          <w:color w:val="auto"/>
          <w:sz w:val="28"/>
          <w:szCs w:val="28"/>
          <w:highlight w:val="none"/>
        </w:rPr>
      </w:pPr>
      <w:bookmarkStart w:id="454" w:name="_Toc27632"/>
      <w:r>
        <w:rPr>
          <w:rFonts w:hint="eastAsia" w:ascii="仿宋" w:hAnsi="仿宋" w:eastAsia="仿宋" w:cs="仿宋"/>
          <w:b/>
          <w:bCs/>
          <w:color w:val="auto"/>
          <w:sz w:val="28"/>
          <w:szCs w:val="28"/>
          <w:highlight w:val="none"/>
        </w:rPr>
        <w:t>资格文件部分</w:t>
      </w:r>
      <w:bookmarkEnd w:id="454"/>
    </w:p>
    <w:p w14:paraId="09E1D303">
      <w:pPr>
        <w:spacing w:line="360" w:lineRule="auto"/>
        <w:jc w:val="center"/>
        <w:rPr>
          <w:rFonts w:hint="eastAsia" w:ascii="仿宋" w:hAnsi="仿宋" w:eastAsia="仿宋" w:cs="仿宋"/>
          <w:color w:val="auto"/>
          <w:sz w:val="21"/>
          <w:szCs w:val="21"/>
          <w:highlight w:val="none"/>
        </w:rPr>
      </w:pPr>
      <w:bookmarkStart w:id="455" w:name="_Toc10467"/>
      <w:r>
        <w:rPr>
          <w:rFonts w:hint="eastAsia" w:ascii="仿宋" w:hAnsi="仿宋" w:eastAsia="仿宋" w:cs="仿宋"/>
          <w:color w:val="auto"/>
          <w:sz w:val="24"/>
          <w:szCs w:val="24"/>
          <w:highlight w:val="none"/>
        </w:rPr>
        <w:t>目录</w:t>
      </w:r>
      <w:bookmarkEnd w:id="455"/>
    </w:p>
    <w:p w14:paraId="6325BF70">
      <w:pPr>
        <w:rPr>
          <w:rFonts w:hint="eastAsia" w:ascii="仿宋" w:hAnsi="仿宋" w:eastAsia="仿宋" w:cs="仿宋"/>
          <w:color w:val="auto"/>
          <w:sz w:val="21"/>
          <w:szCs w:val="21"/>
          <w:highlight w:val="none"/>
        </w:rPr>
      </w:pPr>
    </w:p>
    <w:p w14:paraId="4A8291D3">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（1）符合参加交易活动应当具备的一般条件的承诺函……………………………………………………（页码）</w:t>
      </w:r>
    </w:p>
    <w:p w14:paraId="7B3DC403">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（2）本项目的特定资格要求…………………………………………………………………………………（页码）</w:t>
      </w:r>
    </w:p>
    <w:p w14:paraId="74A30F24">
      <w:pPr>
        <w:snapToGrid w:val="0"/>
        <w:spacing w:line="360" w:lineRule="auto"/>
        <w:ind w:firstLine="480" w:firstLineChars="200"/>
        <w:rPr>
          <w:rFonts w:hint="eastAsia" w:ascii="仿宋" w:hAnsi="仿宋" w:eastAsia="仿宋" w:cs="仿宋"/>
          <w:color w:val="auto"/>
          <w:sz w:val="24"/>
          <w:highlight w:val="none"/>
        </w:rPr>
      </w:pPr>
    </w:p>
    <w:p w14:paraId="0E536389">
      <w:pPr>
        <w:snapToGrid w:val="0"/>
        <w:spacing w:line="360" w:lineRule="auto"/>
        <w:ind w:right="480"/>
        <w:jc w:val="center"/>
        <w:rPr>
          <w:rFonts w:hint="eastAsia" w:ascii="仿宋" w:hAnsi="仿宋" w:eastAsia="仿宋" w:cs="仿宋"/>
          <w:b/>
          <w:color w:val="auto"/>
          <w:kern w:val="0"/>
          <w:sz w:val="32"/>
          <w:szCs w:val="32"/>
          <w:highlight w:val="none"/>
        </w:rPr>
        <w:sectPr>
          <w:headerReference r:id="rId9" w:type="default"/>
          <w:footerReference r:id="rId10" w:type="default"/>
          <w:pgSz w:w="11905" w:h="16838"/>
          <w:pgMar w:top="1440" w:right="1080" w:bottom="1440" w:left="1080" w:header="850"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color w:val="auto"/>
          <w:kern w:val="0"/>
          <w:sz w:val="32"/>
          <w:szCs w:val="32"/>
          <w:highlight w:val="none"/>
        </w:rPr>
        <w:t xml:space="preserve">  </w:t>
      </w:r>
    </w:p>
    <w:p w14:paraId="2F584AA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28"/>
          <w:szCs w:val="28"/>
          <w:highlight w:val="none"/>
        </w:rPr>
        <w:t>一、 符合参加采购活动应当具备的一般条件的承诺函</w:t>
      </w:r>
    </w:p>
    <w:p w14:paraId="1640581A">
      <w:pPr>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（交易发起人）、（代理机构）：</w:t>
      </w:r>
    </w:p>
    <w:p w14:paraId="714FC66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我方参与</w:t>
      </w:r>
      <w:r>
        <w:rPr>
          <w:rFonts w:hint="eastAsia" w:ascii="仿宋" w:hAnsi="仿宋" w:eastAsia="仿宋" w:cs="仿宋"/>
          <w:color w:val="auto"/>
          <w:sz w:val="21"/>
          <w:szCs w:val="21"/>
          <w:highlight w:val="none"/>
          <w:u w:val="single"/>
        </w:rPr>
        <w:t>（项目名称）【交易编号：    】</w:t>
      </w:r>
      <w:r>
        <w:rPr>
          <w:rFonts w:hint="eastAsia" w:ascii="仿宋" w:hAnsi="仿宋" w:eastAsia="仿宋" w:cs="仿宋"/>
          <w:color w:val="auto"/>
          <w:sz w:val="21"/>
          <w:szCs w:val="21"/>
          <w:highlight w:val="none"/>
        </w:rPr>
        <w:t>交易活动，郑重承诺：</w:t>
      </w:r>
    </w:p>
    <w:p w14:paraId="3B471107">
      <w:pPr>
        <w:snapToGrid w:val="0"/>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（一）具备以下条件：</w:t>
      </w:r>
    </w:p>
    <w:p w14:paraId="1762C7C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27C3F04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2、具有良好的商业信誉和健全的财务会计制度； </w:t>
      </w:r>
    </w:p>
    <w:p w14:paraId="4C35FB1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7012C74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4036447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5、参加交易活动前三年内，在经营活动中没有重大违法记录；</w:t>
      </w:r>
    </w:p>
    <w:p w14:paraId="0662FCF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6、具有法律、行政法规规定的其他条件。</w:t>
      </w:r>
    </w:p>
    <w:p w14:paraId="21666E79">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（二）未被信用中国（www.creditchina.gov.cn)、中国政府采购网（www.ccgp.gov.cn）列入失信被执行人、重大税收违法案件当事人名单、政府采购严重违法失信行为记录名单。</w:t>
      </w:r>
    </w:p>
    <w:p w14:paraId="73E7805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14:paraId="79D2216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1、单位负责人为同一人或者存在直接控股、管理关系的不同供应商参加同一合同项下的采购活动的；</w:t>
      </w:r>
    </w:p>
    <w:p w14:paraId="4D13FA58">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14:paraId="28B10E8E">
      <w:pPr>
        <w:snapToGrid w:val="0"/>
        <w:spacing w:line="360" w:lineRule="auto"/>
        <w:ind w:firstLine="4830" w:firstLineChars="2300"/>
        <w:rPr>
          <w:rFonts w:hint="eastAsia" w:ascii="仿宋" w:hAnsi="仿宋" w:eastAsia="仿宋" w:cs="仿宋"/>
          <w:color w:val="auto"/>
          <w:kern w:val="0"/>
          <w:sz w:val="21"/>
          <w:szCs w:val="21"/>
          <w:highlight w:val="none"/>
          <w:lang w:val="zh-CN"/>
        </w:rPr>
      </w:pPr>
    </w:p>
    <w:p w14:paraId="631342D3">
      <w:pPr>
        <w:snapToGrid w:val="0"/>
        <w:spacing w:line="360" w:lineRule="auto"/>
        <w:ind w:firstLine="4830" w:firstLineChars="2300"/>
        <w:rPr>
          <w:rFonts w:hint="eastAsia" w:ascii="仿宋" w:hAnsi="仿宋" w:eastAsia="仿宋" w:cs="仿宋"/>
          <w:color w:val="auto"/>
          <w:kern w:val="0"/>
          <w:sz w:val="21"/>
          <w:szCs w:val="21"/>
          <w:highlight w:val="none"/>
          <w:lang w:val="zh-CN"/>
        </w:rPr>
      </w:pPr>
    </w:p>
    <w:p w14:paraId="682F7BFD">
      <w:pPr>
        <w:snapToGrid w:val="0"/>
        <w:spacing w:line="360" w:lineRule="auto"/>
        <w:ind w:firstLine="4830" w:firstLineChars="2300"/>
        <w:rPr>
          <w:rFonts w:hint="eastAsia" w:ascii="仿宋" w:hAnsi="仿宋" w:eastAsia="仿宋" w:cs="仿宋"/>
          <w:color w:val="auto"/>
          <w:kern w:val="0"/>
          <w:sz w:val="21"/>
          <w:szCs w:val="21"/>
          <w:highlight w:val="none"/>
          <w:lang w:val="zh-CN"/>
        </w:rPr>
      </w:pPr>
    </w:p>
    <w:p w14:paraId="10807594">
      <w:pPr>
        <w:snapToGrid w:val="0"/>
        <w:spacing w:line="360" w:lineRule="auto"/>
        <w:ind w:firstLine="4830" w:firstLineChars="23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响应人名称(电子签名)：</w:t>
      </w:r>
    </w:p>
    <w:p w14:paraId="56D70EE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03330177">
      <w:pPr>
        <w:pStyle w:val="61"/>
        <w:rPr>
          <w:rFonts w:hint="eastAsia" w:ascii="仿宋" w:hAnsi="仿宋" w:eastAsia="仿宋" w:cs="仿宋"/>
          <w:color w:val="auto"/>
          <w:highlight w:val="none"/>
        </w:rPr>
      </w:pPr>
    </w:p>
    <w:p w14:paraId="4E680AFD">
      <w:pPr>
        <w:pStyle w:val="61"/>
        <w:rPr>
          <w:rFonts w:hint="eastAsia" w:ascii="仿宋" w:hAnsi="仿宋" w:eastAsia="仿宋" w:cs="仿宋"/>
          <w:color w:val="auto"/>
          <w:highlight w:val="none"/>
        </w:rPr>
      </w:pPr>
    </w:p>
    <w:p w14:paraId="172111F7">
      <w:pPr>
        <w:pStyle w:val="61"/>
        <w:rPr>
          <w:rFonts w:hint="eastAsia" w:ascii="仿宋" w:hAnsi="仿宋" w:eastAsia="仿宋" w:cs="仿宋"/>
          <w:color w:val="auto"/>
          <w:highlight w:val="none"/>
        </w:rPr>
      </w:pPr>
    </w:p>
    <w:p w14:paraId="28F98DFF">
      <w:pPr>
        <w:pStyle w:val="61"/>
        <w:rPr>
          <w:rFonts w:hint="eastAsia" w:ascii="仿宋" w:hAnsi="仿宋" w:eastAsia="仿宋" w:cs="仿宋"/>
          <w:color w:val="auto"/>
          <w:highlight w:val="none"/>
        </w:rPr>
      </w:pPr>
    </w:p>
    <w:p w14:paraId="25665755">
      <w:pPr>
        <w:pStyle w:val="61"/>
        <w:rPr>
          <w:rFonts w:hint="eastAsia" w:ascii="仿宋" w:hAnsi="仿宋" w:eastAsia="仿宋" w:cs="仿宋"/>
          <w:color w:val="auto"/>
          <w:highlight w:val="none"/>
        </w:rPr>
      </w:pPr>
    </w:p>
    <w:p w14:paraId="6CC9F1C6">
      <w:pPr>
        <w:pStyle w:val="61"/>
        <w:rPr>
          <w:rFonts w:hint="eastAsia" w:ascii="仿宋" w:hAnsi="仿宋" w:eastAsia="仿宋" w:cs="仿宋"/>
          <w:color w:val="auto"/>
          <w:highlight w:val="none"/>
        </w:rPr>
      </w:pPr>
    </w:p>
    <w:p w14:paraId="7587F822">
      <w:pPr>
        <w:widowControl/>
        <w:spacing w:line="360" w:lineRule="auto"/>
        <w:ind w:left="150"/>
        <w:jc w:val="center"/>
        <w:rPr>
          <w:rFonts w:hint="eastAsia" w:ascii="仿宋" w:hAnsi="仿宋" w:eastAsia="仿宋" w:cs="仿宋"/>
          <w:color w:val="auto"/>
          <w:highlight w:val="none"/>
        </w:rPr>
      </w:pPr>
    </w:p>
    <w:p w14:paraId="11B04F94">
      <w:pPr>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br w:type="page"/>
      </w:r>
    </w:p>
    <w:p w14:paraId="5E6D9D6E">
      <w:pPr>
        <w:widowControl/>
        <w:spacing w:line="360" w:lineRule="auto"/>
        <w:ind w:left="15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二</w:t>
      </w:r>
      <w:r>
        <w:rPr>
          <w:rFonts w:hint="eastAsia" w:ascii="仿宋" w:hAnsi="仿宋" w:eastAsia="仿宋" w:cs="仿宋"/>
          <w:b/>
          <w:color w:val="auto"/>
          <w:kern w:val="0"/>
          <w:sz w:val="28"/>
          <w:szCs w:val="28"/>
          <w:highlight w:val="none"/>
        </w:rPr>
        <w:t>、本项目的特定资格要求</w:t>
      </w:r>
    </w:p>
    <w:p w14:paraId="604A3E7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（根据交易公告本项目的特定资格要求提供相应的材料；未要求的，无需提供）</w:t>
      </w:r>
    </w:p>
    <w:p w14:paraId="0BBA2054">
      <w:pPr>
        <w:rPr>
          <w:rFonts w:hint="eastAsia" w:ascii="仿宋" w:hAnsi="仿宋" w:eastAsia="仿宋" w:cs="仿宋"/>
          <w:color w:val="auto"/>
          <w:highlight w:val="none"/>
        </w:rPr>
      </w:pPr>
    </w:p>
    <w:p w14:paraId="6C07BBF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0498571">
      <w:pPr>
        <w:spacing w:line="360" w:lineRule="auto"/>
        <w:ind w:right="42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商务技术文件部分</w:t>
      </w:r>
      <w:bookmarkStart w:id="456" w:name="_Toc4386"/>
    </w:p>
    <w:p w14:paraId="1B37239B">
      <w:pPr>
        <w:spacing w:line="360" w:lineRule="auto"/>
        <w:ind w:right="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目录</w:t>
      </w:r>
      <w:bookmarkEnd w:id="456"/>
    </w:p>
    <w:p w14:paraId="1F409061">
      <w:pPr>
        <w:numPr>
          <w:ilvl w:val="0"/>
          <w:numId w:val="1"/>
        </w:numPr>
        <w:snapToGrid w:val="0"/>
        <w:spacing w:line="360" w:lineRule="auto"/>
        <w:ind w:left="0" w:leftChars="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响应函</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13574EF8">
      <w:pPr>
        <w:numPr>
          <w:ilvl w:val="0"/>
          <w:numId w:val="1"/>
        </w:numPr>
        <w:snapToGrid w:val="0"/>
        <w:spacing w:line="360" w:lineRule="auto"/>
        <w:ind w:left="0" w:leftChars="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授权委托书或法定代表人（单位负责人、自然人本人）身份证明…………………………………（页码）</w:t>
      </w:r>
    </w:p>
    <w:p w14:paraId="3EA5FA56">
      <w:pPr>
        <w:numPr>
          <w:ilvl w:val="0"/>
          <w:numId w:val="1"/>
        </w:numPr>
        <w:snapToGrid w:val="0"/>
        <w:spacing w:line="360" w:lineRule="auto"/>
        <w:ind w:left="0" w:leftChars="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营业执照</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3F57F77B">
      <w:pPr>
        <w:numPr>
          <w:ilvl w:val="0"/>
          <w:numId w:val="1"/>
        </w:numPr>
        <w:snapToGrid w:val="0"/>
        <w:spacing w:line="360" w:lineRule="auto"/>
        <w:ind w:left="0" w:leftChars="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符合性审查资料</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5500803D">
      <w:pPr>
        <w:numPr>
          <w:ilvl w:val="0"/>
          <w:numId w:val="1"/>
        </w:numPr>
        <w:snapToGrid w:val="0"/>
        <w:spacing w:line="360" w:lineRule="auto"/>
        <w:ind w:left="0" w:leftChars="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评标标准相应的商务技术资料</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772D0858">
      <w:pPr>
        <w:numPr>
          <w:ilvl w:val="0"/>
          <w:numId w:val="1"/>
        </w:numPr>
        <w:snapToGrid w:val="0"/>
        <w:spacing w:line="360" w:lineRule="auto"/>
        <w:ind w:left="0" w:leftChars="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商务技术偏离表</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010A1AB2">
      <w:pPr>
        <w:numPr>
          <w:ilvl w:val="0"/>
          <w:numId w:val="1"/>
        </w:numPr>
        <w:snapToGrid w:val="0"/>
        <w:spacing w:line="360" w:lineRule="auto"/>
        <w:ind w:left="0" w:leftChars="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供应商廉洁自律承诺书</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42EA158C">
      <w:pPr>
        <w:snapToGrid w:val="0"/>
        <w:spacing w:line="360" w:lineRule="auto"/>
        <w:ind w:left="479" w:leftChars="228"/>
        <w:rPr>
          <w:rFonts w:hint="eastAsia" w:ascii="仿宋" w:hAnsi="仿宋" w:eastAsia="仿宋" w:cs="仿宋"/>
          <w:color w:val="auto"/>
          <w:highlight w:val="none"/>
        </w:rPr>
      </w:pPr>
    </w:p>
    <w:p w14:paraId="14661D05">
      <w:pPr>
        <w:snapToGrid w:val="0"/>
        <w:spacing w:line="360" w:lineRule="auto"/>
        <w:jc w:val="center"/>
        <w:rPr>
          <w:rFonts w:hint="eastAsia" w:ascii="仿宋" w:hAnsi="仿宋" w:eastAsia="仿宋" w:cs="仿宋"/>
          <w:b/>
          <w:color w:val="auto"/>
          <w:kern w:val="0"/>
          <w:sz w:val="32"/>
          <w:szCs w:val="32"/>
          <w:highlight w:val="none"/>
          <w:lang w:val="zh-CN"/>
        </w:rPr>
      </w:pPr>
    </w:p>
    <w:p w14:paraId="798D595F">
      <w:pPr>
        <w:snapToGrid w:val="0"/>
        <w:spacing w:line="360" w:lineRule="auto"/>
        <w:jc w:val="center"/>
        <w:rPr>
          <w:rFonts w:hint="eastAsia" w:ascii="仿宋" w:hAnsi="仿宋" w:eastAsia="仿宋" w:cs="仿宋"/>
          <w:b/>
          <w:color w:val="auto"/>
          <w:kern w:val="0"/>
          <w:sz w:val="32"/>
          <w:szCs w:val="32"/>
          <w:highlight w:val="none"/>
          <w:lang w:val="zh-CN"/>
        </w:rPr>
      </w:pPr>
    </w:p>
    <w:p w14:paraId="1A5230CA">
      <w:pPr>
        <w:snapToGrid w:val="0"/>
        <w:spacing w:line="360" w:lineRule="auto"/>
        <w:jc w:val="center"/>
        <w:rPr>
          <w:rFonts w:hint="eastAsia" w:ascii="仿宋" w:hAnsi="仿宋" w:eastAsia="仿宋" w:cs="仿宋"/>
          <w:b/>
          <w:color w:val="auto"/>
          <w:kern w:val="0"/>
          <w:sz w:val="32"/>
          <w:szCs w:val="32"/>
          <w:highlight w:val="none"/>
          <w:lang w:val="zh-CN"/>
        </w:rPr>
      </w:pPr>
    </w:p>
    <w:p w14:paraId="00499564">
      <w:pPr>
        <w:snapToGrid w:val="0"/>
        <w:spacing w:line="360" w:lineRule="auto"/>
        <w:ind w:firstLine="3855" w:firstLineChars="1200"/>
        <w:outlineLvl w:val="0"/>
        <w:rPr>
          <w:rFonts w:hint="eastAsia" w:ascii="仿宋" w:hAnsi="仿宋" w:eastAsia="仿宋" w:cs="仿宋"/>
          <w:b/>
          <w:color w:val="auto"/>
          <w:kern w:val="0"/>
          <w:sz w:val="32"/>
          <w:szCs w:val="32"/>
          <w:highlight w:val="none"/>
        </w:rPr>
        <w:sectPr>
          <w:pgSz w:w="11905" w:h="16838"/>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bookmarkStart w:id="457" w:name="_Toc6607"/>
    </w:p>
    <w:p w14:paraId="3CB9BCE6">
      <w:pPr>
        <w:snapToGrid w:val="0"/>
        <w:spacing w:line="360" w:lineRule="auto"/>
        <w:jc w:val="center"/>
        <w:outlineLvl w:val="0"/>
        <w:rPr>
          <w:rFonts w:hint="eastAsia" w:ascii="仿宋" w:hAnsi="仿宋" w:eastAsia="仿宋" w:cs="仿宋"/>
          <w:b/>
          <w:color w:val="auto"/>
          <w:sz w:val="28"/>
          <w:szCs w:val="28"/>
          <w:highlight w:val="none"/>
        </w:rPr>
      </w:pPr>
      <w:bookmarkStart w:id="458" w:name="_Toc26459"/>
      <w:bookmarkStart w:id="459" w:name="_Toc9133"/>
      <w:bookmarkStart w:id="460" w:name="_Toc25367"/>
      <w:r>
        <w:rPr>
          <w:rFonts w:hint="eastAsia" w:ascii="仿宋" w:hAnsi="仿宋" w:eastAsia="仿宋" w:cs="仿宋"/>
          <w:b/>
          <w:color w:val="auto"/>
          <w:kern w:val="0"/>
          <w:sz w:val="28"/>
          <w:szCs w:val="28"/>
          <w:highlight w:val="none"/>
        </w:rPr>
        <w:t>一、响应</w:t>
      </w:r>
      <w:r>
        <w:rPr>
          <w:rFonts w:hint="eastAsia" w:ascii="仿宋" w:hAnsi="仿宋" w:eastAsia="仿宋" w:cs="仿宋"/>
          <w:b/>
          <w:color w:val="auto"/>
          <w:sz w:val="28"/>
          <w:szCs w:val="28"/>
          <w:highlight w:val="none"/>
        </w:rPr>
        <w:t>函</w:t>
      </w:r>
      <w:bookmarkEnd w:id="457"/>
      <w:bookmarkEnd w:id="458"/>
      <w:bookmarkEnd w:id="459"/>
      <w:bookmarkEnd w:id="460"/>
    </w:p>
    <w:p w14:paraId="50E746CC">
      <w:pPr>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（交易发起人）、（代理机构）：</w:t>
      </w:r>
    </w:p>
    <w:p w14:paraId="0F668F8F">
      <w:pPr>
        <w:snapToGrid w:val="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我方参加你方组织的</w:t>
      </w:r>
      <w:r>
        <w:rPr>
          <w:rFonts w:hint="eastAsia" w:ascii="仿宋" w:hAnsi="仿宋" w:eastAsia="仿宋" w:cs="仿宋"/>
          <w:color w:val="auto"/>
          <w:sz w:val="21"/>
          <w:szCs w:val="21"/>
          <w:highlight w:val="none"/>
          <w:u w:val="single"/>
        </w:rPr>
        <w:t>（项目名称）【交易编号：        】</w:t>
      </w: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的有关活动，并对此项目进行</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。为此：</w:t>
      </w:r>
    </w:p>
    <w:p w14:paraId="108D8B75">
      <w:pPr>
        <w:snapToGrid w:val="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1、我方承诺交易有效期从提交响应文件的截止之日起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天（不少于90天），本响应文件在交易有效期满之前均具有约束力。</w:t>
      </w:r>
    </w:p>
    <w:p w14:paraId="621417A3">
      <w:pPr>
        <w:snapToGrid w:val="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2、我方的响应文件包括以下内容：</w:t>
      </w:r>
    </w:p>
    <w:p w14:paraId="12F53C25">
      <w:pPr>
        <w:snapToGrid w:val="0"/>
        <w:spacing w:line="440" w:lineRule="exact"/>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2.1资格文件：</w:t>
      </w:r>
    </w:p>
    <w:p w14:paraId="23BAB9F8">
      <w:pPr>
        <w:snapToGrid w:val="0"/>
        <w:spacing w:line="440" w:lineRule="exact"/>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2.1.1承诺函；</w:t>
      </w:r>
    </w:p>
    <w:p w14:paraId="00495F47">
      <w:pPr>
        <w:snapToGrid w:val="0"/>
        <w:spacing w:line="440" w:lineRule="exact"/>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2.1.2本项目的特定资格要求（如果有）。</w:t>
      </w:r>
    </w:p>
    <w:p w14:paraId="7FD6F33C">
      <w:pPr>
        <w:snapToGrid w:val="0"/>
        <w:spacing w:line="440" w:lineRule="exact"/>
        <w:ind w:left="210" w:leftChars="100"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14:paraId="47564F4F">
      <w:pPr>
        <w:snapToGrid w:val="0"/>
        <w:spacing w:line="440" w:lineRule="exact"/>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w:t>
      </w:r>
      <w:r>
        <w:rPr>
          <w:rFonts w:hint="eastAsia" w:ascii="仿宋" w:hAnsi="仿宋" w:eastAsia="仿宋" w:cs="仿宋"/>
          <w:color w:val="auto"/>
          <w:sz w:val="21"/>
          <w:szCs w:val="21"/>
          <w:highlight w:val="none"/>
          <w:lang w:eastAsia="zh-CN"/>
        </w:rPr>
        <w:t>响应函</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 xml:space="preserve"> </w:t>
      </w:r>
    </w:p>
    <w:p w14:paraId="51A637BB">
      <w:pPr>
        <w:snapToGrid w:val="0"/>
        <w:spacing w:line="440" w:lineRule="exact"/>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2.2.2授权委托书或法定代表人（单位负责人）身份证明；</w:t>
      </w:r>
    </w:p>
    <w:p w14:paraId="0D2F8BB5">
      <w:pPr>
        <w:snapToGrid w:val="0"/>
        <w:spacing w:line="440" w:lineRule="exact"/>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w:t>
      </w:r>
      <w:r>
        <w:rPr>
          <w:rFonts w:hint="eastAsia" w:ascii="仿宋" w:hAnsi="仿宋" w:eastAsia="仿宋" w:cs="仿宋"/>
          <w:color w:val="auto"/>
          <w:sz w:val="21"/>
          <w:szCs w:val="21"/>
          <w:highlight w:val="none"/>
          <w:lang w:val="en-US" w:eastAsia="zh-CN"/>
        </w:rPr>
        <w:t>营业执照</w:t>
      </w:r>
      <w:r>
        <w:rPr>
          <w:rFonts w:hint="eastAsia" w:ascii="仿宋" w:hAnsi="仿宋" w:eastAsia="仿宋" w:cs="仿宋"/>
          <w:color w:val="auto"/>
          <w:sz w:val="21"/>
          <w:szCs w:val="21"/>
          <w:highlight w:val="none"/>
        </w:rPr>
        <w:t>；</w:t>
      </w:r>
    </w:p>
    <w:p w14:paraId="4D25C0C7">
      <w:pPr>
        <w:snapToGrid w:val="0"/>
        <w:spacing w:line="440" w:lineRule="exact"/>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2.2.4符合性审查资料；</w:t>
      </w:r>
    </w:p>
    <w:p w14:paraId="110C9B81">
      <w:pPr>
        <w:snapToGrid w:val="0"/>
        <w:spacing w:line="440" w:lineRule="exact"/>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2.2.5评审标准相应的商务技术资料；</w:t>
      </w:r>
    </w:p>
    <w:p w14:paraId="720BCE4D">
      <w:pPr>
        <w:snapToGrid w:val="0"/>
        <w:spacing w:line="440" w:lineRule="exact"/>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2.2.6商务技术偏离表；</w:t>
      </w:r>
    </w:p>
    <w:p w14:paraId="520A3A28">
      <w:pPr>
        <w:snapToGrid w:val="0"/>
        <w:spacing w:line="440" w:lineRule="exact"/>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2.2.7</w:t>
      </w:r>
      <w:r>
        <w:rPr>
          <w:rFonts w:hint="eastAsia" w:ascii="仿宋" w:hAnsi="仿宋" w:eastAsia="仿宋" w:cs="仿宋"/>
          <w:color w:val="auto"/>
          <w:sz w:val="21"/>
          <w:szCs w:val="21"/>
          <w:highlight w:val="none"/>
          <w:lang w:val="zh-CN"/>
        </w:rPr>
        <w:t>供应商廉洁自律承诺书。</w:t>
      </w:r>
    </w:p>
    <w:p w14:paraId="7335BCEC">
      <w:pPr>
        <w:snapToGrid w:val="0"/>
        <w:spacing w:line="440" w:lineRule="exact"/>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3报价文件</w:t>
      </w:r>
    </w:p>
    <w:p w14:paraId="6FA36949">
      <w:pPr>
        <w:snapToGrid w:val="0"/>
        <w:spacing w:line="440" w:lineRule="exact"/>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2.3.1交易一览表（报价表）。</w:t>
      </w:r>
    </w:p>
    <w:p w14:paraId="6B75B1A4">
      <w:pPr>
        <w:snapToGrid w:val="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3、我方承诺除商务技术偏离表列出的偏离外，我方响应</w:t>
      </w:r>
      <w:r>
        <w:rPr>
          <w:rFonts w:hint="eastAsia" w:ascii="仿宋" w:hAnsi="仿宋" w:eastAsia="仿宋" w:cs="仿宋"/>
          <w:color w:val="auto"/>
          <w:sz w:val="21"/>
          <w:szCs w:val="21"/>
          <w:highlight w:val="none"/>
          <w:lang w:eastAsia="zh-CN"/>
        </w:rPr>
        <w:t>交易文件</w:t>
      </w:r>
      <w:r>
        <w:rPr>
          <w:rFonts w:hint="eastAsia" w:ascii="仿宋" w:hAnsi="仿宋" w:eastAsia="仿宋" w:cs="仿宋"/>
          <w:color w:val="auto"/>
          <w:sz w:val="21"/>
          <w:szCs w:val="21"/>
          <w:highlight w:val="none"/>
        </w:rPr>
        <w:t>的全部要求。</w:t>
      </w:r>
    </w:p>
    <w:p w14:paraId="2367F363">
      <w:pPr>
        <w:snapToGrid w:val="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4、如我方成交，我方承诺：</w:t>
      </w:r>
    </w:p>
    <w:p w14:paraId="54A90459">
      <w:pPr>
        <w:snapToGrid w:val="0"/>
        <w:spacing w:line="440" w:lineRule="exact"/>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4.1在收到成交通知书后，在成交通知书规定的期限内与你方签订合同； </w:t>
      </w:r>
    </w:p>
    <w:p w14:paraId="31B6071B">
      <w:pPr>
        <w:snapToGrid w:val="0"/>
        <w:spacing w:line="440" w:lineRule="exact"/>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4.2在签订合同时不向你方提出附加条件； </w:t>
      </w:r>
    </w:p>
    <w:p w14:paraId="51295300">
      <w:pPr>
        <w:snapToGrid w:val="0"/>
        <w:spacing w:line="440" w:lineRule="exact"/>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4.3按照</w:t>
      </w:r>
      <w:r>
        <w:rPr>
          <w:rFonts w:hint="eastAsia" w:ascii="仿宋" w:hAnsi="仿宋" w:eastAsia="仿宋" w:cs="仿宋"/>
          <w:color w:val="auto"/>
          <w:sz w:val="21"/>
          <w:szCs w:val="21"/>
          <w:highlight w:val="none"/>
          <w:lang w:eastAsia="zh-CN"/>
        </w:rPr>
        <w:t>交易文件</w:t>
      </w:r>
      <w:r>
        <w:rPr>
          <w:rFonts w:hint="eastAsia" w:ascii="仿宋" w:hAnsi="仿宋" w:eastAsia="仿宋" w:cs="仿宋"/>
          <w:color w:val="auto"/>
          <w:sz w:val="21"/>
          <w:szCs w:val="21"/>
          <w:highlight w:val="none"/>
        </w:rPr>
        <w:t xml:space="preserve">要求提交履约保证金； </w:t>
      </w:r>
    </w:p>
    <w:p w14:paraId="6289F682">
      <w:pPr>
        <w:snapToGrid w:val="0"/>
        <w:spacing w:line="440" w:lineRule="exact"/>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4.4在合同约定的期限内完成合同规定的全部义务。 </w:t>
      </w:r>
    </w:p>
    <w:p w14:paraId="115ED8CE">
      <w:pPr>
        <w:snapToGrid w:val="0"/>
        <w:spacing w:line="440" w:lineRule="exact"/>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5、其他补充说明: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9DB8FA3">
      <w:pPr>
        <w:spacing w:line="440" w:lineRule="exact"/>
        <w:ind w:firstLine="3150" w:firstLineChars="15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响应人名称（电子签名）：                          </w:t>
      </w:r>
    </w:p>
    <w:p w14:paraId="554557C0">
      <w:pPr>
        <w:spacing w:line="440" w:lineRule="exact"/>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sz w:val="21"/>
          <w:szCs w:val="21"/>
          <w:highlight w:val="none"/>
        </w:rPr>
        <w:t xml:space="preserve">     日期：  年   月   日</w:t>
      </w:r>
    </w:p>
    <w:p w14:paraId="2FEAA27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注：按本格式和要求提供。</w:t>
      </w:r>
    </w:p>
    <w:p w14:paraId="2871BB7A">
      <w:pPr>
        <w:snapToGrid w:val="0"/>
        <w:spacing w:line="360" w:lineRule="auto"/>
        <w:jc w:val="center"/>
        <w:rPr>
          <w:rFonts w:hint="eastAsia" w:ascii="仿宋" w:hAnsi="仿宋" w:eastAsia="仿宋" w:cs="仿宋"/>
          <w:b/>
          <w:color w:val="auto"/>
          <w:kern w:val="0"/>
          <w:sz w:val="32"/>
          <w:szCs w:val="32"/>
          <w:highlight w:val="none"/>
        </w:rPr>
      </w:pPr>
    </w:p>
    <w:p w14:paraId="7109543B">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61" w:name="_Toc26863"/>
      <w:bookmarkStart w:id="462" w:name="_Toc25586"/>
      <w:bookmarkStart w:id="463" w:name="_Toc2183"/>
      <w:r>
        <w:rPr>
          <w:rFonts w:hint="eastAsia" w:ascii="仿宋" w:hAnsi="仿宋" w:eastAsia="仿宋" w:cs="仿宋"/>
          <w:b/>
          <w:color w:val="auto"/>
          <w:kern w:val="0"/>
          <w:sz w:val="28"/>
          <w:szCs w:val="28"/>
          <w:highlight w:val="none"/>
          <w:lang w:val="zh-CN"/>
        </w:rPr>
        <w:t>二、授权委托书或法定代表人（单位负责人、自然人本人）身份证明</w:t>
      </w:r>
      <w:bookmarkEnd w:id="461"/>
      <w:bookmarkEnd w:id="462"/>
      <w:bookmarkEnd w:id="463"/>
    </w:p>
    <w:p w14:paraId="549F848B">
      <w:pPr>
        <w:snapToGrid w:val="0"/>
        <w:spacing w:line="360" w:lineRule="auto"/>
        <w:jc w:val="center"/>
        <w:rPr>
          <w:rFonts w:hint="eastAsia" w:ascii="仿宋" w:hAnsi="仿宋" w:eastAsia="仿宋" w:cs="仿宋"/>
          <w:b/>
          <w:color w:val="auto"/>
          <w:kern w:val="0"/>
          <w:sz w:val="32"/>
          <w:szCs w:val="32"/>
          <w:highlight w:val="none"/>
          <w:lang w:val="zh-CN"/>
        </w:rPr>
      </w:pPr>
    </w:p>
    <w:p w14:paraId="2CC7AF2A">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24"/>
          <w:szCs w:val="24"/>
          <w:highlight w:val="none"/>
          <w:lang w:val="zh-CN"/>
        </w:rPr>
        <w:t>授权委托书</w:t>
      </w:r>
    </w:p>
    <w:p w14:paraId="378027EB">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rPr>
        <w:t>（交易发起人）、（代理机构）</w:t>
      </w:r>
      <w:r>
        <w:rPr>
          <w:rFonts w:hint="eastAsia" w:ascii="仿宋" w:hAnsi="仿宋" w:eastAsia="仿宋" w:cs="仿宋"/>
          <w:color w:val="auto"/>
          <w:kern w:val="0"/>
          <w:sz w:val="21"/>
          <w:szCs w:val="21"/>
          <w:highlight w:val="none"/>
          <w:lang w:val="zh-CN"/>
        </w:rPr>
        <w:t>：</w:t>
      </w:r>
    </w:p>
    <w:p w14:paraId="7E5B20DD">
      <w:pPr>
        <w:snapToGrid w:val="0"/>
        <w:spacing w:line="360" w:lineRule="auto"/>
        <w:ind w:firstLine="57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sz w:val="21"/>
          <w:szCs w:val="21"/>
          <w:highlight w:val="none"/>
          <w:lang w:eastAsia="zh-CN"/>
        </w:rPr>
        <w:t>（项目名称）</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交易编号</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响应的一切事项，其法律后果由我方承担。</w:t>
      </w:r>
    </w:p>
    <w:p w14:paraId="37D497FA">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日起至</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日止。</w:t>
      </w:r>
    </w:p>
    <w:p w14:paraId="7DD595DD">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特此告知。</w:t>
      </w:r>
    </w:p>
    <w:p w14:paraId="536998A0">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供应商名称(电子签名)：</w:t>
      </w:r>
    </w:p>
    <w:p w14:paraId="4CB881C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1"/>
          <w:szCs w:val="21"/>
          <w:highlight w:val="none"/>
          <w:lang w:val="zh-CN"/>
        </w:rPr>
        <w:t xml:space="preserve">                                                 签发日期：  年  月   日</w:t>
      </w:r>
    </w:p>
    <w:p w14:paraId="5C20361F">
      <w:pPr>
        <w:snapToGrid w:val="0"/>
        <w:spacing w:line="360" w:lineRule="auto"/>
        <w:rPr>
          <w:rFonts w:hint="eastAsia" w:ascii="仿宋" w:hAnsi="仿宋" w:eastAsia="仿宋" w:cs="仿宋"/>
          <w:color w:val="auto"/>
          <w:sz w:val="24"/>
          <w:highlight w:val="none"/>
        </w:rPr>
      </w:pPr>
    </w:p>
    <w:p w14:paraId="5CCF7E93">
      <w:pPr>
        <w:autoSpaceDE w:val="0"/>
        <w:autoSpaceDN w:val="0"/>
        <w:spacing w:line="360" w:lineRule="auto"/>
        <w:jc w:val="center"/>
        <w:rPr>
          <w:rFonts w:hint="eastAsia" w:ascii="仿宋" w:hAnsi="仿宋" w:eastAsia="仿宋" w:cs="仿宋"/>
          <w:b/>
          <w:color w:val="auto"/>
          <w:kern w:val="0"/>
          <w:sz w:val="24"/>
          <w:szCs w:val="24"/>
          <w:highlight w:val="none"/>
          <w:lang w:val="zh-CN"/>
        </w:rPr>
      </w:pPr>
    </w:p>
    <w:p w14:paraId="1A756E8C">
      <w:pPr>
        <w:autoSpaceDE w:val="0"/>
        <w:autoSpaceDN w:val="0"/>
        <w:spacing w:line="360" w:lineRule="auto"/>
        <w:jc w:val="center"/>
        <w:rPr>
          <w:rFonts w:hint="eastAsia" w:ascii="仿宋" w:hAnsi="仿宋" w:eastAsia="仿宋" w:cs="仿宋"/>
          <w:b/>
          <w:color w:val="auto"/>
          <w:kern w:val="0"/>
          <w:sz w:val="24"/>
          <w:szCs w:val="24"/>
          <w:highlight w:val="none"/>
          <w:lang w:val="zh-CN"/>
        </w:rPr>
      </w:pPr>
    </w:p>
    <w:p w14:paraId="73B7F2C9">
      <w:pPr>
        <w:autoSpaceDE w:val="0"/>
        <w:autoSpaceDN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zh-CN"/>
        </w:rPr>
        <w:t>法定代表人、单位负责人或自然人本人</w:t>
      </w:r>
      <w:r>
        <w:rPr>
          <w:rFonts w:hint="eastAsia" w:ascii="仿宋" w:hAnsi="仿宋" w:eastAsia="仿宋" w:cs="仿宋"/>
          <w:b/>
          <w:color w:val="auto"/>
          <w:sz w:val="24"/>
          <w:szCs w:val="24"/>
          <w:highlight w:val="none"/>
        </w:rPr>
        <w:t>的身份证明（适用于法定代表人、单位负责人或者自然人本人代表供应商参加响应）</w:t>
      </w:r>
    </w:p>
    <w:p w14:paraId="180AAE15">
      <w:pPr>
        <w:pStyle w:val="179"/>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6"/>
      </w:tblGrid>
      <w:tr w14:paraId="43DD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626" w:type="dxa"/>
            <w:noWrap w:val="0"/>
            <w:vAlign w:val="top"/>
          </w:tcPr>
          <w:p w14:paraId="314EE235">
            <w:pPr>
              <w:pStyle w:val="179"/>
              <w:adjustRightIn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正面：                                 </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rPr>
              <w:t>反面：</w:t>
            </w:r>
          </w:p>
          <w:p w14:paraId="0F310536">
            <w:pPr>
              <w:pStyle w:val="179"/>
              <w:adjustRightInd w:val="0"/>
              <w:spacing w:line="360" w:lineRule="auto"/>
              <w:rPr>
                <w:rFonts w:hint="eastAsia" w:ascii="仿宋" w:hAnsi="仿宋" w:eastAsia="仿宋" w:cs="仿宋"/>
                <w:bCs/>
                <w:color w:val="auto"/>
                <w:sz w:val="21"/>
                <w:szCs w:val="21"/>
                <w:highlight w:val="none"/>
              </w:rPr>
            </w:pPr>
          </w:p>
        </w:tc>
      </w:tr>
    </w:tbl>
    <w:p w14:paraId="3CEF4800">
      <w:pPr>
        <w:snapToGrid w:val="0"/>
        <w:spacing w:line="360" w:lineRule="auto"/>
        <w:ind w:firstLine="576"/>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供应商名称(电子签名)：                              </w:t>
      </w:r>
    </w:p>
    <w:p w14:paraId="116708B3">
      <w:pPr>
        <w:spacing w:line="360" w:lineRule="auto"/>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107DE61C">
      <w:pPr>
        <w:jc w:val="center"/>
        <w:rPr>
          <w:rFonts w:hint="eastAsia" w:ascii="仿宋" w:hAnsi="仿宋" w:eastAsia="仿宋" w:cs="仿宋"/>
          <w:b/>
          <w:color w:val="auto"/>
          <w:kern w:val="0"/>
          <w:sz w:val="32"/>
          <w:szCs w:val="32"/>
          <w:highlight w:val="none"/>
        </w:rPr>
      </w:pPr>
    </w:p>
    <w:p w14:paraId="3B5C3119">
      <w:pPr>
        <w:snapToGrid/>
        <w:spacing w:line="240" w:lineRule="auto"/>
        <w:jc w:val="left"/>
        <w:outlineLvl w:val="9"/>
        <w:rPr>
          <w:rFonts w:hint="eastAsia" w:ascii="仿宋" w:hAnsi="仿宋" w:eastAsia="仿宋" w:cs="仿宋"/>
          <w:b/>
          <w:color w:val="auto"/>
          <w:kern w:val="0"/>
          <w:sz w:val="32"/>
          <w:szCs w:val="32"/>
          <w:highlight w:val="none"/>
          <w:lang w:val="zh-CN"/>
        </w:rPr>
      </w:pPr>
      <w:bookmarkStart w:id="464" w:name="_Toc9018"/>
      <w:bookmarkStart w:id="465" w:name="_Toc25489"/>
      <w:bookmarkStart w:id="466" w:name="_Toc6149"/>
      <w:r>
        <w:rPr>
          <w:rFonts w:hint="eastAsia" w:ascii="仿宋" w:hAnsi="仿宋" w:eastAsia="仿宋" w:cs="仿宋"/>
          <w:b/>
          <w:color w:val="auto"/>
          <w:kern w:val="0"/>
          <w:sz w:val="32"/>
          <w:szCs w:val="32"/>
          <w:highlight w:val="none"/>
          <w:lang w:val="zh-CN"/>
        </w:rPr>
        <w:br w:type="page"/>
      </w:r>
    </w:p>
    <w:bookmarkEnd w:id="464"/>
    <w:bookmarkEnd w:id="465"/>
    <w:bookmarkEnd w:id="466"/>
    <w:p w14:paraId="104BC790">
      <w:pPr>
        <w:numPr>
          <w:ilvl w:val="0"/>
          <w:numId w:val="2"/>
        </w:numPr>
        <w:snapToGrid w:val="0"/>
        <w:spacing w:line="360" w:lineRule="auto"/>
        <w:jc w:val="center"/>
        <w:outlineLvl w:val="0"/>
        <w:rPr>
          <w:rFonts w:hint="eastAsia" w:ascii="仿宋" w:hAnsi="仿宋" w:eastAsia="仿宋" w:cs="仿宋"/>
          <w:b/>
          <w:color w:val="auto"/>
          <w:kern w:val="0"/>
          <w:sz w:val="28"/>
          <w:szCs w:val="28"/>
          <w:highlight w:val="none"/>
          <w:lang w:val="zh-CN" w:eastAsia="zh-CN"/>
        </w:rPr>
      </w:pPr>
      <w:r>
        <w:rPr>
          <w:rFonts w:hint="eastAsia" w:ascii="仿宋" w:hAnsi="仿宋" w:eastAsia="仿宋" w:cs="仿宋"/>
          <w:b/>
          <w:color w:val="auto"/>
          <w:kern w:val="0"/>
          <w:sz w:val="28"/>
          <w:szCs w:val="28"/>
          <w:highlight w:val="none"/>
          <w:lang w:val="zh-CN" w:eastAsia="zh-CN"/>
        </w:rPr>
        <w:t>营业执照</w:t>
      </w:r>
    </w:p>
    <w:p w14:paraId="192C9617">
      <w:pPr>
        <w:snapToGrid w:val="0"/>
        <w:spacing w:line="360" w:lineRule="auto"/>
        <w:ind w:firstLine="576"/>
        <w:jc w:val="both"/>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①如供应商是企业（包括合伙企业），提供在工商部门注册的有效“企业法人营业执照”或“营业执照”；</w:t>
      </w:r>
    </w:p>
    <w:p w14:paraId="0B744F97">
      <w:pPr>
        <w:snapToGrid w:val="0"/>
        <w:spacing w:line="360" w:lineRule="auto"/>
        <w:ind w:firstLine="576"/>
        <w:jc w:val="both"/>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②如供应商是事业单位，提供有效的“事业单位法人证书”；</w:t>
      </w:r>
    </w:p>
    <w:p w14:paraId="6DEFCD7F">
      <w:pPr>
        <w:snapToGrid w:val="0"/>
        <w:spacing w:line="360" w:lineRule="auto"/>
        <w:ind w:firstLine="576"/>
        <w:jc w:val="both"/>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③如供应商是非企业专业服务机构的，提供执业许可证等证明文件；如供应商是个体工商户，提供有效的“个体工商户营业执照”；</w:t>
      </w:r>
    </w:p>
    <w:p w14:paraId="116C8F14">
      <w:pPr>
        <w:snapToGrid w:val="0"/>
        <w:spacing w:line="360" w:lineRule="auto"/>
        <w:ind w:firstLine="576"/>
        <w:jc w:val="both"/>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④如供应商是自然人，提供有效的自然人身份证明（居民身份证正反面或公安机关出具的临时居民身份证正反面或港澳台胞证或护照）。</w:t>
      </w:r>
    </w:p>
    <w:p w14:paraId="46E7D199">
      <w:pPr>
        <w:snapToGrid w:val="0"/>
        <w:spacing w:line="360" w:lineRule="auto"/>
        <w:ind w:firstLine="576"/>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⑤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w:t>
      </w:r>
      <w:r>
        <w:rPr>
          <w:rFonts w:hint="eastAsia" w:ascii="仿宋" w:hAnsi="仿宋" w:eastAsia="仿宋" w:cs="仿宋"/>
          <w:color w:val="auto"/>
          <w:kern w:val="0"/>
          <w:sz w:val="21"/>
          <w:szCs w:val="21"/>
          <w:highlight w:val="none"/>
          <w:lang w:val="en-US" w:eastAsia="zh-CN"/>
        </w:rPr>
        <w:t>交易</w:t>
      </w:r>
      <w:r>
        <w:rPr>
          <w:rFonts w:hint="eastAsia" w:ascii="仿宋" w:hAnsi="仿宋" w:eastAsia="仿宋" w:cs="仿宋"/>
          <w:color w:val="auto"/>
          <w:kern w:val="0"/>
          <w:sz w:val="21"/>
          <w:szCs w:val="21"/>
          <w:highlight w:val="none"/>
          <w:lang w:val="zh-CN"/>
        </w:rPr>
        <w:t>活动，由单位负责人签署相关文件材料；</w:t>
      </w:r>
    </w:p>
    <w:p w14:paraId="7550466E">
      <w:pPr>
        <w:numPr>
          <w:ilvl w:val="-1"/>
          <w:numId w:val="0"/>
        </w:numPr>
        <w:snapToGrid w:val="0"/>
        <w:spacing w:line="360" w:lineRule="auto"/>
        <w:jc w:val="both"/>
        <w:outlineLvl w:val="0"/>
        <w:rPr>
          <w:rFonts w:hint="eastAsia" w:ascii="仿宋" w:hAnsi="仿宋" w:eastAsia="仿宋" w:cs="仿宋"/>
          <w:b/>
          <w:color w:val="auto"/>
          <w:kern w:val="0"/>
          <w:sz w:val="28"/>
          <w:szCs w:val="28"/>
          <w:highlight w:val="none"/>
          <w:lang w:val="zh-CN" w:eastAsia="zh-CN"/>
        </w:rPr>
      </w:pPr>
    </w:p>
    <w:p w14:paraId="7ABE2394">
      <w:pPr>
        <w:snapToGrid w:val="0"/>
        <w:spacing w:line="360" w:lineRule="auto"/>
        <w:ind w:firstLine="576"/>
        <w:jc w:val="both"/>
        <w:rPr>
          <w:rFonts w:hint="eastAsia" w:ascii="仿宋" w:hAnsi="仿宋" w:eastAsia="仿宋" w:cs="仿宋"/>
          <w:color w:val="auto"/>
          <w:kern w:val="0"/>
          <w:sz w:val="24"/>
          <w:highlight w:val="none"/>
          <w:lang w:val="zh-CN"/>
        </w:rPr>
      </w:pPr>
    </w:p>
    <w:p w14:paraId="1B6E7B97">
      <w:pPr>
        <w:snapToGrid w:val="0"/>
        <w:spacing w:line="360" w:lineRule="auto"/>
        <w:ind w:firstLine="576"/>
        <w:jc w:val="center"/>
        <w:rPr>
          <w:rFonts w:hint="eastAsia" w:ascii="仿宋" w:hAnsi="仿宋" w:eastAsia="仿宋" w:cs="仿宋"/>
          <w:color w:val="auto"/>
          <w:kern w:val="0"/>
          <w:sz w:val="24"/>
          <w:highlight w:val="none"/>
          <w:lang w:val="zh-CN"/>
        </w:rPr>
      </w:pPr>
    </w:p>
    <w:p w14:paraId="4D6BDCD1">
      <w:pPr>
        <w:spacing w:line="360" w:lineRule="auto"/>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4"/>
          <w:highlight w:val="none"/>
          <w:lang w:val="en-US" w:eastAsia="zh-CN"/>
        </w:rPr>
        <w:t xml:space="preserve">                   </w:t>
      </w:r>
    </w:p>
    <w:p w14:paraId="1F681C05">
      <w:pPr>
        <w:jc w:val="center"/>
        <w:rPr>
          <w:rFonts w:hint="eastAsia" w:ascii="仿宋" w:hAnsi="仿宋" w:eastAsia="仿宋" w:cs="仿宋"/>
          <w:b/>
          <w:color w:val="auto"/>
          <w:kern w:val="0"/>
          <w:sz w:val="32"/>
          <w:szCs w:val="32"/>
          <w:highlight w:val="none"/>
        </w:rPr>
      </w:pPr>
    </w:p>
    <w:p w14:paraId="0206B0FA">
      <w:pPr>
        <w:rPr>
          <w:rFonts w:hint="eastAsia" w:ascii="仿宋" w:hAnsi="仿宋" w:eastAsia="仿宋" w:cs="仿宋"/>
          <w:color w:val="auto"/>
          <w:highlight w:val="none"/>
        </w:rPr>
      </w:pPr>
    </w:p>
    <w:p w14:paraId="3FC74EFE">
      <w:pPr>
        <w:rPr>
          <w:rFonts w:hint="eastAsia" w:ascii="仿宋" w:hAnsi="仿宋" w:eastAsia="仿宋" w:cs="仿宋"/>
          <w:b/>
          <w:color w:val="auto"/>
          <w:kern w:val="0"/>
          <w:sz w:val="32"/>
          <w:szCs w:val="32"/>
          <w:highlight w:val="none"/>
          <w:lang w:val="zh-CN"/>
        </w:rPr>
      </w:pPr>
      <w:bookmarkStart w:id="467" w:name="_Toc7412"/>
      <w:bookmarkStart w:id="468" w:name="_Toc3221"/>
      <w:bookmarkStart w:id="469" w:name="_Toc21720"/>
      <w:r>
        <w:rPr>
          <w:rFonts w:hint="eastAsia" w:ascii="仿宋" w:hAnsi="仿宋" w:eastAsia="仿宋" w:cs="仿宋"/>
          <w:b/>
          <w:color w:val="auto"/>
          <w:kern w:val="0"/>
          <w:sz w:val="32"/>
          <w:szCs w:val="32"/>
          <w:highlight w:val="none"/>
          <w:lang w:val="zh-CN"/>
        </w:rPr>
        <w:br w:type="page"/>
      </w:r>
    </w:p>
    <w:p w14:paraId="18D8FE2F">
      <w:pPr>
        <w:snapToGrid w:val="0"/>
        <w:spacing w:line="360" w:lineRule="auto"/>
        <w:jc w:val="center"/>
        <w:outlineLvl w:val="0"/>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四、符合性审查资料</w:t>
      </w:r>
      <w:bookmarkEnd w:id="467"/>
      <w:bookmarkEnd w:id="468"/>
      <w:bookmarkEnd w:id="469"/>
    </w:p>
    <w:tbl>
      <w:tblPr>
        <w:tblStyle w:val="63"/>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08"/>
        <w:gridCol w:w="3300"/>
        <w:gridCol w:w="2512"/>
      </w:tblGrid>
      <w:tr w14:paraId="49F1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noWrap w:val="0"/>
            <w:vAlign w:val="center"/>
          </w:tcPr>
          <w:p w14:paraId="6BB70219">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708" w:type="dxa"/>
            <w:noWrap w:val="0"/>
            <w:vAlign w:val="center"/>
          </w:tcPr>
          <w:p w14:paraId="08A0A285">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实质性要求</w:t>
            </w:r>
          </w:p>
        </w:tc>
        <w:tc>
          <w:tcPr>
            <w:tcW w:w="3300" w:type="dxa"/>
            <w:noWrap w:val="0"/>
            <w:vAlign w:val="center"/>
          </w:tcPr>
          <w:p w14:paraId="3CBAB0A3">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需要提供的符合性审查资料</w:t>
            </w:r>
          </w:p>
        </w:tc>
        <w:tc>
          <w:tcPr>
            <w:tcW w:w="2512" w:type="dxa"/>
            <w:noWrap w:val="0"/>
            <w:vAlign w:val="center"/>
          </w:tcPr>
          <w:p w14:paraId="5475B34C">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响应文件中的</w:t>
            </w:r>
          </w:p>
          <w:p w14:paraId="5DE265A3">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页码位置</w:t>
            </w:r>
          </w:p>
        </w:tc>
      </w:tr>
      <w:tr w14:paraId="31DA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9" w:type="dxa"/>
            <w:noWrap w:val="0"/>
            <w:vAlign w:val="center"/>
          </w:tcPr>
          <w:p w14:paraId="0872FD5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708" w:type="dxa"/>
            <w:noWrap w:val="0"/>
            <w:vAlign w:val="top"/>
          </w:tcPr>
          <w:p w14:paraId="3F05D4D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响应文件按照交易文件要求签署、盖章。</w:t>
            </w:r>
          </w:p>
        </w:tc>
        <w:tc>
          <w:tcPr>
            <w:tcW w:w="3300" w:type="dxa"/>
            <w:noWrap w:val="0"/>
            <w:vAlign w:val="center"/>
          </w:tcPr>
          <w:p w14:paraId="705AEC8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需要使用电子签名或者签字盖章的响应文件的组成部分</w:t>
            </w:r>
          </w:p>
        </w:tc>
        <w:tc>
          <w:tcPr>
            <w:tcW w:w="2512" w:type="dxa"/>
            <w:noWrap w:val="0"/>
            <w:vAlign w:val="center"/>
          </w:tcPr>
          <w:p w14:paraId="5EC3DD5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10CD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9" w:type="dxa"/>
            <w:noWrap w:val="0"/>
            <w:vAlign w:val="center"/>
          </w:tcPr>
          <w:p w14:paraId="36631E2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708" w:type="dxa"/>
            <w:noWrap w:val="0"/>
            <w:vAlign w:val="top"/>
          </w:tcPr>
          <w:p w14:paraId="1AD912A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响应文件中承诺的响应有效期不少于交易文件中载明的响应有效期。</w:t>
            </w:r>
          </w:p>
        </w:tc>
        <w:tc>
          <w:tcPr>
            <w:tcW w:w="3300" w:type="dxa"/>
            <w:noWrap w:val="0"/>
            <w:vAlign w:val="center"/>
          </w:tcPr>
          <w:p w14:paraId="024C68B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响应函</w:t>
            </w:r>
          </w:p>
        </w:tc>
        <w:tc>
          <w:tcPr>
            <w:tcW w:w="2512" w:type="dxa"/>
            <w:noWrap w:val="0"/>
            <w:vAlign w:val="center"/>
          </w:tcPr>
          <w:p w14:paraId="291757A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61F6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9" w:type="dxa"/>
            <w:noWrap w:val="0"/>
            <w:vAlign w:val="center"/>
          </w:tcPr>
          <w:p w14:paraId="0AAC216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708" w:type="dxa"/>
            <w:noWrap w:val="0"/>
            <w:vAlign w:val="top"/>
          </w:tcPr>
          <w:p w14:paraId="00DEC68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响应文件满足交易文件的其它实质性要求。</w:t>
            </w:r>
          </w:p>
        </w:tc>
        <w:tc>
          <w:tcPr>
            <w:tcW w:w="3300" w:type="dxa"/>
            <w:noWrap w:val="0"/>
            <w:vAlign w:val="center"/>
          </w:tcPr>
          <w:p w14:paraId="5CACE1A8">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交易文件其它实质性要求相应的材料（“▲” 系指实质性要求条款，交易文件无其它实质性要求的，无需提供）</w:t>
            </w:r>
          </w:p>
        </w:tc>
        <w:tc>
          <w:tcPr>
            <w:tcW w:w="2512" w:type="dxa"/>
            <w:noWrap w:val="0"/>
            <w:vAlign w:val="center"/>
          </w:tcPr>
          <w:p w14:paraId="28FBD68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bl>
    <w:p w14:paraId="2A92C7CF">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412A5551">
      <w:pPr>
        <w:jc w:val="center"/>
        <w:rPr>
          <w:rFonts w:hint="eastAsia" w:ascii="仿宋" w:hAnsi="仿宋" w:eastAsia="仿宋" w:cs="仿宋"/>
          <w:b/>
          <w:color w:val="auto"/>
          <w:kern w:val="0"/>
          <w:sz w:val="32"/>
          <w:szCs w:val="32"/>
          <w:highlight w:val="none"/>
        </w:rPr>
      </w:pPr>
    </w:p>
    <w:p w14:paraId="7B6B5661">
      <w:pPr>
        <w:rPr>
          <w:rFonts w:hint="eastAsia" w:ascii="仿宋" w:hAnsi="仿宋" w:eastAsia="仿宋" w:cs="仿宋"/>
          <w:color w:val="auto"/>
          <w:highlight w:val="none"/>
        </w:rPr>
      </w:pPr>
    </w:p>
    <w:p w14:paraId="05032FEB">
      <w:pPr>
        <w:snapToGrid/>
        <w:spacing w:line="240" w:lineRule="auto"/>
        <w:jc w:val="left"/>
        <w:outlineLvl w:val="9"/>
        <w:rPr>
          <w:rFonts w:hint="eastAsia" w:ascii="仿宋" w:hAnsi="仿宋" w:eastAsia="仿宋" w:cs="仿宋"/>
          <w:b/>
          <w:color w:val="auto"/>
          <w:kern w:val="0"/>
          <w:sz w:val="32"/>
          <w:szCs w:val="32"/>
          <w:highlight w:val="none"/>
          <w:lang w:val="zh-CN"/>
        </w:rPr>
      </w:pPr>
      <w:bookmarkStart w:id="470" w:name="_Toc25196"/>
      <w:bookmarkStart w:id="471" w:name="_Toc20108"/>
      <w:r>
        <w:rPr>
          <w:rFonts w:hint="eastAsia" w:ascii="仿宋" w:hAnsi="仿宋" w:eastAsia="仿宋" w:cs="仿宋"/>
          <w:b/>
          <w:color w:val="auto"/>
          <w:kern w:val="0"/>
          <w:sz w:val="32"/>
          <w:szCs w:val="32"/>
          <w:highlight w:val="none"/>
          <w:lang w:val="zh-CN"/>
        </w:rPr>
        <w:br w:type="page"/>
      </w:r>
    </w:p>
    <w:p w14:paraId="197CD5BA">
      <w:pPr>
        <w:snapToGrid w:val="0"/>
        <w:spacing w:line="360" w:lineRule="auto"/>
        <w:jc w:val="center"/>
        <w:outlineLvl w:val="0"/>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五、评标标准相应的商务技术资料</w:t>
      </w:r>
      <w:bookmarkEnd w:id="470"/>
      <w:bookmarkEnd w:id="471"/>
    </w:p>
    <w:p w14:paraId="2316C807">
      <w:pPr>
        <w:snapToGrid w:val="0"/>
        <w:spacing w:line="360" w:lineRule="auto"/>
        <w:jc w:val="left"/>
        <w:rPr>
          <w:rFonts w:hint="eastAsia" w:ascii="仿宋" w:hAnsi="仿宋" w:eastAsia="仿宋" w:cs="仿宋"/>
          <w:b/>
          <w:color w:val="auto"/>
          <w:sz w:val="21"/>
          <w:szCs w:val="21"/>
          <w:highlight w:val="none"/>
        </w:rPr>
      </w:pPr>
      <w:bookmarkStart w:id="472" w:name="_Toc3744"/>
      <w:r>
        <w:rPr>
          <w:rFonts w:hint="eastAsia" w:ascii="仿宋" w:hAnsi="仿宋" w:eastAsia="仿宋" w:cs="仿宋"/>
          <w:b/>
          <w:color w:val="auto"/>
          <w:sz w:val="21"/>
          <w:szCs w:val="21"/>
          <w:highlight w:val="none"/>
        </w:rPr>
        <w:t>（按</w:t>
      </w:r>
      <w:r>
        <w:rPr>
          <w:rFonts w:hint="eastAsia" w:ascii="仿宋" w:hAnsi="仿宋" w:eastAsia="仿宋" w:cs="仿宋"/>
          <w:b/>
          <w:color w:val="auto"/>
          <w:sz w:val="21"/>
          <w:szCs w:val="21"/>
          <w:highlight w:val="none"/>
          <w:lang w:eastAsia="zh-CN"/>
        </w:rPr>
        <w:t>交易文件</w:t>
      </w:r>
      <w:r>
        <w:rPr>
          <w:rFonts w:hint="eastAsia" w:ascii="仿宋" w:hAnsi="仿宋" w:eastAsia="仿宋" w:cs="仿宋"/>
          <w:b/>
          <w:color w:val="auto"/>
          <w:sz w:val="21"/>
          <w:szCs w:val="21"/>
          <w:highlight w:val="none"/>
        </w:rPr>
        <w:t>第四部分交易办法前附表中“响应文件中评审标准相应的商务技术资料目录”提供资料。）</w:t>
      </w:r>
    </w:p>
    <w:p w14:paraId="493BCFE9">
      <w:pPr>
        <w:rPr>
          <w:rFonts w:hint="eastAsia" w:ascii="仿宋" w:hAnsi="仿宋" w:eastAsia="仿宋" w:cs="仿宋"/>
          <w:color w:val="auto"/>
          <w:highlight w:val="none"/>
          <w:lang w:val="zh-CN"/>
        </w:rPr>
      </w:pPr>
    </w:p>
    <w:p w14:paraId="4E79E14B">
      <w:pPr>
        <w:snapToGrid w:val="0"/>
        <w:spacing w:line="360" w:lineRule="auto"/>
        <w:jc w:val="center"/>
        <w:outlineLvl w:val="0"/>
        <w:rPr>
          <w:rFonts w:hint="eastAsia" w:ascii="仿宋" w:hAnsi="仿宋" w:eastAsia="仿宋" w:cs="仿宋"/>
          <w:b/>
          <w:color w:val="auto"/>
          <w:kern w:val="0"/>
          <w:sz w:val="32"/>
          <w:szCs w:val="32"/>
          <w:highlight w:val="none"/>
        </w:rPr>
      </w:pPr>
      <w:bookmarkStart w:id="473" w:name="_Toc20300"/>
      <w:bookmarkStart w:id="474" w:name="_Toc18066"/>
    </w:p>
    <w:bookmarkEnd w:id="472"/>
    <w:bookmarkEnd w:id="473"/>
    <w:bookmarkEnd w:id="474"/>
    <w:p w14:paraId="3858F56D">
      <w:pPr>
        <w:pStyle w:val="4"/>
        <w:rPr>
          <w:rFonts w:hint="eastAsia" w:ascii="仿宋" w:hAnsi="仿宋" w:eastAsia="仿宋" w:cs="仿宋"/>
          <w:color w:val="auto"/>
          <w:sz w:val="24"/>
          <w:highlight w:val="none"/>
        </w:rPr>
      </w:pPr>
    </w:p>
    <w:p w14:paraId="761BD3B6">
      <w:pPr>
        <w:rPr>
          <w:rFonts w:hint="eastAsia" w:ascii="仿宋" w:hAnsi="仿宋" w:eastAsia="仿宋" w:cs="仿宋"/>
          <w:color w:val="auto"/>
          <w:sz w:val="24"/>
          <w:highlight w:val="none"/>
        </w:rPr>
      </w:pPr>
    </w:p>
    <w:p w14:paraId="6CD993BB">
      <w:pPr>
        <w:rPr>
          <w:rFonts w:hint="eastAsia" w:ascii="仿宋" w:hAnsi="仿宋" w:eastAsia="仿宋" w:cs="仿宋"/>
          <w:b/>
          <w:color w:val="auto"/>
          <w:kern w:val="0"/>
          <w:sz w:val="28"/>
          <w:szCs w:val="28"/>
          <w:highlight w:val="none"/>
          <w:lang w:val="en-US" w:eastAsia="zh-CN"/>
        </w:rPr>
      </w:pPr>
      <w:bookmarkStart w:id="475" w:name="_Toc24105"/>
      <w:bookmarkStart w:id="476" w:name="_Toc22251"/>
      <w:bookmarkStart w:id="477" w:name="_Toc16398"/>
      <w:r>
        <w:rPr>
          <w:rFonts w:hint="eastAsia" w:ascii="仿宋" w:hAnsi="仿宋" w:eastAsia="仿宋" w:cs="仿宋"/>
          <w:b/>
          <w:color w:val="auto"/>
          <w:kern w:val="0"/>
          <w:sz w:val="28"/>
          <w:szCs w:val="28"/>
          <w:highlight w:val="none"/>
          <w:lang w:val="en-US" w:eastAsia="zh-CN"/>
        </w:rPr>
        <w:br w:type="page"/>
      </w:r>
    </w:p>
    <w:p w14:paraId="6EBBEA8B">
      <w:pPr>
        <w:snapToGrid/>
        <w:spacing w:line="360" w:lineRule="auto"/>
        <w:ind w:right="420"/>
        <w:jc w:val="center"/>
        <w:outlineLvl w:val="9"/>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en-US" w:eastAsia="zh-CN"/>
        </w:rPr>
        <w:t>六</w:t>
      </w:r>
      <w:r>
        <w:rPr>
          <w:rFonts w:hint="eastAsia" w:ascii="仿宋" w:hAnsi="仿宋" w:eastAsia="仿宋" w:cs="仿宋"/>
          <w:b/>
          <w:color w:val="auto"/>
          <w:kern w:val="0"/>
          <w:sz w:val="28"/>
          <w:szCs w:val="28"/>
          <w:highlight w:val="none"/>
          <w:lang w:val="zh-CN"/>
        </w:rPr>
        <w:t>、商务技术偏离表</w:t>
      </w:r>
      <w:bookmarkEnd w:id="475"/>
      <w:bookmarkEnd w:id="476"/>
      <w:bookmarkEnd w:id="477"/>
    </w:p>
    <w:tbl>
      <w:tblPr>
        <w:tblStyle w:val="6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213"/>
        <w:gridCol w:w="3400"/>
        <w:gridCol w:w="1632"/>
      </w:tblGrid>
      <w:tr w14:paraId="6E4A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noWrap w:val="0"/>
            <w:vAlign w:val="center"/>
          </w:tcPr>
          <w:p w14:paraId="6802AA7E">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213" w:type="dxa"/>
            <w:noWrap w:val="0"/>
            <w:vAlign w:val="center"/>
          </w:tcPr>
          <w:p w14:paraId="027E379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交易文件章节及具体内容</w:t>
            </w:r>
          </w:p>
        </w:tc>
        <w:tc>
          <w:tcPr>
            <w:tcW w:w="3400" w:type="dxa"/>
            <w:noWrap w:val="0"/>
            <w:vAlign w:val="center"/>
          </w:tcPr>
          <w:p w14:paraId="174C24D5">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响应文件章节及具体内容</w:t>
            </w:r>
          </w:p>
        </w:tc>
        <w:tc>
          <w:tcPr>
            <w:tcW w:w="1632" w:type="dxa"/>
            <w:noWrap w:val="0"/>
            <w:vAlign w:val="center"/>
          </w:tcPr>
          <w:p w14:paraId="32643347">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偏离说明</w:t>
            </w:r>
          </w:p>
        </w:tc>
      </w:tr>
      <w:tr w14:paraId="2829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noWrap w:val="0"/>
            <w:vAlign w:val="center"/>
          </w:tcPr>
          <w:p w14:paraId="58554BDE">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p>
        </w:tc>
        <w:tc>
          <w:tcPr>
            <w:tcW w:w="3213" w:type="dxa"/>
            <w:noWrap w:val="0"/>
            <w:vAlign w:val="center"/>
          </w:tcPr>
          <w:p w14:paraId="28EF2AD3">
            <w:pPr>
              <w:jc w:val="center"/>
              <w:rPr>
                <w:rFonts w:hint="eastAsia" w:ascii="仿宋" w:hAnsi="仿宋" w:eastAsia="仿宋" w:cs="仿宋"/>
                <w:b/>
                <w:bCs/>
                <w:color w:val="auto"/>
                <w:sz w:val="21"/>
                <w:szCs w:val="21"/>
                <w:highlight w:val="none"/>
              </w:rPr>
            </w:pPr>
          </w:p>
        </w:tc>
        <w:tc>
          <w:tcPr>
            <w:tcW w:w="3400" w:type="dxa"/>
            <w:noWrap w:val="0"/>
            <w:vAlign w:val="center"/>
          </w:tcPr>
          <w:p w14:paraId="161C1E58">
            <w:pPr>
              <w:jc w:val="center"/>
              <w:rPr>
                <w:rFonts w:hint="eastAsia" w:ascii="仿宋" w:hAnsi="仿宋" w:eastAsia="仿宋" w:cs="仿宋"/>
                <w:b/>
                <w:bCs/>
                <w:color w:val="auto"/>
                <w:sz w:val="21"/>
                <w:szCs w:val="21"/>
                <w:highlight w:val="none"/>
              </w:rPr>
            </w:pPr>
          </w:p>
        </w:tc>
        <w:tc>
          <w:tcPr>
            <w:tcW w:w="1632" w:type="dxa"/>
            <w:noWrap w:val="0"/>
            <w:vAlign w:val="center"/>
          </w:tcPr>
          <w:p w14:paraId="0E907186">
            <w:pPr>
              <w:jc w:val="center"/>
              <w:rPr>
                <w:rFonts w:hint="eastAsia" w:ascii="仿宋" w:hAnsi="仿宋" w:eastAsia="仿宋" w:cs="仿宋"/>
                <w:b/>
                <w:bCs/>
                <w:color w:val="auto"/>
                <w:sz w:val="21"/>
                <w:szCs w:val="21"/>
                <w:highlight w:val="none"/>
              </w:rPr>
            </w:pPr>
          </w:p>
        </w:tc>
      </w:tr>
      <w:tr w14:paraId="0A45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noWrap w:val="0"/>
            <w:vAlign w:val="center"/>
          </w:tcPr>
          <w:p w14:paraId="2B826795">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w:t>
            </w:r>
          </w:p>
        </w:tc>
        <w:tc>
          <w:tcPr>
            <w:tcW w:w="3213" w:type="dxa"/>
            <w:noWrap w:val="0"/>
            <w:vAlign w:val="center"/>
          </w:tcPr>
          <w:p w14:paraId="5D1F0A79">
            <w:pPr>
              <w:jc w:val="center"/>
              <w:rPr>
                <w:rFonts w:hint="eastAsia" w:ascii="仿宋" w:hAnsi="仿宋" w:eastAsia="仿宋" w:cs="仿宋"/>
                <w:b/>
                <w:bCs/>
                <w:color w:val="auto"/>
                <w:sz w:val="21"/>
                <w:szCs w:val="21"/>
                <w:highlight w:val="none"/>
              </w:rPr>
            </w:pPr>
          </w:p>
        </w:tc>
        <w:tc>
          <w:tcPr>
            <w:tcW w:w="3400" w:type="dxa"/>
            <w:noWrap w:val="0"/>
            <w:vAlign w:val="center"/>
          </w:tcPr>
          <w:p w14:paraId="2738CCAA">
            <w:pPr>
              <w:jc w:val="center"/>
              <w:rPr>
                <w:rFonts w:hint="eastAsia" w:ascii="仿宋" w:hAnsi="仿宋" w:eastAsia="仿宋" w:cs="仿宋"/>
                <w:b/>
                <w:bCs/>
                <w:color w:val="auto"/>
                <w:sz w:val="21"/>
                <w:szCs w:val="21"/>
                <w:highlight w:val="none"/>
              </w:rPr>
            </w:pPr>
          </w:p>
        </w:tc>
        <w:tc>
          <w:tcPr>
            <w:tcW w:w="1632" w:type="dxa"/>
            <w:noWrap w:val="0"/>
            <w:vAlign w:val="center"/>
          </w:tcPr>
          <w:p w14:paraId="0449BF3E">
            <w:pPr>
              <w:jc w:val="center"/>
              <w:rPr>
                <w:rFonts w:hint="eastAsia" w:ascii="仿宋" w:hAnsi="仿宋" w:eastAsia="仿宋" w:cs="仿宋"/>
                <w:b/>
                <w:bCs/>
                <w:color w:val="auto"/>
                <w:sz w:val="21"/>
                <w:szCs w:val="21"/>
                <w:highlight w:val="none"/>
              </w:rPr>
            </w:pPr>
          </w:p>
        </w:tc>
      </w:tr>
      <w:tr w14:paraId="05E1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noWrap w:val="0"/>
            <w:vAlign w:val="center"/>
          </w:tcPr>
          <w:p w14:paraId="6C7F5F6E">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w:t>
            </w:r>
          </w:p>
        </w:tc>
        <w:tc>
          <w:tcPr>
            <w:tcW w:w="3213" w:type="dxa"/>
            <w:noWrap w:val="0"/>
            <w:vAlign w:val="center"/>
          </w:tcPr>
          <w:p w14:paraId="6AD3BEAE">
            <w:pPr>
              <w:jc w:val="center"/>
              <w:rPr>
                <w:rFonts w:hint="eastAsia" w:ascii="仿宋" w:hAnsi="仿宋" w:eastAsia="仿宋" w:cs="仿宋"/>
                <w:b/>
                <w:bCs/>
                <w:color w:val="auto"/>
                <w:sz w:val="21"/>
                <w:szCs w:val="21"/>
                <w:highlight w:val="none"/>
              </w:rPr>
            </w:pPr>
          </w:p>
        </w:tc>
        <w:tc>
          <w:tcPr>
            <w:tcW w:w="3400" w:type="dxa"/>
            <w:noWrap w:val="0"/>
            <w:vAlign w:val="center"/>
          </w:tcPr>
          <w:p w14:paraId="676548E2">
            <w:pPr>
              <w:jc w:val="center"/>
              <w:rPr>
                <w:rFonts w:hint="eastAsia" w:ascii="仿宋" w:hAnsi="仿宋" w:eastAsia="仿宋" w:cs="仿宋"/>
                <w:b/>
                <w:bCs/>
                <w:color w:val="auto"/>
                <w:sz w:val="21"/>
                <w:szCs w:val="21"/>
                <w:highlight w:val="none"/>
              </w:rPr>
            </w:pPr>
          </w:p>
        </w:tc>
        <w:tc>
          <w:tcPr>
            <w:tcW w:w="1632" w:type="dxa"/>
            <w:noWrap w:val="0"/>
            <w:vAlign w:val="center"/>
          </w:tcPr>
          <w:p w14:paraId="1973E72B">
            <w:pPr>
              <w:jc w:val="center"/>
              <w:rPr>
                <w:rFonts w:hint="eastAsia" w:ascii="仿宋" w:hAnsi="仿宋" w:eastAsia="仿宋" w:cs="仿宋"/>
                <w:b/>
                <w:bCs/>
                <w:color w:val="auto"/>
                <w:sz w:val="21"/>
                <w:szCs w:val="21"/>
                <w:highlight w:val="none"/>
              </w:rPr>
            </w:pPr>
          </w:p>
        </w:tc>
      </w:tr>
    </w:tbl>
    <w:p w14:paraId="0AB2280C">
      <w:pPr>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供应商保证：除商务技术偏离表列出的偏离外，供应商响应交易文件的全部要求</w:t>
      </w:r>
    </w:p>
    <w:p w14:paraId="46E447C4">
      <w:pPr>
        <w:jc w:val="center"/>
        <w:rPr>
          <w:rFonts w:hint="eastAsia" w:ascii="仿宋" w:hAnsi="仿宋" w:eastAsia="仿宋" w:cs="仿宋"/>
          <w:b/>
          <w:color w:val="auto"/>
          <w:kern w:val="0"/>
          <w:sz w:val="21"/>
          <w:szCs w:val="21"/>
          <w:highlight w:val="none"/>
        </w:rPr>
      </w:pPr>
    </w:p>
    <w:p w14:paraId="5BC1C090">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7D7F1834">
      <w:pPr>
        <w:ind w:firstLine="1911" w:firstLineChars="595"/>
        <w:rPr>
          <w:rFonts w:hint="eastAsia" w:ascii="仿宋" w:hAnsi="仿宋" w:eastAsia="仿宋" w:cs="仿宋"/>
          <w:b/>
          <w:bCs/>
          <w:color w:val="auto"/>
          <w:sz w:val="32"/>
          <w:szCs w:val="32"/>
          <w:highlight w:val="none"/>
        </w:rPr>
      </w:pPr>
    </w:p>
    <w:p w14:paraId="00AB6847">
      <w:pPr>
        <w:ind w:firstLine="1911" w:firstLineChars="595"/>
        <w:rPr>
          <w:rFonts w:hint="eastAsia" w:ascii="仿宋" w:hAnsi="仿宋" w:eastAsia="仿宋" w:cs="仿宋"/>
          <w:b/>
          <w:bCs/>
          <w:color w:val="auto"/>
          <w:sz w:val="32"/>
          <w:szCs w:val="32"/>
          <w:highlight w:val="none"/>
        </w:rPr>
      </w:pPr>
    </w:p>
    <w:p w14:paraId="183DD9BF">
      <w:pPr>
        <w:ind w:firstLine="1911" w:firstLineChars="595"/>
        <w:rPr>
          <w:rFonts w:hint="eastAsia" w:ascii="仿宋" w:hAnsi="仿宋" w:eastAsia="仿宋" w:cs="仿宋"/>
          <w:b/>
          <w:bCs/>
          <w:color w:val="auto"/>
          <w:sz w:val="32"/>
          <w:szCs w:val="32"/>
          <w:highlight w:val="none"/>
        </w:rPr>
      </w:pPr>
    </w:p>
    <w:p w14:paraId="3E18BE6E">
      <w:pPr>
        <w:ind w:firstLine="1911" w:firstLineChars="595"/>
        <w:rPr>
          <w:rFonts w:hint="eastAsia" w:ascii="仿宋" w:hAnsi="仿宋" w:eastAsia="仿宋" w:cs="仿宋"/>
          <w:b/>
          <w:bCs/>
          <w:color w:val="auto"/>
          <w:sz w:val="32"/>
          <w:szCs w:val="32"/>
          <w:highlight w:val="none"/>
        </w:rPr>
      </w:pPr>
    </w:p>
    <w:p w14:paraId="7EB69D22">
      <w:pPr>
        <w:ind w:firstLine="1911" w:firstLineChars="595"/>
        <w:rPr>
          <w:rFonts w:hint="eastAsia" w:ascii="仿宋" w:hAnsi="仿宋" w:eastAsia="仿宋" w:cs="仿宋"/>
          <w:b/>
          <w:bCs/>
          <w:color w:val="auto"/>
          <w:sz w:val="32"/>
          <w:szCs w:val="32"/>
          <w:highlight w:val="none"/>
        </w:rPr>
      </w:pPr>
    </w:p>
    <w:p w14:paraId="67676E5D">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5D07C53">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78" w:name="_Toc32087"/>
      <w:bookmarkStart w:id="479" w:name="_Toc32758"/>
      <w:bookmarkStart w:id="480" w:name="_Toc1330"/>
      <w:r>
        <w:rPr>
          <w:rFonts w:hint="eastAsia" w:ascii="仿宋" w:hAnsi="仿宋" w:eastAsia="仿宋" w:cs="仿宋"/>
          <w:b/>
          <w:color w:val="auto"/>
          <w:kern w:val="0"/>
          <w:sz w:val="28"/>
          <w:szCs w:val="28"/>
          <w:highlight w:val="none"/>
          <w:lang w:val="en-US" w:eastAsia="zh-CN"/>
        </w:rPr>
        <w:t>七</w:t>
      </w:r>
      <w:r>
        <w:rPr>
          <w:rFonts w:hint="eastAsia" w:ascii="仿宋" w:hAnsi="仿宋" w:eastAsia="仿宋" w:cs="仿宋"/>
          <w:b/>
          <w:color w:val="auto"/>
          <w:kern w:val="0"/>
          <w:sz w:val="28"/>
          <w:szCs w:val="28"/>
          <w:highlight w:val="none"/>
          <w:lang w:val="zh-CN"/>
        </w:rPr>
        <w:t>、采购供应商廉洁自律承诺书</w:t>
      </w:r>
      <w:bookmarkEnd w:id="478"/>
      <w:bookmarkEnd w:id="479"/>
      <w:bookmarkEnd w:id="480"/>
    </w:p>
    <w:p w14:paraId="6BCAEEC1">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rPr>
        <w:t>（交易发起人）、（代理机构）</w:t>
      </w:r>
      <w:r>
        <w:rPr>
          <w:rFonts w:hint="eastAsia" w:ascii="仿宋" w:hAnsi="仿宋" w:eastAsia="仿宋" w:cs="仿宋"/>
          <w:color w:val="auto"/>
          <w:kern w:val="0"/>
          <w:sz w:val="21"/>
          <w:szCs w:val="21"/>
          <w:highlight w:val="none"/>
          <w:lang w:val="zh-CN"/>
        </w:rPr>
        <w:t>：</w:t>
      </w:r>
    </w:p>
    <w:p w14:paraId="74948F08">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我单位响应你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项目交易要求参加响应。在这次响应过程中和</w:t>
      </w:r>
      <w:r>
        <w:rPr>
          <w:rFonts w:hint="eastAsia" w:ascii="仿宋" w:hAnsi="仿宋" w:eastAsia="仿宋" w:cs="仿宋"/>
          <w:color w:val="auto"/>
          <w:kern w:val="0"/>
          <w:sz w:val="21"/>
          <w:szCs w:val="21"/>
          <w:highlight w:val="none"/>
        </w:rPr>
        <w:t>成交</w:t>
      </w:r>
      <w:r>
        <w:rPr>
          <w:rFonts w:hint="eastAsia" w:ascii="仿宋" w:hAnsi="仿宋" w:eastAsia="仿宋" w:cs="仿宋"/>
          <w:color w:val="auto"/>
          <w:kern w:val="0"/>
          <w:sz w:val="21"/>
          <w:szCs w:val="21"/>
          <w:highlight w:val="none"/>
          <w:lang w:val="zh-CN"/>
        </w:rPr>
        <w:t>后，我们将严格遵守国家法律法规要求，并郑重承诺：</w:t>
      </w:r>
    </w:p>
    <w:p w14:paraId="3E5C5CC8">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一、不向项目有关人员及部门赠送礼金礼物、有价证券、回扣以及中介费、介绍费、咨询费等好处费； </w:t>
      </w:r>
    </w:p>
    <w:p w14:paraId="1AEE4597">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二、不为项目有关人员及部门报销应由你方单位或个人支付的费用； </w:t>
      </w:r>
    </w:p>
    <w:p w14:paraId="54DE24B0">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三、不向项目有关人员及部门提供有可能影响公正的宴请和健身娱乐等活动； </w:t>
      </w:r>
    </w:p>
    <w:p w14:paraId="146B04CD">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四、不为项目有关人员及部门出国（境）、旅游等提供方便；</w:t>
      </w:r>
    </w:p>
    <w:p w14:paraId="2C8D8799">
      <w:pPr>
        <w:autoSpaceDE w:val="0"/>
        <w:autoSpaceDN w:val="0"/>
        <w:spacing w:line="360" w:lineRule="auto"/>
        <w:ind w:left="481" w:leftChars="229"/>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五、不为项目有关人员个人装修住房、婚丧嫁娶、配偶子女工作安排等提供</w:t>
      </w:r>
    </w:p>
    <w:p w14:paraId="35D7CB5C">
      <w:pPr>
        <w:autoSpaceDE w:val="0"/>
        <w:autoSpaceDN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好处；</w:t>
      </w:r>
    </w:p>
    <w:p w14:paraId="65383145">
      <w:pPr>
        <w:autoSpaceDE w:val="0"/>
        <w:autoSpaceDN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六、严格遵守相关法律法规，诚实守信，合法经营，坚决抵制各种违法违纪行为。 </w:t>
      </w:r>
    </w:p>
    <w:p w14:paraId="45B603D4">
      <w:pPr>
        <w:autoSpaceDE w:val="0"/>
        <w:autoSpaceDN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如违反上述承诺，你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有权立即取消我单位响应、</w:t>
      </w:r>
      <w:r>
        <w:rPr>
          <w:rFonts w:hint="eastAsia" w:ascii="仿宋" w:hAnsi="仿宋" w:eastAsia="仿宋" w:cs="仿宋"/>
          <w:color w:val="auto"/>
          <w:kern w:val="0"/>
          <w:sz w:val="21"/>
          <w:szCs w:val="21"/>
          <w:highlight w:val="none"/>
        </w:rPr>
        <w:t>成交</w:t>
      </w:r>
      <w:r>
        <w:rPr>
          <w:rFonts w:hint="eastAsia" w:ascii="仿宋" w:hAnsi="仿宋" w:eastAsia="仿宋" w:cs="仿宋"/>
          <w:color w:val="auto"/>
          <w:kern w:val="0"/>
          <w:sz w:val="21"/>
          <w:szCs w:val="21"/>
          <w:highlight w:val="none"/>
          <w:lang w:val="zh-CN"/>
        </w:rPr>
        <w:t>或在建项目的建设资格，有权拒绝我单位在一定时期内进入你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进行项目建设或其他经营活动。由此引起的相应损失均由我单位承担。</w:t>
      </w:r>
    </w:p>
    <w:p w14:paraId="28914A6A">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14:paraId="1246BC24">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14:paraId="25316529">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14:paraId="282A18F4">
      <w:pPr>
        <w:autoSpaceDE w:val="0"/>
        <w:autoSpaceDN w:val="0"/>
        <w:spacing w:line="360" w:lineRule="auto"/>
        <w:ind w:left="2" w:leftChars="1" w:right="1120" w:firstLine="4620" w:firstLineChars="2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响应人名称（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 xml:space="preserve">）：                                                                                                                                                                                                               </w:t>
      </w:r>
    </w:p>
    <w:p w14:paraId="36104720">
      <w:pPr>
        <w:spacing w:line="360" w:lineRule="auto"/>
        <w:ind w:left="4620" w:leftChars="2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p w14:paraId="7BD1DF22">
      <w:pPr>
        <w:spacing w:line="360" w:lineRule="auto"/>
        <w:jc w:val="center"/>
        <w:rPr>
          <w:rFonts w:hint="eastAsia" w:ascii="仿宋" w:hAnsi="仿宋" w:eastAsia="仿宋" w:cs="仿宋"/>
          <w:b/>
          <w:bCs/>
          <w:color w:val="auto"/>
          <w:sz w:val="21"/>
          <w:szCs w:val="21"/>
          <w:highlight w:val="none"/>
        </w:rPr>
      </w:pPr>
    </w:p>
    <w:p w14:paraId="1F6893D0">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3B84E2FC">
      <w:pPr>
        <w:spacing w:line="360" w:lineRule="auto"/>
        <w:jc w:val="center"/>
        <w:rPr>
          <w:rFonts w:hint="eastAsia" w:ascii="仿宋" w:hAnsi="仿宋" w:eastAsia="仿宋" w:cs="仿宋"/>
          <w:b/>
          <w:bCs/>
          <w:color w:val="auto"/>
          <w:sz w:val="21"/>
          <w:szCs w:val="21"/>
          <w:highlight w:val="none"/>
        </w:rPr>
        <w:sectPr>
          <w:pgSz w:w="11905" w:h="16838"/>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p>
    <w:p w14:paraId="7639478C">
      <w:pPr>
        <w:spacing w:line="480" w:lineRule="auto"/>
        <w:jc w:val="center"/>
        <w:rPr>
          <w:rFonts w:hint="eastAsia" w:ascii="仿宋" w:hAnsi="仿宋" w:eastAsia="仿宋" w:cs="仿宋"/>
          <w:color w:val="auto"/>
          <w:sz w:val="36"/>
          <w:szCs w:val="36"/>
          <w:highlight w:val="none"/>
        </w:rPr>
      </w:pPr>
      <w:bookmarkStart w:id="481" w:name="_Toc8063"/>
      <w:r>
        <w:rPr>
          <w:rFonts w:hint="eastAsia" w:ascii="仿宋" w:hAnsi="仿宋" w:eastAsia="仿宋" w:cs="仿宋"/>
          <w:b/>
          <w:bCs/>
          <w:color w:val="auto"/>
          <w:sz w:val="28"/>
          <w:szCs w:val="28"/>
          <w:highlight w:val="none"/>
        </w:rPr>
        <w:t>报价文件部分</w:t>
      </w:r>
      <w:bookmarkEnd w:id="481"/>
    </w:p>
    <w:p w14:paraId="429AB602">
      <w:pPr>
        <w:spacing w:line="480" w:lineRule="auto"/>
        <w:jc w:val="center"/>
        <w:rPr>
          <w:rFonts w:hint="eastAsia" w:ascii="仿宋" w:hAnsi="仿宋" w:eastAsia="仿宋" w:cs="仿宋"/>
          <w:color w:val="auto"/>
          <w:sz w:val="24"/>
          <w:szCs w:val="24"/>
          <w:highlight w:val="none"/>
        </w:rPr>
      </w:pPr>
      <w:bookmarkStart w:id="482" w:name="_Toc17273"/>
      <w:r>
        <w:rPr>
          <w:rFonts w:hint="eastAsia" w:ascii="仿宋" w:hAnsi="仿宋" w:eastAsia="仿宋" w:cs="仿宋"/>
          <w:color w:val="auto"/>
          <w:sz w:val="24"/>
          <w:szCs w:val="24"/>
          <w:highlight w:val="none"/>
        </w:rPr>
        <w:t>目录</w:t>
      </w:r>
      <w:bookmarkEnd w:id="482"/>
    </w:p>
    <w:p w14:paraId="5C46A0A2">
      <w:pPr>
        <w:numPr>
          <w:ilvl w:val="0"/>
          <w:numId w:val="3"/>
        </w:num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交易</w:t>
      </w:r>
      <w:r>
        <w:rPr>
          <w:rFonts w:hint="eastAsia" w:ascii="仿宋" w:hAnsi="仿宋" w:eastAsia="仿宋" w:cs="仿宋"/>
          <w:color w:val="auto"/>
          <w:sz w:val="21"/>
          <w:szCs w:val="21"/>
          <w:highlight w:val="none"/>
        </w:rPr>
        <w:t>一览表（报价表）…………………………………………………………………………………（页码）</w:t>
      </w:r>
    </w:p>
    <w:p w14:paraId="2C62D437">
      <w:pPr>
        <w:snapToGrid w:val="0"/>
        <w:spacing w:line="360" w:lineRule="auto"/>
        <w:ind w:right="480"/>
        <w:jc w:val="center"/>
        <w:rPr>
          <w:rFonts w:hint="eastAsia" w:ascii="仿宋" w:hAnsi="仿宋" w:eastAsia="仿宋" w:cs="仿宋"/>
          <w:b/>
          <w:color w:val="auto"/>
          <w:kern w:val="0"/>
          <w:sz w:val="32"/>
          <w:szCs w:val="32"/>
          <w:highlight w:val="none"/>
        </w:rPr>
      </w:pPr>
    </w:p>
    <w:p w14:paraId="5DEED97E">
      <w:pPr>
        <w:snapToGrid w:val="0"/>
        <w:spacing w:line="360" w:lineRule="auto"/>
        <w:ind w:right="480"/>
        <w:jc w:val="center"/>
        <w:rPr>
          <w:rFonts w:hint="eastAsia" w:ascii="仿宋" w:hAnsi="仿宋" w:eastAsia="仿宋" w:cs="仿宋"/>
          <w:b/>
          <w:color w:val="auto"/>
          <w:kern w:val="0"/>
          <w:sz w:val="32"/>
          <w:szCs w:val="32"/>
          <w:highlight w:val="none"/>
        </w:rPr>
      </w:pPr>
    </w:p>
    <w:p w14:paraId="1B43D136">
      <w:pPr>
        <w:snapToGrid w:val="0"/>
        <w:spacing w:line="360" w:lineRule="auto"/>
        <w:ind w:right="480"/>
        <w:jc w:val="center"/>
        <w:rPr>
          <w:rFonts w:hint="eastAsia" w:ascii="仿宋" w:hAnsi="仿宋" w:eastAsia="仿宋" w:cs="仿宋"/>
          <w:b/>
          <w:color w:val="auto"/>
          <w:kern w:val="0"/>
          <w:sz w:val="32"/>
          <w:szCs w:val="32"/>
          <w:highlight w:val="none"/>
        </w:rPr>
      </w:pPr>
    </w:p>
    <w:p w14:paraId="19666262">
      <w:pPr>
        <w:snapToGrid w:val="0"/>
        <w:spacing w:line="360" w:lineRule="auto"/>
        <w:ind w:right="480"/>
        <w:jc w:val="center"/>
        <w:rPr>
          <w:rFonts w:hint="eastAsia" w:ascii="仿宋" w:hAnsi="仿宋" w:eastAsia="仿宋" w:cs="仿宋"/>
          <w:b/>
          <w:color w:val="auto"/>
          <w:kern w:val="0"/>
          <w:sz w:val="32"/>
          <w:szCs w:val="32"/>
          <w:highlight w:val="none"/>
        </w:rPr>
      </w:pPr>
    </w:p>
    <w:p w14:paraId="494381F3">
      <w:pPr>
        <w:snapToGrid w:val="0"/>
        <w:spacing w:line="360" w:lineRule="auto"/>
        <w:ind w:right="480"/>
        <w:jc w:val="center"/>
        <w:rPr>
          <w:rFonts w:hint="eastAsia" w:ascii="仿宋" w:hAnsi="仿宋" w:eastAsia="仿宋" w:cs="仿宋"/>
          <w:b/>
          <w:color w:val="auto"/>
          <w:kern w:val="0"/>
          <w:sz w:val="32"/>
          <w:szCs w:val="32"/>
          <w:highlight w:val="none"/>
        </w:rPr>
      </w:pPr>
    </w:p>
    <w:p w14:paraId="79A8106E">
      <w:pPr>
        <w:snapToGrid w:val="0"/>
        <w:spacing w:line="360" w:lineRule="auto"/>
        <w:ind w:right="480"/>
        <w:jc w:val="center"/>
        <w:rPr>
          <w:rFonts w:hint="eastAsia" w:ascii="仿宋" w:hAnsi="仿宋" w:eastAsia="仿宋" w:cs="仿宋"/>
          <w:b/>
          <w:color w:val="auto"/>
          <w:kern w:val="0"/>
          <w:sz w:val="32"/>
          <w:szCs w:val="32"/>
          <w:highlight w:val="none"/>
        </w:rPr>
      </w:pPr>
    </w:p>
    <w:p w14:paraId="286F7800">
      <w:pPr>
        <w:snapToGrid w:val="0"/>
        <w:spacing w:line="360" w:lineRule="auto"/>
        <w:ind w:right="480"/>
        <w:jc w:val="center"/>
        <w:rPr>
          <w:rFonts w:hint="eastAsia" w:ascii="仿宋" w:hAnsi="仿宋" w:eastAsia="仿宋" w:cs="仿宋"/>
          <w:b/>
          <w:color w:val="auto"/>
          <w:kern w:val="0"/>
          <w:sz w:val="32"/>
          <w:szCs w:val="32"/>
          <w:highlight w:val="none"/>
        </w:rPr>
      </w:pPr>
    </w:p>
    <w:p w14:paraId="0AA2F645">
      <w:pPr>
        <w:snapToGrid w:val="0"/>
        <w:spacing w:line="360" w:lineRule="auto"/>
        <w:ind w:right="480"/>
        <w:jc w:val="center"/>
        <w:rPr>
          <w:rFonts w:hint="eastAsia" w:ascii="仿宋" w:hAnsi="仿宋" w:eastAsia="仿宋" w:cs="仿宋"/>
          <w:b/>
          <w:color w:val="auto"/>
          <w:kern w:val="0"/>
          <w:sz w:val="32"/>
          <w:szCs w:val="32"/>
          <w:highlight w:val="none"/>
        </w:rPr>
      </w:pPr>
    </w:p>
    <w:p w14:paraId="2BC5E317">
      <w:pPr>
        <w:snapToGrid w:val="0"/>
        <w:spacing w:line="360" w:lineRule="auto"/>
        <w:ind w:right="480"/>
        <w:jc w:val="center"/>
        <w:rPr>
          <w:rFonts w:hint="eastAsia" w:ascii="仿宋" w:hAnsi="仿宋" w:eastAsia="仿宋" w:cs="仿宋"/>
          <w:b/>
          <w:color w:val="auto"/>
          <w:kern w:val="0"/>
          <w:sz w:val="32"/>
          <w:szCs w:val="32"/>
          <w:highlight w:val="none"/>
        </w:rPr>
      </w:pPr>
    </w:p>
    <w:p w14:paraId="636B2054">
      <w:pPr>
        <w:snapToGrid w:val="0"/>
        <w:spacing w:line="360" w:lineRule="auto"/>
        <w:ind w:right="480"/>
        <w:jc w:val="center"/>
        <w:rPr>
          <w:rFonts w:hint="eastAsia" w:ascii="仿宋" w:hAnsi="仿宋" w:eastAsia="仿宋" w:cs="仿宋"/>
          <w:b/>
          <w:color w:val="auto"/>
          <w:kern w:val="0"/>
          <w:sz w:val="32"/>
          <w:szCs w:val="32"/>
          <w:highlight w:val="none"/>
        </w:rPr>
      </w:pPr>
    </w:p>
    <w:p w14:paraId="23B9C80A">
      <w:pPr>
        <w:snapToGrid w:val="0"/>
        <w:spacing w:line="360" w:lineRule="auto"/>
        <w:ind w:right="480"/>
        <w:jc w:val="center"/>
        <w:rPr>
          <w:rFonts w:hint="eastAsia" w:ascii="仿宋" w:hAnsi="仿宋" w:eastAsia="仿宋" w:cs="仿宋"/>
          <w:b/>
          <w:color w:val="auto"/>
          <w:kern w:val="0"/>
          <w:sz w:val="32"/>
          <w:szCs w:val="32"/>
          <w:highlight w:val="none"/>
        </w:rPr>
      </w:pPr>
    </w:p>
    <w:p w14:paraId="37D01424">
      <w:pPr>
        <w:snapToGrid w:val="0"/>
        <w:spacing w:line="360" w:lineRule="auto"/>
        <w:ind w:right="480"/>
        <w:jc w:val="center"/>
        <w:rPr>
          <w:rFonts w:hint="eastAsia" w:ascii="仿宋" w:hAnsi="仿宋" w:eastAsia="仿宋" w:cs="仿宋"/>
          <w:b/>
          <w:color w:val="auto"/>
          <w:kern w:val="0"/>
          <w:sz w:val="32"/>
          <w:szCs w:val="32"/>
          <w:highlight w:val="none"/>
        </w:rPr>
      </w:pPr>
    </w:p>
    <w:p w14:paraId="011E8B41">
      <w:pPr>
        <w:snapToGrid w:val="0"/>
        <w:spacing w:line="360" w:lineRule="auto"/>
        <w:ind w:right="480"/>
        <w:jc w:val="center"/>
        <w:rPr>
          <w:rFonts w:hint="eastAsia" w:ascii="仿宋" w:hAnsi="仿宋" w:eastAsia="仿宋" w:cs="仿宋"/>
          <w:b/>
          <w:color w:val="auto"/>
          <w:kern w:val="0"/>
          <w:sz w:val="32"/>
          <w:szCs w:val="32"/>
          <w:highlight w:val="none"/>
        </w:rPr>
      </w:pPr>
    </w:p>
    <w:p w14:paraId="37900BCB">
      <w:pPr>
        <w:snapToGrid w:val="0"/>
        <w:spacing w:line="360" w:lineRule="auto"/>
        <w:ind w:right="480"/>
        <w:jc w:val="center"/>
        <w:rPr>
          <w:rFonts w:hint="eastAsia" w:ascii="仿宋" w:hAnsi="仿宋" w:eastAsia="仿宋" w:cs="仿宋"/>
          <w:b/>
          <w:color w:val="auto"/>
          <w:kern w:val="0"/>
          <w:sz w:val="32"/>
          <w:szCs w:val="32"/>
          <w:highlight w:val="none"/>
        </w:rPr>
      </w:pPr>
    </w:p>
    <w:p w14:paraId="0E5319E8">
      <w:pPr>
        <w:snapToGrid w:val="0"/>
        <w:spacing w:line="360" w:lineRule="auto"/>
        <w:ind w:right="480"/>
        <w:jc w:val="center"/>
        <w:rPr>
          <w:rFonts w:hint="eastAsia" w:ascii="仿宋" w:hAnsi="仿宋" w:eastAsia="仿宋" w:cs="仿宋"/>
          <w:b/>
          <w:color w:val="auto"/>
          <w:kern w:val="0"/>
          <w:sz w:val="32"/>
          <w:szCs w:val="32"/>
          <w:highlight w:val="none"/>
        </w:rPr>
      </w:pPr>
    </w:p>
    <w:p w14:paraId="0DF40F49">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1" w:type="first"/>
          <w:footerReference r:id="rId13" w:type="first"/>
          <w:footerReference r:id="rId12" w:type="default"/>
          <w:pgSz w:w="11905" w:h="16838"/>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p>
    <w:p w14:paraId="64C2EA70">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0"/>
          <w:sz w:val="28"/>
          <w:szCs w:val="28"/>
          <w:highlight w:val="none"/>
          <w:lang w:val="zh-CN"/>
        </w:rPr>
      </w:pPr>
      <w:bookmarkStart w:id="483" w:name="_Toc16717"/>
      <w:bookmarkStart w:id="484" w:name="_Toc15325"/>
      <w:bookmarkStart w:id="485" w:name="_Toc23381"/>
      <w:bookmarkStart w:id="486" w:name="_Toc2087"/>
      <w:r>
        <w:rPr>
          <w:rFonts w:hint="eastAsia" w:ascii="仿宋" w:hAnsi="仿宋" w:eastAsia="仿宋" w:cs="仿宋"/>
          <w:color w:val="auto"/>
          <w:kern w:val="0"/>
          <w:sz w:val="28"/>
          <w:szCs w:val="28"/>
          <w:highlight w:val="none"/>
          <w:lang w:val="zh-CN"/>
        </w:rPr>
        <w:t>一、交易一览表（报价表）</w:t>
      </w:r>
      <w:bookmarkEnd w:id="483"/>
      <w:bookmarkEnd w:id="484"/>
      <w:bookmarkEnd w:id="485"/>
      <w:bookmarkEnd w:id="486"/>
    </w:p>
    <w:p w14:paraId="1C7A93FD">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rPr>
        <w:t>（交易发起人）、（代理机构）</w:t>
      </w:r>
      <w:r>
        <w:rPr>
          <w:rFonts w:hint="eastAsia" w:ascii="仿宋" w:hAnsi="仿宋" w:eastAsia="仿宋" w:cs="仿宋"/>
          <w:color w:val="auto"/>
          <w:kern w:val="0"/>
          <w:sz w:val="21"/>
          <w:szCs w:val="21"/>
          <w:highlight w:val="none"/>
          <w:lang w:val="zh-CN"/>
        </w:rPr>
        <w:t>：</w:t>
      </w:r>
    </w:p>
    <w:p w14:paraId="2E5BA3D6">
      <w:pPr>
        <w:snapToGrid w:val="0"/>
        <w:spacing w:line="360" w:lineRule="auto"/>
        <w:ind w:firstLine="482"/>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按你方交易文件要求，我们，本响应文件签字方，谨此向你方发出要约如下：如你方接受本响应，我方承诺按照如下交易一览表（报价表）的价格完成</w:t>
      </w:r>
      <w:r>
        <w:rPr>
          <w:rFonts w:hint="eastAsia" w:ascii="仿宋" w:hAnsi="仿宋" w:eastAsia="仿宋" w:cs="仿宋"/>
          <w:color w:val="auto"/>
          <w:sz w:val="21"/>
          <w:szCs w:val="21"/>
          <w:highlight w:val="none"/>
          <w:lang w:eastAsia="zh-CN"/>
        </w:rPr>
        <w:t>（项目名称）</w:t>
      </w:r>
      <w:r>
        <w:rPr>
          <w:rFonts w:hint="eastAsia" w:ascii="仿宋" w:hAnsi="仿宋" w:eastAsia="仿宋" w:cs="仿宋"/>
          <w:color w:val="auto"/>
          <w:kern w:val="0"/>
          <w:sz w:val="21"/>
          <w:szCs w:val="21"/>
          <w:highlight w:val="none"/>
          <w:lang w:val="zh-CN"/>
        </w:rPr>
        <w:t>【交易编号：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】的实施</w:t>
      </w:r>
      <w:r>
        <w:rPr>
          <w:rFonts w:hint="eastAsia" w:ascii="仿宋" w:hAnsi="仿宋" w:eastAsia="仿宋" w:cs="仿宋"/>
          <w:color w:val="auto"/>
          <w:kern w:val="0"/>
          <w:sz w:val="21"/>
          <w:szCs w:val="21"/>
          <w:highlight w:val="none"/>
          <w:lang w:val="zh-CN"/>
        </w:rPr>
        <w:t>。</w:t>
      </w:r>
    </w:p>
    <w:p w14:paraId="2D99249A">
      <w:pPr>
        <w:snapToGrid w:val="0"/>
        <w:spacing w:line="360" w:lineRule="auto"/>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交易一览表（报价表）(单位均为人民币元)</w:t>
      </w:r>
    </w:p>
    <w:tbl>
      <w:tblPr>
        <w:tblStyle w:val="6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433"/>
        <w:gridCol w:w="1719"/>
        <w:gridCol w:w="2078"/>
        <w:gridCol w:w="2111"/>
        <w:gridCol w:w="2132"/>
        <w:gridCol w:w="2465"/>
      </w:tblGrid>
      <w:tr w14:paraId="66A8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17" w:type="dxa"/>
            <w:noWrap w:val="0"/>
            <w:vAlign w:val="center"/>
          </w:tcPr>
          <w:p w14:paraId="79F99EB6">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序号</w:t>
            </w:r>
          </w:p>
        </w:tc>
        <w:tc>
          <w:tcPr>
            <w:tcW w:w="992" w:type="dxa"/>
            <w:noWrap w:val="0"/>
            <w:vAlign w:val="center"/>
          </w:tcPr>
          <w:p w14:paraId="7D413695">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名称</w:t>
            </w:r>
          </w:p>
        </w:tc>
        <w:tc>
          <w:tcPr>
            <w:tcW w:w="1433" w:type="dxa"/>
            <w:noWrap w:val="0"/>
            <w:vAlign w:val="center"/>
          </w:tcPr>
          <w:p w14:paraId="42FB8643">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服务范围</w:t>
            </w:r>
          </w:p>
        </w:tc>
        <w:tc>
          <w:tcPr>
            <w:tcW w:w="1719" w:type="dxa"/>
            <w:noWrap w:val="0"/>
            <w:vAlign w:val="center"/>
          </w:tcPr>
          <w:p w14:paraId="60A17091">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服务要求</w:t>
            </w:r>
          </w:p>
        </w:tc>
        <w:tc>
          <w:tcPr>
            <w:tcW w:w="2078" w:type="dxa"/>
            <w:noWrap w:val="0"/>
            <w:vAlign w:val="center"/>
          </w:tcPr>
          <w:p w14:paraId="7EEF6969">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服务时间</w:t>
            </w:r>
          </w:p>
        </w:tc>
        <w:tc>
          <w:tcPr>
            <w:tcW w:w="2111" w:type="dxa"/>
            <w:noWrap w:val="0"/>
            <w:vAlign w:val="center"/>
          </w:tcPr>
          <w:p w14:paraId="685815DD">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服务标准</w:t>
            </w:r>
          </w:p>
        </w:tc>
        <w:tc>
          <w:tcPr>
            <w:tcW w:w="2132" w:type="dxa"/>
            <w:noWrap w:val="0"/>
            <w:vAlign w:val="center"/>
          </w:tcPr>
          <w:p w14:paraId="0610182B">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服务人数</w:t>
            </w:r>
          </w:p>
        </w:tc>
        <w:tc>
          <w:tcPr>
            <w:tcW w:w="2465" w:type="dxa"/>
            <w:noWrap w:val="0"/>
            <w:vAlign w:val="center"/>
          </w:tcPr>
          <w:p w14:paraId="322E5677">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备注（如果有）</w:t>
            </w:r>
          </w:p>
        </w:tc>
      </w:tr>
      <w:tr w14:paraId="6228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noWrap w:val="0"/>
            <w:vAlign w:val="center"/>
          </w:tcPr>
          <w:p w14:paraId="63DEE8E4">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992" w:type="dxa"/>
            <w:noWrap w:val="0"/>
            <w:vAlign w:val="center"/>
          </w:tcPr>
          <w:p w14:paraId="259E5221">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XX</w:t>
            </w:r>
          </w:p>
        </w:tc>
        <w:tc>
          <w:tcPr>
            <w:tcW w:w="1433" w:type="dxa"/>
            <w:noWrap w:val="0"/>
            <w:vAlign w:val="center"/>
          </w:tcPr>
          <w:p w14:paraId="4CA96D47">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c>
          <w:tcPr>
            <w:tcW w:w="1719" w:type="dxa"/>
            <w:noWrap w:val="0"/>
            <w:vAlign w:val="center"/>
          </w:tcPr>
          <w:p w14:paraId="003AAB26">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c>
          <w:tcPr>
            <w:tcW w:w="2078" w:type="dxa"/>
            <w:noWrap w:val="0"/>
            <w:vAlign w:val="center"/>
          </w:tcPr>
          <w:p w14:paraId="0BA0954F">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c>
          <w:tcPr>
            <w:tcW w:w="2111" w:type="dxa"/>
            <w:noWrap w:val="0"/>
            <w:vAlign w:val="center"/>
          </w:tcPr>
          <w:p w14:paraId="2792C7FE">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c>
          <w:tcPr>
            <w:tcW w:w="2132" w:type="dxa"/>
            <w:noWrap w:val="0"/>
            <w:vAlign w:val="top"/>
          </w:tcPr>
          <w:p w14:paraId="008B552E">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c>
          <w:tcPr>
            <w:tcW w:w="2465" w:type="dxa"/>
            <w:noWrap w:val="0"/>
            <w:vAlign w:val="center"/>
          </w:tcPr>
          <w:p w14:paraId="30626601">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r>
      <w:tr w14:paraId="672A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14:paraId="7E771EA3">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992" w:type="dxa"/>
            <w:noWrap w:val="0"/>
            <w:vAlign w:val="center"/>
          </w:tcPr>
          <w:p w14:paraId="1328AC39">
            <w:pPr>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XX</w:t>
            </w:r>
          </w:p>
        </w:tc>
        <w:tc>
          <w:tcPr>
            <w:tcW w:w="1433" w:type="dxa"/>
            <w:noWrap w:val="0"/>
            <w:vAlign w:val="center"/>
          </w:tcPr>
          <w:p w14:paraId="02BEAED0">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c>
          <w:tcPr>
            <w:tcW w:w="1719" w:type="dxa"/>
            <w:noWrap w:val="0"/>
            <w:vAlign w:val="center"/>
          </w:tcPr>
          <w:p w14:paraId="65AE4355">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c>
          <w:tcPr>
            <w:tcW w:w="2078" w:type="dxa"/>
            <w:noWrap w:val="0"/>
            <w:vAlign w:val="center"/>
          </w:tcPr>
          <w:p w14:paraId="734F15C3">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c>
          <w:tcPr>
            <w:tcW w:w="2111" w:type="dxa"/>
            <w:noWrap w:val="0"/>
            <w:vAlign w:val="center"/>
          </w:tcPr>
          <w:p w14:paraId="21E4408B">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c>
          <w:tcPr>
            <w:tcW w:w="2132" w:type="dxa"/>
            <w:noWrap w:val="0"/>
            <w:vAlign w:val="top"/>
          </w:tcPr>
          <w:p w14:paraId="5390A8B8">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c>
          <w:tcPr>
            <w:tcW w:w="2465" w:type="dxa"/>
            <w:noWrap w:val="0"/>
            <w:vAlign w:val="center"/>
          </w:tcPr>
          <w:p w14:paraId="43B3AE83">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r>
      <w:tr w14:paraId="292F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4"/>
            <w:noWrap w:val="0"/>
            <w:vAlign w:val="center"/>
          </w:tcPr>
          <w:p w14:paraId="27EE6C81">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响应报价（小写）</w:t>
            </w:r>
          </w:p>
        </w:tc>
        <w:tc>
          <w:tcPr>
            <w:tcW w:w="8786" w:type="dxa"/>
            <w:gridSpan w:val="4"/>
            <w:noWrap w:val="0"/>
            <w:vAlign w:val="top"/>
          </w:tcPr>
          <w:p w14:paraId="1C0054C6">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r>
      <w:tr w14:paraId="28B8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4"/>
            <w:noWrap w:val="0"/>
            <w:vAlign w:val="center"/>
          </w:tcPr>
          <w:p w14:paraId="69F57DEF">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响应报价（大写）</w:t>
            </w:r>
          </w:p>
        </w:tc>
        <w:tc>
          <w:tcPr>
            <w:tcW w:w="8786" w:type="dxa"/>
            <w:gridSpan w:val="4"/>
            <w:noWrap w:val="0"/>
            <w:vAlign w:val="top"/>
          </w:tcPr>
          <w:p w14:paraId="053E1A70">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p>
        </w:tc>
      </w:tr>
    </w:tbl>
    <w:p w14:paraId="26CD0EF6">
      <w:pPr>
        <w:spacing w:line="360" w:lineRule="auto"/>
        <w:ind w:left="-2" w:leftChars="-1"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注：</w:t>
      </w:r>
    </w:p>
    <w:p w14:paraId="396653F7">
      <w:pPr>
        <w:spacing w:line="360" w:lineRule="auto"/>
        <w:ind w:left="-2" w:leftChars="-1"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1、响应人需按本表格式填写，不得自行更改。</w:t>
      </w:r>
    </w:p>
    <w:p w14:paraId="2F48CFF9">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2、有关本项目实施所涉及的一切费用均计入报价。</w:t>
      </w:r>
      <w:r>
        <w:rPr>
          <w:rFonts w:hint="eastAsia" w:ascii="仿宋" w:hAnsi="仿宋" w:eastAsia="仿宋" w:cs="仿宋"/>
          <w:b/>
          <w:color w:val="auto"/>
          <w:kern w:val="0"/>
          <w:sz w:val="21"/>
          <w:szCs w:val="21"/>
          <w:highlight w:val="none"/>
          <w:lang w:val="zh-CN"/>
        </w:rPr>
        <w:t>交易发起人将以合同形式有偿取得货物或服务，不接受响应人给予的赠品、回扣或者与采购无关的其他商品、服务</w:t>
      </w:r>
      <w:r>
        <w:rPr>
          <w:rFonts w:hint="eastAsia" w:ascii="仿宋" w:hAnsi="仿宋" w:eastAsia="仿宋" w:cs="仿宋"/>
          <w:b/>
          <w:color w:val="auto"/>
          <w:sz w:val="21"/>
          <w:szCs w:val="21"/>
          <w:highlight w:val="none"/>
        </w:rPr>
        <w:t>。</w:t>
      </w:r>
    </w:p>
    <w:p w14:paraId="01D480B4">
      <w:pPr>
        <w:spacing w:line="360" w:lineRule="auto"/>
        <w:ind w:firstLine="422" w:firstLineChars="200"/>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、特别说明：▲供应商报价低于项目预算50%的，应当在报价文件中详细阐述不影响产品质量或者诚信履约的具体原因</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未做阐述说明的，响应无效。</w:t>
      </w:r>
    </w:p>
    <w:p w14:paraId="514E0B24">
      <w:pPr>
        <w:numPr>
          <w:ilvl w:val="0"/>
          <w:numId w:val="0"/>
        </w:numPr>
        <w:spacing w:line="360" w:lineRule="auto"/>
        <w:rPr>
          <w:rFonts w:hint="eastAsia" w:ascii="仿宋" w:hAnsi="仿宋" w:eastAsia="仿宋" w:cs="仿宋"/>
          <w:color w:val="auto"/>
          <w:kern w:val="0"/>
          <w:sz w:val="21"/>
          <w:szCs w:val="21"/>
          <w:highlight w:val="none"/>
          <w:lang w:val="zh-CN"/>
        </w:rPr>
      </w:pPr>
    </w:p>
    <w:p w14:paraId="11183DEA">
      <w:pPr>
        <w:autoSpaceDE w:val="0"/>
        <w:autoSpaceDN w:val="0"/>
        <w:spacing w:line="360" w:lineRule="auto"/>
        <w:ind w:right="1120"/>
        <w:jc w:val="right"/>
        <w:rPr>
          <w:rFonts w:hint="eastAsia" w:ascii="仿宋" w:hAnsi="仿宋" w:eastAsia="仿宋" w:cs="仿宋"/>
          <w:color w:val="auto"/>
          <w:kern w:val="0"/>
          <w:sz w:val="21"/>
          <w:szCs w:val="21"/>
          <w:highlight w:val="none"/>
          <w:lang w:val="zh-CN"/>
        </w:rPr>
      </w:pPr>
      <w:bookmarkStart w:id="487" w:name="_Toc465665161"/>
      <w:bookmarkStart w:id="488" w:name="_Toc386"/>
    </w:p>
    <w:p w14:paraId="105943AF">
      <w:pPr>
        <w:numPr>
          <w:ilvl w:val="0"/>
          <w:numId w:val="0"/>
        </w:numPr>
        <w:autoSpaceDE w:val="0"/>
        <w:autoSpaceDN w:val="0"/>
        <w:spacing w:line="360" w:lineRule="auto"/>
        <w:ind w:right="1120"/>
        <w:jc w:val="right"/>
        <w:rPr>
          <w:rFonts w:hint="eastAsia" w:ascii="仿宋" w:hAnsi="仿宋" w:eastAsia="仿宋" w:cs="仿宋"/>
          <w:b/>
          <w:color w:val="auto"/>
          <w:kern w:val="0"/>
          <w:sz w:val="21"/>
          <w:szCs w:val="21"/>
          <w:highlight w:val="none"/>
        </w:rPr>
        <w:sectPr>
          <w:pgSz w:w="16838" w:h="11905" w:orient="landscape"/>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val="zh-CN"/>
        </w:rPr>
        <w:t>供应商名称（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                                                                                                                                                                                                              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bookmarkEnd w:id="487"/>
    <w:bookmarkEnd w:id="488"/>
    <w:p w14:paraId="609655A9">
      <w:pPr>
        <w:pStyle w:val="61"/>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 xml:space="preserve"> 附件</w:t>
      </w:r>
    </w:p>
    <w:p w14:paraId="0EB06B25">
      <w:pPr>
        <w:snapToGrid w:val="0"/>
        <w:spacing w:line="360" w:lineRule="auto"/>
        <w:jc w:val="center"/>
        <w:outlineLvl w:val="0"/>
        <w:rPr>
          <w:rFonts w:hint="eastAsia" w:ascii="仿宋" w:hAnsi="仿宋" w:eastAsia="仿宋" w:cs="仿宋"/>
          <w:b/>
          <w:color w:val="auto"/>
          <w:kern w:val="0"/>
          <w:sz w:val="28"/>
          <w:szCs w:val="28"/>
          <w:highlight w:val="none"/>
          <w:lang w:val="zh-CN"/>
        </w:rPr>
      </w:pPr>
      <w:bookmarkStart w:id="489" w:name="_Toc29723"/>
      <w:bookmarkStart w:id="490" w:name="_Toc31032"/>
      <w:bookmarkStart w:id="491" w:name="_Toc23688"/>
      <w:r>
        <w:rPr>
          <w:rFonts w:hint="eastAsia" w:ascii="仿宋" w:hAnsi="仿宋" w:eastAsia="仿宋" w:cs="仿宋"/>
          <w:b/>
          <w:color w:val="auto"/>
          <w:kern w:val="0"/>
          <w:sz w:val="28"/>
          <w:szCs w:val="28"/>
          <w:highlight w:val="none"/>
          <w:lang w:val="zh-CN"/>
        </w:rPr>
        <w:t>附件</w:t>
      </w:r>
      <w:r>
        <w:rPr>
          <w:rFonts w:hint="eastAsia" w:ascii="仿宋" w:hAnsi="仿宋" w:eastAsia="仿宋" w:cs="仿宋"/>
          <w:b/>
          <w:color w:val="auto"/>
          <w:kern w:val="0"/>
          <w:sz w:val="28"/>
          <w:szCs w:val="28"/>
          <w:highlight w:val="none"/>
        </w:rPr>
        <w:t>1</w:t>
      </w:r>
      <w:r>
        <w:rPr>
          <w:rFonts w:hint="eastAsia" w:ascii="仿宋" w:hAnsi="仿宋" w:eastAsia="仿宋" w:cs="仿宋"/>
          <w:b/>
          <w:color w:val="auto"/>
          <w:kern w:val="0"/>
          <w:sz w:val="28"/>
          <w:szCs w:val="28"/>
          <w:highlight w:val="none"/>
          <w:lang w:val="zh-CN"/>
        </w:rPr>
        <w:t>：质疑函范本及制作说明</w:t>
      </w:r>
      <w:bookmarkEnd w:id="489"/>
      <w:bookmarkEnd w:id="490"/>
      <w:bookmarkEnd w:id="491"/>
    </w:p>
    <w:p w14:paraId="0241369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28"/>
          <w:szCs w:val="28"/>
          <w:highlight w:val="none"/>
        </w:rPr>
        <w:t>质疑函范本</w:t>
      </w:r>
    </w:p>
    <w:p w14:paraId="13D23249">
      <w:pPr>
        <w:snapToGrid w:val="0"/>
        <w:spacing w:before="240" w:beforeLines="100"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14:paraId="16ED7C25">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p>
    <w:p w14:paraId="4BF60333">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4C2B44BF">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6BBE933B">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14:paraId="4842831C">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263C05BC">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7E3DE53E">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14:paraId="2928347F">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14:paraId="7D5F1D42">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4AD8D5FA">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u w:val="dotted"/>
        </w:rPr>
        <w:t xml:space="preserve">                                                                     </w:t>
      </w:r>
    </w:p>
    <w:p w14:paraId="2064B0C5">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交易文件获取日期：</w:t>
      </w:r>
      <w:r>
        <w:rPr>
          <w:rFonts w:hint="eastAsia" w:ascii="仿宋" w:hAnsi="仿宋" w:eastAsia="仿宋" w:cs="仿宋"/>
          <w:color w:val="auto"/>
          <w:sz w:val="21"/>
          <w:szCs w:val="21"/>
          <w:highlight w:val="none"/>
          <w:u w:val="dotted"/>
        </w:rPr>
        <w:t xml:space="preserve">                                                               </w:t>
      </w:r>
    </w:p>
    <w:p w14:paraId="6A7A2EEE">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14:paraId="63D9BB98">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14:paraId="2D971A96">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12E47E58">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0E334BD6">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4B53B168">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1B2EB400">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14:paraId="6531AFA5">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14:paraId="21652B0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4CE056B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08D97E38">
      <w:pP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66ED3182">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质疑函制作说明：</w:t>
      </w:r>
    </w:p>
    <w:p w14:paraId="31F2A24F">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1.供应商提出质疑时，应提交质疑函和必要的证明材料。</w:t>
      </w:r>
    </w:p>
    <w:p w14:paraId="58CFD63A">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highlight w:val="none"/>
        </w:rPr>
        <w:t>供应商签署的授权委托书。授权委托书应载明代理人的姓名或者名称、代理事项、具体权限、期限和相关事项。</w:t>
      </w:r>
    </w:p>
    <w:p w14:paraId="52D48BBC">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3.质疑供应商若对项目的某一分包进行质疑，质疑函中应列明具体分包号。</w:t>
      </w:r>
    </w:p>
    <w:p w14:paraId="3248C45F">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4.质疑函的质疑事项应具体、明确，并有必要的事实依据和法律依据。</w:t>
      </w:r>
    </w:p>
    <w:p w14:paraId="63E14D0C">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5.质疑函的质疑请求应与质疑事项相关。</w:t>
      </w:r>
    </w:p>
    <w:p w14:paraId="2B425D72">
      <w:pPr>
        <w:widowControl/>
        <w:spacing w:line="360" w:lineRule="auto"/>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0AD9E6FB">
      <w:pPr>
        <w:widowControl/>
        <w:spacing w:line="360" w:lineRule="auto"/>
        <w:ind w:firstLine="600" w:firstLineChars="200"/>
        <w:jc w:val="left"/>
        <w:rPr>
          <w:rFonts w:hint="eastAsia" w:ascii="仿宋" w:hAnsi="仿宋" w:eastAsia="仿宋" w:cs="仿宋"/>
          <w:color w:val="auto"/>
          <w:sz w:val="30"/>
          <w:szCs w:val="30"/>
          <w:highlight w:val="none"/>
        </w:rPr>
      </w:pPr>
    </w:p>
    <w:p w14:paraId="62C900DC">
      <w:pPr>
        <w:spacing w:line="360" w:lineRule="auto"/>
        <w:jc w:val="center"/>
        <w:rPr>
          <w:rFonts w:hint="eastAsia" w:ascii="仿宋" w:hAnsi="仿宋" w:eastAsia="仿宋" w:cs="仿宋"/>
          <w:b/>
          <w:color w:val="auto"/>
          <w:spacing w:val="6"/>
          <w:sz w:val="32"/>
          <w:szCs w:val="32"/>
          <w:highlight w:val="none"/>
        </w:rPr>
      </w:pPr>
    </w:p>
    <w:p w14:paraId="6EBE2A38">
      <w:pPr>
        <w:spacing w:line="360" w:lineRule="auto"/>
        <w:jc w:val="center"/>
        <w:rPr>
          <w:rFonts w:hint="eastAsia" w:ascii="仿宋" w:hAnsi="仿宋" w:eastAsia="仿宋" w:cs="仿宋"/>
          <w:b/>
          <w:color w:val="auto"/>
          <w:spacing w:val="6"/>
          <w:sz w:val="32"/>
          <w:szCs w:val="32"/>
          <w:highlight w:val="none"/>
        </w:rPr>
      </w:pPr>
    </w:p>
    <w:p w14:paraId="32A941E1">
      <w:pPr>
        <w:spacing w:line="360" w:lineRule="auto"/>
        <w:jc w:val="center"/>
        <w:rPr>
          <w:rFonts w:hint="eastAsia" w:ascii="仿宋" w:hAnsi="仿宋" w:eastAsia="仿宋" w:cs="仿宋"/>
          <w:b/>
          <w:color w:val="auto"/>
          <w:spacing w:val="6"/>
          <w:sz w:val="32"/>
          <w:szCs w:val="32"/>
          <w:highlight w:val="none"/>
        </w:rPr>
      </w:pPr>
    </w:p>
    <w:p w14:paraId="1B449780">
      <w:pPr>
        <w:spacing w:line="360" w:lineRule="auto"/>
        <w:jc w:val="center"/>
        <w:rPr>
          <w:rFonts w:hint="eastAsia" w:ascii="仿宋" w:hAnsi="仿宋" w:eastAsia="仿宋" w:cs="仿宋"/>
          <w:b/>
          <w:color w:val="auto"/>
          <w:spacing w:val="6"/>
          <w:sz w:val="32"/>
          <w:szCs w:val="32"/>
          <w:highlight w:val="none"/>
        </w:rPr>
      </w:pPr>
    </w:p>
    <w:p w14:paraId="7DE70B33">
      <w:pPr>
        <w:spacing w:line="360" w:lineRule="auto"/>
        <w:jc w:val="center"/>
        <w:rPr>
          <w:rFonts w:hint="eastAsia" w:ascii="仿宋" w:hAnsi="仿宋" w:eastAsia="仿宋" w:cs="仿宋"/>
          <w:b/>
          <w:color w:val="auto"/>
          <w:spacing w:val="6"/>
          <w:sz w:val="32"/>
          <w:szCs w:val="32"/>
          <w:highlight w:val="none"/>
        </w:rPr>
      </w:pPr>
    </w:p>
    <w:p w14:paraId="54EB00A3">
      <w:pPr>
        <w:spacing w:line="360" w:lineRule="auto"/>
        <w:jc w:val="center"/>
        <w:rPr>
          <w:rFonts w:hint="eastAsia" w:ascii="仿宋" w:hAnsi="仿宋" w:eastAsia="仿宋" w:cs="仿宋"/>
          <w:b/>
          <w:color w:val="auto"/>
          <w:spacing w:val="6"/>
          <w:sz w:val="32"/>
          <w:szCs w:val="32"/>
          <w:highlight w:val="none"/>
        </w:rPr>
      </w:pPr>
    </w:p>
    <w:p w14:paraId="4ADCBFF1">
      <w:pPr>
        <w:spacing w:line="360" w:lineRule="auto"/>
        <w:jc w:val="center"/>
        <w:rPr>
          <w:rFonts w:hint="eastAsia" w:ascii="仿宋" w:hAnsi="仿宋" w:eastAsia="仿宋" w:cs="仿宋"/>
          <w:b/>
          <w:color w:val="auto"/>
          <w:spacing w:val="6"/>
          <w:sz w:val="32"/>
          <w:szCs w:val="32"/>
          <w:highlight w:val="none"/>
        </w:rPr>
      </w:pPr>
    </w:p>
    <w:p w14:paraId="7EC969C6">
      <w:pPr>
        <w:spacing w:line="360" w:lineRule="auto"/>
        <w:jc w:val="center"/>
        <w:rPr>
          <w:rFonts w:hint="eastAsia" w:ascii="仿宋" w:hAnsi="仿宋" w:eastAsia="仿宋" w:cs="仿宋"/>
          <w:b/>
          <w:color w:val="auto"/>
          <w:spacing w:val="6"/>
          <w:sz w:val="32"/>
          <w:szCs w:val="32"/>
          <w:highlight w:val="none"/>
        </w:rPr>
      </w:pPr>
    </w:p>
    <w:p w14:paraId="02E56F72">
      <w:pPr>
        <w:spacing w:line="360" w:lineRule="auto"/>
        <w:jc w:val="center"/>
        <w:rPr>
          <w:rFonts w:hint="eastAsia" w:ascii="仿宋" w:hAnsi="仿宋" w:eastAsia="仿宋" w:cs="仿宋"/>
          <w:b/>
          <w:color w:val="auto"/>
          <w:spacing w:val="6"/>
          <w:sz w:val="32"/>
          <w:szCs w:val="32"/>
          <w:highlight w:val="none"/>
        </w:rPr>
      </w:pPr>
    </w:p>
    <w:p w14:paraId="6CB1EB6B">
      <w:pPr>
        <w:spacing w:line="360" w:lineRule="auto"/>
        <w:jc w:val="center"/>
        <w:rPr>
          <w:rFonts w:hint="eastAsia" w:ascii="仿宋" w:hAnsi="仿宋" w:eastAsia="仿宋" w:cs="仿宋"/>
          <w:b/>
          <w:color w:val="auto"/>
          <w:spacing w:val="6"/>
          <w:sz w:val="32"/>
          <w:szCs w:val="32"/>
          <w:highlight w:val="none"/>
        </w:rPr>
      </w:pPr>
    </w:p>
    <w:p w14:paraId="59F644E7">
      <w:pPr>
        <w:spacing w:line="360" w:lineRule="auto"/>
        <w:jc w:val="center"/>
        <w:rPr>
          <w:rFonts w:hint="eastAsia" w:ascii="仿宋" w:hAnsi="仿宋" w:eastAsia="仿宋" w:cs="仿宋"/>
          <w:b/>
          <w:color w:val="auto"/>
          <w:spacing w:val="6"/>
          <w:sz w:val="32"/>
          <w:szCs w:val="32"/>
          <w:highlight w:val="none"/>
        </w:rPr>
      </w:pPr>
    </w:p>
    <w:p w14:paraId="1574AD60">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3456F85">
      <w:pPr>
        <w:snapToGrid w:val="0"/>
        <w:spacing w:line="360" w:lineRule="auto"/>
        <w:jc w:val="center"/>
        <w:outlineLvl w:val="0"/>
        <w:rPr>
          <w:rFonts w:hint="eastAsia" w:ascii="仿宋" w:hAnsi="仿宋" w:eastAsia="仿宋" w:cs="仿宋"/>
          <w:b/>
          <w:color w:val="auto"/>
          <w:kern w:val="0"/>
          <w:sz w:val="28"/>
          <w:szCs w:val="28"/>
          <w:highlight w:val="none"/>
          <w:lang w:val="zh-CN"/>
        </w:rPr>
      </w:pPr>
      <w:bookmarkStart w:id="492" w:name="_Toc30217"/>
      <w:bookmarkStart w:id="493" w:name="_Toc13597"/>
      <w:bookmarkStart w:id="494" w:name="_Toc2681"/>
      <w:r>
        <w:rPr>
          <w:rFonts w:hint="eastAsia" w:ascii="仿宋" w:hAnsi="仿宋" w:eastAsia="仿宋" w:cs="仿宋"/>
          <w:b/>
          <w:color w:val="auto"/>
          <w:kern w:val="0"/>
          <w:sz w:val="28"/>
          <w:szCs w:val="28"/>
          <w:highlight w:val="none"/>
          <w:lang w:val="zh-CN"/>
        </w:rPr>
        <w:t>附件</w:t>
      </w:r>
      <w:r>
        <w:rPr>
          <w:rFonts w:hint="eastAsia" w:ascii="仿宋" w:hAnsi="仿宋" w:eastAsia="仿宋" w:cs="仿宋"/>
          <w:b/>
          <w:color w:val="auto"/>
          <w:kern w:val="0"/>
          <w:sz w:val="28"/>
          <w:szCs w:val="28"/>
          <w:highlight w:val="none"/>
        </w:rPr>
        <w:t>2</w:t>
      </w:r>
      <w:r>
        <w:rPr>
          <w:rFonts w:hint="eastAsia" w:ascii="仿宋" w:hAnsi="仿宋" w:eastAsia="仿宋" w:cs="仿宋"/>
          <w:b/>
          <w:color w:val="auto"/>
          <w:kern w:val="0"/>
          <w:sz w:val="28"/>
          <w:szCs w:val="28"/>
          <w:highlight w:val="none"/>
          <w:lang w:val="zh-CN"/>
        </w:rPr>
        <w:t>：投诉书范本及制作说明</w:t>
      </w:r>
      <w:bookmarkEnd w:id="492"/>
      <w:bookmarkEnd w:id="493"/>
      <w:bookmarkEnd w:id="494"/>
    </w:p>
    <w:p w14:paraId="0892CA62">
      <w:pPr>
        <w:spacing w:line="360" w:lineRule="auto"/>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投诉书范本</w:t>
      </w:r>
    </w:p>
    <w:p w14:paraId="2973E1B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14:paraId="5B56A3B2">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dotted"/>
        </w:rPr>
        <w:t xml:space="preserve">                                                                                        </w:t>
      </w:r>
    </w:p>
    <w:p w14:paraId="39D4EA0B">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7E9E8C01">
      <w:pPr>
        <w:tabs>
          <w:tab w:val="left" w:pos="6510"/>
        </w:tabs>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法定代表人/主要负责人：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7A6732D1">
      <w:pPr>
        <w:tabs>
          <w:tab w:val="left" w:pos="6510"/>
        </w:tabs>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1898BC29">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742DFD8C">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dotted"/>
        </w:rPr>
        <w:t xml:space="preserve">                   </w:t>
      </w:r>
    </w:p>
    <w:p w14:paraId="3FF12B00">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被投诉人1：</w:t>
      </w:r>
      <w:r>
        <w:rPr>
          <w:rFonts w:hint="eastAsia" w:ascii="仿宋" w:hAnsi="仿宋" w:eastAsia="仿宋" w:cs="仿宋"/>
          <w:color w:val="auto"/>
          <w:sz w:val="21"/>
          <w:szCs w:val="21"/>
          <w:highlight w:val="none"/>
          <w:u w:val="dotted"/>
        </w:rPr>
        <w:t xml:space="preserve">                                                                       </w:t>
      </w:r>
    </w:p>
    <w:p w14:paraId="74A91396">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2374E77C">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2250040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14:paraId="417A75DA">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r>
        <w:rPr>
          <w:rFonts w:hint="eastAsia" w:ascii="仿宋" w:hAnsi="仿宋" w:eastAsia="仿宋" w:cs="仿宋"/>
          <w:color w:val="auto"/>
          <w:sz w:val="21"/>
          <w:szCs w:val="21"/>
          <w:highlight w:val="none"/>
          <w:u w:val="dotted"/>
        </w:rPr>
        <w:t xml:space="preserve">                                                                     </w:t>
      </w:r>
    </w:p>
    <w:p w14:paraId="6E584594">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6AC0F73F">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2479762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14:paraId="426AC6E5">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dotted"/>
        </w:rPr>
        <w:t xml:space="preserve">                                                                   </w:t>
      </w:r>
    </w:p>
    <w:p w14:paraId="22B1C731">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eastAsia="zh-CN"/>
        </w:rPr>
        <w:t>交易编号</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7AA1872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u w:val="dotted"/>
        </w:rPr>
        <w:t xml:space="preserve">                                                                  </w:t>
      </w:r>
    </w:p>
    <w:p w14:paraId="04878B8C">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r>
        <w:rPr>
          <w:rFonts w:hint="eastAsia" w:ascii="仿宋" w:hAnsi="仿宋" w:eastAsia="仿宋" w:cs="仿宋"/>
          <w:color w:val="auto"/>
          <w:sz w:val="21"/>
          <w:szCs w:val="21"/>
          <w:highlight w:val="none"/>
          <w:u w:val="dotted"/>
        </w:rPr>
        <w:t xml:space="preserve">                                                                     </w:t>
      </w:r>
    </w:p>
    <w:p w14:paraId="236C9454">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交易文件公告: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4209BFBF">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6AC5627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14:paraId="0960EC59">
      <w:pPr>
        <w:spacing w:line="360" w:lineRule="auto"/>
        <w:ind w:firstLine="420" w:firstLineChars="20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日,向</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提出质疑，质疑事项为：</w:t>
      </w:r>
      <w:r>
        <w:rPr>
          <w:rFonts w:hint="eastAsia" w:ascii="仿宋" w:hAnsi="仿宋" w:eastAsia="仿宋" w:cs="仿宋"/>
          <w:color w:val="auto"/>
          <w:sz w:val="21"/>
          <w:szCs w:val="21"/>
          <w:highlight w:val="none"/>
          <w:u w:val="dotted"/>
        </w:rPr>
        <w:t xml:space="preserve">                                </w:t>
      </w:r>
    </w:p>
    <w:p w14:paraId="3831E77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交易发起人</w:t>
      </w:r>
      <w:r>
        <w:rPr>
          <w:rFonts w:hint="eastAsia" w:ascii="仿宋" w:hAnsi="仿宋" w:eastAsia="仿宋" w:cs="仿宋"/>
          <w:color w:val="auto"/>
          <w:sz w:val="21"/>
          <w:szCs w:val="21"/>
          <w:highlight w:val="none"/>
        </w:rPr>
        <w:t>/代理机构于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日,就质疑事项作出了答复/没有在法定期限内作出答复。</w:t>
      </w:r>
    </w:p>
    <w:p w14:paraId="23C004D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14:paraId="32CA7326">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 1：</w:t>
      </w:r>
      <w:r>
        <w:rPr>
          <w:rFonts w:hint="eastAsia" w:ascii="仿宋" w:hAnsi="仿宋" w:eastAsia="仿宋" w:cs="仿宋"/>
          <w:color w:val="auto"/>
          <w:sz w:val="21"/>
          <w:szCs w:val="21"/>
          <w:highlight w:val="none"/>
          <w:u w:val="dotted"/>
        </w:rPr>
        <w:t xml:space="preserve">                                                                    </w:t>
      </w:r>
    </w:p>
    <w:p w14:paraId="5D42579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2DD161F9">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4C293B3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14:paraId="0CFFD86F">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021EC72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14:paraId="7842238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03385590">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p>
    <w:p w14:paraId="3A7353A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0DAC65A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3CA91ADE">
      <w:pPr>
        <w:spacing w:line="360" w:lineRule="auto"/>
        <w:rPr>
          <w:rFonts w:hint="eastAsia" w:ascii="仿宋" w:hAnsi="仿宋" w:eastAsia="仿宋" w:cs="仿宋"/>
          <w:b/>
          <w:color w:val="auto"/>
          <w:sz w:val="21"/>
          <w:szCs w:val="21"/>
          <w:highlight w:val="none"/>
        </w:rPr>
      </w:pPr>
    </w:p>
    <w:p w14:paraId="0E7FBDFA">
      <w:pPr>
        <w:spacing w:line="360" w:lineRule="auto"/>
        <w:rPr>
          <w:rFonts w:hint="eastAsia" w:ascii="仿宋" w:hAnsi="仿宋" w:eastAsia="仿宋" w:cs="仿宋"/>
          <w:b/>
          <w:color w:val="auto"/>
          <w:sz w:val="21"/>
          <w:szCs w:val="21"/>
          <w:highlight w:val="none"/>
        </w:rPr>
      </w:pPr>
    </w:p>
    <w:p w14:paraId="0710DCB3">
      <w:pP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41177B75">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14:paraId="3FEC8C63">
      <w:pPr>
        <w:widowControl/>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14:paraId="6E41B21B">
      <w:pPr>
        <w:widowControl/>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 w:val="21"/>
          <w:szCs w:val="21"/>
          <w:highlight w:val="none"/>
        </w:rPr>
        <w:t>投诉人签署的授权委托书。授权委托书应当载明代理人的姓名或者名称、代理事项、具体权限、期限和相关事项。</w:t>
      </w:r>
    </w:p>
    <w:p w14:paraId="783D332F">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14:paraId="7A765F22">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14:paraId="7C466524">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14:paraId="1A0969D5">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14:paraId="5FDAFE7D">
      <w:pPr>
        <w:widowControl/>
        <w:spacing w:line="360" w:lineRule="auto"/>
        <w:ind w:firstLine="42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4B258F7">
      <w:pPr>
        <w:spacing w:line="360" w:lineRule="auto"/>
        <w:rPr>
          <w:rFonts w:hint="eastAsia" w:ascii="仿宋" w:hAnsi="仿宋" w:eastAsia="仿宋" w:cs="仿宋"/>
          <w:b/>
          <w:color w:val="auto"/>
          <w:sz w:val="24"/>
          <w:highlight w:val="none"/>
        </w:rPr>
      </w:pPr>
    </w:p>
    <w:p w14:paraId="77D76570">
      <w:pPr>
        <w:autoSpaceDE w:val="0"/>
        <w:autoSpaceDN w:val="0"/>
        <w:jc w:val="center"/>
        <w:rPr>
          <w:rFonts w:hint="eastAsia" w:ascii="仿宋" w:hAnsi="仿宋" w:eastAsia="仿宋" w:cs="仿宋"/>
          <w:b/>
          <w:color w:val="auto"/>
          <w:spacing w:val="6"/>
          <w:sz w:val="32"/>
          <w:szCs w:val="32"/>
          <w:highlight w:val="none"/>
        </w:rPr>
      </w:pPr>
    </w:p>
    <w:p w14:paraId="673080AB">
      <w:pPr>
        <w:autoSpaceDE w:val="0"/>
        <w:autoSpaceDN w:val="0"/>
        <w:jc w:val="center"/>
        <w:rPr>
          <w:rFonts w:hint="eastAsia" w:ascii="仿宋" w:hAnsi="仿宋" w:eastAsia="仿宋" w:cs="仿宋"/>
          <w:b/>
          <w:color w:val="auto"/>
          <w:spacing w:val="6"/>
          <w:sz w:val="32"/>
          <w:szCs w:val="32"/>
          <w:highlight w:val="none"/>
        </w:rPr>
      </w:pPr>
    </w:p>
    <w:p w14:paraId="7F517328">
      <w:pPr>
        <w:snapToGrid w:val="0"/>
        <w:spacing w:line="360" w:lineRule="auto"/>
        <w:jc w:val="center"/>
        <w:outlineLvl w:val="0"/>
        <w:rPr>
          <w:rFonts w:hint="eastAsia" w:ascii="仿宋" w:hAnsi="仿宋" w:eastAsia="仿宋" w:cs="仿宋"/>
          <w:b/>
          <w:color w:val="auto"/>
          <w:kern w:val="0"/>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bookmarkStart w:id="495" w:name="_Toc7658"/>
    </w:p>
    <w:p w14:paraId="71220824">
      <w:pPr>
        <w:snapToGrid w:val="0"/>
        <w:spacing w:line="360" w:lineRule="auto"/>
        <w:jc w:val="center"/>
        <w:outlineLvl w:val="0"/>
        <w:rPr>
          <w:rFonts w:hint="eastAsia" w:ascii="仿宋" w:hAnsi="仿宋" w:eastAsia="仿宋" w:cs="仿宋"/>
          <w:b/>
          <w:color w:val="auto"/>
          <w:kern w:val="0"/>
          <w:sz w:val="28"/>
          <w:szCs w:val="28"/>
          <w:highlight w:val="none"/>
          <w:lang w:val="zh-CN"/>
        </w:rPr>
      </w:pPr>
      <w:bookmarkStart w:id="496" w:name="_Toc27032"/>
      <w:bookmarkStart w:id="497" w:name="_Toc7535"/>
      <w:r>
        <w:rPr>
          <w:rFonts w:hint="eastAsia" w:ascii="仿宋" w:hAnsi="仿宋" w:eastAsia="仿宋" w:cs="仿宋"/>
          <w:b/>
          <w:color w:val="auto"/>
          <w:kern w:val="0"/>
          <w:sz w:val="28"/>
          <w:szCs w:val="28"/>
          <w:highlight w:val="none"/>
          <w:lang w:val="zh-CN"/>
        </w:rPr>
        <w:t>附件</w:t>
      </w:r>
      <w:r>
        <w:rPr>
          <w:rFonts w:hint="eastAsia" w:ascii="仿宋" w:hAnsi="仿宋" w:eastAsia="仿宋" w:cs="仿宋"/>
          <w:b/>
          <w:color w:val="auto"/>
          <w:kern w:val="0"/>
          <w:sz w:val="28"/>
          <w:szCs w:val="28"/>
          <w:highlight w:val="none"/>
        </w:rPr>
        <w:t>3</w:t>
      </w:r>
      <w:r>
        <w:rPr>
          <w:rFonts w:hint="eastAsia" w:ascii="仿宋" w:hAnsi="仿宋" w:eastAsia="仿宋" w:cs="仿宋"/>
          <w:b/>
          <w:color w:val="auto"/>
          <w:kern w:val="0"/>
          <w:sz w:val="28"/>
          <w:szCs w:val="28"/>
          <w:highlight w:val="none"/>
          <w:lang w:val="zh-CN"/>
        </w:rPr>
        <w:t>：业务专用章使用说明函</w:t>
      </w:r>
      <w:bookmarkEnd w:id="495"/>
      <w:bookmarkEnd w:id="496"/>
      <w:bookmarkEnd w:id="497"/>
    </w:p>
    <w:p w14:paraId="71F962F0">
      <w:pPr>
        <w:spacing w:line="360" w:lineRule="auto"/>
        <w:rPr>
          <w:rFonts w:hint="eastAsia" w:ascii="仿宋" w:hAnsi="仿宋" w:eastAsia="仿宋" w:cs="仿宋"/>
          <w:color w:val="auto"/>
          <w:sz w:val="24"/>
          <w:highlight w:val="none"/>
          <w:u w:val="single"/>
        </w:rPr>
      </w:pPr>
    </w:p>
    <w:p w14:paraId="24AE1260">
      <w:p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u w:val="single"/>
        </w:rPr>
        <w:t>（交易发起人）、（代理机构）</w:t>
      </w:r>
      <w:r>
        <w:rPr>
          <w:rFonts w:hint="eastAsia" w:ascii="仿宋" w:hAnsi="仿宋" w:eastAsia="仿宋" w:cs="仿宋"/>
          <w:color w:val="auto"/>
          <w:sz w:val="21"/>
          <w:szCs w:val="21"/>
          <w:highlight w:val="none"/>
          <w:u w:val="single"/>
          <w:lang w:eastAsia="zh-CN"/>
        </w:rPr>
        <w:t>：</w:t>
      </w:r>
    </w:p>
    <w:p w14:paraId="57C5563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我方</w:t>
      </w:r>
      <w:r>
        <w:rPr>
          <w:rFonts w:hint="eastAsia" w:ascii="仿宋" w:hAnsi="仿宋" w:eastAsia="仿宋" w:cs="仿宋"/>
          <w:color w:val="auto"/>
          <w:sz w:val="21"/>
          <w:szCs w:val="21"/>
          <w:highlight w:val="none"/>
          <w:u w:val="single"/>
        </w:rPr>
        <w:t>(供应商全称)</w:t>
      </w:r>
      <w:r>
        <w:rPr>
          <w:rFonts w:hint="eastAsia" w:ascii="仿宋" w:hAnsi="仿宋" w:eastAsia="仿宋" w:cs="仿宋"/>
          <w:color w:val="auto"/>
          <w:sz w:val="21"/>
          <w:szCs w:val="21"/>
          <w:highlight w:val="none"/>
        </w:rPr>
        <w:t>是中华人民共和国依法登记注册的合法企业，</w:t>
      </w:r>
      <w:r>
        <w:rPr>
          <w:rFonts w:hint="eastAsia" w:ascii="仿宋" w:hAnsi="仿宋" w:eastAsia="仿宋" w:cs="仿宋"/>
          <w:bCs/>
          <w:color w:val="auto"/>
          <w:sz w:val="21"/>
          <w:szCs w:val="21"/>
          <w:highlight w:val="none"/>
        </w:rPr>
        <w:t>在参加</w:t>
      </w:r>
      <w:r>
        <w:rPr>
          <w:rFonts w:hint="eastAsia" w:ascii="仿宋" w:hAnsi="仿宋" w:eastAsia="仿宋" w:cs="仿宋"/>
          <w:color w:val="auto"/>
          <w:sz w:val="21"/>
          <w:szCs w:val="21"/>
          <w:highlight w:val="none"/>
        </w:rPr>
        <w:t>你方组织的</w:t>
      </w:r>
      <w:r>
        <w:rPr>
          <w:rFonts w:hint="eastAsia" w:ascii="仿宋" w:hAnsi="仿宋" w:eastAsia="仿宋" w:cs="仿宋"/>
          <w:color w:val="auto"/>
          <w:sz w:val="21"/>
          <w:szCs w:val="21"/>
          <w:highlight w:val="none"/>
          <w:lang w:eastAsia="zh-CN"/>
        </w:rPr>
        <w:t>（项目名称）</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交易编号</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响应活动中作如下说明：</w:t>
      </w:r>
      <w:r>
        <w:rPr>
          <w:rFonts w:hint="eastAsia" w:ascii="仿宋" w:hAnsi="仿宋" w:eastAsia="仿宋" w:cs="仿宋"/>
          <w:color w:val="auto"/>
          <w:sz w:val="21"/>
          <w:szCs w:val="21"/>
          <w:highlight w:val="none"/>
        </w:rPr>
        <w:t xml:space="preserve">我方所使用的“XX专用章”与法定名称章具有同等的法律效力，对使用“XX专用章”的行为予以完全承认，并愿意承担相应责任。   </w:t>
      </w:r>
    </w:p>
    <w:p w14:paraId="42B99CA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特此说明。</w:t>
      </w:r>
    </w:p>
    <w:p w14:paraId="4EF6FC18">
      <w:pPr>
        <w:spacing w:line="360" w:lineRule="auto"/>
        <w:ind w:firstLine="494"/>
        <w:rPr>
          <w:rFonts w:hint="eastAsia" w:ascii="仿宋" w:hAnsi="仿宋" w:eastAsia="仿宋" w:cs="仿宋"/>
          <w:color w:val="auto"/>
          <w:sz w:val="21"/>
          <w:szCs w:val="21"/>
          <w:highlight w:val="none"/>
        </w:rPr>
      </w:pPr>
    </w:p>
    <w:p w14:paraId="3CF410EA">
      <w:pPr>
        <w:spacing w:line="360" w:lineRule="auto"/>
        <w:ind w:firstLine="494"/>
        <w:rPr>
          <w:rFonts w:hint="eastAsia" w:ascii="仿宋" w:hAnsi="仿宋" w:eastAsia="仿宋" w:cs="仿宋"/>
          <w:color w:val="auto"/>
          <w:sz w:val="21"/>
          <w:szCs w:val="21"/>
          <w:highlight w:val="none"/>
        </w:rPr>
      </w:pPr>
    </w:p>
    <w:p w14:paraId="6D587135">
      <w:pPr>
        <w:spacing w:line="360" w:lineRule="auto"/>
        <w:ind w:firstLine="494"/>
        <w:rPr>
          <w:rFonts w:hint="eastAsia" w:ascii="仿宋" w:hAnsi="仿宋" w:eastAsia="仿宋" w:cs="仿宋"/>
          <w:color w:val="auto"/>
          <w:sz w:val="21"/>
          <w:szCs w:val="21"/>
          <w:highlight w:val="none"/>
        </w:rPr>
      </w:pPr>
    </w:p>
    <w:p w14:paraId="4F32B642">
      <w:pPr>
        <w:spacing w:line="360" w:lineRule="auto"/>
        <w:ind w:right="480"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响应单位（法定名称章）：</w:t>
      </w:r>
    </w:p>
    <w:p w14:paraId="1EBBD5CF">
      <w:pPr>
        <w:ind w:right="1440" w:firstLine="494"/>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14:paraId="4A1CBCF4">
      <w:pP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附：</w:t>
      </w:r>
    </w:p>
    <w:p w14:paraId="7C01A63C">
      <w:pPr>
        <w:spacing w:line="360" w:lineRule="auto"/>
        <w:rPr>
          <w:rFonts w:hint="eastAsia" w:ascii="仿宋" w:hAnsi="仿宋" w:eastAsia="仿宋" w:cs="仿宋"/>
          <w:bCs/>
          <w:color w:val="auto"/>
          <w:sz w:val="21"/>
          <w:szCs w:val="21"/>
          <w:highlight w:val="none"/>
        </w:rPr>
      </w:pPr>
      <w:r>
        <w:rPr>
          <w:rFonts w:hint="eastAsia" w:ascii="仿宋" w:hAnsi="仿宋" w:eastAsia="仿宋" w:cs="仿宋"/>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1"/>
          <w:szCs w:val="21"/>
          <w:highlight w:val="none"/>
        </w:rPr>
        <w:t>响应单位法定名称章（印模）                响应单位“XX专用章”（印模）</w:t>
      </w:r>
    </w:p>
    <w:p w14:paraId="204B27B1">
      <w:pPr>
        <w:autoSpaceDE w:val="0"/>
        <w:autoSpaceDN w:val="0"/>
        <w:jc w:val="center"/>
        <w:rPr>
          <w:rFonts w:hint="eastAsia" w:ascii="仿宋" w:hAnsi="仿宋" w:eastAsia="仿宋" w:cs="仿宋"/>
          <w:b/>
          <w:color w:val="auto"/>
          <w:spacing w:val="6"/>
          <w:sz w:val="21"/>
          <w:szCs w:val="21"/>
          <w:highlight w:val="none"/>
        </w:rPr>
      </w:pPr>
    </w:p>
    <w:p w14:paraId="736A100E">
      <w:pPr>
        <w:autoSpaceDE w:val="0"/>
        <w:autoSpaceDN w:val="0"/>
        <w:jc w:val="center"/>
        <w:rPr>
          <w:rFonts w:hint="eastAsia" w:ascii="仿宋" w:hAnsi="仿宋" w:eastAsia="仿宋" w:cs="仿宋"/>
          <w:b/>
          <w:color w:val="auto"/>
          <w:spacing w:val="6"/>
          <w:sz w:val="21"/>
          <w:szCs w:val="21"/>
          <w:highlight w:val="none"/>
        </w:rPr>
      </w:pPr>
    </w:p>
    <w:p w14:paraId="697F6551">
      <w:pPr>
        <w:autoSpaceDE w:val="0"/>
        <w:autoSpaceDN w:val="0"/>
        <w:jc w:val="center"/>
        <w:rPr>
          <w:rFonts w:hint="eastAsia" w:ascii="仿宋" w:hAnsi="仿宋" w:eastAsia="仿宋" w:cs="仿宋"/>
          <w:b/>
          <w:color w:val="auto"/>
          <w:spacing w:val="6"/>
          <w:sz w:val="21"/>
          <w:szCs w:val="21"/>
          <w:highlight w:val="none"/>
        </w:rPr>
      </w:pPr>
    </w:p>
    <w:p w14:paraId="200B5C85">
      <w:pPr>
        <w:autoSpaceDE w:val="0"/>
        <w:autoSpaceDN w:val="0"/>
        <w:jc w:val="center"/>
        <w:rPr>
          <w:rFonts w:hint="eastAsia" w:ascii="仿宋" w:hAnsi="仿宋" w:eastAsia="仿宋" w:cs="仿宋"/>
          <w:b/>
          <w:color w:val="auto"/>
          <w:spacing w:val="6"/>
          <w:sz w:val="21"/>
          <w:szCs w:val="21"/>
          <w:highlight w:val="none"/>
        </w:rPr>
      </w:pPr>
    </w:p>
    <w:p w14:paraId="25047796">
      <w:pPr>
        <w:autoSpaceDE w:val="0"/>
        <w:autoSpaceDN w:val="0"/>
        <w:jc w:val="center"/>
        <w:rPr>
          <w:rFonts w:hint="eastAsia" w:ascii="仿宋" w:hAnsi="仿宋" w:eastAsia="仿宋" w:cs="仿宋"/>
          <w:b/>
          <w:color w:val="auto"/>
          <w:spacing w:val="6"/>
          <w:sz w:val="21"/>
          <w:szCs w:val="21"/>
          <w:highlight w:val="none"/>
        </w:rPr>
      </w:pPr>
    </w:p>
    <w:p w14:paraId="081F8A70">
      <w:pPr>
        <w:autoSpaceDE w:val="0"/>
        <w:autoSpaceDN w:val="0"/>
        <w:jc w:val="center"/>
        <w:rPr>
          <w:rFonts w:hint="eastAsia" w:ascii="仿宋" w:hAnsi="仿宋" w:eastAsia="仿宋" w:cs="仿宋"/>
          <w:b/>
          <w:color w:val="auto"/>
          <w:spacing w:val="6"/>
          <w:sz w:val="21"/>
          <w:szCs w:val="21"/>
          <w:highlight w:val="none"/>
        </w:rPr>
      </w:pPr>
    </w:p>
    <w:p w14:paraId="720113E3">
      <w:pPr>
        <w:autoSpaceDE w:val="0"/>
        <w:autoSpaceDN w:val="0"/>
        <w:jc w:val="center"/>
        <w:rPr>
          <w:rFonts w:hint="eastAsia" w:ascii="仿宋" w:hAnsi="仿宋" w:eastAsia="仿宋" w:cs="仿宋"/>
          <w:b/>
          <w:color w:val="auto"/>
          <w:spacing w:val="6"/>
          <w:sz w:val="21"/>
          <w:szCs w:val="21"/>
          <w:highlight w:val="none"/>
        </w:rPr>
      </w:pPr>
    </w:p>
    <w:p w14:paraId="2488709B">
      <w:pPr>
        <w:autoSpaceDE w:val="0"/>
        <w:autoSpaceDN w:val="0"/>
        <w:jc w:val="center"/>
        <w:rPr>
          <w:rFonts w:hint="eastAsia" w:ascii="仿宋" w:hAnsi="仿宋" w:eastAsia="仿宋" w:cs="仿宋"/>
          <w:b/>
          <w:color w:val="auto"/>
          <w:spacing w:val="6"/>
          <w:sz w:val="21"/>
          <w:szCs w:val="21"/>
          <w:highlight w:val="none"/>
        </w:rPr>
      </w:pPr>
    </w:p>
    <w:p w14:paraId="10C73487">
      <w:pPr>
        <w:autoSpaceDE w:val="0"/>
        <w:autoSpaceDN w:val="0"/>
        <w:jc w:val="center"/>
        <w:rPr>
          <w:rFonts w:hint="eastAsia" w:ascii="仿宋" w:hAnsi="仿宋" w:eastAsia="仿宋" w:cs="仿宋"/>
          <w:b/>
          <w:color w:val="auto"/>
          <w:spacing w:val="6"/>
          <w:sz w:val="21"/>
          <w:szCs w:val="21"/>
          <w:highlight w:val="none"/>
        </w:rPr>
      </w:pPr>
    </w:p>
    <w:p w14:paraId="7675B71E">
      <w:pPr>
        <w:autoSpaceDE w:val="0"/>
        <w:autoSpaceDN w:val="0"/>
        <w:jc w:val="center"/>
        <w:rPr>
          <w:rFonts w:hint="eastAsia" w:ascii="仿宋" w:hAnsi="仿宋" w:eastAsia="仿宋" w:cs="仿宋"/>
          <w:b/>
          <w:color w:val="auto"/>
          <w:spacing w:val="6"/>
          <w:sz w:val="21"/>
          <w:szCs w:val="21"/>
          <w:highlight w:val="none"/>
        </w:rPr>
      </w:pPr>
    </w:p>
    <w:p w14:paraId="257C03C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66EFB51">
      <w:pPr>
        <w:pStyle w:val="4"/>
        <w:jc w:val="center"/>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lang w:val="en-US" w:eastAsia="zh-CN"/>
        </w:rPr>
        <w:t>附件4：</w:t>
      </w:r>
      <w:r>
        <w:rPr>
          <w:rFonts w:hint="eastAsia" w:ascii="仿宋" w:hAnsi="仿宋" w:eastAsia="仿宋" w:cs="仿宋"/>
          <w:color w:val="auto"/>
          <w:sz w:val="28"/>
          <w:szCs w:val="28"/>
          <w:highlight w:val="none"/>
        </w:rPr>
        <w:t>样品（演示）授权委托书</w:t>
      </w:r>
    </w:p>
    <w:p w14:paraId="5E8344A7">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样品（演示）授权委托书</w:t>
      </w:r>
    </w:p>
    <w:p w14:paraId="65DD5BDE">
      <w:pPr>
        <w:jc w:val="center"/>
        <w:rPr>
          <w:rFonts w:hint="eastAsia" w:ascii="仿宋" w:hAnsi="仿宋" w:eastAsia="仿宋" w:cs="仿宋"/>
          <w:color w:val="auto"/>
          <w:sz w:val="40"/>
          <w:highlight w:val="none"/>
        </w:rPr>
      </w:pPr>
    </w:p>
    <w:p w14:paraId="529F49F0">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XXX（单位名称或采购机构名称）</w:t>
      </w:r>
      <w:r>
        <w:rPr>
          <w:rFonts w:hint="eastAsia" w:ascii="仿宋" w:hAnsi="仿宋" w:eastAsia="仿宋" w:cs="仿宋"/>
          <w:color w:val="auto"/>
          <w:sz w:val="21"/>
          <w:szCs w:val="21"/>
          <w:highlight w:val="none"/>
          <w:lang w:val="zh-CN"/>
        </w:rPr>
        <w:t>：</w:t>
      </w:r>
    </w:p>
    <w:p w14:paraId="279D5A22">
      <w:pPr>
        <w:snapToGrid w:val="0"/>
        <w:spacing w:line="360" w:lineRule="auto"/>
        <w:ind w:left="254" w:leftChars="121" w:firstLine="420" w:firstLineChars="200"/>
        <w:rPr>
          <w:rFonts w:hint="eastAsia" w:ascii="仿宋" w:hAnsi="仿宋" w:eastAsia="仿宋" w:cs="仿宋"/>
          <w:color w:val="auto"/>
          <w:sz w:val="21"/>
          <w:szCs w:val="21"/>
          <w:highlight w:val="none"/>
          <w:u w:val="single"/>
          <w:lang w:val="zh-CN"/>
        </w:rPr>
      </w:pPr>
      <w:r>
        <w:rPr>
          <w:rFonts w:hint="eastAsia" w:ascii="仿宋" w:hAnsi="仿宋" w:eastAsia="仿宋" w:cs="仿宋"/>
          <w:color w:val="auto"/>
          <w:sz w:val="21"/>
          <w:szCs w:val="21"/>
          <w:highlight w:val="none"/>
          <w:lang w:val="zh-CN"/>
        </w:rPr>
        <w:t>兹委派</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先生/女士，身份证号：</w:t>
      </w:r>
      <w:r>
        <w:rPr>
          <w:rFonts w:hint="eastAsia" w:ascii="仿宋" w:hAnsi="仿宋" w:eastAsia="仿宋" w:cs="仿宋"/>
          <w:color w:val="auto"/>
          <w:sz w:val="21"/>
          <w:szCs w:val="21"/>
          <w:highlight w:val="none"/>
          <w:u w:val="single"/>
          <w:lang w:val="zh-CN"/>
        </w:rPr>
        <w:t xml:space="preserve">                   </w:t>
      </w:r>
    </w:p>
    <w:p w14:paraId="33D60B89">
      <w:pPr>
        <w:snapToGrid w:val="0"/>
        <w:spacing w:line="360" w:lineRule="auto"/>
        <w:ind w:left="254" w:leftChars="121"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手机：</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，代表我公司前来递交</w:t>
      </w:r>
      <w:r>
        <w:rPr>
          <w:rFonts w:hint="eastAsia" w:ascii="仿宋" w:hAnsi="仿宋" w:eastAsia="仿宋" w:cs="仿宋"/>
          <w:color w:val="auto"/>
          <w:sz w:val="21"/>
          <w:szCs w:val="21"/>
          <w:highlight w:val="none"/>
          <w:u w:val="single"/>
          <w:lang w:val="zh-CN"/>
        </w:rPr>
        <w:t xml:space="preserve">                           采购项目</w:t>
      </w:r>
      <w:r>
        <w:rPr>
          <w:rFonts w:hint="eastAsia" w:ascii="仿宋" w:hAnsi="仿宋" w:eastAsia="仿宋" w:cs="仿宋"/>
          <w:color w:val="auto"/>
          <w:sz w:val="21"/>
          <w:szCs w:val="21"/>
          <w:highlight w:val="none"/>
          <w:lang w:val="zh-CN"/>
        </w:rPr>
        <w:t>【交易编号：              】（标项号：  ）响应样品或参加演示，并全权负责标后取回样品等其他处理事宜。</w:t>
      </w:r>
    </w:p>
    <w:p w14:paraId="42816BDF">
      <w:pPr>
        <w:snapToGrid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  </w:t>
      </w:r>
    </w:p>
    <w:p w14:paraId="250FC926">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 xml:space="preserve">    特此告知。</w:t>
      </w:r>
    </w:p>
    <w:p w14:paraId="4BE364C9">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 xml:space="preserve">                                                  响应人名称(公章)：</w:t>
      </w:r>
    </w:p>
    <w:p w14:paraId="7BF89C4D">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 xml:space="preserve">                                                  </w:t>
      </w:r>
    </w:p>
    <w:p w14:paraId="2546E616">
      <w:pPr>
        <w:snapToGrid w:val="0"/>
        <w:spacing w:line="360" w:lineRule="auto"/>
        <w:ind w:right="240"/>
        <w:jc w:val="righ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签发日期：  年  月   日</w:t>
      </w:r>
    </w:p>
    <w:p w14:paraId="7A9ED969">
      <w:pPr>
        <w:snapToGrid w:val="0"/>
        <w:spacing w:line="360" w:lineRule="auto"/>
        <w:ind w:right="240"/>
        <w:jc w:val="right"/>
        <w:rPr>
          <w:rFonts w:hint="eastAsia" w:ascii="仿宋" w:hAnsi="仿宋" w:eastAsia="仿宋" w:cs="仿宋"/>
          <w:color w:val="auto"/>
          <w:sz w:val="21"/>
          <w:szCs w:val="21"/>
          <w:highlight w:val="none"/>
          <w:lang w:val="zh-CN"/>
        </w:rPr>
      </w:pPr>
    </w:p>
    <w:p w14:paraId="3CED6205">
      <w:pPr>
        <w:snapToGrid w:val="0"/>
        <w:spacing w:line="360" w:lineRule="auto"/>
        <w:ind w:right="1920"/>
        <w:rPr>
          <w:rFonts w:hint="eastAsia" w:ascii="仿宋" w:hAnsi="仿宋" w:eastAsia="仿宋" w:cs="仿宋"/>
          <w:color w:val="auto"/>
          <w:sz w:val="21"/>
          <w:szCs w:val="21"/>
          <w:highlight w:val="none"/>
          <w:lang w:val="zh-CN"/>
        </w:rPr>
      </w:pPr>
    </w:p>
    <w:p w14:paraId="7D45EC02">
      <w:pPr>
        <w:snapToGrid w:val="0"/>
        <w:spacing w:line="360" w:lineRule="auto"/>
        <w:ind w:right="240"/>
        <w:jc w:val="right"/>
        <w:rPr>
          <w:rFonts w:hint="eastAsia" w:ascii="仿宋" w:hAnsi="仿宋" w:eastAsia="仿宋" w:cs="仿宋"/>
          <w:color w:val="auto"/>
          <w:sz w:val="21"/>
          <w:szCs w:val="21"/>
          <w:highlight w:val="none"/>
          <w:lang w:val="zh-CN"/>
        </w:rPr>
      </w:pPr>
    </w:p>
    <w:p w14:paraId="3A8E64EF">
      <w:pPr>
        <w:snapToGrid w:val="0"/>
        <w:spacing w:line="360" w:lineRule="auto"/>
        <w:ind w:right="24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受委托人</w:t>
      </w:r>
      <w:r>
        <w:rPr>
          <w:rFonts w:hint="eastAsia" w:ascii="仿宋" w:hAnsi="仿宋" w:eastAsia="仿宋" w:cs="仿宋"/>
          <w:color w:val="auto"/>
          <w:sz w:val="21"/>
          <w:szCs w:val="21"/>
          <w:highlight w:val="none"/>
          <w:lang w:val="zh-CN"/>
        </w:rPr>
        <w:t>身份证复印件：</w:t>
      </w:r>
    </w:p>
    <w:p w14:paraId="246E7492">
      <w:pPr>
        <w:snapToGrid w:val="0"/>
        <w:spacing w:line="360" w:lineRule="auto"/>
        <w:ind w:right="240"/>
        <w:rPr>
          <w:rFonts w:hint="eastAsia" w:ascii="仿宋" w:hAnsi="仿宋" w:eastAsia="仿宋" w:cs="仿宋"/>
          <w:color w:val="auto"/>
          <w:sz w:val="21"/>
          <w:szCs w:val="21"/>
          <w:highlight w:val="none"/>
          <w:lang w:val="zh-CN"/>
        </w:rPr>
      </w:pPr>
    </w:p>
    <w:p w14:paraId="38B903C2">
      <w:pPr>
        <w:snapToGrid w:val="0"/>
        <w:spacing w:line="360" w:lineRule="auto"/>
        <w:ind w:right="24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说明：本委托书在有样品或演示时由受委托人携带至指定地点。</w:t>
      </w:r>
    </w:p>
    <w:p w14:paraId="700DAAC5">
      <w:pPr>
        <w:spacing w:line="360" w:lineRule="auto"/>
        <w:rPr>
          <w:rFonts w:hint="eastAsia" w:ascii="仿宋" w:hAnsi="仿宋" w:eastAsia="仿宋" w:cs="仿宋"/>
          <w:bCs/>
          <w:color w:val="auto"/>
          <w:sz w:val="24"/>
          <w:szCs w:val="24"/>
          <w:highlight w:val="none"/>
        </w:rPr>
      </w:pPr>
      <w:r>
        <w:rPr>
          <w:rFonts w:hint="eastAsia" w:ascii="仿宋" w:hAnsi="仿宋" w:eastAsia="仿宋" w:cs="仿宋"/>
          <w:b/>
          <w:color w:val="auto"/>
          <w:sz w:val="21"/>
          <w:szCs w:val="21"/>
          <w:highlight w:val="none"/>
        </w:rPr>
        <w:t>同时有样品和演示的，可委托不同人员。</w:t>
      </w:r>
    </w:p>
    <w:p w14:paraId="3D5D5E0B">
      <w:pPr>
        <w:pStyle w:val="61"/>
        <w:ind w:firstLine="0"/>
        <w:rPr>
          <w:rFonts w:hint="eastAsia" w:ascii="仿宋" w:hAnsi="仿宋" w:eastAsia="仿宋" w:cs="仿宋"/>
          <w:color w:val="auto"/>
          <w:highlight w:val="none"/>
        </w:rPr>
      </w:pPr>
    </w:p>
    <w:sectPr>
      <w:pgSz w:w="11905" w:h="16838"/>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1E24D">
    <w:pPr>
      <w:pStyle w:val="40"/>
      <w:pBdr>
        <w:top w:val="single" w:color="auto" w:sz="4" w:space="1"/>
      </w:pBdr>
      <w:tabs>
        <w:tab w:val="right" w:pos="284"/>
        <w:tab w:val="clear" w:pos="4153"/>
        <w:tab w:val="clear" w:pos="8306"/>
      </w:tabs>
      <w:ind w:left="0"/>
      <w:rPr>
        <w:rFonts w:hint="eastAsia" w:ascii="仿宋" w:hAnsi="仿宋" w:eastAsia="仿宋" w:cs="仿宋"/>
        <w:i/>
        <w:iCs w:val="0"/>
        <w:sz w:val="18"/>
        <w:szCs w:val="18"/>
      </w:rPr>
    </w:pPr>
    <w:r>
      <w:rPr>
        <w:rFonts w:hint="eastAsia" w:ascii="仿宋" w:hAnsi="仿宋" w:eastAsia="仿宋" w:cs="仿宋"/>
        <w:i/>
        <w:iCs w:val="0"/>
        <w:sz w:val="18"/>
        <w:szCs w:val="18"/>
      </w:rPr>
      <w:t>浙 江 华 夏 工 程 管 理 有 限 公 司</w:t>
    </w:r>
  </w:p>
  <w:p w14:paraId="09EB6351">
    <w:pPr>
      <w:pStyle w:val="40"/>
    </w:pPr>
    <w:r>
      <w:rPr>
        <w:rFonts w:hint="eastAsia" w:ascii="仿宋" w:hAnsi="仿宋" w:eastAsia="仿宋" w:cs="仿宋"/>
        <w:i/>
        <w:iCs w:val="0"/>
        <w:sz w:val="18"/>
        <w:szCs w:val="18"/>
      </w:rPr>
      <w:t>Zhejiang Huaxia Project Management Co.,Ltd.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28F0">
    <w:pPr>
      <w:pStyle w:val="40"/>
      <w:pBdr>
        <w:top w:val="single" w:color="auto" w:sz="4" w:space="1"/>
      </w:pBdr>
      <w:tabs>
        <w:tab w:val="right" w:pos="284"/>
        <w:tab w:val="clear" w:pos="4153"/>
        <w:tab w:val="clear" w:pos="8306"/>
      </w:tabs>
      <w:ind w:left="0"/>
      <w:rPr>
        <w:rFonts w:hint="eastAsia" w:ascii="仿宋" w:hAnsi="仿宋" w:eastAsia="仿宋" w:cs="仿宋"/>
        <w:i/>
        <w:iCs w:val="0"/>
        <w:sz w:val="18"/>
        <w:szCs w:val="18"/>
      </w:rPr>
    </w:pPr>
    <w:r>
      <w:rPr>
        <w:rFonts w:hint="eastAsia" w:ascii="仿宋" w:hAnsi="仿宋" w:eastAsia="仿宋" w:cs="仿宋"/>
        <w:i/>
        <w:iCs w:val="0"/>
        <w:sz w:val="18"/>
        <w:szCs w:val="18"/>
      </w:rPr>
      <w:t>浙 江 华 夏 工 程 管 理 有 限 公 司</w:t>
    </w:r>
  </w:p>
  <w:p w14:paraId="1FAFFD37">
    <w:pPr>
      <w:pStyle w:val="40"/>
    </w:pPr>
    <w:r>
      <w:rPr>
        <w:rFonts w:hint="eastAsia" w:ascii="仿宋" w:hAnsi="仿宋" w:eastAsia="仿宋" w:cs="仿宋"/>
        <w:i/>
        <w:iCs w:val="0"/>
        <w:sz w:val="18"/>
        <w:szCs w:val="18"/>
      </w:rPr>
      <w:t>Zhejiang Huaxia Project Management Co.,Ltd.</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9F649E">
                          <w:pPr>
                            <w:pStyle w:val="4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C9F649E">
                    <w:pPr>
                      <w:pStyle w:val="4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228F">
    <w:pPr>
      <w:pStyle w:val="40"/>
      <w:pBdr>
        <w:top w:val="single" w:color="auto" w:sz="4" w:space="1"/>
      </w:pBdr>
      <w:tabs>
        <w:tab w:val="right" w:pos="284"/>
        <w:tab w:val="clear" w:pos="4153"/>
        <w:tab w:val="clear" w:pos="8306"/>
      </w:tabs>
      <w:ind w:left="0"/>
      <w:rPr>
        <w:rFonts w:hint="eastAsia" w:ascii="仿宋" w:hAnsi="仿宋" w:eastAsia="仿宋" w:cs="仿宋"/>
        <w:i/>
        <w:iCs w:val="0"/>
        <w:sz w:val="20"/>
      </w:rPr>
    </w:pPr>
    <w:r>
      <w:rPr>
        <w:sz w:val="21"/>
      </w:rPr>
      <mc:AlternateContent>
        <mc:Choice Requires="wps">
          <w:drawing>
            <wp:anchor distT="0" distB="0" distL="114300" distR="114300" simplePos="0" relativeHeight="251659264" behindDoc="0" locked="0" layoutInCell="1" allowOverlap="1">
              <wp:simplePos x="0" y="0"/>
              <wp:positionH relativeFrom="margin">
                <wp:posOffset>5604510</wp:posOffset>
              </wp:positionH>
              <wp:positionV relativeFrom="paragraph">
                <wp:posOffset>164465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B6CA9C">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1.3pt;margin-top:12.95pt;height:144pt;width:144pt;mso-position-horizontal-relative:margin;mso-wrap-style:none;z-index:251659264;mso-width-relative:page;mso-height-relative:page;" filled="f" stroked="f" coordsize="21600,21600" o:gfxdata="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Ay/OtgAAAALAQAADwAAAAAAAAABACAAAAAiAAAAZHJzL2Rvd25y&#10;ZXYueG1sUEsBAhQAFAAAAAgAh07iQNqMvz03AgAAbwQAAA4AAAAAAAAAAQAgAAAAJwEAAGRycy9l&#10;Mm9Eb2MueG1sUEsFBgAAAAAGAAYAWQEAANAFAAAAAA==&#10;">
              <v:fill on="f" focussize="0,0"/>
              <v:stroke on="f" weight="0.5pt"/>
              <v:imagedata o:title=""/>
              <o:lock v:ext="edit" aspectratio="f"/>
              <v:textbox inset="0mm,0mm,0mm,0mm" style="mso-fit-shape-to-text:t;">
                <w:txbxContent>
                  <w:p w14:paraId="5BB6CA9C">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i/>
        <w:iCs w:val="0"/>
        <w:sz w:val="20"/>
      </w:rPr>
      <w:t>浙 江 华 夏 工 程 管 理 有 限 公 司</w:t>
    </w:r>
  </w:p>
  <w:p w14:paraId="6E50F015">
    <w:pPr>
      <w:rPr>
        <w:rFonts w:ascii="仿宋_GB2312" w:eastAsia="仿宋_GB2312"/>
      </w:rPr>
    </w:pPr>
    <w:r>
      <w:rPr>
        <w:rFonts w:hint="eastAsia" w:ascii="仿宋" w:hAnsi="仿宋" w:eastAsia="仿宋" w:cs="仿宋"/>
        <w:i/>
        <w:iCs w:val="0"/>
      </w:rPr>
      <w:t>Zhejiang Huaxia Project Management Co.,Ltd.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359D6">
    <w:pPr>
      <w:pStyle w:val="40"/>
      <w:pBdr>
        <w:top w:val="single" w:color="auto" w:sz="4" w:space="1"/>
      </w:pBdr>
      <w:tabs>
        <w:tab w:val="right" w:pos="284"/>
        <w:tab w:val="clear" w:pos="4153"/>
        <w:tab w:val="clear" w:pos="8306"/>
      </w:tabs>
      <w:ind w:left="0"/>
      <w:rPr>
        <w:rFonts w:hint="eastAsia" w:ascii="仿宋" w:hAnsi="仿宋" w:eastAsia="仿宋" w:cs="仿宋"/>
        <w:i/>
        <w:iCs w:val="0"/>
        <w:sz w:val="18"/>
        <w:szCs w:val="18"/>
      </w:rPr>
    </w:pPr>
    <w:r>
      <w:rPr>
        <w:rFonts w:hint="eastAsia" w:ascii="仿宋" w:hAnsi="仿宋" w:eastAsia="仿宋" w:cs="仿宋"/>
        <w:i/>
        <w:iCs w:val="0"/>
        <w:sz w:val="18"/>
        <w:szCs w:val="18"/>
      </w:rPr>
      <w:t>浙 江 华 夏 工 程 管 理 有 限 公 司</w:t>
    </w:r>
  </w:p>
  <w:p w14:paraId="4F8019E9">
    <w:r>
      <w:rPr>
        <w:rFonts w:hint="eastAsia" w:ascii="仿宋" w:hAnsi="仿宋" w:eastAsia="仿宋" w:cs="仿宋"/>
        <w:i/>
        <w:iCs w:val="0"/>
        <w:sz w:val="18"/>
        <w:szCs w:val="18"/>
      </w:rPr>
      <w:t>Zhejiang Huaxia Project Management Co.,Ltd.</w: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73D7261">
                          <w:pPr>
                            <w:pStyle w:val="4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6&#10;ujjc7AEAANYDAAAOAAAAAAAAAAEAIAAAACIBAABkcnMvZTJvRG9jLnhtbFBLBQYAAAAABgAGAFkB&#10;AACABQAAAAA=&#10;">
              <v:fill on="f" focussize="0,0"/>
              <v:stroke on="f" weight="1.25pt"/>
              <v:imagedata o:title=""/>
              <o:lock v:ext="edit" aspectratio="f"/>
              <v:textbox inset="0mm,0mm,0mm,0mm" style="mso-fit-shape-to-text:t;">
                <w:txbxContent>
                  <w:p w14:paraId="673D7261">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DA597">
    <w:pPr>
      <w:pStyle w:val="40"/>
      <w:pBdr>
        <w:top w:val="single" w:color="auto" w:sz="4" w:space="1"/>
      </w:pBdr>
      <w:tabs>
        <w:tab w:val="right" w:pos="284"/>
        <w:tab w:val="clear" w:pos="4153"/>
        <w:tab w:val="clear" w:pos="8306"/>
      </w:tabs>
      <w:ind w:left="0"/>
      <w:rPr>
        <w:rFonts w:hint="eastAsia" w:ascii="仿宋" w:hAnsi="仿宋" w:eastAsia="仿宋" w:cs="仿宋"/>
        <w:i/>
        <w:iCs w:val="0"/>
        <w:sz w:val="18"/>
        <w:szCs w:val="18"/>
      </w:rPr>
    </w:pPr>
    <w:r>
      <w:rPr>
        <w:rFonts w:hint="eastAsia" w:ascii="仿宋" w:hAnsi="仿宋" w:eastAsia="仿宋" w:cs="仿宋"/>
        <w:i/>
        <w:iCs w:val="0"/>
        <w:sz w:val="18"/>
        <w:szCs w:val="18"/>
      </w:rPr>
      <w:t>浙 江 华 夏 工 程 管 理 有 限 公 司</w:t>
    </w:r>
  </w:p>
  <w:p w14:paraId="3DC08B41">
    <w:pPr>
      <w:rPr>
        <w:rFonts w:ascii="仿宋_GB2312" w:eastAsia="仿宋_GB2312"/>
      </w:rPr>
    </w:pPr>
    <w:r>
      <w:rPr>
        <w:rFonts w:hint="eastAsia" w:ascii="仿宋" w:hAnsi="仿宋" w:eastAsia="仿宋" w:cs="仿宋"/>
        <w:i/>
        <w:iCs w:val="0"/>
        <w:sz w:val="18"/>
        <w:szCs w:val="18"/>
      </w:rPr>
      <w:t>Zhejiang Huaxia Project Management Co.,Ltd.</w:t>
    </w: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E45DA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g6fc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dYOn3OgIAAHEEAAAOAAAAAAAAAAEAIAAAAB8BAABkcnMvZTJvRG9j&#10;LnhtbFBLBQYAAAAABgAGAFkBAADLBQAAAAA=&#10;">
              <v:fill on="f" focussize="0,0"/>
              <v:stroke on="f" weight="0.5pt"/>
              <v:imagedata o:title=""/>
              <o:lock v:ext="edit" aspectratio="f"/>
              <v:textbox inset="0mm,0mm,0mm,0mm" style="mso-fit-shape-to-text:t;">
                <w:txbxContent>
                  <w:p w14:paraId="3CE45DA5">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E038">
    <w:pPr>
      <w:pStyle w:val="40"/>
      <w:pBdr>
        <w:top w:val="single" w:color="auto" w:sz="4" w:space="1"/>
      </w:pBdr>
      <w:tabs>
        <w:tab w:val="right" w:pos="284"/>
        <w:tab w:val="clear" w:pos="4153"/>
        <w:tab w:val="clear" w:pos="8306"/>
      </w:tabs>
      <w:ind w:left="0"/>
      <w:rPr>
        <w:rFonts w:hint="eastAsia" w:ascii="仿宋" w:hAnsi="仿宋" w:eastAsia="仿宋" w:cs="仿宋"/>
        <w:i/>
        <w:iCs w:val="0"/>
        <w:sz w:val="18"/>
        <w:szCs w:val="18"/>
      </w:rPr>
    </w:pPr>
    <w:r>
      <w:rPr>
        <w:rFonts w:hint="eastAsia" w:ascii="仿宋" w:hAnsi="仿宋" w:eastAsia="仿宋" w:cs="仿宋"/>
        <w:i/>
        <w:iCs w:val="0"/>
        <w:sz w:val="18"/>
        <w:szCs w:val="18"/>
      </w:rPr>
      <w:t>浙 江 华 夏 工 程 管 理 有 限 公 司</w:t>
    </w:r>
  </w:p>
  <w:p w14:paraId="456BCC6E">
    <w:pPr>
      <w:rPr>
        <w:rFonts w:ascii="仿宋_GB2312" w:eastAsia="仿宋_GB2312"/>
      </w:rPr>
    </w:pPr>
    <w:r>
      <w:rPr>
        <w:rFonts w:hint="eastAsia" w:ascii="仿宋" w:hAnsi="仿宋" w:eastAsia="仿宋" w:cs="仿宋"/>
        <w:i/>
        <w:iCs w:val="0"/>
        <w:sz w:val="18"/>
        <w:szCs w:val="18"/>
      </w:rPr>
      <w:t>Zhejiang Huaxia Project Management Co.,Ltd.</w:t>
    </w: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2B639E">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2Njg5AgAAcQ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62Njg5AgAAcQQAAA4AAAAAAAAAAQAgAAAAHwEAAGRycy9lMm9Eb2Mu&#10;eG1sUEsFBgAAAAAGAAYAWQEAAMoFAAAAAA==&#10;">
              <v:fill on="f" focussize="0,0"/>
              <v:stroke on="f" weight="0.5pt"/>
              <v:imagedata o:title=""/>
              <o:lock v:ext="edit" aspectratio="f"/>
              <v:textbox inset="0mm,0mm,0mm,0mm" style="mso-fit-shape-to-text:t;">
                <w:txbxContent>
                  <w:p w14:paraId="132B639E">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AF0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D54FD">
    <w:pPr>
      <w:pStyle w:val="41"/>
      <w:pBdr>
        <w:bottom w:val="thinThickMediumGap" w:color="auto" w:sz="18" w:space="0"/>
      </w:pBdr>
      <w:jc w:val="right"/>
      <w:rPr>
        <w:b/>
        <w:bCs/>
        <w:i w:val="0"/>
        <w:iCs w:val="0"/>
        <w:sz w:val="16"/>
        <w:szCs w:val="16"/>
      </w:rPr>
    </w:pPr>
    <w:r>
      <w:rPr>
        <w:rFonts w:hint="eastAsia" w:ascii="仿宋" w:hAnsi="仿宋" w:eastAsia="仿宋" w:cs="仿宋"/>
        <w:b w:val="0"/>
        <w:bCs w:val="0"/>
        <w:i w:val="0"/>
        <w:iCs w:val="0"/>
        <w:sz w:val="18"/>
        <w:szCs w:val="18"/>
      </w:rPr>
      <w:drawing>
        <wp:anchor distT="0" distB="0" distL="114300" distR="114300" simplePos="0" relativeHeight="251664384" behindDoc="0" locked="0" layoutInCell="1" allowOverlap="1">
          <wp:simplePos x="0" y="0"/>
          <wp:positionH relativeFrom="column">
            <wp:posOffset>67945</wp:posOffset>
          </wp:positionH>
          <wp:positionV relativeFrom="paragraph">
            <wp:posOffset>-268605</wp:posOffset>
          </wp:positionV>
          <wp:extent cx="786765" cy="405130"/>
          <wp:effectExtent l="0" t="0" r="13335" b="1397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stretch>
                    <a:fillRect/>
                  </a:stretch>
                </pic:blipFill>
                <pic:spPr>
                  <a:xfrm>
                    <a:off x="0" y="0"/>
                    <a:ext cx="786765" cy="405130"/>
                  </a:xfrm>
                  <a:prstGeom prst="rect">
                    <a:avLst/>
                  </a:prstGeom>
                  <a:noFill/>
                  <a:ln>
                    <a:noFill/>
                  </a:ln>
                </pic:spPr>
              </pic:pic>
            </a:graphicData>
          </a:graphic>
        </wp:anchor>
      </w:drawing>
    </w:r>
    <w:r>
      <w:rPr>
        <w:rFonts w:hint="eastAsia" w:ascii="仿宋" w:hAnsi="仿宋" w:eastAsia="仿宋" w:cs="仿宋"/>
        <w:b w:val="0"/>
        <w:bCs w:val="0"/>
        <w:i w:val="0"/>
        <w:iCs w:val="0"/>
        <w:sz w:val="18"/>
        <w:szCs w:val="18"/>
      </w:rPr>
      <w:t>诚信</w:t>
    </w:r>
    <w:r>
      <w:rPr>
        <w:rFonts w:hint="eastAsia" w:ascii="仿宋" w:hAnsi="仿宋" w:eastAsia="仿宋" w:cs="仿宋"/>
        <w:b w:val="0"/>
        <w:bCs w:val="0"/>
        <w:i w:val="0"/>
        <w:iCs w:val="0"/>
        <w:sz w:val="18"/>
        <w:szCs w:val="16"/>
      </w:rPr>
      <w:t xml:space="preserve">  公正  精业  进取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6C06">
    <w:pPr>
      <w:pStyle w:val="41"/>
      <w:pBdr>
        <w:bottom w:val="thinThickMediumGap" w:color="auto" w:sz="18" w:space="0"/>
      </w:pBdr>
      <w:jc w:val="right"/>
    </w:pPr>
    <w:r>
      <w:rPr>
        <w:rFonts w:hint="eastAsia" w:ascii="仿宋" w:hAnsi="仿宋" w:eastAsia="仿宋" w:cs="仿宋"/>
        <w:b w:val="0"/>
        <w:bCs w:val="0"/>
        <w:i w:val="0"/>
        <w:iCs w:val="0"/>
        <w:sz w:val="16"/>
        <w:szCs w:val="16"/>
      </w:rPr>
      <w:drawing>
        <wp:anchor distT="0" distB="0" distL="114300" distR="114300" simplePos="0" relativeHeight="251665408" behindDoc="0" locked="0" layoutInCell="1" allowOverlap="1">
          <wp:simplePos x="0" y="0"/>
          <wp:positionH relativeFrom="column">
            <wp:posOffset>67945</wp:posOffset>
          </wp:positionH>
          <wp:positionV relativeFrom="paragraph">
            <wp:posOffset>-268605</wp:posOffset>
          </wp:positionV>
          <wp:extent cx="786765" cy="405130"/>
          <wp:effectExtent l="0" t="0" r="13335" b="1397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
                  <a:stretch>
                    <a:fillRect/>
                  </a:stretch>
                </pic:blipFill>
                <pic:spPr>
                  <a:xfrm>
                    <a:off x="0" y="0"/>
                    <a:ext cx="786765" cy="405130"/>
                  </a:xfrm>
                  <a:prstGeom prst="rect">
                    <a:avLst/>
                  </a:prstGeom>
                  <a:noFill/>
                  <a:ln>
                    <a:noFill/>
                  </a:ln>
                </pic:spPr>
              </pic:pic>
            </a:graphicData>
          </a:graphic>
        </wp:anchor>
      </w:drawing>
    </w:r>
    <w:r>
      <w:rPr>
        <w:rFonts w:hint="eastAsia" w:ascii="仿宋" w:hAnsi="仿宋" w:eastAsia="仿宋" w:cs="仿宋"/>
        <w:b w:val="0"/>
        <w:bCs w:val="0"/>
        <w:i w:val="0"/>
        <w:iCs w:val="0"/>
        <w:sz w:val="18"/>
        <w:szCs w:val="16"/>
      </w:rPr>
      <w:t>诚信  公正  精业  进取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D5165">
    <w:pPr>
      <w:pStyle w:val="41"/>
      <w:pBdr>
        <w:bottom w:val="thinThickMediumGap" w:color="auto" w:sz="18" w:space="0"/>
      </w:pBdr>
      <w:jc w:val="right"/>
    </w:pPr>
    <w:r>
      <w:rPr>
        <w:rFonts w:hint="eastAsia" w:ascii="仿宋" w:hAnsi="仿宋" w:eastAsia="仿宋" w:cs="仿宋"/>
        <w:b w:val="0"/>
        <w:bCs w:val="0"/>
        <w:i w:val="0"/>
        <w:iCs w:val="0"/>
        <w:sz w:val="16"/>
        <w:szCs w:val="16"/>
      </w:rPr>
      <w:drawing>
        <wp:anchor distT="0" distB="0" distL="114300" distR="114300" simplePos="0" relativeHeight="251666432" behindDoc="0" locked="0" layoutInCell="1" allowOverlap="1">
          <wp:simplePos x="0" y="0"/>
          <wp:positionH relativeFrom="column">
            <wp:posOffset>67945</wp:posOffset>
          </wp:positionH>
          <wp:positionV relativeFrom="paragraph">
            <wp:posOffset>-268605</wp:posOffset>
          </wp:positionV>
          <wp:extent cx="786765" cy="405130"/>
          <wp:effectExtent l="0" t="0" r="13335" b="1397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
                  <a:stretch>
                    <a:fillRect/>
                  </a:stretch>
                </pic:blipFill>
                <pic:spPr>
                  <a:xfrm>
                    <a:off x="0" y="0"/>
                    <a:ext cx="786765" cy="405130"/>
                  </a:xfrm>
                  <a:prstGeom prst="rect">
                    <a:avLst/>
                  </a:prstGeom>
                  <a:noFill/>
                  <a:ln>
                    <a:noFill/>
                  </a:ln>
                </pic:spPr>
              </pic:pic>
            </a:graphicData>
          </a:graphic>
        </wp:anchor>
      </w:drawing>
    </w:r>
    <w:r>
      <w:rPr>
        <w:rFonts w:hint="eastAsia" w:ascii="仿宋" w:hAnsi="仿宋" w:eastAsia="仿宋" w:cs="仿宋"/>
        <w:b w:val="0"/>
        <w:bCs w:val="0"/>
        <w:i w:val="0"/>
        <w:iCs w:val="0"/>
        <w:sz w:val="18"/>
        <w:szCs w:val="16"/>
      </w:rPr>
      <w:t>诚信  公正  精业  进取</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52159">
    <w:pPr>
      <w:pStyle w:val="41"/>
      <w:jc w:val="right"/>
    </w:pPr>
    <w:r>
      <w:rPr>
        <w:rFonts w:hint="eastAsia"/>
      </w:rPr>
      <w:t xml:space="preserve">                                                                                                        </w:t>
    </w:r>
    <w:r>
      <w:t>杭州市政府采购公开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82A54"/>
    <w:multiLevelType w:val="singleLevel"/>
    <w:tmpl w:val="F0482A54"/>
    <w:lvl w:ilvl="0" w:tentative="0">
      <w:start w:val="1"/>
      <w:numFmt w:val="decimal"/>
      <w:suff w:val="nothing"/>
      <w:lvlText w:val="（%1）"/>
      <w:lvlJc w:val="left"/>
      <w:pPr>
        <w:ind w:left="-479"/>
      </w:pPr>
    </w:lvl>
  </w:abstractNum>
  <w:abstractNum w:abstractNumId="1">
    <w:nsid w:val="10DB8260"/>
    <w:multiLevelType w:val="singleLevel"/>
    <w:tmpl w:val="10DB8260"/>
    <w:lvl w:ilvl="0" w:tentative="0">
      <w:start w:val="3"/>
      <w:numFmt w:val="chineseCounting"/>
      <w:suff w:val="nothing"/>
      <w:lvlText w:val="%1、"/>
      <w:lvlJc w:val="left"/>
      <w:rPr>
        <w:rFonts w:hint="eastAsia"/>
      </w:rPr>
    </w:lvl>
  </w:abstractNum>
  <w:abstractNum w:abstractNumId="2">
    <w:nsid w:val="3B3B5A95"/>
    <w:multiLevelType w:val="singleLevel"/>
    <w:tmpl w:val="3B3B5A95"/>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 w:name="KSO_WPS_MARK_KEY" w:val="1a374ef4-9bf6-477e-8bf8-e72a6fc15a70"/>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0BC"/>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427"/>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D"/>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85B"/>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403"/>
    <w:rsid w:val="002527CC"/>
    <w:rsid w:val="00252F48"/>
    <w:rsid w:val="002530C0"/>
    <w:rsid w:val="00253586"/>
    <w:rsid w:val="002537FC"/>
    <w:rsid w:val="002542F8"/>
    <w:rsid w:val="002543EF"/>
    <w:rsid w:val="00254F2A"/>
    <w:rsid w:val="00255784"/>
    <w:rsid w:val="00255A29"/>
    <w:rsid w:val="0025631F"/>
    <w:rsid w:val="002564D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80C"/>
    <w:rsid w:val="00291CF1"/>
    <w:rsid w:val="00292AA1"/>
    <w:rsid w:val="00294012"/>
    <w:rsid w:val="002945B0"/>
    <w:rsid w:val="0029499D"/>
    <w:rsid w:val="00294A13"/>
    <w:rsid w:val="00294B10"/>
    <w:rsid w:val="00294DF9"/>
    <w:rsid w:val="00295073"/>
    <w:rsid w:val="00295468"/>
    <w:rsid w:val="00296C32"/>
    <w:rsid w:val="002977CE"/>
    <w:rsid w:val="00297AF5"/>
    <w:rsid w:val="002A00A3"/>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21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B3C"/>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81"/>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795"/>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1D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1F1E"/>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F56"/>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4FC"/>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28A"/>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CD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024"/>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807"/>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15"/>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AE4"/>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5EF"/>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2A4"/>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2B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A6"/>
    <w:rsid w:val="008D20CE"/>
    <w:rsid w:val="008D2259"/>
    <w:rsid w:val="008D2531"/>
    <w:rsid w:val="008D2833"/>
    <w:rsid w:val="008D2A5B"/>
    <w:rsid w:val="008D313A"/>
    <w:rsid w:val="008D3381"/>
    <w:rsid w:val="008D33FE"/>
    <w:rsid w:val="008D3B9F"/>
    <w:rsid w:val="008D3D02"/>
    <w:rsid w:val="008D3D5A"/>
    <w:rsid w:val="008D4226"/>
    <w:rsid w:val="008D4280"/>
    <w:rsid w:val="008D4D7C"/>
    <w:rsid w:val="008D5432"/>
    <w:rsid w:val="008D54C0"/>
    <w:rsid w:val="008D5558"/>
    <w:rsid w:val="008D57B9"/>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47A"/>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00D"/>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60"/>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858"/>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D96"/>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29B"/>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C3C"/>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A42"/>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45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175B"/>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40B"/>
    <w:rsid w:val="00C415AC"/>
    <w:rsid w:val="00C4297A"/>
    <w:rsid w:val="00C4360C"/>
    <w:rsid w:val="00C439B8"/>
    <w:rsid w:val="00C43A0B"/>
    <w:rsid w:val="00C43EDA"/>
    <w:rsid w:val="00C43FEC"/>
    <w:rsid w:val="00C4414C"/>
    <w:rsid w:val="00C45512"/>
    <w:rsid w:val="00C4602B"/>
    <w:rsid w:val="00C46564"/>
    <w:rsid w:val="00C4698F"/>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243"/>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363"/>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AE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C64"/>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14D"/>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B30"/>
    <w:rsid w:val="00E45A2C"/>
    <w:rsid w:val="00E46A6B"/>
    <w:rsid w:val="00E46A9C"/>
    <w:rsid w:val="00E47DB1"/>
    <w:rsid w:val="00E503F4"/>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09E"/>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CBD"/>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AD0"/>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C6F"/>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4BF"/>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002EA"/>
    <w:rsid w:val="019C2519"/>
    <w:rsid w:val="019F7441"/>
    <w:rsid w:val="01B37585"/>
    <w:rsid w:val="01C761D7"/>
    <w:rsid w:val="01D55165"/>
    <w:rsid w:val="01D90B69"/>
    <w:rsid w:val="01DF6BF8"/>
    <w:rsid w:val="01EC2C57"/>
    <w:rsid w:val="021D7B97"/>
    <w:rsid w:val="025F0711"/>
    <w:rsid w:val="02693E3D"/>
    <w:rsid w:val="026B2E25"/>
    <w:rsid w:val="02824D4D"/>
    <w:rsid w:val="02DB3BBF"/>
    <w:rsid w:val="02DC4B10"/>
    <w:rsid w:val="02DD76CE"/>
    <w:rsid w:val="02E1151B"/>
    <w:rsid w:val="02F36323"/>
    <w:rsid w:val="02F5619C"/>
    <w:rsid w:val="030B2A3C"/>
    <w:rsid w:val="0326446A"/>
    <w:rsid w:val="032D5555"/>
    <w:rsid w:val="03492469"/>
    <w:rsid w:val="034A3564"/>
    <w:rsid w:val="036634D2"/>
    <w:rsid w:val="03953218"/>
    <w:rsid w:val="039753DF"/>
    <w:rsid w:val="03C84B14"/>
    <w:rsid w:val="03DD35E4"/>
    <w:rsid w:val="04076900"/>
    <w:rsid w:val="041011B9"/>
    <w:rsid w:val="041A5A3B"/>
    <w:rsid w:val="042311BA"/>
    <w:rsid w:val="042A0CA0"/>
    <w:rsid w:val="042B157A"/>
    <w:rsid w:val="04405814"/>
    <w:rsid w:val="048F763B"/>
    <w:rsid w:val="049F330E"/>
    <w:rsid w:val="04AA775C"/>
    <w:rsid w:val="04AF1889"/>
    <w:rsid w:val="04DC7F02"/>
    <w:rsid w:val="04F66F48"/>
    <w:rsid w:val="05251E14"/>
    <w:rsid w:val="059875E3"/>
    <w:rsid w:val="05A16594"/>
    <w:rsid w:val="05A7762D"/>
    <w:rsid w:val="05AA0002"/>
    <w:rsid w:val="05D133E3"/>
    <w:rsid w:val="05F70726"/>
    <w:rsid w:val="060E5941"/>
    <w:rsid w:val="06110FAF"/>
    <w:rsid w:val="06323D9F"/>
    <w:rsid w:val="06493CA7"/>
    <w:rsid w:val="065A6178"/>
    <w:rsid w:val="066F1CF3"/>
    <w:rsid w:val="06930BB8"/>
    <w:rsid w:val="06DD024B"/>
    <w:rsid w:val="0703647D"/>
    <w:rsid w:val="07245D42"/>
    <w:rsid w:val="07264C62"/>
    <w:rsid w:val="07456B5B"/>
    <w:rsid w:val="0779354C"/>
    <w:rsid w:val="07881DB7"/>
    <w:rsid w:val="08061376"/>
    <w:rsid w:val="08124E64"/>
    <w:rsid w:val="08452D77"/>
    <w:rsid w:val="085A5FF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71B93"/>
    <w:rsid w:val="0A3E7710"/>
    <w:rsid w:val="0A573B75"/>
    <w:rsid w:val="0A5B7E63"/>
    <w:rsid w:val="0A6071C9"/>
    <w:rsid w:val="0A71244C"/>
    <w:rsid w:val="0A712AD3"/>
    <w:rsid w:val="0A995009"/>
    <w:rsid w:val="0AA374A5"/>
    <w:rsid w:val="0AAB7649"/>
    <w:rsid w:val="0ABC5606"/>
    <w:rsid w:val="0B042D8B"/>
    <w:rsid w:val="0B30404E"/>
    <w:rsid w:val="0B4A4F70"/>
    <w:rsid w:val="0B4C6C14"/>
    <w:rsid w:val="0B537F54"/>
    <w:rsid w:val="0B547599"/>
    <w:rsid w:val="0B631A88"/>
    <w:rsid w:val="0B683D45"/>
    <w:rsid w:val="0B7F3F11"/>
    <w:rsid w:val="0B884417"/>
    <w:rsid w:val="0B9712B7"/>
    <w:rsid w:val="0BDA11F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5454"/>
    <w:rsid w:val="0D827401"/>
    <w:rsid w:val="0D84094E"/>
    <w:rsid w:val="0D8A00E9"/>
    <w:rsid w:val="0D8D589E"/>
    <w:rsid w:val="0DA01C73"/>
    <w:rsid w:val="0DB00D69"/>
    <w:rsid w:val="0DD63300"/>
    <w:rsid w:val="0DF50604"/>
    <w:rsid w:val="0DF702FE"/>
    <w:rsid w:val="0DFB7C84"/>
    <w:rsid w:val="0E060E51"/>
    <w:rsid w:val="0E5604B2"/>
    <w:rsid w:val="0E6D5D79"/>
    <w:rsid w:val="0E9C0543"/>
    <w:rsid w:val="0E9D0089"/>
    <w:rsid w:val="0EB803EE"/>
    <w:rsid w:val="0EF94D4B"/>
    <w:rsid w:val="0F215C1F"/>
    <w:rsid w:val="0F3B6457"/>
    <w:rsid w:val="0F4958DC"/>
    <w:rsid w:val="0F515DF7"/>
    <w:rsid w:val="0F53554E"/>
    <w:rsid w:val="0F596BA8"/>
    <w:rsid w:val="0F6248D2"/>
    <w:rsid w:val="0F693536"/>
    <w:rsid w:val="0F7B0511"/>
    <w:rsid w:val="0F7B76D9"/>
    <w:rsid w:val="0F816ACD"/>
    <w:rsid w:val="0F9832DB"/>
    <w:rsid w:val="0FA0747C"/>
    <w:rsid w:val="0FB125DD"/>
    <w:rsid w:val="0FBF3FD2"/>
    <w:rsid w:val="0FBF7FF3"/>
    <w:rsid w:val="0FDF7425"/>
    <w:rsid w:val="10462E24"/>
    <w:rsid w:val="10646583"/>
    <w:rsid w:val="107D4B15"/>
    <w:rsid w:val="108A3C80"/>
    <w:rsid w:val="10C26171"/>
    <w:rsid w:val="10F33360"/>
    <w:rsid w:val="10FC16EA"/>
    <w:rsid w:val="110F1D40"/>
    <w:rsid w:val="11250F2D"/>
    <w:rsid w:val="11266F33"/>
    <w:rsid w:val="114C0525"/>
    <w:rsid w:val="118963A1"/>
    <w:rsid w:val="11C6522A"/>
    <w:rsid w:val="11E104CC"/>
    <w:rsid w:val="11E20309"/>
    <w:rsid w:val="11F1104F"/>
    <w:rsid w:val="122144B4"/>
    <w:rsid w:val="12255233"/>
    <w:rsid w:val="12530213"/>
    <w:rsid w:val="127723A9"/>
    <w:rsid w:val="128123D2"/>
    <w:rsid w:val="12862074"/>
    <w:rsid w:val="12881C08"/>
    <w:rsid w:val="12883966"/>
    <w:rsid w:val="12964C36"/>
    <w:rsid w:val="129E45B4"/>
    <w:rsid w:val="12CA5B28"/>
    <w:rsid w:val="12D3799F"/>
    <w:rsid w:val="12D81596"/>
    <w:rsid w:val="12E827CA"/>
    <w:rsid w:val="13072A44"/>
    <w:rsid w:val="13160A9B"/>
    <w:rsid w:val="135C2F68"/>
    <w:rsid w:val="135F4BE2"/>
    <w:rsid w:val="138A06F1"/>
    <w:rsid w:val="139B1A0A"/>
    <w:rsid w:val="139D25C7"/>
    <w:rsid w:val="13BF3CE4"/>
    <w:rsid w:val="141008D8"/>
    <w:rsid w:val="14125FE6"/>
    <w:rsid w:val="14180A19"/>
    <w:rsid w:val="146D271E"/>
    <w:rsid w:val="146F4E4B"/>
    <w:rsid w:val="14982588"/>
    <w:rsid w:val="149A5AD9"/>
    <w:rsid w:val="14A7619D"/>
    <w:rsid w:val="14B147F9"/>
    <w:rsid w:val="150536C3"/>
    <w:rsid w:val="150C1963"/>
    <w:rsid w:val="151447A0"/>
    <w:rsid w:val="154A6454"/>
    <w:rsid w:val="15762120"/>
    <w:rsid w:val="15BF1818"/>
    <w:rsid w:val="15F228BD"/>
    <w:rsid w:val="15F333DA"/>
    <w:rsid w:val="15F66C34"/>
    <w:rsid w:val="15F928AA"/>
    <w:rsid w:val="15FD5F2E"/>
    <w:rsid w:val="16873D30"/>
    <w:rsid w:val="16942642"/>
    <w:rsid w:val="169D60DC"/>
    <w:rsid w:val="16A8729C"/>
    <w:rsid w:val="16B33777"/>
    <w:rsid w:val="16BC70A7"/>
    <w:rsid w:val="16C6339E"/>
    <w:rsid w:val="1704775A"/>
    <w:rsid w:val="171165C1"/>
    <w:rsid w:val="17163A31"/>
    <w:rsid w:val="172F2D79"/>
    <w:rsid w:val="174D3ABB"/>
    <w:rsid w:val="17557BEF"/>
    <w:rsid w:val="17D349C1"/>
    <w:rsid w:val="181B5077"/>
    <w:rsid w:val="182061EA"/>
    <w:rsid w:val="18244F26"/>
    <w:rsid w:val="1830729E"/>
    <w:rsid w:val="184864CA"/>
    <w:rsid w:val="1870062C"/>
    <w:rsid w:val="18817102"/>
    <w:rsid w:val="18830A15"/>
    <w:rsid w:val="18852B28"/>
    <w:rsid w:val="188B5321"/>
    <w:rsid w:val="188B5635"/>
    <w:rsid w:val="189275F8"/>
    <w:rsid w:val="18C94D81"/>
    <w:rsid w:val="191311B8"/>
    <w:rsid w:val="19932372"/>
    <w:rsid w:val="19995A93"/>
    <w:rsid w:val="19A20DD5"/>
    <w:rsid w:val="19AE03F1"/>
    <w:rsid w:val="1A071A03"/>
    <w:rsid w:val="1A1F16AE"/>
    <w:rsid w:val="1A3B5C77"/>
    <w:rsid w:val="1A6749DB"/>
    <w:rsid w:val="1A6B5E42"/>
    <w:rsid w:val="1A6D72CF"/>
    <w:rsid w:val="1A984BAD"/>
    <w:rsid w:val="1AB8220E"/>
    <w:rsid w:val="1AE4166C"/>
    <w:rsid w:val="1AF06347"/>
    <w:rsid w:val="1AF06CFB"/>
    <w:rsid w:val="1AF11B8D"/>
    <w:rsid w:val="1B11359C"/>
    <w:rsid w:val="1B2A271F"/>
    <w:rsid w:val="1B530544"/>
    <w:rsid w:val="1B713184"/>
    <w:rsid w:val="1B83540D"/>
    <w:rsid w:val="1BA209CF"/>
    <w:rsid w:val="1BB4777D"/>
    <w:rsid w:val="1BC51582"/>
    <w:rsid w:val="1BCB79CC"/>
    <w:rsid w:val="1BD75AB8"/>
    <w:rsid w:val="1C0459C2"/>
    <w:rsid w:val="1C1B3B4A"/>
    <w:rsid w:val="1C214B48"/>
    <w:rsid w:val="1C2564C4"/>
    <w:rsid w:val="1C5A08F5"/>
    <w:rsid w:val="1C7328A7"/>
    <w:rsid w:val="1C88086E"/>
    <w:rsid w:val="1C96598B"/>
    <w:rsid w:val="1C9C7D46"/>
    <w:rsid w:val="1CFF6AA9"/>
    <w:rsid w:val="1D0D5F3F"/>
    <w:rsid w:val="1D266CE1"/>
    <w:rsid w:val="1D3963AF"/>
    <w:rsid w:val="1D56107C"/>
    <w:rsid w:val="1D6A673C"/>
    <w:rsid w:val="1D9247AE"/>
    <w:rsid w:val="1DB567EC"/>
    <w:rsid w:val="1DF51A98"/>
    <w:rsid w:val="1E051CD9"/>
    <w:rsid w:val="1E3D060F"/>
    <w:rsid w:val="1E3F7D2E"/>
    <w:rsid w:val="1E4134E4"/>
    <w:rsid w:val="1E452991"/>
    <w:rsid w:val="1E470974"/>
    <w:rsid w:val="1E5062B3"/>
    <w:rsid w:val="1E523514"/>
    <w:rsid w:val="1E636D5F"/>
    <w:rsid w:val="1E714A66"/>
    <w:rsid w:val="1E802593"/>
    <w:rsid w:val="1E8B6156"/>
    <w:rsid w:val="1EA703CC"/>
    <w:rsid w:val="1EB7330C"/>
    <w:rsid w:val="1EE209A7"/>
    <w:rsid w:val="1F0A0FF3"/>
    <w:rsid w:val="1F494278"/>
    <w:rsid w:val="1F5771FF"/>
    <w:rsid w:val="1FD52574"/>
    <w:rsid w:val="1FDB1D02"/>
    <w:rsid w:val="1FE868A9"/>
    <w:rsid w:val="1FED0843"/>
    <w:rsid w:val="20034907"/>
    <w:rsid w:val="20173E4B"/>
    <w:rsid w:val="204E48BC"/>
    <w:rsid w:val="208921B3"/>
    <w:rsid w:val="20973DEB"/>
    <w:rsid w:val="20B26522"/>
    <w:rsid w:val="20B44310"/>
    <w:rsid w:val="211116EB"/>
    <w:rsid w:val="212F563D"/>
    <w:rsid w:val="215D225F"/>
    <w:rsid w:val="216133FC"/>
    <w:rsid w:val="21D249F9"/>
    <w:rsid w:val="21D56769"/>
    <w:rsid w:val="21E52EF3"/>
    <w:rsid w:val="21FB5D7B"/>
    <w:rsid w:val="21FF7243"/>
    <w:rsid w:val="22015E94"/>
    <w:rsid w:val="220B1C3D"/>
    <w:rsid w:val="221D1D20"/>
    <w:rsid w:val="22334A87"/>
    <w:rsid w:val="227B6E3E"/>
    <w:rsid w:val="22BD2FB3"/>
    <w:rsid w:val="22BD7457"/>
    <w:rsid w:val="22BE6801"/>
    <w:rsid w:val="22DA5AD7"/>
    <w:rsid w:val="233500BF"/>
    <w:rsid w:val="23377FF7"/>
    <w:rsid w:val="236B425F"/>
    <w:rsid w:val="237C4C1C"/>
    <w:rsid w:val="23836192"/>
    <w:rsid w:val="23901F29"/>
    <w:rsid w:val="239C0061"/>
    <w:rsid w:val="23B908A4"/>
    <w:rsid w:val="23E95BEF"/>
    <w:rsid w:val="23FD0064"/>
    <w:rsid w:val="245375B0"/>
    <w:rsid w:val="24642C0A"/>
    <w:rsid w:val="248A06DA"/>
    <w:rsid w:val="24B22173"/>
    <w:rsid w:val="24B95AD9"/>
    <w:rsid w:val="24BE24DA"/>
    <w:rsid w:val="24CF5825"/>
    <w:rsid w:val="24D663E6"/>
    <w:rsid w:val="24D77F2B"/>
    <w:rsid w:val="258B00E2"/>
    <w:rsid w:val="25A917A6"/>
    <w:rsid w:val="25BE27CC"/>
    <w:rsid w:val="25F74A5C"/>
    <w:rsid w:val="2628662C"/>
    <w:rsid w:val="262D45DE"/>
    <w:rsid w:val="262D4649"/>
    <w:rsid w:val="263B03FB"/>
    <w:rsid w:val="264F6F26"/>
    <w:rsid w:val="26871DC8"/>
    <w:rsid w:val="26A53EF9"/>
    <w:rsid w:val="26A94201"/>
    <w:rsid w:val="26AC274F"/>
    <w:rsid w:val="26AC6D3A"/>
    <w:rsid w:val="26EA27E4"/>
    <w:rsid w:val="26FE003E"/>
    <w:rsid w:val="27044A29"/>
    <w:rsid w:val="27090BCC"/>
    <w:rsid w:val="271D34C8"/>
    <w:rsid w:val="27583C50"/>
    <w:rsid w:val="276142BF"/>
    <w:rsid w:val="276F52E0"/>
    <w:rsid w:val="27783712"/>
    <w:rsid w:val="27907362"/>
    <w:rsid w:val="27AB318B"/>
    <w:rsid w:val="280A6C3A"/>
    <w:rsid w:val="28333E1D"/>
    <w:rsid w:val="28454BD6"/>
    <w:rsid w:val="28455253"/>
    <w:rsid w:val="28541CAB"/>
    <w:rsid w:val="28551971"/>
    <w:rsid w:val="285B1C53"/>
    <w:rsid w:val="288B6760"/>
    <w:rsid w:val="289F7086"/>
    <w:rsid w:val="28C32028"/>
    <w:rsid w:val="28CC490F"/>
    <w:rsid w:val="28DE40AA"/>
    <w:rsid w:val="28F021E4"/>
    <w:rsid w:val="29030387"/>
    <w:rsid w:val="29163CA0"/>
    <w:rsid w:val="29345E77"/>
    <w:rsid w:val="294C65AD"/>
    <w:rsid w:val="29806583"/>
    <w:rsid w:val="298B3C4C"/>
    <w:rsid w:val="29DC002D"/>
    <w:rsid w:val="29F26D24"/>
    <w:rsid w:val="2A0C4F48"/>
    <w:rsid w:val="2A15033F"/>
    <w:rsid w:val="2A1662C1"/>
    <w:rsid w:val="2A1C7367"/>
    <w:rsid w:val="2A2815FA"/>
    <w:rsid w:val="2A6D6092"/>
    <w:rsid w:val="2A7D76B4"/>
    <w:rsid w:val="2A971886"/>
    <w:rsid w:val="2AB9669E"/>
    <w:rsid w:val="2AE34330"/>
    <w:rsid w:val="2B437463"/>
    <w:rsid w:val="2B7807EE"/>
    <w:rsid w:val="2BA50BF7"/>
    <w:rsid w:val="2BBC5579"/>
    <w:rsid w:val="2BBF00EC"/>
    <w:rsid w:val="2BC37CFD"/>
    <w:rsid w:val="2BD5237F"/>
    <w:rsid w:val="2BD650E5"/>
    <w:rsid w:val="2BE536CE"/>
    <w:rsid w:val="2BE758D9"/>
    <w:rsid w:val="2BF346BB"/>
    <w:rsid w:val="2C09049E"/>
    <w:rsid w:val="2C0A653C"/>
    <w:rsid w:val="2C191F85"/>
    <w:rsid w:val="2C917B89"/>
    <w:rsid w:val="2CDF0749"/>
    <w:rsid w:val="2CE00C25"/>
    <w:rsid w:val="2CE82D6F"/>
    <w:rsid w:val="2D2B45A9"/>
    <w:rsid w:val="2D343236"/>
    <w:rsid w:val="2D575011"/>
    <w:rsid w:val="2DC61256"/>
    <w:rsid w:val="2DCF0A74"/>
    <w:rsid w:val="2DD15014"/>
    <w:rsid w:val="2DE831B5"/>
    <w:rsid w:val="2DF72DE4"/>
    <w:rsid w:val="2E0220AF"/>
    <w:rsid w:val="2E0F7F38"/>
    <w:rsid w:val="2E4B082A"/>
    <w:rsid w:val="2E547E99"/>
    <w:rsid w:val="2E5D4E86"/>
    <w:rsid w:val="2E5D790B"/>
    <w:rsid w:val="2E6764C9"/>
    <w:rsid w:val="2E9A3C18"/>
    <w:rsid w:val="2EBB0FEE"/>
    <w:rsid w:val="2EC63002"/>
    <w:rsid w:val="2F0A6B38"/>
    <w:rsid w:val="2F3228D2"/>
    <w:rsid w:val="2F6C7195"/>
    <w:rsid w:val="2F946CCB"/>
    <w:rsid w:val="2FD25781"/>
    <w:rsid w:val="2FDC745C"/>
    <w:rsid w:val="2FFD7934"/>
    <w:rsid w:val="3013739F"/>
    <w:rsid w:val="301B4336"/>
    <w:rsid w:val="30733ACD"/>
    <w:rsid w:val="307A76CC"/>
    <w:rsid w:val="30843936"/>
    <w:rsid w:val="308C3862"/>
    <w:rsid w:val="309379D8"/>
    <w:rsid w:val="30A270F7"/>
    <w:rsid w:val="30DF1478"/>
    <w:rsid w:val="30EC586F"/>
    <w:rsid w:val="30F8356E"/>
    <w:rsid w:val="315C0C35"/>
    <w:rsid w:val="319C6071"/>
    <w:rsid w:val="31AC537E"/>
    <w:rsid w:val="31D855AA"/>
    <w:rsid w:val="31E3679B"/>
    <w:rsid w:val="31E732FD"/>
    <w:rsid w:val="32142E55"/>
    <w:rsid w:val="322A618B"/>
    <w:rsid w:val="32517576"/>
    <w:rsid w:val="32A71B77"/>
    <w:rsid w:val="32BE5C2C"/>
    <w:rsid w:val="32D63C1D"/>
    <w:rsid w:val="32FB6478"/>
    <w:rsid w:val="3312554D"/>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F36CE"/>
    <w:rsid w:val="363A3B40"/>
    <w:rsid w:val="365302AE"/>
    <w:rsid w:val="36607A0A"/>
    <w:rsid w:val="366E227C"/>
    <w:rsid w:val="366F2E0D"/>
    <w:rsid w:val="367B6A5C"/>
    <w:rsid w:val="36A74ADA"/>
    <w:rsid w:val="36AD60D5"/>
    <w:rsid w:val="36B224F9"/>
    <w:rsid w:val="36EC0CC9"/>
    <w:rsid w:val="371C517D"/>
    <w:rsid w:val="373F410B"/>
    <w:rsid w:val="37461371"/>
    <w:rsid w:val="379951D2"/>
    <w:rsid w:val="37AF7B7F"/>
    <w:rsid w:val="37EE7094"/>
    <w:rsid w:val="38296C89"/>
    <w:rsid w:val="383002EB"/>
    <w:rsid w:val="383C30A0"/>
    <w:rsid w:val="38586797"/>
    <w:rsid w:val="385A6476"/>
    <w:rsid w:val="385D15DF"/>
    <w:rsid w:val="38714062"/>
    <w:rsid w:val="38BC0149"/>
    <w:rsid w:val="38D662F8"/>
    <w:rsid w:val="38D86941"/>
    <w:rsid w:val="38D87D1C"/>
    <w:rsid w:val="393C6ED0"/>
    <w:rsid w:val="395B128E"/>
    <w:rsid w:val="39636459"/>
    <w:rsid w:val="396B7F6C"/>
    <w:rsid w:val="39B417A9"/>
    <w:rsid w:val="39B44102"/>
    <w:rsid w:val="39FC5695"/>
    <w:rsid w:val="3A006D8E"/>
    <w:rsid w:val="3A3651E5"/>
    <w:rsid w:val="3A744481"/>
    <w:rsid w:val="3A856FAD"/>
    <w:rsid w:val="3A8C7BEF"/>
    <w:rsid w:val="3A906246"/>
    <w:rsid w:val="3B2349B7"/>
    <w:rsid w:val="3B387931"/>
    <w:rsid w:val="3B616CFF"/>
    <w:rsid w:val="3B6259F6"/>
    <w:rsid w:val="3B976654"/>
    <w:rsid w:val="3B9C6B2B"/>
    <w:rsid w:val="3BC01EFC"/>
    <w:rsid w:val="3BCA786A"/>
    <w:rsid w:val="3BD13184"/>
    <w:rsid w:val="3BD31E2F"/>
    <w:rsid w:val="3BF15831"/>
    <w:rsid w:val="3C105946"/>
    <w:rsid w:val="3C275992"/>
    <w:rsid w:val="3C471448"/>
    <w:rsid w:val="3C5F759A"/>
    <w:rsid w:val="3C6C525A"/>
    <w:rsid w:val="3C7C70E1"/>
    <w:rsid w:val="3CA228E3"/>
    <w:rsid w:val="3CA60B04"/>
    <w:rsid w:val="3CBE5E4E"/>
    <w:rsid w:val="3CC46E8F"/>
    <w:rsid w:val="3CCE23CB"/>
    <w:rsid w:val="3CD17D17"/>
    <w:rsid w:val="3CEC4769"/>
    <w:rsid w:val="3D3C7F39"/>
    <w:rsid w:val="3D440F09"/>
    <w:rsid w:val="3D4504A0"/>
    <w:rsid w:val="3D8734BB"/>
    <w:rsid w:val="3D9A11D4"/>
    <w:rsid w:val="3D9A2417"/>
    <w:rsid w:val="3DA16D89"/>
    <w:rsid w:val="3DA364BE"/>
    <w:rsid w:val="3DD36E7C"/>
    <w:rsid w:val="3DD96AFC"/>
    <w:rsid w:val="3DE041CB"/>
    <w:rsid w:val="3DF2596E"/>
    <w:rsid w:val="3E0D48F6"/>
    <w:rsid w:val="3E1868B4"/>
    <w:rsid w:val="3E377251"/>
    <w:rsid w:val="3E42664B"/>
    <w:rsid w:val="3E5A7334"/>
    <w:rsid w:val="3E6E52A4"/>
    <w:rsid w:val="3E7B5D6B"/>
    <w:rsid w:val="3E843E66"/>
    <w:rsid w:val="3E8E5B01"/>
    <w:rsid w:val="3E8F51FE"/>
    <w:rsid w:val="3E926F87"/>
    <w:rsid w:val="3E934AE8"/>
    <w:rsid w:val="3E9A59DE"/>
    <w:rsid w:val="3EAF4836"/>
    <w:rsid w:val="3EC33DFA"/>
    <w:rsid w:val="3EE62EEE"/>
    <w:rsid w:val="3EE75BFC"/>
    <w:rsid w:val="3EEA3505"/>
    <w:rsid w:val="3F060E16"/>
    <w:rsid w:val="3F1D1096"/>
    <w:rsid w:val="3F2F0234"/>
    <w:rsid w:val="3F2F6431"/>
    <w:rsid w:val="3F6363FE"/>
    <w:rsid w:val="3F756B8F"/>
    <w:rsid w:val="3F95482B"/>
    <w:rsid w:val="3F9F5D7B"/>
    <w:rsid w:val="3FA806EF"/>
    <w:rsid w:val="3FFDC036"/>
    <w:rsid w:val="4019356B"/>
    <w:rsid w:val="40592157"/>
    <w:rsid w:val="406E1CAE"/>
    <w:rsid w:val="40A0133A"/>
    <w:rsid w:val="40A337ED"/>
    <w:rsid w:val="40C31A53"/>
    <w:rsid w:val="40CD4998"/>
    <w:rsid w:val="40FF545D"/>
    <w:rsid w:val="410067C8"/>
    <w:rsid w:val="418F0D2A"/>
    <w:rsid w:val="419A7946"/>
    <w:rsid w:val="41D01505"/>
    <w:rsid w:val="423C41EF"/>
    <w:rsid w:val="42474939"/>
    <w:rsid w:val="424C3C57"/>
    <w:rsid w:val="42613FF3"/>
    <w:rsid w:val="42660D96"/>
    <w:rsid w:val="427E2BB0"/>
    <w:rsid w:val="428667D2"/>
    <w:rsid w:val="42C15F83"/>
    <w:rsid w:val="42CD1CE0"/>
    <w:rsid w:val="42E1381E"/>
    <w:rsid w:val="42ED6459"/>
    <w:rsid w:val="42FE58DD"/>
    <w:rsid w:val="43174B3D"/>
    <w:rsid w:val="434B790E"/>
    <w:rsid w:val="4360274F"/>
    <w:rsid w:val="437678A2"/>
    <w:rsid w:val="438F404B"/>
    <w:rsid w:val="43977AB6"/>
    <w:rsid w:val="43A3342B"/>
    <w:rsid w:val="43C77C27"/>
    <w:rsid w:val="43DE09EE"/>
    <w:rsid w:val="43FD54AD"/>
    <w:rsid w:val="44002FAD"/>
    <w:rsid w:val="44213AFF"/>
    <w:rsid w:val="448A7D62"/>
    <w:rsid w:val="449101DD"/>
    <w:rsid w:val="44DE1391"/>
    <w:rsid w:val="44E43808"/>
    <w:rsid w:val="450572AD"/>
    <w:rsid w:val="45132AAF"/>
    <w:rsid w:val="451B225C"/>
    <w:rsid w:val="452410C9"/>
    <w:rsid w:val="45317DFB"/>
    <w:rsid w:val="456D3CE4"/>
    <w:rsid w:val="45717543"/>
    <w:rsid w:val="4579042C"/>
    <w:rsid w:val="457F0571"/>
    <w:rsid w:val="45851176"/>
    <w:rsid w:val="45B82D56"/>
    <w:rsid w:val="45C63B94"/>
    <w:rsid w:val="45C834D0"/>
    <w:rsid w:val="45F8417E"/>
    <w:rsid w:val="460D74FE"/>
    <w:rsid w:val="460E7DA5"/>
    <w:rsid w:val="462027DB"/>
    <w:rsid w:val="46422483"/>
    <w:rsid w:val="465406F3"/>
    <w:rsid w:val="4659254A"/>
    <w:rsid w:val="465B0637"/>
    <w:rsid w:val="465D580E"/>
    <w:rsid w:val="465E3F0D"/>
    <w:rsid w:val="466A16E6"/>
    <w:rsid w:val="46893F2B"/>
    <w:rsid w:val="46C4686E"/>
    <w:rsid w:val="46C96CF0"/>
    <w:rsid w:val="46C97AD1"/>
    <w:rsid w:val="46CF3BBE"/>
    <w:rsid w:val="47444517"/>
    <w:rsid w:val="474F7899"/>
    <w:rsid w:val="477B778F"/>
    <w:rsid w:val="478203EC"/>
    <w:rsid w:val="47841C0B"/>
    <w:rsid w:val="47B025FA"/>
    <w:rsid w:val="47F45217"/>
    <w:rsid w:val="4809698F"/>
    <w:rsid w:val="4811697D"/>
    <w:rsid w:val="484F72F8"/>
    <w:rsid w:val="487A3E25"/>
    <w:rsid w:val="487C09CF"/>
    <w:rsid w:val="488B5503"/>
    <w:rsid w:val="48937E21"/>
    <w:rsid w:val="489A0361"/>
    <w:rsid w:val="48B94FF3"/>
    <w:rsid w:val="48C240E8"/>
    <w:rsid w:val="48E37AAB"/>
    <w:rsid w:val="48F878F7"/>
    <w:rsid w:val="48FD4B4C"/>
    <w:rsid w:val="490A68E0"/>
    <w:rsid w:val="491055FE"/>
    <w:rsid w:val="4945010C"/>
    <w:rsid w:val="495F5B3E"/>
    <w:rsid w:val="496F77D7"/>
    <w:rsid w:val="497654FD"/>
    <w:rsid w:val="49A46D51"/>
    <w:rsid w:val="49B64211"/>
    <w:rsid w:val="49F6167F"/>
    <w:rsid w:val="4A064FA0"/>
    <w:rsid w:val="4A16615C"/>
    <w:rsid w:val="4A4424D7"/>
    <w:rsid w:val="4A4D3764"/>
    <w:rsid w:val="4A5676C5"/>
    <w:rsid w:val="4A7566C7"/>
    <w:rsid w:val="4AA04DE4"/>
    <w:rsid w:val="4AB82D0F"/>
    <w:rsid w:val="4AEB7664"/>
    <w:rsid w:val="4AFD7C19"/>
    <w:rsid w:val="4B0567D1"/>
    <w:rsid w:val="4B09427D"/>
    <w:rsid w:val="4B236AAE"/>
    <w:rsid w:val="4B707271"/>
    <w:rsid w:val="4B9739F7"/>
    <w:rsid w:val="4BEE2503"/>
    <w:rsid w:val="4C245A30"/>
    <w:rsid w:val="4C647B57"/>
    <w:rsid w:val="4CB6685F"/>
    <w:rsid w:val="4CC367FE"/>
    <w:rsid w:val="4CF7240E"/>
    <w:rsid w:val="4D01288D"/>
    <w:rsid w:val="4D077F3C"/>
    <w:rsid w:val="4D123355"/>
    <w:rsid w:val="4D185106"/>
    <w:rsid w:val="4D2A3B31"/>
    <w:rsid w:val="4D312C52"/>
    <w:rsid w:val="4D3D1CDC"/>
    <w:rsid w:val="4D905305"/>
    <w:rsid w:val="4D964A72"/>
    <w:rsid w:val="4D9C1254"/>
    <w:rsid w:val="4DA90ACD"/>
    <w:rsid w:val="4DE66FB2"/>
    <w:rsid w:val="4DF800D0"/>
    <w:rsid w:val="4DF958A5"/>
    <w:rsid w:val="4E793892"/>
    <w:rsid w:val="4E800872"/>
    <w:rsid w:val="4EC569ED"/>
    <w:rsid w:val="4ED50EA1"/>
    <w:rsid w:val="4EEC050C"/>
    <w:rsid w:val="4F104EC3"/>
    <w:rsid w:val="4F124116"/>
    <w:rsid w:val="4F1B51E4"/>
    <w:rsid w:val="4F306803"/>
    <w:rsid w:val="4F4421E2"/>
    <w:rsid w:val="4F47354A"/>
    <w:rsid w:val="4F576604"/>
    <w:rsid w:val="4F911C54"/>
    <w:rsid w:val="4FD04662"/>
    <w:rsid w:val="4FE625E0"/>
    <w:rsid w:val="5021480F"/>
    <w:rsid w:val="50436B6B"/>
    <w:rsid w:val="50812254"/>
    <w:rsid w:val="50962ECB"/>
    <w:rsid w:val="50A42E38"/>
    <w:rsid w:val="50A4577F"/>
    <w:rsid w:val="50B73D1F"/>
    <w:rsid w:val="50BD5BC9"/>
    <w:rsid w:val="50C11EEE"/>
    <w:rsid w:val="50D26C6E"/>
    <w:rsid w:val="50E07961"/>
    <w:rsid w:val="50E97CFC"/>
    <w:rsid w:val="50FA4028"/>
    <w:rsid w:val="510D65B7"/>
    <w:rsid w:val="511157AB"/>
    <w:rsid w:val="5142540C"/>
    <w:rsid w:val="51590D9D"/>
    <w:rsid w:val="518832C8"/>
    <w:rsid w:val="518B234A"/>
    <w:rsid w:val="519D3C50"/>
    <w:rsid w:val="519FF070"/>
    <w:rsid w:val="51A0432A"/>
    <w:rsid w:val="51A86090"/>
    <w:rsid w:val="51B7396D"/>
    <w:rsid w:val="522E4CC3"/>
    <w:rsid w:val="5244713B"/>
    <w:rsid w:val="52615633"/>
    <w:rsid w:val="526F4DE4"/>
    <w:rsid w:val="52977FD4"/>
    <w:rsid w:val="52A25790"/>
    <w:rsid w:val="52A96B6F"/>
    <w:rsid w:val="52AC3596"/>
    <w:rsid w:val="52B45975"/>
    <w:rsid w:val="52C841D4"/>
    <w:rsid w:val="52D94AA4"/>
    <w:rsid w:val="52DD6ACB"/>
    <w:rsid w:val="52EA3A62"/>
    <w:rsid w:val="52F50BB8"/>
    <w:rsid w:val="52F80BAD"/>
    <w:rsid w:val="53097272"/>
    <w:rsid w:val="53125694"/>
    <w:rsid w:val="53544462"/>
    <w:rsid w:val="53610CBA"/>
    <w:rsid w:val="5397158E"/>
    <w:rsid w:val="53D147BB"/>
    <w:rsid w:val="54013861"/>
    <w:rsid w:val="54487265"/>
    <w:rsid w:val="544D6070"/>
    <w:rsid w:val="54605E1E"/>
    <w:rsid w:val="548B7B9C"/>
    <w:rsid w:val="54B3506A"/>
    <w:rsid w:val="54CA0D16"/>
    <w:rsid w:val="54CF23A3"/>
    <w:rsid w:val="54D6019F"/>
    <w:rsid w:val="54DD4057"/>
    <w:rsid w:val="54E7490F"/>
    <w:rsid w:val="550764A4"/>
    <w:rsid w:val="550B2BF6"/>
    <w:rsid w:val="55214EB5"/>
    <w:rsid w:val="55364EFD"/>
    <w:rsid w:val="555D4828"/>
    <w:rsid w:val="557A4C8B"/>
    <w:rsid w:val="55844A0A"/>
    <w:rsid w:val="558931E1"/>
    <w:rsid w:val="55923347"/>
    <w:rsid w:val="55925180"/>
    <w:rsid w:val="55983B1B"/>
    <w:rsid w:val="55A8376B"/>
    <w:rsid w:val="55CF3F22"/>
    <w:rsid w:val="55DC29B6"/>
    <w:rsid w:val="55DD4241"/>
    <w:rsid w:val="55FC7533"/>
    <w:rsid w:val="56535401"/>
    <w:rsid w:val="566B6D1E"/>
    <w:rsid w:val="56D025AE"/>
    <w:rsid w:val="57032A2C"/>
    <w:rsid w:val="570F5219"/>
    <w:rsid w:val="572B4E70"/>
    <w:rsid w:val="57421A38"/>
    <w:rsid w:val="57440280"/>
    <w:rsid w:val="574D6534"/>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C2C7E"/>
    <w:rsid w:val="58041A04"/>
    <w:rsid w:val="587F7B16"/>
    <w:rsid w:val="588C69A8"/>
    <w:rsid w:val="58917D2F"/>
    <w:rsid w:val="5894085C"/>
    <w:rsid w:val="58AB5080"/>
    <w:rsid w:val="58AE4F0C"/>
    <w:rsid w:val="58B85899"/>
    <w:rsid w:val="58D46B1B"/>
    <w:rsid w:val="58DC5B03"/>
    <w:rsid w:val="58E363A9"/>
    <w:rsid w:val="59166304"/>
    <w:rsid w:val="593A6404"/>
    <w:rsid w:val="59537501"/>
    <w:rsid w:val="595E1678"/>
    <w:rsid w:val="596D5BD4"/>
    <w:rsid w:val="597E3DD8"/>
    <w:rsid w:val="59EE7142"/>
    <w:rsid w:val="59F80043"/>
    <w:rsid w:val="5A09252F"/>
    <w:rsid w:val="5A0B2778"/>
    <w:rsid w:val="5A2A7C7B"/>
    <w:rsid w:val="5A3E2560"/>
    <w:rsid w:val="5A5D3B6E"/>
    <w:rsid w:val="5A637A76"/>
    <w:rsid w:val="5A6D33BA"/>
    <w:rsid w:val="5A792B1F"/>
    <w:rsid w:val="5A874767"/>
    <w:rsid w:val="5AA85BE2"/>
    <w:rsid w:val="5AAD6F28"/>
    <w:rsid w:val="5AD63A24"/>
    <w:rsid w:val="5AE02F23"/>
    <w:rsid w:val="5AF267D9"/>
    <w:rsid w:val="5B107225"/>
    <w:rsid w:val="5B2E1A1D"/>
    <w:rsid w:val="5B5E305F"/>
    <w:rsid w:val="5B843A1C"/>
    <w:rsid w:val="5B873E3F"/>
    <w:rsid w:val="5BF44F90"/>
    <w:rsid w:val="5BFE2350"/>
    <w:rsid w:val="5C02690E"/>
    <w:rsid w:val="5C196DA7"/>
    <w:rsid w:val="5C2A048C"/>
    <w:rsid w:val="5C2C64D8"/>
    <w:rsid w:val="5C3929A3"/>
    <w:rsid w:val="5C7F0CFE"/>
    <w:rsid w:val="5C80234E"/>
    <w:rsid w:val="5C8A680C"/>
    <w:rsid w:val="5CAA18E8"/>
    <w:rsid w:val="5CF96FBB"/>
    <w:rsid w:val="5D0C4701"/>
    <w:rsid w:val="5D0F0395"/>
    <w:rsid w:val="5D221076"/>
    <w:rsid w:val="5D397964"/>
    <w:rsid w:val="5D5A391C"/>
    <w:rsid w:val="5D5F10C0"/>
    <w:rsid w:val="5D891B7B"/>
    <w:rsid w:val="5DAD38EE"/>
    <w:rsid w:val="5DB93D9B"/>
    <w:rsid w:val="5DE7787B"/>
    <w:rsid w:val="5E006862"/>
    <w:rsid w:val="5E0207B9"/>
    <w:rsid w:val="5E1834A1"/>
    <w:rsid w:val="5E261785"/>
    <w:rsid w:val="5E267AAF"/>
    <w:rsid w:val="5E421FE3"/>
    <w:rsid w:val="5E4A7017"/>
    <w:rsid w:val="5E552BBA"/>
    <w:rsid w:val="5E611C10"/>
    <w:rsid w:val="5E700DD8"/>
    <w:rsid w:val="5E7A0F3F"/>
    <w:rsid w:val="5E833DD8"/>
    <w:rsid w:val="5EBD7CA4"/>
    <w:rsid w:val="5EC8139C"/>
    <w:rsid w:val="5EFC7377"/>
    <w:rsid w:val="5F06174D"/>
    <w:rsid w:val="5F3A3602"/>
    <w:rsid w:val="5F45733B"/>
    <w:rsid w:val="5F6277C6"/>
    <w:rsid w:val="5F6D0B1D"/>
    <w:rsid w:val="5F8D0B82"/>
    <w:rsid w:val="5F99775A"/>
    <w:rsid w:val="5FCC5339"/>
    <w:rsid w:val="5FD16EC1"/>
    <w:rsid w:val="5FE34A5B"/>
    <w:rsid w:val="5FFE1E36"/>
    <w:rsid w:val="60021582"/>
    <w:rsid w:val="6017124D"/>
    <w:rsid w:val="60232584"/>
    <w:rsid w:val="607330CE"/>
    <w:rsid w:val="60825176"/>
    <w:rsid w:val="609F2AC4"/>
    <w:rsid w:val="60FA2EE8"/>
    <w:rsid w:val="61054A27"/>
    <w:rsid w:val="610A52BC"/>
    <w:rsid w:val="611D2366"/>
    <w:rsid w:val="6138591F"/>
    <w:rsid w:val="61421856"/>
    <w:rsid w:val="61500EBB"/>
    <w:rsid w:val="615227C4"/>
    <w:rsid w:val="61654E3F"/>
    <w:rsid w:val="616C7377"/>
    <w:rsid w:val="6182292A"/>
    <w:rsid w:val="61885916"/>
    <w:rsid w:val="619F7F92"/>
    <w:rsid w:val="61F94C26"/>
    <w:rsid w:val="62000E56"/>
    <w:rsid w:val="6232449C"/>
    <w:rsid w:val="624F3E49"/>
    <w:rsid w:val="625978FB"/>
    <w:rsid w:val="62632286"/>
    <w:rsid w:val="6267246E"/>
    <w:rsid w:val="62885958"/>
    <w:rsid w:val="62E73159"/>
    <w:rsid w:val="62F40B65"/>
    <w:rsid w:val="62FC2CFE"/>
    <w:rsid w:val="63024505"/>
    <w:rsid w:val="635600A5"/>
    <w:rsid w:val="635B1DB5"/>
    <w:rsid w:val="635E1A43"/>
    <w:rsid w:val="63711FED"/>
    <w:rsid w:val="63880DDC"/>
    <w:rsid w:val="638D750D"/>
    <w:rsid w:val="639F4589"/>
    <w:rsid w:val="63AC6CC0"/>
    <w:rsid w:val="63ED1A8C"/>
    <w:rsid w:val="64055776"/>
    <w:rsid w:val="641206A9"/>
    <w:rsid w:val="64240056"/>
    <w:rsid w:val="64393E88"/>
    <w:rsid w:val="643E143A"/>
    <w:rsid w:val="64491666"/>
    <w:rsid w:val="64644C86"/>
    <w:rsid w:val="648B6EEF"/>
    <w:rsid w:val="64A045F3"/>
    <w:rsid w:val="64C158BF"/>
    <w:rsid w:val="64CE2EAA"/>
    <w:rsid w:val="64D56D67"/>
    <w:rsid w:val="650B0ABB"/>
    <w:rsid w:val="653C3090"/>
    <w:rsid w:val="6570055B"/>
    <w:rsid w:val="65854376"/>
    <w:rsid w:val="658767BE"/>
    <w:rsid w:val="65892531"/>
    <w:rsid w:val="65A745DA"/>
    <w:rsid w:val="66195831"/>
    <w:rsid w:val="661A3845"/>
    <w:rsid w:val="662E75B1"/>
    <w:rsid w:val="66342C2E"/>
    <w:rsid w:val="663E784C"/>
    <w:rsid w:val="66435E46"/>
    <w:rsid w:val="668B6A45"/>
    <w:rsid w:val="672F3F24"/>
    <w:rsid w:val="673E055F"/>
    <w:rsid w:val="67551CE3"/>
    <w:rsid w:val="67987117"/>
    <w:rsid w:val="67A22552"/>
    <w:rsid w:val="67B22DCC"/>
    <w:rsid w:val="67BE71AA"/>
    <w:rsid w:val="67D90273"/>
    <w:rsid w:val="67DE5875"/>
    <w:rsid w:val="67E432DE"/>
    <w:rsid w:val="67E55852"/>
    <w:rsid w:val="67EA7456"/>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EA7E38"/>
    <w:rsid w:val="69FD55B8"/>
    <w:rsid w:val="6A0B1C62"/>
    <w:rsid w:val="6A2406C8"/>
    <w:rsid w:val="6A4454E8"/>
    <w:rsid w:val="6A5079C7"/>
    <w:rsid w:val="6A711A96"/>
    <w:rsid w:val="6ADE0BD1"/>
    <w:rsid w:val="6ADF6E0B"/>
    <w:rsid w:val="6AE96859"/>
    <w:rsid w:val="6B1121B0"/>
    <w:rsid w:val="6B147746"/>
    <w:rsid w:val="6B24787C"/>
    <w:rsid w:val="6B261692"/>
    <w:rsid w:val="6B573233"/>
    <w:rsid w:val="6B5B6274"/>
    <w:rsid w:val="6B935D53"/>
    <w:rsid w:val="6BCD02EE"/>
    <w:rsid w:val="6BD149A6"/>
    <w:rsid w:val="6BEC73A0"/>
    <w:rsid w:val="6C147092"/>
    <w:rsid w:val="6C196F71"/>
    <w:rsid w:val="6C226FCB"/>
    <w:rsid w:val="6C31226F"/>
    <w:rsid w:val="6C552F0B"/>
    <w:rsid w:val="6C8B3F7E"/>
    <w:rsid w:val="6C8C67B7"/>
    <w:rsid w:val="6C9D744C"/>
    <w:rsid w:val="6D0F1C2A"/>
    <w:rsid w:val="6D167928"/>
    <w:rsid w:val="6D26299B"/>
    <w:rsid w:val="6D3D5271"/>
    <w:rsid w:val="6D4772EC"/>
    <w:rsid w:val="6D8D0DA1"/>
    <w:rsid w:val="6D9078AF"/>
    <w:rsid w:val="6DAA3FEF"/>
    <w:rsid w:val="6DC0172B"/>
    <w:rsid w:val="6DCB690C"/>
    <w:rsid w:val="6DD41A5B"/>
    <w:rsid w:val="6DE9408D"/>
    <w:rsid w:val="6DF43C2E"/>
    <w:rsid w:val="6DF51CA3"/>
    <w:rsid w:val="6E677844"/>
    <w:rsid w:val="6E8335BD"/>
    <w:rsid w:val="6E8E12EF"/>
    <w:rsid w:val="6E972936"/>
    <w:rsid w:val="6ED446C5"/>
    <w:rsid w:val="6F020A30"/>
    <w:rsid w:val="6F2A7D94"/>
    <w:rsid w:val="6F8331F1"/>
    <w:rsid w:val="6FAE1A09"/>
    <w:rsid w:val="6FC7059A"/>
    <w:rsid w:val="6FD75BF8"/>
    <w:rsid w:val="6FF869A5"/>
    <w:rsid w:val="70573495"/>
    <w:rsid w:val="70691651"/>
    <w:rsid w:val="707723D0"/>
    <w:rsid w:val="70F5661B"/>
    <w:rsid w:val="71206717"/>
    <w:rsid w:val="71360107"/>
    <w:rsid w:val="7136363E"/>
    <w:rsid w:val="713B688E"/>
    <w:rsid w:val="715371F6"/>
    <w:rsid w:val="71997791"/>
    <w:rsid w:val="71B26DAA"/>
    <w:rsid w:val="71B8559C"/>
    <w:rsid w:val="71D43752"/>
    <w:rsid w:val="71F1796A"/>
    <w:rsid w:val="72154626"/>
    <w:rsid w:val="72262B5D"/>
    <w:rsid w:val="72283FF7"/>
    <w:rsid w:val="722E7212"/>
    <w:rsid w:val="723A0474"/>
    <w:rsid w:val="724F6130"/>
    <w:rsid w:val="725923E4"/>
    <w:rsid w:val="72864BF7"/>
    <w:rsid w:val="729023FC"/>
    <w:rsid w:val="72CE60E3"/>
    <w:rsid w:val="732E0930"/>
    <w:rsid w:val="7356747F"/>
    <w:rsid w:val="73B74BBB"/>
    <w:rsid w:val="73C0646E"/>
    <w:rsid w:val="742222F5"/>
    <w:rsid w:val="742856F2"/>
    <w:rsid w:val="74476126"/>
    <w:rsid w:val="74581A23"/>
    <w:rsid w:val="74706664"/>
    <w:rsid w:val="747F3682"/>
    <w:rsid w:val="749C4185"/>
    <w:rsid w:val="74AF74D9"/>
    <w:rsid w:val="74C015FE"/>
    <w:rsid w:val="75067759"/>
    <w:rsid w:val="752E6DCD"/>
    <w:rsid w:val="75422471"/>
    <w:rsid w:val="7551380D"/>
    <w:rsid w:val="75600BE5"/>
    <w:rsid w:val="7564475C"/>
    <w:rsid w:val="7583797F"/>
    <w:rsid w:val="75D20F1D"/>
    <w:rsid w:val="75DA2C18"/>
    <w:rsid w:val="75DE3787"/>
    <w:rsid w:val="75F54412"/>
    <w:rsid w:val="761D08E0"/>
    <w:rsid w:val="765D347C"/>
    <w:rsid w:val="76826699"/>
    <w:rsid w:val="76C87133"/>
    <w:rsid w:val="76CD08D5"/>
    <w:rsid w:val="76DB4B92"/>
    <w:rsid w:val="76F66F18"/>
    <w:rsid w:val="77052AA4"/>
    <w:rsid w:val="77136511"/>
    <w:rsid w:val="7719204E"/>
    <w:rsid w:val="77340A39"/>
    <w:rsid w:val="77351FD0"/>
    <w:rsid w:val="773C07FC"/>
    <w:rsid w:val="77472422"/>
    <w:rsid w:val="776C7936"/>
    <w:rsid w:val="777F31F2"/>
    <w:rsid w:val="77D1700D"/>
    <w:rsid w:val="77EC04CC"/>
    <w:rsid w:val="77F43EF6"/>
    <w:rsid w:val="78775729"/>
    <w:rsid w:val="787E40A7"/>
    <w:rsid w:val="78A42DB0"/>
    <w:rsid w:val="78A656AB"/>
    <w:rsid w:val="78B2245C"/>
    <w:rsid w:val="78E172CC"/>
    <w:rsid w:val="78EA1D1F"/>
    <w:rsid w:val="78F37F8C"/>
    <w:rsid w:val="7904172F"/>
    <w:rsid w:val="790F7E27"/>
    <w:rsid w:val="792040C0"/>
    <w:rsid w:val="792A231A"/>
    <w:rsid w:val="79316829"/>
    <w:rsid w:val="79406118"/>
    <w:rsid w:val="797E66A9"/>
    <w:rsid w:val="798518A4"/>
    <w:rsid w:val="79A97383"/>
    <w:rsid w:val="79E27E8B"/>
    <w:rsid w:val="79F850CE"/>
    <w:rsid w:val="79FD443C"/>
    <w:rsid w:val="7A1D1975"/>
    <w:rsid w:val="7A3740C0"/>
    <w:rsid w:val="7A3E5150"/>
    <w:rsid w:val="7A431165"/>
    <w:rsid w:val="7A4670D6"/>
    <w:rsid w:val="7A534B63"/>
    <w:rsid w:val="7A615382"/>
    <w:rsid w:val="7A67303B"/>
    <w:rsid w:val="7A7B1BB5"/>
    <w:rsid w:val="7A7E71CA"/>
    <w:rsid w:val="7AAB1D04"/>
    <w:rsid w:val="7ABA4368"/>
    <w:rsid w:val="7AD05746"/>
    <w:rsid w:val="7AF3424C"/>
    <w:rsid w:val="7B187EFC"/>
    <w:rsid w:val="7B257FFD"/>
    <w:rsid w:val="7B343476"/>
    <w:rsid w:val="7B422966"/>
    <w:rsid w:val="7B5A2978"/>
    <w:rsid w:val="7B5A7E4C"/>
    <w:rsid w:val="7B667AF9"/>
    <w:rsid w:val="7B7468F8"/>
    <w:rsid w:val="7B810F43"/>
    <w:rsid w:val="7BD32E73"/>
    <w:rsid w:val="7BEE0103"/>
    <w:rsid w:val="7BF00E78"/>
    <w:rsid w:val="7C0A0FE4"/>
    <w:rsid w:val="7C0C1914"/>
    <w:rsid w:val="7C254906"/>
    <w:rsid w:val="7C4C2723"/>
    <w:rsid w:val="7C590818"/>
    <w:rsid w:val="7C7C10F6"/>
    <w:rsid w:val="7C853BEA"/>
    <w:rsid w:val="7C881368"/>
    <w:rsid w:val="7CE27788"/>
    <w:rsid w:val="7D093BA4"/>
    <w:rsid w:val="7D0C32F1"/>
    <w:rsid w:val="7D0F408D"/>
    <w:rsid w:val="7D1E5C62"/>
    <w:rsid w:val="7D224BE2"/>
    <w:rsid w:val="7D341239"/>
    <w:rsid w:val="7D491C6C"/>
    <w:rsid w:val="7D5429C0"/>
    <w:rsid w:val="7D667848"/>
    <w:rsid w:val="7D6E6D43"/>
    <w:rsid w:val="7DB57A34"/>
    <w:rsid w:val="7DE60973"/>
    <w:rsid w:val="7DEF0916"/>
    <w:rsid w:val="7E1E5218"/>
    <w:rsid w:val="7E7777A3"/>
    <w:rsid w:val="7E9A4E1F"/>
    <w:rsid w:val="7EA7723A"/>
    <w:rsid w:val="7ED405DD"/>
    <w:rsid w:val="7EF56FBB"/>
    <w:rsid w:val="7F0768EB"/>
    <w:rsid w:val="7F143BEC"/>
    <w:rsid w:val="7F715AF2"/>
    <w:rsid w:val="7F886E69"/>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8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8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89"/>
    <w:qFormat/>
    <w:uiPriority w:val="0"/>
    <w:pPr>
      <w:shd w:val="clear" w:color="auto" w:fill="000080"/>
    </w:pPr>
  </w:style>
  <w:style w:type="paragraph" w:styleId="20">
    <w:name w:val="annotation text"/>
    <w:basedOn w:val="1"/>
    <w:link w:val="90"/>
    <w:qFormat/>
    <w:uiPriority w:val="99"/>
    <w:pPr>
      <w:jc w:val="left"/>
    </w:pPr>
  </w:style>
  <w:style w:type="paragraph" w:styleId="21">
    <w:name w:val="Salutation"/>
    <w:basedOn w:val="1"/>
    <w:next w:val="1"/>
    <w:link w:val="91"/>
    <w:qFormat/>
    <w:uiPriority w:val="0"/>
    <w:rPr>
      <w:rFonts w:ascii="仿宋_GB2312" w:eastAsia="仿宋_GB2312"/>
      <w:sz w:val="28"/>
      <w:szCs w:val="20"/>
    </w:rPr>
  </w:style>
  <w:style w:type="paragraph" w:styleId="22">
    <w:name w:val="Body Text 3"/>
    <w:basedOn w:val="1"/>
    <w:link w:val="92"/>
    <w:qFormat/>
    <w:uiPriority w:val="0"/>
    <w:pPr>
      <w:jc w:val="center"/>
    </w:pPr>
    <w:rPr>
      <w:szCs w:val="20"/>
    </w:rPr>
  </w:style>
  <w:style w:type="paragraph" w:styleId="23">
    <w:name w:val="Closing"/>
    <w:basedOn w:val="1"/>
    <w:qFormat/>
    <w:uiPriority w:val="0"/>
    <w:pPr>
      <w:ind w:left="100" w:leftChars="2100"/>
    </w:pPr>
    <w:rPr>
      <w:rFonts w:ascii="Calibri" w:hAnsi="Calibri" w:eastAsia="微软雅黑"/>
      <w:sz w:val="28"/>
      <w:szCs w:val="28"/>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9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96"/>
    <w:qFormat/>
    <w:uiPriority w:val="0"/>
    <w:rPr>
      <w:rFonts w:ascii="宋体" w:hAnsi="Courier New" w:cs="Arial"/>
      <w:snapToGrid w:val="0"/>
      <w:szCs w:val="21"/>
    </w:rPr>
  </w:style>
  <w:style w:type="paragraph" w:styleId="34">
    <w:name w:val="Date"/>
    <w:basedOn w:val="1"/>
    <w:next w:val="1"/>
    <w:link w:val="97"/>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98"/>
    <w:qFormat/>
    <w:uiPriority w:val="0"/>
    <w:pPr>
      <w:spacing w:line="360" w:lineRule="auto"/>
      <w:ind w:firstLine="601"/>
      <w:textAlignment w:val="baseline"/>
    </w:pPr>
    <w:rPr>
      <w:rFonts w:ascii="宋体"/>
      <w:kern w:val="0"/>
      <w:sz w:val="28"/>
      <w:szCs w:val="20"/>
    </w:rPr>
  </w:style>
  <w:style w:type="paragraph" w:styleId="38">
    <w:name w:val="endnote text"/>
    <w:basedOn w:val="1"/>
    <w:link w:val="99"/>
    <w:qFormat/>
    <w:uiPriority w:val="0"/>
    <w:rPr>
      <w:lang w:val="zh-CN"/>
    </w:rPr>
  </w:style>
  <w:style w:type="paragraph" w:styleId="39">
    <w:name w:val="Balloon Text"/>
    <w:basedOn w:val="1"/>
    <w:link w:val="100"/>
    <w:qFormat/>
    <w:uiPriority w:val="0"/>
    <w:rPr>
      <w:sz w:val="18"/>
      <w:szCs w:val="18"/>
    </w:rPr>
  </w:style>
  <w:style w:type="paragraph" w:styleId="40">
    <w:name w:val="footer"/>
    <w:basedOn w:val="1"/>
    <w:link w:val="101"/>
    <w:qFormat/>
    <w:uiPriority w:val="99"/>
    <w:pPr>
      <w:tabs>
        <w:tab w:val="center" w:pos="4153"/>
        <w:tab w:val="right" w:pos="8306"/>
      </w:tabs>
      <w:snapToGrid w:val="0"/>
      <w:jc w:val="left"/>
    </w:pPr>
    <w:rPr>
      <w:sz w:val="18"/>
      <w:szCs w:val="18"/>
    </w:rPr>
  </w:style>
  <w:style w:type="paragraph" w:styleId="41">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10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7"/>
    <w:qFormat/>
    <w:uiPriority w:val="0"/>
    <w:pPr>
      <w:spacing w:after="120" w:line="480" w:lineRule="auto"/>
    </w:pPr>
  </w:style>
  <w:style w:type="paragraph" w:styleId="57">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10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10"/>
    <w:qFormat/>
    <w:uiPriority w:val="0"/>
    <w:rPr>
      <w:b/>
      <w:bCs/>
    </w:rPr>
  </w:style>
  <w:style w:type="paragraph" w:styleId="61">
    <w:name w:val="Body Text First Indent"/>
    <w:basedOn w:val="2"/>
    <w:link w:val="111"/>
    <w:qFormat/>
    <w:uiPriority w:val="0"/>
    <w:pPr>
      <w:ind w:firstLine="420"/>
    </w:pPr>
    <w:rPr>
      <w:rFonts w:hAnsi="Calibri" w:cs="Times New Roman"/>
      <w:snapToGrid/>
      <w:szCs w:val="20"/>
    </w:rPr>
  </w:style>
  <w:style w:type="paragraph" w:styleId="62">
    <w:name w:val="Body Text First Indent 2"/>
    <w:basedOn w:val="25"/>
    <w:link w:val="11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1"/>
    <w:link w:val="3"/>
    <w:qFormat/>
    <w:uiPriority w:val="9"/>
    <w:rPr>
      <w:b/>
      <w:bCs/>
      <w:kern w:val="44"/>
      <w:sz w:val="44"/>
      <w:szCs w:val="44"/>
    </w:rPr>
  </w:style>
  <w:style w:type="character" w:customStyle="1" w:styleId="81">
    <w:name w:val="标题 4 字符1"/>
    <w:link w:val="6"/>
    <w:qFormat/>
    <w:uiPriority w:val="9"/>
    <w:rPr>
      <w:rFonts w:ascii="Arial" w:hAnsi="Arial" w:eastAsia="黑体"/>
      <w:b/>
      <w:bCs/>
      <w:kern w:val="2"/>
      <w:sz w:val="28"/>
      <w:szCs w:val="28"/>
      <w:lang w:val="zh-CN"/>
    </w:rPr>
  </w:style>
  <w:style w:type="character" w:customStyle="1" w:styleId="82">
    <w:name w:val="标题 5 字符"/>
    <w:link w:val="7"/>
    <w:qFormat/>
    <w:uiPriority w:val="9"/>
    <w:rPr>
      <w:b/>
      <w:bCs/>
      <w:kern w:val="2"/>
      <w:sz w:val="28"/>
      <w:szCs w:val="28"/>
    </w:rPr>
  </w:style>
  <w:style w:type="character" w:customStyle="1" w:styleId="83">
    <w:name w:val="标题 6 字符"/>
    <w:link w:val="8"/>
    <w:qFormat/>
    <w:uiPriority w:val="0"/>
    <w:rPr>
      <w:rFonts w:ascii="Arial" w:hAnsi="Arial" w:eastAsia="黑体"/>
      <w:b/>
      <w:bCs/>
      <w:kern w:val="2"/>
      <w:sz w:val="24"/>
      <w:szCs w:val="24"/>
    </w:rPr>
  </w:style>
  <w:style w:type="character" w:customStyle="1" w:styleId="84">
    <w:name w:val="标题 7 字符"/>
    <w:link w:val="9"/>
    <w:qFormat/>
    <w:uiPriority w:val="0"/>
    <w:rPr>
      <w:b/>
      <w:bCs/>
      <w:kern w:val="2"/>
      <w:sz w:val="24"/>
      <w:szCs w:val="24"/>
    </w:rPr>
  </w:style>
  <w:style w:type="character" w:customStyle="1" w:styleId="85">
    <w:name w:val="标题 8 字符"/>
    <w:link w:val="10"/>
    <w:qFormat/>
    <w:uiPriority w:val="0"/>
    <w:rPr>
      <w:rFonts w:ascii="Arial" w:hAnsi="Arial" w:eastAsia="黑体"/>
      <w:kern w:val="2"/>
      <w:sz w:val="24"/>
      <w:szCs w:val="24"/>
    </w:rPr>
  </w:style>
  <w:style w:type="character" w:customStyle="1" w:styleId="86">
    <w:name w:val="标题 9 字符"/>
    <w:link w:val="11"/>
    <w:qFormat/>
    <w:uiPriority w:val="0"/>
    <w:rPr>
      <w:rFonts w:ascii="Arial" w:hAnsi="Arial" w:eastAsia="黑体"/>
      <w:kern w:val="2"/>
      <w:sz w:val="21"/>
      <w:szCs w:val="21"/>
    </w:rPr>
  </w:style>
  <w:style w:type="character" w:customStyle="1" w:styleId="87">
    <w:name w:val="正文缩进 字符2"/>
    <w:link w:val="16"/>
    <w:qFormat/>
    <w:uiPriority w:val="0"/>
    <w:rPr>
      <w:rFonts w:ascii="宋体" w:eastAsia="宋体"/>
      <w:snapToGrid w:val="0"/>
      <w:color w:val="000000"/>
      <w:kern w:val="28"/>
      <w:sz w:val="28"/>
      <w:lang w:val="en-US" w:eastAsia="zh-CN" w:bidi="ar-SA"/>
    </w:rPr>
  </w:style>
  <w:style w:type="character" w:customStyle="1" w:styleId="88">
    <w:name w:val="题注 字符"/>
    <w:link w:val="17"/>
    <w:qFormat/>
    <w:uiPriority w:val="0"/>
    <w:rPr>
      <w:b/>
      <w:kern w:val="2"/>
      <w:sz w:val="28"/>
    </w:rPr>
  </w:style>
  <w:style w:type="character" w:customStyle="1" w:styleId="89">
    <w:name w:val="文档结构图 字符"/>
    <w:link w:val="19"/>
    <w:qFormat/>
    <w:uiPriority w:val="0"/>
    <w:rPr>
      <w:kern w:val="2"/>
      <w:sz w:val="21"/>
      <w:szCs w:val="24"/>
      <w:shd w:val="clear" w:color="auto" w:fill="000080"/>
    </w:rPr>
  </w:style>
  <w:style w:type="character" w:customStyle="1" w:styleId="90">
    <w:name w:val="批注文字 字符1"/>
    <w:link w:val="20"/>
    <w:qFormat/>
    <w:uiPriority w:val="0"/>
    <w:rPr>
      <w:kern w:val="2"/>
      <w:sz w:val="21"/>
      <w:szCs w:val="24"/>
    </w:rPr>
  </w:style>
  <w:style w:type="character" w:customStyle="1" w:styleId="91">
    <w:name w:val="称呼 字符"/>
    <w:link w:val="21"/>
    <w:qFormat/>
    <w:uiPriority w:val="0"/>
    <w:rPr>
      <w:rFonts w:ascii="仿宋_GB2312" w:eastAsia="仿宋_GB2312"/>
      <w:kern w:val="2"/>
      <w:sz w:val="28"/>
    </w:rPr>
  </w:style>
  <w:style w:type="character" w:customStyle="1" w:styleId="92">
    <w:name w:val="正文文本 3 字符"/>
    <w:link w:val="22"/>
    <w:qFormat/>
    <w:uiPriority w:val="0"/>
    <w:rPr>
      <w:kern w:val="2"/>
      <w:sz w:val="21"/>
    </w:rPr>
  </w:style>
  <w:style w:type="character" w:customStyle="1" w:styleId="9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4">
    <w:name w:val="正文文本缩进 字符1"/>
    <w:link w:val="25"/>
    <w:qFormat/>
    <w:uiPriority w:val="0"/>
    <w:rPr>
      <w:rFonts w:ascii="宋体" w:hAnsi="宋体"/>
      <w:kern w:val="2"/>
      <w:sz w:val="24"/>
      <w:szCs w:val="24"/>
    </w:rPr>
  </w:style>
  <w:style w:type="character" w:customStyle="1" w:styleId="95">
    <w:name w:val="HTML 地址 字符"/>
    <w:link w:val="30"/>
    <w:qFormat/>
    <w:uiPriority w:val="0"/>
    <w:rPr>
      <w:rFonts w:ascii="宋体" w:hAnsi="宋体"/>
      <w:i/>
      <w:iCs/>
      <w:sz w:val="24"/>
      <w:szCs w:val="24"/>
    </w:rPr>
  </w:style>
  <w:style w:type="character" w:customStyle="1" w:styleId="9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97">
    <w:name w:val="日期 字符"/>
    <w:link w:val="34"/>
    <w:qFormat/>
    <w:uiPriority w:val="0"/>
    <w:rPr>
      <w:rFonts w:ascii="宋体"/>
      <w:kern w:val="2"/>
      <w:sz w:val="24"/>
      <w:szCs w:val="21"/>
      <w:lang w:val="zh-CN"/>
    </w:rPr>
  </w:style>
  <w:style w:type="character" w:customStyle="1" w:styleId="98">
    <w:name w:val="正文文本缩进 2 字符"/>
    <w:link w:val="37"/>
    <w:qFormat/>
    <w:uiPriority w:val="0"/>
    <w:rPr>
      <w:rFonts w:ascii="宋体"/>
      <w:sz w:val="28"/>
    </w:rPr>
  </w:style>
  <w:style w:type="character" w:customStyle="1" w:styleId="99">
    <w:name w:val="尾注文本 字符"/>
    <w:link w:val="38"/>
    <w:qFormat/>
    <w:uiPriority w:val="0"/>
    <w:rPr>
      <w:kern w:val="2"/>
      <w:sz w:val="21"/>
      <w:szCs w:val="24"/>
      <w:lang w:val="zh-CN"/>
    </w:rPr>
  </w:style>
  <w:style w:type="character" w:customStyle="1" w:styleId="100">
    <w:name w:val="批注框文本 字符1"/>
    <w:link w:val="39"/>
    <w:qFormat/>
    <w:uiPriority w:val="0"/>
    <w:rPr>
      <w:kern w:val="2"/>
      <w:sz w:val="18"/>
      <w:szCs w:val="18"/>
    </w:rPr>
  </w:style>
  <w:style w:type="character" w:customStyle="1" w:styleId="101">
    <w:name w:val="页脚 字符2"/>
    <w:link w:val="40"/>
    <w:qFormat/>
    <w:locked/>
    <w:uiPriority w:val="99"/>
    <w:rPr>
      <w:kern w:val="2"/>
      <w:sz w:val="18"/>
      <w:szCs w:val="18"/>
    </w:rPr>
  </w:style>
  <w:style w:type="character" w:customStyle="1" w:styleId="102">
    <w:name w:val="页眉 字符2"/>
    <w:link w:val="41"/>
    <w:qFormat/>
    <w:uiPriority w:val="99"/>
    <w:rPr>
      <w:kern w:val="2"/>
      <w:sz w:val="18"/>
      <w:szCs w:val="18"/>
    </w:rPr>
  </w:style>
  <w:style w:type="character" w:customStyle="1" w:styleId="103">
    <w:name w:val="签名 字符"/>
    <w:link w:val="42"/>
    <w:qFormat/>
    <w:uiPriority w:val="0"/>
    <w:rPr>
      <w:rFonts w:eastAsia="仿宋_GB2312"/>
      <w:sz w:val="24"/>
    </w:rPr>
  </w:style>
  <w:style w:type="character" w:customStyle="1" w:styleId="104">
    <w:name w:val="副标题 字符"/>
    <w:link w:val="47"/>
    <w:qFormat/>
    <w:uiPriority w:val="0"/>
    <w:rPr>
      <w:rFonts w:ascii="Arial" w:hAnsi="Arial" w:eastAsia="隶书"/>
      <w:b/>
      <w:bCs/>
      <w:kern w:val="28"/>
      <w:sz w:val="44"/>
      <w:szCs w:val="32"/>
      <w:lang w:val="en-US" w:eastAsia="zh-CN" w:bidi="ar-SA"/>
    </w:rPr>
  </w:style>
  <w:style w:type="character" w:customStyle="1" w:styleId="105">
    <w:name w:val="脚注文本 字符"/>
    <w:link w:val="50"/>
    <w:qFormat/>
    <w:uiPriority w:val="0"/>
    <w:rPr>
      <w:color w:val="0000FF"/>
      <w:sz w:val="21"/>
    </w:rPr>
  </w:style>
  <w:style w:type="character" w:customStyle="1" w:styleId="106">
    <w:name w:val="正文文本缩进 3 字符"/>
    <w:link w:val="53"/>
    <w:qFormat/>
    <w:uiPriority w:val="0"/>
    <w:rPr>
      <w:kern w:val="2"/>
      <w:sz w:val="24"/>
    </w:rPr>
  </w:style>
  <w:style w:type="character" w:customStyle="1" w:styleId="107">
    <w:name w:val="正文文本 2 字符1"/>
    <w:link w:val="56"/>
    <w:qFormat/>
    <w:uiPriority w:val="0"/>
    <w:rPr>
      <w:kern w:val="2"/>
      <w:sz w:val="21"/>
      <w:szCs w:val="24"/>
    </w:rPr>
  </w:style>
  <w:style w:type="character" w:customStyle="1" w:styleId="108">
    <w:name w:val="HTML 预设格式 字符"/>
    <w:link w:val="57"/>
    <w:qFormat/>
    <w:uiPriority w:val="0"/>
    <w:rPr>
      <w:rFonts w:ascii="黑体" w:hAnsi="Courier New" w:eastAsia="黑体"/>
    </w:rPr>
  </w:style>
  <w:style w:type="character" w:customStyle="1" w:styleId="109">
    <w:name w:val="标题 字符"/>
    <w:link w:val="59"/>
    <w:qFormat/>
    <w:uiPriority w:val="10"/>
    <w:rPr>
      <w:b/>
      <w:sz w:val="24"/>
      <w:lang w:val="en-GB"/>
    </w:rPr>
  </w:style>
  <w:style w:type="character" w:customStyle="1" w:styleId="110">
    <w:name w:val="批注主题 字符"/>
    <w:link w:val="60"/>
    <w:qFormat/>
    <w:uiPriority w:val="0"/>
    <w:rPr>
      <w:b/>
      <w:bCs/>
      <w:kern w:val="2"/>
      <w:sz w:val="21"/>
      <w:szCs w:val="24"/>
    </w:rPr>
  </w:style>
  <w:style w:type="character" w:customStyle="1" w:styleId="111">
    <w:name w:val="正文首行缩进 字符"/>
    <w:link w:val="61"/>
    <w:qFormat/>
    <w:uiPriority w:val="0"/>
    <w:rPr>
      <w:rFonts w:ascii="宋体"/>
      <w:kern w:val="2"/>
      <w:sz w:val="24"/>
      <w:lang w:val="zh-CN"/>
    </w:rPr>
  </w:style>
  <w:style w:type="character" w:customStyle="1" w:styleId="112">
    <w:name w:val="正文首行缩进 2 字符"/>
    <w:link w:val="62"/>
    <w:qFormat/>
    <w:uiPriority w:val="0"/>
    <w:rPr>
      <w:rFonts w:ascii="宋体" w:hAnsi="宋体"/>
      <w:kern w:val="2"/>
      <w:sz w:val="21"/>
      <w:szCs w:val="24"/>
    </w:rPr>
  </w:style>
  <w:style w:type="paragraph" w:customStyle="1" w:styleId="113">
    <w:name w:val="Body Text First Indent 21"/>
    <w:basedOn w:val="114"/>
    <w:qFormat/>
    <w:uiPriority w:val="0"/>
    <w:pPr>
      <w:ind w:firstLine="420"/>
    </w:pPr>
  </w:style>
  <w:style w:type="paragraph" w:customStyle="1" w:styleId="114">
    <w:name w:val="Body Text Indent1"/>
    <w:basedOn w:val="1"/>
    <w:qFormat/>
    <w:uiPriority w:val="0"/>
    <w:pPr>
      <w:ind w:left="420" w:leftChars="200"/>
    </w:pPr>
  </w:style>
  <w:style w:type="paragraph" w:customStyle="1" w:styleId="115">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116">
    <w:name w:val="标题 1 字符"/>
    <w:qFormat/>
    <w:uiPriority w:val="0"/>
    <w:rPr>
      <w:rFonts w:ascii="Arial" w:hAnsi="Arial" w:eastAsia="黑体" w:cs="Arial"/>
      <w:b/>
      <w:bCs/>
      <w:snapToGrid w:val="0"/>
      <w:kern w:val="44"/>
      <w:sz w:val="44"/>
      <w:szCs w:val="4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0"/>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basedOn w:val="70"/>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0"/>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4"/>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0"/>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0"/>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0"/>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basedOn w:val="70"/>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0"/>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0"/>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0"/>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6"/>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34"/>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qFormat/>
    <w:uiPriority w:val="99"/>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0"/>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basedOn w:val="70"/>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basedOn w:val="70"/>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1"/>
    <w:link w:val="333"/>
    <w:qFormat/>
    <w:uiPriority w:val="0"/>
    <w:pPr>
      <w:adjustRightInd/>
    </w:pPr>
    <w:rPr>
      <w:rFonts w:ascii="宋体" w:hAnsi="Courier New"/>
      <w:kern w:val="0"/>
      <w:sz w:val="20"/>
      <w:szCs w:val="20"/>
    </w:rPr>
  </w:style>
  <w:style w:type="character" w:customStyle="1" w:styleId="335">
    <w:name w:val="h3 Char"/>
    <w:qFormat/>
    <w:uiPriority w:val="0"/>
    <w:rPr>
      <w:rFonts w:eastAsia="宋体"/>
      <w:b/>
      <w:kern w:val="2"/>
      <w:sz w:val="32"/>
      <w:lang w:val="en-US" w:eastAsia="zh-CN" w:bidi="ar-SA"/>
    </w:rPr>
  </w:style>
  <w:style w:type="character" w:customStyle="1" w:styleId="336">
    <w:name w:val="dandyren_title1"/>
    <w:qFormat/>
    <w:uiPriority w:val="0"/>
    <w:rPr>
      <w:b/>
      <w:bCs/>
      <w:color w:val="FF6633"/>
      <w:sz w:val="18"/>
      <w:szCs w:val="18"/>
    </w:rPr>
  </w:style>
  <w:style w:type="character" w:customStyle="1" w:styleId="337">
    <w:name w:val="Char Char31"/>
    <w:qFormat/>
    <w:uiPriority w:val="6"/>
    <w:rPr>
      <w:rFonts w:ascii="Arial" w:hAnsi="Arial" w:eastAsia="黑体"/>
      <w:kern w:val="1"/>
      <w:sz w:val="24"/>
      <w:szCs w:val="24"/>
    </w:rPr>
  </w:style>
  <w:style w:type="character" w:customStyle="1" w:styleId="338">
    <w:name w:val="h Char1"/>
    <w:qFormat/>
    <w:uiPriority w:val="0"/>
    <w:rPr>
      <w:sz w:val="18"/>
      <w:szCs w:val="18"/>
    </w:rPr>
  </w:style>
  <w:style w:type="character" w:customStyle="1" w:styleId="339">
    <w:name w:val="solutionfonts"/>
    <w:qFormat/>
    <w:uiPriority w:val="0"/>
  </w:style>
  <w:style w:type="character" w:customStyle="1" w:styleId="340">
    <w:name w:val="首行缩进 Char"/>
    <w:qFormat/>
    <w:uiPriority w:val="0"/>
    <w:rPr>
      <w:rFonts w:ascii="宋体" w:eastAsia="宋体"/>
      <w:kern w:val="2"/>
      <w:sz w:val="24"/>
      <w:lang w:val="en-US" w:eastAsia="zh-CN" w:bidi="ar-SA"/>
    </w:rPr>
  </w:style>
  <w:style w:type="character" w:customStyle="1" w:styleId="341">
    <w:name w:val="Char Char52"/>
    <w:qFormat/>
    <w:uiPriority w:val="0"/>
    <w:rPr>
      <w:rFonts w:ascii="宋体" w:hAnsi="Courier New" w:eastAsia="宋体"/>
      <w:kern w:val="2"/>
      <w:sz w:val="21"/>
      <w:lang w:val="en-US" w:eastAsia="zh-CN"/>
    </w:rPr>
  </w:style>
  <w:style w:type="character" w:customStyle="1" w:styleId="342">
    <w:name w:val="font31"/>
    <w:basedOn w:val="70"/>
    <w:qFormat/>
    <w:uiPriority w:val="0"/>
    <w:rPr>
      <w:rFonts w:hint="eastAsia" w:ascii="仿宋" w:hAnsi="仿宋" w:eastAsia="仿宋" w:cs="仿宋"/>
      <w:color w:val="000000"/>
      <w:sz w:val="20"/>
      <w:szCs w:val="20"/>
      <w:u w:val="none"/>
    </w:rPr>
  </w:style>
  <w:style w:type="character" w:customStyle="1" w:styleId="343">
    <w:name w:val="正文说明 Char"/>
    <w:link w:val="344"/>
    <w:qFormat/>
    <w:uiPriority w:val="0"/>
    <w:rPr>
      <w:sz w:val="24"/>
      <w:szCs w:val="24"/>
    </w:rPr>
  </w:style>
  <w:style w:type="paragraph" w:customStyle="1" w:styleId="344">
    <w:name w:val="正文说明"/>
    <w:basedOn w:val="1"/>
    <w:link w:val="343"/>
    <w:qFormat/>
    <w:uiPriority w:val="0"/>
    <w:pPr>
      <w:adjustRightInd/>
      <w:spacing w:line="360" w:lineRule="auto"/>
    </w:pPr>
    <w:rPr>
      <w:kern w:val="0"/>
      <w:sz w:val="24"/>
    </w:rPr>
  </w:style>
  <w:style w:type="character" w:customStyle="1" w:styleId="345">
    <w:name w:val="脚注文本 Char1"/>
    <w:qFormat/>
    <w:uiPriority w:val="0"/>
    <w:rPr>
      <w:rFonts w:ascii="Times New Roman" w:hAnsi="Times New Roman" w:eastAsia="宋体" w:cs="Times New Roman"/>
      <w:sz w:val="18"/>
      <w:szCs w:val="18"/>
    </w:rPr>
  </w:style>
  <w:style w:type="character" w:customStyle="1" w:styleId="346">
    <w:name w:val="Char Char1211"/>
    <w:qFormat/>
    <w:uiPriority w:val="0"/>
    <w:rPr>
      <w:rFonts w:ascii="仿宋_GB2312" w:eastAsia="仿宋_GB2312"/>
      <w:b/>
      <w:bCs/>
      <w:kern w:val="2"/>
      <w:sz w:val="24"/>
      <w:szCs w:val="24"/>
      <w:lang w:val="zh-CN" w:eastAsia="zh-CN" w:bidi="ar-SA"/>
    </w:rPr>
  </w:style>
  <w:style w:type="character" w:customStyle="1" w:styleId="347">
    <w:name w:val="标题 Char"/>
    <w:qFormat/>
    <w:uiPriority w:val="0"/>
    <w:rPr>
      <w:rFonts w:eastAsia="宋体"/>
      <w:b/>
      <w:sz w:val="24"/>
      <w:lang w:val="en-GB" w:eastAsia="zh-CN" w:bidi="ar-SA"/>
    </w:rPr>
  </w:style>
  <w:style w:type="character" w:customStyle="1" w:styleId="348">
    <w:name w:val="Char Char35"/>
    <w:qFormat/>
    <w:uiPriority w:val="6"/>
    <w:rPr>
      <w:rFonts w:ascii="Arial" w:hAnsi="Arial" w:eastAsia="黑体"/>
      <w:b/>
      <w:kern w:val="1"/>
      <w:sz w:val="28"/>
      <w:szCs w:val="28"/>
      <w:lang w:val="zh-CN"/>
    </w:rPr>
  </w:style>
  <w:style w:type="character" w:customStyle="1" w:styleId="349">
    <w:name w:val="纯文本 Char Char Char"/>
    <w:qFormat/>
    <w:uiPriority w:val="0"/>
    <w:rPr>
      <w:rFonts w:ascii="宋体" w:hAnsi="Courier New" w:eastAsia="宋体"/>
      <w:kern w:val="2"/>
      <w:sz w:val="21"/>
      <w:lang w:val="en-US" w:eastAsia="zh-CN" w:bidi="ar-SA"/>
    </w:rPr>
  </w:style>
  <w:style w:type="character" w:customStyle="1" w:styleId="350">
    <w:name w:val="Table Text Char"/>
    <w:link w:val="351"/>
    <w:qFormat/>
    <w:uiPriority w:val="0"/>
    <w:rPr>
      <w:sz w:val="24"/>
      <w:szCs w:val="24"/>
    </w:rPr>
  </w:style>
  <w:style w:type="paragraph" w:customStyle="1" w:styleId="351">
    <w:name w:val="Table Text"/>
    <w:basedOn w:val="1"/>
    <w:link w:val="350"/>
    <w:qFormat/>
    <w:uiPriority w:val="0"/>
    <w:pPr>
      <w:widowControl/>
      <w:spacing w:before="60" w:after="60"/>
      <w:jc w:val="left"/>
    </w:pPr>
    <w:rPr>
      <w:kern w:val="0"/>
      <w:sz w:val="24"/>
    </w:rPr>
  </w:style>
  <w:style w:type="character" w:customStyle="1" w:styleId="352">
    <w:name w:val="正文1 Char1"/>
    <w:qFormat/>
    <w:uiPriority w:val="0"/>
    <w:rPr>
      <w:rFonts w:ascii="仿宋_GB2312" w:hAnsi="Courier New" w:eastAsia="仿宋_GB2312"/>
      <w:kern w:val="28"/>
      <w:sz w:val="24"/>
      <w:szCs w:val="24"/>
      <w:lang w:val="en-US" w:eastAsia="zh-CN"/>
    </w:rPr>
  </w:style>
  <w:style w:type="character" w:customStyle="1" w:styleId="353">
    <w:name w:val="页脚 Char1"/>
    <w:qFormat/>
    <w:uiPriority w:val="0"/>
    <w:rPr>
      <w:rFonts w:eastAsia="宋体"/>
      <w:kern w:val="2"/>
      <w:sz w:val="18"/>
      <w:szCs w:val="18"/>
      <w:lang w:val="en-US" w:eastAsia="zh-CN" w:bidi="ar-SA"/>
    </w:rPr>
  </w:style>
  <w:style w:type="character" w:customStyle="1" w:styleId="354">
    <w:name w:val="Bold"/>
    <w:qFormat/>
    <w:uiPriority w:val="0"/>
    <w:rPr>
      <w:rFonts w:ascii="Arial" w:hAnsi="Arial" w:eastAsia="黑体" w:cs="Times New Roman"/>
      <w:b/>
      <w:kern w:val="2"/>
      <w:sz w:val="32"/>
      <w:szCs w:val="32"/>
      <w:lang w:val="en-US" w:eastAsia="zh-CN" w:bidi="ar-SA"/>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basedOn w:val="70"/>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115"/>
    <w:qFormat/>
    <w:uiPriority w:val="0"/>
    <w:pPr>
      <w:spacing w:before="312" w:beforeLines="100"/>
      <w:jc w:val="left"/>
    </w:p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485"/>
    <w:qFormat/>
    <w:uiPriority w:val="99"/>
    <w:rPr>
      <w:szCs w:val="22"/>
    </w:rPr>
  </w:style>
  <w:style w:type="character" w:customStyle="1" w:styleId="485">
    <w:name w:val="无间隔 字符"/>
    <w:link w:val="484"/>
    <w:qFormat/>
    <w:uiPriority w:val="99"/>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8"/>
    <w:next w:val="25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58"/>
    <w:next w:val="25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11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8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basedOn w:val="70"/>
    <w:qFormat/>
    <w:uiPriority w:val="0"/>
    <w:rPr>
      <w:rFonts w:hint="eastAsia" w:ascii="宋体" w:hAnsi="宋体" w:eastAsia="宋体" w:cs="宋体"/>
      <w:color w:val="000000"/>
      <w:sz w:val="22"/>
      <w:szCs w:val="22"/>
      <w:u w:val="none"/>
    </w:rPr>
  </w:style>
  <w:style w:type="character" w:customStyle="1" w:styleId="963">
    <w:name w:val="font91"/>
    <w:basedOn w:val="70"/>
    <w:qFormat/>
    <w:uiPriority w:val="0"/>
    <w:rPr>
      <w:rFonts w:hint="eastAsia" w:ascii="仿宋" w:hAnsi="仿宋" w:eastAsia="仿宋" w:cs="仿宋"/>
      <w:color w:val="000000"/>
      <w:sz w:val="22"/>
      <w:szCs w:val="22"/>
      <w:u w:val="none"/>
    </w:rPr>
  </w:style>
  <w:style w:type="paragraph" w:customStyle="1" w:styleId="964">
    <w:name w:val="修订4"/>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character" w:customStyle="1" w:styleId="966">
    <w:name w:val="无"/>
    <w:qFormat/>
    <w:uiPriority w:val="0"/>
  </w:style>
  <w:style w:type="paragraph" w:customStyle="1" w:styleId="967">
    <w:name w:val="_Style 371"/>
    <w:basedOn w:val="1"/>
    <w:qFormat/>
    <w:uiPriority w:val="0"/>
    <w:pPr>
      <w:spacing w:line="360" w:lineRule="auto"/>
      <w:ind w:firstLine="420" w:firstLineChars="200"/>
    </w:pPr>
    <w:rPr>
      <w:szCs w:val="20"/>
    </w:rPr>
  </w:style>
  <w:style w:type="paragraph" w:customStyle="1" w:styleId="968">
    <w:name w:val="[Normal]"/>
    <w:qFormat/>
    <w:uiPriority w:val="0"/>
    <w:rPr>
      <w:rFonts w:ascii="宋体" w:hAnsi="宋体" w:eastAsia="宋体" w:cs="Times New Roman"/>
      <w:sz w:val="24"/>
      <w:szCs w:val="22"/>
      <w:lang w:val="zh-CN" w:eastAsia="zh-CN" w:bidi="ar-SA"/>
    </w:rPr>
  </w:style>
  <w:style w:type="paragraph" w:customStyle="1" w:styleId="969">
    <w:name w:val="修订5"/>
    <w:semiHidden/>
    <w:qFormat/>
    <w:uiPriority w:val="99"/>
    <w:rPr>
      <w:rFonts w:ascii="Times New Roman" w:hAnsi="Times New Roman" w:eastAsia="宋体" w:cs="Times New Roman"/>
      <w:kern w:val="2"/>
      <w:sz w:val="21"/>
      <w:szCs w:val="24"/>
      <w:lang w:val="en-US" w:eastAsia="zh-CN" w:bidi="ar-SA"/>
    </w:rPr>
  </w:style>
  <w:style w:type="paragraph" w:customStyle="1" w:styleId="97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971">
    <w:name w:val="正文文本首行缩进 21"/>
    <w:basedOn w:val="25"/>
    <w:qFormat/>
    <w:uiPriority w:val="99"/>
    <w:pPr>
      <w:spacing w:line="200" w:lineRule="atLeast"/>
      <w:ind w:firstLine="420"/>
    </w:pPr>
    <w:rPr>
      <w:rFonts w:hAnsi="Courier New"/>
      <w:spacing w:val="-4"/>
      <w:sz w:val="18"/>
    </w:rPr>
  </w:style>
  <w:style w:type="paragraph" w:customStyle="1" w:styleId="972">
    <w:name w:val="UserStyle_0"/>
    <w:basedOn w:val="1"/>
    <w:qFormat/>
    <w:uiPriority w:val="0"/>
    <w:pPr>
      <w:spacing w:before="156" w:line="360" w:lineRule="auto"/>
      <w:ind w:firstLine="510" w:firstLineChars="200"/>
      <w:textAlignment w:val="baseline"/>
    </w:pPr>
    <w:rPr>
      <w:rFonts w:ascii="Calibri" w:hAnsi="Calibri"/>
      <w:sz w:val="24"/>
    </w:rPr>
  </w:style>
  <w:style w:type="character" w:customStyle="1" w:styleId="973">
    <w:name w:val="font101"/>
    <w:basedOn w:val="70"/>
    <w:qFormat/>
    <w:uiPriority w:val="0"/>
    <w:rPr>
      <w:rFonts w:hint="default" w:ascii="Times New Roman" w:hAnsi="Times New Roman" w:cs="Times New Roman"/>
      <w:color w:val="000000"/>
      <w:sz w:val="18"/>
      <w:szCs w:val="18"/>
      <w:u w:val="none"/>
    </w:rPr>
  </w:style>
  <w:style w:type="character" w:customStyle="1" w:styleId="974">
    <w:name w:val="font112"/>
    <w:basedOn w:val="70"/>
    <w:qFormat/>
    <w:uiPriority w:val="0"/>
    <w:rPr>
      <w:rFonts w:hint="default" w:ascii="Times New Roman" w:hAnsi="Times New Roman" w:cs="Times New Roman"/>
      <w:color w:val="000000"/>
      <w:sz w:val="18"/>
      <w:szCs w:val="18"/>
      <w:u w:val="none"/>
    </w:rPr>
  </w:style>
  <w:style w:type="character" w:customStyle="1" w:styleId="975">
    <w:name w:val="font131"/>
    <w:basedOn w:val="70"/>
    <w:qFormat/>
    <w:uiPriority w:val="0"/>
    <w:rPr>
      <w:rFonts w:hint="default" w:ascii="Times New Roman" w:hAnsi="Times New Roman" w:cs="Times New Roman"/>
      <w:color w:val="000000"/>
      <w:sz w:val="18"/>
      <w:szCs w:val="18"/>
      <w:u w:val="none"/>
    </w:rPr>
  </w:style>
  <w:style w:type="character" w:customStyle="1" w:styleId="976">
    <w:name w:val="font141"/>
    <w:basedOn w:val="70"/>
    <w:qFormat/>
    <w:uiPriority w:val="0"/>
    <w:rPr>
      <w:rFonts w:hint="default" w:ascii="Times New Roman" w:hAnsi="Times New Roman" w:cs="Times New Roman"/>
      <w:color w:val="000000"/>
      <w:sz w:val="18"/>
      <w:szCs w:val="18"/>
      <w:u w:val="none"/>
    </w:rPr>
  </w:style>
  <w:style w:type="character" w:customStyle="1" w:styleId="977">
    <w:name w:val="font151"/>
    <w:basedOn w:val="70"/>
    <w:qFormat/>
    <w:uiPriority w:val="0"/>
    <w:rPr>
      <w:rFonts w:hint="eastAsia" w:ascii="宋体" w:hAnsi="宋体" w:eastAsia="宋体" w:cs="宋体"/>
      <w:color w:val="000000"/>
      <w:sz w:val="18"/>
      <w:szCs w:val="18"/>
      <w:u w:val="none"/>
    </w:rPr>
  </w:style>
  <w:style w:type="paragraph" w:customStyle="1" w:styleId="978">
    <w:name w:val="招标正文"/>
    <w:basedOn w:val="1"/>
    <w:qFormat/>
    <w:uiPriority w:val="6"/>
    <w:pPr>
      <w:widowControl w:val="0"/>
      <w:overflowPunct w:val="0"/>
      <w:adjustRightInd w:val="0"/>
      <w:snapToGrid w:val="0"/>
      <w:spacing w:after="0" w:line="360" w:lineRule="auto"/>
      <w:ind w:firstLine="560" w:firstLineChars="200"/>
      <w:jc w:val="both"/>
    </w:pPr>
    <w:rPr>
      <w:rFonts w:ascii="Times New Roman" w:hAnsi="Times New Roman" w:eastAsia="宋体" w:cs="黑体"/>
      <w:color w:val="000000"/>
      <w:kern w:val="2"/>
      <w:szCs w:val="32"/>
    </w:rPr>
  </w:style>
  <w:style w:type="paragraph" w:customStyle="1" w:styleId="979">
    <w:name w:val="PlainText"/>
    <w:basedOn w:val="1"/>
    <w:qFormat/>
    <w:uiPriority w:val="0"/>
    <w:rPr>
      <w:rFonts w:ascii="Century Gothic" w:hAnsi="楷体_GB2312" w:eastAsia="Century Gothic"/>
      <w:szCs w:val="21"/>
    </w:rPr>
  </w:style>
  <w:style w:type="character" w:customStyle="1" w:styleId="980">
    <w:name w:val="NormalCharacter"/>
    <w:link w:val="981"/>
    <w:semiHidden/>
    <w:qFormat/>
    <w:uiPriority w:val="0"/>
    <w:rPr>
      <w:rFonts w:ascii="Calibri" w:hAnsi="Calibri"/>
      <w:sz w:val="20"/>
      <w:szCs w:val="22"/>
    </w:rPr>
  </w:style>
  <w:style w:type="paragraph" w:customStyle="1" w:styleId="981">
    <w:name w:val="UserStyle_26"/>
    <w:basedOn w:val="1"/>
    <w:link w:val="980"/>
    <w:qFormat/>
    <w:uiPriority w:val="0"/>
    <w:pPr>
      <w:textAlignment w:val="baseline"/>
    </w:pPr>
    <w:rPr>
      <w:rFonts w:ascii="Calibri" w:hAnsi="Calibri"/>
      <w:sz w:val="20"/>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19349</Words>
  <Characters>20881</Characters>
  <Lines>246</Lines>
  <Paragraphs>69</Paragraphs>
  <TotalTime>0</TotalTime>
  <ScaleCrop>false</ScaleCrop>
  <LinksUpToDate>false</LinksUpToDate>
  <CharactersWithSpaces>22031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Maybe@</cp:lastModifiedBy>
  <cp:lastPrinted>2023-07-02T10:59:00Z</cp:lastPrinted>
  <dcterms:modified xsi:type="dcterms:W3CDTF">2025-07-10T07:31:27Z</dcterms:modified>
  <dc:title>杭州市市民卡扩大发卡工程</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A07563408406484E89A9007EC1036793_13</vt:lpwstr>
  </property>
  <property fmtid="{D5CDD505-2E9C-101B-9397-08002B2CF9AE}" pid="5" name="KSOTemplateDocerSaveRecord">
    <vt:lpwstr>eyJoZGlkIjoiOTgzMGJhYTVmNTk5Yjc4NmQxOTgzODZkYjIyOGRkYjkiLCJ1c2VySWQiOiIxMDI0OTIwNzMwIn0=</vt:lpwstr>
  </property>
</Properties>
</file>