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B8672">
      <w:pPr>
        <w:jc w:val="center"/>
        <w:rPr>
          <w:rFonts w:hint="eastAsia" w:ascii="仿宋" w:hAnsi="仿宋" w:eastAsia="仿宋" w:cs="仿宋"/>
          <w:b/>
          <w:bCs/>
          <w:i w:val="0"/>
          <w:iCs w:val="0"/>
          <w:caps w:val="0"/>
          <w:color w:val="auto"/>
          <w:spacing w:val="0"/>
          <w:sz w:val="32"/>
          <w:szCs w:val="32"/>
          <w:highlight w:val="none"/>
          <w:lang w:val="en-US" w:eastAsia="zh-CN"/>
        </w:rPr>
      </w:pPr>
      <w:r>
        <w:rPr>
          <w:rFonts w:hint="eastAsia" w:ascii="仿宋" w:hAnsi="仿宋" w:eastAsia="仿宋" w:cs="仿宋"/>
          <w:b/>
          <w:bCs/>
          <w:snapToGrid w:val="0"/>
          <w:color w:val="auto"/>
          <w:kern w:val="0"/>
          <w:sz w:val="32"/>
          <w:szCs w:val="32"/>
          <w:highlight w:val="none"/>
          <w:lang w:val="en-US" w:eastAsia="zh-CN"/>
        </w:rPr>
        <w:t>诸暨市城市生活污水治理扩面提效项目—大唐街道开元路等6条道路雨污分流改造提升工程地下管线排查服务采购项目</w:t>
      </w:r>
    </w:p>
    <w:p w14:paraId="7E270642">
      <w:pPr>
        <w:autoSpaceDE/>
        <w:autoSpaceDN/>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项目编号</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浙江佰顺2025-07-06</w:t>
      </w:r>
      <w:r>
        <w:rPr>
          <w:rFonts w:hint="eastAsia" w:ascii="仿宋" w:hAnsi="仿宋" w:eastAsia="仿宋" w:cs="仿宋"/>
          <w:b/>
          <w:bCs/>
          <w:color w:val="auto"/>
          <w:sz w:val="32"/>
          <w:szCs w:val="32"/>
          <w:highlight w:val="none"/>
        </w:rPr>
        <w:t>）</w:t>
      </w:r>
    </w:p>
    <w:p w14:paraId="2179410C">
      <w:pPr>
        <w:autoSpaceDE/>
        <w:autoSpaceDN/>
        <w:spacing w:line="360" w:lineRule="auto"/>
        <w:jc w:val="center"/>
        <w:rPr>
          <w:rFonts w:hint="eastAsia" w:ascii="仿宋" w:hAnsi="仿宋" w:eastAsia="仿宋" w:cs="仿宋"/>
          <w:b/>
          <w:bCs/>
          <w:color w:val="auto"/>
          <w:sz w:val="72"/>
          <w:szCs w:val="72"/>
          <w:highlight w:val="none"/>
        </w:rPr>
      </w:pPr>
    </w:p>
    <w:p w14:paraId="29972AC0">
      <w:pPr>
        <w:autoSpaceDE/>
        <w:autoSpaceDN/>
        <w:spacing w:line="360" w:lineRule="auto"/>
        <w:jc w:val="center"/>
        <w:rPr>
          <w:rFonts w:hint="eastAsia" w:ascii="仿宋" w:hAnsi="仿宋" w:eastAsia="仿宋" w:cs="仿宋"/>
          <w:b/>
          <w:bCs/>
          <w:color w:val="auto"/>
          <w:sz w:val="28"/>
          <w:szCs w:val="28"/>
          <w:highlight w:val="none"/>
        </w:rPr>
      </w:pPr>
    </w:p>
    <w:p w14:paraId="64E455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lang w:val="en-US" w:eastAsia="zh-CN"/>
        </w:rPr>
        <w:t>采</w:t>
      </w:r>
    </w:p>
    <w:p w14:paraId="1449B9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72"/>
          <w:szCs w:val="72"/>
          <w:highlight w:val="none"/>
          <w:lang w:val="en-US" w:eastAsia="zh-CN"/>
        </w:rPr>
      </w:pPr>
    </w:p>
    <w:p w14:paraId="295D7B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lang w:val="en-US" w:eastAsia="zh-CN"/>
        </w:rPr>
        <w:t>购</w:t>
      </w:r>
    </w:p>
    <w:p w14:paraId="0E4FFC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72"/>
          <w:szCs w:val="72"/>
          <w:highlight w:val="none"/>
        </w:rPr>
      </w:pPr>
    </w:p>
    <w:p w14:paraId="34CE30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7E4186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72"/>
          <w:szCs w:val="72"/>
          <w:highlight w:val="none"/>
        </w:rPr>
      </w:pPr>
    </w:p>
    <w:p w14:paraId="310409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72"/>
          <w:szCs w:val="72"/>
          <w:highlight w:val="none"/>
        </w:rPr>
        <w:t>件</w:t>
      </w:r>
      <w:r>
        <w:rPr>
          <w:rFonts w:hint="eastAsia" w:ascii="仿宋" w:hAnsi="仿宋" w:eastAsia="仿宋" w:cs="仿宋"/>
          <w:b/>
          <w:bCs/>
          <w:color w:val="auto"/>
          <w:spacing w:val="70"/>
          <w:w w:val="95"/>
          <w:sz w:val="44"/>
          <w:szCs w:val="44"/>
          <w:highlight w:val="none"/>
          <w:lang w:val="en-US" w:eastAsia="zh-CN"/>
        </w:rPr>
        <w:t xml:space="preserve"> </w:t>
      </w:r>
    </w:p>
    <w:p w14:paraId="6DABB7B1">
      <w:pPr>
        <w:pStyle w:val="11"/>
        <w:keepNext w:val="0"/>
        <w:keepLines w:val="0"/>
        <w:pageBreakBefore w:val="0"/>
        <w:widowControl w:val="0"/>
        <w:kinsoku/>
        <w:wordWrap/>
        <w:overflowPunct/>
        <w:topLinePunct w:val="0"/>
        <w:autoSpaceDE/>
        <w:autoSpaceDN/>
        <w:bidi w:val="0"/>
        <w:adjustRightInd w:val="0"/>
        <w:snapToGrid w:val="0"/>
        <w:spacing w:line="360" w:lineRule="auto"/>
        <w:ind w:firstLine="560" w:firstLineChars="100"/>
        <w:jc w:val="left"/>
        <w:textAlignment w:val="auto"/>
        <w:rPr>
          <w:rFonts w:hint="eastAsia" w:ascii="仿宋" w:hAnsi="仿宋" w:eastAsia="仿宋" w:cs="仿宋"/>
          <w:b/>
          <w:bCs/>
          <w:color w:val="auto"/>
          <w:spacing w:val="70"/>
          <w:w w:val="95"/>
          <w:sz w:val="44"/>
          <w:szCs w:val="44"/>
          <w:highlight w:val="none"/>
          <w:lang w:val="en-US" w:eastAsia="zh-CN"/>
        </w:rPr>
      </w:pPr>
      <w:r>
        <w:rPr>
          <w:rFonts w:hint="eastAsia" w:ascii="仿宋" w:hAnsi="仿宋" w:eastAsia="仿宋" w:cs="仿宋"/>
          <w:b/>
          <w:bCs/>
          <w:color w:val="auto"/>
          <w:spacing w:val="70"/>
          <w:w w:val="95"/>
          <w:sz w:val="44"/>
          <w:szCs w:val="44"/>
          <w:highlight w:val="none"/>
          <w:lang w:val="en-US" w:eastAsia="zh-CN"/>
        </w:rPr>
        <w:t xml:space="preserve"> </w:t>
      </w:r>
    </w:p>
    <w:p w14:paraId="7441797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w w:val="95"/>
          <w:sz w:val="32"/>
          <w:szCs w:val="32"/>
          <w:highlight w:val="none"/>
          <w:lang w:val="en-US" w:eastAsia="zh-CN"/>
        </w:rPr>
      </w:pPr>
    </w:p>
    <w:p w14:paraId="7D54E84D">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w w:val="95"/>
          <w:sz w:val="32"/>
          <w:szCs w:val="32"/>
          <w:highlight w:val="none"/>
          <w:lang w:val="en-US" w:eastAsia="zh-CN"/>
        </w:rPr>
      </w:pPr>
      <w:r>
        <w:rPr>
          <w:rFonts w:hint="eastAsia" w:ascii="仿宋" w:hAnsi="仿宋" w:eastAsia="仿宋" w:cs="仿宋"/>
          <w:b/>
          <w:bCs/>
          <w:color w:val="auto"/>
          <w:w w:val="95"/>
          <w:sz w:val="32"/>
          <w:szCs w:val="32"/>
          <w:highlight w:val="none"/>
          <w:lang w:val="en-US" w:eastAsia="zh-CN"/>
        </w:rPr>
        <w:t>采购单位：诸暨市暨阳排水管理有限公司</w:t>
      </w:r>
    </w:p>
    <w:p w14:paraId="2A9C02AA">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w w:val="95"/>
          <w:sz w:val="44"/>
          <w:szCs w:val="44"/>
          <w:highlight w:val="none"/>
          <w:lang w:val="en-US" w:eastAsia="zh-CN"/>
        </w:rPr>
      </w:pPr>
      <w:r>
        <w:rPr>
          <w:rFonts w:hint="eastAsia" w:ascii="仿宋" w:hAnsi="仿宋" w:eastAsia="仿宋" w:cs="仿宋"/>
          <w:b/>
          <w:bCs/>
          <w:color w:val="auto"/>
          <w:w w:val="95"/>
          <w:sz w:val="32"/>
          <w:szCs w:val="32"/>
          <w:highlight w:val="none"/>
          <w:lang w:val="en-US" w:eastAsia="zh-CN"/>
        </w:rPr>
        <w:t>采购代理机构：浙江佰顺项目管理有限公司</w:t>
      </w:r>
    </w:p>
    <w:p w14:paraId="44A1B85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w w:val="95"/>
          <w:sz w:val="32"/>
          <w:szCs w:val="32"/>
          <w:highlight w:val="none"/>
          <w:lang w:val="en-US" w:eastAsia="zh-CN"/>
        </w:rPr>
      </w:pPr>
      <w:r>
        <w:rPr>
          <w:rFonts w:hint="eastAsia" w:ascii="仿宋" w:hAnsi="仿宋" w:eastAsia="仿宋" w:cs="仿宋"/>
          <w:b/>
          <w:bCs/>
          <w:color w:val="auto"/>
          <w:w w:val="95"/>
          <w:sz w:val="32"/>
          <w:szCs w:val="32"/>
          <w:highlight w:val="none"/>
          <w:lang w:val="en-US" w:eastAsia="zh-CN"/>
        </w:rPr>
        <w:t>二〇二五年七月</w:t>
      </w:r>
    </w:p>
    <w:p w14:paraId="231FBBB5">
      <w:pPr>
        <w:pStyle w:val="22"/>
        <w:spacing w:line="360" w:lineRule="auto"/>
        <w:ind w:left="0" w:leftChars="0" w:firstLine="0" w:firstLineChars="0"/>
        <w:jc w:val="center"/>
        <w:rPr>
          <w:rFonts w:hint="eastAsia" w:ascii="仿宋" w:hAnsi="仿宋" w:eastAsia="仿宋" w:cs="仿宋"/>
          <w:b/>
          <w:color w:val="auto"/>
          <w:sz w:val="32"/>
          <w:szCs w:val="32"/>
          <w:highlight w:val="none"/>
        </w:rPr>
        <w:sectPr>
          <w:headerReference r:id="rId4" w:type="first"/>
          <w:footerReference r:id="rId5" w:type="first"/>
          <w:headerReference r:id="rId3" w:type="default"/>
          <w:type w:val="continuous"/>
          <w:pgSz w:w="11906" w:h="16838"/>
          <w:pgMar w:top="1417" w:right="1417" w:bottom="1417" w:left="1417" w:header="567" w:footer="850" w:gutter="0"/>
          <w:pgBorders>
            <w:top w:val="none" w:sz="0" w:space="0"/>
            <w:left w:val="none" w:sz="0" w:space="0"/>
            <w:bottom w:val="none" w:sz="0" w:space="0"/>
            <w:right w:val="none" w:sz="0" w:space="0"/>
          </w:pgBorders>
          <w:pgNumType w:fmt="decimal"/>
          <w:cols w:space="0" w:num="1"/>
          <w:titlePg/>
          <w:rtlGutter w:val="0"/>
          <w:docGrid w:type="lines" w:linePitch="318" w:charSpace="0"/>
        </w:sectPr>
      </w:pPr>
    </w:p>
    <w:p w14:paraId="3E35BD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val="0"/>
          <w:color w:val="auto"/>
          <w:sz w:val="36"/>
          <w:szCs w:val="36"/>
          <w:highlight w:val="none"/>
        </w:rPr>
      </w:pPr>
    </w:p>
    <w:p w14:paraId="4FE9EF94">
      <w:pPr>
        <w:spacing w:line="720" w:lineRule="auto"/>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目</w:t>
      </w:r>
      <w:r>
        <w:rPr>
          <w:rFonts w:hint="eastAsia" w:ascii="仿宋" w:hAnsi="仿宋" w:eastAsia="仿宋" w:cs="仿宋"/>
          <w:b/>
          <w:bCs w:val="0"/>
          <w:color w:val="auto"/>
          <w:sz w:val="44"/>
          <w:szCs w:val="44"/>
          <w:highlight w:val="none"/>
          <w:lang w:val="en-US" w:eastAsia="zh-CN"/>
        </w:rPr>
        <w:t xml:space="preserve">  </w:t>
      </w:r>
      <w:r>
        <w:rPr>
          <w:rFonts w:hint="eastAsia" w:ascii="仿宋" w:hAnsi="仿宋" w:eastAsia="仿宋" w:cs="仿宋"/>
          <w:b/>
          <w:bCs w:val="0"/>
          <w:color w:val="auto"/>
          <w:sz w:val="44"/>
          <w:szCs w:val="44"/>
          <w:highlight w:val="none"/>
        </w:rPr>
        <w:t>录</w:t>
      </w:r>
    </w:p>
    <w:p w14:paraId="71619F3C">
      <w:pPr>
        <w:keepNext w:val="0"/>
        <w:keepLines w:val="0"/>
        <w:pageBreakBefore w:val="0"/>
        <w:widowControl w:val="0"/>
        <w:kinsoku/>
        <w:wordWrap/>
        <w:overflowPunct/>
        <w:topLinePunct w:val="0"/>
        <w:autoSpaceDE w:val="0"/>
        <w:autoSpaceDN w:val="0"/>
        <w:bidi w:val="0"/>
        <w:adjustRightInd w:val="0"/>
        <w:snapToGrid w:val="0"/>
        <w:spacing w:line="360" w:lineRule="auto"/>
        <w:ind w:firstLine="2530" w:firstLineChars="7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第一章    招标公告</w:t>
      </w:r>
    </w:p>
    <w:p w14:paraId="2C66FDB8">
      <w:pPr>
        <w:keepNext w:val="0"/>
        <w:keepLines w:val="0"/>
        <w:pageBreakBefore w:val="0"/>
        <w:widowControl w:val="0"/>
        <w:kinsoku/>
        <w:wordWrap/>
        <w:overflowPunct/>
        <w:topLinePunct w:val="0"/>
        <w:autoSpaceDE w:val="0"/>
        <w:autoSpaceDN w:val="0"/>
        <w:bidi w:val="0"/>
        <w:adjustRightInd w:val="0"/>
        <w:snapToGrid w:val="0"/>
        <w:spacing w:line="360" w:lineRule="auto"/>
        <w:ind w:firstLine="2530" w:firstLineChars="7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第二章    投标须知</w:t>
      </w:r>
    </w:p>
    <w:p w14:paraId="59FBB0FA">
      <w:pPr>
        <w:keepNext w:val="0"/>
        <w:keepLines w:val="0"/>
        <w:pageBreakBefore w:val="0"/>
        <w:widowControl w:val="0"/>
        <w:kinsoku/>
        <w:wordWrap/>
        <w:overflowPunct/>
        <w:topLinePunct w:val="0"/>
        <w:autoSpaceDE w:val="0"/>
        <w:autoSpaceDN w:val="0"/>
        <w:bidi w:val="0"/>
        <w:adjustRightInd w:val="0"/>
        <w:snapToGrid w:val="0"/>
        <w:spacing w:line="360" w:lineRule="auto"/>
        <w:ind w:firstLine="2530" w:firstLineChars="7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第三章    </w:t>
      </w:r>
      <w:r>
        <w:rPr>
          <w:rFonts w:hint="eastAsia" w:ascii="仿宋" w:hAnsi="仿宋" w:eastAsia="仿宋" w:cs="仿宋"/>
          <w:b/>
          <w:color w:val="auto"/>
          <w:kern w:val="44"/>
          <w:sz w:val="36"/>
          <w:szCs w:val="36"/>
          <w:highlight w:val="none"/>
          <w:lang w:val="en-US" w:eastAsia="zh-CN" w:bidi="ar-SA"/>
        </w:rPr>
        <w:t>评分办法</w:t>
      </w:r>
    </w:p>
    <w:p w14:paraId="09BDBBF0">
      <w:pPr>
        <w:keepNext w:val="0"/>
        <w:keepLines w:val="0"/>
        <w:pageBreakBefore w:val="0"/>
        <w:widowControl w:val="0"/>
        <w:kinsoku/>
        <w:wordWrap/>
        <w:overflowPunct/>
        <w:topLinePunct w:val="0"/>
        <w:autoSpaceDE w:val="0"/>
        <w:autoSpaceDN w:val="0"/>
        <w:bidi w:val="0"/>
        <w:adjustRightInd w:val="0"/>
        <w:snapToGrid w:val="0"/>
        <w:spacing w:line="360" w:lineRule="auto"/>
        <w:ind w:firstLine="2530" w:firstLineChars="7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w:t>
      </w:r>
      <w:r>
        <w:rPr>
          <w:rFonts w:hint="eastAsia" w:ascii="仿宋" w:hAnsi="仿宋" w:eastAsia="仿宋" w:cs="仿宋"/>
          <w:b/>
          <w:color w:val="auto"/>
          <w:sz w:val="36"/>
          <w:szCs w:val="36"/>
          <w:highlight w:val="none"/>
          <w:lang w:val="en-US" w:eastAsia="zh-CN"/>
        </w:rPr>
        <w:t xml:space="preserve">    采购</w:t>
      </w:r>
      <w:r>
        <w:rPr>
          <w:rFonts w:hint="eastAsia" w:ascii="仿宋" w:hAnsi="仿宋" w:eastAsia="仿宋" w:cs="仿宋"/>
          <w:b/>
          <w:color w:val="auto"/>
          <w:sz w:val="36"/>
          <w:szCs w:val="36"/>
          <w:highlight w:val="none"/>
        </w:rPr>
        <w:t>需求</w:t>
      </w:r>
    </w:p>
    <w:p w14:paraId="6DF90D69">
      <w:pPr>
        <w:keepNext w:val="0"/>
        <w:keepLines w:val="0"/>
        <w:pageBreakBefore w:val="0"/>
        <w:widowControl w:val="0"/>
        <w:kinsoku/>
        <w:wordWrap/>
        <w:overflowPunct/>
        <w:topLinePunct w:val="0"/>
        <w:autoSpaceDE w:val="0"/>
        <w:autoSpaceDN w:val="0"/>
        <w:bidi w:val="0"/>
        <w:adjustRightInd w:val="0"/>
        <w:snapToGrid w:val="0"/>
        <w:spacing w:line="360" w:lineRule="auto"/>
        <w:ind w:firstLine="2530" w:firstLineChars="7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五</w:t>
      </w:r>
      <w:r>
        <w:rPr>
          <w:rFonts w:hint="eastAsia" w:ascii="仿宋" w:hAnsi="仿宋" w:eastAsia="仿宋" w:cs="仿宋"/>
          <w:b/>
          <w:color w:val="auto"/>
          <w:sz w:val="36"/>
          <w:szCs w:val="36"/>
          <w:highlight w:val="none"/>
        </w:rPr>
        <w:t>章    采购合同</w:t>
      </w:r>
    </w:p>
    <w:p w14:paraId="6AE043B8">
      <w:pPr>
        <w:keepNext w:val="0"/>
        <w:keepLines w:val="0"/>
        <w:pageBreakBefore w:val="0"/>
        <w:widowControl w:val="0"/>
        <w:kinsoku/>
        <w:wordWrap/>
        <w:overflowPunct/>
        <w:topLinePunct w:val="0"/>
        <w:autoSpaceDE w:val="0"/>
        <w:autoSpaceDN w:val="0"/>
        <w:bidi w:val="0"/>
        <w:adjustRightInd w:val="0"/>
        <w:snapToGrid w:val="0"/>
        <w:spacing w:line="360" w:lineRule="auto"/>
        <w:ind w:firstLine="2530" w:firstLineChars="7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六</w:t>
      </w:r>
      <w:r>
        <w:rPr>
          <w:rFonts w:hint="eastAsia" w:ascii="仿宋" w:hAnsi="仿宋" w:eastAsia="仿宋" w:cs="仿宋"/>
          <w:b/>
          <w:color w:val="auto"/>
          <w:sz w:val="36"/>
          <w:szCs w:val="36"/>
          <w:highlight w:val="none"/>
        </w:rPr>
        <w:t>章    应提交的有关格式范例</w:t>
      </w:r>
    </w:p>
    <w:p w14:paraId="3C6BA6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color w:val="auto"/>
          <w:sz w:val="30"/>
          <w:szCs w:val="30"/>
          <w:highlight w:val="none"/>
        </w:rPr>
      </w:pPr>
    </w:p>
    <w:p w14:paraId="3C7C12B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color w:val="auto"/>
          <w:sz w:val="30"/>
          <w:szCs w:val="30"/>
          <w:highlight w:val="none"/>
        </w:rPr>
      </w:pPr>
    </w:p>
    <w:p w14:paraId="4008870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color w:val="auto"/>
          <w:sz w:val="30"/>
          <w:szCs w:val="30"/>
          <w:highlight w:val="none"/>
        </w:rPr>
      </w:pPr>
    </w:p>
    <w:p w14:paraId="1C025472">
      <w:pPr>
        <w:snapToGrid w:val="0"/>
        <w:spacing w:line="360" w:lineRule="auto"/>
        <w:ind w:firstLine="1205" w:firstLineChars="500"/>
        <w:jc w:val="left"/>
        <w:rPr>
          <w:rFonts w:hint="eastAsia" w:ascii="仿宋" w:hAnsi="仿宋" w:eastAsia="仿宋" w:cs="仿宋"/>
          <w:b/>
          <w:color w:val="auto"/>
          <w:sz w:val="24"/>
          <w:szCs w:val="24"/>
          <w:highlight w:val="none"/>
        </w:rPr>
      </w:pPr>
    </w:p>
    <w:p w14:paraId="47802540">
      <w:pPr>
        <w:spacing w:line="360" w:lineRule="auto"/>
        <w:rPr>
          <w:rStyle w:val="29"/>
          <w:rFonts w:hint="eastAsia" w:ascii="仿宋" w:hAnsi="仿宋" w:eastAsia="仿宋" w:cs="仿宋"/>
          <w:color w:val="auto"/>
          <w:sz w:val="24"/>
          <w:szCs w:val="24"/>
          <w:highlight w:val="none"/>
        </w:rPr>
      </w:pPr>
    </w:p>
    <w:p w14:paraId="7CBEA938">
      <w:pPr>
        <w:spacing w:line="360" w:lineRule="auto"/>
        <w:rPr>
          <w:rStyle w:val="29"/>
          <w:rFonts w:hint="eastAsia" w:ascii="仿宋" w:hAnsi="仿宋" w:eastAsia="仿宋" w:cs="仿宋"/>
          <w:color w:val="auto"/>
          <w:sz w:val="24"/>
          <w:szCs w:val="24"/>
          <w:highlight w:val="none"/>
        </w:rPr>
      </w:pPr>
    </w:p>
    <w:p w14:paraId="50DE0303">
      <w:pPr>
        <w:spacing w:line="360" w:lineRule="auto"/>
        <w:rPr>
          <w:rStyle w:val="29"/>
          <w:rFonts w:hint="eastAsia" w:ascii="仿宋" w:hAnsi="仿宋" w:eastAsia="仿宋" w:cs="仿宋"/>
          <w:color w:val="auto"/>
          <w:sz w:val="24"/>
          <w:szCs w:val="24"/>
          <w:highlight w:val="none"/>
        </w:rPr>
      </w:pPr>
    </w:p>
    <w:p w14:paraId="3760006F">
      <w:pPr>
        <w:spacing w:line="360" w:lineRule="auto"/>
        <w:rPr>
          <w:rStyle w:val="29"/>
          <w:rFonts w:hint="eastAsia" w:ascii="仿宋" w:hAnsi="仿宋" w:eastAsia="仿宋" w:cs="仿宋"/>
          <w:color w:val="auto"/>
          <w:sz w:val="24"/>
          <w:szCs w:val="24"/>
          <w:highlight w:val="none"/>
        </w:rPr>
      </w:pPr>
    </w:p>
    <w:p w14:paraId="15269ACA">
      <w:pPr>
        <w:pStyle w:val="32"/>
        <w:spacing w:line="360" w:lineRule="auto"/>
        <w:rPr>
          <w:rFonts w:hint="eastAsia" w:ascii="仿宋" w:hAnsi="仿宋" w:eastAsia="仿宋" w:cs="仿宋"/>
          <w:sz w:val="24"/>
          <w:szCs w:val="24"/>
        </w:rPr>
        <w:sectPr>
          <w:footerReference r:id="rId8" w:type="first"/>
          <w:headerReference r:id="rId6" w:type="default"/>
          <w:footerReference r:id="rId7" w:type="default"/>
          <w:pgSz w:w="11906" w:h="16838"/>
          <w:pgMar w:top="1417" w:right="1417" w:bottom="1417" w:left="1417" w:header="567" w:footer="850" w:gutter="0"/>
          <w:pgBorders>
            <w:top w:val="none" w:sz="0" w:space="0"/>
            <w:left w:val="none" w:sz="0" w:space="0"/>
            <w:bottom w:val="none" w:sz="0" w:space="0"/>
            <w:right w:val="none" w:sz="0" w:space="0"/>
          </w:pgBorders>
          <w:pgNumType w:fmt="decimal" w:start="1"/>
          <w:cols w:space="0" w:num="1"/>
          <w:titlePg/>
          <w:rtlGutter w:val="0"/>
          <w:docGrid w:type="lines" w:linePitch="318" w:charSpace="0"/>
        </w:sectPr>
      </w:pPr>
    </w:p>
    <w:p w14:paraId="078EC82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第一章  招标公告</w:t>
      </w:r>
    </w:p>
    <w:p w14:paraId="4341082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2BDB6CA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val="0"/>
          <w:bCs/>
          <w:color w:val="auto"/>
          <w:sz w:val="24"/>
          <w:szCs w:val="24"/>
          <w:highlight w:val="none"/>
          <w:u w:val="single"/>
          <w:lang w:val="en-US" w:eastAsia="zh-CN"/>
        </w:rPr>
        <w:t>诸暨市城市生活污水治理扩面提效项目—大唐街道开元路等6条道路雨污分流改造提升工程地下管线排查服务采购项目</w:t>
      </w:r>
      <w:r>
        <w:rPr>
          <w:rFonts w:hint="eastAsia" w:ascii="仿宋" w:hAnsi="仿宋" w:eastAsia="仿宋" w:cs="仿宋"/>
          <w:color w:val="auto"/>
          <w:sz w:val="24"/>
          <w:highlight w:val="none"/>
        </w:rPr>
        <w:t>的潜在投标人应在</w:t>
      </w:r>
      <w:r>
        <w:rPr>
          <w:rFonts w:hint="eastAsia" w:ascii="仿宋" w:hAnsi="仿宋" w:eastAsia="仿宋" w:cs="仿宋"/>
          <w:bCs/>
          <w:color w:val="auto"/>
          <w:sz w:val="24"/>
          <w:highlight w:val="none"/>
          <w:u w:val="single"/>
        </w:rPr>
        <w:t>乐采云平台（www.lecaiyun.com）</w:t>
      </w:r>
      <w:r>
        <w:rPr>
          <w:rFonts w:hint="eastAsia" w:ascii="仿宋" w:hAnsi="仿宋" w:eastAsia="仿宋" w:cs="仿宋"/>
          <w:bCs/>
          <w:color w:val="auto"/>
          <w:sz w:val="24"/>
          <w:highlight w:val="none"/>
        </w:rPr>
        <w:t>获取（下载）招标文件，并于</w:t>
      </w:r>
      <w:r>
        <w:rPr>
          <w:rFonts w:hint="eastAsia" w:ascii="仿宋" w:hAnsi="仿宋" w:eastAsia="仿宋" w:cs="仿宋"/>
          <w:color w:val="auto"/>
          <w:sz w:val="24"/>
          <w:highlight w:val="none"/>
          <w:u w:val="single"/>
          <w:lang w:val="en-US" w:eastAsia="zh-CN"/>
        </w:rPr>
        <w:t>2025年07月31日14点00分00秒</w:t>
      </w:r>
      <w:r>
        <w:rPr>
          <w:rFonts w:hint="eastAsia" w:ascii="仿宋" w:hAnsi="仿宋" w:eastAsia="仿宋" w:cs="仿宋"/>
          <w:bCs/>
          <w:color w:val="auto"/>
          <w:sz w:val="24"/>
          <w:highlight w:val="none"/>
        </w:rPr>
        <w:t>（北京时间）前递交（上传）投标文件</w:t>
      </w:r>
      <w:r>
        <w:rPr>
          <w:rFonts w:hint="eastAsia" w:ascii="仿宋" w:hAnsi="仿宋" w:eastAsia="仿宋" w:cs="仿宋"/>
          <w:color w:val="auto"/>
          <w:sz w:val="24"/>
          <w:highlight w:val="none"/>
        </w:rPr>
        <w:t>。</w:t>
      </w:r>
    </w:p>
    <w:p w14:paraId="2644BAF5">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91F2CBE">
      <w:pPr>
        <w:pageBreakBefore w:val="0"/>
        <w:widowControl w:val="0"/>
        <w:kinsoku/>
        <w:wordWrap/>
        <w:overflowPunct/>
        <w:topLinePunct w:val="0"/>
        <w:autoSpaceDE/>
        <w:autoSpaceDN/>
        <w:bidi w:val="0"/>
        <w:snapToGrid w:val="0"/>
        <w:spacing w:line="360" w:lineRule="auto"/>
        <w:ind w:left="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浙江佰顺2025-07-06</w:t>
      </w:r>
    </w:p>
    <w:p w14:paraId="67D54891">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szCs w:val="24"/>
          <w:highlight w:val="none"/>
          <w:u w:val="none"/>
          <w:lang w:val="en-US" w:eastAsia="zh-CN"/>
        </w:rPr>
        <w:t>诸暨市城市生活污水治理扩面提效项目—大唐街道开元路等6条道路雨污分流改造提升工程地下管线排查服务采购项目</w:t>
      </w:r>
    </w:p>
    <w:p w14:paraId="342C1B73">
      <w:pPr>
        <w:pageBreakBefore w:val="0"/>
        <w:widowControl w:val="0"/>
        <w:kinsoku/>
        <w:wordWrap/>
        <w:overflowPunct/>
        <w:topLinePunct w:val="0"/>
        <w:autoSpaceDE/>
        <w:autoSpaceDN/>
        <w:bidi w:val="0"/>
        <w:snapToGrid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采购组织类型：</w:t>
      </w:r>
      <w:r>
        <w:rPr>
          <w:rFonts w:hint="eastAsia" w:ascii="仿宋" w:hAnsi="仿宋" w:eastAsia="仿宋" w:cs="仿宋"/>
          <w:b w:val="0"/>
          <w:bCs/>
          <w:color w:val="auto"/>
          <w:sz w:val="24"/>
          <w:highlight w:val="none"/>
          <w:lang w:val="en-US" w:eastAsia="zh-CN"/>
        </w:rPr>
        <w:t>国企采购委托代理</w:t>
      </w:r>
    </w:p>
    <w:p w14:paraId="4314D984">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szCs w:val="24"/>
          <w:highlight w:val="none"/>
          <w:lang w:val="en-US" w:eastAsia="zh-CN"/>
        </w:rPr>
        <w:t>诸暨市城市生活污水治理扩面提效项目—大唐街道开元路等6条道路雨污分流改造提升工程地下管线排查服务采购项目</w:t>
      </w:r>
      <w:r>
        <w:rPr>
          <w:rFonts w:hint="eastAsia" w:ascii="仿宋" w:hAnsi="仿宋" w:eastAsia="仿宋" w:cs="仿宋"/>
          <w:b w:val="0"/>
          <w:bCs/>
          <w:color w:val="auto"/>
          <w:sz w:val="24"/>
          <w:szCs w:val="24"/>
          <w:highlight w:val="none"/>
        </w:rPr>
        <w:t>，采购预算</w:t>
      </w:r>
      <w:r>
        <w:rPr>
          <w:rFonts w:hint="eastAsia" w:ascii="仿宋" w:hAnsi="仿宋" w:eastAsia="仿宋" w:cs="仿宋"/>
          <w:b w:val="0"/>
          <w:bCs/>
          <w:color w:val="auto"/>
          <w:sz w:val="24"/>
          <w:szCs w:val="24"/>
          <w:highlight w:val="none"/>
          <w:lang w:val="en-US" w:eastAsia="zh-CN"/>
        </w:rPr>
        <w:t>总金额为人民币陆拾万元整（￥600000.00）</w:t>
      </w:r>
      <w:r>
        <w:rPr>
          <w:rFonts w:hint="eastAsia" w:ascii="仿宋" w:hAnsi="仿宋" w:eastAsia="仿宋" w:cs="仿宋"/>
          <w:b w:val="0"/>
          <w:bCs/>
          <w:color w:val="auto"/>
          <w:kern w:val="2"/>
          <w:sz w:val="24"/>
          <w:szCs w:val="24"/>
          <w:highlight w:val="none"/>
          <w:u w:val="none"/>
          <w:lang w:val="en-US" w:eastAsia="zh-CN" w:bidi="ar-SA"/>
        </w:rPr>
        <w:t>。</w:t>
      </w:r>
      <w:r>
        <w:rPr>
          <w:rFonts w:hint="eastAsia" w:ascii="仿宋" w:hAnsi="仿宋" w:eastAsia="仿宋" w:cs="仿宋"/>
          <w:color w:val="auto"/>
          <w:sz w:val="24"/>
          <w:highlight w:val="none"/>
          <w:lang w:val="en-US" w:eastAsia="zh-CN"/>
        </w:rPr>
        <w:t>按折扣率进行报价，具体内容详见采购需求</w:t>
      </w:r>
      <w:r>
        <w:rPr>
          <w:rFonts w:hint="eastAsia" w:ascii="仿宋" w:hAnsi="仿宋" w:eastAsia="仿宋" w:cs="仿宋"/>
          <w:b w:val="0"/>
          <w:bCs/>
          <w:color w:val="auto"/>
          <w:sz w:val="24"/>
          <w:szCs w:val="24"/>
          <w:highlight w:val="none"/>
          <w:lang w:val="en-US" w:eastAsia="zh-CN"/>
        </w:rPr>
        <w:t>。</w:t>
      </w:r>
    </w:p>
    <w:p w14:paraId="7F99E8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default" w:ascii="仿宋" w:hAnsi="仿宋" w:eastAsia="仿宋" w:cs="宋体"/>
          <w:color w:val="auto"/>
          <w:sz w:val="24"/>
          <w:szCs w:val="24"/>
          <w:highlight w:val="none"/>
          <w:lang w:val="en-US" w:eastAsia="zh-CN"/>
        </w:rPr>
        <w:t>在接到建设单位任务后，8日历天完成报告（具体按</w:t>
      </w:r>
      <w:r>
        <w:rPr>
          <w:rFonts w:hint="eastAsia" w:ascii="仿宋" w:hAnsi="仿宋" w:eastAsia="仿宋" w:cs="宋体"/>
          <w:color w:val="auto"/>
          <w:sz w:val="24"/>
          <w:szCs w:val="24"/>
          <w:highlight w:val="none"/>
          <w:lang w:val="en-US" w:eastAsia="zh-CN"/>
        </w:rPr>
        <w:t>采购</w:t>
      </w:r>
      <w:r>
        <w:rPr>
          <w:rFonts w:hint="default" w:ascii="仿宋" w:hAnsi="仿宋" w:eastAsia="仿宋" w:cs="宋体"/>
          <w:color w:val="auto"/>
          <w:sz w:val="24"/>
          <w:szCs w:val="24"/>
          <w:highlight w:val="none"/>
          <w:lang w:val="en-US" w:eastAsia="zh-CN"/>
        </w:rPr>
        <w:t>人要求执行）</w:t>
      </w:r>
      <w:r>
        <w:rPr>
          <w:rFonts w:hint="eastAsia" w:ascii="仿宋" w:hAnsi="仿宋" w:eastAsia="仿宋" w:cs="仿宋"/>
          <w:color w:val="auto"/>
          <w:sz w:val="24"/>
          <w:highlight w:val="none"/>
          <w:lang w:val="en-US" w:eastAsia="zh-CN"/>
        </w:rPr>
        <w:t>。</w:t>
      </w:r>
    </w:p>
    <w:p w14:paraId="270BB466">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104E40B">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49DCB42">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宋体"/>
          <w:color w:val="auto"/>
          <w:sz w:val="24"/>
          <w:highlight w:val="none"/>
        </w:rPr>
        <w:t>本项目不接受联合体投标</w:t>
      </w:r>
      <w:r>
        <w:rPr>
          <w:rFonts w:hint="eastAsia" w:ascii="仿宋" w:hAnsi="仿宋" w:eastAsia="仿宋" w:cs="仿宋"/>
          <w:snapToGrid w:val="0"/>
          <w:color w:val="auto"/>
          <w:kern w:val="28"/>
          <w:sz w:val="24"/>
          <w:szCs w:val="20"/>
          <w:highlight w:val="none"/>
        </w:rPr>
        <w:t>；</w:t>
      </w:r>
    </w:p>
    <w:p w14:paraId="3CD210E6">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auto"/>
          <w:kern w:val="28"/>
          <w:sz w:val="24"/>
          <w:szCs w:val="20"/>
          <w:highlight w:val="none"/>
          <w:lang w:val="en-US" w:eastAsia="zh-CN"/>
        </w:rPr>
        <w:t>无；</w:t>
      </w:r>
    </w:p>
    <w:p w14:paraId="5E58ABFF">
      <w:pPr>
        <w:keepNext w:val="0"/>
        <w:keepLines w:val="0"/>
        <w:pageBreakBefore w:val="0"/>
        <w:widowControl w:val="0"/>
        <w:kinsoku/>
        <w:wordWrap/>
        <w:overflowPunct/>
        <w:topLinePunct w:val="0"/>
        <w:bidi w:val="0"/>
        <w:adjustRightInd w:val="0"/>
        <w:spacing w:line="360" w:lineRule="auto"/>
        <w:ind w:left="0" w:leftChars="0" w:firstLine="48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4.本项目的特定资格要求：</w:t>
      </w:r>
      <w:r>
        <w:rPr>
          <w:rFonts w:hint="eastAsia" w:ascii="仿宋" w:hAnsi="仿宋" w:eastAsia="仿宋" w:cs="宋体"/>
          <w:b/>
          <w:bCs/>
          <w:color w:val="auto"/>
          <w:sz w:val="24"/>
          <w:szCs w:val="24"/>
          <w:highlight w:val="none"/>
          <w:lang w:val="en-US" w:eastAsia="zh-CN"/>
        </w:rPr>
        <w:t>具有</w:t>
      </w:r>
      <w:r>
        <w:rPr>
          <w:rFonts w:hint="eastAsia" w:ascii="仿宋" w:hAnsi="仿宋" w:eastAsia="仿宋" w:cs="宋体"/>
          <w:b/>
          <w:bCs/>
          <w:color w:val="auto"/>
          <w:sz w:val="24"/>
          <w:szCs w:val="24"/>
          <w:highlight w:val="none"/>
        </w:rPr>
        <w:t>工程勘察综合甲级资质</w:t>
      </w:r>
      <w:r>
        <w:rPr>
          <w:rFonts w:hint="eastAsia" w:ascii="仿宋" w:hAnsi="仿宋" w:eastAsia="仿宋" w:cs="宋体"/>
          <w:b/>
          <w:bCs/>
          <w:color w:val="auto"/>
          <w:sz w:val="24"/>
          <w:szCs w:val="24"/>
          <w:highlight w:val="none"/>
          <w:lang w:val="en-US" w:eastAsia="zh-CN"/>
        </w:rPr>
        <w:t>或工程勘察类（岩土工程）乙级及以上</w:t>
      </w:r>
      <w:r>
        <w:rPr>
          <w:rFonts w:hint="eastAsia" w:ascii="仿宋" w:hAnsi="仿宋" w:eastAsia="仿宋" w:cs="宋体"/>
          <w:b/>
          <w:bCs/>
          <w:color w:val="auto"/>
          <w:sz w:val="24"/>
          <w:szCs w:val="24"/>
          <w:highlight w:val="none"/>
        </w:rPr>
        <w:t>资质</w:t>
      </w:r>
      <w:r>
        <w:rPr>
          <w:rFonts w:hint="eastAsia" w:ascii="仿宋" w:hAnsi="仿宋" w:eastAsia="仿宋" w:cs="仿宋"/>
          <w:b/>
          <w:bCs/>
          <w:color w:val="auto"/>
          <w:sz w:val="24"/>
          <w:highlight w:val="none"/>
        </w:rPr>
        <w:t>；</w:t>
      </w:r>
    </w:p>
    <w:p w14:paraId="48A64D2F">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C91CAA">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 xml:space="preserve"> </w:t>
      </w:r>
    </w:p>
    <w:p w14:paraId="5CDDD97F">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29"/>
          <w:rFonts w:hint="eastAsia" w:ascii="仿宋" w:hAnsi="仿宋" w:eastAsia="仿宋" w:cs="仿宋"/>
          <w:snapToGrid/>
          <w:color w:val="auto"/>
          <w:kern w:val="2"/>
          <w:sz w:val="24"/>
          <w:szCs w:val="24"/>
          <w:highlight w:val="none"/>
          <w:u w:val="none"/>
          <w:lang w:val="en-US" w:eastAsia="zh-CN"/>
        </w:rPr>
        <w:t>2025</w:t>
      </w:r>
      <w:r>
        <w:rPr>
          <w:rStyle w:val="29"/>
          <w:rFonts w:hint="eastAsia" w:ascii="仿宋" w:hAnsi="仿宋" w:eastAsia="仿宋" w:cs="仿宋"/>
          <w:snapToGrid/>
          <w:color w:val="auto"/>
          <w:kern w:val="2"/>
          <w:sz w:val="24"/>
          <w:szCs w:val="24"/>
          <w:highlight w:val="none"/>
          <w:u w:val="none"/>
        </w:rPr>
        <w:t>年</w:t>
      </w:r>
      <w:r>
        <w:rPr>
          <w:rStyle w:val="29"/>
          <w:rFonts w:hint="eastAsia" w:ascii="仿宋" w:hAnsi="仿宋" w:eastAsia="仿宋" w:cs="仿宋"/>
          <w:snapToGrid/>
          <w:color w:val="auto"/>
          <w:kern w:val="2"/>
          <w:sz w:val="24"/>
          <w:szCs w:val="24"/>
          <w:highlight w:val="none"/>
          <w:u w:val="none"/>
          <w:lang w:val="en-US" w:eastAsia="zh-CN"/>
        </w:rPr>
        <w:t>07月31日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F13E605">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color w:val="auto"/>
          <w:sz w:val="24"/>
          <w:highlight w:val="none"/>
          <w:u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u w:val="none"/>
        </w:rPr>
        <w:t>乐采云平台（www.lecaiyun.com）</w:t>
      </w:r>
      <w:r>
        <w:rPr>
          <w:rFonts w:hint="eastAsia" w:ascii="仿宋" w:hAnsi="仿宋" w:eastAsia="仿宋" w:cs="仿宋"/>
          <w:color w:val="auto"/>
          <w:sz w:val="24"/>
          <w:highlight w:val="none"/>
          <w:u w:val="none"/>
        </w:rPr>
        <w:t xml:space="preserve"> </w:t>
      </w:r>
    </w:p>
    <w:p w14:paraId="2E4067B1">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bCs/>
          <w:color w:val="auto"/>
          <w:sz w:val="24"/>
          <w:highlight w:val="none"/>
          <w:u w:val="none"/>
        </w:rPr>
        <w:t>乐采云平台</w:t>
      </w:r>
      <w:r>
        <w:rPr>
          <w:rFonts w:hint="eastAsia" w:ascii="仿宋" w:hAnsi="仿宋" w:eastAsia="仿宋" w:cs="仿宋"/>
          <w:bCs/>
          <w:color w:val="auto"/>
          <w:sz w:val="24"/>
          <w:highlight w:val="none"/>
          <w:u w:val="none"/>
          <w:lang w:eastAsia="zh-CN"/>
        </w:rPr>
        <w:t>，</w:t>
      </w:r>
      <w:r>
        <w:rPr>
          <w:rFonts w:hint="eastAsia" w:ascii="仿宋" w:hAnsi="仿宋" w:eastAsia="仿宋" w:cs="仿宋"/>
          <w:color w:val="auto"/>
          <w:sz w:val="24"/>
          <w:highlight w:val="none"/>
        </w:rPr>
        <w:t>在线申请获取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（进入“项目采购”应用，在获取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 xml:space="preserve">）。 </w:t>
      </w:r>
    </w:p>
    <w:p w14:paraId="2B8FDE05">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5D5A215">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1EBB6A8">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2025年07月31日14点00分00秒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9DDCD0C">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bCs/>
          <w:color w:val="auto"/>
          <w:sz w:val="24"/>
          <w:highlight w:val="none"/>
          <w:u w:val="none"/>
        </w:rPr>
        <w:t>乐采云平台（www.lecaiyun.com）</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 xml:space="preserve"> </w:t>
      </w:r>
    </w:p>
    <w:p w14:paraId="511C3301">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29"/>
          <w:rFonts w:hint="eastAsia" w:ascii="仿宋" w:hAnsi="仿宋" w:eastAsia="仿宋" w:cs="仿宋"/>
          <w:snapToGrid/>
          <w:color w:val="auto"/>
          <w:kern w:val="2"/>
          <w:sz w:val="24"/>
          <w:szCs w:val="24"/>
          <w:highlight w:val="none"/>
          <w:u w:val="single"/>
          <w:lang w:val="en-US" w:eastAsia="zh-CN"/>
        </w:rPr>
        <w:t>2025年07月31日14点00分00秒</w:t>
      </w:r>
      <w:r>
        <w:rPr>
          <w:rFonts w:hint="eastAsia" w:ascii="仿宋" w:hAnsi="仿宋" w:eastAsia="仿宋" w:cs="仿宋"/>
          <w:b w:val="0"/>
          <w:bCs/>
          <w:color w:val="auto"/>
          <w:sz w:val="24"/>
          <w:highlight w:val="none"/>
          <w:u w:val="single"/>
        </w:rPr>
        <w:t xml:space="preserve">  </w:t>
      </w:r>
      <w:r>
        <w:rPr>
          <w:rFonts w:hint="eastAsia" w:ascii="仿宋" w:hAnsi="仿宋" w:eastAsia="仿宋" w:cs="仿宋"/>
          <w:color w:val="auto"/>
          <w:sz w:val="24"/>
          <w:highlight w:val="none"/>
        </w:rPr>
        <w:t>（北京时间）</w:t>
      </w:r>
    </w:p>
    <w:p w14:paraId="5F5F067E">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Cs/>
          <w:color w:val="auto"/>
          <w:sz w:val="24"/>
          <w:highlight w:val="none"/>
          <w:u w:val="none"/>
        </w:rPr>
        <w:t>乐采云平台（www.lecaiyun.com）</w:t>
      </w:r>
      <w:r>
        <w:rPr>
          <w:rFonts w:hint="eastAsia" w:ascii="仿宋" w:hAnsi="仿宋" w:eastAsia="仿宋" w:cs="仿宋"/>
          <w:color w:val="auto"/>
          <w:sz w:val="24"/>
          <w:highlight w:val="none"/>
          <w:u w:val="none"/>
        </w:rPr>
        <w:t xml:space="preserve"> </w:t>
      </w:r>
    </w:p>
    <w:p w14:paraId="1FE21C19">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0FA8DD">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97D06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E8F74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1、投标人应在开标截止时间10天前以书面形式向采购代理机构提出质疑，逾期提出的，采购代理机构不予受理、答复。采购代理机构与采购人研究后，对认为有必要回答的问题，</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将在开标前将答疑内容以网上发布公告的形式通知所有投标人，投标人自行在网上查阅、下载答疑回复答疑内容是招标文件的组成部分。</w:t>
      </w:r>
    </w:p>
    <w:p w14:paraId="4797C3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投标人应于开标时间前按照电子投标要求将电子加密标书上传到“</w:t>
      </w:r>
      <w:r>
        <w:rPr>
          <w:rFonts w:hint="eastAsia" w:ascii="仿宋" w:hAnsi="仿宋" w:eastAsia="仿宋" w:cs="仿宋"/>
          <w:b w:val="0"/>
          <w:bCs/>
          <w:color w:val="auto"/>
          <w:sz w:val="24"/>
          <w:szCs w:val="24"/>
          <w:highlight w:val="none"/>
          <w:lang w:val="en-US" w:eastAsia="zh-CN"/>
        </w:rPr>
        <w:t>乐</w:t>
      </w:r>
      <w:r>
        <w:rPr>
          <w:rFonts w:hint="eastAsia" w:ascii="仿宋" w:hAnsi="仿宋" w:eastAsia="仿宋" w:cs="仿宋"/>
          <w:b w:val="0"/>
          <w:bCs/>
          <w:color w:val="auto"/>
          <w:sz w:val="24"/>
          <w:szCs w:val="24"/>
          <w:highlight w:val="none"/>
        </w:rPr>
        <w:t>采云”平台，逾期或未上传成功的将导致无法投标或投标无效。备注：为确保采购项目顺利实施，避免因</w:t>
      </w:r>
      <w:r>
        <w:rPr>
          <w:rFonts w:hint="eastAsia" w:ascii="仿宋" w:hAnsi="仿宋" w:eastAsia="仿宋" w:cs="仿宋"/>
          <w:b w:val="0"/>
          <w:bCs/>
          <w:color w:val="auto"/>
          <w:sz w:val="24"/>
          <w:szCs w:val="24"/>
          <w:highlight w:val="none"/>
          <w:lang w:eastAsia="zh-CN"/>
        </w:rPr>
        <w:t>乐采云</w:t>
      </w:r>
      <w:r>
        <w:rPr>
          <w:rFonts w:hint="eastAsia" w:ascii="仿宋" w:hAnsi="仿宋" w:eastAsia="仿宋" w:cs="仿宋"/>
          <w:b w:val="0"/>
          <w:bCs/>
          <w:color w:val="auto"/>
          <w:sz w:val="24"/>
          <w:szCs w:val="24"/>
          <w:highlight w:val="none"/>
        </w:rPr>
        <w:t>上电子投标文件解密失败导致投标方投标无效，投标方可在开标时间前将在</w:t>
      </w:r>
      <w:r>
        <w:rPr>
          <w:rFonts w:hint="eastAsia" w:ascii="仿宋" w:hAnsi="仿宋" w:eastAsia="仿宋" w:cs="仿宋"/>
          <w:b w:val="0"/>
          <w:bCs/>
          <w:color w:val="auto"/>
          <w:sz w:val="24"/>
          <w:szCs w:val="24"/>
          <w:highlight w:val="none"/>
          <w:lang w:eastAsia="zh-CN"/>
        </w:rPr>
        <w:t>乐采云</w:t>
      </w:r>
      <w:r>
        <w:rPr>
          <w:rFonts w:hint="eastAsia" w:ascii="仿宋" w:hAnsi="仿宋" w:eastAsia="仿宋" w:cs="仿宋"/>
          <w:b w:val="0"/>
          <w:bCs/>
          <w:color w:val="auto"/>
          <w:sz w:val="24"/>
          <w:szCs w:val="24"/>
          <w:highlight w:val="none"/>
        </w:rPr>
        <w:t>平台上最后生成的具备电子签章的备份加密投标文件（文件名后缀为备份文件四字的首字母）以电子邮件方式传送至</w:t>
      </w:r>
      <w:r>
        <w:rPr>
          <w:rFonts w:hint="eastAsia" w:ascii="仿宋" w:hAnsi="仿宋" w:eastAsia="仿宋" w:cs="仿宋"/>
          <w:b w:val="0"/>
          <w:bCs/>
          <w:color w:val="auto"/>
          <w:sz w:val="24"/>
          <w:szCs w:val="24"/>
          <w:highlight w:val="none"/>
          <w:lang w:val="en-US" w:eastAsia="zh-CN"/>
        </w:rPr>
        <w:t>浙江佰顺项目管理有限公司（</w:t>
      </w:r>
      <w:r>
        <w:rPr>
          <w:rFonts w:hint="eastAsia" w:ascii="仿宋" w:hAnsi="仿宋" w:eastAsia="仿宋" w:cs="仿宋"/>
          <w:b w:val="0"/>
          <w:bCs/>
          <w:color w:val="auto"/>
          <w:sz w:val="24"/>
          <w:szCs w:val="24"/>
          <w:highlight w:val="none"/>
        </w:rPr>
        <w:t>邮箱</w:t>
      </w:r>
      <w:r>
        <w:rPr>
          <w:rFonts w:hint="eastAsia" w:ascii="仿宋" w:hAnsi="仿宋" w:eastAsia="仿宋" w:cs="仿宋"/>
          <w:b w:val="0"/>
          <w:bCs/>
          <w:color w:val="auto"/>
          <w:sz w:val="24"/>
          <w:szCs w:val="24"/>
          <w:highlight w:val="none"/>
          <w:lang w:val="en-US" w:eastAsia="zh-CN"/>
        </w:rPr>
        <w:t>541441348</w:t>
      </w:r>
      <w:r>
        <w:rPr>
          <w:rFonts w:hint="eastAsia" w:ascii="仿宋" w:hAnsi="仿宋" w:eastAsia="仿宋" w:cs="仿宋"/>
          <w:b w:val="0"/>
          <w:bCs/>
          <w:color w:val="auto"/>
          <w:sz w:val="24"/>
          <w:szCs w:val="24"/>
          <w:highlight w:val="none"/>
        </w:rPr>
        <w:t>@qq.com</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，传送的备份电子投标文件需打包压缩并加密，加密密码由投标方自行保管，如</w:t>
      </w:r>
      <w:r>
        <w:rPr>
          <w:rFonts w:hint="eastAsia" w:ascii="仿宋" w:hAnsi="仿宋" w:eastAsia="仿宋" w:cs="仿宋"/>
          <w:b w:val="0"/>
          <w:bCs/>
          <w:color w:val="auto"/>
          <w:sz w:val="24"/>
          <w:szCs w:val="24"/>
          <w:highlight w:val="none"/>
          <w:lang w:eastAsia="zh-CN"/>
        </w:rPr>
        <w:t>乐采云</w:t>
      </w:r>
      <w:r>
        <w:rPr>
          <w:rFonts w:hint="eastAsia" w:ascii="仿宋" w:hAnsi="仿宋" w:eastAsia="仿宋" w:cs="仿宋"/>
          <w:b w:val="0"/>
          <w:bCs/>
          <w:color w:val="auto"/>
          <w:sz w:val="24"/>
          <w:szCs w:val="24"/>
          <w:highlight w:val="none"/>
        </w:rPr>
        <w:t>上电子投标文件出现解密失败情况（开标后30分钟内进行解密），投标方可按照自身意愿确认是否同意提供加密密码解密传送至</w:t>
      </w:r>
      <w:r>
        <w:rPr>
          <w:rFonts w:hint="eastAsia" w:ascii="仿宋" w:hAnsi="仿宋" w:eastAsia="仿宋" w:cs="仿宋"/>
          <w:b w:val="0"/>
          <w:bCs/>
          <w:color w:val="auto"/>
          <w:sz w:val="24"/>
          <w:szCs w:val="24"/>
          <w:highlight w:val="none"/>
          <w:lang w:val="en-US" w:eastAsia="zh-CN"/>
        </w:rPr>
        <w:t>浙江佰顺项目管理有限公司</w:t>
      </w:r>
      <w:r>
        <w:rPr>
          <w:rFonts w:hint="eastAsia" w:ascii="仿宋" w:hAnsi="仿宋" w:eastAsia="仿宋" w:cs="仿宋"/>
          <w:b w:val="0"/>
          <w:bCs/>
          <w:color w:val="auto"/>
          <w:sz w:val="24"/>
          <w:szCs w:val="24"/>
          <w:highlight w:val="none"/>
        </w:rPr>
        <w:t>邮箱的备份文件，并以备份文件作为替代电子投标文件，如投标方未按照规定时间前按要求提供有效备份文件，同时</w:t>
      </w:r>
      <w:r>
        <w:rPr>
          <w:rFonts w:hint="eastAsia" w:ascii="仿宋" w:hAnsi="仿宋" w:eastAsia="仿宋" w:cs="仿宋"/>
          <w:b w:val="0"/>
          <w:bCs/>
          <w:color w:val="auto"/>
          <w:sz w:val="24"/>
          <w:szCs w:val="24"/>
          <w:highlight w:val="none"/>
          <w:lang w:eastAsia="zh-CN"/>
        </w:rPr>
        <w:t>乐采云</w:t>
      </w:r>
      <w:r>
        <w:rPr>
          <w:rFonts w:hint="eastAsia" w:ascii="仿宋" w:hAnsi="仿宋" w:eastAsia="仿宋" w:cs="仿宋"/>
          <w:b w:val="0"/>
          <w:bCs/>
          <w:color w:val="auto"/>
          <w:sz w:val="24"/>
          <w:szCs w:val="24"/>
          <w:highlight w:val="none"/>
        </w:rPr>
        <w:t>上投标文件解密失败的，将导致投标无效。</w:t>
      </w:r>
    </w:p>
    <w:p w14:paraId="1E7D2D6D">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u w:val="single"/>
        </w:rPr>
      </w:pPr>
      <w:r>
        <w:rPr>
          <w:rFonts w:hint="eastAsia" w:ascii="仿宋" w:hAnsi="仿宋" w:eastAsia="仿宋" w:cs="仿宋"/>
          <w:b w:val="0"/>
          <w:bCs/>
          <w:color w:val="auto"/>
          <w:kern w:val="0"/>
          <w:sz w:val="24"/>
          <w:szCs w:val="24"/>
          <w:highlight w:val="none"/>
          <w:u w:val="single"/>
        </w:rPr>
        <w:t>投标方无需在开标当天到达开标现场对电子投标进行解密，可在公司办公场地在规定时间内对电子投标文件进行解密。</w:t>
      </w:r>
    </w:p>
    <w:p w14:paraId="449BBF18">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开标时间后30分钟内供应商可以登录“</w:t>
      </w:r>
      <w:r>
        <w:rPr>
          <w:rFonts w:hint="eastAsia" w:ascii="仿宋" w:hAnsi="仿宋" w:eastAsia="仿宋" w:cs="仿宋"/>
          <w:b w:val="0"/>
          <w:bCs/>
          <w:color w:val="auto"/>
          <w:sz w:val="24"/>
          <w:szCs w:val="24"/>
          <w:highlight w:val="none"/>
          <w:lang w:eastAsia="zh-CN"/>
        </w:rPr>
        <w:t>乐采云</w:t>
      </w:r>
      <w:r>
        <w:rPr>
          <w:rFonts w:hint="eastAsia" w:ascii="仿宋" w:hAnsi="仿宋" w:eastAsia="仿宋" w:cs="仿宋"/>
          <w:b w:val="0"/>
          <w:bCs/>
          <w:color w:val="auto"/>
          <w:sz w:val="24"/>
          <w:szCs w:val="24"/>
          <w:highlight w:val="none"/>
        </w:rPr>
        <w:t>”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43DDD035">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ADBC20F">
      <w:pPr>
        <w:pStyle w:val="3"/>
        <w:pageBreakBefore w:val="0"/>
        <w:widowControl w:val="0"/>
        <w:numPr>
          <w:ilvl w:val="0"/>
          <w:numId w:val="0"/>
        </w:numPr>
        <w:tabs>
          <w:tab w:val="left" w:pos="432"/>
        </w:tabs>
        <w:kinsoku/>
        <w:wordWrap/>
        <w:overflowPunct/>
        <w:topLinePunct w:val="0"/>
        <w:autoSpaceDE/>
        <w:autoSpaceDN/>
        <w:bidi w:val="0"/>
        <w:snapToGrid w:val="0"/>
        <w:spacing w:before="0" w:beforeLines="0" w:after="0" w:afterLines="0" w:line="360" w:lineRule="auto"/>
        <w:ind w:left="0" w:firstLine="482" w:firstLineChars="200"/>
        <w:textAlignment w:val="auto"/>
        <w:rPr>
          <w:rFonts w:hint="eastAsia" w:ascii="仿宋" w:hAnsi="仿宋" w:eastAsia="仿宋" w:cs="仿宋"/>
          <w:color w:val="auto"/>
          <w:sz w:val="24"/>
          <w:szCs w:val="24"/>
          <w:highlight w:val="none"/>
        </w:rPr>
      </w:pPr>
      <w:bookmarkStart w:id="0" w:name="_Toc35393637"/>
      <w:bookmarkStart w:id="1" w:name="_Toc28359019"/>
      <w:bookmarkStart w:id="2" w:name="_Toc28359096"/>
      <w:bookmarkStart w:id="3" w:name="_Toc35393806"/>
      <w:r>
        <w:rPr>
          <w:rFonts w:hint="eastAsia" w:ascii="仿宋" w:hAnsi="仿宋" w:eastAsia="仿宋" w:cs="仿宋"/>
          <w:color w:val="auto"/>
          <w:sz w:val="24"/>
          <w:szCs w:val="24"/>
          <w:highlight w:val="none"/>
        </w:rPr>
        <w:t>1.采购人信息</w:t>
      </w:r>
      <w:bookmarkEnd w:id="0"/>
      <w:bookmarkEnd w:id="1"/>
      <w:bookmarkEnd w:id="2"/>
      <w:bookmarkEnd w:id="3"/>
      <w:r>
        <w:rPr>
          <w:rFonts w:hint="eastAsia" w:ascii="仿宋" w:hAnsi="仿宋" w:eastAsia="仿宋" w:cs="仿宋"/>
          <w:color w:val="auto"/>
          <w:sz w:val="24"/>
          <w:szCs w:val="24"/>
          <w:highlight w:val="none"/>
        </w:rPr>
        <w:t>：</w:t>
      </w:r>
    </w:p>
    <w:p w14:paraId="7BD3F4D2">
      <w:pPr>
        <w:pageBreakBefore w:val="0"/>
        <w:widowControl w:val="0"/>
        <w:kinsoku/>
        <w:wordWrap/>
        <w:overflowPunct/>
        <w:topLinePunct w:val="0"/>
        <w:autoSpaceDE/>
        <w:autoSpaceDN/>
        <w:bidi w:val="0"/>
        <w:snapToGrid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诸暨市暨阳排水管理有限公司</w:t>
      </w:r>
    </w:p>
    <w:p w14:paraId="1A8CDDA9">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址：诸暨市陶朱街道环城北路228号</w:t>
      </w:r>
    </w:p>
    <w:p w14:paraId="4A3874C1">
      <w:pPr>
        <w:pageBreakBefore w:val="0"/>
        <w:widowControl w:val="0"/>
        <w:kinsoku/>
        <w:wordWrap/>
        <w:overflowPunct/>
        <w:topLinePunct w:val="0"/>
        <w:autoSpaceDE/>
        <w:autoSpaceDN/>
        <w:bidi w:val="0"/>
        <w:snapToGrid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蒋晖</w:t>
      </w:r>
    </w:p>
    <w:p w14:paraId="5AD7E632">
      <w:pPr>
        <w:pageBreakBefore w:val="0"/>
        <w:widowControl w:val="0"/>
        <w:kinsoku/>
        <w:wordWrap/>
        <w:overflowPunct/>
        <w:topLinePunct w:val="0"/>
        <w:autoSpaceDE/>
        <w:autoSpaceDN/>
        <w:bidi w:val="0"/>
        <w:snapToGrid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w:t>
      </w:r>
      <w:r>
        <w:rPr>
          <w:rFonts w:hint="eastAsia" w:ascii="仿宋" w:hAnsi="仿宋" w:eastAsia="仿宋" w:cs="仿宋"/>
          <w:color w:val="auto"/>
          <w:sz w:val="24"/>
          <w:highlight w:val="none"/>
          <w:lang w:val="en-US" w:eastAsia="zh-CN"/>
        </w:rPr>
        <w:t>工作电话</w:t>
      </w:r>
      <w:r>
        <w:rPr>
          <w:rFonts w:hint="eastAsia" w:ascii="仿宋" w:hAnsi="仿宋" w:eastAsia="仿宋" w:cs="仿宋"/>
          <w:color w:val="auto"/>
          <w:sz w:val="24"/>
          <w:highlight w:val="none"/>
        </w:rPr>
        <w:t>）：18258535880</w:t>
      </w:r>
    </w:p>
    <w:p w14:paraId="0DAD09DB">
      <w:pPr>
        <w:pStyle w:val="3"/>
        <w:pageBreakBefore w:val="0"/>
        <w:widowControl w:val="0"/>
        <w:numPr>
          <w:ilvl w:val="0"/>
          <w:numId w:val="0"/>
        </w:numPr>
        <w:tabs>
          <w:tab w:val="left" w:pos="432"/>
        </w:tabs>
        <w:kinsoku/>
        <w:wordWrap/>
        <w:overflowPunct/>
        <w:topLinePunct w:val="0"/>
        <w:autoSpaceDE/>
        <w:autoSpaceDN/>
        <w:bidi w:val="0"/>
        <w:snapToGrid w:val="0"/>
        <w:spacing w:before="0" w:beforeLines="0" w:after="0" w:afterLines="0" w:line="360" w:lineRule="auto"/>
        <w:ind w:left="0" w:firstLine="482" w:firstLineChars="200"/>
        <w:textAlignment w:val="auto"/>
        <w:rPr>
          <w:rFonts w:hint="eastAsia" w:ascii="仿宋" w:hAnsi="仿宋" w:eastAsia="仿宋" w:cs="仿宋"/>
          <w:color w:val="auto"/>
          <w:sz w:val="24"/>
          <w:szCs w:val="24"/>
          <w:highlight w:val="none"/>
        </w:rPr>
      </w:pPr>
      <w:bookmarkStart w:id="4" w:name="_Toc35393807"/>
      <w:bookmarkStart w:id="5" w:name="_Toc35393638"/>
      <w:bookmarkStart w:id="6" w:name="_Toc28359020"/>
      <w:bookmarkStart w:id="7" w:name="_Toc28359097"/>
      <w:r>
        <w:rPr>
          <w:rFonts w:hint="eastAsia" w:ascii="仿宋" w:hAnsi="仿宋" w:eastAsia="仿宋" w:cs="仿宋"/>
          <w:color w:val="auto"/>
          <w:sz w:val="24"/>
          <w:szCs w:val="24"/>
          <w:highlight w:val="none"/>
        </w:rPr>
        <w:t>2.采购代理机构信息</w:t>
      </w:r>
      <w:bookmarkEnd w:id="4"/>
      <w:bookmarkEnd w:id="5"/>
      <w:bookmarkEnd w:id="6"/>
      <w:bookmarkEnd w:id="7"/>
      <w:r>
        <w:rPr>
          <w:rFonts w:hint="eastAsia" w:ascii="仿宋" w:hAnsi="仿宋" w:eastAsia="仿宋" w:cs="仿宋"/>
          <w:color w:val="auto"/>
          <w:sz w:val="24"/>
          <w:szCs w:val="24"/>
          <w:highlight w:val="none"/>
        </w:rPr>
        <w:t>：</w:t>
      </w:r>
    </w:p>
    <w:p w14:paraId="189648D0">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浙江佰顺项目管理有限公司</w:t>
      </w:r>
      <w:r>
        <w:rPr>
          <w:rFonts w:hint="eastAsia" w:ascii="仿宋" w:hAnsi="仿宋" w:eastAsia="仿宋" w:cs="仿宋"/>
          <w:color w:val="auto"/>
          <w:sz w:val="24"/>
          <w:szCs w:val="24"/>
          <w:highlight w:val="none"/>
        </w:rPr>
        <w:t xml:space="preserve">             </w:t>
      </w:r>
    </w:p>
    <w:p w14:paraId="261B7DE2">
      <w:pPr>
        <w:pageBreakBefore w:val="0"/>
        <w:widowControl w:val="0"/>
        <w:kinsoku/>
        <w:wordWrap/>
        <w:overflowPunct/>
        <w:topLinePunct w:val="0"/>
        <w:autoSpaceDE/>
        <w:autoSpaceDN/>
        <w:bidi w:val="0"/>
        <w:snapToGrid w:val="0"/>
        <w:spacing w:line="360"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址：浙江省诸暨市</w:t>
      </w:r>
      <w:r>
        <w:rPr>
          <w:rFonts w:hint="eastAsia" w:ascii="仿宋" w:hAnsi="仿宋" w:eastAsia="仿宋" w:cs="仿宋"/>
          <w:color w:val="auto"/>
          <w:sz w:val="24"/>
          <w:szCs w:val="24"/>
          <w:highlight w:val="none"/>
          <w:lang w:val="en-US" w:eastAsia="zh-CN"/>
        </w:rPr>
        <w:t>浣东街道东一路80号中瑞大厦7楼</w:t>
      </w:r>
    </w:p>
    <w:p w14:paraId="49E2F0FD">
      <w:pPr>
        <w:pageBreakBefore w:val="0"/>
        <w:widowControl w:val="0"/>
        <w:kinsoku/>
        <w:wordWrap/>
        <w:overflowPunct/>
        <w:topLinePunct w:val="0"/>
        <w:autoSpaceDE/>
        <w:autoSpaceDN/>
        <w:bidi w:val="0"/>
        <w:snapToGrid w:val="0"/>
        <w:spacing w:line="360"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徐工</w:t>
      </w:r>
    </w:p>
    <w:p w14:paraId="0D3F71B3">
      <w:pPr>
        <w:pageBreakBefore w:val="0"/>
        <w:widowControl w:val="0"/>
        <w:kinsoku/>
        <w:wordWrap/>
        <w:overflowPunct/>
        <w:topLinePunct w:val="0"/>
        <w:autoSpaceDE/>
        <w:autoSpaceDN/>
        <w:bidi w:val="0"/>
        <w:snapToGrid w:val="0"/>
        <w:spacing w:line="360"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highlight w:val="none"/>
          <w:lang w:val="en-US" w:eastAsia="zh-CN"/>
        </w:rPr>
        <w:t>工作电话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18157502680</w:t>
      </w:r>
    </w:p>
    <w:p w14:paraId="484CB007">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陈工</w:t>
      </w:r>
      <w:r>
        <w:rPr>
          <w:rFonts w:hint="eastAsia" w:ascii="仿宋" w:hAnsi="仿宋" w:eastAsia="仿宋" w:cs="仿宋"/>
          <w:color w:val="auto"/>
          <w:sz w:val="24"/>
          <w:szCs w:val="24"/>
          <w:highlight w:val="none"/>
        </w:rPr>
        <w:t xml:space="preserve">             </w:t>
      </w:r>
    </w:p>
    <w:p w14:paraId="6CA276D2">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质疑联系方式：0575-87380899</w:t>
      </w:r>
    </w:p>
    <w:p w14:paraId="2A384B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p>
    <w:p w14:paraId="79F3962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若对项目采购电子交易系统操作有疑问，可登录乐采云平台（www.lecaiyun.com），点击右侧咨询小采，获取采小蜜智能服务管家帮助，或拨打</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采云服务热线95763获取热线服务帮助。        </w:t>
      </w:r>
    </w:p>
    <w:p w14:paraId="6D9DE137">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103D0A9">
      <w:pPr>
        <w:spacing w:line="360" w:lineRule="auto"/>
        <w:jc w:val="center"/>
        <w:rPr>
          <w:rFonts w:hint="eastAsia" w:ascii="仿宋" w:hAnsi="仿宋" w:eastAsia="仿宋" w:cs="仿宋"/>
          <w:b/>
          <w:bCs/>
          <w:color w:val="auto"/>
          <w:sz w:val="36"/>
          <w:szCs w:val="36"/>
          <w:highlight w:val="none"/>
        </w:rPr>
      </w:pPr>
    </w:p>
    <w:p w14:paraId="4BEA02F5">
      <w:pPr>
        <w:spacing w:line="360" w:lineRule="auto"/>
        <w:jc w:val="center"/>
        <w:rPr>
          <w:rFonts w:hint="eastAsia" w:ascii="仿宋" w:hAnsi="仿宋" w:eastAsia="仿宋" w:cs="仿宋"/>
          <w:b/>
          <w:bCs/>
          <w:color w:val="auto"/>
          <w:sz w:val="36"/>
          <w:szCs w:val="36"/>
          <w:highlight w:val="none"/>
        </w:rPr>
      </w:pPr>
    </w:p>
    <w:p w14:paraId="7AE538E1">
      <w:pPr>
        <w:spacing w:line="360" w:lineRule="auto"/>
        <w:jc w:val="center"/>
        <w:rPr>
          <w:rFonts w:hint="eastAsia" w:ascii="仿宋" w:hAnsi="仿宋" w:eastAsia="仿宋" w:cs="仿宋"/>
          <w:b/>
          <w:bCs/>
          <w:color w:val="auto"/>
          <w:sz w:val="36"/>
          <w:szCs w:val="36"/>
          <w:highlight w:val="none"/>
        </w:rPr>
      </w:pPr>
    </w:p>
    <w:p w14:paraId="7A45A02A">
      <w:pPr>
        <w:spacing w:line="360" w:lineRule="auto"/>
        <w:jc w:val="center"/>
        <w:rPr>
          <w:rFonts w:hint="eastAsia" w:ascii="仿宋" w:hAnsi="仿宋" w:eastAsia="仿宋" w:cs="仿宋"/>
          <w:b/>
          <w:bCs/>
          <w:color w:val="auto"/>
          <w:sz w:val="36"/>
          <w:szCs w:val="36"/>
          <w:highlight w:val="none"/>
        </w:rPr>
      </w:pPr>
    </w:p>
    <w:p w14:paraId="5B1765AD">
      <w:pPr>
        <w:spacing w:line="360" w:lineRule="auto"/>
        <w:jc w:val="center"/>
        <w:rPr>
          <w:rFonts w:hint="eastAsia" w:ascii="仿宋" w:hAnsi="仿宋" w:eastAsia="仿宋" w:cs="仿宋"/>
          <w:b/>
          <w:bCs/>
          <w:color w:val="auto"/>
          <w:sz w:val="36"/>
          <w:szCs w:val="36"/>
          <w:highlight w:val="none"/>
        </w:rPr>
      </w:pPr>
    </w:p>
    <w:p w14:paraId="5C1709A8">
      <w:pPr>
        <w:spacing w:line="360" w:lineRule="auto"/>
        <w:jc w:val="center"/>
        <w:rPr>
          <w:rFonts w:hint="eastAsia" w:ascii="仿宋" w:hAnsi="仿宋" w:eastAsia="仿宋" w:cs="仿宋"/>
          <w:b/>
          <w:bCs/>
          <w:color w:val="auto"/>
          <w:sz w:val="36"/>
          <w:szCs w:val="36"/>
          <w:highlight w:val="none"/>
        </w:rPr>
      </w:pPr>
    </w:p>
    <w:p w14:paraId="5BD7E0E6">
      <w:pPr>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第二章   投标须知</w:t>
      </w:r>
    </w:p>
    <w:p w14:paraId="44233B5F">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前  附  表</w:t>
      </w:r>
    </w:p>
    <w:tbl>
      <w:tblPr>
        <w:tblStyle w:val="24"/>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14:paraId="12C06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B410A8">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23FF9F1">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F3355B4">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说明与要求</w:t>
            </w:r>
          </w:p>
        </w:tc>
      </w:tr>
      <w:tr w14:paraId="2591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78E3C8">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5EDB551">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4201393">
            <w:pPr>
              <w:keepNext w:val="0"/>
              <w:keepLines w:val="0"/>
              <w:pageBreakBefore w:val="0"/>
              <w:widowControl w:val="0"/>
              <w:kinsoku/>
              <w:wordWrap/>
              <w:overflowPunct/>
              <w:topLinePunct w:val="0"/>
              <w:bidi w:val="0"/>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诸暨市城市生活污水治理扩面提效项目—大唐街道开元路等6条道路雨污分流改造提升工程地下管线排查服务采购项目</w:t>
            </w:r>
          </w:p>
        </w:tc>
      </w:tr>
      <w:tr w14:paraId="7114B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CA8DF2">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5126464">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8945B2D">
            <w:pPr>
              <w:pStyle w:val="11"/>
              <w:keepNext w:val="0"/>
              <w:keepLines w:val="0"/>
              <w:pageBreakBefore w:val="0"/>
              <w:widowControl w:val="0"/>
              <w:kinsoku/>
              <w:wordWrap/>
              <w:overflowPunct/>
              <w:topLinePunct w:val="0"/>
              <w:bidi w:val="0"/>
              <w:spacing w:line="312" w:lineRule="auto"/>
              <w:ind w:right="-107" w:rightChars="-5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公开招标</w:t>
            </w:r>
          </w:p>
        </w:tc>
      </w:tr>
      <w:tr w14:paraId="68F78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CCCA538">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A2D3E87">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157AC52">
            <w:pPr>
              <w:pStyle w:val="11"/>
              <w:keepNext w:val="0"/>
              <w:keepLines w:val="0"/>
              <w:pageBreakBefore w:val="0"/>
              <w:widowControl w:val="0"/>
              <w:kinsoku/>
              <w:wordWrap/>
              <w:overflowPunct/>
              <w:topLinePunct w:val="0"/>
              <w:bidi w:val="0"/>
              <w:spacing w:line="312" w:lineRule="auto"/>
              <w:ind w:right="-107" w:rightChars="-51"/>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w:t>
            </w:r>
          </w:p>
        </w:tc>
      </w:tr>
      <w:tr w14:paraId="01E2E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60ED3B3">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C2D488A">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val="en-US" w:eastAsia="zh-CN"/>
              </w:rPr>
              <w:t>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E7985E2">
            <w:pPr>
              <w:pStyle w:val="30"/>
              <w:keepNext w:val="0"/>
              <w:keepLines w:val="0"/>
              <w:pageBreakBefore w:val="0"/>
              <w:widowControl w:val="0"/>
              <w:kinsoku/>
              <w:wordWrap/>
              <w:overflowPunct/>
              <w:topLinePunct w:val="0"/>
              <w:autoSpaceDE w:val="0"/>
              <w:autoSpaceDN w:val="0"/>
              <w:bidi w:val="0"/>
              <w:adjustRightInd w:val="0"/>
              <w:snapToGrid/>
              <w:spacing w:after="0" w:line="312" w:lineRule="auto"/>
              <w:ind w:left="0" w:leftChars="0" w:firstLine="0" w:firstLineChars="0"/>
              <w:textAlignment w:val="auto"/>
              <w:rPr>
                <w:rFonts w:hint="eastAsia" w:ascii="仿宋" w:hAnsi="仿宋" w:eastAsia="仿宋" w:cs="仿宋"/>
                <w:b/>
                <w:color w:val="auto"/>
                <w:sz w:val="24"/>
                <w:szCs w:val="24"/>
                <w:highlight w:val="none"/>
                <w:u w:val="single"/>
                <w:lang w:eastAsia="zh-CN"/>
              </w:rPr>
            </w:pPr>
            <w:r>
              <w:rPr>
                <w:rFonts w:hint="eastAsia" w:ascii="仿宋" w:hAnsi="仿宋" w:eastAsia="仿宋" w:cs="仿宋"/>
                <w:b w:val="0"/>
                <w:bCs/>
                <w:color w:val="auto"/>
                <w:sz w:val="24"/>
                <w:szCs w:val="24"/>
                <w:highlight w:val="none"/>
                <w:u w:val="none"/>
                <w:lang w:val="en-US" w:eastAsia="zh-CN"/>
              </w:rPr>
              <w:t>本次采购按折扣率进行报价，最高折扣率为80.00%，任何超过最高限价的报价将被认定为无效报价（报价包括履行本项目所有规定服务所产生的全部税金、利润和费用，投标人应充分考虑并将有关本项目实施所涉及的一切费用均计入报价）。</w:t>
            </w:r>
            <w:r>
              <w:rPr>
                <w:rFonts w:hint="eastAsia" w:ascii="仿宋" w:hAnsi="仿宋" w:eastAsia="仿宋" w:cs="仿宋"/>
                <w:b w:val="0"/>
                <w:bCs/>
                <w:color w:val="auto"/>
                <w:sz w:val="24"/>
                <w:szCs w:val="24"/>
                <w:highlight w:val="none"/>
                <w:u w:val="none"/>
                <w:lang w:eastAsia="zh-CN"/>
              </w:rPr>
              <w:t>最高合同</w:t>
            </w:r>
            <w:r>
              <w:rPr>
                <w:rFonts w:hint="eastAsia" w:ascii="仿宋" w:hAnsi="仿宋" w:eastAsia="仿宋" w:cs="仿宋"/>
                <w:b w:val="0"/>
                <w:bCs/>
                <w:color w:val="auto"/>
                <w:sz w:val="24"/>
                <w:szCs w:val="24"/>
                <w:highlight w:val="none"/>
                <w:u w:val="none"/>
                <w:lang w:val="en-US" w:eastAsia="zh-CN"/>
              </w:rPr>
              <w:t>结算</w:t>
            </w:r>
            <w:r>
              <w:rPr>
                <w:rFonts w:hint="eastAsia" w:ascii="仿宋" w:hAnsi="仿宋" w:eastAsia="仿宋" w:cs="仿宋"/>
                <w:b w:val="0"/>
                <w:bCs/>
                <w:color w:val="auto"/>
                <w:sz w:val="24"/>
                <w:szCs w:val="24"/>
                <w:highlight w:val="none"/>
                <w:u w:val="none"/>
                <w:lang w:eastAsia="zh-CN"/>
              </w:rPr>
              <w:t>金额</w:t>
            </w:r>
            <w:r>
              <w:rPr>
                <w:rFonts w:hint="eastAsia" w:ascii="仿宋" w:hAnsi="仿宋" w:eastAsia="仿宋" w:cs="仿宋"/>
                <w:b w:val="0"/>
                <w:bCs/>
                <w:color w:val="auto"/>
                <w:sz w:val="24"/>
                <w:szCs w:val="24"/>
                <w:highlight w:val="none"/>
                <w:u w:val="none"/>
                <w:lang w:val="en-US" w:eastAsia="zh-CN"/>
              </w:rPr>
              <w:t>为</w:t>
            </w:r>
            <w:r>
              <w:rPr>
                <w:rFonts w:hint="eastAsia" w:ascii="仿宋" w:hAnsi="仿宋" w:eastAsia="仿宋" w:cs="仿宋"/>
                <w:b w:val="0"/>
                <w:bCs/>
                <w:color w:val="auto"/>
                <w:sz w:val="24"/>
                <w:szCs w:val="24"/>
                <w:highlight w:val="none"/>
                <w:u w:val="none"/>
                <w:lang w:eastAsia="zh-CN"/>
              </w:rPr>
              <w:t>人民币</w:t>
            </w:r>
            <w:r>
              <w:rPr>
                <w:rFonts w:hint="eastAsia" w:ascii="仿宋" w:hAnsi="仿宋" w:eastAsia="仿宋" w:cs="仿宋"/>
                <w:b w:val="0"/>
                <w:bCs/>
                <w:color w:val="auto"/>
                <w:sz w:val="24"/>
                <w:szCs w:val="24"/>
                <w:highlight w:val="none"/>
                <w:u w:val="none"/>
                <w:lang w:val="en-US" w:eastAsia="zh-CN"/>
              </w:rPr>
              <w:t>陆拾万</w:t>
            </w:r>
            <w:r>
              <w:rPr>
                <w:rFonts w:hint="eastAsia" w:ascii="仿宋" w:hAnsi="仿宋" w:eastAsia="仿宋" w:cs="仿宋"/>
                <w:b w:val="0"/>
                <w:bCs/>
                <w:color w:val="auto"/>
                <w:sz w:val="24"/>
                <w:szCs w:val="24"/>
                <w:highlight w:val="none"/>
                <w:u w:val="none"/>
                <w:lang w:eastAsia="zh-CN"/>
              </w:rPr>
              <w:t>元整（¥</w:t>
            </w:r>
            <w:r>
              <w:rPr>
                <w:rFonts w:hint="eastAsia" w:ascii="仿宋" w:hAnsi="仿宋" w:eastAsia="仿宋" w:cs="仿宋"/>
                <w:b w:val="0"/>
                <w:bCs/>
                <w:color w:val="auto"/>
                <w:sz w:val="24"/>
                <w:szCs w:val="24"/>
                <w:highlight w:val="none"/>
                <w:u w:val="none"/>
                <w:lang w:val="en-US" w:eastAsia="zh-CN"/>
              </w:rPr>
              <w:t>600000</w:t>
            </w:r>
            <w:r>
              <w:rPr>
                <w:rFonts w:hint="eastAsia" w:ascii="仿宋" w:hAnsi="仿宋" w:eastAsia="仿宋" w:cs="仿宋"/>
                <w:b w:val="0"/>
                <w:bCs/>
                <w:color w:val="auto"/>
                <w:sz w:val="24"/>
                <w:szCs w:val="24"/>
                <w:highlight w:val="none"/>
                <w:u w:val="none"/>
                <w:lang w:eastAsia="zh-CN"/>
              </w:rPr>
              <w:t>.00）。</w:t>
            </w:r>
          </w:p>
        </w:tc>
      </w:tr>
      <w:tr w14:paraId="6038B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F6105B">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1CA614B">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F41D187">
            <w:pPr>
              <w:keepNext w:val="0"/>
              <w:keepLines w:val="0"/>
              <w:pageBreakBefore w:val="0"/>
              <w:widowControl w:val="0"/>
              <w:kinsoku/>
              <w:wordWrap/>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详见招标公告</w:t>
            </w:r>
            <w:r>
              <w:rPr>
                <w:rFonts w:hint="eastAsia" w:ascii="仿宋" w:hAnsi="仿宋" w:eastAsia="仿宋" w:cs="仿宋"/>
                <w:color w:val="auto"/>
                <w:sz w:val="24"/>
                <w:szCs w:val="24"/>
                <w:highlight w:val="none"/>
                <w:lang w:eastAsia="zh-CN"/>
              </w:rPr>
              <w:t>。</w:t>
            </w:r>
          </w:p>
        </w:tc>
      </w:tr>
      <w:tr w14:paraId="62CE2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6DDB038">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9200043">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917D044">
            <w:pPr>
              <w:pStyle w:val="11"/>
              <w:keepNext w:val="0"/>
              <w:keepLines w:val="0"/>
              <w:pageBreakBefore w:val="0"/>
              <w:widowControl w:val="0"/>
              <w:kinsoku/>
              <w:wordWrap/>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tc>
      </w:tr>
      <w:tr w14:paraId="48A7A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89D54A">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BAA1647">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B8DDB2E">
            <w:pPr>
              <w:keepNext w:val="0"/>
              <w:keepLines w:val="0"/>
              <w:pageBreakBefore w:val="0"/>
              <w:widowControl w:val="0"/>
              <w:kinsoku/>
              <w:wordWrap/>
              <w:overflowPunct/>
              <w:topLinePunct w:val="0"/>
              <w:bidi w:val="0"/>
              <w:snapToGrid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个标的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采购人将整体择定中标人。</w:t>
            </w:r>
          </w:p>
        </w:tc>
      </w:tr>
      <w:tr w14:paraId="6DEE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22E815">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83F0814">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D363C34">
            <w:pPr>
              <w:pStyle w:val="11"/>
              <w:keepNext w:val="0"/>
              <w:keepLines w:val="0"/>
              <w:pageBreakBefore w:val="0"/>
              <w:widowControl w:val="0"/>
              <w:kinsoku/>
              <w:wordWrap/>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供应商资格采用资格后审方式，以确定投标人是否具备投标资格。</w:t>
            </w:r>
          </w:p>
        </w:tc>
      </w:tr>
      <w:tr w14:paraId="5CDA0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55AA5E1">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21A7E84">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w:t>
            </w:r>
          </w:p>
          <w:p w14:paraId="4357AB19">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获取</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AFB9159">
            <w:pPr>
              <w:pStyle w:val="35"/>
              <w:keepNext w:val="0"/>
              <w:keepLines w:val="0"/>
              <w:pageBreakBefore w:val="0"/>
              <w:widowControl w:val="0"/>
              <w:kinsoku/>
              <w:wordWrap/>
              <w:overflowPunct/>
              <w:topLinePunct w:val="0"/>
              <w:bidi w:val="0"/>
              <w:spacing w:after="0" w:afterLines="0" w:line="312"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详见招标公告。</w:t>
            </w:r>
          </w:p>
        </w:tc>
      </w:tr>
      <w:tr w14:paraId="08C4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2B7275">
            <w:pPr>
              <w:pStyle w:val="11"/>
              <w:keepNext w:val="0"/>
              <w:keepLines w:val="0"/>
              <w:pageBreakBefore w:val="0"/>
              <w:widowControl w:val="0"/>
              <w:kinsoku/>
              <w:wordWrap/>
              <w:overflowPunct/>
              <w:topLinePunct w:val="0"/>
              <w:bidi w:val="0"/>
              <w:adjustRightInd w:val="0"/>
              <w:snapToGrid/>
              <w:spacing w:line="312"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8D933FC">
            <w:pPr>
              <w:pStyle w:val="11"/>
              <w:keepNext w:val="0"/>
              <w:keepLines w:val="0"/>
              <w:pageBreakBefore w:val="0"/>
              <w:widowControl w:val="0"/>
              <w:kinsoku/>
              <w:wordWrap/>
              <w:overflowPunct/>
              <w:topLinePunct w:val="0"/>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CBD6092">
            <w:pPr>
              <w:pStyle w:val="35"/>
              <w:keepNext w:val="0"/>
              <w:keepLines w:val="0"/>
              <w:pageBreakBefore w:val="0"/>
              <w:widowControl w:val="0"/>
              <w:kinsoku/>
              <w:wordWrap/>
              <w:overflowPunct/>
              <w:topLinePunct w:val="0"/>
              <w:bidi w:val="0"/>
              <w:spacing w:after="0" w:afterLines="0" w:line="312"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按招标公告要求</w:t>
            </w:r>
            <w:r>
              <w:rPr>
                <w:rFonts w:hint="eastAsia" w:ascii="仿宋" w:hAnsi="仿宋" w:eastAsia="仿宋" w:cs="仿宋"/>
                <w:color w:val="auto"/>
                <w:sz w:val="24"/>
                <w:szCs w:val="24"/>
                <w:highlight w:val="none"/>
              </w:rPr>
              <w:t>。</w:t>
            </w:r>
          </w:p>
        </w:tc>
      </w:tr>
      <w:tr w14:paraId="189E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9614D1">
            <w:pPr>
              <w:pStyle w:val="11"/>
              <w:keepNext w:val="0"/>
              <w:keepLines w:val="0"/>
              <w:pageBreakBefore w:val="0"/>
              <w:widowControl w:val="0"/>
              <w:kinsoku/>
              <w:wordWrap/>
              <w:overflowPunct/>
              <w:topLinePunct w:val="0"/>
              <w:bidi w:val="0"/>
              <w:adjustRightInd w:val="0"/>
              <w:snapToGrid/>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0999809">
            <w:pPr>
              <w:pStyle w:val="11"/>
              <w:keepNext w:val="0"/>
              <w:keepLines w:val="0"/>
              <w:pageBreakBefore w:val="0"/>
              <w:widowControl w:val="0"/>
              <w:kinsoku/>
              <w:wordWrap/>
              <w:overflowPunct/>
              <w:topLinePunct w:val="0"/>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5BE2BF1">
            <w:pPr>
              <w:pStyle w:val="11"/>
              <w:keepNext w:val="0"/>
              <w:keepLines w:val="0"/>
              <w:pageBreakBefore w:val="0"/>
              <w:widowControl w:val="0"/>
              <w:numPr>
                <w:ilvl w:val="0"/>
                <w:numId w:val="0"/>
              </w:numPr>
              <w:kinsoku/>
              <w:wordWrap/>
              <w:overflowPunct/>
              <w:topLinePunct w:val="0"/>
              <w:bidi w:val="0"/>
              <w:adjustRightInd w:val="0"/>
              <w:snapToGrid/>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rPr>
              <w:t>符合参加采购活动应当具备的一般条件的承诺函</w:t>
            </w:r>
            <w:r>
              <w:rPr>
                <w:rFonts w:hint="eastAsia" w:ascii="仿宋" w:hAnsi="仿宋" w:eastAsia="仿宋" w:cs="仿宋"/>
                <w:color w:val="auto"/>
                <w:sz w:val="24"/>
                <w:szCs w:val="24"/>
                <w:highlight w:val="none"/>
                <w:lang w:eastAsia="zh-CN"/>
              </w:rPr>
              <w:t>；</w:t>
            </w:r>
          </w:p>
          <w:p w14:paraId="7104E3FC">
            <w:pPr>
              <w:pStyle w:val="11"/>
              <w:keepNext w:val="0"/>
              <w:keepLines w:val="0"/>
              <w:pageBreakBefore w:val="0"/>
              <w:widowControl w:val="0"/>
              <w:numPr>
                <w:ilvl w:val="0"/>
                <w:numId w:val="0"/>
              </w:numPr>
              <w:kinsoku/>
              <w:wordWrap/>
              <w:overflowPunct/>
              <w:topLinePunct w:val="0"/>
              <w:bidi w:val="0"/>
              <w:adjustRightInd w:val="0"/>
              <w:snapToGrid/>
              <w:spacing w:line="312"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rPr>
              <w:t>营业执照复印件（加盖单位公章）；</w:t>
            </w:r>
          </w:p>
          <w:p w14:paraId="49C79ACD">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b/>
                <w:bCs/>
                <w:color w:val="auto"/>
                <w:sz w:val="24"/>
                <w:szCs w:val="24"/>
                <w:highlight w:val="none"/>
              </w:rPr>
              <w:t>（投标人代表若为授权委托代表须提供法定代表人授权委托书及双方身份证复印件；投标人代表若为法定代表人仅须提供法人身份证复印件）格式见附件</w:t>
            </w:r>
            <w:r>
              <w:rPr>
                <w:rFonts w:hint="eastAsia" w:ascii="仿宋" w:hAnsi="仿宋" w:eastAsia="仿宋" w:cs="仿宋"/>
                <w:color w:val="auto"/>
                <w:sz w:val="24"/>
                <w:szCs w:val="24"/>
                <w:highlight w:val="none"/>
              </w:rPr>
              <w:t>；</w:t>
            </w:r>
          </w:p>
          <w:p w14:paraId="0A297BC5">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特定的资格证明材料复印件</w:t>
            </w:r>
            <w:r>
              <w:rPr>
                <w:rFonts w:hint="eastAsia" w:ascii="仿宋" w:hAnsi="仿宋" w:eastAsia="仿宋" w:cs="仿宋"/>
                <w:color w:val="auto"/>
                <w:sz w:val="24"/>
                <w:szCs w:val="24"/>
                <w:highlight w:val="none"/>
              </w:rPr>
              <w:t>（加盖单位公章）；</w:t>
            </w:r>
          </w:p>
          <w:p w14:paraId="1473B6EF">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tc>
      </w:tr>
      <w:tr w14:paraId="133A3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D3E946E">
            <w:pPr>
              <w:pStyle w:val="11"/>
              <w:keepNext w:val="0"/>
              <w:keepLines w:val="0"/>
              <w:pageBreakBefore w:val="0"/>
              <w:widowControl w:val="0"/>
              <w:kinsoku/>
              <w:wordWrap/>
              <w:overflowPunct/>
              <w:topLinePunct w:val="0"/>
              <w:bidi w:val="0"/>
              <w:adjustRightInd w:val="0"/>
              <w:snapToGrid/>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91A72F6">
            <w:pPr>
              <w:keepNext w:val="0"/>
              <w:keepLines w:val="0"/>
              <w:pageBreakBefore w:val="0"/>
              <w:widowControl w:val="0"/>
              <w:kinsoku/>
              <w:wordWrap/>
              <w:overflowPunct/>
              <w:topLinePunct w:val="0"/>
              <w:bidi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商务技术文件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60E3BAA">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Cs w:val="24"/>
              </w:rPr>
              <w:t>投标函</w:t>
            </w:r>
            <w:r>
              <w:rPr>
                <w:rFonts w:hint="eastAsia" w:ascii="仿宋" w:hAnsi="仿宋" w:eastAsia="仿宋" w:cs="仿宋"/>
                <w:b w:val="0"/>
                <w:bCs w:val="0"/>
                <w:color w:val="auto"/>
                <w:sz w:val="24"/>
                <w:szCs w:val="24"/>
                <w:highlight w:val="none"/>
                <w:lang w:val="en-US" w:eastAsia="zh-CN"/>
              </w:rPr>
              <w:t>；</w:t>
            </w:r>
          </w:p>
          <w:p w14:paraId="42015F48">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（2）符合性审查资料；</w:t>
            </w:r>
          </w:p>
          <w:p w14:paraId="6A533CCF">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（3）响应采购文件所需的商务技术资料；</w:t>
            </w:r>
          </w:p>
          <w:p w14:paraId="184DCDA7">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（4）商务技术偏离表；</w:t>
            </w:r>
          </w:p>
          <w:p w14:paraId="1439B7F4">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（5）供应商廉洁自律承诺书；</w:t>
            </w:r>
          </w:p>
          <w:p w14:paraId="4281D598">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（6）投标人需要说明的其他文件和说明。</w:t>
            </w:r>
          </w:p>
          <w:p w14:paraId="74A10718">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注：投标人在“商务技术文件”中应对招标文件作实质性响应，该项内容将作为评标重要指标。</w:t>
            </w:r>
          </w:p>
        </w:tc>
      </w:tr>
      <w:tr w14:paraId="324E1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816E61F">
            <w:pPr>
              <w:pStyle w:val="11"/>
              <w:keepNext w:val="0"/>
              <w:keepLines w:val="0"/>
              <w:pageBreakBefore w:val="0"/>
              <w:widowControl w:val="0"/>
              <w:kinsoku/>
              <w:wordWrap/>
              <w:overflowPunct/>
              <w:topLinePunct w:val="0"/>
              <w:bidi w:val="0"/>
              <w:adjustRightInd w:val="0"/>
              <w:snapToGrid/>
              <w:spacing w:line="312" w:lineRule="auto"/>
              <w:jc w:val="center"/>
              <w:textAlignment w:val="auto"/>
              <w:rPr>
                <w:rFonts w:hint="eastAsia" w:ascii="仿宋" w:hAnsi="仿宋" w:eastAsia="仿宋" w:cs="仿宋"/>
                <w:b/>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6A9D22D">
            <w:pPr>
              <w:pStyle w:val="11"/>
              <w:keepNext w:val="0"/>
              <w:keepLines w:val="0"/>
              <w:pageBreakBefore w:val="0"/>
              <w:widowControl w:val="0"/>
              <w:kinsoku/>
              <w:wordWrap/>
              <w:overflowPunct/>
              <w:topLinePunct w:val="0"/>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报价文件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107C425">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（1）开标一览表（格式见附件）；</w:t>
            </w:r>
          </w:p>
          <w:p w14:paraId="3F85D644">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（2）投标承诺书（格式见附件）；</w:t>
            </w:r>
          </w:p>
          <w:p w14:paraId="558D15A4">
            <w:pPr>
              <w:pStyle w:val="11"/>
              <w:keepNext w:val="0"/>
              <w:keepLines w:val="0"/>
              <w:pageBreakBefore w:val="0"/>
              <w:widowControl w:val="0"/>
              <w:kinsoku/>
              <w:wordWrap/>
              <w:overflowPunct/>
              <w:topLinePunct w:val="0"/>
              <w:bidi w:val="0"/>
              <w:adjustRightInd w:val="0"/>
              <w:snapToGrid/>
              <w:spacing w:line="312"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（3）投标人需要说明的其他文件和说明（格式自拟）。</w:t>
            </w:r>
          </w:p>
        </w:tc>
      </w:tr>
      <w:tr w14:paraId="06366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C53619">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8205C89">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A896C90">
            <w:pPr>
              <w:keepNext w:val="0"/>
              <w:keepLines w:val="0"/>
              <w:pageBreakBefore w:val="0"/>
              <w:widowControl w:val="0"/>
              <w:tabs>
                <w:tab w:val="left" w:pos="3870"/>
                <w:tab w:val="left" w:pos="4085"/>
              </w:tabs>
              <w:kinsoku/>
              <w:wordWrap/>
              <w:overflowPunct/>
              <w:topLinePunct w:val="0"/>
              <w:bidi w:val="0"/>
              <w:snapToGrid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文件要求执行</w:t>
            </w:r>
          </w:p>
        </w:tc>
      </w:tr>
      <w:tr w14:paraId="66A3D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B01F8FE">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985E97E">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CF75628">
            <w:pPr>
              <w:keepNext w:val="0"/>
              <w:keepLines w:val="0"/>
              <w:pageBreakBefore w:val="0"/>
              <w:widowControl w:val="0"/>
              <w:kinsoku/>
              <w:wordWrap/>
              <w:overflowPunct/>
              <w:topLinePunct w:val="0"/>
              <w:bidi w:val="0"/>
              <w:spacing w:line="312"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文件要求执行</w:t>
            </w:r>
          </w:p>
        </w:tc>
      </w:tr>
      <w:tr w14:paraId="05BA3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540CB3">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F85E481">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E721501">
            <w:pPr>
              <w:pStyle w:val="11"/>
              <w:keepNext w:val="0"/>
              <w:keepLines w:val="0"/>
              <w:pageBreakBefore w:val="0"/>
              <w:widowControl w:val="0"/>
              <w:kinsoku/>
              <w:wordWrap/>
              <w:overflowPunct/>
              <w:topLinePunct w:val="0"/>
              <w:bidi w:val="0"/>
              <w:spacing w:line="312"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自投标截止日起90天。如采购代理机构认为必要，可延长投标有效期。</w:t>
            </w:r>
          </w:p>
        </w:tc>
      </w:tr>
      <w:tr w14:paraId="10F0C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67699E1">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27C96AE">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D26B80D">
            <w:pPr>
              <w:pStyle w:val="11"/>
              <w:keepNext w:val="0"/>
              <w:keepLines w:val="0"/>
              <w:pageBreakBefore w:val="0"/>
              <w:widowControl w:val="0"/>
              <w:kinsoku/>
              <w:wordWrap/>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中标通知书发出后30日内</w:t>
            </w:r>
          </w:p>
        </w:tc>
      </w:tr>
      <w:tr w14:paraId="4F3B4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C7AB5BC">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7694184">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E4C3183">
            <w:pPr>
              <w:pStyle w:val="11"/>
              <w:keepNext w:val="0"/>
              <w:keepLines w:val="0"/>
              <w:pageBreakBefore w:val="0"/>
              <w:widowControl w:val="0"/>
              <w:kinsoku/>
              <w:wordWrap/>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本项目不允许转包和分包。</w:t>
            </w:r>
          </w:p>
        </w:tc>
      </w:tr>
      <w:tr w14:paraId="565A7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9C6F11">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24F8A84">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45064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lang w:val="en-US" w:eastAsia="zh-CN"/>
              </w:rPr>
              <w:t>项目实施前，</w:t>
            </w:r>
            <w:r>
              <w:rPr>
                <w:rFonts w:hint="eastAsia" w:ascii="仿宋" w:hAnsi="仿宋" w:eastAsia="仿宋" w:cs="仿宋"/>
                <w:color w:val="auto"/>
                <w:kern w:val="0"/>
                <w:sz w:val="24"/>
                <w:szCs w:val="24"/>
                <w:highlight w:val="none"/>
                <w:lang w:val="en-US" w:eastAsia="zh-CN" w:bidi="ar"/>
              </w:rPr>
              <w:t>中标人须向采购单位缴纳</w:t>
            </w:r>
            <w:r>
              <w:rPr>
                <w:rFonts w:hint="eastAsia" w:ascii="仿宋" w:hAnsi="仿宋" w:eastAsia="仿宋" w:cs="宋体"/>
                <w:color w:val="auto"/>
                <w:sz w:val="24"/>
                <w:szCs w:val="24"/>
                <w:highlight w:val="none"/>
                <w:lang w:val="en-US" w:eastAsia="zh-CN"/>
              </w:rPr>
              <w:t>合同</w:t>
            </w:r>
            <w:r>
              <w:rPr>
                <w:rFonts w:hint="eastAsia" w:ascii="仿宋" w:hAnsi="仿宋" w:eastAsia="仿宋" w:cs="宋体"/>
                <w:color w:val="auto"/>
                <w:sz w:val="24"/>
                <w:szCs w:val="24"/>
                <w:highlight w:val="none"/>
              </w:rPr>
              <w:t>金额的1%</w:t>
            </w:r>
            <w:r>
              <w:rPr>
                <w:rFonts w:hint="eastAsia" w:ascii="仿宋" w:hAnsi="仿宋" w:eastAsia="仿宋" w:cs="仿宋"/>
                <w:color w:val="auto"/>
                <w:kern w:val="0"/>
                <w:sz w:val="24"/>
                <w:szCs w:val="24"/>
                <w:highlight w:val="none"/>
                <w:lang w:val="en-US" w:eastAsia="zh-CN" w:bidi="ar"/>
              </w:rPr>
              <w:t>履约保证金（</w:t>
            </w:r>
            <w:r>
              <w:rPr>
                <w:rFonts w:hint="eastAsia" w:ascii="仿宋" w:hAnsi="仿宋" w:eastAsia="仿宋" w:cs="仿宋"/>
                <w:color w:val="auto"/>
                <w:sz w:val="24"/>
                <w:highlight w:val="none"/>
                <w:lang w:val="en-US" w:eastAsia="zh-CN"/>
              </w:rPr>
              <w:t>6000元），服务期满后</w:t>
            </w:r>
            <w:r>
              <w:rPr>
                <w:rFonts w:hint="eastAsia" w:ascii="仿宋" w:hAnsi="仿宋" w:eastAsia="仿宋" w:cs="仿宋"/>
                <w:color w:val="auto"/>
                <w:sz w:val="24"/>
                <w:szCs w:val="24"/>
                <w:highlight w:val="none"/>
                <w:lang w:val="en-US" w:eastAsia="zh-CN"/>
              </w:rPr>
              <w:t>30天内退回，不计息。</w:t>
            </w:r>
          </w:p>
        </w:tc>
      </w:tr>
      <w:tr w14:paraId="44C32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4F2DB3">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4A90FB5">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10462D6">
            <w:pPr>
              <w:keepNext w:val="0"/>
              <w:keepLines w:val="0"/>
              <w:pageBreakBefore w:val="0"/>
              <w:widowControl w:val="0"/>
              <w:kinsoku/>
              <w:wordWrap/>
              <w:overflowPunct/>
              <w:topLinePunct w:val="0"/>
              <w:autoSpaceDE/>
              <w:autoSpaceDN/>
              <w:bidi w:val="0"/>
              <w:adjustRightInd/>
              <w:spacing w:line="312" w:lineRule="auto"/>
              <w:textAlignment w:val="auto"/>
              <w:rPr>
                <w:rFonts w:hint="eastAsia" w:ascii="仿宋" w:hAnsi="仿宋" w:eastAsia="仿宋" w:cs="仿宋"/>
                <w:color w:val="000000"/>
                <w:sz w:val="24"/>
                <w:szCs w:val="24"/>
                <w:highlight w:val="none"/>
                <w:lang w:val="en-US" w:eastAsia="zh-CN"/>
              </w:rPr>
            </w:pPr>
            <w:r>
              <w:rPr>
                <w:rStyle w:val="27"/>
                <w:rFonts w:hint="eastAsia" w:ascii="仿宋" w:hAnsi="仿宋" w:eastAsia="仿宋" w:cs="仿宋"/>
                <w:b w:val="0"/>
                <w:color w:val="auto"/>
                <w:sz w:val="24"/>
                <w:szCs w:val="24"/>
                <w:highlight w:val="none"/>
                <w:shd w:val="clear" w:color="auto" w:fill="FFFFFF"/>
                <w:lang w:eastAsia="zh-CN"/>
              </w:rPr>
              <w:t>2025年07月31日1</w:t>
            </w:r>
            <w:r>
              <w:rPr>
                <w:rStyle w:val="27"/>
                <w:rFonts w:hint="eastAsia" w:ascii="仿宋" w:hAnsi="仿宋" w:eastAsia="仿宋" w:cs="仿宋"/>
                <w:b w:val="0"/>
                <w:color w:val="auto"/>
                <w:sz w:val="24"/>
                <w:szCs w:val="24"/>
                <w:highlight w:val="none"/>
                <w:shd w:val="clear" w:color="auto" w:fill="FFFFFF"/>
                <w:lang w:val="en-US" w:eastAsia="zh-CN"/>
              </w:rPr>
              <w:t>4点00分00秒（北京时间）</w:t>
            </w:r>
          </w:p>
        </w:tc>
      </w:tr>
      <w:tr w14:paraId="417BF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C891A1">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69C4F3E">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B62BE4D">
            <w:pPr>
              <w:keepNext w:val="0"/>
              <w:keepLines w:val="0"/>
              <w:pageBreakBefore w:val="0"/>
              <w:widowControl w:val="0"/>
              <w:kinsoku/>
              <w:wordWrap/>
              <w:overflowPunct/>
              <w:topLinePunct w:val="0"/>
              <w:autoSpaceDE/>
              <w:autoSpaceDN/>
              <w:bidi w:val="0"/>
              <w:adjustRightInd/>
              <w:spacing w:line="312"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乐采云平台（https://www.lecaiyun.com/）。</w:t>
            </w:r>
          </w:p>
        </w:tc>
      </w:tr>
      <w:tr w14:paraId="21F26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64516C">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CE0C6C4">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92C7D53">
            <w:pPr>
              <w:keepNext w:val="0"/>
              <w:keepLines w:val="0"/>
              <w:pageBreakBefore w:val="0"/>
              <w:widowControl w:val="0"/>
              <w:kinsoku/>
              <w:wordWrap/>
              <w:overflowPunct/>
              <w:topLinePunct w:val="0"/>
              <w:autoSpaceDE/>
              <w:autoSpaceDN/>
              <w:bidi w:val="0"/>
              <w:adjustRightInd/>
              <w:spacing w:line="312" w:lineRule="auto"/>
              <w:textAlignment w:val="auto"/>
              <w:rPr>
                <w:rFonts w:hint="default" w:ascii="仿宋" w:hAnsi="仿宋" w:eastAsia="仿宋" w:cs="仿宋"/>
                <w:color w:val="000000"/>
                <w:sz w:val="24"/>
                <w:szCs w:val="24"/>
                <w:highlight w:val="none"/>
                <w:lang w:val="en-US" w:eastAsia="zh-CN"/>
              </w:rPr>
            </w:pPr>
            <w:r>
              <w:rPr>
                <w:rStyle w:val="27"/>
                <w:rFonts w:hint="eastAsia" w:ascii="仿宋" w:hAnsi="仿宋" w:eastAsia="仿宋" w:cs="仿宋"/>
                <w:b w:val="0"/>
                <w:color w:val="auto"/>
                <w:sz w:val="24"/>
                <w:szCs w:val="24"/>
                <w:highlight w:val="none"/>
                <w:shd w:val="clear" w:color="auto" w:fill="FFFFFF"/>
                <w:lang w:eastAsia="zh-CN"/>
              </w:rPr>
              <w:t>2025年07月31日1</w:t>
            </w:r>
            <w:r>
              <w:rPr>
                <w:rStyle w:val="27"/>
                <w:rFonts w:hint="eastAsia" w:ascii="仿宋" w:hAnsi="仿宋" w:eastAsia="仿宋" w:cs="仿宋"/>
                <w:b w:val="0"/>
                <w:color w:val="auto"/>
                <w:sz w:val="24"/>
                <w:szCs w:val="24"/>
                <w:highlight w:val="none"/>
                <w:shd w:val="clear" w:color="auto" w:fill="FFFFFF"/>
                <w:lang w:val="en-US" w:eastAsia="zh-CN"/>
              </w:rPr>
              <w:t>4点00分00秒（北京时间）</w:t>
            </w:r>
          </w:p>
        </w:tc>
      </w:tr>
      <w:tr w14:paraId="3D20F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D6D51CB">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A3311C0">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979E0A6">
            <w:pPr>
              <w:keepNext w:val="0"/>
              <w:keepLines w:val="0"/>
              <w:pageBreakBefore w:val="0"/>
              <w:widowControl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乐采云平台（https://www.lecaiyun.com/）。</w:t>
            </w:r>
          </w:p>
        </w:tc>
      </w:tr>
      <w:tr w14:paraId="3456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1353090">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3C518FC">
            <w:pPr>
              <w:pStyle w:val="11"/>
              <w:keepNext w:val="0"/>
              <w:keepLines w:val="0"/>
              <w:pageBreakBefore w:val="0"/>
              <w:widowControl w:val="0"/>
              <w:kinsoku/>
              <w:wordWrap/>
              <w:overflowPunct/>
              <w:topLinePunct w:val="0"/>
              <w:bidi w:val="0"/>
              <w:spacing w:line="312" w:lineRule="auto"/>
              <w:jc w:val="center"/>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438A2F6">
            <w:pPr>
              <w:pStyle w:val="20"/>
              <w:keepNext w:val="0"/>
              <w:keepLines w:val="0"/>
              <w:pageBreakBefore w:val="0"/>
              <w:widowControl w:val="0"/>
              <w:numPr>
                <w:ilvl w:val="0"/>
                <w:numId w:val="0"/>
              </w:numPr>
              <w:kinsoku/>
              <w:wordWrap/>
              <w:overflowPunct/>
              <w:topLinePunct w:val="0"/>
              <w:autoSpaceDE w:val="0"/>
              <w:autoSpaceDN/>
              <w:bidi w:val="0"/>
              <w:adjustRightInd/>
              <w:spacing w:before="0" w:beforeAutospacing="0" w:after="0" w:afterAutospacing="0" w:line="240" w:lineRule="auto"/>
              <w:textAlignment w:val="auto"/>
              <w:rPr>
                <w:rFonts w:ascii="仿宋" w:hAnsi="仿宋" w:eastAsia="仿宋" w:cs="仿宋"/>
                <w:color w:val="auto"/>
                <w:highlight w:val="none"/>
                <w:lang w:bidi="ar"/>
              </w:rPr>
            </w:pPr>
            <w:r>
              <w:rPr>
                <w:rFonts w:hint="eastAsia" w:ascii="仿宋" w:hAnsi="仿宋" w:eastAsia="仿宋" w:cs="仿宋"/>
                <w:color w:val="auto"/>
                <w:highlight w:val="none"/>
                <w:lang w:val="en-US" w:eastAsia="zh-CN" w:bidi="ar"/>
              </w:rPr>
              <w:t>1、</w:t>
            </w:r>
            <w:r>
              <w:rPr>
                <w:rFonts w:hint="eastAsia" w:ascii="仿宋" w:hAnsi="仿宋" w:eastAsia="仿宋" w:cs="仿宋"/>
                <w:color w:val="auto"/>
                <w:highlight w:val="none"/>
                <w:lang w:bidi="ar"/>
              </w:rPr>
              <w:t>具体收费标准按诸国资办〔2021〕5号关于印发《诸暨市国有企业货物和服务采购管理办法》的通知文件执行，收费基数为各标项合同总金额，最高不超过15000元。（以上费用请供应商在报价时一并考虑）</w:t>
            </w:r>
          </w:p>
          <w:p w14:paraId="1667410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b w:val="0"/>
                <w:bCs/>
                <w:color w:val="auto"/>
                <w:sz w:val="24"/>
                <w:szCs w:val="24"/>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收取方式：</w:t>
            </w:r>
            <w:r>
              <w:rPr>
                <w:rFonts w:hint="eastAsia" w:ascii="仿宋" w:hAnsi="仿宋" w:eastAsia="仿宋"/>
                <w:b w:val="0"/>
                <w:bCs/>
                <w:color w:val="auto"/>
                <w:sz w:val="24"/>
                <w:szCs w:val="24"/>
              </w:rPr>
              <w:t>本项目的招标代理服务费由中标人支付，在领取中标通知书时，一次性向采购代理机构付清。</w:t>
            </w:r>
          </w:p>
          <w:p w14:paraId="55448A0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snapToGrid w:val="0"/>
                <w:color w:val="auto"/>
                <w:kern w:val="28"/>
                <w:sz w:val="24"/>
                <w:szCs w:val="24"/>
                <w:highlight w:val="none"/>
              </w:rPr>
            </w:pPr>
            <w:r>
              <w:rPr>
                <w:rFonts w:hint="eastAsia" w:ascii="仿宋" w:hAnsi="仿宋" w:eastAsia="仿宋" w:cs="仿宋"/>
                <w:b w:val="0"/>
                <w:bCs/>
                <w:snapToGrid w:val="0"/>
                <w:color w:val="auto"/>
                <w:kern w:val="28"/>
                <w:sz w:val="24"/>
                <w:szCs w:val="24"/>
                <w:highlight w:val="none"/>
              </w:rPr>
              <w:t>3</w:t>
            </w:r>
            <w:r>
              <w:rPr>
                <w:rFonts w:hint="eastAsia" w:ascii="仿宋" w:hAnsi="仿宋" w:eastAsia="仿宋" w:cs="仿宋"/>
                <w:b w:val="0"/>
                <w:bCs/>
                <w:snapToGrid w:val="0"/>
                <w:color w:val="auto"/>
                <w:kern w:val="28"/>
                <w:sz w:val="24"/>
                <w:szCs w:val="24"/>
                <w:highlight w:val="none"/>
                <w:lang w:eastAsia="zh-CN"/>
              </w:rPr>
              <w:t>、</w:t>
            </w:r>
            <w:r>
              <w:rPr>
                <w:rFonts w:hint="eastAsia" w:ascii="仿宋" w:hAnsi="仿宋" w:eastAsia="仿宋" w:cs="仿宋"/>
                <w:b w:val="0"/>
                <w:bCs/>
                <w:snapToGrid w:val="0"/>
                <w:color w:val="auto"/>
                <w:kern w:val="28"/>
                <w:sz w:val="24"/>
                <w:szCs w:val="24"/>
                <w:highlight w:val="none"/>
              </w:rPr>
              <w:t>收款账户信息：浙江</w:t>
            </w:r>
            <w:r>
              <w:rPr>
                <w:rFonts w:hint="eastAsia" w:ascii="仿宋" w:hAnsi="仿宋" w:eastAsia="仿宋" w:cs="仿宋"/>
                <w:b w:val="0"/>
                <w:bCs/>
                <w:snapToGrid w:val="0"/>
                <w:color w:val="auto"/>
                <w:kern w:val="28"/>
                <w:sz w:val="24"/>
                <w:szCs w:val="24"/>
                <w:highlight w:val="none"/>
                <w:lang w:val="en-US" w:eastAsia="zh-CN"/>
              </w:rPr>
              <w:t>佰顺</w:t>
            </w:r>
            <w:r>
              <w:rPr>
                <w:rFonts w:hint="eastAsia" w:ascii="仿宋" w:hAnsi="仿宋" w:eastAsia="仿宋" w:cs="仿宋"/>
                <w:b w:val="0"/>
                <w:bCs/>
                <w:snapToGrid w:val="0"/>
                <w:color w:val="auto"/>
                <w:kern w:val="28"/>
                <w:sz w:val="24"/>
                <w:szCs w:val="24"/>
                <w:highlight w:val="none"/>
              </w:rPr>
              <w:t>项目管理有限公司，开户行：</w:t>
            </w:r>
            <w:r>
              <w:rPr>
                <w:rFonts w:hint="eastAsia" w:ascii="仿宋" w:hAnsi="仿宋" w:eastAsia="仿宋" w:cs="仿宋"/>
                <w:b w:val="0"/>
                <w:bCs/>
                <w:snapToGrid w:val="0"/>
                <w:color w:val="auto"/>
                <w:kern w:val="28"/>
                <w:sz w:val="24"/>
                <w:szCs w:val="24"/>
                <w:highlight w:val="none"/>
                <w:lang w:val="en-US" w:eastAsia="zh-CN"/>
              </w:rPr>
              <w:t>诸暨联合村镇银行</w:t>
            </w:r>
            <w:r>
              <w:rPr>
                <w:rFonts w:hint="eastAsia" w:ascii="仿宋" w:hAnsi="仿宋" w:eastAsia="仿宋" w:cs="仿宋"/>
                <w:b w:val="0"/>
                <w:bCs/>
                <w:snapToGrid w:val="0"/>
                <w:color w:val="auto"/>
                <w:kern w:val="28"/>
                <w:sz w:val="24"/>
                <w:szCs w:val="24"/>
                <w:highlight w:val="none"/>
              </w:rPr>
              <w:t>，账号：</w:t>
            </w:r>
            <w:r>
              <w:rPr>
                <w:rFonts w:hint="eastAsia" w:ascii="仿宋" w:hAnsi="仿宋" w:eastAsia="仿宋" w:cs="仿宋"/>
                <w:b w:val="0"/>
                <w:bCs/>
                <w:snapToGrid w:val="0"/>
                <w:color w:val="auto"/>
                <w:kern w:val="28"/>
                <w:sz w:val="24"/>
                <w:szCs w:val="24"/>
                <w:highlight w:val="none"/>
                <w:lang w:val="en-US" w:eastAsia="zh-CN"/>
              </w:rPr>
              <w:t>421012100006458605</w:t>
            </w:r>
            <w:r>
              <w:rPr>
                <w:rFonts w:hint="eastAsia" w:ascii="仿宋" w:hAnsi="仿宋" w:eastAsia="仿宋" w:cs="仿宋"/>
                <w:b w:val="0"/>
                <w:bCs/>
                <w:snapToGrid w:val="0"/>
                <w:color w:val="auto"/>
                <w:kern w:val="28"/>
                <w:sz w:val="24"/>
                <w:szCs w:val="24"/>
                <w:highlight w:val="none"/>
              </w:rPr>
              <w:t>。</w:t>
            </w:r>
          </w:p>
          <w:p w14:paraId="3435FDF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、以上费用请投标人在报价时一并</w:t>
            </w:r>
            <w:r>
              <w:rPr>
                <w:rFonts w:hint="eastAsia" w:ascii="仿宋" w:hAnsi="仿宋" w:eastAsia="仿宋" w:cs="仿宋"/>
                <w:color w:val="auto"/>
                <w:sz w:val="24"/>
                <w:szCs w:val="24"/>
                <w:lang w:val="en-US" w:eastAsia="zh-CN"/>
              </w:rPr>
              <w:t>考虑</w:t>
            </w:r>
            <w:r>
              <w:rPr>
                <w:rFonts w:hint="eastAsia" w:ascii="仿宋" w:hAnsi="仿宋" w:eastAsia="仿宋" w:cs="仿宋"/>
                <w:color w:val="auto"/>
                <w:sz w:val="24"/>
                <w:szCs w:val="24"/>
              </w:rPr>
              <w:t>。</w:t>
            </w:r>
          </w:p>
        </w:tc>
      </w:tr>
    </w:tbl>
    <w:p w14:paraId="109C604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40AB2AA">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14:paraId="60E83B3F">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color w:val="auto"/>
          <w:sz w:val="24"/>
          <w:szCs w:val="24"/>
          <w:highlight w:val="none"/>
        </w:rPr>
        <w:t>适用范围</w:t>
      </w:r>
    </w:p>
    <w:p w14:paraId="19170147">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本招标文件适用于本次所述项目的招标。</w:t>
      </w:r>
    </w:p>
    <w:p w14:paraId="02C70479">
      <w:pPr>
        <w:pageBreakBefore w:val="0"/>
        <w:widowControl w:val="0"/>
        <w:kinsoku/>
        <w:wordWrap/>
        <w:overflowPunct/>
        <w:topLinePunct w:val="0"/>
        <w:bidi w:val="0"/>
        <w:snapToGrid w:val="0"/>
        <w:spacing w:line="360" w:lineRule="auto"/>
        <w:ind w:firstLine="472" w:firstLineChars="196"/>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4955C21D">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2.1“招标人”系指组织本次招标的采购单位和</w:t>
      </w:r>
      <w:r>
        <w:rPr>
          <w:rFonts w:hint="eastAsia" w:ascii="仿宋" w:hAnsi="仿宋" w:eastAsia="仿宋" w:cs="仿宋"/>
          <w:color w:val="auto"/>
          <w:sz w:val="24"/>
          <w:szCs w:val="24"/>
          <w:highlight w:val="none"/>
          <w:lang w:eastAsia="zh-CN"/>
        </w:rPr>
        <w:t>浙江佰顺项目管理有限公司</w:t>
      </w:r>
      <w:r>
        <w:rPr>
          <w:rFonts w:hint="eastAsia" w:ascii="仿宋" w:hAnsi="仿宋" w:eastAsia="仿宋" w:cs="仿宋"/>
          <w:color w:val="auto"/>
          <w:sz w:val="24"/>
          <w:szCs w:val="24"/>
          <w:highlight w:val="none"/>
        </w:rPr>
        <w:t>。</w:t>
      </w:r>
    </w:p>
    <w:p w14:paraId="7FD9F532">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2.2“投标人”系指向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提交投标文件的供应商。</w:t>
      </w:r>
    </w:p>
    <w:p w14:paraId="472F0215">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2.3“产品”系指供方按招标文件规定，须向采购单位提供的一切设备、保险、税 金、备品备件、工具、手册及其</w:t>
      </w:r>
      <w:r>
        <w:rPr>
          <w:rFonts w:hint="eastAsia" w:ascii="仿宋" w:hAnsi="仿宋" w:eastAsia="仿宋" w:cs="仿宋"/>
          <w:color w:val="auto"/>
          <w:sz w:val="24"/>
          <w:szCs w:val="24"/>
          <w:highlight w:val="none"/>
          <w:lang w:eastAsia="zh-CN"/>
        </w:rPr>
        <w:t>他</w:t>
      </w:r>
      <w:r>
        <w:rPr>
          <w:rFonts w:hint="eastAsia" w:ascii="仿宋" w:hAnsi="仿宋" w:eastAsia="仿宋" w:cs="仿宋"/>
          <w:color w:val="auto"/>
          <w:sz w:val="24"/>
          <w:szCs w:val="24"/>
          <w:highlight w:val="none"/>
        </w:rPr>
        <w:t>有关技术资料和材料。</w:t>
      </w:r>
    </w:p>
    <w:p w14:paraId="63EC5A1D">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2.4“服务”系指招标文件规定投标人须承担的安装、调试、技术协助、校准、培训、技术指导以及其他类似的义务。</w:t>
      </w:r>
    </w:p>
    <w:p w14:paraId="7DD3E207">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2.5“项目”系指投标人按招标文件规定向采购单位提供的产品和服务。</w:t>
      </w:r>
    </w:p>
    <w:p w14:paraId="43809458">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2.6“书面形式”包括信函、传真、电报等。</w:t>
      </w:r>
    </w:p>
    <w:p w14:paraId="7734F151">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2.7本招标文件所述设备品牌、型号是结合实际现有情况的推荐性参考方案，投标方也可根据招标文件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要求参考性能相当或高于、服务条款相等或高于、符合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实际业务需求其他同档次优质品牌的产品，进行方案优化。所投产品不在参考品牌范围内的，是否符合招标文件要求由评标小组在投标文件评审时集体讨论决定。</w:t>
      </w:r>
    </w:p>
    <w:p w14:paraId="35EBEC6B">
      <w:pPr>
        <w:pageBreakBefore w:val="0"/>
        <w:widowControl w:val="0"/>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3.采购方式</w:t>
      </w:r>
    </w:p>
    <w:p w14:paraId="02FEFAAB">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本次采购采用公开招标方式进行。</w:t>
      </w:r>
    </w:p>
    <w:p w14:paraId="223C6B06">
      <w:pPr>
        <w:pageBreakBefore w:val="0"/>
        <w:widowControl w:val="0"/>
        <w:kinsoku/>
        <w:wordWrap/>
        <w:overflowPunct/>
        <w:topLinePunct w:val="0"/>
        <w:bidi w:val="0"/>
        <w:snapToGrid w:val="0"/>
        <w:spacing w:line="360" w:lineRule="auto"/>
        <w:ind w:firstLine="472" w:firstLineChars="196"/>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4.投标人及投标委托有关说明</w:t>
      </w:r>
    </w:p>
    <w:p w14:paraId="001AAD10">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投标人代表不是法定代表人，须有法定代表人出具的授权委托书</w:t>
      </w:r>
      <w:r>
        <w:rPr>
          <w:rFonts w:hint="eastAsia" w:ascii="仿宋" w:hAnsi="仿宋" w:eastAsia="仿宋" w:cs="仿宋"/>
          <w:b/>
          <w:color w:val="auto"/>
          <w:sz w:val="24"/>
          <w:szCs w:val="24"/>
          <w:highlight w:val="none"/>
        </w:rPr>
        <w:t>。</w:t>
      </w:r>
    </w:p>
    <w:p w14:paraId="474C0774">
      <w:pPr>
        <w:pageBreakBefore w:val="0"/>
        <w:widowControl w:val="0"/>
        <w:kinsoku/>
        <w:wordWrap/>
        <w:overflowPunct/>
        <w:topLinePunct w:val="0"/>
        <w:bidi w:val="0"/>
        <w:snapToGrid w:val="0"/>
        <w:spacing w:line="360" w:lineRule="auto"/>
        <w:ind w:firstLine="472" w:firstLineChars="196"/>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14:paraId="4B45A08D">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投标人应自行承担获得招标文件和编制、提交投标文件所涉及的一切费用。不论投标结果如何，投标人均应自行承担所有与投标有关的全部费用。</w:t>
      </w:r>
      <w:r>
        <w:rPr>
          <w:rFonts w:hint="eastAsia" w:ascii="仿宋" w:hAnsi="仿宋" w:eastAsia="仿宋" w:cs="仿宋"/>
          <w:b/>
          <w:color w:val="auto"/>
          <w:sz w:val="24"/>
          <w:szCs w:val="24"/>
          <w:highlight w:val="none"/>
        </w:rPr>
        <w:t>对中标人收取采购代理服务费。</w:t>
      </w:r>
    </w:p>
    <w:p w14:paraId="4CCFC30F">
      <w:pPr>
        <w:pageBreakBefore w:val="0"/>
        <w:widowControl w:val="0"/>
        <w:kinsoku/>
        <w:wordWrap/>
        <w:overflowPunct/>
        <w:topLinePunct w:val="0"/>
        <w:bidi w:val="0"/>
        <w:snapToGrid w:val="0"/>
        <w:spacing w:line="360" w:lineRule="auto"/>
        <w:ind w:firstLine="472" w:firstLineChars="196"/>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6.特别说明：</w:t>
      </w:r>
    </w:p>
    <w:p w14:paraId="2755F1A8">
      <w:pPr>
        <w:pStyle w:val="11"/>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6.1投标人应仔细阅读招标文件的所有内容，按照招标文件的要求提交投标文件，并对所提供的全部资料的真实性承担法律责任。</w:t>
      </w:r>
    </w:p>
    <w:p w14:paraId="0E5EBCC7">
      <w:pPr>
        <w:pStyle w:val="11"/>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6.2投标人在投标活动中提供任何虚假材料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其投标无效，并报监管部门查处；中标后发现的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中标人须依照《中华人民共和国消费者权益保护法》第49条之规定双倍赔偿采购人，且民事赔偿并不免除违法投标人的行政与刑事责任。</w:t>
      </w:r>
    </w:p>
    <w:p w14:paraId="7F68647B">
      <w:pPr>
        <w:pStyle w:val="11"/>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1D1E7316">
      <w:pPr>
        <w:pStyle w:val="11"/>
        <w:pageBreakBefore w:val="0"/>
        <w:widowControl w:val="0"/>
        <w:kinsoku/>
        <w:wordWrap/>
        <w:overflowPunct/>
        <w:topLinePunct w:val="0"/>
        <w:bidi w:val="0"/>
        <w:snapToGrid w:val="0"/>
        <w:spacing w:line="360" w:lineRule="auto"/>
        <w:ind w:left="2" w:leftChars="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w:t>
      </w:r>
      <w:r>
        <w:rPr>
          <w:rFonts w:hint="eastAsia" w:ascii="仿宋" w:hAnsi="仿宋" w:eastAsia="仿宋" w:cs="仿宋"/>
          <w:color w:val="auto"/>
          <w:sz w:val="24"/>
          <w:szCs w:val="24"/>
          <w:highlight w:val="none"/>
          <w:lang w:val="en-US" w:eastAsia="zh-CN"/>
        </w:rPr>
        <w:t>招投标</w:t>
      </w:r>
      <w:r>
        <w:rPr>
          <w:rFonts w:hint="eastAsia" w:ascii="仿宋" w:hAnsi="仿宋" w:eastAsia="仿宋" w:cs="仿宋"/>
          <w:color w:val="auto"/>
          <w:sz w:val="24"/>
          <w:szCs w:val="24"/>
          <w:highlight w:val="none"/>
        </w:rPr>
        <w:t>监督管理部门给予一定年限内禁止参加采购活动的处罚或其他处罚。</w:t>
      </w:r>
    </w:p>
    <w:p w14:paraId="27D5A144">
      <w:pPr>
        <w:pStyle w:val="11"/>
        <w:pageBreakBefore w:val="0"/>
        <w:widowControl w:val="0"/>
        <w:kinsoku/>
        <w:wordWrap/>
        <w:overflowPunct/>
        <w:topLinePunct w:val="0"/>
        <w:bidi w:val="0"/>
        <w:snapToGrid w:val="0"/>
        <w:spacing w:line="360" w:lineRule="auto"/>
        <w:ind w:left="2" w:leftChars="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6.5本项目涉及采购货物必须是全新、未使用过的原装合格正品（包括零部件），如安装或配置了软件的，须为正版软件。</w:t>
      </w:r>
    </w:p>
    <w:p w14:paraId="0CD392B6">
      <w:pPr>
        <w:pStyle w:val="11"/>
        <w:pageBreakBefore w:val="0"/>
        <w:widowControl w:val="0"/>
        <w:kinsoku/>
        <w:wordWrap/>
        <w:overflowPunct/>
        <w:topLinePunct w:val="0"/>
        <w:bidi w:val="0"/>
        <w:snapToGrid w:val="0"/>
        <w:spacing w:line="360" w:lineRule="auto"/>
        <w:ind w:left="2" w:leftChars="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6.6国产的货物及其有关服务必须符合中华人民共和国的设计和制造生产标准或行业标准。招标公告有其他要求的，亦应符合其要求。</w:t>
      </w:r>
    </w:p>
    <w:p w14:paraId="31B20B49">
      <w:pPr>
        <w:pStyle w:val="11"/>
        <w:pageBreakBefore w:val="0"/>
        <w:widowControl w:val="0"/>
        <w:kinsoku/>
        <w:wordWrap/>
        <w:overflowPunct/>
        <w:topLinePunct w:val="0"/>
        <w:bidi w:val="0"/>
        <w:snapToGrid w:val="0"/>
        <w:spacing w:line="360" w:lineRule="auto"/>
        <w:ind w:left="2" w:leftChars="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EF2B7C1">
      <w:pPr>
        <w:pStyle w:val="11"/>
        <w:pageBreakBefore w:val="0"/>
        <w:widowControl w:val="0"/>
        <w:kinsoku/>
        <w:wordWrap/>
        <w:overflowPunct/>
        <w:topLinePunct w:val="0"/>
        <w:bidi w:val="0"/>
        <w:snapToGrid w:val="0"/>
        <w:spacing w:line="360" w:lineRule="auto"/>
        <w:ind w:firstLine="472" w:firstLineChars="196"/>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bCs/>
          <w:color w:val="auto"/>
          <w:sz w:val="24"/>
          <w:szCs w:val="24"/>
          <w:highlight w:val="none"/>
        </w:rPr>
        <w:t>质疑和投诉</w:t>
      </w:r>
    </w:p>
    <w:p w14:paraId="0135D2C1">
      <w:pPr>
        <w:pStyle w:val="11"/>
        <w:pageBreakBefore w:val="0"/>
        <w:widowControl w:val="0"/>
        <w:kinsoku/>
        <w:wordWrap/>
        <w:overflowPunct/>
        <w:topLinePunct w:val="0"/>
        <w:bidi w:val="0"/>
        <w:snapToGrid w:val="0"/>
        <w:spacing w:line="360" w:lineRule="auto"/>
        <w:ind w:left="1" w:firstLine="480" w:firstLineChars="200"/>
        <w:textAlignment w:val="auto"/>
        <w:rPr>
          <w:rFonts w:hint="eastAsia" w:ascii="仿宋" w:hAnsi="仿宋" w:eastAsia="仿宋" w:cs="仿宋"/>
          <w:color w:val="auto"/>
          <w:sz w:val="24"/>
          <w:szCs w:val="24"/>
          <w:highlight w:val="none"/>
        </w:rPr>
      </w:pPr>
      <w:bookmarkStart w:id="8" w:name="_Toc125344504"/>
      <w:r>
        <w:rPr>
          <w:rFonts w:hint="eastAsia" w:ascii="仿宋" w:hAnsi="仿宋" w:eastAsia="仿宋" w:cs="仿宋"/>
          <w:bCs/>
          <w:color w:val="auto"/>
          <w:sz w:val="24"/>
          <w:szCs w:val="24"/>
          <w:highlight w:val="none"/>
        </w:rPr>
        <w:t>7.1投标人认为招标文件、招标过程和中标结果使自己的合法权益受到损害的，应当在知道或者应知其权益受到损害之日起七个工作日内，以书面形式向采购单位、招标代理机构提出质疑。</w:t>
      </w:r>
      <w:r>
        <w:rPr>
          <w:rFonts w:hint="eastAsia" w:ascii="仿宋" w:hAnsi="仿宋" w:eastAsia="仿宋" w:cs="仿宋"/>
          <w:color w:val="auto"/>
          <w:sz w:val="24"/>
          <w:szCs w:val="24"/>
          <w:highlight w:val="none"/>
        </w:rPr>
        <w:t>投标人对招标人的质疑答复不满意或者招标人未在规定时间内作出答复的，可以在答复期满后十五个工作日内向同级采购监管部门投诉。逾期提出的，采购代理机构不予受理、答复。</w:t>
      </w:r>
    </w:p>
    <w:p w14:paraId="5BCEFC96">
      <w:pPr>
        <w:pStyle w:val="11"/>
        <w:pageBreakBefore w:val="0"/>
        <w:widowControl w:val="0"/>
        <w:kinsoku/>
        <w:wordWrap/>
        <w:overflowPunct/>
        <w:topLinePunct w:val="0"/>
        <w:bidi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color w:val="auto"/>
          <w:sz w:val="24"/>
          <w:szCs w:val="24"/>
          <w:highlight w:val="none"/>
        </w:rPr>
        <w:t>其来源或线索，便于有关单位调查、答复和处理。</w:t>
      </w:r>
    </w:p>
    <w:p w14:paraId="3571029B">
      <w:pPr>
        <w:pStyle w:val="11"/>
        <w:pageBreakBefore w:val="0"/>
        <w:widowControl w:val="0"/>
        <w:kinsoku/>
        <w:wordWrap/>
        <w:overflowPunct/>
        <w:topLinePunct w:val="0"/>
        <w:bidi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7.3采购代理机构与采购人研究后，对认为有必要回答的问题，采购人和采购代理机构将补充（更正）以网上发布公告的形式通知所有投标人，补充（更正）是招标文件的</w:t>
      </w:r>
      <w:r>
        <w:rPr>
          <w:rFonts w:hint="eastAsia" w:ascii="仿宋" w:hAnsi="仿宋" w:eastAsia="仿宋" w:cs="仿宋"/>
          <w:color w:val="auto"/>
          <w:sz w:val="24"/>
          <w:szCs w:val="24"/>
          <w:highlight w:val="none"/>
          <w:lang w:eastAsia="zh-CN"/>
        </w:rPr>
        <w:t>组成部分</w:t>
      </w:r>
      <w:r>
        <w:rPr>
          <w:rFonts w:hint="eastAsia" w:ascii="仿宋" w:hAnsi="仿宋" w:eastAsia="仿宋" w:cs="仿宋"/>
          <w:color w:val="auto"/>
          <w:sz w:val="24"/>
          <w:szCs w:val="24"/>
          <w:highlight w:val="none"/>
        </w:rPr>
        <w:t>。</w:t>
      </w:r>
    </w:p>
    <w:p w14:paraId="22F96FAF">
      <w:pPr>
        <w:pStyle w:val="11"/>
        <w:pageBreakBefore w:val="0"/>
        <w:widowControl w:val="0"/>
        <w:kinsoku/>
        <w:wordWrap/>
        <w:overflowPunct/>
        <w:topLinePunct w:val="0"/>
        <w:bidi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r>
        <w:rPr>
          <w:rFonts w:hint="eastAsia" w:ascii="仿宋" w:hAnsi="仿宋" w:eastAsia="仿宋" w:cs="仿宋"/>
          <w:b/>
          <w:color w:val="auto"/>
          <w:sz w:val="24"/>
          <w:szCs w:val="24"/>
          <w:highlight w:val="none"/>
          <w:u w:val="single"/>
        </w:rPr>
        <w:t>质疑供应商在收到该更正（补充）公告后应于1日内，以书面或传真形式（签署意见并加盖公章）向采购代理机构回函给予确认。过期未回复的，视为默认接受。</w:t>
      </w:r>
    </w:p>
    <w:p w14:paraId="5110920D">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二、招标文件</w:t>
      </w:r>
      <w:bookmarkEnd w:id="8"/>
    </w:p>
    <w:p w14:paraId="2E247E6E">
      <w:pPr>
        <w:pageBreakBefore w:val="0"/>
        <w:widowControl w:val="0"/>
        <w:kinsoku/>
        <w:wordWrap/>
        <w:overflowPunct/>
        <w:topLinePunct w:val="0"/>
        <w:bidi w:val="0"/>
        <w:snapToGrid w:val="0"/>
        <w:spacing w:line="360" w:lineRule="auto"/>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8.招标文件的构成。</w:t>
      </w:r>
    </w:p>
    <w:p w14:paraId="7B90EC9D">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本招标文件由以下</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组成：</w:t>
      </w:r>
    </w:p>
    <w:p w14:paraId="26090928">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8.1招标公告；</w:t>
      </w:r>
    </w:p>
    <w:p w14:paraId="6F851AEB">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8.2投标须知；</w:t>
      </w:r>
    </w:p>
    <w:p w14:paraId="42686BA7">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8.3评标办法；</w:t>
      </w:r>
    </w:p>
    <w:p w14:paraId="2E3A1C96">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8.4采购需求；</w:t>
      </w:r>
    </w:p>
    <w:p w14:paraId="27DDCDDA">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8.5应提交的有关格式范例；</w:t>
      </w:r>
    </w:p>
    <w:p w14:paraId="7B30EFAC">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8.6本项目招标文件的澄清、答复、修改、补充的内容。</w:t>
      </w:r>
    </w:p>
    <w:p w14:paraId="604FCBEA">
      <w:pPr>
        <w:pageBreakBefore w:val="0"/>
        <w:widowControl w:val="0"/>
        <w:kinsoku/>
        <w:wordWrap/>
        <w:overflowPunct/>
        <w:topLinePunct w:val="0"/>
        <w:bidi w:val="0"/>
        <w:snapToGrid w:val="0"/>
        <w:spacing w:line="360" w:lineRule="auto"/>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9.投标人的风险</w:t>
      </w:r>
    </w:p>
    <w:p w14:paraId="101D9292">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699A0625">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1D22B2B">
      <w:pPr>
        <w:pStyle w:val="5"/>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after="0" w:afterLines="0" w:line="360" w:lineRule="auto"/>
        <w:ind w:left="0" w:leftChars="0" w:right="0" w:rightChars="0" w:firstLine="472" w:firstLineChars="196"/>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10.招标文件的澄清与修改 </w:t>
      </w:r>
    </w:p>
    <w:p w14:paraId="5F9C3FCD">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9" w:name="_Toc125344505"/>
      <w:r>
        <w:rPr>
          <w:rFonts w:hint="eastAsia" w:ascii="仿宋" w:hAnsi="仿宋" w:eastAsia="仿宋" w:cs="仿宋"/>
          <w:color w:val="auto"/>
          <w:sz w:val="24"/>
          <w:szCs w:val="24"/>
          <w:highlight w:val="none"/>
        </w:rPr>
        <w:t>10.1</w:t>
      </w:r>
      <w:r>
        <w:rPr>
          <w:rFonts w:hint="eastAsia" w:ascii="仿宋" w:hAnsi="仿宋" w:eastAsia="仿宋" w:cs="仿宋"/>
          <w:bCs/>
          <w:color w:val="auto"/>
          <w:sz w:val="24"/>
          <w:szCs w:val="24"/>
          <w:highlight w:val="none"/>
        </w:rPr>
        <w:t>投标人下载招标文件后，应认真阅读本招标文件的所有内容，发现其中有误或有不合理要求的，投标人必须按前附表规定的时间前以书面形式</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包括书面文字、传真等</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要求采购人澄清</w:t>
      </w:r>
      <w:r>
        <w:rPr>
          <w:rFonts w:hint="eastAsia" w:ascii="仿宋" w:hAnsi="仿宋" w:eastAsia="仿宋" w:cs="仿宋"/>
          <w:color w:val="auto"/>
          <w:sz w:val="24"/>
          <w:szCs w:val="24"/>
          <w:highlight w:val="none"/>
        </w:rPr>
        <w:t>。逾期提出的，采购人将不予受理。采购代理机构与采购人研究后，对认为有必要回答的问题，采购人将补充（更正内容）以网上发布公告的形式通知所有投标人，补充（更正）内容是招标文件的</w:t>
      </w:r>
      <w:r>
        <w:rPr>
          <w:rFonts w:hint="eastAsia" w:ascii="仿宋" w:hAnsi="仿宋" w:eastAsia="仿宋" w:cs="仿宋"/>
          <w:color w:val="auto"/>
          <w:sz w:val="24"/>
          <w:szCs w:val="24"/>
          <w:highlight w:val="none"/>
          <w:lang w:eastAsia="zh-CN"/>
        </w:rPr>
        <w:t>组成部分</w:t>
      </w:r>
      <w:r>
        <w:rPr>
          <w:rFonts w:hint="eastAsia" w:ascii="仿宋" w:hAnsi="仿宋" w:eastAsia="仿宋" w:cs="仿宋"/>
          <w:color w:val="auto"/>
          <w:sz w:val="24"/>
          <w:szCs w:val="24"/>
          <w:highlight w:val="none"/>
        </w:rPr>
        <w:t>。投标人可以通过诸暨市公共资源交易网自行下载，以确认已阅知该澄清或修改内容，否则，由此导致的风险由投标人自行承担，采购人不承担任何责任。</w:t>
      </w:r>
    </w:p>
    <w:p w14:paraId="1FB426BD">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10.2招标文件澄清、答复、修改、补充的内容为招标文件的组成部分。当招标文件与招标文件的答复、澄清、修改、补充公告就同一内容的表述不一致时，以最后发出的文件或公告或通知为准。</w:t>
      </w:r>
    </w:p>
    <w:p w14:paraId="4AFC94BC">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369BD522">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10.4为使投标人在编制投标文件时，把补充公告内容进行研究，采购代理机构可以酌情推迟递交投标文件的截止时间。</w:t>
      </w:r>
    </w:p>
    <w:p w14:paraId="70DEFDD7">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10.5投标人一旦参与本次招标活动，即被视为接受了本招标文件的所有内容，如有任何异议，均须在答疑截止时间前提出。</w:t>
      </w:r>
    </w:p>
    <w:p w14:paraId="4B828184">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三、投标文件编制</w:t>
      </w:r>
      <w:bookmarkEnd w:id="9"/>
      <w:r>
        <w:rPr>
          <w:rFonts w:hint="eastAsia" w:ascii="仿宋" w:hAnsi="仿宋" w:eastAsia="仿宋" w:cs="仿宋"/>
          <w:color w:val="auto"/>
          <w:sz w:val="32"/>
          <w:szCs w:val="32"/>
          <w:highlight w:val="none"/>
        </w:rPr>
        <w:t>和提交</w:t>
      </w:r>
    </w:p>
    <w:p w14:paraId="25EE4187">
      <w:pPr>
        <w:pageBreakBefore w:val="0"/>
        <w:widowControl w:val="0"/>
        <w:kinsoku/>
        <w:wordWrap/>
        <w:overflowPunct/>
        <w:topLinePunct w:val="0"/>
        <w:bidi w:val="0"/>
        <w:snapToGrid w:val="0"/>
        <w:spacing w:line="360" w:lineRule="auto"/>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64409115">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投标文件的组成详见前附表。</w:t>
      </w:r>
    </w:p>
    <w:p w14:paraId="6F351A35">
      <w:pPr>
        <w:pageBreakBefore w:val="0"/>
        <w:widowControl w:val="0"/>
        <w:kinsoku/>
        <w:wordWrap/>
        <w:overflowPunct/>
        <w:topLinePunct w:val="0"/>
        <w:bidi w:val="0"/>
        <w:snapToGrid w:val="0"/>
        <w:spacing w:line="360" w:lineRule="auto"/>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12.投标文件的语言及计量</w:t>
      </w:r>
    </w:p>
    <w:p w14:paraId="778447C9">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w:t>
      </w:r>
      <w:r>
        <w:rPr>
          <w:rFonts w:hint="eastAsia" w:ascii="仿宋" w:hAnsi="仿宋" w:eastAsia="仿宋" w:cs="仿宋"/>
          <w:color w:val="auto"/>
          <w:sz w:val="24"/>
          <w:szCs w:val="24"/>
          <w:highlight w:val="none"/>
          <w:lang w:eastAsia="zh-CN"/>
        </w:rPr>
        <w:t>他</w:t>
      </w:r>
      <w:r>
        <w:rPr>
          <w:rFonts w:hint="eastAsia" w:ascii="仿宋" w:hAnsi="仿宋" w:eastAsia="仿宋" w:cs="仿宋"/>
          <w:color w:val="auto"/>
          <w:sz w:val="24"/>
          <w:szCs w:val="24"/>
          <w:highlight w:val="none"/>
        </w:rPr>
        <w:t>语言，但必须附中文译文。翻译的中文资料与外文资料如果出现差异时，以中文为准，但翻译错误的除外。</w:t>
      </w:r>
    </w:p>
    <w:p w14:paraId="30CD2901">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12.2投标计量单位，招标文件已有明确规定的，使用招标文件规定的计量单位；招标文件没有规定的，应采用中华人民共和国法定计量单位（货币单位：人民币元），否则视同未响应。</w:t>
      </w:r>
    </w:p>
    <w:p w14:paraId="4D186C5C">
      <w:pPr>
        <w:pageBreakBefore w:val="0"/>
        <w:widowControl w:val="0"/>
        <w:kinsoku/>
        <w:wordWrap/>
        <w:overflowPunct/>
        <w:topLinePunct w:val="0"/>
        <w:bidi w:val="0"/>
        <w:snapToGrid w:val="0"/>
        <w:spacing w:line="360" w:lineRule="auto"/>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13.投标报价</w:t>
      </w:r>
    </w:p>
    <w:p w14:paraId="5060D188">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13.1投标报价应按招标文件中相关附表格式填写。本项目的投标应以人民币计。</w:t>
      </w:r>
    </w:p>
    <w:p w14:paraId="50BD7E80">
      <w:pPr>
        <w:pStyle w:val="11"/>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仿宋" w:hAnsi="仿宋" w:eastAsia="仿宋" w:cs="仿宋"/>
          <w:color w:val="auto"/>
          <w:sz w:val="24"/>
          <w:szCs w:val="24"/>
          <w:highlight w:val="none"/>
          <w:lang w:eastAsia="zh-CN"/>
        </w:rPr>
        <w:t>其他项目中</w:t>
      </w:r>
      <w:r>
        <w:rPr>
          <w:rFonts w:hint="eastAsia" w:ascii="仿宋" w:hAnsi="仿宋" w:eastAsia="仿宋" w:cs="仿宋"/>
          <w:color w:val="auto"/>
          <w:sz w:val="24"/>
          <w:szCs w:val="24"/>
          <w:highlight w:val="none"/>
        </w:rPr>
        <w:t>，合同总价和单价</w:t>
      </w:r>
      <w:r>
        <w:rPr>
          <w:rFonts w:hint="eastAsia" w:ascii="仿宋" w:hAnsi="仿宋" w:eastAsia="仿宋" w:cs="仿宋"/>
          <w:color w:val="auto"/>
          <w:sz w:val="24"/>
          <w:szCs w:val="24"/>
          <w:highlight w:val="none"/>
          <w:lang w:eastAsia="zh-CN"/>
        </w:rPr>
        <w:t>不作</w:t>
      </w:r>
      <w:r>
        <w:rPr>
          <w:rFonts w:hint="eastAsia" w:ascii="仿宋" w:hAnsi="仿宋" w:eastAsia="仿宋" w:cs="仿宋"/>
          <w:color w:val="auto"/>
          <w:sz w:val="24"/>
          <w:szCs w:val="24"/>
          <w:highlight w:val="none"/>
        </w:rPr>
        <w:t>调整。</w:t>
      </w:r>
    </w:p>
    <w:p w14:paraId="4DA441A2">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13.3投标文件只允许有一个报价，有选择的或有条件的报价将不予接受。</w:t>
      </w:r>
    </w:p>
    <w:p w14:paraId="06620A4E">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13.4招标文件未列明，而投标人认为必需的费用也需列入报价。</w:t>
      </w:r>
    </w:p>
    <w:p w14:paraId="743AF125">
      <w:pPr>
        <w:pStyle w:val="11"/>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13.5中标后，中标人所填写的单价在合同实施期间不因市场变化因素而变动，投标人在计算报价时应考虑一定的风险系数。</w:t>
      </w:r>
    </w:p>
    <w:p w14:paraId="61526F98">
      <w:pPr>
        <w:pStyle w:val="11"/>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13.6投标人若有方案和报价未被唱标，应在开标时及时声明或提请采购代理机构宣读，否则是投标人自己的风险，采购代理机构对此不承担任何责任。</w:t>
      </w:r>
    </w:p>
    <w:p w14:paraId="5A42B6F8">
      <w:pPr>
        <w:pStyle w:val="5"/>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after="0" w:afterLines="0" w:line="360" w:lineRule="auto"/>
        <w:ind w:left="0" w:leftChars="0" w:right="0" w:rightChars="0" w:firstLine="472" w:firstLineChars="196"/>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14.投标文件的有效期</w:t>
      </w:r>
    </w:p>
    <w:p w14:paraId="5A59905A">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14.1自投标截止日起90天投标书应保持有效。如采购人认为必要，可延长投标有效期。有效期短于这个规定期限的投标将被拒绝。</w:t>
      </w:r>
    </w:p>
    <w:p w14:paraId="5E0826D0">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14.2在特殊情况下，招标人可与投标人协商延长投标书的有效期，这种要求和答复均以书面形式进行。</w:t>
      </w:r>
    </w:p>
    <w:p w14:paraId="24806ADD">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14.3投标人可拒绝接受延期要求而不会导致投标保证金被没收。同意延长有效期的投标人需要相应延长投标保证金的有效期，但不能修改投标文件。 </w:t>
      </w:r>
    </w:p>
    <w:p w14:paraId="7056C38F">
      <w:pPr>
        <w:pStyle w:val="11"/>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14.4中标人的投标文件自开标之日起至合同履行完毕止均应保持有效。</w:t>
      </w:r>
    </w:p>
    <w:p w14:paraId="7DBFF4C5">
      <w:pPr>
        <w:pageBreakBefore w:val="0"/>
        <w:widowControl w:val="0"/>
        <w:kinsoku/>
        <w:wordWrap/>
        <w:overflowPunct/>
        <w:topLinePunct w:val="0"/>
        <w:bidi w:val="0"/>
        <w:snapToGrid w:val="0"/>
        <w:spacing w:line="360" w:lineRule="auto"/>
        <w:ind w:firstLine="472" w:firstLineChars="196"/>
        <w:jc w:val="left"/>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15.投标保证金</w:t>
      </w:r>
    </w:p>
    <w:p w14:paraId="3A4B8B1E">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15.1投标人应提供前附表规定的投标保证金，作为投标文件的一个组成部分。否则，其投标将被拒绝。</w:t>
      </w:r>
    </w:p>
    <w:p w14:paraId="7A6C1419">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15.2投标保证金可以以电汇、转账、汇票等非现金形式提交，且必须在投标文件提交截止时间前缴入前附表中的指定账户，以到账为准。采购代理机构将拒绝未能按规定时间和数额提交投标保证金的投标人。</w:t>
      </w:r>
    </w:p>
    <w:p w14:paraId="56D1D06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15.3未中标人的投标保证金在中标通知书发出后5个工作日退还。</w:t>
      </w:r>
    </w:p>
    <w:p w14:paraId="66D14B85">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15.4中标人的投标保证金，在中标人按招标文件规定签订合同后5个工作日内无息退还。</w:t>
      </w:r>
    </w:p>
    <w:p w14:paraId="37BD483D">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15.5投标保证金均以转账或电汇或汇票方式退还，恕不退还现金。保证金不计息。</w:t>
      </w:r>
    </w:p>
    <w:p w14:paraId="458CD8D9">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15.6下列情况，投标保证金将不予退还，并按有关规定处理：</w:t>
      </w:r>
    </w:p>
    <w:p w14:paraId="16551157">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15.6.1投标人在投标有效期内撤回投标文件的；</w:t>
      </w:r>
    </w:p>
    <w:p w14:paraId="50995631">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15.6.2未按规定提交履约保证金的；</w:t>
      </w:r>
    </w:p>
    <w:p w14:paraId="0FE73C3B">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15.6.3投标人在投标过程中弄虚作假，提供虚假材料的；</w:t>
      </w:r>
    </w:p>
    <w:p w14:paraId="681F3B7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15.6.4中标人无正当理由在规定的时间内不与采购单位签订合同的；</w:t>
      </w:r>
    </w:p>
    <w:p w14:paraId="169D3A0B">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15.6.5将中标项目转让给他人或者在投标文件中未说明且未经招标人同意，将中标项目分包给他人的；</w:t>
      </w:r>
    </w:p>
    <w:p w14:paraId="138C3E4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15.6.6拒绝履行合同义务的；</w:t>
      </w:r>
    </w:p>
    <w:p w14:paraId="12965AEE">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15.6.7其他严重扰乱招投标程序的；</w:t>
      </w:r>
    </w:p>
    <w:p w14:paraId="4496B48D">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15.6.8向有关人员行贿或者采取其他不正当手段谋取中标的；</w:t>
      </w:r>
    </w:p>
    <w:p w14:paraId="1A74A7D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15.6.9中标人无正当理由放弃中标的；</w:t>
      </w:r>
    </w:p>
    <w:p w14:paraId="71D9FC5A">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15.6.10存在法律、法规规定的其它损害招标人或用户单位利益或社会公共利益的情形的。</w:t>
      </w:r>
    </w:p>
    <w:p w14:paraId="03B91939">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15.7如投标人或招标人有下列情形之一的，应按串通投标行为认定，除有关方投标保证金不予退还外，禁止其一至三年内进入本市采购市场，情节严重的移送有关部门依法处理。</w:t>
      </w:r>
    </w:p>
    <w:p w14:paraId="35238C2A">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15.7.1不同投标人的投标文件由同一单位或人员编制的； </w:t>
      </w:r>
    </w:p>
    <w:p w14:paraId="09736E10">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15.7.2不同投标人使用同一单位或人员的资金交纳投标保证金的； </w:t>
      </w:r>
    </w:p>
    <w:p w14:paraId="3F876B73">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15.7.3不同供应商委托同一单位或人员办理投标事宜的；</w:t>
      </w:r>
    </w:p>
    <w:p w14:paraId="200D8FA7">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15.7.4不同投标人的投标文件中的内容出现非正常的一致，或者报价细目呈明显规律性变化，或在完全可比的情况下投标总价均高于市场平均价的； </w:t>
      </w:r>
    </w:p>
    <w:p w14:paraId="42E6B9E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15.7.5不同投标人的投标文件载明的项目管理或实施人员出现同一单位的工作人员或同一人的；</w:t>
      </w:r>
    </w:p>
    <w:p w14:paraId="2861DA70">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15.7.6不同投标人的授权代表为同一单位的工作人员的； </w:t>
      </w:r>
    </w:p>
    <w:p w14:paraId="675E8DF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15.7.7不同投标人的投标文件相互混装，或在一个投标人的投标文件内遗留有其他投标人的签名、盖章等不属于本投标人参加采购必需的信息资料的； </w:t>
      </w:r>
    </w:p>
    <w:p w14:paraId="53F105AD">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15.7.8采购响应截止时间后，招标人协助投标人撤换或更改投标文件的； </w:t>
      </w:r>
    </w:p>
    <w:p w14:paraId="7DFE927F">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15.7.9招标人泄露有意向参加采购的投标人名称、数量等应当保密的事项的；</w:t>
      </w:r>
    </w:p>
    <w:p w14:paraId="47139D1A">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15.7.10不同投标人之间私下达成书面或口头协议，指定一家投标人中标或轮流中标的；</w:t>
      </w:r>
    </w:p>
    <w:p w14:paraId="2C64F86E">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15.7.11法律、法规或规章规定的其他串通行为。</w:t>
      </w:r>
    </w:p>
    <w:p w14:paraId="230CD783">
      <w:pPr>
        <w:pageBreakBefore w:val="0"/>
        <w:widowControl w:val="0"/>
        <w:kinsoku/>
        <w:wordWrap/>
        <w:overflowPunct/>
        <w:topLinePunct w:val="0"/>
        <w:bidi w:val="0"/>
        <w:snapToGrid w:val="0"/>
        <w:spacing w:line="360" w:lineRule="auto"/>
        <w:ind w:firstLine="472" w:firstLineChars="196"/>
        <w:jc w:val="left"/>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16.投标文件的制作</w:t>
      </w:r>
    </w:p>
    <w:p w14:paraId="1315F76F">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16.1投标人应按招标文件前附表规定的内容编制投标文件。</w:t>
      </w:r>
    </w:p>
    <w:p w14:paraId="413FE4BE">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16.2投标人应按本招标文件规定的格式和顺序编制投标文件并标注页码，投标文件</w:t>
      </w:r>
      <w:r>
        <w:rPr>
          <w:rFonts w:hint="eastAsia" w:ascii="仿宋" w:hAnsi="仿宋" w:eastAsia="仿宋" w:cs="仿宋"/>
          <w:color w:val="auto"/>
          <w:sz w:val="24"/>
          <w:szCs w:val="24"/>
          <w:highlight w:val="none"/>
        </w:rPr>
        <w:t>内容不完整、编排混乱导致投标文件被误读、漏读或者查找不到相关内容的，是投标人的责任。</w:t>
      </w:r>
    </w:p>
    <w:p w14:paraId="164FB5C7">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rPr>
        <w:t>16.3投标文件须由投标人在规定位置盖章并由法定代表人或法定代表授权人签署，投标人应写全称。</w:t>
      </w:r>
      <w:r>
        <w:rPr>
          <w:rFonts w:hint="eastAsia" w:ascii="仿宋" w:hAnsi="仿宋" w:eastAsia="仿宋" w:cs="仿宋"/>
          <w:b/>
          <w:color w:val="auto"/>
          <w:sz w:val="24"/>
          <w:szCs w:val="24"/>
          <w:highlight w:val="none"/>
        </w:rPr>
        <w:t>电子投标文件中所有加盖公章均采用CA签章。</w:t>
      </w:r>
    </w:p>
    <w:p w14:paraId="63159408">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16.4投标文件不得涂改，若有修改错漏处，须加盖单位公章。投标文件因表达不清所引起的后果由投标人负责。</w:t>
      </w:r>
    </w:p>
    <w:p w14:paraId="45773716">
      <w:pPr>
        <w:pageBreakBefore w:val="0"/>
        <w:widowControl w:val="0"/>
        <w:kinsoku/>
        <w:wordWrap/>
        <w:overflowPunct/>
        <w:topLinePunct w:val="0"/>
        <w:bidi w:val="0"/>
        <w:snapToGri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16.5投标人应认真阅读招标文件中所有的内容。如果投标人编制的投标文件实质上不响应招标文件的要求，其投标文件将作无效标处理。</w:t>
      </w:r>
    </w:p>
    <w:p w14:paraId="09C03F83">
      <w:pPr>
        <w:pageBreakBefore w:val="0"/>
        <w:widowControl w:val="0"/>
        <w:numPr>
          <w:ilvl w:val="0"/>
          <w:numId w:val="2"/>
        </w:numPr>
        <w:kinsoku/>
        <w:wordWrap/>
        <w:overflowPunct/>
        <w:topLinePunct w:val="0"/>
        <w:bidi w:val="0"/>
        <w:snapToGrid w:val="0"/>
        <w:spacing w:line="360" w:lineRule="auto"/>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投标文件的包装、递交、修改和撤回</w:t>
      </w:r>
    </w:p>
    <w:p w14:paraId="3621F443">
      <w:pPr>
        <w:pStyle w:val="37"/>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color w:val="auto"/>
          <w:sz w:val="24"/>
          <w:szCs w:val="24"/>
          <w:highlight w:val="none"/>
          <w:lang w:val="en-US" w:eastAsia="zh-CN" w:bidi="ar-SA"/>
        </w:rPr>
        <w:t>17.1</w:t>
      </w:r>
      <w:r>
        <w:rPr>
          <w:rFonts w:hint="eastAsia" w:ascii="仿宋" w:hAnsi="仿宋" w:eastAsia="仿宋" w:cs="仿宋"/>
          <w:b w:val="0"/>
          <w:bCs/>
          <w:color w:val="auto"/>
          <w:sz w:val="24"/>
          <w:szCs w:val="24"/>
          <w:highlight w:val="none"/>
          <w:lang w:val="en-US" w:eastAsia="zh-CN" w:bidi="ar-SA"/>
        </w:rPr>
        <w:t>投标人应将投标文件的资格文件、商务技术文件、报价文件分开制作。</w:t>
      </w:r>
      <w:r>
        <w:rPr>
          <w:rFonts w:hint="eastAsia" w:ascii="仿宋" w:hAnsi="仿宋" w:eastAsia="仿宋" w:cs="仿宋"/>
          <w:b/>
          <w:color w:val="auto"/>
          <w:sz w:val="24"/>
          <w:szCs w:val="24"/>
          <w:highlight w:val="none"/>
          <w:lang w:val="en-US" w:eastAsia="zh-CN" w:bidi="ar-SA"/>
        </w:rPr>
        <w:t>如投标文件商务技术标内容含有报价的内容，将被视作无效标处理。</w:t>
      </w:r>
    </w:p>
    <w:p w14:paraId="3B816036">
      <w:pPr>
        <w:pStyle w:val="6"/>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投标人应在开标前在“</w:t>
      </w:r>
      <w:r>
        <w:rPr>
          <w:rFonts w:hint="eastAsia" w:ascii="仿宋" w:hAnsi="仿宋" w:eastAsia="仿宋" w:cs="仿宋"/>
          <w:b/>
          <w:color w:val="auto"/>
          <w:sz w:val="24"/>
          <w:szCs w:val="24"/>
          <w:highlight w:val="none"/>
          <w:lang w:eastAsia="zh-CN"/>
        </w:rPr>
        <w:t>乐采云</w:t>
      </w:r>
      <w:r>
        <w:rPr>
          <w:rFonts w:hint="eastAsia" w:ascii="仿宋" w:hAnsi="仿宋" w:eastAsia="仿宋" w:cs="仿宋"/>
          <w:b/>
          <w:color w:val="auto"/>
          <w:sz w:val="24"/>
          <w:szCs w:val="24"/>
          <w:highlight w:val="none"/>
        </w:rPr>
        <w:t>”上自行加密上传电子投标文件，逾期上传或未按要求上传的投标文件将予以拒收。</w:t>
      </w:r>
    </w:p>
    <w:p w14:paraId="15E71E7C">
      <w:pPr>
        <w:pStyle w:val="6"/>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hint="eastAsia" w:ascii="仿宋" w:hAnsi="仿宋" w:eastAsia="仿宋" w:cs="仿宋"/>
          <w:b/>
          <w:color w:val="auto"/>
          <w:sz w:val="24"/>
          <w:szCs w:val="24"/>
          <w:highlight w:val="none"/>
          <w:lang w:val="en-US" w:eastAsia="zh-CN"/>
        </w:rPr>
        <w:t>3</w:t>
      </w:r>
      <w:r>
        <w:rPr>
          <w:rFonts w:hint="eastAsia" w:ascii="仿宋" w:hAnsi="仿宋" w:eastAsia="仿宋" w:cs="仿宋"/>
          <w:color w:val="auto"/>
          <w:sz w:val="24"/>
          <w:szCs w:val="24"/>
          <w:highlight w:val="none"/>
        </w:rPr>
        <w:t>投标人在投标截止时间之前，可以对已提交的投标文件进行修改或撤回，补充、修改的内容为投标文件的组成部分。</w:t>
      </w:r>
    </w:p>
    <w:p w14:paraId="0A6F96F4">
      <w:pPr>
        <w:pStyle w:val="6"/>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投标截止时间后，投标人不得撤回、修改投标文件。</w:t>
      </w:r>
    </w:p>
    <w:p w14:paraId="13791EBC">
      <w:pPr>
        <w:pStyle w:val="6"/>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不论投标人中标与否，投标人文件均不得撤回其投标。</w:t>
      </w:r>
    </w:p>
    <w:p w14:paraId="267C7EDA">
      <w:pPr>
        <w:pStyle w:val="6"/>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17.6未按时解密的，视为投标文件撤回。</w:t>
      </w:r>
    </w:p>
    <w:p w14:paraId="49447833">
      <w:pPr>
        <w:pageBreakBefore w:val="0"/>
        <w:widowControl w:val="0"/>
        <w:kinsoku/>
        <w:wordWrap/>
        <w:overflowPunct/>
        <w:topLinePunct w:val="0"/>
        <w:bidi w:val="0"/>
        <w:snapToGrid w:val="0"/>
        <w:spacing w:line="360" w:lineRule="auto"/>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18.投标无效的情形</w:t>
      </w:r>
    </w:p>
    <w:p w14:paraId="0462D9D6">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w:t>
      </w:r>
      <w:r>
        <w:rPr>
          <w:rFonts w:hint="eastAsia" w:ascii="仿宋" w:hAnsi="仿宋" w:eastAsia="仿宋" w:cs="仿宋"/>
          <w:color w:val="auto"/>
          <w:sz w:val="24"/>
          <w:szCs w:val="24"/>
          <w:highlight w:val="none"/>
          <w:lang w:eastAsia="zh-CN"/>
        </w:rPr>
        <w:t>撤销</w:t>
      </w:r>
      <w:r>
        <w:rPr>
          <w:rFonts w:hint="eastAsia" w:ascii="仿宋" w:hAnsi="仿宋" w:eastAsia="仿宋" w:cs="仿宋"/>
          <w:color w:val="auto"/>
          <w:sz w:val="24"/>
          <w:szCs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6C3412B">
      <w:pPr>
        <w:pStyle w:val="7"/>
        <w:pageBreakBefore w:val="0"/>
        <w:widowControl w:val="0"/>
        <w:kinsoku/>
        <w:wordWrap/>
        <w:overflowPunct/>
        <w:topLinePunct w:val="0"/>
        <w:bidi w:val="0"/>
        <w:snapToGrid w:val="0"/>
        <w:spacing w:after="0" w:line="360" w:lineRule="auto"/>
        <w:ind w:left="0" w:leftChars="0"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18.1在符合性审查和资格性审查时，如发现下列情形之一的，投标文件将被视为无效投标：</w:t>
      </w:r>
    </w:p>
    <w:p w14:paraId="5F7187B3">
      <w:pPr>
        <w:keepNext w:val="0"/>
        <w:keepLines w:val="0"/>
        <w:pageBreakBefore w:val="0"/>
        <w:widowControl w:val="0"/>
        <w:kinsoku/>
        <w:wordWrap/>
        <w:overflowPunct/>
        <w:topLinePunct w:val="0"/>
        <w:autoSpaceDE w:val="0"/>
        <w:autoSpaceDN w:val="0"/>
        <w:bidi w:val="0"/>
        <w:adjustRightInd w:val="0"/>
        <w:snapToGrid w:val="0"/>
        <w:spacing w:line="360" w:lineRule="auto"/>
        <w:ind w:firstLine="470" w:firstLineChars="196"/>
        <w:textAlignment w:val="auto"/>
        <w:rPr>
          <w:rFonts w:hint="eastAsia" w:ascii="仿宋" w:hAnsi="仿宋" w:eastAsia="仿宋" w:cs="仿宋"/>
          <w:color w:val="auto"/>
          <w:sz w:val="24"/>
          <w:szCs w:val="24"/>
          <w:highlight w:val="none"/>
        </w:rPr>
      </w:pPr>
      <w:bookmarkStart w:id="10" w:name="_Toc125344507"/>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资格证明文件不全的，或者不符合招标文件标明的资格要求的；</w:t>
      </w:r>
    </w:p>
    <w:p w14:paraId="1BFEC53C">
      <w:pPr>
        <w:pStyle w:val="9"/>
        <w:keepNext w:val="0"/>
        <w:keepLines w:val="0"/>
        <w:pageBreakBefore w:val="0"/>
        <w:widowControl w:val="0"/>
        <w:kinsoku/>
        <w:wordWrap/>
        <w:overflowPunct/>
        <w:topLinePunct w:val="0"/>
        <w:autoSpaceDE w:val="0"/>
        <w:autoSpaceDN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18.1.2未按照招标文件规定要求盖章</w:t>
      </w:r>
    </w:p>
    <w:p w14:paraId="2732E89B">
      <w:pPr>
        <w:keepNext w:val="0"/>
        <w:keepLines w:val="0"/>
        <w:pageBreakBefore w:val="0"/>
        <w:widowControl w:val="0"/>
        <w:kinsoku/>
        <w:wordWrap/>
        <w:overflowPunct/>
        <w:topLinePunct w:val="0"/>
        <w:autoSpaceDE w:val="0"/>
        <w:autoSpaceDN w:val="0"/>
        <w:bidi w:val="0"/>
        <w:adjustRightInd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18.1.3投标文件项目不齐全或者内容虚假的；</w:t>
      </w:r>
    </w:p>
    <w:p w14:paraId="0FE106BD">
      <w:pPr>
        <w:keepNext w:val="0"/>
        <w:keepLines w:val="0"/>
        <w:pageBreakBefore w:val="0"/>
        <w:widowControl w:val="0"/>
        <w:kinsoku/>
        <w:wordWrap/>
        <w:overflowPunct/>
        <w:topLinePunct w:val="0"/>
        <w:autoSpaceDE w:val="0"/>
        <w:autoSpaceDN w:val="0"/>
        <w:bidi w:val="0"/>
        <w:adjustRightInd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18.1.4投标文件的实质性内容未使用中文表述、意思表述不明确、前后矛盾或者使用计量单位不符合招标文件要求的；</w:t>
      </w:r>
    </w:p>
    <w:p w14:paraId="249739A5">
      <w:pPr>
        <w:keepNext w:val="0"/>
        <w:keepLines w:val="0"/>
        <w:pageBreakBefore w:val="0"/>
        <w:widowControl w:val="0"/>
        <w:kinsoku/>
        <w:wordWrap/>
        <w:overflowPunct/>
        <w:topLinePunct w:val="0"/>
        <w:autoSpaceDE w:val="0"/>
        <w:autoSpaceDN w:val="0"/>
        <w:bidi w:val="0"/>
        <w:adjustRightInd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18.1.5投标有效期、交货时间、质保期、售后服务承诺等条款不能满足招标文件要求的；</w:t>
      </w:r>
    </w:p>
    <w:p w14:paraId="0B82F652">
      <w:pPr>
        <w:keepNext w:val="0"/>
        <w:keepLines w:val="0"/>
        <w:pageBreakBefore w:val="0"/>
        <w:widowControl w:val="0"/>
        <w:kinsoku/>
        <w:wordWrap/>
        <w:overflowPunct/>
        <w:topLinePunct w:val="0"/>
        <w:autoSpaceDE w:val="0"/>
        <w:autoSpaceDN w:val="0"/>
        <w:bidi w:val="0"/>
        <w:adjustRightInd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商务条款存在偏离情况的；</w:t>
      </w:r>
    </w:p>
    <w:p w14:paraId="3940C046">
      <w:pPr>
        <w:keepNext w:val="0"/>
        <w:keepLines w:val="0"/>
        <w:pageBreakBefore w:val="0"/>
        <w:widowControl w:val="0"/>
        <w:kinsoku/>
        <w:wordWrap/>
        <w:overflowPunct/>
        <w:topLinePunct w:val="0"/>
        <w:autoSpaceDE w:val="0"/>
        <w:autoSpaceDN w:val="0"/>
        <w:bidi w:val="0"/>
        <w:adjustRightInd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不符合法律、法规或未实质性响应招标文件要求或者投标文件有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不能接受的附加条件的。</w:t>
      </w:r>
    </w:p>
    <w:p w14:paraId="4ABCD72E">
      <w:pPr>
        <w:pStyle w:val="7"/>
        <w:pageBreakBefore w:val="0"/>
        <w:widowControl w:val="0"/>
        <w:kinsoku/>
        <w:wordWrap/>
        <w:overflowPunct/>
        <w:topLinePunct w:val="0"/>
        <w:bidi w:val="0"/>
        <w:snapToGrid w:val="0"/>
        <w:spacing w:after="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18.2在技术评审时，如发现下列情形之一的，投标文件将被视为无效：</w:t>
      </w:r>
    </w:p>
    <w:p w14:paraId="0EFFCB4A">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18.2.1未提供或未如实提供投标货物的技术参数，或者投标文件标明的响应或偏离与事实不符或虚假投标的；</w:t>
      </w:r>
    </w:p>
    <w:p w14:paraId="3999F3C1">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18.2.2明显不符合招标文件要求的规格型号、质量标准，或者与招标文件中标“★”的技术指标、主要功能项目发生实质性偏离的；</w:t>
      </w:r>
    </w:p>
    <w:p w14:paraId="55FD3B44">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18.2.3允许偏离的技术、性能指标或者辅助功能项目发生负偏离达20项（含）以上的；</w:t>
      </w:r>
    </w:p>
    <w:p w14:paraId="6BBF593D">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18.2.4投标技术方案不明确，存在一个或一个以上备选（替代）投标方案的；</w:t>
      </w:r>
    </w:p>
    <w:p w14:paraId="1705A57D">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18.2.5</w:t>
      </w:r>
      <w:r>
        <w:rPr>
          <w:rFonts w:hint="eastAsia" w:ascii="仿宋" w:hAnsi="仿宋" w:eastAsia="仿宋" w:cs="仿宋"/>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6E388A1B">
      <w:pPr>
        <w:pStyle w:val="7"/>
        <w:pageBreakBefore w:val="0"/>
        <w:widowControl w:val="0"/>
        <w:kinsoku/>
        <w:wordWrap/>
        <w:overflowPunct/>
        <w:topLinePunct w:val="0"/>
        <w:bidi w:val="0"/>
        <w:snapToGrid w:val="0"/>
        <w:spacing w:after="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18.3在报价评审时，如发现下列情形之一的，投标文件将被视为无效：</w:t>
      </w:r>
    </w:p>
    <w:p w14:paraId="3BFFD63B">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bookmarkStart w:id="11" w:name="OLE_LINK5"/>
      <w:r>
        <w:rPr>
          <w:rFonts w:hint="eastAsia" w:ascii="仿宋" w:hAnsi="仿宋" w:eastAsia="仿宋" w:cs="仿宋"/>
          <w:color w:val="auto"/>
          <w:sz w:val="24"/>
          <w:szCs w:val="24"/>
          <w:highlight w:val="none"/>
        </w:rPr>
        <w:t>（1）未采用人民币报价或者未按照招标文件标明的币种报价的；</w:t>
      </w:r>
    </w:p>
    <w:bookmarkEnd w:id="11"/>
    <w:p w14:paraId="4782DE2E">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（2）投标报价超过招标文件中规定的最高限价的；</w:t>
      </w:r>
    </w:p>
    <w:p w14:paraId="722F8CF0">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08BF6B2C">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（4）投标人不接受报价文件中修正后的报价的；</w:t>
      </w:r>
    </w:p>
    <w:p w14:paraId="3D3D65B3">
      <w:pPr>
        <w:pageBreakBefore w:val="0"/>
        <w:widowControl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（5）投标报价具有选择性。</w:t>
      </w:r>
    </w:p>
    <w:p w14:paraId="190BF0DE">
      <w:pPr>
        <w:pStyle w:val="7"/>
        <w:pageBreakBefore w:val="0"/>
        <w:widowControl w:val="0"/>
        <w:kinsoku/>
        <w:wordWrap/>
        <w:overflowPunct/>
        <w:topLinePunct w:val="0"/>
        <w:bidi w:val="0"/>
        <w:snapToGrid w:val="0"/>
        <w:spacing w:after="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18.4符合招标文件明确规定的其他无效投标条款的。</w:t>
      </w:r>
    </w:p>
    <w:p w14:paraId="4B309405">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、开  标</w:t>
      </w:r>
      <w:bookmarkEnd w:id="10"/>
    </w:p>
    <w:p w14:paraId="5676A222">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19.</w:t>
      </w:r>
      <w:r>
        <w:rPr>
          <w:rFonts w:hint="eastAsia" w:ascii="仿宋" w:hAnsi="仿宋" w:eastAsia="仿宋" w:cs="仿宋"/>
          <w:b/>
          <w:color w:val="auto"/>
          <w:sz w:val="24"/>
          <w:szCs w:val="24"/>
          <w:highlight w:val="none"/>
        </w:rPr>
        <w:t>开标</w:t>
      </w:r>
    </w:p>
    <w:p w14:paraId="4B60EF78">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19.1采购代理机构将在前附表规定的时间、地点进行开标。无关人员不得进入开标现场。</w:t>
      </w:r>
    </w:p>
    <w:p w14:paraId="079947A3">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19.2本项目实行电子开评标，投标人无需前往开评标现场，只需在规定时间内在“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 xml:space="preserve">”平台上上传电子投标文件。 </w:t>
      </w:r>
    </w:p>
    <w:p w14:paraId="60EBF484">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20.开标程序</w:t>
      </w:r>
    </w:p>
    <w:p w14:paraId="5A74A474">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bookmarkStart w:id="12" w:name="_Toc125344508"/>
      <w:r>
        <w:rPr>
          <w:rFonts w:hint="eastAsia" w:ascii="仿宋" w:hAnsi="仿宋" w:eastAsia="仿宋" w:cs="仿宋"/>
          <w:b/>
          <w:color w:val="auto"/>
          <w:sz w:val="24"/>
          <w:szCs w:val="24"/>
          <w:highlight w:val="none"/>
        </w:rPr>
        <w:t>20.1投标截止时间后的</w:t>
      </w:r>
      <w:r>
        <w:rPr>
          <w:rFonts w:hint="eastAsia" w:ascii="仿宋" w:hAnsi="仿宋" w:eastAsia="仿宋" w:cs="仿宋"/>
          <w:b/>
          <w:color w:val="auto"/>
          <w:sz w:val="24"/>
          <w:szCs w:val="24"/>
          <w:highlight w:val="none"/>
          <w:lang w:eastAsia="zh-CN"/>
        </w:rPr>
        <w:t>30分钟</w:t>
      </w:r>
      <w:r>
        <w:rPr>
          <w:rFonts w:hint="eastAsia" w:ascii="仿宋" w:hAnsi="仿宋" w:eastAsia="仿宋" w:cs="仿宋"/>
          <w:b/>
          <w:color w:val="auto"/>
          <w:sz w:val="24"/>
          <w:szCs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702155A4">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20.2评标委员会对投标人的资格和</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文件进行评审；</w:t>
      </w:r>
    </w:p>
    <w:p w14:paraId="1054752A">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20.3对有效的投标单位的投标报价在“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”平台上予以公开；</w:t>
      </w:r>
    </w:p>
    <w:p w14:paraId="5A1ED75E">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20.4评标委员会对有效的投标单位进行投标报价评审，确定投标报价评审有效投标单位；</w:t>
      </w:r>
    </w:p>
    <w:p w14:paraId="2AA98289">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确定预中标人。</w:t>
      </w:r>
    </w:p>
    <w:p w14:paraId="16C16D4E">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p w14:paraId="2811C619">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乐采云</w:t>
      </w:r>
      <w:r>
        <w:rPr>
          <w:rFonts w:hint="eastAsia" w:ascii="仿宋" w:hAnsi="仿宋" w:eastAsia="仿宋" w:cs="仿宋"/>
          <w:b/>
          <w:color w:val="auto"/>
          <w:sz w:val="24"/>
          <w:szCs w:val="24"/>
          <w:highlight w:val="none"/>
        </w:rPr>
        <w:t>公司如对电子化开标及评审程序有调整的，按调整后的程序操作。</w:t>
      </w:r>
    </w:p>
    <w:p w14:paraId="0760FCC8">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2、如中标单位投标文件和招标文件要求不一致，且评审过程中未发现的，履约应按有利于采购人的要求执行。</w:t>
      </w:r>
    </w:p>
    <w:p w14:paraId="55EF83F4">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3、采购过程中出现以下情形，导致电子交易平台无法正常运行，或者无法保证电子交易的公平、公正和安全时，采购组织机构可中止电子交易活动：</w:t>
      </w:r>
    </w:p>
    <w:p w14:paraId="0CE931BA">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（一）电子交易平台发生故障而无法登录访问的； </w:t>
      </w:r>
    </w:p>
    <w:p w14:paraId="59D2355C">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（二）电子交易平台应用或数据库出现错误，不能进行正常操作的；</w:t>
      </w:r>
    </w:p>
    <w:p w14:paraId="556046C8">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（三）电子交易平台发现严重安全漏洞，有潜在泄密危险的；</w:t>
      </w:r>
    </w:p>
    <w:p w14:paraId="10178FEE">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（四）病毒发作导致不能进行正常操作的； </w:t>
      </w:r>
    </w:p>
    <w:p w14:paraId="5C82CABD">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（五）其他无法保证电子交易的公平、公正和安全的情况。</w:t>
      </w:r>
    </w:p>
    <w:p w14:paraId="4871C258">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出现前款规定情形，不影响采购公平、公正性的，采购组织机构可以待上述情形消除后继续组织电子交易活动；影响或可能影响采购公平、公正性的，应当重新采购。</w:t>
      </w:r>
    </w:p>
    <w:p w14:paraId="0B018634">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五、评　标</w:t>
      </w:r>
      <w:bookmarkEnd w:id="12"/>
    </w:p>
    <w:p w14:paraId="0F874AAF">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组建评标委员会</w:t>
      </w:r>
    </w:p>
    <w:p w14:paraId="6F1C3AEA">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评标委员会按照有关规定组建。</w:t>
      </w:r>
    </w:p>
    <w:p w14:paraId="44F8A7D2">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22.评标原则</w:t>
      </w:r>
    </w:p>
    <w:p w14:paraId="06F8BBBE">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22.1评标委员会必须公平、公正、客观，不带任何倾向性和启发性；</w:t>
      </w:r>
    </w:p>
    <w:p w14:paraId="433AC7F5">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22.2不得向外界透露任何与评标有关的内容；</w:t>
      </w:r>
    </w:p>
    <w:p w14:paraId="377D0C39">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22.3任何单位和个人不得干扰、影响评标的正常进行；</w:t>
      </w:r>
    </w:p>
    <w:p w14:paraId="0B2CDD07">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22.4评标委员会及有关工作人员不得私下与投标人接触。</w:t>
      </w:r>
    </w:p>
    <w:p w14:paraId="1A6F0BFC">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22.5评审专家因回避、临时缺席或健康原因等特殊情况不能继续参加评审工作的，应按规定更换评审专家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被更换的评审人员之前所作出的评审意见不再予以采纳，由更换后的评审人员重新进行评审。无法及时更换专家的，要立即停止评审工作、封存评审资料，并告知投标人择期重新评审的时间和地点。</w:t>
      </w:r>
    </w:p>
    <w:p w14:paraId="1039959B">
      <w:pPr>
        <w:pageBreakBefore w:val="0"/>
        <w:widowControl w:val="0"/>
        <w:kinsoku/>
        <w:wordWrap/>
        <w:overflowPunct/>
        <w:topLinePunct w:val="0"/>
        <w:bidi w:val="0"/>
        <w:snapToGri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22.6</w:t>
      </w:r>
      <w:r>
        <w:rPr>
          <w:rFonts w:hint="eastAsia" w:ascii="仿宋" w:hAnsi="仿宋" w:eastAsia="仿宋" w:cs="仿宋"/>
          <w:color w:val="auto"/>
          <w:sz w:val="24"/>
          <w:szCs w:val="24"/>
          <w:highlight w:val="none"/>
        </w:rPr>
        <w:t>以联合体形式参加采购活动的，联合体各方不得再单独参加或者与其他供应商另外组成联合体参加同一合同项下的采购活动。</w:t>
      </w:r>
    </w:p>
    <w:p w14:paraId="0D376DD3">
      <w:pPr>
        <w:pageBreakBefore w:val="0"/>
        <w:widowControl w:val="0"/>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除单一来源采购以外，为采购项目提供整体设计、规范编制或者项目管理、监理、检测等服务的供应商，不得参加本采购项目。</w:t>
      </w:r>
    </w:p>
    <w:p w14:paraId="2F16B5C9">
      <w:pPr>
        <w:pageBreakBefore w:val="0"/>
        <w:widowControl w:val="0"/>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单位负责人为同一人或者存在直接控股、管理关系的不同供应商，不得参加同一合同项下的采购活动。</w:t>
      </w:r>
    </w:p>
    <w:p w14:paraId="671AF94B">
      <w:pPr>
        <w:pStyle w:val="11"/>
        <w:pageBreakBefore w:val="0"/>
        <w:widowControl w:val="0"/>
        <w:kinsoku/>
        <w:wordWrap/>
        <w:overflowPunct/>
        <w:topLinePunct w:val="0"/>
        <w:bidi w:val="0"/>
        <w:snapToGrid w:val="0"/>
        <w:spacing w:line="360" w:lineRule="auto"/>
        <w:ind w:left="2" w:leftChars="1"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本项目涉及提供的有关资质证书，若原有资质证书处于年审期间，投标人提供年审证明的可按原资质投标；若投标人正在申报上一级别资质，在未获批准之前，仍按原级别资质投标。</w:t>
      </w:r>
    </w:p>
    <w:p w14:paraId="34700D3E">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23.评标程序</w:t>
      </w:r>
    </w:p>
    <w:p w14:paraId="132A3419">
      <w:pPr>
        <w:pageBreakBefore w:val="0"/>
        <w:widowControl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23.1形式审查</w:t>
      </w:r>
    </w:p>
    <w:p w14:paraId="7E9DA084">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评标委员会对投标人的投标文件的完整性、合法性等进行审查。</w:t>
      </w:r>
    </w:p>
    <w:p w14:paraId="3DC55CEB">
      <w:pPr>
        <w:pageBreakBefore w:val="0"/>
        <w:widowControl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23.2实质审查与比较</w:t>
      </w:r>
    </w:p>
    <w:p w14:paraId="55ED813C">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的权利和投标人的义务方面造成重大的限制，纠正这些显著差异或保留将会对其他实质上响应招标文件要求的投标文件的投标人的竞争地位产生不公平的影响。</w:t>
      </w:r>
    </w:p>
    <w:p w14:paraId="4B801756">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23.2.2评标委员会将根据投标人的投标文件进行审查、核对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如有疑问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将对投标人进行询标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投标人要向评标委员会澄清有关问题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并最终以“</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”在线询标或其他有效</w:t>
      </w:r>
      <w:r>
        <w:rPr>
          <w:rFonts w:hint="eastAsia" w:ascii="仿宋" w:hAnsi="仿宋" w:eastAsia="仿宋" w:cs="仿宋"/>
          <w:color w:val="auto"/>
          <w:sz w:val="24"/>
          <w:szCs w:val="24"/>
          <w:highlight w:val="none"/>
          <w:lang w:eastAsia="zh-CN"/>
        </w:rPr>
        <w:t>形式进行</w:t>
      </w:r>
      <w:r>
        <w:rPr>
          <w:rFonts w:hint="eastAsia" w:ascii="仿宋" w:hAnsi="仿宋" w:eastAsia="仿宋" w:cs="仿宋"/>
          <w:color w:val="auto"/>
          <w:sz w:val="24"/>
          <w:szCs w:val="24"/>
          <w:highlight w:val="none"/>
        </w:rPr>
        <w:t>答复。投标人代表拒绝澄清或者澄清的内容改变了投标文件的实质性内容的，评标委员会有权对该投标文件作出不利于投标人的评判。</w:t>
      </w:r>
    </w:p>
    <w:p w14:paraId="1281BB8E">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23.2.3如果投标文件实质不响应招标文件的各项要求，评标委员会将予以拒绝，并且不允许投标人通过修改或撤销其不符合要求的差异或保留，使之成为具有响应性的投标。</w:t>
      </w:r>
    </w:p>
    <w:p w14:paraId="6E076578">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23.2.4评标委员会完成评标后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按评标原则推荐中标候选人同时起草评标报告。</w:t>
      </w:r>
    </w:p>
    <w:p w14:paraId="04BFC188">
      <w:pPr>
        <w:pStyle w:val="19"/>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sz w:val="24"/>
        </w:rPr>
        <w:t>23.3.5</w:t>
      </w:r>
      <w:r>
        <w:rPr>
          <w:rFonts w:hint="eastAsia" w:ascii="仿宋" w:hAnsi="仿宋" w:eastAsia="仿宋" w:cs="仿宋"/>
          <w:b/>
          <w:bCs/>
          <w:color w:val="auto"/>
          <w:sz w:val="24"/>
          <w:szCs w:val="24"/>
          <w:highlight w:val="none"/>
        </w:rPr>
        <w:t>评标委员会认为供应商的报价明显低于其他通过符合性审查供应商的报价，有可能影响产品质量或者不能诚信履约的，应当要求其在评标现场合理的时间内（不少于</w:t>
      </w:r>
      <w:r>
        <w:rPr>
          <w:rFonts w:hint="eastAsia" w:ascii="仿宋" w:hAnsi="仿宋" w:eastAsia="仿宋" w:cs="仿宋"/>
          <w:b/>
          <w:bCs/>
          <w:color w:val="auto"/>
          <w:sz w:val="24"/>
          <w:szCs w:val="24"/>
          <w:highlight w:val="none"/>
          <w:lang w:val="en-US" w:eastAsia="zh-CN"/>
        </w:rPr>
        <w:t>30分钟</w:t>
      </w:r>
      <w:r>
        <w:rPr>
          <w:rFonts w:hint="eastAsia" w:ascii="仿宋" w:hAnsi="仿宋" w:eastAsia="仿宋" w:cs="仿宋"/>
          <w:b/>
          <w:bCs/>
          <w:color w:val="auto"/>
          <w:sz w:val="24"/>
          <w:szCs w:val="24"/>
          <w:highlight w:val="none"/>
        </w:rPr>
        <w:t>）提供书面说明，必要时提交相关证明材料；供应商不能证明其报价合理性的，评标委员会应当将其作为无效投标处理。</w:t>
      </w:r>
    </w:p>
    <w:p w14:paraId="24BD9B69">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评审中出现下列情形之一的，评标委员会应当启动异常低价投标审查程序：</w:t>
      </w:r>
    </w:p>
    <w:p w14:paraId="2A0353C2">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（一）投标报价低于全部通过符合性审查供应商投标报价平均值50%的，即投标报价&lt;全部通过符合性审查供应商投标报价平均值×50%；</w:t>
      </w:r>
    </w:p>
    <w:p w14:paraId="5B182154">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（二）投标报价低于通过符合性审查且报价次低供应商投标报价50%的，即投标报价&lt;通过符合性审查且报价次低供应商投标报价×50%；</w:t>
      </w:r>
    </w:p>
    <w:p w14:paraId="48DC9901">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（三）投标报价低于采购项目最高限价45%的，即投标报价&lt;采购项目最高限价×45%；</w:t>
      </w:r>
    </w:p>
    <w:p w14:paraId="0A933BC8">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（四）其他评标委员会认为供应商报价过低，有可能影响产品质量或者不能诚信履约的情形。</w:t>
      </w:r>
    </w:p>
    <w:p w14:paraId="4ACB88EF">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1F4EFAB3">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bCs/>
          <w:color w:val="auto"/>
          <w:sz w:val="24"/>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r>
        <w:rPr>
          <w:rFonts w:hint="eastAsia" w:ascii="仿宋" w:hAnsi="仿宋" w:eastAsia="仿宋" w:cs="仿宋"/>
          <w:b/>
          <w:bCs/>
          <w:color w:val="auto"/>
          <w:sz w:val="24"/>
          <w:szCs w:val="24"/>
          <w:highlight w:val="none"/>
        </w:rPr>
        <w:t>。</w:t>
      </w:r>
    </w:p>
    <w:p w14:paraId="0EC2EB29">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2E9C3F37">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F60880A">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如投标人或采购人有下列情形之一的，应按串通投标行为认定，禁止其一至三年内进入本市采购市场，情节严重的移送有关部门依法处理。</w:t>
      </w:r>
    </w:p>
    <w:p w14:paraId="0E72DBA0">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24.1不同投标人的投标文件由同一单位或人员编制； </w:t>
      </w:r>
    </w:p>
    <w:p w14:paraId="08429775">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24.2不同投标人委托同一单位或个人办理投标事宜；</w:t>
      </w:r>
    </w:p>
    <w:p w14:paraId="784D0C70">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24.3不同投标人的投标文件载明的项目管理或联系人员为同一人；</w:t>
      </w:r>
    </w:p>
    <w:p w14:paraId="2E5F6432">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24.4不同投标人的投标文件异常一致或者投标报价呈规律性差异； </w:t>
      </w:r>
    </w:p>
    <w:p w14:paraId="45AFEFCD">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24.5不同投标人的投标文件遗留其他投标人不属于本投标人参加采购必需的信息资料的；</w:t>
      </w:r>
    </w:p>
    <w:p w14:paraId="04491788">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24.6不同投标人的授权代表为同一单位的工作人员的；   </w:t>
      </w:r>
    </w:p>
    <w:p w14:paraId="6AA9B27B">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24.7采购响应截止时间后，采购人协助投标人撤换或更改投标文件的；</w:t>
      </w:r>
    </w:p>
    <w:p w14:paraId="0D8A0510">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24.8采购人泄露有意向参加采购的投标人名称、数量等应当保密的事项的；</w:t>
      </w:r>
    </w:p>
    <w:p w14:paraId="032E43D5">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24.9不同投标人之间私下达成书面或口头协议，指定一家投标人中标或轮流中标的；</w:t>
      </w:r>
    </w:p>
    <w:p w14:paraId="7E846A47">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24.10属于同一集团、协会、商会等组织成员的投标人按照该组织要求协同的投标；</w:t>
      </w:r>
    </w:p>
    <w:p w14:paraId="4CA36574">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24.11投标人之间为谋取中标或者排斥特定投标人而采取的其他联合行动；</w:t>
      </w:r>
    </w:p>
    <w:p w14:paraId="60747BD4">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24.12不同投标人与同一投标人联合投标的；</w:t>
      </w:r>
    </w:p>
    <w:p w14:paraId="796726D5">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24.13采购人（或采购代理机构）明示或者暗示投标人压低或者抬高投标报价；</w:t>
      </w:r>
    </w:p>
    <w:p w14:paraId="35B00ADF">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24.14采购人（或采购代理机构）明示或者暗示投标人为特定投标人中标提供方便；</w:t>
      </w:r>
    </w:p>
    <w:p w14:paraId="0F15500F">
      <w:pPr>
        <w:pageBreakBefore w:val="0"/>
        <w:widowControl w:val="0"/>
        <w:kinsoku/>
        <w:wordWrap/>
        <w:overflowPunct/>
        <w:topLinePunct w:val="0"/>
        <w:bidi w:val="0"/>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24.15采购人（或采购代理机构）与投标人为谋求特定投标人中标而采取的其他串通行为；</w:t>
      </w:r>
    </w:p>
    <w:p w14:paraId="0478FC00">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24.16法律、法规或规章规定的其他串通行为。</w:t>
      </w:r>
    </w:p>
    <w:p w14:paraId="381752A1">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.投标文件的澄清</w:t>
      </w:r>
    </w:p>
    <w:p w14:paraId="357EBCF0">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对投标文件中含义不明确、同类问题表述不一致或者有明显文字错误的内容，评标委员会可以在“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”平台在线询标或其他有效形式要求投标人对同一份投标文件含义不明确或同类问题表述不一致的内容（招标文件其</w:t>
      </w:r>
      <w:r>
        <w:rPr>
          <w:rFonts w:hint="eastAsia" w:ascii="仿宋" w:hAnsi="仿宋" w:eastAsia="仿宋" w:cs="仿宋"/>
          <w:color w:val="auto"/>
          <w:sz w:val="24"/>
          <w:szCs w:val="24"/>
          <w:highlight w:val="none"/>
          <w:lang w:eastAsia="zh-CN"/>
        </w:rPr>
        <w:t>他</w:t>
      </w:r>
      <w:r>
        <w:rPr>
          <w:rFonts w:hint="eastAsia" w:ascii="仿宋" w:hAnsi="仿宋" w:eastAsia="仿宋" w:cs="仿宋"/>
          <w:color w:val="auto"/>
          <w:sz w:val="24"/>
          <w:szCs w:val="24"/>
          <w:highlight w:val="none"/>
        </w:rPr>
        <w:t>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5C73D92B">
      <w:pPr>
        <w:pStyle w:val="11"/>
        <w:pageBreakBefore w:val="0"/>
        <w:widowControl w:val="0"/>
        <w:kinsoku/>
        <w:wordWrap/>
        <w:overflowPunct/>
        <w:topLinePunct w:val="0"/>
        <w:bidi w:val="0"/>
        <w:snapToGrid w:val="0"/>
        <w:spacing w:line="360" w:lineRule="auto"/>
        <w:ind w:left="720" w:leftChars="228" w:hanging="241" w:hanging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26.错误修正</w:t>
      </w:r>
    </w:p>
    <w:p w14:paraId="7A99C19A">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投标文件报价出现前后不一致的，按照下列规定修正：</w:t>
      </w:r>
    </w:p>
    <w:p w14:paraId="1ACE4010">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26.1投标文件中开标一览表（报价表）内容与投标文件中相应内容不一致的，以开标一览表（报价表）为准。</w:t>
      </w:r>
    </w:p>
    <w:p w14:paraId="677E8140">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26.2大写金额和小写金额不一致的，以大写金额为准。</w:t>
      </w:r>
    </w:p>
    <w:p w14:paraId="111F0016">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26.3单价金额小数点或者百分比有明显错位的，以开标一览表的总价为准，并修改单价。</w:t>
      </w:r>
    </w:p>
    <w:p w14:paraId="78702FD9">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26.4总价金额与按单价汇总金额不一致的，以单价金额计算结果为准。</w:t>
      </w:r>
    </w:p>
    <w:p w14:paraId="375D9EC0">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同时出现两种以上不一致的，按照上述规定的顺序修正。</w:t>
      </w:r>
    </w:p>
    <w:p w14:paraId="783C0B7C">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43A557B2">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.评标办法。</w:t>
      </w:r>
    </w:p>
    <w:p w14:paraId="31C6BE79">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.1本项目评标办法是采用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lang w:val="en-US" w:eastAsia="zh-CN"/>
        </w:rPr>
        <w:t>综合评分</w:t>
      </w:r>
      <w:r>
        <w:rPr>
          <w:rFonts w:hint="eastAsia" w:ascii="仿宋" w:hAnsi="仿宋" w:eastAsia="仿宋" w:cs="仿宋"/>
          <w:b/>
          <w:color w:val="auto"/>
          <w:sz w:val="24"/>
          <w:szCs w:val="24"/>
          <w:highlight w:val="none"/>
          <w:u w:val="single"/>
        </w:rPr>
        <w:t>法</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。即在符合招标文件要求的前提下，按标的择定最低报价</w:t>
      </w:r>
      <w:r>
        <w:rPr>
          <w:rFonts w:hint="eastAsia" w:ascii="仿宋" w:hAnsi="仿宋" w:eastAsia="仿宋" w:cs="仿宋"/>
          <w:color w:val="auto"/>
          <w:sz w:val="24"/>
          <w:szCs w:val="24"/>
          <w:highlight w:val="none"/>
          <w:lang w:eastAsia="zh-CN"/>
        </w:rPr>
        <w:t>者为预</w:t>
      </w:r>
      <w:r>
        <w:rPr>
          <w:rFonts w:hint="eastAsia" w:ascii="仿宋" w:hAnsi="仿宋" w:eastAsia="仿宋" w:cs="仿宋"/>
          <w:color w:val="auto"/>
          <w:sz w:val="24"/>
          <w:szCs w:val="24"/>
          <w:highlight w:val="none"/>
        </w:rPr>
        <w:t>中标人。</w:t>
      </w:r>
    </w:p>
    <w:p w14:paraId="0DE5FAC7">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.2如同一标的有两个或两个以上投标人的报价相同且同为最低报价的，按</w:t>
      </w:r>
      <w:r>
        <w:rPr>
          <w:rFonts w:hint="eastAsia" w:ascii="仿宋" w:hAnsi="仿宋" w:eastAsia="仿宋" w:cs="仿宋"/>
          <w:color w:val="auto"/>
          <w:sz w:val="24"/>
          <w:szCs w:val="24"/>
          <w:highlight w:val="none"/>
          <w:lang w:val="en-US" w:eastAsia="zh-CN"/>
        </w:rPr>
        <w:t>招标文件第三章认定规则为准</w:t>
      </w:r>
      <w:r>
        <w:rPr>
          <w:rFonts w:hint="eastAsia" w:ascii="仿宋" w:hAnsi="仿宋" w:eastAsia="仿宋" w:cs="仿宋"/>
          <w:color w:val="auto"/>
          <w:sz w:val="24"/>
          <w:szCs w:val="24"/>
          <w:highlight w:val="none"/>
        </w:rPr>
        <w:t>。</w:t>
      </w:r>
    </w:p>
    <w:p w14:paraId="441C7AA8">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评标过程的保密</w:t>
      </w:r>
    </w:p>
    <w:p w14:paraId="62DE6200">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23CCBF4A">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43072B3B">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28.3中标人确定后，采购人不对未中标人就评标过程以及未能中标原因作出任何解释。未中标人不得向评标委员会或其他有关人员索问评标过程的情况和材料。</w:t>
      </w:r>
    </w:p>
    <w:p w14:paraId="48731238">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b/>
          <w:bCs/>
          <w:color w:val="auto"/>
          <w:sz w:val="32"/>
          <w:szCs w:val="32"/>
          <w:highlight w:val="none"/>
          <w:lang w:val="en-US" w:eastAsia="zh-CN"/>
        </w:rPr>
      </w:pPr>
      <w:bookmarkStart w:id="13" w:name="_Toc125344509"/>
      <w:r>
        <w:rPr>
          <w:rFonts w:hint="eastAsia" w:ascii="仿宋" w:hAnsi="仿宋" w:eastAsia="仿宋" w:cs="仿宋"/>
          <w:b/>
          <w:bCs/>
          <w:color w:val="auto"/>
          <w:sz w:val="32"/>
          <w:szCs w:val="32"/>
          <w:highlight w:val="none"/>
          <w:lang w:val="en-US" w:eastAsia="zh-CN"/>
        </w:rPr>
        <w:t>六、</w:t>
      </w:r>
      <w:bookmarkEnd w:id="13"/>
      <w:r>
        <w:rPr>
          <w:rFonts w:hint="eastAsia" w:ascii="仿宋" w:hAnsi="仿宋" w:eastAsia="仿宋" w:cs="仿宋"/>
          <w:b/>
          <w:bCs/>
          <w:color w:val="auto"/>
          <w:sz w:val="32"/>
          <w:szCs w:val="32"/>
          <w:highlight w:val="none"/>
          <w:lang w:val="en-US" w:eastAsia="zh-CN"/>
        </w:rPr>
        <w:t>定标</w:t>
      </w:r>
    </w:p>
    <w:p w14:paraId="3838D0C3">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.确定中标人。本项目由采购人确定中标人。</w:t>
      </w:r>
    </w:p>
    <w:p w14:paraId="61AE123A">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5AE10DC">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.2第一名中标候选人无正当理由放弃中标成交或被取消中标资格的，除其投标保证金不予退还外，同时上</w:t>
      </w:r>
      <w:r>
        <w:rPr>
          <w:rFonts w:hint="eastAsia" w:ascii="仿宋" w:hAnsi="仿宋" w:eastAsia="仿宋" w:cs="仿宋"/>
          <w:color w:val="000000"/>
          <w:sz w:val="24"/>
          <w:szCs w:val="24"/>
          <w:highlight w:val="none"/>
          <w:lang w:val="en-US" w:eastAsia="zh-CN"/>
        </w:rPr>
        <w:t>报</w:t>
      </w:r>
      <w:r>
        <w:rPr>
          <w:rFonts w:hint="eastAsia" w:ascii="仿宋" w:hAnsi="仿宋" w:eastAsia="仿宋" w:cs="仿宋"/>
          <w:color w:val="auto"/>
          <w:sz w:val="24"/>
          <w:szCs w:val="24"/>
          <w:highlight w:val="none"/>
          <w:lang w:val="en-US" w:eastAsia="zh-CN"/>
        </w:rPr>
        <w:t>诸暨市暨阳排水管理有限公司</w:t>
      </w:r>
      <w:r>
        <w:rPr>
          <w:rFonts w:hint="eastAsia" w:ascii="仿宋" w:hAnsi="仿宋" w:eastAsia="仿宋" w:cs="仿宋"/>
          <w:color w:val="000000"/>
          <w:sz w:val="24"/>
          <w:szCs w:val="24"/>
          <w:highlight w:val="none"/>
        </w:rPr>
        <w:t>招投标监管领导小组办公室，</w:t>
      </w:r>
      <w:r>
        <w:rPr>
          <w:rFonts w:hint="eastAsia" w:ascii="仿宋" w:hAnsi="仿宋" w:eastAsia="仿宋" w:cs="仿宋"/>
          <w:color w:val="auto"/>
          <w:sz w:val="24"/>
          <w:szCs w:val="24"/>
          <w:highlight w:val="none"/>
          <w:lang w:val="en-US" w:eastAsia="zh-CN"/>
        </w:rPr>
        <w:t>诸暨市暨阳排水管理有限公司</w:t>
      </w:r>
      <w:r>
        <w:rPr>
          <w:rFonts w:hint="eastAsia" w:ascii="仿宋" w:hAnsi="仿宋" w:eastAsia="仿宋" w:cs="仿宋"/>
          <w:color w:val="000000"/>
          <w:sz w:val="24"/>
          <w:szCs w:val="24"/>
          <w:highlight w:val="none"/>
        </w:rPr>
        <w:t>招投标监管领导小组办公室将按有关法律、法规、制度进行处理。此标的将另行组织采购。</w:t>
      </w:r>
    </w:p>
    <w:p w14:paraId="68BDB2D2">
      <w:pPr>
        <w:pStyle w:val="19"/>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.中标通知</w:t>
      </w:r>
    </w:p>
    <w:p w14:paraId="7A8F362E">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.1采购结果经采购人确认后，采购代理机构将于2个工作日内在浙江省政府采购网上发布中标公告，由采购代理机构通过“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”平台确认并签发《中标通知书》。《中标通知书》一经发出即发生法律效力。</w:t>
      </w:r>
    </w:p>
    <w:p w14:paraId="403FA669">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2ECABD1F">
      <w:pPr>
        <w:pageBreakBefore w:val="0"/>
        <w:widowControl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 中标无效情形</w:t>
      </w:r>
    </w:p>
    <w:p w14:paraId="4A7DB7A0">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中标人存在下列情形之一的，中标无效：</w:t>
      </w:r>
    </w:p>
    <w:p w14:paraId="22E7CB20">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.1提供虚假材料谋取中标的；</w:t>
      </w:r>
    </w:p>
    <w:p w14:paraId="6280B3F3">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.2采取不正当手段诋毁、排挤其他投标人的；</w:t>
      </w:r>
    </w:p>
    <w:p w14:paraId="52F0DCE2">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.3与采购人、其他投标人恶意串通的；</w:t>
      </w:r>
    </w:p>
    <w:p w14:paraId="66FE58BB">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.4向采购人、采购代理机构行贿或者提供其他不正当利益的；</w:t>
      </w:r>
    </w:p>
    <w:p w14:paraId="28A5E7FC">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.5在招标过程中与采购人进行协商谈判；不按照招标文件和投标文件订立合同或者与采购人另行背离合同实质性内容的协议的；</w:t>
      </w:r>
    </w:p>
    <w:p w14:paraId="212D9850">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.6拖延、拒签合同的；</w:t>
      </w:r>
    </w:p>
    <w:p w14:paraId="6537891B">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.7存在法律、法规规定</w:t>
      </w:r>
      <w:r>
        <w:rPr>
          <w:rFonts w:hint="eastAsia" w:ascii="仿宋" w:hAnsi="仿宋" w:eastAsia="仿宋" w:cs="仿宋"/>
          <w:color w:val="auto"/>
          <w:sz w:val="24"/>
          <w:szCs w:val="24"/>
          <w:highlight w:val="none"/>
          <w:lang w:eastAsia="zh-CN"/>
        </w:rPr>
        <w:t>的其他</w:t>
      </w:r>
      <w:r>
        <w:rPr>
          <w:rFonts w:hint="eastAsia" w:ascii="仿宋" w:hAnsi="仿宋" w:eastAsia="仿宋" w:cs="仿宋"/>
          <w:color w:val="auto"/>
          <w:sz w:val="24"/>
          <w:szCs w:val="24"/>
          <w:highlight w:val="none"/>
        </w:rPr>
        <w:t>损害采购人或采购单位利益或社会公共利益的情形的。</w:t>
      </w:r>
    </w:p>
    <w:p w14:paraId="4A81605D">
      <w:pPr>
        <w:pageBreakBefore w:val="0"/>
        <w:widowControl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.重新招标</w:t>
      </w:r>
    </w:p>
    <w:p w14:paraId="241B24F1">
      <w:pPr>
        <w:pStyle w:val="19"/>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根据诸国资办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szCs w:val="24"/>
          <w:highlight w:val="none"/>
        </w:rPr>
        <w:t>号文件有关事项的通知</w:t>
      </w:r>
      <w:r>
        <w:rPr>
          <w:rFonts w:hint="eastAsia" w:ascii="仿宋" w:hAnsi="仿宋" w:eastAsia="仿宋" w:cs="仿宋"/>
          <w:color w:val="auto"/>
          <w:sz w:val="24"/>
          <w:szCs w:val="24"/>
          <w:highlight w:val="none"/>
          <w:lang w:eastAsia="zh-CN"/>
        </w:rPr>
        <w:t>，通过公开招标方式进行采购的，经评审，只有两家单位符合采购条件，且采购文件公告期间无异议，专家组一致认为采购文件没有限制性、排他性条款的，可以继续开标。</w:t>
      </w:r>
    </w:p>
    <w:p w14:paraId="2D4FC931">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七、授予合同</w:t>
      </w:r>
    </w:p>
    <w:p w14:paraId="5884B1EF">
      <w:pPr>
        <w:pageBreakBefore w:val="0"/>
        <w:widowControl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.签订合同</w:t>
      </w:r>
    </w:p>
    <w:p w14:paraId="3CEBA11E">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33.1采购人与中标人应当在《中标通知书》发出之日起30日内签订采购合同。</w:t>
      </w:r>
    </w:p>
    <w:p w14:paraId="36745468">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33.2招标文件、中标人的投标文件和评标过程中投标人的询标时作出的承诺及其澄清文件等作为合同签订的依据和主要附件。</w:t>
      </w:r>
    </w:p>
    <w:p w14:paraId="29527961">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33.3采购人对合同内容负责。</w:t>
      </w:r>
    </w:p>
    <w:p w14:paraId="1D865A1F">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33.4合同一式</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份，采购单位和中标人各执一份</w:t>
      </w:r>
      <w:r>
        <w:rPr>
          <w:rFonts w:hint="eastAsia" w:ascii="仿宋" w:hAnsi="仿宋" w:eastAsia="仿宋" w:cs="仿宋"/>
          <w:color w:val="auto"/>
          <w:sz w:val="24"/>
          <w:szCs w:val="24"/>
          <w:highlight w:val="none"/>
          <w:lang w:eastAsia="zh-CN"/>
        </w:rPr>
        <w:t>，代理公司、</w:t>
      </w:r>
      <w:r>
        <w:rPr>
          <w:rFonts w:hint="eastAsia" w:ascii="仿宋" w:hAnsi="仿宋" w:eastAsia="仿宋" w:cs="仿宋"/>
          <w:color w:val="auto"/>
          <w:sz w:val="24"/>
          <w:szCs w:val="24"/>
          <w:highlight w:val="none"/>
          <w:lang w:val="en-US" w:eastAsia="zh-CN"/>
        </w:rPr>
        <w:t>招标办</w:t>
      </w:r>
      <w:r>
        <w:rPr>
          <w:rFonts w:hint="eastAsia" w:ascii="仿宋" w:hAnsi="仿宋" w:eastAsia="仿宋" w:cs="仿宋"/>
          <w:color w:val="auto"/>
          <w:sz w:val="24"/>
          <w:szCs w:val="24"/>
          <w:highlight w:val="none"/>
          <w:lang w:eastAsia="zh-CN"/>
        </w:rPr>
        <w:t>存档一份</w:t>
      </w:r>
      <w:r>
        <w:rPr>
          <w:rFonts w:hint="eastAsia" w:ascii="仿宋" w:hAnsi="仿宋" w:eastAsia="仿宋" w:cs="仿宋"/>
          <w:color w:val="auto"/>
          <w:sz w:val="24"/>
          <w:szCs w:val="24"/>
          <w:highlight w:val="none"/>
        </w:rPr>
        <w:t>。</w:t>
      </w:r>
    </w:p>
    <w:p w14:paraId="673AAE13">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33.5中标人和采购单位不得擅自变更、中止或者终止合同，不得另外订立背离合同实质性内容</w:t>
      </w:r>
      <w:r>
        <w:rPr>
          <w:rFonts w:hint="eastAsia" w:ascii="仿宋" w:hAnsi="仿宋" w:eastAsia="仿宋" w:cs="仿宋"/>
          <w:color w:val="auto"/>
          <w:sz w:val="24"/>
          <w:szCs w:val="24"/>
          <w:highlight w:val="none"/>
          <w:lang w:eastAsia="zh-CN"/>
        </w:rPr>
        <w:t>的其他</w:t>
      </w:r>
      <w:r>
        <w:rPr>
          <w:rFonts w:hint="eastAsia" w:ascii="仿宋" w:hAnsi="仿宋" w:eastAsia="仿宋" w:cs="仿宋"/>
          <w:color w:val="auto"/>
          <w:sz w:val="24"/>
          <w:szCs w:val="24"/>
          <w:highlight w:val="none"/>
        </w:rPr>
        <w:t>协议。</w:t>
      </w:r>
    </w:p>
    <w:p w14:paraId="18B05CD8">
      <w:pPr>
        <w:pageBreakBefore w:val="0"/>
        <w:widowControl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.履约保证金</w:t>
      </w:r>
    </w:p>
    <w:p w14:paraId="7967595A">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34.1中标人在</w:t>
      </w:r>
      <w:r>
        <w:rPr>
          <w:rFonts w:hint="eastAsia" w:ascii="仿宋" w:hAnsi="仿宋" w:eastAsia="仿宋" w:cs="仿宋"/>
          <w:color w:val="auto"/>
          <w:sz w:val="24"/>
          <w:szCs w:val="24"/>
          <w:highlight w:val="none"/>
          <w:lang w:val="en-US" w:eastAsia="zh-CN"/>
        </w:rPr>
        <w:t>合同签订</w:t>
      </w:r>
      <w:r>
        <w:rPr>
          <w:rFonts w:hint="eastAsia" w:ascii="仿宋" w:hAnsi="仿宋" w:eastAsia="仿宋" w:cs="仿宋"/>
          <w:color w:val="auto"/>
          <w:sz w:val="24"/>
          <w:szCs w:val="24"/>
          <w:highlight w:val="none"/>
        </w:rPr>
        <w:t>前，应按招标文件要求向采购人提交履约保证金，履约保证金作为中标人在</w:t>
      </w:r>
      <w:r>
        <w:rPr>
          <w:rFonts w:hint="eastAsia" w:ascii="仿宋" w:hAnsi="仿宋" w:eastAsia="仿宋" w:cs="仿宋"/>
          <w:color w:val="auto"/>
          <w:sz w:val="24"/>
          <w:szCs w:val="24"/>
          <w:highlight w:val="none"/>
          <w:lang w:eastAsia="zh-CN"/>
        </w:rPr>
        <w:t>履行合同</w:t>
      </w:r>
      <w:r>
        <w:rPr>
          <w:rFonts w:hint="eastAsia" w:ascii="仿宋" w:hAnsi="仿宋" w:eastAsia="仿宋" w:cs="仿宋"/>
          <w:color w:val="auto"/>
          <w:sz w:val="24"/>
          <w:szCs w:val="24"/>
          <w:highlight w:val="none"/>
        </w:rPr>
        <w:t>服务承诺的保证。</w:t>
      </w:r>
    </w:p>
    <w:p w14:paraId="0657A000">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34.2中标人应当以支票、汇票、本票等非现金形式提交。中标人在履行完合同约定事项后，采购人应及时退还履约保证金。履约保证金不计息。</w:t>
      </w:r>
    </w:p>
    <w:p w14:paraId="772D7875">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34.3签订合同后，如中标人不按双方合同约定履约，则没收其全部履约保证金，履约保证金不足以赔偿损失的，按实际损失赔偿。</w:t>
      </w:r>
    </w:p>
    <w:p w14:paraId="6FAB999D">
      <w:pPr>
        <w:pageBreakBefore w:val="0"/>
        <w:widowControl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.合同备案</w:t>
      </w:r>
    </w:p>
    <w:p w14:paraId="3EDB4361">
      <w:pPr>
        <w:pageBreakBefore w:val="0"/>
        <w:widowControl w:val="0"/>
        <w:kinsoku/>
        <w:wordWrap/>
        <w:overflowPunct/>
        <w:topLinePunct w:val="0"/>
        <w:bidi w:val="0"/>
        <w:spacing w:line="360" w:lineRule="auto"/>
        <w:ind w:firstLine="480" w:firstLineChars="200"/>
        <w:jc w:val="both"/>
        <w:textAlignment w:val="auto"/>
        <w:rPr>
          <w:rFonts w:hint="eastAsia" w:ascii="仿宋" w:hAnsi="仿宋" w:eastAsia="仿宋" w:cs="仿宋"/>
          <w:color w:val="auto"/>
          <w:sz w:val="24"/>
          <w:szCs w:val="24"/>
          <w:highlight w:val="none"/>
        </w:rPr>
      </w:pPr>
      <w:bookmarkStart w:id="14" w:name="_Toc339459646"/>
      <w:bookmarkStart w:id="15" w:name="_Toc352165696"/>
      <w:bookmarkStart w:id="16" w:name="_Toc125344511"/>
      <w:r>
        <w:rPr>
          <w:rFonts w:hint="eastAsia" w:ascii="仿宋" w:hAnsi="仿宋" w:eastAsia="仿宋" w:cs="仿宋"/>
          <w:color w:val="auto"/>
          <w:sz w:val="24"/>
          <w:szCs w:val="24"/>
          <w:highlight w:val="none"/>
        </w:rPr>
        <w:t>采购人应当自采购合同签订之日起七个工作日内，通过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系统上传合同进行备案。</w:t>
      </w:r>
    </w:p>
    <w:p w14:paraId="7999B05C">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八、质疑和投诉</w:t>
      </w:r>
    </w:p>
    <w:p w14:paraId="648C3016">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.1开标过程中，投标人对开标有异议的，应当在“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”平台上及时提出，评审委员应对异常情况制作相关记录。</w:t>
      </w:r>
    </w:p>
    <w:p w14:paraId="483968DC">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6793C606">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.3质疑投诉的相关规定</w:t>
      </w:r>
    </w:p>
    <w:p w14:paraId="19BA5E57">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（一）质疑投诉递交的资料需为书面材料。质疑投诉书面材料需法人代表人（或负责人）或授权代表签字并加盖公章。</w:t>
      </w:r>
    </w:p>
    <w:p w14:paraId="0D916805">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（二）质疑投诉属于以下情况之一的，将不予受理：</w:t>
      </w:r>
    </w:p>
    <w:p w14:paraId="30A74D57">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质疑投诉人不是所投诉项目的参与者，或者与质疑投诉项目无任何利害关系。</w:t>
      </w:r>
    </w:p>
    <w:p w14:paraId="19C38136">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质疑投诉事项不具体，且未提供有效线索，难以查证。</w:t>
      </w:r>
    </w:p>
    <w:p w14:paraId="2B54381B">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未提供书面质疑或者质疑未加盖公章的；投诉人为法人或者其他组织，其投诉书未经法定代表人或者主要负责人签字并加盖公章的。</w:t>
      </w:r>
    </w:p>
    <w:p w14:paraId="4A851B4E">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已超过招标文件规定质疑投诉提出期限的事项。</w:t>
      </w:r>
    </w:p>
    <w:p w14:paraId="2E69647E">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投诉事项已作出处理决定，并且投诉人没有提出新的证据</w:t>
      </w:r>
    </w:p>
    <w:p w14:paraId="107DB7A7">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质疑投诉的事项已经进入行政复议或者行政诉讼程序的；投诉事项应先提出质疑而没有提出质疑的。</w:t>
      </w:r>
    </w:p>
    <w:p w14:paraId="60A8B077">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不符合</w:t>
      </w:r>
      <w:r>
        <w:rPr>
          <w:rFonts w:hint="eastAsia" w:ascii="仿宋" w:hAnsi="仿宋" w:eastAsia="仿宋" w:cs="仿宋"/>
          <w:color w:val="auto"/>
          <w:sz w:val="24"/>
          <w:szCs w:val="24"/>
          <w:highlight w:val="none"/>
          <w:lang w:val="en-US" w:eastAsia="zh-CN"/>
        </w:rPr>
        <w:t>有关法律法规</w:t>
      </w:r>
      <w:r>
        <w:rPr>
          <w:rFonts w:hint="eastAsia" w:ascii="仿宋" w:hAnsi="仿宋" w:eastAsia="仿宋" w:cs="仿宋"/>
          <w:color w:val="auto"/>
          <w:sz w:val="24"/>
          <w:szCs w:val="24"/>
          <w:highlight w:val="none"/>
        </w:rPr>
        <w:t>规定的投诉。</w:t>
      </w:r>
    </w:p>
    <w:p w14:paraId="6AEA99A1">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九、不良行为记录</w:t>
      </w:r>
      <w:bookmarkEnd w:id="14"/>
      <w:bookmarkEnd w:id="15"/>
    </w:p>
    <w:p w14:paraId="6A32B0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sz w:val="24"/>
          <w:szCs w:val="24"/>
        </w:rPr>
        <w:t>投标人在采购活动中出现下列违规行为的将记入</w:t>
      </w:r>
      <w:r>
        <w:rPr>
          <w:rFonts w:hint="eastAsia" w:ascii="仿宋" w:hAnsi="仿宋" w:eastAsia="仿宋" w:cs="仿宋"/>
          <w:color w:val="auto"/>
          <w:sz w:val="24"/>
          <w:szCs w:val="24"/>
          <w:highlight w:val="none"/>
          <w:lang w:val="en-US" w:eastAsia="zh-CN"/>
        </w:rPr>
        <w:t>诸暨市暨阳排水管理有限公司</w:t>
      </w:r>
      <w:r>
        <w:rPr>
          <w:rFonts w:hint="eastAsia" w:ascii="仿宋" w:hAnsi="仿宋" w:eastAsia="仿宋" w:cs="仿宋"/>
          <w:color w:val="000000"/>
          <w:sz w:val="24"/>
          <w:szCs w:val="24"/>
        </w:rPr>
        <w:t>采购不良行为记录，并在记录时限内暂停其</w:t>
      </w:r>
      <w:r>
        <w:rPr>
          <w:rFonts w:hint="eastAsia" w:ascii="仿宋" w:hAnsi="仿宋" w:eastAsia="仿宋" w:cs="仿宋"/>
          <w:color w:val="auto"/>
          <w:sz w:val="24"/>
          <w:szCs w:val="24"/>
          <w:highlight w:val="none"/>
          <w:lang w:val="en-US" w:eastAsia="zh-CN"/>
        </w:rPr>
        <w:t>诸暨市暨阳排水管理有限公司</w:t>
      </w:r>
      <w:r>
        <w:rPr>
          <w:rFonts w:hint="eastAsia" w:ascii="仿宋" w:hAnsi="仿宋" w:eastAsia="仿宋" w:cs="仿宋"/>
          <w:color w:val="000000"/>
          <w:sz w:val="24"/>
          <w:szCs w:val="24"/>
        </w:rPr>
        <w:t>范围内采购交易资格，</w:t>
      </w:r>
      <w:r>
        <w:rPr>
          <w:rFonts w:hint="eastAsia" w:ascii="仿宋" w:hAnsi="仿宋" w:eastAsia="仿宋" w:cs="仿宋"/>
          <w:color w:val="000000" w:themeColor="text1"/>
          <w:sz w:val="24"/>
          <w:szCs w:val="24"/>
          <w14:textFill>
            <w14:solidFill>
              <w14:schemeClr w14:val="tx1"/>
            </w14:solidFill>
          </w14:textFill>
        </w:rPr>
        <w:t>同时将在诸暨市公示公共资源交易中心公示。</w:t>
      </w:r>
    </w:p>
    <w:tbl>
      <w:tblPr>
        <w:tblStyle w:val="24"/>
        <w:tblW w:w="95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515"/>
        <w:gridCol w:w="1253"/>
      </w:tblGrid>
      <w:tr w14:paraId="0F1D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9" w:type="dxa"/>
            <w:noWrap w:val="0"/>
            <w:vAlign w:val="center"/>
          </w:tcPr>
          <w:p w14:paraId="7A41576D">
            <w:pPr>
              <w:pageBreakBefore w:val="0"/>
              <w:widowControl w:val="0"/>
              <w:kinsoku/>
              <w:wordWrap/>
              <w:overflowPunct/>
              <w:topLinePunct w:val="0"/>
              <w:bidi w:val="0"/>
              <w:spacing w:line="36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7515" w:type="dxa"/>
            <w:noWrap w:val="0"/>
            <w:vAlign w:val="center"/>
          </w:tcPr>
          <w:p w14:paraId="5CD3DE23">
            <w:pPr>
              <w:pageBreakBefore w:val="0"/>
              <w:widowControl w:val="0"/>
              <w:kinsoku/>
              <w:wordWrap/>
              <w:overflowPunct/>
              <w:topLinePunct w:val="0"/>
              <w:bidi w:val="0"/>
              <w:spacing w:line="36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不良行为</w:t>
            </w:r>
          </w:p>
        </w:tc>
        <w:tc>
          <w:tcPr>
            <w:tcW w:w="1253" w:type="dxa"/>
            <w:noWrap w:val="0"/>
            <w:vAlign w:val="center"/>
          </w:tcPr>
          <w:p w14:paraId="0A3A4CE5">
            <w:pPr>
              <w:pageBreakBefore w:val="0"/>
              <w:widowControl w:val="0"/>
              <w:kinsoku/>
              <w:wordWrap/>
              <w:overflowPunct/>
              <w:topLinePunct w:val="0"/>
              <w:bidi w:val="0"/>
              <w:spacing w:line="36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记录时限</w:t>
            </w:r>
          </w:p>
        </w:tc>
      </w:tr>
      <w:tr w14:paraId="10DD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624C67DE">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515" w:type="dxa"/>
            <w:noWrap w:val="0"/>
            <w:vAlign w:val="center"/>
          </w:tcPr>
          <w:p w14:paraId="7DA5D193">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在采购过程中，与采购人进行协商询价的</w:t>
            </w:r>
          </w:p>
        </w:tc>
        <w:tc>
          <w:tcPr>
            <w:tcW w:w="1253" w:type="dxa"/>
            <w:noWrap w:val="0"/>
            <w:vAlign w:val="center"/>
          </w:tcPr>
          <w:p w14:paraId="014BCD5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69E0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24A84DF9">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515" w:type="dxa"/>
            <w:noWrap w:val="0"/>
            <w:vAlign w:val="center"/>
          </w:tcPr>
          <w:p w14:paraId="31778C1B">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询价有效期内撤回其采购响应文件的</w:t>
            </w:r>
          </w:p>
        </w:tc>
        <w:tc>
          <w:tcPr>
            <w:tcW w:w="1253" w:type="dxa"/>
            <w:noWrap w:val="0"/>
            <w:vAlign w:val="center"/>
          </w:tcPr>
          <w:p w14:paraId="788FE6C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703B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43A3E094">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515" w:type="dxa"/>
            <w:noWrap w:val="0"/>
            <w:vAlign w:val="center"/>
          </w:tcPr>
          <w:p w14:paraId="75740CBC">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拒绝有关部门监督检查或提供虚假情况的</w:t>
            </w:r>
          </w:p>
        </w:tc>
        <w:tc>
          <w:tcPr>
            <w:tcW w:w="1253" w:type="dxa"/>
            <w:noWrap w:val="0"/>
            <w:vAlign w:val="center"/>
          </w:tcPr>
          <w:p w14:paraId="365793E9">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1043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28A2A6A8">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515" w:type="dxa"/>
            <w:noWrap w:val="0"/>
            <w:vAlign w:val="center"/>
          </w:tcPr>
          <w:p w14:paraId="5B09E849">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不积极配合采购单位做好标的验收工作的</w:t>
            </w:r>
          </w:p>
        </w:tc>
        <w:tc>
          <w:tcPr>
            <w:tcW w:w="1253" w:type="dxa"/>
            <w:noWrap w:val="0"/>
            <w:vAlign w:val="center"/>
          </w:tcPr>
          <w:p w14:paraId="00D8FEBF">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2C29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7F28116C">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515" w:type="dxa"/>
            <w:noWrap w:val="0"/>
            <w:vAlign w:val="center"/>
          </w:tcPr>
          <w:p w14:paraId="1D125563">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在有关部门的监督检查或考核中被通报批评或处以警告及以上处罚的</w:t>
            </w:r>
          </w:p>
        </w:tc>
        <w:tc>
          <w:tcPr>
            <w:tcW w:w="1253" w:type="dxa"/>
            <w:noWrap w:val="0"/>
            <w:vAlign w:val="center"/>
          </w:tcPr>
          <w:p w14:paraId="2F924A71">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1931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68C8C97D">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515" w:type="dxa"/>
            <w:noWrap w:val="0"/>
            <w:vAlign w:val="center"/>
          </w:tcPr>
          <w:p w14:paraId="2EDCCAF2">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不遵守投标会场纪律，无理取闹，扰乱交易秩序的</w:t>
            </w:r>
          </w:p>
        </w:tc>
        <w:tc>
          <w:tcPr>
            <w:tcW w:w="1253" w:type="dxa"/>
            <w:noWrap w:val="0"/>
            <w:vAlign w:val="center"/>
          </w:tcPr>
          <w:p w14:paraId="6D7E411D">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6D22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6F027C25">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7515" w:type="dxa"/>
            <w:noWrap w:val="0"/>
            <w:vAlign w:val="center"/>
          </w:tcPr>
          <w:p w14:paraId="2503A1B8">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中标后无正当理由放弃中标，或在规定时间内不与采购人签订采购合同，或在签订合同时提出附加条件或更改合同实质性内容，或拒不提交所要求的履约保证金的</w:t>
            </w:r>
          </w:p>
        </w:tc>
        <w:tc>
          <w:tcPr>
            <w:tcW w:w="1253" w:type="dxa"/>
            <w:noWrap w:val="0"/>
            <w:vAlign w:val="center"/>
          </w:tcPr>
          <w:p w14:paraId="02D31A7C">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w:t>
            </w:r>
          </w:p>
        </w:tc>
      </w:tr>
      <w:tr w14:paraId="1F55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50D3129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515" w:type="dxa"/>
            <w:noWrap w:val="0"/>
            <w:vAlign w:val="center"/>
          </w:tcPr>
          <w:p w14:paraId="5061E153">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不按照与采购人订立的合同履行义务（包括提供标的、售后服务、技术支持等），严重违反合同规定和廉政合同要求的</w:t>
            </w:r>
          </w:p>
        </w:tc>
        <w:tc>
          <w:tcPr>
            <w:tcW w:w="1253" w:type="dxa"/>
            <w:noWrap w:val="0"/>
            <w:vAlign w:val="center"/>
          </w:tcPr>
          <w:p w14:paraId="5C119E27">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26A8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2C1A6870">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7515" w:type="dxa"/>
            <w:noWrap w:val="0"/>
            <w:vAlign w:val="center"/>
          </w:tcPr>
          <w:p w14:paraId="27230BEC">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项目负责人不到位，或擅自变换项目负责人，或不认真履行职责造成采购人损失的</w:t>
            </w:r>
          </w:p>
        </w:tc>
        <w:tc>
          <w:tcPr>
            <w:tcW w:w="1253" w:type="dxa"/>
            <w:noWrap w:val="0"/>
            <w:vAlign w:val="center"/>
          </w:tcPr>
          <w:p w14:paraId="63604EDC">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4CC3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7792F1E1">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515" w:type="dxa"/>
            <w:noWrap w:val="0"/>
            <w:vAlign w:val="center"/>
          </w:tcPr>
          <w:p w14:paraId="732A11BF">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发生经营状况重大变化以及重要担保、重大合同纠纷或诉讼、信用等级和资质变化等可能影响履约能力的重大事项，未及时向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提供书面报告，因而造成采购人损失的</w:t>
            </w:r>
          </w:p>
        </w:tc>
        <w:tc>
          <w:tcPr>
            <w:tcW w:w="1253" w:type="dxa"/>
            <w:noWrap w:val="0"/>
            <w:vAlign w:val="center"/>
          </w:tcPr>
          <w:p w14:paraId="423F7A1E">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6B33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038689B9">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515" w:type="dxa"/>
            <w:noWrap w:val="0"/>
            <w:vAlign w:val="center"/>
          </w:tcPr>
          <w:p w14:paraId="21B3B524">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与采购人、其他供应商或者采购代理机构相互串通的</w:t>
            </w:r>
          </w:p>
        </w:tc>
        <w:tc>
          <w:tcPr>
            <w:tcW w:w="1253" w:type="dxa"/>
            <w:noWrap w:val="0"/>
            <w:vAlign w:val="center"/>
          </w:tcPr>
          <w:p w14:paraId="623ABD49">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2C0E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337E5C6D">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515" w:type="dxa"/>
            <w:noWrap w:val="0"/>
            <w:vAlign w:val="center"/>
          </w:tcPr>
          <w:p w14:paraId="19AC9DE3">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采取不正当手段排挤其他供应商，进行不公平竞争的</w:t>
            </w:r>
          </w:p>
        </w:tc>
        <w:tc>
          <w:tcPr>
            <w:tcW w:w="1253" w:type="dxa"/>
            <w:noWrap w:val="0"/>
            <w:vAlign w:val="center"/>
          </w:tcPr>
          <w:p w14:paraId="1E61D178">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0A0E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1D173C03">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515" w:type="dxa"/>
            <w:noWrap w:val="0"/>
            <w:vAlign w:val="center"/>
          </w:tcPr>
          <w:p w14:paraId="05BDBCDC">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中标后与采购人另行订立背离合同实质内容的协议的</w:t>
            </w:r>
          </w:p>
        </w:tc>
        <w:tc>
          <w:tcPr>
            <w:tcW w:w="1253" w:type="dxa"/>
            <w:noWrap w:val="0"/>
            <w:vAlign w:val="center"/>
          </w:tcPr>
          <w:p w14:paraId="12D9EDB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5C56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3CF5021D">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515" w:type="dxa"/>
            <w:noWrap w:val="0"/>
            <w:vAlign w:val="center"/>
          </w:tcPr>
          <w:p w14:paraId="1C72287C">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事先有承诺，而事后违反承诺内容的</w:t>
            </w:r>
          </w:p>
        </w:tc>
        <w:tc>
          <w:tcPr>
            <w:tcW w:w="1253" w:type="dxa"/>
            <w:noWrap w:val="0"/>
            <w:vAlign w:val="center"/>
          </w:tcPr>
          <w:p w14:paraId="7B9C4F93">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3C95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2DABF73C">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515" w:type="dxa"/>
            <w:noWrap w:val="0"/>
            <w:vAlign w:val="center"/>
          </w:tcPr>
          <w:p w14:paraId="4185BAE8">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将中标项目转包或违反规定进行分包的</w:t>
            </w:r>
          </w:p>
        </w:tc>
        <w:tc>
          <w:tcPr>
            <w:tcW w:w="1253" w:type="dxa"/>
            <w:noWrap w:val="0"/>
            <w:vAlign w:val="center"/>
          </w:tcPr>
          <w:p w14:paraId="640AACB1">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702A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6D1DBC58">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7515" w:type="dxa"/>
            <w:noWrap w:val="0"/>
            <w:vAlign w:val="center"/>
          </w:tcPr>
          <w:p w14:paraId="5B05F5EA">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以他人名义投标或允许他人以自己名义投标，或者以其他方式弄虚作假的</w:t>
            </w:r>
          </w:p>
        </w:tc>
        <w:tc>
          <w:tcPr>
            <w:tcW w:w="1253" w:type="dxa"/>
            <w:noWrap w:val="0"/>
            <w:vAlign w:val="center"/>
          </w:tcPr>
          <w:p w14:paraId="215D682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00FE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363E8FFF">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7515" w:type="dxa"/>
            <w:noWrap w:val="0"/>
            <w:vAlign w:val="center"/>
          </w:tcPr>
          <w:p w14:paraId="391B31E9">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未按照采购合同约定及时提供全部货物的，或无故拖延工期的</w:t>
            </w:r>
          </w:p>
        </w:tc>
        <w:tc>
          <w:tcPr>
            <w:tcW w:w="1253" w:type="dxa"/>
            <w:noWrap w:val="0"/>
            <w:vAlign w:val="center"/>
          </w:tcPr>
          <w:p w14:paraId="5A0BA677">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6C50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05F14B70">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7515" w:type="dxa"/>
            <w:noWrap w:val="0"/>
            <w:vAlign w:val="center"/>
          </w:tcPr>
          <w:p w14:paraId="60DC5B7E">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无故不提供中标要求的型号、配置等产品的，或有拆换、调换、截留产品零部件和备品备件的行为的</w:t>
            </w:r>
          </w:p>
        </w:tc>
        <w:tc>
          <w:tcPr>
            <w:tcW w:w="1253" w:type="dxa"/>
            <w:noWrap w:val="0"/>
            <w:vAlign w:val="center"/>
          </w:tcPr>
          <w:p w14:paraId="5A222ECA">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0A6B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0C535AD7">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7515" w:type="dxa"/>
            <w:noWrap w:val="0"/>
            <w:vAlign w:val="center"/>
          </w:tcPr>
          <w:p w14:paraId="46CCE0B3">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为获取自身利益，向采购人及其他有利害关系的单位或个人提供不正当利益的</w:t>
            </w:r>
          </w:p>
        </w:tc>
        <w:tc>
          <w:tcPr>
            <w:tcW w:w="1253" w:type="dxa"/>
            <w:noWrap w:val="0"/>
            <w:vAlign w:val="center"/>
          </w:tcPr>
          <w:p w14:paraId="62689F04">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03A1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49" w:type="dxa"/>
            <w:noWrap w:val="0"/>
            <w:vAlign w:val="center"/>
          </w:tcPr>
          <w:p w14:paraId="2EFFDCC8">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515" w:type="dxa"/>
            <w:noWrap w:val="0"/>
            <w:vAlign w:val="center"/>
          </w:tcPr>
          <w:p w14:paraId="32778F3D">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投标人、采购相关利益人、自然人不按程序、规定时间进行质疑投诉；虚假质疑投诉；非正规渠道质疑投诉（信访、网络炒作等）；并对采购工作造成不利影响的</w:t>
            </w:r>
          </w:p>
        </w:tc>
        <w:tc>
          <w:tcPr>
            <w:tcW w:w="1253" w:type="dxa"/>
            <w:noWrap w:val="0"/>
            <w:vAlign w:val="center"/>
          </w:tcPr>
          <w:p w14:paraId="56B40538">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5A01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9" w:type="dxa"/>
            <w:noWrap w:val="0"/>
            <w:vAlign w:val="center"/>
          </w:tcPr>
          <w:p w14:paraId="120702BE">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515" w:type="dxa"/>
            <w:noWrap w:val="0"/>
            <w:vAlign w:val="center"/>
          </w:tcPr>
          <w:p w14:paraId="52AAC51B">
            <w:pPr>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投标人、采购相关利益人、自然人利用质疑投诉、非正规渠道质疑投诉达到自身目的，并对采购工作造成不利影响的</w:t>
            </w:r>
          </w:p>
        </w:tc>
        <w:tc>
          <w:tcPr>
            <w:tcW w:w="1253" w:type="dxa"/>
            <w:noWrap w:val="0"/>
            <w:vAlign w:val="center"/>
          </w:tcPr>
          <w:p w14:paraId="4A88EEFF">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6400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54CAF608">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515" w:type="dxa"/>
            <w:noWrap w:val="0"/>
            <w:vAlign w:val="center"/>
          </w:tcPr>
          <w:p w14:paraId="77059E11">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提供假冒伪劣产品或走私物品的</w:t>
            </w:r>
          </w:p>
        </w:tc>
        <w:tc>
          <w:tcPr>
            <w:tcW w:w="1253" w:type="dxa"/>
            <w:noWrap w:val="0"/>
            <w:vAlign w:val="center"/>
          </w:tcPr>
          <w:p w14:paraId="02E186F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4801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2C1E39D2">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515" w:type="dxa"/>
            <w:noWrap w:val="0"/>
            <w:vAlign w:val="center"/>
          </w:tcPr>
          <w:p w14:paraId="0E24083F">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擅自变更、中止、终止或解除采购合同的</w:t>
            </w:r>
          </w:p>
        </w:tc>
        <w:tc>
          <w:tcPr>
            <w:tcW w:w="1253" w:type="dxa"/>
            <w:noWrap w:val="0"/>
            <w:vAlign w:val="center"/>
          </w:tcPr>
          <w:p w14:paraId="01A7B97D">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1754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6426CFA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515" w:type="dxa"/>
            <w:noWrap w:val="0"/>
            <w:vAlign w:val="center"/>
          </w:tcPr>
          <w:p w14:paraId="15C68485">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向有关人员行贿或者提供不正当利益谋取中标的</w:t>
            </w:r>
          </w:p>
        </w:tc>
        <w:tc>
          <w:tcPr>
            <w:tcW w:w="1253" w:type="dxa"/>
            <w:noWrap w:val="0"/>
            <w:vAlign w:val="center"/>
          </w:tcPr>
          <w:p w14:paraId="6A28AB2B">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57FA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2C333F86">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515" w:type="dxa"/>
            <w:noWrap w:val="0"/>
            <w:vAlign w:val="center"/>
          </w:tcPr>
          <w:p w14:paraId="2C19069D">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在采购活动期间，对管理机构、采购人、其他采购响应人、评标专家、中介机构等采购相关机构和人员，采取诋毁、诽谤、胁迫、暴力等不正当手段的</w:t>
            </w:r>
          </w:p>
        </w:tc>
        <w:tc>
          <w:tcPr>
            <w:tcW w:w="1253" w:type="dxa"/>
            <w:noWrap w:val="0"/>
            <w:vAlign w:val="center"/>
          </w:tcPr>
          <w:p w14:paraId="3D4FD1E4">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2593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 w:type="dxa"/>
            <w:noWrap w:val="0"/>
            <w:vAlign w:val="center"/>
          </w:tcPr>
          <w:p w14:paraId="22309F70">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7515" w:type="dxa"/>
            <w:noWrap w:val="0"/>
            <w:vAlign w:val="center"/>
          </w:tcPr>
          <w:p w14:paraId="11D3F64E">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采购单位招投标管理部门</w:t>
            </w:r>
            <w:r>
              <w:rPr>
                <w:rFonts w:hint="eastAsia" w:ascii="仿宋" w:hAnsi="仿宋" w:eastAsia="仿宋" w:cs="仿宋"/>
                <w:color w:val="auto"/>
                <w:sz w:val="24"/>
                <w:szCs w:val="24"/>
                <w:highlight w:val="none"/>
                <w:lang w:eastAsia="zh-CN"/>
              </w:rPr>
              <w:t>认定</w:t>
            </w:r>
            <w:r>
              <w:rPr>
                <w:rFonts w:hint="eastAsia" w:ascii="仿宋" w:hAnsi="仿宋" w:eastAsia="仿宋" w:cs="仿宋"/>
                <w:color w:val="auto"/>
                <w:sz w:val="24"/>
                <w:szCs w:val="24"/>
                <w:highlight w:val="none"/>
              </w:rPr>
              <w:t>的其他违反采购管理的行为</w:t>
            </w:r>
          </w:p>
        </w:tc>
        <w:tc>
          <w:tcPr>
            <w:tcW w:w="1253" w:type="dxa"/>
            <w:noWrap w:val="0"/>
            <w:vAlign w:val="center"/>
          </w:tcPr>
          <w:p w14:paraId="549CD3FB">
            <w:pPr>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酌情处理</w:t>
            </w:r>
          </w:p>
        </w:tc>
      </w:tr>
    </w:tbl>
    <w:p w14:paraId="19E41030">
      <w:pPr>
        <w:pStyle w:val="3"/>
        <w:pageBreakBefore w:val="0"/>
        <w:widowControl w:val="0"/>
        <w:kinsoku/>
        <w:wordWrap/>
        <w:overflowPunct/>
        <w:topLinePunct w:val="0"/>
        <w:bidi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十、监督和解释</w:t>
      </w:r>
      <w:bookmarkEnd w:id="16"/>
    </w:p>
    <w:p w14:paraId="6D638625">
      <w:pPr>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本次招标活动接受</w:t>
      </w:r>
      <w:r>
        <w:rPr>
          <w:rFonts w:hint="eastAsia" w:ascii="仿宋" w:hAnsi="仿宋" w:eastAsia="仿宋" w:cs="仿宋"/>
          <w:color w:val="auto"/>
          <w:sz w:val="24"/>
          <w:szCs w:val="24"/>
          <w:highlight w:val="none"/>
          <w:lang w:val="en-US" w:eastAsia="zh-CN"/>
        </w:rPr>
        <w:t>采购单位招投标管理部门及上级监管部门</w:t>
      </w:r>
      <w:r>
        <w:rPr>
          <w:rFonts w:hint="eastAsia" w:ascii="仿宋" w:hAnsi="仿宋" w:eastAsia="仿宋" w:cs="仿宋"/>
          <w:color w:val="auto"/>
          <w:sz w:val="24"/>
          <w:szCs w:val="24"/>
          <w:highlight w:val="none"/>
          <w:lang w:eastAsia="zh-CN"/>
        </w:rPr>
        <w:t>的监督。</w:t>
      </w:r>
    </w:p>
    <w:p w14:paraId="4749CF0D">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本招标文件的解释权属于采购单位和</w:t>
      </w:r>
      <w:r>
        <w:rPr>
          <w:rFonts w:hint="eastAsia" w:ascii="仿宋" w:hAnsi="仿宋" w:eastAsia="仿宋" w:cs="仿宋"/>
          <w:color w:val="auto"/>
          <w:sz w:val="24"/>
          <w:szCs w:val="24"/>
          <w:highlight w:val="none"/>
          <w:lang w:eastAsia="zh-CN"/>
        </w:rPr>
        <w:t>浙江佰顺项目管理有限公司</w:t>
      </w:r>
      <w:r>
        <w:rPr>
          <w:rFonts w:hint="eastAsia" w:ascii="仿宋" w:hAnsi="仿宋" w:eastAsia="仿宋" w:cs="仿宋"/>
          <w:color w:val="auto"/>
          <w:sz w:val="24"/>
          <w:szCs w:val="24"/>
          <w:highlight w:val="none"/>
          <w:lang w:eastAsia="zh-CN"/>
        </w:rPr>
        <w:br w:type="textWrapping"/>
      </w:r>
    </w:p>
    <w:p w14:paraId="4C40D9C0">
      <w:pPr>
        <w:spacing w:line="360" w:lineRule="auto"/>
        <w:jc w:val="center"/>
        <w:rPr>
          <w:rFonts w:hint="eastAsia" w:ascii="仿宋" w:hAnsi="仿宋" w:eastAsia="仿宋" w:cs="仿宋"/>
          <w:b/>
          <w:color w:val="auto"/>
          <w:kern w:val="44"/>
          <w:sz w:val="36"/>
          <w:szCs w:val="36"/>
          <w:highlight w:val="none"/>
          <w:lang w:val="en-US" w:eastAsia="zh-CN" w:bidi="ar-SA"/>
        </w:rPr>
      </w:pPr>
    </w:p>
    <w:p w14:paraId="3A3F05AA">
      <w:pPr>
        <w:spacing w:line="360" w:lineRule="auto"/>
        <w:jc w:val="center"/>
        <w:rPr>
          <w:rFonts w:hint="eastAsia" w:ascii="仿宋" w:hAnsi="仿宋" w:eastAsia="仿宋" w:cs="仿宋"/>
          <w:b/>
          <w:color w:val="auto"/>
          <w:kern w:val="44"/>
          <w:sz w:val="36"/>
          <w:szCs w:val="36"/>
          <w:highlight w:val="none"/>
          <w:lang w:val="en-US" w:eastAsia="zh-CN" w:bidi="ar-SA"/>
        </w:rPr>
      </w:pPr>
    </w:p>
    <w:p w14:paraId="30AD12AB">
      <w:pPr>
        <w:spacing w:line="360" w:lineRule="auto"/>
        <w:jc w:val="center"/>
        <w:rPr>
          <w:rFonts w:hint="eastAsia" w:ascii="仿宋" w:hAnsi="仿宋" w:eastAsia="仿宋" w:cs="仿宋"/>
          <w:b/>
          <w:color w:val="auto"/>
          <w:kern w:val="44"/>
          <w:sz w:val="36"/>
          <w:szCs w:val="36"/>
          <w:highlight w:val="none"/>
          <w:lang w:val="en-US" w:eastAsia="zh-CN" w:bidi="ar-SA"/>
        </w:rPr>
      </w:pPr>
    </w:p>
    <w:p w14:paraId="0818FF3A">
      <w:pPr>
        <w:spacing w:line="360" w:lineRule="auto"/>
        <w:jc w:val="center"/>
        <w:rPr>
          <w:rFonts w:hint="eastAsia" w:ascii="仿宋" w:hAnsi="仿宋" w:eastAsia="仿宋" w:cs="仿宋"/>
          <w:b/>
          <w:color w:val="auto"/>
          <w:kern w:val="44"/>
          <w:sz w:val="36"/>
          <w:szCs w:val="36"/>
          <w:highlight w:val="none"/>
          <w:lang w:val="en-US" w:eastAsia="zh-CN" w:bidi="ar-SA"/>
        </w:rPr>
      </w:pPr>
    </w:p>
    <w:p w14:paraId="7A066A01">
      <w:pPr>
        <w:spacing w:line="360" w:lineRule="auto"/>
        <w:jc w:val="center"/>
        <w:rPr>
          <w:rFonts w:hint="eastAsia" w:ascii="仿宋" w:hAnsi="仿宋" w:eastAsia="仿宋" w:cs="仿宋"/>
          <w:b/>
          <w:color w:val="auto"/>
          <w:kern w:val="44"/>
          <w:sz w:val="36"/>
          <w:szCs w:val="36"/>
          <w:highlight w:val="none"/>
          <w:lang w:val="en-US" w:eastAsia="zh-CN" w:bidi="ar-SA"/>
        </w:rPr>
      </w:pPr>
    </w:p>
    <w:p w14:paraId="0B810754">
      <w:pPr>
        <w:spacing w:line="360" w:lineRule="auto"/>
        <w:jc w:val="center"/>
        <w:rPr>
          <w:rFonts w:hint="eastAsia" w:ascii="仿宋" w:hAnsi="仿宋" w:eastAsia="仿宋" w:cs="仿宋"/>
          <w:b/>
          <w:color w:val="auto"/>
          <w:kern w:val="44"/>
          <w:sz w:val="36"/>
          <w:szCs w:val="36"/>
          <w:highlight w:val="none"/>
          <w:lang w:val="en-US" w:eastAsia="zh-CN" w:bidi="ar-SA"/>
        </w:rPr>
      </w:pPr>
    </w:p>
    <w:p w14:paraId="51B51507">
      <w:pPr>
        <w:spacing w:line="360" w:lineRule="auto"/>
        <w:jc w:val="center"/>
        <w:rPr>
          <w:rFonts w:hint="eastAsia" w:ascii="仿宋" w:hAnsi="仿宋" w:eastAsia="仿宋" w:cs="仿宋"/>
          <w:b/>
          <w:color w:val="auto"/>
          <w:kern w:val="44"/>
          <w:sz w:val="36"/>
          <w:szCs w:val="36"/>
          <w:highlight w:val="none"/>
          <w:lang w:val="en-US" w:eastAsia="zh-CN" w:bidi="ar-SA"/>
        </w:rPr>
      </w:pPr>
    </w:p>
    <w:p w14:paraId="7FBC3AB1">
      <w:pPr>
        <w:spacing w:line="360" w:lineRule="auto"/>
        <w:jc w:val="center"/>
        <w:rPr>
          <w:rFonts w:hint="eastAsia" w:ascii="仿宋" w:hAnsi="仿宋" w:eastAsia="仿宋" w:cs="仿宋"/>
          <w:b/>
          <w:color w:val="auto"/>
          <w:kern w:val="44"/>
          <w:sz w:val="36"/>
          <w:szCs w:val="36"/>
          <w:highlight w:val="none"/>
          <w:lang w:val="en-US" w:eastAsia="zh-CN" w:bidi="ar-SA"/>
        </w:rPr>
      </w:pPr>
    </w:p>
    <w:p w14:paraId="2D3374D9">
      <w:pPr>
        <w:spacing w:line="360" w:lineRule="auto"/>
        <w:jc w:val="center"/>
        <w:rPr>
          <w:rFonts w:hint="default" w:ascii="仿宋" w:hAnsi="仿宋" w:eastAsia="仿宋" w:cs="仿宋"/>
          <w:color w:val="auto"/>
          <w:sz w:val="36"/>
          <w:szCs w:val="36"/>
          <w:highlight w:val="none"/>
          <w:lang w:val="en-US" w:eastAsia="zh-CN"/>
        </w:rPr>
      </w:pPr>
      <w:r>
        <w:rPr>
          <w:rFonts w:hint="eastAsia" w:ascii="仿宋" w:hAnsi="仿宋" w:eastAsia="仿宋" w:cs="仿宋"/>
          <w:b/>
          <w:color w:val="auto"/>
          <w:kern w:val="44"/>
          <w:sz w:val="36"/>
          <w:szCs w:val="36"/>
          <w:highlight w:val="none"/>
          <w:lang w:val="en-US" w:eastAsia="zh-CN" w:bidi="ar-SA"/>
        </w:rPr>
        <w:t>第三章 评分办法及标准</w:t>
      </w:r>
    </w:p>
    <w:p w14:paraId="6ECEA7DC">
      <w:pPr>
        <w:spacing w:line="360" w:lineRule="auto"/>
        <w:rPr>
          <w:rFonts w:hint="eastAsia" w:ascii="仿宋" w:hAnsi="仿宋" w:eastAsia="仿宋" w:cs="仿宋"/>
          <w:color w:val="auto"/>
          <w:sz w:val="24"/>
          <w:szCs w:val="24"/>
          <w:highlight w:val="none"/>
        </w:rPr>
      </w:pPr>
    </w:p>
    <w:p w14:paraId="368302E0">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仿宋" w:hAnsi="仿宋" w:eastAsia="仿宋" w:cs="仿宋"/>
          <w:b/>
          <w:sz w:val="24"/>
        </w:rPr>
      </w:pPr>
      <w:r>
        <w:rPr>
          <w:rFonts w:hint="eastAsia" w:ascii="仿宋" w:hAnsi="仿宋" w:eastAsia="仿宋" w:cs="仿宋"/>
          <w:b/>
          <w:sz w:val="24"/>
        </w:rPr>
        <w:t>1、评标方法：</w:t>
      </w:r>
    </w:p>
    <w:p w14:paraId="0F8B6417">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w:t>
      </w:r>
      <w:r>
        <w:rPr>
          <w:rFonts w:hint="eastAsia" w:ascii="仿宋" w:hAnsi="仿宋" w:eastAsia="仿宋" w:cs="仿宋"/>
          <w:sz w:val="24"/>
          <w:lang w:eastAsia="zh-CN"/>
        </w:rPr>
        <w:t>招标文件</w:t>
      </w:r>
      <w:r>
        <w:rPr>
          <w:rFonts w:hint="eastAsia" w:ascii="仿宋" w:hAnsi="仿宋" w:eastAsia="仿宋" w:cs="仿宋"/>
          <w:sz w:val="24"/>
        </w:rPr>
        <w:t>全部实质性要求，且按照评审因素的量化指标评审得分最高的投标人为中标候选人。中标候选人并列的，采用随机抽取的方式确定。</w:t>
      </w:r>
    </w:p>
    <w:p w14:paraId="4B901E8D">
      <w:pPr>
        <w:keepNext w:val="0"/>
        <w:keepLines w:val="0"/>
        <w:pageBreakBefore w:val="0"/>
        <w:widowControl w:val="0"/>
        <w:kinsoku/>
        <w:wordWrap/>
        <w:overflowPunct/>
        <w:topLinePunct w:val="0"/>
        <w:autoSpaceDE/>
        <w:autoSpaceDN/>
        <w:bidi w:val="0"/>
        <w:adjustRightInd w:val="0"/>
        <w:snapToGrid/>
        <w:spacing w:line="312" w:lineRule="auto"/>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sz w:val="24"/>
          <w:lang w:eastAsia="zh-CN"/>
        </w:rPr>
        <w:t>招标文件</w:t>
      </w:r>
      <w:r>
        <w:rPr>
          <w:rFonts w:hint="eastAsia" w:ascii="仿宋" w:hAnsi="仿宋" w:eastAsia="仿宋" w:cs="仿宋"/>
          <w:b/>
          <w:sz w:val="24"/>
        </w:rPr>
        <w:t>规定的方式确定一个投标人获得中标人推荐资格，</w:t>
      </w:r>
      <w:r>
        <w:rPr>
          <w:rFonts w:hint="eastAsia" w:ascii="仿宋" w:hAnsi="仿宋" w:eastAsia="仿宋" w:cs="仿宋"/>
          <w:b/>
          <w:sz w:val="24"/>
          <w:lang w:eastAsia="zh-CN"/>
        </w:rPr>
        <w:t>招标文件</w:t>
      </w:r>
      <w:r>
        <w:rPr>
          <w:rFonts w:hint="eastAsia" w:ascii="仿宋" w:hAnsi="仿宋" w:eastAsia="仿宋" w:cs="仿宋"/>
          <w:b/>
          <w:sz w:val="24"/>
        </w:rPr>
        <w:t>未规定的采取随机抽取方式确定，其他同品牌投标人不作为中标候选人。</w:t>
      </w:r>
    </w:p>
    <w:p w14:paraId="07755B98">
      <w:pPr>
        <w:keepNext w:val="0"/>
        <w:keepLines w:val="0"/>
        <w:pageBreakBefore w:val="0"/>
        <w:widowControl w:val="0"/>
        <w:kinsoku/>
        <w:wordWrap/>
        <w:overflowPunct/>
        <w:topLinePunct w:val="0"/>
        <w:autoSpaceDE/>
        <w:autoSpaceDN/>
        <w:bidi w:val="0"/>
        <w:adjustRightInd w:val="0"/>
        <w:snapToGrid/>
        <w:spacing w:line="312" w:lineRule="auto"/>
        <w:ind w:firstLine="482" w:firstLineChars="200"/>
        <w:jc w:val="left"/>
        <w:textAlignment w:val="auto"/>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w:t>
      </w:r>
      <w:r>
        <w:rPr>
          <w:rFonts w:hint="eastAsia" w:ascii="仿宋" w:hAnsi="仿宋" w:eastAsia="仿宋" w:cs="仿宋"/>
          <w:b/>
          <w:sz w:val="24"/>
          <w:lang w:eastAsia="zh-CN"/>
        </w:rPr>
        <w:t>招标文件</w:t>
      </w:r>
      <w:r>
        <w:rPr>
          <w:rFonts w:hint="eastAsia" w:ascii="仿宋" w:hAnsi="仿宋" w:eastAsia="仿宋" w:cs="仿宋"/>
          <w:b/>
          <w:sz w:val="24"/>
        </w:rPr>
        <w:t>中载明。多家投标人提供的核心产品品牌相同的，按前款规定处理。</w:t>
      </w:r>
    </w:p>
    <w:p w14:paraId="07EC8029">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仿宋" w:hAnsi="仿宋" w:eastAsia="仿宋" w:cs="仿宋"/>
          <w:b/>
          <w:sz w:val="24"/>
        </w:rPr>
      </w:pPr>
      <w:r>
        <w:rPr>
          <w:rFonts w:hint="eastAsia" w:ascii="仿宋" w:hAnsi="仿宋" w:eastAsia="仿宋" w:cs="仿宋"/>
          <w:b/>
          <w:sz w:val="24"/>
        </w:rPr>
        <w:t>2.评分标准：</w:t>
      </w:r>
    </w:p>
    <w:p w14:paraId="2E8C76A4">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80</w:t>
      </w:r>
      <w:r>
        <w:rPr>
          <w:rFonts w:hint="eastAsia" w:ascii="仿宋" w:hAnsi="仿宋" w:eastAsia="仿宋" w:cs="仿宋"/>
          <w:sz w:val="24"/>
        </w:rPr>
        <w:t>分，价格分</w:t>
      </w:r>
      <w:r>
        <w:rPr>
          <w:rFonts w:hint="eastAsia" w:ascii="仿宋" w:hAnsi="仿宋" w:eastAsia="仿宋" w:cs="仿宋"/>
          <w:sz w:val="24"/>
          <w:u w:val="single"/>
          <w:lang w:val="en-US" w:eastAsia="zh-CN"/>
        </w:rPr>
        <w:t>20</w:t>
      </w:r>
      <w:r>
        <w:rPr>
          <w:rFonts w:hint="eastAsia" w:ascii="仿宋" w:hAnsi="仿宋" w:eastAsia="仿宋" w:cs="仿宋"/>
          <w:sz w:val="24"/>
        </w:rPr>
        <w:t>分。评分依下述所列为评标打分依据，分值如下（计算分值时，按其算术平均值保留小数2位）。</w:t>
      </w:r>
    </w:p>
    <w:p w14:paraId="4CE306D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iCs/>
          <w:sz w:val="24"/>
        </w:rPr>
        <w:t>2.1</w:t>
      </w:r>
      <w:r>
        <w:rPr>
          <w:rFonts w:hint="eastAsia" w:ascii="仿宋" w:hAnsi="仿宋" w:eastAsia="仿宋" w:cs="仿宋"/>
          <w:color w:val="auto"/>
          <w:sz w:val="24"/>
          <w:highlight w:val="none"/>
        </w:rPr>
        <w:t>商务技术分评分细则（</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w:t>
      </w:r>
    </w:p>
    <w:tbl>
      <w:tblPr>
        <w:tblStyle w:val="24"/>
        <w:tblW w:w="9570" w:type="dxa"/>
        <w:tblInd w:w="-4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200"/>
        <w:gridCol w:w="6810"/>
        <w:gridCol w:w="780"/>
      </w:tblGrid>
      <w:tr w14:paraId="00815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780" w:type="dxa"/>
            <w:noWrap w:val="0"/>
            <w:vAlign w:val="center"/>
          </w:tcPr>
          <w:p w14:paraId="0C2B39EE">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00" w:type="dxa"/>
            <w:noWrap w:val="0"/>
            <w:vAlign w:val="center"/>
          </w:tcPr>
          <w:p w14:paraId="584A3642">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810" w:type="dxa"/>
            <w:noWrap w:val="0"/>
            <w:vAlign w:val="center"/>
          </w:tcPr>
          <w:p w14:paraId="594F9A92">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780" w:type="dxa"/>
            <w:noWrap w:val="0"/>
            <w:vAlign w:val="center"/>
          </w:tcPr>
          <w:p w14:paraId="4677A37A">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25300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noWrap w:val="0"/>
            <w:vAlign w:val="center"/>
          </w:tcPr>
          <w:p w14:paraId="15EAD617">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200" w:type="dxa"/>
            <w:noWrap w:val="0"/>
            <w:vAlign w:val="center"/>
          </w:tcPr>
          <w:p w14:paraId="15D27F92">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企业资信</w:t>
            </w:r>
          </w:p>
        </w:tc>
        <w:tc>
          <w:tcPr>
            <w:tcW w:w="6810" w:type="dxa"/>
            <w:noWrap w:val="0"/>
            <w:vAlign w:val="center"/>
          </w:tcPr>
          <w:p w14:paraId="4FFE55E8">
            <w:pPr>
              <w:keepNext w:val="0"/>
              <w:keepLines w:val="0"/>
              <w:pageBreakBefore w:val="0"/>
              <w:widowControl w:val="0"/>
              <w:tabs>
                <w:tab w:val="left" w:pos="1376"/>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投标人具有有效期内质量管理体系认证证书、环境管理体系认证证书、职业健康管理体系认证证书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信息安全管理体系认证证书</w:t>
            </w:r>
            <w:r>
              <w:rPr>
                <w:rFonts w:hint="eastAsia" w:ascii="仿宋" w:hAnsi="仿宋" w:eastAsia="仿宋" w:cs="仿宋"/>
                <w:b w:val="0"/>
                <w:bCs w:val="0"/>
                <w:color w:val="auto"/>
                <w:sz w:val="24"/>
                <w:szCs w:val="24"/>
                <w:highlight w:val="none"/>
              </w:rPr>
              <w:t>的，每</w:t>
            </w:r>
            <w:r>
              <w:rPr>
                <w:rFonts w:hint="eastAsia" w:ascii="仿宋" w:hAnsi="仿宋" w:eastAsia="仿宋" w:cs="仿宋"/>
                <w:b w:val="0"/>
                <w:bCs w:val="0"/>
                <w:color w:val="auto"/>
                <w:sz w:val="24"/>
                <w:szCs w:val="24"/>
                <w:highlight w:val="none"/>
                <w:lang w:val="en-US" w:eastAsia="zh-CN"/>
              </w:rPr>
              <w:t>提供1</w:t>
            </w:r>
            <w:r>
              <w:rPr>
                <w:rFonts w:hint="eastAsia" w:ascii="仿宋" w:hAnsi="仿宋" w:eastAsia="仿宋" w:cs="仿宋"/>
                <w:b w:val="0"/>
                <w:bCs w:val="0"/>
                <w:color w:val="auto"/>
                <w:sz w:val="24"/>
                <w:szCs w:val="24"/>
                <w:highlight w:val="none"/>
              </w:rPr>
              <w:t>个证书得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分，最高得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p w14:paraId="35BAF21C">
            <w:pPr>
              <w:keepNext w:val="0"/>
              <w:keepLines w:val="0"/>
              <w:pageBreakBefore w:val="0"/>
              <w:widowControl w:val="0"/>
              <w:tabs>
                <w:tab w:val="left" w:pos="1376"/>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b w:val="0"/>
                <w:bCs w:val="0"/>
                <w:color w:val="auto"/>
                <w:sz w:val="24"/>
                <w:szCs w:val="24"/>
                <w:highlight w:val="none"/>
              </w:rPr>
              <w:t>需提供相关体系认证证书复印件加盖投标人</w:t>
            </w:r>
            <w:r>
              <w:rPr>
                <w:rFonts w:hint="eastAsia" w:ascii="仿宋" w:hAnsi="仿宋" w:eastAsia="仿宋" w:cs="仿宋"/>
                <w:b w:val="0"/>
                <w:bCs w:val="0"/>
                <w:color w:val="auto"/>
                <w:sz w:val="24"/>
                <w:szCs w:val="24"/>
                <w:highlight w:val="none"/>
                <w:lang w:val="en-US" w:eastAsia="zh-CN"/>
              </w:rPr>
              <w:t>CA签章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否则不得分。</w:t>
            </w:r>
          </w:p>
        </w:tc>
        <w:tc>
          <w:tcPr>
            <w:tcW w:w="780" w:type="dxa"/>
            <w:noWrap w:val="0"/>
            <w:vAlign w:val="center"/>
          </w:tcPr>
          <w:p w14:paraId="73C36C0C">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tc>
      </w:tr>
      <w:tr w14:paraId="0AE8B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noWrap w:val="0"/>
            <w:vAlign w:val="center"/>
          </w:tcPr>
          <w:p w14:paraId="057A131D">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200" w:type="dxa"/>
            <w:noWrap w:val="0"/>
            <w:vAlign w:val="center"/>
          </w:tcPr>
          <w:p w14:paraId="064BE372">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业绩经验</w:t>
            </w:r>
          </w:p>
        </w:tc>
        <w:tc>
          <w:tcPr>
            <w:tcW w:w="6810" w:type="dxa"/>
            <w:noWrap w:val="0"/>
            <w:vAlign w:val="center"/>
          </w:tcPr>
          <w:p w14:paraId="3A707E2F">
            <w:pPr>
              <w:keepNext w:val="0"/>
              <w:keepLines w:val="0"/>
              <w:pageBreakBefore w:val="0"/>
              <w:widowControl w:val="0"/>
              <w:numPr>
                <w:ilvl w:val="0"/>
                <w:numId w:val="0"/>
              </w:numPr>
              <w:tabs>
                <w:tab w:val="left" w:pos="1376"/>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投标人自 202</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年1 月1日以来（以合同签订日期为准）承担过同类地勘或物探类业绩的，</w:t>
            </w:r>
            <w:r>
              <w:rPr>
                <w:rFonts w:hint="eastAsia" w:ascii="仿宋" w:hAnsi="仿宋" w:eastAsia="仿宋" w:cs="仿宋"/>
                <w:b w:val="0"/>
                <w:bCs w:val="0"/>
                <w:color w:val="auto"/>
                <w:sz w:val="24"/>
                <w:szCs w:val="24"/>
                <w:highlight w:val="none"/>
                <w:lang w:val="en-US" w:eastAsia="zh-CN"/>
              </w:rPr>
              <w:t>每提供1个业绩合同得1分，最高得2分。</w:t>
            </w:r>
          </w:p>
          <w:p w14:paraId="7EA189A9">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注：需提供合同复印件并加盖投标人</w:t>
            </w:r>
            <w:r>
              <w:rPr>
                <w:rFonts w:hint="eastAsia" w:ascii="仿宋" w:hAnsi="仿宋" w:eastAsia="仿宋" w:cs="仿宋"/>
                <w:b w:val="0"/>
                <w:bCs w:val="0"/>
                <w:color w:val="auto"/>
                <w:sz w:val="24"/>
                <w:szCs w:val="24"/>
                <w:highlight w:val="none"/>
                <w:lang w:val="en-US" w:eastAsia="zh-CN"/>
              </w:rPr>
              <w:t>CA签章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不提供</w:t>
            </w:r>
            <w:r>
              <w:rPr>
                <w:rFonts w:hint="eastAsia" w:ascii="仿宋" w:hAnsi="仿宋" w:eastAsia="仿宋" w:cs="仿宋"/>
                <w:b w:val="0"/>
                <w:bCs w:val="0"/>
                <w:color w:val="auto"/>
                <w:sz w:val="24"/>
                <w:szCs w:val="24"/>
                <w:highlight w:val="none"/>
              </w:rPr>
              <w:t>不得分。</w:t>
            </w:r>
          </w:p>
        </w:tc>
        <w:tc>
          <w:tcPr>
            <w:tcW w:w="780" w:type="dxa"/>
            <w:noWrap w:val="0"/>
            <w:vAlign w:val="center"/>
          </w:tcPr>
          <w:p w14:paraId="36DA549C">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tc>
      </w:tr>
      <w:tr w14:paraId="5394E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restart"/>
            <w:noWrap w:val="0"/>
            <w:vAlign w:val="center"/>
          </w:tcPr>
          <w:p w14:paraId="0FF124D6">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1200" w:type="dxa"/>
            <w:vMerge w:val="restart"/>
            <w:noWrap w:val="0"/>
            <w:vAlign w:val="center"/>
          </w:tcPr>
          <w:p w14:paraId="07F71A26">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配备</w:t>
            </w:r>
          </w:p>
        </w:tc>
        <w:tc>
          <w:tcPr>
            <w:tcW w:w="6810" w:type="dxa"/>
            <w:noWrap w:val="0"/>
            <w:vAlign w:val="center"/>
          </w:tcPr>
          <w:p w14:paraId="1B44440C">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拟派项目负责人：</w:t>
            </w:r>
          </w:p>
          <w:p w14:paraId="39BB2C22">
            <w:pPr>
              <w:keepNext w:val="0"/>
              <w:keepLines w:val="0"/>
              <w:pageBreakBefore w:val="0"/>
              <w:widowControl w:val="0"/>
              <w:kinsoku/>
              <w:wordWrap/>
              <w:overflowPunct/>
              <w:topLinePunct w:val="0"/>
              <w:bidi w:val="0"/>
              <w:adjustRightInd/>
              <w:snapToGrid w:val="0"/>
              <w:spacing w:line="288" w:lineRule="auto"/>
              <w:ind w:left="0" w:leftChars="0" w:firstLine="0" w:firstLineChars="0"/>
              <w:textAlignment w:val="auto"/>
              <w:rPr>
                <w:rFonts w:hint="default" w:ascii="仿宋" w:hAnsi="仿宋" w:eastAsia="仿宋" w:cs="仿宋_GB2312"/>
                <w:b w:val="0"/>
                <w:bCs w:val="0"/>
                <w:color w:val="auto"/>
                <w:sz w:val="24"/>
                <w:szCs w:val="24"/>
                <w:highlight w:val="none"/>
                <w:lang w:val="en-US" w:eastAsia="zh-CN"/>
              </w:rPr>
            </w:pPr>
            <w:r>
              <w:rPr>
                <w:rFonts w:hint="eastAsia" w:ascii="仿宋" w:hAnsi="仿宋" w:eastAsia="仿宋" w:cs="仿宋_GB2312"/>
                <w:b w:val="0"/>
                <w:bCs w:val="0"/>
                <w:color w:val="auto"/>
                <w:sz w:val="24"/>
                <w:szCs w:val="24"/>
                <w:highlight w:val="none"/>
              </w:rPr>
              <w:t>具有</w:t>
            </w:r>
            <w:r>
              <w:rPr>
                <w:rFonts w:hint="eastAsia" w:ascii="仿宋" w:hAnsi="仿宋" w:eastAsia="仿宋" w:cs="仿宋_GB2312"/>
                <w:b w:val="0"/>
                <w:bCs w:val="0"/>
                <w:color w:val="auto"/>
                <w:sz w:val="24"/>
                <w:szCs w:val="24"/>
                <w:highlight w:val="none"/>
                <w:lang w:eastAsia="zh-CN"/>
              </w:rPr>
              <w:t>物化探或测量</w:t>
            </w:r>
            <w:r>
              <w:rPr>
                <w:rFonts w:hint="eastAsia" w:ascii="仿宋" w:hAnsi="仿宋" w:eastAsia="仿宋" w:cs="仿宋_GB2312"/>
                <w:b w:val="0"/>
                <w:bCs w:val="0"/>
                <w:color w:val="auto"/>
                <w:sz w:val="24"/>
                <w:szCs w:val="24"/>
                <w:highlight w:val="none"/>
              </w:rPr>
              <w:t>正高级工程师职称的得</w:t>
            </w:r>
            <w:r>
              <w:rPr>
                <w:rFonts w:hint="eastAsia" w:ascii="仿宋" w:hAnsi="仿宋" w:eastAsia="仿宋" w:cs="仿宋_GB2312"/>
                <w:b w:val="0"/>
                <w:bCs w:val="0"/>
                <w:color w:val="auto"/>
                <w:sz w:val="24"/>
                <w:szCs w:val="24"/>
                <w:highlight w:val="none"/>
                <w:lang w:val="en-US" w:eastAsia="zh-CN"/>
              </w:rPr>
              <w:t>6</w:t>
            </w:r>
            <w:r>
              <w:rPr>
                <w:rFonts w:hint="eastAsia" w:ascii="仿宋" w:hAnsi="仿宋" w:eastAsia="仿宋" w:cs="仿宋_GB2312"/>
                <w:b w:val="0"/>
                <w:bCs w:val="0"/>
                <w:color w:val="auto"/>
                <w:sz w:val="24"/>
                <w:szCs w:val="24"/>
                <w:highlight w:val="none"/>
              </w:rPr>
              <w:t>分，具有副高级或中级工程师职称得3分，</w:t>
            </w:r>
            <w:r>
              <w:rPr>
                <w:rFonts w:hint="eastAsia" w:ascii="仿宋" w:hAnsi="仿宋" w:eastAsia="仿宋" w:cs="仿宋_GB2312"/>
                <w:b w:val="0"/>
                <w:bCs w:val="0"/>
                <w:color w:val="auto"/>
                <w:sz w:val="24"/>
                <w:szCs w:val="24"/>
                <w:highlight w:val="none"/>
                <w:lang w:eastAsia="zh-CN"/>
              </w:rPr>
              <w:t>本</w:t>
            </w:r>
            <w:r>
              <w:rPr>
                <w:rFonts w:hint="eastAsia" w:ascii="仿宋" w:hAnsi="仿宋" w:eastAsia="仿宋" w:cs="仿宋_GB2312"/>
                <w:b w:val="0"/>
                <w:bCs w:val="0"/>
                <w:color w:val="auto"/>
                <w:sz w:val="24"/>
                <w:szCs w:val="24"/>
                <w:highlight w:val="none"/>
              </w:rPr>
              <w:t>项最高得</w:t>
            </w:r>
            <w:r>
              <w:rPr>
                <w:rFonts w:hint="eastAsia" w:ascii="仿宋" w:hAnsi="仿宋" w:eastAsia="仿宋" w:cs="仿宋_GB2312"/>
                <w:b w:val="0"/>
                <w:bCs w:val="0"/>
                <w:color w:val="auto"/>
                <w:sz w:val="24"/>
                <w:szCs w:val="24"/>
                <w:highlight w:val="none"/>
                <w:lang w:val="en-US" w:eastAsia="zh-CN"/>
              </w:rPr>
              <w:t>6</w:t>
            </w:r>
            <w:r>
              <w:rPr>
                <w:rFonts w:hint="eastAsia" w:ascii="仿宋" w:hAnsi="仿宋" w:eastAsia="仿宋" w:cs="仿宋_GB2312"/>
                <w:b w:val="0"/>
                <w:bCs w:val="0"/>
                <w:color w:val="auto"/>
                <w:sz w:val="24"/>
                <w:szCs w:val="24"/>
                <w:highlight w:val="none"/>
              </w:rPr>
              <w:t>分。</w:t>
            </w:r>
          </w:p>
          <w:p w14:paraId="28CAF700">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highlight w:val="none"/>
              </w:rPr>
              <w:t>注：需提供</w:t>
            </w:r>
            <w:r>
              <w:rPr>
                <w:rFonts w:hint="eastAsia" w:ascii="仿宋" w:hAnsi="仿宋" w:eastAsia="仿宋" w:cs="仿宋"/>
                <w:b w:val="0"/>
                <w:bCs w:val="0"/>
                <w:color w:val="auto"/>
                <w:kern w:val="0"/>
                <w:sz w:val="24"/>
                <w:highlight w:val="none"/>
                <w:lang w:val="en-US" w:eastAsia="zh-CN"/>
              </w:rPr>
              <w:t>相关</w:t>
            </w:r>
            <w:bookmarkStart w:id="23" w:name="_GoBack"/>
            <w:bookmarkEnd w:id="23"/>
            <w:r>
              <w:rPr>
                <w:rFonts w:hint="eastAsia" w:ascii="仿宋" w:hAnsi="仿宋" w:eastAsia="仿宋" w:cs="仿宋"/>
                <w:b w:val="0"/>
                <w:bCs w:val="0"/>
                <w:color w:val="auto"/>
                <w:kern w:val="0"/>
                <w:sz w:val="24"/>
                <w:highlight w:val="none"/>
              </w:rPr>
              <w:t>证书复印件以及投标人为其缴纳的近</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rPr>
              <w:t>个月社保证明并加盖投标人</w:t>
            </w:r>
            <w:r>
              <w:rPr>
                <w:rFonts w:hint="eastAsia" w:ascii="仿宋" w:hAnsi="仿宋" w:eastAsia="仿宋" w:cs="仿宋"/>
                <w:b w:val="0"/>
                <w:bCs w:val="0"/>
                <w:color w:val="auto"/>
                <w:kern w:val="0"/>
                <w:sz w:val="24"/>
                <w:szCs w:val="21"/>
                <w:highlight w:val="none"/>
              </w:rPr>
              <w:t>CA签章</w:t>
            </w:r>
            <w:r>
              <w:rPr>
                <w:rFonts w:hint="eastAsia" w:ascii="仿宋" w:hAnsi="仿宋" w:eastAsia="仿宋" w:cs="仿宋"/>
                <w:b w:val="0"/>
                <w:bCs w:val="0"/>
                <w:color w:val="auto"/>
                <w:kern w:val="0"/>
                <w:sz w:val="24"/>
                <w:highlight w:val="none"/>
              </w:rPr>
              <w:t>，不提供或提供不全不得分。</w:t>
            </w:r>
          </w:p>
        </w:tc>
        <w:tc>
          <w:tcPr>
            <w:tcW w:w="780" w:type="dxa"/>
            <w:noWrap w:val="0"/>
            <w:vAlign w:val="center"/>
          </w:tcPr>
          <w:p w14:paraId="486BF050">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w:t>
            </w:r>
          </w:p>
        </w:tc>
      </w:tr>
      <w:tr w14:paraId="4F3A6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4B1AC952">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1200" w:type="dxa"/>
            <w:vMerge w:val="continue"/>
            <w:noWrap w:val="0"/>
            <w:vAlign w:val="center"/>
          </w:tcPr>
          <w:p w14:paraId="311A6479">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1D526CB7">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拟派技术负责人（与项目负责人不能是同一人）：</w:t>
            </w:r>
          </w:p>
          <w:p w14:paraId="3D7BC9E2">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_GB2312"/>
                <w:b w:val="0"/>
                <w:bCs w:val="0"/>
                <w:color w:val="auto"/>
                <w:sz w:val="24"/>
                <w:szCs w:val="24"/>
                <w:highlight w:val="none"/>
                <w:lang w:eastAsia="zh-CN"/>
              </w:rPr>
            </w:pPr>
            <w:r>
              <w:rPr>
                <w:rFonts w:hint="eastAsia" w:ascii="仿宋" w:hAnsi="仿宋" w:eastAsia="仿宋" w:cs="仿宋_GB2312"/>
                <w:b w:val="0"/>
                <w:bCs w:val="0"/>
                <w:color w:val="auto"/>
                <w:sz w:val="24"/>
                <w:szCs w:val="24"/>
                <w:highlight w:val="none"/>
                <w:lang w:eastAsia="zh-CN"/>
              </w:rPr>
              <w:t>具有物化探或测量专业高级及以上工程师职称的得</w:t>
            </w:r>
            <w:r>
              <w:rPr>
                <w:rFonts w:hint="eastAsia" w:ascii="仿宋" w:hAnsi="仿宋" w:eastAsia="仿宋" w:cs="仿宋_GB2312"/>
                <w:b w:val="0"/>
                <w:bCs w:val="0"/>
                <w:color w:val="auto"/>
                <w:sz w:val="24"/>
                <w:szCs w:val="24"/>
                <w:highlight w:val="none"/>
                <w:lang w:val="en-US" w:eastAsia="zh-CN"/>
              </w:rPr>
              <w:t>4</w:t>
            </w:r>
            <w:r>
              <w:rPr>
                <w:rFonts w:hint="eastAsia" w:ascii="仿宋" w:hAnsi="仿宋" w:eastAsia="仿宋" w:cs="仿宋_GB2312"/>
                <w:b w:val="0"/>
                <w:bCs w:val="0"/>
                <w:color w:val="auto"/>
                <w:sz w:val="24"/>
                <w:szCs w:val="24"/>
                <w:highlight w:val="none"/>
                <w:lang w:eastAsia="zh-CN"/>
              </w:rPr>
              <w:t>分，中级工程师职称的得</w:t>
            </w:r>
            <w:r>
              <w:rPr>
                <w:rFonts w:hint="eastAsia" w:ascii="仿宋" w:hAnsi="仿宋" w:eastAsia="仿宋" w:cs="仿宋_GB2312"/>
                <w:b w:val="0"/>
                <w:bCs w:val="0"/>
                <w:color w:val="auto"/>
                <w:sz w:val="24"/>
                <w:szCs w:val="24"/>
                <w:highlight w:val="none"/>
                <w:lang w:val="en-US" w:eastAsia="zh-CN"/>
              </w:rPr>
              <w:t>2</w:t>
            </w:r>
            <w:r>
              <w:rPr>
                <w:rFonts w:hint="eastAsia" w:ascii="仿宋" w:hAnsi="仿宋" w:eastAsia="仿宋" w:cs="仿宋_GB2312"/>
                <w:b w:val="0"/>
                <w:bCs w:val="0"/>
                <w:color w:val="auto"/>
                <w:sz w:val="24"/>
                <w:szCs w:val="24"/>
                <w:highlight w:val="none"/>
                <w:lang w:eastAsia="zh-CN"/>
              </w:rPr>
              <w:t>分，本项最高得</w:t>
            </w:r>
            <w:r>
              <w:rPr>
                <w:rFonts w:hint="eastAsia" w:ascii="仿宋" w:hAnsi="仿宋" w:eastAsia="仿宋" w:cs="仿宋_GB2312"/>
                <w:b w:val="0"/>
                <w:bCs w:val="0"/>
                <w:color w:val="auto"/>
                <w:sz w:val="24"/>
                <w:szCs w:val="24"/>
                <w:highlight w:val="none"/>
                <w:lang w:val="en-US" w:eastAsia="zh-CN"/>
              </w:rPr>
              <w:t>4</w:t>
            </w:r>
            <w:r>
              <w:rPr>
                <w:rFonts w:hint="eastAsia" w:ascii="仿宋" w:hAnsi="仿宋" w:eastAsia="仿宋" w:cs="仿宋_GB2312"/>
                <w:b w:val="0"/>
                <w:bCs w:val="0"/>
                <w:color w:val="auto"/>
                <w:sz w:val="24"/>
                <w:szCs w:val="24"/>
                <w:highlight w:val="none"/>
                <w:lang w:eastAsia="zh-CN"/>
              </w:rPr>
              <w:t>分。</w:t>
            </w:r>
          </w:p>
          <w:p w14:paraId="0495B09A">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_GB2312"/>
                <w:b w:val="0"/>
                <w:bCs w:val="0"/>
                <w:color w:val="auto"/>
                <w:sz w:val="24"/>
                <w:szCs w:val="24"/>
                <w:highlight w:val="none"/>
                <w:lang w:eastAsia="zh-CN"/>
              </w:rPr>
            </w:pPr>
            <w:r>
              <w:rPr>
                <w:rFonts w:hint="eastAsia" w:ascii="仿宋" w:hAnsi="仿宋" w:eastAsia="仿宋" w:cs="仿宋"/>
                <w:b w:val="0"/>
                <w:bCs w:val="0"/>
                <w:color w:val="auto"/>
                <w:kern w:val="0"/>
                <w:sz w:val="24"/>
                <w:highlight w:val="none"/>
              </w:rPr>
              <w:t>注：需提供</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证书复印件以及投标人为其缴纳的近</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rPr>
              <w:t>个月社保证明并加盖投标人</w:t>
            </w:r>
            <w:r>
              <w:rPr>
                <w:rFonts w:hint="eastAsia" w:ascii="仿宋" w:hAnsi="仿宋" w:eastAsia="仿宋" w:cs="仿宋"/>
                <w:b w:val="0"/>
                <w:bCs w:val="0"/>
                <w:color w:val="auto"/>
                <w:kern w:val="0"/>
                <w:sz w:val="24"/>
                <w:szCs w:val="21"/>
                <w:highlight w:val="none"/>
              </w:rPr>
              <w:t>CA签章</w:t>
            </w:r>
            <w:r>
              <w:rPr>
                <w:rFonts w:hint="eastAsia" w:ascii="仿宋" w:hAnsi="仿宋" w:eastAsia="仿宋" w:cs="仿宋"/>
                <w:b w:val="0"/>
                <w:bCs w:val="0"/>
                <w:color w:val="auto"/>
                <w:kern w:val="0"/>
                <w:sz w:val="24"/>
                <w:highlight w:val="none"/>
              </w:rPr>
              <w:t>，不提供或提供不全不得分。</w:t>
            </w:r>
          </w:p>
        </w:tc>
        <w:tc>
          <w:tcPr>
            <w:tcW w:w="780" w:type="dxa"/>
            <w:noWrap w:val="0"/>
            <w:vAlign w:val="center"/>
          </w:tcPr>
          <w:p w14:paraId="6BFA90FD">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4分</w:t>
            </w:r>
          </w:p>
        </w:tc>
      </w:tr>
      <w:tr w14:paraId="00455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07247CA0">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1200" w:type="dxa"/>
            <w:vMerge w:val="continue"/>
            <w:noWrap w:val="0"/>
            <w:vAlign w:val="center"/>
          </w:tcPr>
          <w:p w14:paraId="7A669963">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3FB52937">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拟派项目组人员（不含项目负责人</w:t>
            </w:r>
            <w:r>
              <w:rPr>
                <w:rFonts w:hint="eastAsia" w:ascii="仿宋" w:hAnsi="仿宋" w:eastAsia="仿宋" w:cs="仿宋"/>
                <w:b w:val="0"/>
                <w:bCs w:val="0"/>
                <w:color w:val="auto"/>
                <w:kern w:val="0"/>
                <w:sz w:val="24"/>
                <w:highlight w:val="none"/>
                <w:lang w:val="en-US" w:eastAsia="zh-CN"/>
              </w:rPr>
              <w:t>与</w:t>
            </w:r>
            <w:r>
              <w:rPr>
                <w:rFonts w:hint="eastAsia" w:ascii="仿宋" w:hAnsi="仿宋" w:eastAsia="仿宋" w:cs="仿宋"/>
                <w:b w:val="0"/>
                <w:bCs w:val="0"/>
                <w:color w:val="auto"/>
                <w:kern w:val="0"/>
                <w:sz w:val="24"/>
                <w:highlight w:val="none"/>
              </w:rPr>
              <w:t>技术负责人）：</w:t>
            </w:r>
          </w:p>
          <w:p w14:paraId="09C25354">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具有物化探或测量相关专业</w:t>
            </w:r>
            <w:r>
              <w:rPr>
                <w:rFonts w:hint="eastAsia" w:ascii="仿宋" w:hAnsi="仿宋" w:eastAsia="仿宋" w:cs="仿宋"/>
                <w:b w:val="0"/>
                <w:bCs w:val="0"/>
                <w:color w:val="auto"/>
                <w:kern w:val="0"/>
                <w:sz w:val="24"/>
                <w:highlight w:val="none"/>
                <w:lang w:val="en-US" w:eastAsia="zh-CN"/>
              </w:rPr>
              <w:t>资格</w:t>
            </w:r>
            <w:r>
              <w:rPr>
                <w:rFonts w:hint="eastAsia" w:ascii="仿宋" w:hAnsi="仿宋" w:eastAsia="仿宋" w:cs="仿宋"/>
                <w:b w:val="0"/>
                <w:bCs w:val="0"/>
                <w:color w:val="auto"/>
                <w:kern w:val="0"/>
                <w:sz w:val="24"/>
                <w:highlight w:val="none"/>
                <w:lang w:eastAsia="zh-CN"/>
              </w:rPr>
              <w:t>的，每提供一个得</w:t>
            </w: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b w:val="0"/>
                <w:bCs w:val="0"/>
                <w:color w:val="auto"/>
                <w:kern w:val="0"/>
                <w:sz w:val="24"/>
                <w:highlight w:val="none"/>
                <w:lang w:eastAsia="zh-CN"/>
              </w:rPr>
              <w:t>分，本项最高得</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lang w:eastAsia="zh-CN"/>
              </w:rPr>
              <w:t>分。</w:t>
            </w:r>
          </w:p>
          <w:p w14:paraId="48EB3F09">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highlight w:val="none"/>
              </w:rPr>
              <w:t>注：需提供</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证书复印件以及投标人为其缴纳的近</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rPr>
              <w:t>个月社保证明</w:t>
            </w:r>
            <w:r>
              <w:rPr>
                <w:rFonts w:hint="eastAsia" w:ascii="仿宋" w:hAnsi="仿宋" w:eastAsia="仿宋" w:cs="仿宋"/>
                <w:b w:val="0"/>
                <w:bCs w:val="0"/>
                <w:color w:val="auto"/>
                <w:kern w:val="0"/>
                <w:sz w:val="24"/>
                <w:szCs w:val="21"/>
                <w:highlight w:val="none"/>
              </w:rPr>
              <w:t>并加盖投标人CA签章</w:t>
            </w:r>
            <w:r>
              <w:rPr>
                <w:rFonts w:hint="eastAsia" w:ascii="仿宋" w:hAnsi="仿宋" w:eastAsia="仿宋" w:cs="仿宋"/>
                <w:b w:val="0"/>
                <w:bCs w:val="0"/>
                <w:color w:val="auto"/>
                <w:kern w:val="0"/>
                <w:sz w:val="24"/>
                <w:highlight w:val="none"/>
              </w:rPr>
              <w:t>，不提供或提供不全不得分。</w:t>
            </w:r>
          </w:p>
        </w:tc>
        <w:tc>
          <w:tcPr>
            <w:tcW w:w="780" w:type="dxa"/>
            <w:noWrap w:val="0"/>
            <w:vAlign w:val="center"/>
          </w:tcPr>
          <w:p w14:paraId="0EF52A13">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r>
      <w:tr w14:paraId="07522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780" w:type="dxa"/>
            <w:shd w:val="clear" w:color="000000" w:fill="FFFFFF"/>
            <w:noWrap w:val="0"/>
            <w:vAlign w:val="center"/>
          </w:tcPr>
          <w:p w14:paraId="7D0CC6B1">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4</w:t>
            </w:r>
          </w:p>
        </w:tc>
        <w:tc>
          <w:tcPr>
            <w:tcW w:w="1200" w:type="dxa"/>
            <w:shd w:val="clear" w:color="000000" w:fill="FFFFFF"/>
            <w:noWrap w:val="0"/>
            <w:vAlign w:val="center"/>
          </w:tcPr>
          <w:p w14:paraId="77B2757D">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仪器设备</w:t>
            </w:r>
          </w:p>
        </w:tc>
        <w:tc>
          <w:tcPr>
            <w:tcW w:w="6810" w:type="dxa"/>
            <w:shd w:val="clear" w:color="000000" w:fill="FFFFFF"/>
            <w:noWrap w:val="0"/>
            <w:vAlign w:val="center"/>
          </w:tcPr>
          <w:p w14:paraId="4034FC27">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企业自购惯性定位仪（陀螺仪）每台得0.5分，最高2分；地质探测雷达仪每台得0.5分，最高2分；燃气PE管管道定位仪每台0.5分，最高1分。</w:t>
            </w:r>
          </w:p>
          <w:p w14:paraId="56DD9803">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b w:val="0"/>
                <w:bCs w:val="0"/>
                <w:color w:val="auto"/>
                <w:highlight w:val="none"/>
                <w:lang w:val="en-US" w:eastAsia="zh-CN"/>
              </w:rPr>
            </w:pPr>
            <w:r>
              <w:rPr>
                <w:rFonts w:hint="eastAsia" w:ascii="仿宋" w:hAnsi="仿宋" w:eastAsia="仿宋" w:cs="仿宋"/>
                <w:b w:val="0"/>
                <w:bCs w:val="0"/>
                <w:color w:val="auto"/>
                <w:kern w:val="0"/>
                <w:sz w:val="24"/>
                <w:highlight w:val="none"/>
                <w:lang w:val="en-US" w:eastAsia="zh-CN"/>
              </w:rPr>
              <w:t>注：需提供本单位自购发票复印件加盖投标人公章，否则不得分。</w:t>
            </w:r>
          </w:p>
        </w:tc>
        <w:tc>
          <w:tcPr>
            <w:tcW w:w="780" w:type="dxa"/>
            <w:shd w:val="clear" w:color="000000" w:fill="FFFFFF"/>
            <w:noWrap w:val="0"/>
            <w:vAlign w:val="center"/>
          </w:tcPr>
          <w:p w14:paraId="0AAA5FDC">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zh-CN" w:eastAsia="zh-CN"/>
              </w:rPr>
              <w:t>分</w:t>
            </w:r>
          </w:p>
        </w:tc>
      </w:tr>
      <w:tr w14:paraId="0581C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780" w:type="dxa"/>
            <w:vMerge w:val="restart"/>
            <w:shd w:val="clear" w:color="000000" w:fill="FFFFFF"/>
            <w:noWrap w:val="0"/>
            <w:vAlign w:val="center"/>
          </w:tcPr>
          <w:p w14:paraId="3EA5F201">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0" w:type="dxa"/>
            <w:vMerge w:val="restart"/>
            <w:shd w:val="clear" w:color="000000" w:fill="FFFFFF"/>
            <w:noWrap w:val="0"/>
            <w:vAlign w:val="center"/>
          </w:tcPr>
          <w:p w14:paraId="178C8CAB">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技术方案</w:t>
            </w:r>
          </w:p>
        </w:tc>
        <w:tc>
          <w:tcPr>
            <w:tcW w:w="6810" w:type="dxa"/>
            <w:shd w:val="clear" w:color="000000" w:fill="FFFFFF"/>
            <w:noWrap w:val="0"/>
            <w:vAlign w:val="center"/>
          </w:tcPr>
          <w:p w14:paraId="579D0F9E">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根据投标人对本项目情况了解是否详细，对本项目的技术方案的重难点分析是否详细，提出的解决方案是否具有可实施性等，由评审专家进行综合打分。</w:t>
            </w:r>
          </w:p>
          <w:p w14:paraId="1E6F765C">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shd w:val="clear" w:color="000000" w:fill="FFFFFF"/>
            <w:noWrap w:val="0"/>
            <w:vAlign w:val="center"/>
          </w:tcPr>
          <w:p w14:paraId="742C0BBA">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48D71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780" w:type="dxa"/>
            <w:vMerge w:val="continue"/>
            <w:shd w:val="clear" w:color="000000" w:fill="FFFFFF"/>
            <w:noWrap w:val="0"/>
            <w:vAlign w:val="center"/>
          </w:tcPr>
          <w:p w14:paraId="41AE9819">
            <w:pPr>
              <w:pStyle w:val="46"/>
              <w:keepNext w:val="0"/>
              <w:keepLines w:val="0"/>
              <w:pageBreakBefore w:val="0"/>
              <w:widowControl w:val="0"/>
              <w:kinsoku/>
              <w:wordWrap/>
              <w:overflowPunct/>
              <w:topLinePunct w:val="0"/>
              <w:bidi w:val="0"/>
              <w:adjustRightInd/>
              <w:snapToGrid w:val="0"/>
              <w:spacing w:after="0" w:afterLines="0" w:line="288" w:lineRule="auto"/>
              <w:textAlignment w:val="auto"/>
              <w:rPr>
                <w:rFonts w:hint="eastAsia"/>
                <w:b w:val="0"/>
                <w:bCs w:val="0"/>
                <w:color w:val="auto"/>
                <w:highlight w:val="none"/>
                <w:lang w:val="zh-CN" w:eastAsia="zh-CN"/>
              </w:rPr>
            </w:pPr>
          </w:p>
        </w:tc>
        <w:tc>
          <w:tcPr>
            <w:tcW w:w="1200" w:type="dxa"/>
            <w:vMerge w:val="continue"/>
            <w:shd w:val="clear" w:color="000000" w:fill="FFFFFF"/>
            <w:noWrap w:val="0"/>
            <w:vAlign w:val="center"/>
          </w:tcPr>
          <w:p w14:paraId="08ECA2CD">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zh-CN" w:eastAsia="zh-CN"/>
              </w:rPr>
            </w:pPr>
          </w:p>
        </w:tc>
        <w:tc>
          <w:tcPr>
            <w:tcW w:w="6810" w:type="dxa"/>
            <w:shd w:val="clear" w:color="000000" w:fill="FFFFFF"/>
            <w:noWrap w:val="0"/>
            <w:vAlign w:val="center"/>
          </w:tcPr>
          <w:p w14:paraId="74263368">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根据投标人的合理化建议是否客观具体，能否促进对项目现状的进一步了解，有利于本项目开展及后续工作等，由评审专家进行综合打分。</w:t>
            </w:r>
          </w:p>
          <w:p w14:paraId="517A9AF9">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shd w:val="clear" w:color="000000" w:fill="FFFFFF"/>
            <w:noWrap w:val="0"/>
            <w:vAlign w:val="center"/>
          </w:tcPr>
          <w:p w14:paraId="534F5BBB">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05931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restart"/>
            <w:noWrap w:val="0"/>
            <w:vAlign w:val="center"/>
          </w:tcPr>
          <w:p w14:paraId="707337D0">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p>
        </w:tc>
        <w:tc>
          <w:tcPr>
            <w:tcW w:w="1200" w:type="dxa"/>
            <w:vMerge w:val="restart"/>
            <w:noWrap w:val="0"/>
            <w:vAlign w:val="center"/>
          </w:tcPr>
          <w:p w14:paraId="57132527">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实施</w:t>
            </w:r>
            <w:r>
              <w:rPr>
                <w:rFonts w:hint="eastAsia" w:ascii="仿宋" w:hAnsi="仿宋" w:eastAsia="仿宋" w:cs="仿宋"/>
                <w:b w:val="0"/>
                <w:bCs w:val="0"/>
                <w:color w:val="auto"/>
                <w:sz w:val="24"/>
                <w:szCs w:val="24"/>
                <w:highlight w:val="none"/>
              </w:rPr>
              <w:t>方案</w:t>
            </w:r>
          </w:p>
        </w:tc>
        <w:tc>
          <w:tcPr>
            <w:tcW w:w="6810" w:type="dxa"/>
            <w:noWrap w:val="0"/>
            <w:vAlign w:val="center"/>
          </w:tcPr>
          <w:p w14:paraId="19629273">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根据投标人提供的工作量及计划安排是否明确，分工是否合理，表述是否清晰，进度保证是否可行等，由评审专家进行综合打分。</w:t>
            </w:r>
          </w:p>
          <w:p w14:paraId="7E59C6E6">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noWrap w:val="0"/>
            <w:vAlign w:val="center"/>
          </w:tcPr>
          <w:p w14:paraId="2CB74543">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6FECC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4D720F51">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1200" w:type="dxa"/>
            <w:vMerge w:val="continue"/>
            <w:noWrap w:val="0"/>
            <w:vAlign w:val="center"/>
          </w:tcPr>
          <w:p w14:paraId="51875A0E">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06A36FCE">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根据投标人针对本项目提供的质量目标是否明确，保证措施是否具体有效等，由评审专家进行综合打分。</w:t>
            </w:r>
          </w:p>
          <w:p w14:paraId="7DB8B0C1">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noWrap w:val="0"/>
            <w:vAlign w:val="center"/>
          </w:tcPr>
          <w:p w14:paraId="151E9C54">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72AFC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noWrap w:val="0"/>
            <w:vAlign w:val="center"/>
          </w:tcPr>
          <w:p w14:paraId="11E04FC3">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p>
        </w:tc>
        <w:tc>
          <w:tcPr>
            <w:tcW w:w="1200" w:type="dxa"/>
            <w:noWrap w:val="0"/>
            <w:vAlign w:val="center"/>
          </w:tcPr>
          <w:p w14:paraId="1213EFB7">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en-US"/>
              </w:rPr>
              <w:t>应急</w:t>
            </w:r>
            <w:r>
              <w:rPr>
                <w:rFonts w:hint="eastAsia" w:ascii="仿宋" w:hAnsi="仿宋" w:eastAsia="仿宋" w:cs="仿宋"/>
                <w:b w:val="0"/>
                <w:bCs w:val="0"/>
                <w:color w:val="auto"/>
                <w:sz w:val="24"/>
                <w:szCs w:val="24"/>
                <w:highlight w:val="none"/>
                <w:lang w:val="en-US" w:eastAsia="zh-CN"/>
              </w:rPr>
              <w:t>预案</w:t>
            </w:r>
          </w:p>
        </w:tc>
        <w:tc>
          <w:tcPr>
            <w:tcW w:w="6810" w:type="dxa"/>
            <w:noWrap w:val="0"/>
            <w:vAlign w:val="center"/>
          </w:tcPr>
          <w:p w14:paraId="4F59DB2A">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根据投标人针对本项目提供的突发事件处置应急预案是否具有合理性、可实施性等，由评审专家进行综合打分。</w:t>
            </w:r>
          </w:p>
          <w:p w14:paraId="531314D8">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注：内容完整全面、科学合理、针对性强的得（4,7]分；内容略有欠缺，但基本合理可行的得（2,4]分；内容粗略、层次模糊、针对性较差的得(0,2]分；未提供方案的不得分。</w:t>
            </w:r>
          </w:p>
        </w:tc>
        <w:tc>
          <w:tcPr>
            <w:tcW w:w="780" w:type="dxa"/>
            <w:noWrap w:val="0"/>
            <w:vAlign w:val="center"/>
          </w:tcPr>
          <w:p w14:paraId="13867942">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r>
      <w:tr w14:paraId="52A8D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restart"/>
            <w:noWrap w:val="0"/>
            <w:vAlign w:val="center"/>
          </w:tcPr>
          <w:p w14:paraId="2CA8F24A">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00" w:type="dxa"/>
            <w:vMerge w:val="restart"/>
            <w:noWrap w:val="0"/>
            <w:vAlign w:val="center"/>
          </w:tcPr>
          <w:p w14:paraId="2B305D9B">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en-US"/>
              </w:rPr>
              <w:t>售后服务</w:t>
            </w:r>
          </w:p>
        </w:tc>
        <w:tc>
          <w:tcPr>
            <w:tcW w:w="6810" w:type="dxa"/>
            <w:noWrap w:val="0"/>
            <w:vAlign w:val="center"/>
          </w:tcPr>
          <w:p w14:paraId="0D51448C">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根据投标人提供的售后服务方案（包含售后响应能力、售后响应时间等）是否全面、可行等，由评审专家进行综合打分。</w:t>
            </w:r>
          </w:p>
          <w:p w14:paraId="3B6D5EBE">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注：内容完整全面、科学合理、针对性强的得（4,7]分；内容略有欠缺，但基本合理可行的得（2,4]分；内容粗略、层次模糊、针对性较差的得(0,2]分；未提供方案的不得分。</w:t>
            </w:r>
          </w:p>
        </w:tc>
        <w:tc>
          <w:tcPr>
            <w:tcW w:w="780" w:type="dxa"/>
            <w:noWrap w:val="0"/>
            <w:vAlign w:val="center"/>
          </w:tcPr>
          <w:p w14:paraId="5E1142F0">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r>
      <w:tr w14:paraId="17C26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6DA59FEC">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p>
        </w:tc>
        <w:tc>
          <w:tcPr>
            <w:tcW w:w="1200" w:type="dxa"/>
            <w:vMerge w:val="continue"/>
            <w:noWrap w:val="0"/>
            <w:vAlign w:val="center"/>
          </w:tcPr>
          <w:p w14:paraId="76E827CB">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1C50D20C">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根据投标人是否具有较强的本地化服务能力，是否拥有常驻服务和技术支持机构以及较强的专业技术队伍，能提供快速服务等，由评审专家进行综合打分。</w:t>
            </w:r>
          </w:p>
          <w:p w14:paraId="341ACA94">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注：内容完整全面、科学合理、针对性强的得（4,7]分；内容略有欠缺，但基本合理可行的得（2,4]分；内容粗略、层次模糊、针对性较差的得(0,2]分；未提供方案的不得分。</w:t>
            </w:r>
          </w:p>
        </w:tc>
        <w:tc>
          <w:tcPr>
            <w:tcW w:w="780" w:type="dxa"/>
            <w:noWrap w:val="0"/>
            <w:vAlign w:val="center"/>
          </w:tcPr>
          <w:p w14:paraId="0AC55621">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r>
    </w:tbl>
    <w:p w14:paraId="6DF258E9">
      <w:pPr>
        <w:keepNext w:val="0"/>
        <w:keepLines w:val="0"/>
        <w:pageBreakBefore w:val="0"/>
        <w:kinsoku/>
        <w:wordWrap/>
        <w:overflowPunct/>
        <w:topLinePunct w:val="0"/>
        <w:autoSpaceDE/>
        <w:autoSpaceDN/>
        <w:bidi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（5）通过资格审查和符合性评审的投标人全部入围进行报价评审。</w:t>
      </w:r>
    </w:p>
    <w:p w14:paraId="258E93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r>
        <w:rPr>
          <w:rFonts w:hint="eastAsia" w:ascii="仿宋" w:hAnsi="仿宋" w:eastAsia="仿宋" w:cs="宋体"/>
          <w:color w:val="auto"/>
          <w:sz w:val="24"/>
          <w:szCs w:val="24"/>
          <w:highlight w:val="none"/>
          <w:lang w:eastAsia="zh-CN"/>
        </w:rPr>
        <w:t>。</w:t>
      </w:r>
    </w:p>
    <w:p w14:paraId="25CB9C98">
      <w:pPr>
        <w:keepNext w:val="0"/>
        <w:keepLines w:val="0"/>
        <w:pageBreakBefore w:val="0"/>
        <w:widowControl w:val="0"/>
        <w:kinsoku/>
        <w:wordWrap/>
        <w:overflowPunct/>
        <w:topLinePunct w:val="0"/>
        <w:autoSpaceDE/>
        <w:autoSpaceDN/>
        <w:bidi w:val="0"/>
        <w:adjustRightInd w:val="0"/>
        <w:spacing w:line="312"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20</w:t>
      </w:r>
      <w:r>
        <w:rPr>
          <w:rFonts w:hint="eastAsia" w:ascii="仿宋" w:hAnsi="仿宋" w:eastAsia="仿宋" w:cs="仿宋"/>
          <w:b/>
          <w:bCs/>
          <w:iCs/>
          <w:sz w:val="24"/>
        </w:rPr>
        <w:t>分）</w:t>
      </w:r>
    </w:p>
    <w:p w14:paraId="7399B0DB">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2.2.1评标基准价：即满足</w:t>
      </w:r>
      <w:r>
        <w:rPr>
          <w:rFonts w:hint="eastAsia" w:ascii="仿宋" w:hAnsi="仿宋" w:eastAsia="仿宋" w:cs="仿宋"/>
          <w:bCs/>
          <w:iCs/>
          <w:sz w:val="24"/>
          <w:lang w:eastAsia="zh-CN"/>
        </w:rPr>
        <w:t>招标文件</w:t>
      </w:r>
      <w:r>
        <w:rPr>
          <w:rFonts w:hint="eastAsia" w:ascii="仿宋" w:hAnsi="仿宋" w:eastAsia="仿宋" w:cs="仿宋"/>
          <w:bCs/>
          <w:iCs/>
          <w:sz w:val="24"/>
        </w:rPr>
        <w:t>要求且投标价格最低的投标报价为评标基准价，其价格分为满分。</w:t>
      </w:r>
    </w:p>
    <w:p w14:paraId="0ADF0737">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3875CCE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textAlignment w:val="auto"/>
        <w:rPr>
          <w:rFonts w:hint="default" w:ascii="仿宋" w:hAnsi="仿宋" w:eastAsia="仿宋" w:cs="仿宋"/>
          <w:bCs/>
          <w:iCs/>
          <w:sz w:val="24"/>
          <w:lang w:val="en-US" w:eastAsia="zh-CN"/>
        </w:rPr>
      </w:pPr>
      <w:r>
        <w:rPr>
          <w:rFonts w:hint="eastAsia" w:ascii="仿宋" w:hAnsi="仿宋" w:eastAsia="仿宋" w:cs="仿宋"/>
          <w:bCs/>
          <w:iCs/>
          <w:sz w:val="24"/>
        </w:rPr>
        <w:t>投标报价得分=(评标基准价／投标报价)×价格权值×100</w:t>
      </w:r>
      <w:r>
        <w:rPr>
          <w:rFonts w:hint="eastAsia" w:ascii="仿宋" w:hAnsi="仿宋" w:eastAsia="仿宋" w:cs="仿宋"/>
          <w:bCs/>
          <w:iCs/>
          <w:sz w:val="24"/>
          <w:lang w:eastAsia="zh-CN"/>
        </w:rPr>
        <w:t>，</w:t>
      </w:r>
      <w:r>
        <w:rPr>
          <w:rFonts w:hint="eastAsia" w:ascii="仿宋" w:hAnsi="仿宋" w:eastAsia="仿宋" w:cs="宋体"/>
          <w:color w:val="auto"/>
          <w:sz w:val="24"/>
          <w:szCs w:val="24"/>
        </w:rPr>
        <w:t>评标基准价=有效投标人的最低投标报价，</w:t>
      </w:r>
      <w:r>
        <w:rPr>
          <w:rFonts w:hint="eastAsia" w:ascii="仿宋" w:hAnsi="仿宋" w:eastAsia="仿宋" w:cs="宋体"/>
          <w:b/>
          <w:color w:val="auto"/>
          <w:sz w:val="24"/>
          <w:szCs w:val="24"/>
        </w:rPr>
        <w:t>价格权值=</w:t>
      </w:r>
      <w:r>
        <w:rPr>
          <w:rFonts w:hint="eastAsia" w:ascii="仿宋" w:hAnsi="仿宋" w:eastAsia="仿宋" w:cs="宋体"/>
          <w:b/>
          <w:color w:val="auto"/>
          <w:sz w:val="24"/>
          <w:szCs w:val="24"/>
          <w:lang w:val="en-US" w:eastAsia="zh-CN"/>
        </w:rPr>
        <w:t>2</w:t>
      </w:r>
      <w:r>
        <w:rPr>
          <w:rFonts w:hint="eastAsia" w:ascii="仿宋" w:hAnsi="仿宋" w:eastAsia="仿宋" w:cs="宋体"/>
          <w:b/>
          <w:color w:val="auto"/>
          <w:sz w:val="24"/>
          <w:szCs w:val="24"/>
        </w:rPr>
        <w:t>0%</w:t>
      </w:r>
      <w:r>
        <w:rPr>
          <w:rFonts w:hint="eastAsia" w:ascii="仿宋" w:hAnsi="仿宋" w:eastAsia="仿宋" w:cs="宋体"/>
          <w:color w:val="auto"/>
          <w:sz w:val="24"/>
          <w:szCs w:val="24"/>
        </w:rPr>
        <w:t>；</w:t>
      </w:r>
    </w:p>
    <w:p w14:paraId="3F0583BF">
      <w:pPr>
        <w:bidi w:val="0"/>
        <w:spacing w:line="360" w:lineRule="auto"/>
        <w:rPr>
          <w:rFonts w:hint="eastAsia" w:ascii="仿宋" w:hAnsi="仿宋" w:eastAsia="仿宋" w:cs="仿宋"/>
          <w:sz w:val="24"/>
          <w:szCs w:val="24"/>
        </w:rPr>
      </w:pPr>
    </w:p>
    <w:p w14:paraId="576126D1">
      <w:pPr>
        <w:bidi w:val="0"/>
        <w:spacing w:line="360" w:lineRule="auto"/>
        <w:rPr>
          <w:rFonts w:hint="eastAsia" w:ascii="仿宋" w:hAnsi="仿宋" w:eastAsia="仿宋" w:cs="仿宋"/>
          <w:sz w:val="24"/>
          <w:szCs w:val="24"/>
        </w:rPr>
      </w:pPr>
    </w:p>
    <w:p w14:paraId="1405577B">
      <w:pPr>
        <w:bidi w:val="0"/>
        <w:spacing w:line="360" w:lineRule="auto"/>
        <w:rPr>
          <w:rFonts w:hint="eastAsia" w:ascii="仿宋" w:hAnsi="仿宋" w:eastAsia="仿宋" w:cs="仿宋"/>
          <w:sz w:val="24"/>
          <w:szCs w:val="24"/>
        </w:rPr>
      </w:pPr>
    </w:p>
    <w:p w14:paraId="4FB7ADD2">
      <w:pPr>
        <w:bidi w:val="0"/>
        <w:spacing w:line="360" w:lineRule="auto"/>
        <w:rPr>
          <w:rFonts w:hint="eastAsia" w:ascii="仿宋" w:hAnsi="仿宋" w:eastAsia="仿宋" w:cs="仿宋"/>
          <w:sz w:val="24"/>
          <w:szCs w:val="24"/>
        </w:rPr>
      </w:pPr>
    </w:p>
    <w:p w14:paraId="7278D7F7">
      <w:pPr>
        <w:bidi w:val="0"/>
        <w:spacing w:line="360" w:lineRule="auto"/>
        <w:rPr>
          <w:rFonts w:hint="eastAsia" w:ascii="仿宋" w:hAnsi="仿宋" w:eastAsia="仿宋" w:cs="仿宋"/>
          <w:sz w:val="24"/>
          <w:szCs w:val="24"/>
        </w:rPr>
      </w:pPr>
    </w:p>
    <w:p w14:paraId="4022F051">
      <w:pPr>
        <w:bidi w:val="0"/>
        <w:spacing w:line="360" w:lineRule="auto"/>
        <w:rPr>
          <w:rFonts w:hint="eastAsia" w:ascii="仿宋" w:hAnsi="仿宋" w:eastAsia="仿宋" w:cs="仿宋"/>
          <w:sz w:val="24"/>
          <w:szCs w:val="24"/>
        </w:rPr>
      </w:pPr>
    </w:p>
    <w:p w14:paraId="166051E5">
      <w:pPr>
        <w:bidi w:val="0"/>
        <w:spacing w:line="360" w:lineRule="auto"/>
        <w:rPr>
          <w:rFonts w:hint="eastAsia" w:ascii="仿宋" w:hAnsi="仿宋" w:eastAsia="仿宋" w:cs="仿宋"/>
          <w:sz w:val="24"/>
          <w:szCs w:val="24"/>
        </w:rPr>
      </w:pPr>
    </w:p>
    <w:p w14:paraId="0905062D">
      <w:pPr>
        <w:pStyle w:val="2"/>
        <w:keepNext/>
        <w:keepLines/>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360" w:lineRule="auto"/>
        <w:ind w:leftChars="0" w:right="0" w:rightChars="0"/>
        <w:jc w:val="center"/>
        <w:textAlignment w:val="auto"/>
        <w:outlineLvl w:val="0"/>
        <w:rPr>
          <w:rFonts w:hint="eastAsia" w:ascii="仿宋" w:hAnsi="仿宋" w:eastAsia="仿宋" w:cs="仿宋"/>
          <w:color w:val="auto"/>
          <w:sz w:val="36"/>
          <w:szCs w:val="36"/>
          <w:highlight w:val="none"/>
        </w:rPr>
      </w:pPr>
      <w:bookmarkStart w:id="17" w:name="_Toc125344512"/>
      <w:r>
        <w:rPr>
          <w:rFonts w:hint="eastAsia" w:ascii="仿宋" w:hAnsi="仿宋" w:eastAsia="仿宋" w:cs="仿宋"/>
          <w:color w:val="auto"/>
          <w:sz w:val="36"/>
          <w:szCs w:val="36"/>
          <w:highlight w:val="none"/>
          <w:lang w:val="en-US" w:eastAsia="zh-CN"/>
        </w:rPr>
        <w:t>第四章</w:t>
      </w:r>
      <w:r>
        <w:rPr>
          <w:rFonts w:hint="eastAsia" w:ascii="仿宋" w:hAnsi="仿宋" w:eastAsia="仿宋" w:cs="仿宋"/>
          <w:color w:val="auto"/>
          <w:sz w:val="36"/>
          <w:szCs w:val="36"/>
          <w:highlight w:val="none"/>
        </w:rPr>
        <w:t xml:space="preserve">  采购需求</w:t>
      </w:r>
      <w:bookmarkEnd w:id="17"/>
    </w:p>
    <w:p w14:paraId="477A170A">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仿宋" w:hAnsi="仿宋" w:eastAsia="仿宋" w:cs="仿宋"/>
          <w:b w:val="0"/>
          <w:bCs/>
          <w:snapToGrid w:val="0"/>
          <w:color w:val="auto"/>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（一）项目概况</w:t>
      </w:r>
    </w:p>
    <w:p w14:paraId="366F356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auto"/>
          <w:sz w:val="24"/>
          <w:highlight w:val="none"/>
          <w:u w:val="none"/>
          <w:lang w:val="en-US" w:eastAsia="zh-CN"/>
        </w:rPr>
      </w:pPr>
      <w:r>
        <w:rPr>
          <w:rFonts w:hint="eastAsia" w:ascii="仿宋" w:hAnsi="仿宋" w:eastAsia="仿宋" w:cs="仿宋"/>
          <w:b w:val="0"/>
          <w:bCs/>
          <w:color w:val="auto"/>
          <w:sz w:val="24"/>
          <w:highlight w:val="none"/>
          <w:lang w:val="en-US" w:eastAsia="zh-CN"/>
        </w:rPr>
        <w:t>诸暨市城市生活污水治理扩面提效项目—大唐街道开元路等6条道路雨污分流改造提升工程地下管线排查服务采购项目</w:t>
      </w:r>
      <w:r>
        <w:rPr>
          <w:rFonts w:hint="default" w:ascii="仿宋" w:hAnsi="仿宋" w:eastAsia="仿宋" w:cs="仿宋"/>
          <w:color w:val="auto"/>
          <w:kern w:val="0"/>
          <w:sz w:val="24"/>
          <w:szCs w:val="24"/>
          <w:highlight w:val="none"/>
          <w:lang w:val="en-US" w:eastAsia="zh-CN" w:bidi="ar"/>
        </w:rPr>
        <w:t>，因周边存在成品油管道、国防光缆、高压供电管线、燃气管线、供水管线、通信管线等众多管线，为确保设计的合理性和后期施工的安全性，需对现场存在管道进行工程物探。</w:t>
      </w:r>
      <w:r>
        <w:rPr>
          <w:rFonts w:hint="eastAsia" w:ascii="仿宋" w:hAnsi="仿宋" w:eastAsia="仿宋" w:cs="仿宋"/>
          <w:color w:val="auto"/>
          <w:kern w:val="0"/>
          <w:sz w:val="24"/>
          <w:szCs w:val="24"/>
          <w:highlight w:val="none"/>
          <w:lang w:val="en-US" w:eastAsia="zh-CN" w:bidi="ar"/>
        </w:rPr>
        <w:t xml:space="preserve"> </w:t>
      </w:r>
    </w:p>
    <w:p w14:paraId="51801DFA">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仿宋" w:hAnsi="仿宋" w:eastAsia="仿宋" w:cs="仿宋"/>
          <w:b/>
          <w:bCs w:val="0"/>
          <w:snapToGrid w:val="0"/>
          <w:color w:val="auto"/>
          <w:kern w:val="2"/>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（二）仪器、设备和设施配置要</w:t>
      </w:r>
      <w:r>
        <w:rPr>
          <w:rFonts w:hint="default" w:ascii="仿宋" w:hAnsi="仿宋" w:eastAsia="仿宋" w:cs="仿宋"/>
          <w:b/>
          <w:bCs w:val="0"/>
          <w:snapToGrid w:val="0"/>
          <w:color w:val="auto"/>
          <w:kern w:val="2"/>
          <w:sz w:val="24"/>
          <w:szCs w:val="24"/>
          <w:highlight w:val="none"/>
          <w:lang w:val="en-US" w:eastAsia="zh-CN" w:bidi="ar"/>
        </w:rPr>
        <w:t>求</w:t>
      </w:r>
      <w:bookmarkStart w:id="18" w:name="_Hlk41246781"/>
    </w:p>
    <w:p w14:paraId="5203F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w:t>
      </w:r>
      <w:r>
        <w:rPr>
          <w:rFonts w:hint="default" w:ascii="仿宋" w:hAnsi="仿宋" w:eastAsia="仿宋" w:cs="宋体"/>
          <w:color w:val="auto"/>
          <w:sz w:val="24"/>
          <w:szCs w:val="24"/>
          <w:lang w:val="en-US" w:eastAsia="zh-CN"/>
        </w:rPr>
        <w:t>仪器、设备配置</w:t>
      </w:r>
    </w:p>
    <w:p w14:paraId="51917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1.1 现场项目部须配备足够的检测、仪器和设备，以满足多个工点同时探测、工作需要，保证施工进展的需要。</w:t>
      </w:r>
    </w:p>
    <w:p w14:paraId="42002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1.2 现场项目部应采用国内外先进的检测、仪器和设备，且必须经过计量部门的检定并在有效期内。应确保所有探测仪器和设备在探测过程中状况良好、性能稳定、检测与精度必须满足国家相应规定和标准要求。</w:t>
      </w:r>
    </w:p>
    <w:p w14:paraId="78519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1.3 投入本项目的探测仪器和设备必须保证满足本工程探测工作需要，不得随意更换或退场。对不能满足本工程检测、工作需要的仪器和设备，</w:t>
      </w:r>
      <w:r>
        <w:rPr>
          <w:rFonts w:hint="eastAsia" w:ascii="仿宋" w:hAnsi="仿宋" w:eastAsia="仿宋" w:cs="宋体"/>
          <w:color w:val="auto"/>
          <w:sz w:val="24"/>
          <w:szCs w:val="24"/>
          <w:lang w:val="en-US" w:eastAsia="zh-CN"/>
        </w:rPr>
        <w:t>采购人</w:t>
      </w:r>
      <w:r>
        <w:rPr>
          <w:rFonts w:hint="default" w:ascii="仿宋" w:hAnsi="仿宋" w:eastAsia="仿宋" w:cs="宋体"/>
          <w:color w:val="auto"/>
          <w:sz w:val="24"/>
          <w:szCs w:val="24"/>
          <w:lang w:val="en-US" w:eastAsia="zh-CN"/>
        </w:rPr>
        <w:t>或其委托的监理人有权随时要求中标单位更换。替换的仪器设备的性能必须满足探测工作需要，并报</w:t>
      </w:r>
      <w:r>
        <w:rPr>
          <w:rFonts w:hint="eastAsia" w:ascii="仿宋" w:hAnsi="仿宋" w:eastAsia="仿宋" w:cs="宋体"/>
          <w:color w:val="auto"/>
          <w:sz w:val="24"/>
          <w:szCs w:val="24"/>
          <w:lang w:val="en-US" w:eastAsia="zh-CN"/>
        </w:rPr>
        <w:t>采购人</w:t>
      </w:r>
      <w:r>
        <w:rPr>
          <w:rFonts w:hint="default" w:ascii="仿宋" w:hAnsi="仿宋" w:eastAsia="仿宋" w:cs="宋体"/>
          <w:color w:val="auto"/>
          <w:sz w:val="24"/>
          <w:szCs w:val="24"/>
          <w:lang w:val="en-US" w:eastAsia="zh-CN"/>
        </w:rPr>
        <w:t>同意。</w:t>
      </w:r>
    </w:p>
    <w:p w14:paraId="374A8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w:t>
      </w:r>
      <w:r>
        <w:rPr>
          <w:rFonts w:hint="default" w:ascii="仿宋" w:hAnsi="仿宋" w:eastAsia="仿宋" w:cs="宋体"/>
          <w:color w:val="auto"/>
          <w:sz w:val="24"/>
          <w:szCs w:val="24"/>
          <w:lang w:val="en-US" w:eastAsia="zh-CN"/>
        </w:rPr>
        <w:t>工作和生活设施</w:t>
      </w:r>
    </w:p>
    <w:p w14:paraId="66C0D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中标单位应自行解决在现场开展检测、工作所必需的办公、生活、交通、通讯等设施，自行解决食宿。</w:t>
      </w:r>
      <w:bookmarkEnd w:id="18"/>
      <w:r>
        <w:rPr>
          <w:rFonts w:hint="eastAsia" w:ascii="仿宋" w:hAnsi="仿宋" w:eastAsia="仿宋" w:cs="宋体"/>
          <w:color w:val="auto"/>
          <w:sz w:val="24"/>
          <w:szCs w:val="24"/>
          <w:lang w:val="en-US" w:eastAsia="zh-CN"/>
        </w:rPr>
        <w:t xml:space="preserve"> </w:t>
      </w:r>
    </w:p>
    <w:p w14:paraId="1EFBD0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kern w:val="2"/>
          <w:sz w:val="24"/>
          <w:szCs w:val="20"/>
          <w:lang w:val="en-US" w:eastAsia="zh-CN" w:bidi="ar-SA"/>
        </w:rPr>
      </w:pPr>
      <w:r>
        <w:rPr>
          <w:rFonts w:hint="eastAsia" w:ascii="仿宋" w:hAnsi="仿宋" w:eastAsia="仿宋" w:cs="仿宋"/>
          <w:b/>
          <w:bCs w:val="0"/>
          <w:color w:val="auto"/>
          <w:kern w:val="2"/>
          <w:sz w:val="24"/>
          <w:szCs w:val="20"/>
          <w:lang w:val="en-US" w:eastAsia="zh-CN" w:bidi="ar-SA"/>
        </w:rPr>
        <w:t>（三）技术要求</w:t>
      </w:r>
    </w:p>
    <w:p w14:paraId="6FC70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1、非开挖管线探测要求</w:t>
      </w:r>
    </w:p>
    <w:p w14:paraId="7A433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1.1一般要求</w:t>
      </w:r>
    </w:p>
    <w:p w14:paraId="5CFCB4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（1）收集管线产权单位所有管线资料，根据管线走向、埋深制定探测方案。</w:t>
      </w:r>
    </w:p>
    <w:p w14:paraId="67401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（2）完成现状地下管线（非开挖方式）的地面高程、管线高程及埋深的探测，提供各探测点相关数据。所提供探测点的坐标、高程与所提供的地形图同坐标系。</w:t>
      </w:r>
    </w:p>
    <w:p w14:paraId="45674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（3）物探定位对地下管线及其表面防腐层不会造成任何损失。</w:t>
      </w:r>
    </w:p>
    <w:p w14:paraId="3BB1A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（4）地下管线探测工作应符合现行的《城市地下管线探测技术规程》（CJJ61-2003、J271-2003）等规范有关规定。</w:t>
      </w:r>
    </w:p>
    <w:p w14:paraId="6AC38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1.2精度要求</w:t>
      </w:r>
    </w:p>
    <w:p w14:paraId="29D72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本工程地下管线探测应满足《城市地下管线探测技术规程》（CJJ61-2003、J271-2003）中规定的精度要求。</w:t>
      </w:r>
    </w:p>
    <w:p w14:paraId="09F24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2、探测外业施工要求</w:t>
      </w:r>
    </w:p>
    <w:p w14:paraId="0F92B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2.1承担本次管线探测任务的单位，必须充分做好配备技术力量、落实人员、筹办机具仪器等准备工作；熟悉工程(或专业)任务书和技术要求，熟悉该工点(或专业)概况，明确所承担管线探测的目的与作用。保证管线探测进度能按建设单位的要求进行。</w:t>
      </w:r>
    </w:p>
    <w:p w14:paraId="4BD54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2.2探测单位应委派专人负责外业办证工作、与地方各有关部门的协调工作（如占道勘探时应做好交通疏解，安全防护和各类办证手续），以保证外业工作的顺利。</w:t>
      </w:r>
    </w:p>
    <w:p w14:paraId="0E204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2.3在管线探测中，必须采取切实可靠的措施，确保地下管线、管道不因探测作业而遭到破坏。</w:t>
      </w:r>
    </w:p>
    <w:p w14:paraId="7E323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2.4探测单位严格落实建设单位的动土作业前审批制度。在管线保护范围内进行作业前必须经过审批同意，探测作业过程中请相应的管线单位有关人员进行现场监护。</w:t>
      </w:r>
    </w:p>
    <w:p w14:paraId="75588C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2.5工点施工服务期间，安排相关技术人员进行现场指导和监护。</w:t>
      </w:r>
    </w:p>
    <w:p w14:paraId="15621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3、提供成果要求</w:t>
      </w:r>
    </w:p>
    <w:p w14:paraId="16041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3.1地下综合管线探测成果报告及电子文档（采用Microsoft Word进行编制，保存为.DOC格式）。</w:t>
      </w:r>
    </w:p>
    <w:p w14:paraId="3F4D7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3.2管线探测点成果表及电子文档（采用 Microsoft Excel进行编制，保存为.xls 格式）。</w:t>
      </w:r>
    </w:p>
    <w:p w14:paraId="1158DA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4、管线探测成果验收要求</w:t>
      </w:r>
    </w:p>
    <w:p w14:paraId="7644F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管线探测单位应与设计单位（对照其收集掌握的资料）、管线产权、管理单位 确认管线探测成果的准确性，并根据设计、管线产权单位要求布置可视化化验证点，验证成果在提交正式成果时一并提交并归档于业主。</w:t>
      </w:r>
    </w:p>
    <w:p w14:paraId="024B4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5、采用的技术规范要求（规范如有更新，则适用最新规范）</w:t>
      </w:r>
    </w:p>
    <w:p w14:paraId="55E59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《城市地下管线探测技术规程》（CJJ61-2017）；</w:t>
      </w:r>
    </w:p>
    <w:p w14:paraId="6D6C8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《城市勘察物探规范》（CJJ7-2007）；</w:t>
      </w:r>
    </w:p>
    <w:p w14:paraId="26EA7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《城市测量规范》（CJJ/8-2011）；</w:t>
      </w:r>
    </w:p>
    <w:p w14:paraId="0FC39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《全球定位系统城市测量技术规程》CJJT73-2010；</w:t>
      </w:r>
    </w:p>
    <w:p w14:paraId="1C743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《1：500、1：1000、1：2000地形图图式》GB/T20257.1-2017。</w:t>
      </w:r>
    </w:p>
    <w:p w14:paraId="305B4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6、安全文明施工要求</w:t>
      </w:r>
    </w:p>
    <w:p w14:paraId="07789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承包人必须严格遵守安全、文明施工的操作规程，完善相关措施，做好自身的保险等工作。</w:t>
      </w:r>
    </w:p>
    <w:p w14:paraId="06BB6F60">
      <w:pPr>
        <w:keepNext w:val="0"/>
        <w:keepLines w:val="0"/>
        <w:pageBreakBefore w:val="0"/>
        <w:widowControl w:val="0"/>
        <w:numPr>
          <w:ilvl w:val="0"/>
          <w:numId w:val="0"/>
        </w:numPr>
        <w:kinsoku/>
        <w:wordWrap/>
        <w:overflowPunct/>
        <w:topLinePunct w:val="0"/>
        <w:autoSpaceDE w:val="0"/>
        <w:autoSpaceDN w:val="0"/>
        <w:bidi w:val="0"/>
        <w:adjustRightInd w:val="0"/>
        <w:snapToGrid/>
        <w:spacing w:before="0" w:line="360" w:lineRule="auto"/>
        <w:textAlignment w:val="auto"/>
        <w:rPr>
          <w:rFonts w:hint="default" w:ascii="Times New Roman" w:hAnsi="Times New Roman" w:eastAsia="宋体" w:cs="Times New Roman"/>
          <w:b/>
          <w:bCs w:val="0"/>
          <w:color w:val="auto"/>
          <w:kern w:val="2"/>
          <w:sz w:val="24"/>
          <w:szCs w:val="24"/>
          <w:lang w:val="en-US" w:eastAsia="zh-CN"/>
        </w:rPr>
      </w:pPr>
      <w:r>
        <w:rPr>
          <w:rFonts w:hint="eastAsia" w:ascii="仿宋" w:hAnsi="仿宋" w:eastAsia="仿宋" w:cs="仿宋"/>
          <w:b/>
          <w:bCs w:val="0"/>
          <w:snapToGrid w:val="0"/>
          <w:color w:val="auto"/>
          <w:kern w:val="2"/>
          <w:sz w:val="24"/>
          <w:szCs w:val="24"/>
          <w:highlight w:val="none"/>
          <w:lang w:val="en-US" w:eastAsia="zh-CN" w:bidi="ar"/>
        </w:rPr>
        <w:t>（四）</w:t>
      </w:r>
      <w:r>
        <w:rPr>
          <w:rFonts w:hint="default" w:ascii="仿宋" w:hAnsi="仿宋" w:eastAsia="仿宋" w:cs="仿宋"/>
          <w:b/>
          <w:bCs w:val="0"/>
          <w:snapToGrid w:val="0"/>
          <w:color w:val="auto"/>
          <w:kern w:val="2"/>
          <w:sz w:val="24"/>
          <w:szCs w:val="24"/>
          <w:highlight w:val="none"/>
          <w:lang w:val="en-US" w:eastAsia="zh-CN" w:bidi="ar"/>
        </w:rPr>
        <w:t>工期</w:t>
      </w:r>
      <w:r>
        <w:rPr>
          <w:rFonts w:hint="eastAsia" w:ascii="仿宋" w:hAnsi="仿宋" w:eastAsia="仿宋" w:cs="仿宋"/>
          <w:b/>
          <w:bCs w:val="0"/>
          <w:snapToGrid w:val="0"/>
          <w:color w:val="auto"/>
          <w:kern w:val="2"/>
          <w:sz w:val="24"/>
          <w:szCs w:val="24"/>
          <w:highlight w:val="none"/>
          <w:lang w:val="en-US" w:eastAsia="zh-CN" w:bidi="ar"/>
        </w:rPr>
        <w:t>要求</w:t>
      </w:r>
    </w:p>
    <w:p w14:paraId="41718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highlight w:val="none"/>
        </w:rPr>
      </w:pPr>
      <w:r>
        <w:rPr>
          <w:rFonts w:hint="default" w:ascii="仿宋" w:hAnsi="仿宋" w:eastAsia="仿宋" w:cs="宋体"/>
          <w:color w:val="auto"/>
          <w:sz w:val="24"/>
          <w:szCs w:val="24"/>
          <w:highlight w:val="none"/>
          <w:lang w:val="en-US" w:eastAsia="zh-CN"/>
        </w:rPr>
        <w:t>在接到建设单位任务后，8日历天完成报告（具体按</w:t>
      </w:r>
      <w:r>
        <w:rPr>
          <w:rFonts w:hint="eastAsia" w:ascii="仿宋" w:hAnsi="仿宋" w:eastAsia="仿宋" w:cs="宋体"/>
          <w:color w:val="auto"/>
          <w:sz w:val="24"/>
          <w:szCs w:val="24"/>
          <w:highlight w:val="none"/>
          <w:lang w:val="en-US" w:eastAsia="zh-CN"/>
        </w:rPr>
        <w:t>采购</w:t>
      </w:r>
      <w:r>
        <w:rPr>
          <w:rFonts w:hint="default" w:ascii="仿宋" w:hAnsi="仿宋" w:eastAsia="仿宋" w:cs="宋体"/>
          <w:color w:val="auto"/>
          <w:sz w:val="24"/>
          <w:szCs w:val="24"/>
          <w:highlight w:val="none"/>
          <w:lang w:val="en-US" w:eastAsia="zh-CN"/>
        </w:rPr>
        <w:t>人要求执行）。</w:t>
      </w:r>
    </w:p>
    <w:p w14:paraId="1504B5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kern w:val="2"/>
          <w:sz w:val="24"/>
          <w:szCs w:val="20"/>
          <w:highlight w:val="none"/>
          <w:lang w:val="en-US" w:eastAsia="zh-CN" w:bidi="ar-SA"/>
        </w:rPr>
      </w:pPr>
      <w:r>
        <w:rPr>
          <w:rFonts w:hint="eastAsia" w:ascii="仿宋" w:hAnsi="仿宋" w:eastAsia="仿宋" w:cs="仿宋"/>
          <w:b/>
          <w:bCs w:val="0"/>
          <w:snapToGrid w:val="0"/>
          <w:color w:val="auto"/>
          <w:kern w:val="2"/>
          <w:sz w:val="24"/>
          <w:szCs w:val="24"/>
          <w:highlight w:val="none"/>
          <w:lang w:val="en-US" w:eastAsia="zh-CN" w:bidi="ar"/>
        </w:rPr>
        <w:t>（五）</w:t>
      </w:r>
      <w:r>
        <w:rPr>
          <w:rFonts w:hint="eastAsia" w:ascii="仿宋" w:hAnsi="仿宋" w:eastAsia="仿宋" w:cs="仿宋"/>
          <w:b/>
          <w:bCs w:val="0"/>
          <w:color w:val="auto"/>
          <w:kern w:val="2"/>
          <w:sz w:val="24"/>
          <w:szCs w:val="20"/>
          <w:highlight w:val="none"/>
          <w:lang w:val="en-US" w:eastAsia="zh-CN" w:bidi="ar-SA"/>
        </w:rPr>
        <w:t>履约保证金及付款方式</w:t>
      </w:r>
    </w:p>
    <w:p w14:paraId="4E69CE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r>
        <w:rPr>
          <w:rFonts w:hint="eastAsia" w:ascii="仿宋" w:hAnsi="仿宋" w:eastAsia="仿宋" w:cs="仿宋"/>
          <w:color w:val="auto"/>
          <w:sz w:val="24"/>
          <w:highlight w:val="none"/>
          <w:lang w:val="en-US" w:eastAsia="zh-CN"/>
        </w:rPr>
        <w:t>项目实施前，</w:t>
      </w:r>
      <w:r>
        <w:rPr>
          <w:rFonts w:hint="eastAsia" w:ascii="仿宋" w:hAnsi="仿宋" w:eastAsia="仿宋" w:cs="仿宋"/>
          <w:color w:val="auto"/>
          <w:kern w:val="0"/>
          <w:sz w:val="24"/>
          <w:szCs w:val="24"/>
          <w:highlight w:val="none"/>
          <w:lang w:val="en-US" w:eastAsia="zh-CN" w:bidi="ar"/>
        </w:rPr>
        <w:t>中标人须向采购单位缴纳</w:t>
      </w:r>
      <w:r>
        <w:rPr>
          <w:rFonts w:hint="eastAsia" w:ascii="仿宋" w:hAnsi="仿宋" w:eastAsia="仿宋" w:cs="宋体"/>
          <w:color w:val="auto"/>
          <w:sz w:val="24"/>
          <w:szCs w:val="24"/>
          <w:highlight w:val="none"/>
          <w:lang w:val="en-US" w:eastAsia="zh-CN"/>
        </w:rPr>
        <w:t>合同</w:t>
      </w:r>
      <w:r>
        <w:rPr>
          <w:rFonts w:hint="eastAsia" w:ascii="仿宋" w:hAnsi="仿宋" w:eastAsia="仿宋" w:cs="宋体"/>
          <w:color w:val="auto"/>
          <w:sz w:val="24"/>
          <w:szCs w:val="24"/>
          <w:highlight w:val="none"/>
        </w:rPr>
        <w:t>金额的1%</w:t>
      </w:r>
      <w:r>
        <w:rPr>
          <w:rFonts w:hint="eastAsia" w:ascii="仿宋" w:hAnsi="仿宋" w:eastAsia="仿宋" w:cs="仿宋"/>
          <w:color w:val="auto"/>
          <w:kern w:val="0"/>
          <w:sz w:val="24"/>
          <w:szCs w:val="24"/>
          <w:highlight w:val="none"/>
          <w:lang w:val="en-US" w:eastAsia="zh-CN" w:bidi="ar"/>
        </w:rPr>
        <w:t>履约保证金（</w:t>
      </w:r>
      <w:r>
        <w:rPr>
          <w:rFonts w:hint="eastAsia" w:ascii="仿宋" w:hAnsi="仿宋" w:eastAsia="仿宋" w:cs="仿宋"/>
          <w:color w:val="auto"/>
          <w:sz w:val="24"/>
          <w:highlight w:val="none"/>
          <w:lang w:val="en-US" w:eastAsia="zh-CN"/>
        </w:rPr>
        <w:t>6000元），服务期满后</w:t>
      </w:r>
      <w:r>
        <w:rPr>
          <w:rFonts w:hint="eastAsia" w:ascii="仿宋" w:hAnsi="仿宋" w:eastAsia="仿宋" w:cs="仿宋"/>
          <w:color w:val="auto"/>
          <w:sz w:val="24"/>
          <w:szCs w:val="24"/>
          <w:highlight w:val="none"/>
          <w:lang w:val="en-US" w:eastAsia="zh-CN"/>
        </w:rPr>
        <w:t>30天内退回，不计息。</w:t>
      </w:r>
    </w:p>
    <w:p w14:paraId="765EF7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付款方式：</w:t>
      </w:r>
      <w:r>
        <w:rPr>
          <w:rFonts w:hint="eastAsia" w:ascii="仿宋" w:hAnsi="仿宋" w:eastAsia="仿宋" w:cs="仿宋"/>
          <w:color w:val="auto"/>
          <w:kern w:val="0"/>
          <w:sz w:val="24"/>
          <w:szCs w:val="24"/>
          <w:highlight w:val="none"/>
          <w:lang w:val="en-US" w:eastAsia="zh-CN" w:bidi="ar"/>
        </w:rPr>
        <w:t>中标人提交成果报告后15日内一次性支付全部费用（付款时中标人需提供符合采购人要求的增值税正规发票，经采购人审核通过后支付）。</w:t>
      </w:r>
    </w:p>
    <w:p w14:paraId="35F868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Times New Roman"/>
          <w:b/>
          <w:bCs/>
          <w:color w:val="auto"/>
          <w:sz w:val="24"/>
          <w:szCs w:val="24"/>
          <w:highlight w:val="none"/>
          <w:u w:val="none"/>
          <w:lang w:val="en-US" w:eastAsia="zh-CN"/>
        </w:rPr>
        <w:t>（六）</w:t>
      </w:r>
      <w:r>
        <w:rPr>
          <w:rFonts w:hint="eastAsia" w:ascii="仿宋" w:hAnsi="仿宋" w:eastAsia="仿宋" w:cs="仿宋"/>
          <w:b/>
          <w:color w:val="auto"/>
          <w:sz w:val="24"/>
          <w:szCs w:val="24"/>
          <w:highlight w:val="none"/>
          <w:lang w:val="en-US" w:eastAsia="zh-CN"/>
        </w:rPr>
        <w:t>最高限价</w:t>
      </w:r>
    </w:p>
    <w:p w14:paraId="0F044DF6">
      <w:pPr>
        <w:pStyle w:val="47"/>
        <w:keepNext w:val="0"/>
        <w:keepLines w:val="0"/>
        <w:pageBreakBefore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本次采购</w:t>
      </w:r>
      <w:r>
        <w:rPr>
          <w:rFonts w:hint="eastAsia" w:ascii="仿宋" w:hAnsi="仿宋" w:eastAsia="仿宋" w:cs="仿宋"/>
          <w:b/>
          <w:color w:val="auto"/>
          <w:sz w:val="24"/>
          <w:szCs w:val="24"/>
          <w:highlight w:val="none"/>
          <w:lang w:val="en-US" w:eastAsia="zh-CN"/>
        </w:rPr>
        <w:t>按折扣率进行报价，</w:t>
      </w:r>
      <w:r>
        <w:rPr>
          <w:rFonts w:hint="eastAsia" w:ascii="仿宋" w:hAnsi="仿宋" w:eastAsia="仿宋" w:cs="仿宋"/>
          <w:b/>
          <w:bCs/>
          <w:color w:val="auto"/>
          <w:sz w:val="24"/>
          <w:szCs w:val="24"/>
          <w:highlight w:val="none"/>
          <w:lang w:val="en-US" w:eastAsia="zh-CN"/>
        </w:rPr>
        <w:t>最高折扣率为80.00%，任何超过最高限价的报价将被认定为无效报价</w:t>
      </w:r>
      <w:r>
        <w:rPr>
          <w:rFonts w:hint="eastAsia" w:ascii="仿宋" w:hAnsi="仿宋" w:eastAsia="仿宋" w:cs="仿宋"/>
          <w:b/>
          <w:color w:val="auto"/>
          <w:sz w:val="24"/>
          <w:szCs w:val="24"/>
          <w:highlight w:val="none"/>
          <w:lang w:val="en-US" w:eastAsia="zh-CN"/>
        </w:rPr>
        <w:t>（报价包括履行本项目所有规定服务所产生的全部税金、利润和费用，投标人应充分考虑并将有关本项目实施所涉及的一切费用均计入报价）。</w:t>
      </w:r>
    </w:p>
    <w:p w14:paraId="09E88730">
      <w:pPr>
        <w:pStyle w:val="47"/>
        <w:keepNext w:val="0"/>
        <w:keepLines w:val="0"/>
        <w:pageBreakBefore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color w:val="auto"/>
          <w:sz w:val="24"/>
          <w:szCs w:val="24"/>
          <w:highlight w:val="none"/>
        </w:rPr>
        <w:t>最高合同</w:t>
      </w:r>
      <w:r>
        <w:rPr>
          <w:rFonts w:hint="eastAsia" w:ascii="仿宋" w:hAnsi="仿宋" w:eastAsia="仿宋" w:cs="仿宋"/>
          <w:b/>
          <w:bCs/>
          <w:color w:val="auto"/>
          <w:sz w:val="24"/>
          <w:szCs w:val="24"/>
          <w:highlight w:val="none"/>
          <w:lang w:val="en-US" w:eastAsia="zh-CN"/>
        </w:rPr>
        <w:t>结算</w:t>
      </w:r>
      <w:r>
        <w:rPr>
          <w:rFonts w:hint="eastAsia" w:ascii="仿宋" w:hAnsi="仿宋" w:eastAsia="仿宋" w:cs="仿宋"/>
          <w:b/>
          <w:bCs/>
          <w:color w:val="auto"/>
          <w:sz w:val="24"/>
          <w:szCs w:val="24"/>
          <w:highlight w:val="none"/>
        </w:rPr>
        <w:t>金额</w:t>
      </w:r>
      <w:r>
        <w:rPr>
          <w:rFonts w:hint="eastAsia" w:ascii="仿宋" w:hAnsi="仿宋" w:eastAsia="仿宋" w:cs="仿宋"/>
          <w:b/>
          <w:bCs/>
          <w:color w:val="auto"/>
          <w:sz w:val="24"/>
          <w:szCs w:val="24"/>
          <w:highlight w:val="none"/>
          <w:lang w:val="en-US" w:eastAsia="zh-CN"/>
        </w:rPr>
        <w:t>为</w:t>
      </w:r>
      <w:r>
        <w:rPr>
          <w:rFonts w:hint="eastAsia" w:ascii="仿宋" w:hAnsi="仿宋" w:eastAsia="仿宋" w:cs="仿宋"/>
          <w:b/>
          <w:bCs/>
          <w:color w:val="auto"/>
          <w:sz w:val="24"/>
          <w:highlight w:val="none"/>
          <w:u w:val="single"/>
        </w:rPr>
        <w:t>人民币</w:t>
      </w:r>
      <w:r>
        <w:rPr>
          <w:rFonts w:hint="eastAsia" w:ascii="仿宋" w:hAnsi="仿宋" w:eastAsia="仿宋" w:cs="仿宋"/>
          <w:b/>
          <w:bCs/>
          <w:color w:val="auto"/>
          <w:sz w:val="24"/>
          <w:highlight w:val="none"/>
          <w:u w:val="single"/>
          <w:lang w:val="en-US" w:eastAsia="zh-CN"/>
        </w:rPr>
        <w:t>陆拾万</w:t>
      </w:r>
      <w:r>
        <w:rPr>
          <w:rFonts w:hint="eastAsia" w:ascii="仿宋" w:hAnsi="仿宋" w:eastAsia="仿宋" w:cs="仿宋"/>
          <w:b/>
          <w:bCs/>
          <w:color w:val="auto"/>
          <w:sz w:val="24"/>
          <w:highlight w:val="none"/>
          <w:u w:val="single"/>
        </w:rPr>
        <w:t>元整（¥</w:t>
      </w:r>
      <w:r>
        <w:rPr>
          <w:rFonts w:hint="eastAsia" w:ascii="仿宋" w:hAnsi="仿宋" w:eastAsia="仿宋" w:cs="仿宋"/>
          <w:b/>
          <w:bCs/>
          <w:color w:val="auto"/>
          <w:sz w:val="24"/>
          <w:highlight w:val="none"/>
          <w:u w:val="single"/>
          <w:lang w:val="en-US" w:eastAsia="zh-CN"/>
        </w:rPr>
        <w:t>600000</w:t>
      </w:r>
      <w:r>
        <w:rPr>
          <w:rFonts w:hint="eastAsia" w:ascii="仿宋" w:hAnsi="仿宋" w:eastAsia="仿宋" w:cs="仿宋"/>
          <w:b/>
          <w:bCs/>
          <w:color w:val="auto"/>
          <w:sz w:val="24"/>
          <w:highlight w:val="none"/>
          <w:u w:val="single"/>
        </w:rPr>
        <w:t>.00）</w:t>
      </w:r>
      <w:r>
        <w:rPr>
          <w:rFonts w:hint="eastAsia" w:ascii="仿宋" w:hAnsi="仿宋" w:eastAsia="仿宋" w:cs="仿宋"/>
          <w:b/>
          <w:bCs/>
          <w:color w:val="auto"/>
          <w:sz w:val="24"/>
          <w:highlight w:val="none"/>
          <w:lang w:eastAsia="zh-CN"/>
        </w:rPr>
        <w:t>。</w:t>
      </w:r>
    </w:p>
    <w:p w14:paraId="28BE512C">
      <w:pPr>
        <w:snapToGrid w:val="0"/>
        <w:spacing w:line="360" w:lineRule="auto"/>
        <w:jc w:val="center"/>
        <w:textAlignment w:val="bottom"/>
        <w:rPr>
          <w:rFonts w:hint="eastAsia" w:ascii="仿宋" w:hAnsi="仿宋" w:eastAsia="仿宋" w:cs="仿宋"/>
          <w:b/>
          <w:bCs/>
          <w:color w:val="auto"/>
          <w:sz w:val="36"/>
          <w:szCs w:val="36"/>
          <w:highlight w:val="none"/>
        </w:rPr>
      </w:pPr>
    </w:p>
    <w:p w14:paraId="3825CB48">
      <w:pPr>
        <w:pStyle w:val="46"/>
        <w:rPr>
          <w:rFonts w:hint="eastAsia" w:ascii="仿宋" w:hAnsi="仿宋" w:eastAsia="仿宋" w:cs="仿宋"/>
          <w:b/>
          <w:bCs/>
          <w:color w:val="auto"/>
          <w:sz w:val="36"/>
          <w:szCs w:val="36"/>
          <w:highlight w:val="none"/>
        </w:rPr>
      </w:pPr>
    </w:p>
    <w:p w14:paraId="28E6D2D8">
      <w:pPr>
        <w:pStyle w:val="46"/>
        <w:rPr>
          <w:rFonts w:hint="eastAsia" w:ascii="仿宋" w:hAnsi="仿宋" w:eastAsia="仿宋" w:cs="仿宋"/>
          <w:b/>
          <w:bCs/>
          <w:color w:val="auto"/>
          <w:sz w:val="36"/>
          <w:szCs w:val="36"/>
          <w:highlight w:val="none"/>
        </w:rPr>
      </w:pPr>
    </w:p>
    <w:p w14:paraId="625D57FF">
      <w:pPr>
        <w:pStyle w:val="46"/>
        <w:rPr>
          <w:rFonts w:hint="eastAsia" w:ascii="仿宋" w:hAnsi="仿宋" w:eastAsia="仿宋" w:cs="仿宋"/>
          <w:b/>
          <w:bCs/>
          <w:color w:val="auto"/>
          <w:sz w:val="36"/>
          <w:szCs w:val="36"/>
          <w:highlight w:val="none"/>
        </w:rPr>
      </w:pPr>
    </w:p>
    <w:p w14:paraId="2C770F83">
      <w:pPr>
        <w:pStyle w:val="46"/>
        <w:rPr>
          <w:rFonts w:hint="eastAsia" w:ascii="仿宋" w:hAnsi="仿宋" w:eastAsia="仿宋" w:cs="仿宋"/>
          <w:b/>
          <w:bCs/>
          <w:color w:val="auto"/>
          <w:sz w:val="36"/>
          <w:szCs w:val="36"/>
          <w:highlight w:val="none"/>
        </w:rPr>
      </w:pPr>
    </w:p>
    <w:p w14:paraId="28975682">
      <w:pPr>
        <w:pStyle w:val="46"/>
        <w:rPr>
          <w:rFonts w:hint="eastAsia" w:ascii="仿宋" w:hAnsi="仿宋" w:eastAsia="仿宋" w:cs="仿宋"/>
          <w:b/>
          <w:bCs/>
          <w:color w:val="auto"/>
          <w:sz w:val="36"/>
          <w:szCs w:val="36"/>
          <w:highlight w:val="none"/>
        </w:rPr>
      </w:pPr>
    </w:p>
    <w:p w14:paraId="1A9516B6">
      <w:pPr>
        <w:pStyle w:val="46"/>
        <w:rPr>
          <w:rFonts w:hint="eastAsia" w:ascii="仿宋" w:hAnsi="仿宋" w:eastAsia="仿宋" w:cs="仿宋"/>
          <w:b/>
          <w:bCs/>
          <w:color w:val="auto"/>
          <w:sz w:val="36"/>
          <w:szCs w:val="36"/>
          <w:highlight w:val="none"/>
        </w:rPr>
      </w:pPr>
    </w:p>
    <w:p w14:paraId="6F4ED9CC">
      <w:pPr>
        <w:pStyle w:val="46"/>
        <w:rPr>
          <w:rFonts w:hint="eastAsia" w:ascii="仿宋" w:hAnsi="仿宋" w:eastAsia="仿宋" w:cs="仿宋"/>
          <w:b/>
          <w:bCs/>
          <w:color w:val="auto"/>
          <w:sz w:val="36"/>
          <w:szCs w:val="36"/>
          <w:highlight w:val="none"/>
        </w:rPr>
      </w:pPr>
    </w:p>
    <w:p w14:paraId="5128CAD5">
      <w:pPr>
        <w:pStyle w:val="46"/>
        <w:rPr>
          <w:rFonts w:hint="eastAsia" w:ascii="仿宋" w:hAnsi="仿宋" w:eastAsia="仿宋" w:cs="仿宋"/>
          <w:b/>
          <w:bCs/>
          <w:color w:val="auto"/>
          <w:sz w:val="36"/>
          <w:szCs w:val="36"/>
          <w:highlight w:val="none"/>
        </w:rPr>
      </w:pPr>
    </w:p>
    <w:p w14:paraId="7BE8848C">
      <w:pPr>
        <w:snapToGrid w:val="0"/>
        <w:spacing w:line="360" w:lineRule="auto"/>
        <w:jc w:val="center"/>
        <w:textAlignment w:val="bottom"/>
        <w:rPr>
          <w:rFonts w:hint="default" w:ascii="仿宋" w:hAnsi="仿宋" w:eastAsia="仿宋" w:cs="仿宋"/>
          <w:b/>
          <w:color w:val="auto"/>
          <w:sz w:val="36"/>
          <w:szCs w:val="36"/>
          <w:highlight w:val="none"/>
          <w:lang w:val="en-US" w:eastAsia="zh-CN"/>
        </w:rPr>
      </w:pPr>
      <w:r>
        <w:rPr>
          <w:rFonts w:hint="eastAsia" w:ascii="仿宋" w:hAnsi="仿宋" w:eastAsia="仿宋" w:cs="仿宋"/>
          <w:b/>
          <w:bCs/>
          <w:color w:val="auto"/>
          <w:sz w:val="36"/>
          <w:szCs w:val="36"/>
          <w:highlight w:val="none"/>
        </w:rPr>
        <w:t xml:space="preserve">第五章  </w:t>
      </w:r>
      <w:r>
        <w:rPr>
          <w:rFonts w:hint="eastAsia" w:ascii="仿宋" w:hAnsi="仿宋" w:eastAsia="仿宋" w:cs="仿宋"/>
          <w:b/>
          <w:bCs/>
          <w:color w:val="auto"/>
          <w:sz w:val="36"/>
          <w:szCs w:val="36"/>
          <w:highlight w:val="none"/>
          <w:lang w:val="en-US" w:eastAsia="zh-CN"/>
        </w:rPr>
        <w:t>采购</w:t>
      </w:r>
      <w:r>
        <w:rPr>
          <w:rFonts w:hint="eastAsia" w:ascii="仿宋" w:hAnsi="仿宋" w:eastAsia="仿宋" w:cs="仿宋"/>
          <w:b/>
          <w:bCs/>
          <w:color w:val="auto"/>
          <w:sz w:val="36"/>
          <w:szCs w:val="36"/>
          <w:highlight w:val="none"/>
        </w:rPr>
        <w:t>合同</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通用条款）</w:t>
      </w:r>
    </w:p>
    <w:p w14:paraId="3BEDB5FF">
      <w:pPr>
        <w:ind w:firstLine="300" w:firstLineChars="100"/>
        <w:rPr>
          <w:rFonts w:hint="eastAsia" w:ascii="仿宋" w:hAnsi="仿宋" w:eastAsia="仿宋" w:cs="仿宋"/>
          <w:sz w:val="30"/>
          <w:szCs w:val="30"/>
        </w:rPr>
      </w:pPr>
    </w:p>
    <w:p w14:paraId="54F38B8D">
      <w:pPr>
        <w:ind w:firstLine="300" w:firstLineChars="100"/>
        <w:rPr>
          <w:rFonts w:hint="eastAsia" w:ascii="仿宋" w:hAnsi="仿宋" w:eastAsia="仿宋" w:cs="仿宋"/>
          <w:sz w:val="30"/>
          <w:szCs w:val="30"/>
          <w:u w:val="single"/>
        </w:rPr>
      </w:pPr>
      <w:r>
        <w:rPr>
          <w:rFonts w:hint="eastAsia" w:ascii="仿宋" w:hAnsi="仿宋" w:eastAsia="仿宋" w:cs="仿宋"/>
          <w:sz w:val="30"/>
          <w:szCs w:val="30"/>
        </w:rPr>
        <w:t>合同编号：</w:t>
      </w:r>
      <w:r>
        <w:rPr>
          <w:rFonts w:hint="eastAsia" w:ascii="仿宋" w:hAnsi="仿宋" w:eastAsia="仿宋" w:cs="仿宋"/>
          <w:sz w:val="30"/>
          <w:szCs w:val="30"/>
          <w:u w:val="single"/>
        </w:rPr>
        <w:t xml:space="preserve">           </w:t>
      </w:r>
    </w:p>
    <w:p w14:paraId="4FDD79C6">
      <w:pPr>
        <w:spacing w:line="480" w:lineRule="auto"/>
        <w:jc w:val="both"/>
        <w:rPr>
          <w:rFonts w:hint="eastAsia" w:ascii="仿宋" w:hAnsi="仿宋" w:eastAsia="仿宋" w:cs="仿宋"/>
          <w:b/>
          <w:sz w:val="30"/>
          <w:szCs w:val="30"/>
        </w:rPr>
      </w:pPr>
    </w:p>
    <w:p w14:paraId="2AF81288">
      <w:pPr>
        <w:pStyle w:val="10"/>
        <w:rPr>
          <w:rFonts w:hint="eastAsia" w:ascii="仿宋" w:hAnsi="仿宋" w:eastAsia="仿宋" w:cs="仿宋"/>
          <w:sz w:val="30"/>
          <w:szCs w:val="30"/>
        </w:rPr>
      </w:pPr>
    </w:p>
    <w:p w14:paraId="627AB82D">
      <w:pPr>
        <w:pStyle w:val="44"/>
        <w:ind w:left="0" w:leftChars="0" w:firstLine="0" w:firstLineChars="0"/>
        <w:jc w:val="center"/>
        <w:rPr>
          <w:rFonts w:hint="eastAsia" w:ascii="仿宋" w:hAnsi="仿宋" w:eastAsia="仿宋" w:cs="仿宋"/>
          <w:b/>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通用合同书</w:t>
      </w:r>
    </w:p>
    <w:p w14:paraId="6755C6EF">
      <w:pPr>
        <w:pStyle w:val="7"/>
        <w:ind w:left="0" w:leftChars="0" w:firstLine="0" w:firstLineChars="0"/>
        <w:rPr>
          <w:rFonts w:hint="eastAsia" w:ascii="仿宋" w:hAnsi="仿宋" w:eastAsia="仿宋" w:cs="仿宋"/>
          <w:sz w:val="30"/>
          <w:szCs w:val="30"/>
        </w:rPr>
      </w:pPr>
    </w:p>
    <w:p w14:paraId="091A6BD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600" w:firstLineChars="200"/>
        <w:textAlignment w:val="auto"/>
        <w:rPr>
          <w:rFonts w:hint="eastAsia" w:ascii="仿宋" w:hAnsi="仿宋" w:eastAsia="仿宋" w:cs="仿宋"/>
          <w:sz w:val="30"/>
          <w:szCs w:val="30"/>
          <w:u w:val="single"/>
        </w:rPr>
      </w:pPr>
      <w:r>
        <w:rPr>
          <w:rFonts w:hint="eastAsia" w:ascii="仿宋" w:hAnsi="仿宋" w:eastAsia="仿宋" w:cs="仿宋"/>
          <w:sz w:val="30"/>
          <w:szCs w:val="30"/>
        </w:rPr>
        <w:t>项目名称：</w:t>
      </w:r>
      <w:r>
        <w:rPr>
          <w:rFonts w:hint="eastAsia" w:ascii="仿宋" w:hAnsi="仿宋" w:eastAsia="仿宋" w:cs="仿宋"/>
          <w:sz w:val="30"/>
          <w:szCs w:val="30"/>
          <w:u w:val="single"/>
        </w:rPr>
        <w:t xml:space="preserve">                                   </w:t>
      </w:r>
    </w:p>
    <w:p w14:paraId="55160679">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600" w:firstLineChars="200"/>
        <w:textAlignment w:val="auto"/>
        <w:rPr>
          <w:rFonts w:hint="eastAsia" w:ascii="仿宋" w:hAnsi="仿宋" w:eastAsia="仿宋" w:cs="仿宋"/>
          <w:sz w:val="30"/>
          <w:szCs w:val="30"/>
          <w:u w:val="single"/>
        </w:rPr>
      </w:pPr>
      <w:r>
        <w:rPr>
          <w:rFonts w:hint="eastAsia" w:ascii="仿宋" w:hAnsi="仿宋" w:eastAsia="仿宋" w:cs="仿宋"/>
          <w:sz w:val="30"/>
          <w:szCs w:val="30"/>
        </w:rPr>
        <w:t>甲方：</w:t>
      </w:r>
      <w:r>
        <w:rPr>
          <w:rFonts w:hint="eastAsia" w:ascii="仿宋" w:hAnsi="仿宋" w:eastAsia="仿宋" w:cs="仿宋"/>
          <w:sz w:val="30"/>
          <w:szCs w:val="30"/>
          <w:u w:val="single"/>
        </w:rPr>
        <w:t xml:space="preserve">                                       </w:t>
      </w:r>
    </w:p>
    <w:p w14:paraId="0C2B4DA7">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600" w:firstLineChars="200"/>
        <w:textAlignment w:val="auto"/>
        <w:rPr>
          <w:rFonts w:hint="eastAsia" w:ascii="仿宋" w:hAnsi="仿宋" w:eastAsia="仿宋" w:cs="仿宋"/>
          <w:sz w:val="30"/>
          <w:szCs w:val="30"/>
          <w:u w:val="single"/>
        </w:rPr>
      </w:pPr>
      <w:r>
        <w:rPr>
          <w:rFonts w:hint="eastAsia" w:ascii="仿宋" w:hAnsi="仿宋" w:eastAsia="仿宋" w:cs="仿宋"/>
          <w:sz w:val="30"/>
          <w:szCs w:val="30"/>
        </w:rPr>
        <w:t>乙方：</w:t>
      </w:r>
      <w:r>
        <w:rPr>
          <w:rFonts w:hint="eastAsia" w:ascii="仿宋" w:hAnsi="仿宋" w:eastAsia="仿宋" w:cs="仿宋"/>
          <w:sz w:val="30"/>
          <w:szCs w:val="30"/>
          <w:u w:val="single"/>
        </w:rPr>
        <w:t xml:space="preserve">                                       </w:t>
      </w:r>
    </w:p>
    <w:p w14:paraId="27285B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600" w:firstLineChars="200"/>
        <w:textAlignment w:val="auto"/>
        <w:rPr>
          <w:rFonts w:hint="eastAsia" w:ascii="仿宋" w:hAnsi="仿宋" w:eastAsia="仿宋" w:cs="仿宋"/>
          <w:sz w:val="30"/>
          <w:szCs w:val="30"/>
          <w:u w:val="single"/>
        </w:rPr>
      </w:pPr>
      <w:r>
        <w:rPr>
          <w:rFonts w:hint="eastAsia" w:ascii="仿宋" w:hAnsi="仿宋" w:eastAsia="仿宋" w:cs="仿宋"/>
          <w:sz w:val="30"/>
          <w:szCs w:val="30"/>
        </w:rPr>
        <w:t>签订地：</w:t>
      </w:r>
      <w:r>
        <w:rPr>
          <w:rFonts w:hint="eastAsia" w:ascii="仿宋" w:hAnsi="仿宋" w:eastAsia="仿宋" w:cs="仿宋"/>
          <w:sz w:val="30"/>
          <w:szCs w:val="30"/>
          <w:u w:val="single"/>
        </w:rPr>
        <w:t xml:space="preserve">                                     </w:t>
      </w:r>
    </w:p>
    <w:p w14:paraId="44BBF027">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600" w:firstLineChars="200"/>
        <w:textAlignment w:val="auto"/>
        <w:rPr>
          <w:rFonts w:hint="eastAsia" w:ascii="仿宋" w:hAnsi="仿宋" w:eastAsia="仿宋" w:cs="仿宋"/>
          <w:sz w:val="30"/>
          <w:szCs w:val="30"/>
        </w:rPr>
        <w:sectPr>
          <w:footerReference r:id="rId10" w:type="first"/>
          <w:footerReference r:id="rId9" w:type="default"/>
          <w:pgSz w:w="11906" w:h="16838"/>
          <w:pgMar w:top="1417" w:right="1417" w:bottom="1417" w:left="1417" w:header="567" w:footer="850" w:gutter="0"/>
          <w:pgBorders>
            <w:top w:val="none" w:sz="0" w:space="0"/>
            <w:left w:val="none" w:sz="0" w:space="0"/>
            <w:bottom w:val="none" w:sz="0" w:space="0"/>
            <w:right w:val="none" w:sz="0" w:space="0"/>
          </w:pgBorders>
          <w:pgNumType w:fmt="decimal"/>
          <w:cols w:space="0" w:num="1"/>
          <w:titlePg/>
          <w:rtlGutter w:val="0"/>
          <w:docGrid w:type="lines" w:linePitch="318" w:charSpace="0"/>
        </w:sectPr>
      </w:pPr>
      <w:r>
        <w:rPr>
          <w:rFonts w:hint="eastAsia" w:ascii="仿宋" w:hAnsi="仿宋" w:eastAsia="仿宋" w:cs="仿宋"/>
          <w:sz w:val="30"/>
          <w:szCs w:val="30"/>
        </w:rPr>
        <w:t>签订日期：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4DF2551E">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C34A2B7">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5FC5E08">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s="仿宋"/>
          <w:color w:val="auto"/>
          <w:sz w:val="24"/>
          <w:szCs w:val="24"/>
        </w:rPr>
        <w:t>根据《中华人民共和国民法典》等有关规定，以及诸暨市浣江工程咨询有限公司招标文件（编号：诸浣江20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号）相关要求，</w:t>
      </w:r>
      <w:r>
        <w:rPr>
          <w:rFonts w:hint="eastAsia" w:ascii="仿宋" w:hAnsi="仿宋" w:eastAsia="仿宋"/>
          <w:color w:val="auto"/>
          <w:sz w:val="24"/>
          <w:lang w:val="zh-CN"/>
        </w:rPr>
        <w:t>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 xml:space="preserve"> （采购单位）</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（中标供应商名称）</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14:paraId="5D3A9037">
      <w:pPr>
        <w:keepNext w:val="0"/>
        <w:keepLines w:val="0"/>
        <w:pageBreakBefore w:val="0"/>
        <w:widowControl w:val="0"/>
        <w:kinsoku/>
        <w:wordWrap/>
        <w:overflowPunct/>
        <w:topLinePunct w:val="0"/>
        <w:bidi w:val="0"/>
        <w:snapToGrid w:val="0"/>
        <w:spacing w:line="360" w:lineRule="auto"/>
        <w:ind w:firstLine="482" w:firstLineChars="200"/>
        <w:textAlignment w:val="auto"/>
        <w:rPr>
          <w:rFonts w:ascii="仿宋" w:hAnsi="仿宋" w:eastAsia="仿宋"/>
          <w:b/>
          <w:color w:val="auto"/>
          <w:sz w:val="24"/>
        </w:rPr>
      </w:pPr>
      <w:bookmarkStart w:id="19" w:name="_Toc24059"/>
      <w:bookmarkStart w:id="20" w:name="_Toc2232"/>
      <w:bookmarkStart w:id="21" w:name="_Toc19420"/>
      <w:bookmarkStart w:id="22" w:name="_Toc3029"/>
      <w:r>
        <w:rPr>
          <w:rFonts w:hint="eastAsia" w:ascii="仿宋" w:hAnsi="仿宋" w:eastAsia="仿宋"/>
          <w:b/>
          <w:color w:val="auto"/>
          <w:sz w:val="24"/>
        </w:rPr>
        <w:t>一、合同组成部分</w:t>
      </w:r>
      <w:bookmarkEnd w:id="19"/>
      <w:bookmarkEnd w:id="20"/>
      <w:bookmarkEnd w:id="21"/>
      <w:bookmarkEnd w:id="22"/>
    </w:p>
    <w:p w14:paraId="575FE09E">
      <w:pPr>
        <w:keepNext w:val="0"/>
        <w:keepLines w:val="0"/>
        <w:pageBreakBefore w:val="0"/>
        <w:widowControl w:val="0"/>
        <w:kinsoku/>
        <w:wordWrap/>
        <w:overflowPunct/>
        <w:topLinePunct w:val="0"/>
        <w:bidi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下列文件为本合同的组成部分，并构成一个整体，需综合解释、相互补充。下列文件内容出现不一致的情形，在保证按照采购文件确定的事项的前提下，组成本合同的多个文件的优先适用顺序如下：</w:t>
      </w:r>
    </w:p>
    <w:p w14:paraId="6A02E8BC">
      <w:pPr>
        <w:keepNext w:val="0"/>
        <w:keepLines w:val="0"/>
        <w:pageBreakBefore w:val="0"/>
        <w:widowControl w:val="0"/>
        <w:kinsoku/>
        <w:wordWrap/>
        <w:overflowPunct/>
        <w:topLinePunct w:val="0"/>
        <w:bidi w:val="0"/>
        <w:snapToGrid w:val="0"/>
        <w:spacing w:line="360" w:lineRule="auto"/>
        <w:ind w:firstLine="482" w:firstLineChars="200"/>
        <w:textAlignment w:val="auto"/>
        <w:rPr>
          <w:rFonts w:ascii="仿宋" w:hAnsi="仿宋" w:eastAsia="仿宋"/>
          <w:color w:val="auto"/>
          <w:sz w:val="24"/>
        </w:rPr>
      </w:pPr>
      <w:r>
        <w:rPr>
          <w:rFonts w:ascii="仿宋" w:hAnsi="仿宋" w:eastAsia="仿宋"/>
          <w:b/>
          <w:bCs/>
          <w:color w:val="auto"/>
          <w:sz w:val="24"/>
        </w:rPr>
        <w:t>1</w:t>
      </w:r>
      <w:r>
        <w:rPr>
          <w:rFonts w:hint="eastAsia" w:ascii="仿宋" w:hAnsi="仿宋" w:eastAsia="仿宋"/>
          <w:b/>
          <w:bCs/>
          <w:color w:val="auto"/>
          <w:sz w:val="24"/>
        </w:rPr>
        <w:t>.</w:t>
      </w:r>
      <w:r>
        <w:rPr>
          <w:rFonts w:hint="eastAsia" w:ascii="仿宋" w:hAnsi="仿宋" w:eastAsia="仿宋"/>
          <w:color w:val="auto"/>
          <w:sz w:val="24"/>
        </w:rPr>
        <w:t>本合同及其补充合同、变更协议；</w:t>
      </w:r>
    </w:p>
    <w:p w14:paraId="339405D2">
      <w:pPr>
        <w:keepNext w:val="0"/>
        <w:keepLines w:val="0"/>
        <w:pageBreakBefore w:val="0"/>
        <w:widowControl w:val="0"/>
        <w:kinsoku/>
        <w:wordWrap/>
        <w:overflowPunct/>
        <w:topLinePunct w:val="0"/>
        <w:bidi w:val="0"/>
        <w:snapToGrid w:val="0"/>
        <w:spacing w:line="360" w:lineRule="auto"/>
        <w:ind w:firstLine="482" w:firstLineChars="200"/>
        <w:textAlignment w:val="auto"/>
        <w:rPr>
          <w:rFonts w:ascii="仿宋" w:hAnsi="仿宋" w:eastAsia="仿宋"/>
          <w:color w:val="auto"/>
          <w:sz w:val="24"/>
        </w:rPr>
      </w:pPr>
      <w:r>
        <w:rPr>
          <w:rFonts w:hint="eastAsia" w:ascii="仿宋" w:hAnsi="仿宋" w:eastAsia="仿宋"/>
          <w:b/>
          <w:bCs/>
          <w:color w:val="auto"/>
          <w:sz w:val="24"/>
        </w:rPr>
        <w:t>2.</w:t>
      </w:r>
      <w:r>
        <w:rPr>
          <w:rFonts w:hint="eastAsia" w:ascii="仿宋" w:hAnsi="仿宋" w:eastAsia="仿宋"/>
          <w:color w:val="auto"/>
          <w:sz w:val="24"/>
        </w:rPr>
        <w:t>中标通知书；</w:t>
      </w:r>
    </w:p>
    <w:p w14:paraId="5C942C15">
      <w:pPr>
        <w:keepNext w:val="0"/>
        <w:keepLines w:val="0"/>
        <w:pageBreakBefore w:val="0"/>
        <w:widowControl w:val="0"/>
        <w:kinsoku/>
        <w:wordWrap/>
        <w:overflowPunct/>
        <w:topLinePunct w:val="0"/>
        <w:bidi w:val="0"/>
        <w:snapToGrid w:val="0"/>
        <w:spacing w:line="360" w:lineRule="auto"/>
        <w:ind w:firstLine="482" w:firstLineChars="200"/>
        <w:textAlignment w:val="auto"/>
        <w:rPr>
          <w:rFonts w:ascii="仿宋" w:hAnsi="仿宋" w:eastAsia="仿宋"/>
          <w:color w:val="auto"/>
          <w:sz w:val="24"/>
        </w:rPr>
      </w:pPr>
      <w:r>
        <w:rPr>
          <w:rFonts w:ascii="仿宋" w:hAnsi="仿宋" w:eastAsia="仿宋"/>
          <w:b/>
          <w:bCs/>
          <w:color w:val="auto"/>
          <w:sz w:val="24"/>
        </w:rPr>
        <w:t>3</w:t>
      </w:r>
      <w:r>
        <w:rPr>
          <w:rFonts w:hint="eastAsia" w:ascii="仿宋" w:hAnsi="仿宋" w:eastAsia="仿宋"/>
          <w:b/>
          <w:bCs/>
          <w:color w:val="auto"/>
          <w:sz w:val="24"/>
        </w:rPr>
        <w:t>.</w:t>
      </w:r>
      <w:r>
        <w:rPr>
          <w:rFonts w:hint="eastAsia" w:ascii="仿宋" w:hAnsi="仿宋" w:eastAsia="仿宋"/>
          <w:color w:val="auto"/>
          <w:sz w:val="24"/>
        </w:rPr>
        <w:t>投标文件（含澄清或者说明文件）；</w:t>
      </w:r>
    </w:p>
    <w:p w14:paraId="3E7DA526">
      <w:pPr>
        <w:keepNext w:val="0"/>
        <w:keepLines w:val="0"/>
        <w:pageBreakBefore w:val="0"/>
        <w:widowControl w:val="0"/>
        <w:kinsoku/>
        <w:wordWrap/>
        <w:overflowPunct/>
        <w:topLinePunct w:val="0"/>
        <w:bidi w:val="0"/>
        <w:snapToGrid w:val="0"/>
        <w:spacing w:line="360" w:lineRule="auto"/>
        <w:ind w:firstLine="482" w:firstLineChars="200"/>
        <w:textAlignment w:val="auto"/>
        <w:rPr>
          <w:rFonts w:ascii="仿宋" w:hAnsi="仿宋" w:eastAsia="仿宋"/>
          <w:color w:val="auto"/>
          <w:sz w:val="24"/>
        </w:rPr>
      </w:pPr>
      <w:r>
        <w:rPr>
          <w:rFonts w:ascii="仿宋" w:hAnsi="仿宋" w:eastAsia="仿宋"/>
          <w:b/>
          <w:bCs/>
          <w:color w:val="auto"/>
          <w:sz w:val="24"/>
        </w:rPr>
        <w:t>4</w:t>
      </w:r>
      <w:r>
        <w:rPr>
          <w:rFonts w:hint="eastAsia" w:ascii="仿宋" w:hAnsi="仿宋" w:eastAsia="仿宋"/>
          <w:b/>
          <w:bCs/>
          <w:color w:val="auto"/>
          <w:sz w:val="24"/>
        </w:rPr>
        <w:t>.</w:t>
      </w:r>
      <w:r>
        <w:rPr>
          <w:rFonts w:hint="eastAsia" w:ascii="仿宋" w:hAnsi="仿宋" w:eastAsia="仿宋"/>
          <w:color w:val="auto"/>
          <w:sz w:val="24"/>
        </w:rPr>
        <w:t>招标文件（含澄清或者修改文件）；</w:t>
      </w:r>
    </w:p>
    <w:p w14:paraId="6E13D125">
      <w:pPr>
        <w:keepNext w:val="0"/>
        <w:keepLines w:val="0"/>
        <w:pageBreakBefore w:val="0"/>
        <w:widowControl w:val="0"/>
        <w:kinsoku/>
        <w:wordWrap/>
        <w:overflowPunct/>
        <w:topLinePunct w:val="0"/>
        <w:bidi w:val="0"/>
        <w:snapToGrid w:val="0"/>
        <w:spacing w:line="360" w:lineRule="auto"/>
        <w:ind w:firstLine="482" w:firstLineChars="200"/>
        <w:textAlignment w:val="auto"/>
        <w:rPr>
          <w:rFonts w:ascii="仿宋" w:hAnsi="仿宋" w:eastAsia="仿宋"/>
          <w:color w:val="auto"/>
          <w:sz w:val="24"/>
        </w:rPr>
      </w:pPr>
      <w:r>
        <w:rPr>
          <w:rFonts w:ascii="仿宋" w:hAnsi="仿宋" w:eastAsia="仿宋"/>
          <w:b/>
          <w:bCs/>
          <w:color w:val="auto"/>
          <w:sz w:val="24"/>
        </w:rPr>
        <w:t>5</w:t>
      </w:r>
      <w:r>
        <w:rPr>
          <w:rFonts w:hint="eastAsia" w:ascii="仿宋" w:hAnsi="仿宋" w:eastAsia="仿宋"/>
          <w:b/>
          <w:bCs/>
          <w:color w:val="auto"/>
          <w:sz w:val="24"/>
        </w:rPr>
        <w:t>.</w:t>
      </w:r>
      <w:r>
        <w:rPr>
          <w:rFonts w:hint="eastAsia" w:ascii="仿宋" w:hAnsi="仿宋" w:eastAsia="仿宋"/>
          <w:color w:val="auto"/>
          <w:sz w:val="24"/>
        </w:rPr>
        <w:t>其他相关采购文件。</w:t>
      </w:r>
    </w:p>
    <w:p w14:paraId="5CF68FE1">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二、合同标的物</w:t>
      </w:r>
    </w:p>
    <w:tbl>
      <w:tblPr>
        <w:tblStyle w:val="2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A5F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center"/>
          </w:tcPr>
          <w:p w14:paraId="350FED26">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3960" w:type="dxa"/>
            <w:noWrap w:val="0"/>
            <w:vAlign w:val="center"/>
          </w:tcPr>
          <w:p w14:paraId="607C4F7D">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1080" w:type="dxa"/>
            <w:noWrap w:val="0"/>
            <w:vAlign w:val="center"/>
          </w:tcPr>
          <w:p w14:paraId="3B9C1572">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260" w:type="dxa"/>
            <w:noWrap w:val="0"/>
            <w:vAlign w:val="center"/>
          </w:tcPr>
          <w:p w14:paraId="457DBD29">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noWrap w:val="0"/>
            <w:vAlign w:val="center"/>
          </w:tcPr>
          <w:p w14:paraId="69FBF867">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54C9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3A5158F2">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3960" w:type="dxa"/>
            <w:noWrap w:val="0"/>
            <w:vAlign w:val="top"/>
          </w:tcPr>
          <w:p w14:paraId="2806116B">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080" w:type="dxa"/>
            <w:noWrap w:val="0"/>
            <w:vAlign w:val="top"/>
          </w:tcPr>
          <w:p w14:paraId="1DF40659">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260" w:type="dxa"/>
            <w:noWrap w:val="0"/>
            <w:vAlign w:val="top"/>
          </w:tcPr>
          <w:p w14:paraId="177E951F">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440" w:type="dxa"/>
            <w:noWrap w:val="0"/>
            <w:vAlign w:val="top"/>
          </w:tcPr>
          <w:p w14:paraId="23334AB2">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r>
      <w:tr w14:paraId="1CDA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4C3D9E38">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3960" w:type="dxa"/>
            <w:noWrap w:val="0"/>
            <w:vAlign w:val="top"/>
          </w:tcPr>
          <w:p w14:paraId="77536DDB">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080" w:type="dxa"/>
            <w:noWrap w:val="0"/>
            <w:vAlign w:val="top"/>
          </w:tcPr>
          <w:p w14:paraId="4075C84D">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260" w:type="dxa"/>
            <w:noWrap w:val="0"/>
            <w:vAlign w:val="top"/>
          </w:tcPr>
          <w:p w14:paraId="1A803FC0">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440" w:type="dxa"/>
            <w:noWrap w:val="0"/>
            <w:vAlign w:val="top"/>
          </w:tcPr>
          <w:p w14:paraId="640B6528">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r>
      <w:tr w14:paraId="0D73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28ED5716">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3960" w:type="dxa"/>
            <w:noWrap w:val="0"/>
            <w:vAlign w:val="top"/>
          </w:tcPr>
          <w:p w14:paraId="698E1DA6">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080" w:type="dxa"/>
            <w:noWrap w:val="0"/>
            <w:vAlign w:val="top"/>
          </w:tcPr>
          <w:p w14:paraId="7F53F9E5">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260" w:type="dxa"/>
            <w:noWrap w:val="0"/>
            <w:vAlign w:val="top"/>
          </w:tcPr>
          <w:p w14:paraId="3B546D11">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c>
          <w:tcPr>
            <w:tcW w:w="1440" w:type="dxa"/>
            <w:noWrap w:val="0"/>
            <w:vAlign w:val="top"/>
          </w:tcPr>
          <w:p w14:paraId="4D750FFE">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p>
        </w:tc>
      </w:tr>
    </w:tbl>
    <w:p w14:paraId="412C35EC">
      <w:pPr>
        <w:keepNext w:val="0"/>
        <w:keepLines w:val="0"/>
        <w:pageBreakBefore w:val="0"/>
        <w:widowControl w:val="0"/>
        <w:numPr>
          <w:ilvl w:val="0"/>
          <w:numId w:val="3"/>
        </w:numPr>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质量保证及售后服务</w:t>
      </w:r>
    </w:p>
    <w:p w14:paraId="125F3DAB">
      <w:pPr>
        <w:keepNext w:val="0"/>
        <w:keepLines w:val="0"/>
        <w:pageBreakBefore w:val="0"/>
        <w:widowControl w:val="0"/>
        <w:kinsoku/>
        <w:wordWrap/>
        <w:overflowPunct/>
        <w:topLinePunct w:val="0"/>
        <w:bidi w:val="0"/>
        <w:snapToGrid w:val="0"/>
        <w:spacing w:line="360" w:lineRule="auto"/>
        <w:ind w:firstLine="480" w:firstLineChars="200"/>
        <w:textAlignment w:val="auto"/>
        <w:rPr>
          <w:rFonts w:ascii="仿宋" w:hAnsi="仿宋" w:eastAsia="仿宋"/>
          <w:bCs/>
          <w:color w:val="auto"/>
          <w:sz w:val="24"/>
        </w:rPr>
      </w:pPr>
      <w:r>
        <w:rPr>
          <w:rFonts w:hint="eastAsia" w:ascii="仿宋" w:hAnsi="仿宋" w:eastAsia="仿宋"/>
          <w:bCs/>
          <w:color w:val="auto"/>
          <w:sz w:val="24"/>
        </w:rPr>
        <w:t>（根据招标文件要求及投标文件承诺填写）</w:t>
      </w:r>
    </w:p>
    <w:p w14:paraId="2837AE5B">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四、交货时间、地点</w:t>
      </w:r>
    </w:p>
    <w:p w14:paraId="687DB219">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1.交货时间：</w:t>
      </w:r>
    </w:p>
    <w:p w14:paraId="111176A2">
      <w:pPr>
        <w:pStyle w:val="22"/>
        <w:keepNext w:val="0"/>
        <w:keepLines w:val="0"/>
        <w:pageBreakBefore w:val="0"/>
        <w:widowControl w:val="0"/>
        <w:kinsoku/>
        <w:wordWrap/>
        <w:overflowPunct/>
        <w:topLinePunct w:val="0"/>
        <w:bidi w:val="0"/>
        <w:snapToGrid w:val="0"/>
        <w:spacing w:line="360" w:lineRule="auto"/>
        <w:ind w:firstLine="482"/>
        <w:textAlignment w:val="auto"/>
        <w:rPr>
          <w:color w:val="auto"/>
        </w:rPr>
      </w:pPr>
      <w:r>
        <w:rPr>
          <w:rFonts w:hint="eastAsia" w:ascii="仿宋" w:hAnsi="仿宋" w:eastAsia="仿宋"/>
          <w:b/>
          <w:color w:val="auto"/>
        </w:rPr>
        <w:t>2.交货地点：</w:t>
      </w:r>
    </w:p>
    <w:p w14:paraId="41B670B3">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五、合同总价</w:t>
      </w:r>
    </w:p>
    <w:p w14:paraId="29F86C5C">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本合同总价为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21F850F">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六、合同价款的支付</w:t>
      </w:r>
    </w:p>
    <w:p w14:paraId="3F6F5FD2">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w:t>
      </w:r>
      <w:r>
        <w:rPr>
          <w:rFonts w:hint="eastAsia" w:ascii="仿宋" w:hAnsi="仿宋" w:eastAsia="仿宋" w:cs="仿宋"/>
          <w:color w:val="auto"/>
          <w:sz w:val="24"/>
          <w:szCs w:val="24"/>
        </w:rPr>
        <w:t>本合同中甲乙双方之间所发生的一切费用以人民币进行结算。</w:t>
      </w:r>
    </w:p>
    <w:p w14:paraId="067AC80C">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2.</w:t>
      </w:r>
      <w:r>
        <w:rPr>
          <w:rFonts w:hint="eastAsia" w:ascii="仿宋" w:hAnsi="仿宋" w:eastAsia="仿宋" w:cs="仿宋"/>
          <w:color w:val="auto"/>
          <w:sz w:val="24"/>
          <w:szCs w:val="24"/>
        </w:rPr>
        <w:t>支付方式：</w:t>
      </w:r>
    </w:p>
    <w:tbl>
      <w:tblPr>
        <w:tblStyle w:val="2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840"/>
        <w:gridCol w:w="4394"/>
        <w:gridCol w:w="1413"/>
      </w:tblGrid>
      <w:tr w14:paraId="3E97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4" w:type="dxa"/>
            <w:noWrap w:val="0"/>
            <w:vAlign w:val="center"/>
          </w:tcPr>
          <w:p w14:paraId="4A1B01A8">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付款次数</w:t>
            </w:r>
          </w:p>
        </w:tc>
        <w:tc>
          <w:tcPr>
            <w:tcW w:w="1840" w:type="dxa"/>
            <w:noWrap w:val="0"/>
            <w:vAlign w:val="center"/>
          </w:tcPr>
          <w:p w14:paraId="0283D514">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约定支付条件</w:t>
            </w:r>
          </w:p>
        </w:tc>
        <w:tc>
          <w:tcPr>
            <w:tcW w:w="4394" w:type="dxa"/>
            <w:noWrap w:val="0"/>
            <w:vAlign w:val="center"/>
          </w:tcPr>
          <w:p w14:paraId="4DDBAF72">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付款条件</w:t>
            </w:r>
          </w:p>
        </w:tc>
        <w:tc>
          <w:tcPr>
            <w:tcW w:w="1413" w:type="dxa"/>
            <w:noWrap w:val="0"/>
            <w:vAlign w:val="center"/>
          </w:tcPr>
          <w:p w14:paraId="622A9AE5">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金额（元）</w:t>
            </w:r>
          </w:p>
        </w:tc>
      </w:tr>
      <w:tr w14:paraId="1736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4" w:type="dxa"/>
            <w:noWrap w:val="0"/>
            <w:vAlign w:val="center"/>
          </w:tcPr>
          <w:p w14:paraId="7C074B7C">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w:t>
            </w:r>
          </w:p>
        </w:tc>
        <w:tc>
          <w:tcPr>
            <w:tcW w:w="1840" w:type="dxa"/>
            <w:noWrap w:val="0"/>
            <w:vAlign w:val="center"/>
          </w:tcPr>
          <w:p w14:paraId="0B3BB958">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c>
          <w:tcPr>
            <w:tcW w:w="4394" w:type="dxa"/>
            <w:noWrap w:val="0"/>
            <w:vAlign w:val="center"/>
          </w:tcPr>
          <w:p w14:paraId="21276CB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c>
          <w:tcPr>
            <w:tcW w:w="1413" w:type="dxa"/>
            <w:noWrap w:val="0"/>
            <w:vAlign w:val="center"/>
          </w:tcPr>
          <w:p w14:paraId="45FD4D46">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r>
      <w:tr w14:paraId="6B6C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74" w:type="dxa"/>
            <w:noWrap w:val="0"/>
            <w:vAlign w:val="center"/>
          </w:tcPr>
          <w:p w14:paraId="35C1B703">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2</w:t>
            </w:r>
          </w:p>
        </w:tc>
        <w:tc>
          <w:tcPr>
            <w:tcW w:w="1840" w:type="dxa"/>
            <w:noWrap w:val="0"/>
            <w:vAlign w:val="center"/>
          </w:tcPr>
          <w:p w14:paraId="442E9F9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c>
          <w:tcPr>
            <w:tcW w:w="4394" w:type="dxa"/>
            <w:noWrap w:val="0"/>
            <w:vAlign w:val="center"/>
          </w:tcPr>
          <w:p w14:paraId="750A0B7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c>
          <w:tcPr>
            <w:tcW w:w="1413" w:type="dxa"/>
            <w:noWrap w:val="0"/>
            <w:vAlign w:val="center"/>
          </w:tcPr>
          <w:p w14:paraId="2B0C5B7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r>
      <w:tr w14:paraId="79C4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4" w:type="dxa"/>
            <w:noWrap w:val="0"/>
            <w:vAlign w:val="center"/>
          </w:tcPr>
          <w:p w14:paraId="6B44BA58">
            <w:pPr>
              <w:keepNext w:val="0"/>
              <w:keepLines w:val="0"/>
              <w:pageBreakBefore w:val="0"/>
              <w:widowControl w:val="0"/>
              <w:kinsoku/>
              <w:wordWrap/>
              <w:overflowPunct/>
              <w:topLinePunct w:val="0"/>
              <w:bidi w:val="0"/>
              <w:snapToGrid w:val="0"/>
              <w:spacing w:line="360" w:lineRule="auto"/>
              <w:ind w:firstLine="480" w:firstLineChars="200"/>
              <w:textAlignment w:val="auto"/>
              <w:rPr>
                <w:rFonts w:ascii="仿宋" w:hAnsi="仿宋" w:eastAsia="仿宋" w:cs="仿宋"/>
                <w:color w:val="auto"/>
                <w:sz w:val="24"/>
                <w:szCs w:val="24"/>
              </w:rPr>
            </w:pPr>
            <w:r>
              <w:rPr>
                <w:rFonts w:ascii="仿宋" w:hAnsi="仿宋" w:eastAsia="仿宋" w:cs="仿宋"/>
                <w:color w:val="auto"/>
                <w:sz w:val="24"/>
                <w:szCs w:val="24"/>
              </w:rPr>
              <w:t>……</w:t>
            </w:r>
          </w:p>
        </w:tc>
        <w:tc>
          <w:tcPr>
            <w:tcW w:w="1840" w:type="dxa"/>
            <w:noWrap w:val="0"/>
            <w:vAlign w:val="center"/>
          </w:tcPr>
          <w:p w14:paraId="0118F7A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c>
          <w:tcPr>
            <w:tcW w:w="4394" w:type="dxa"/>
            <w:noWrap w:val="0"/>
            <w:vAlign w:val="center"/>
          </w:tcPr>
          <w:p w14:paraId="7322BDF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c>
          <w:tcPr>
            <w:tcW w:w="1413" w:type="dxa"/>
            <w:noWrap w:val="0"/>
            <w:vAlign w:val="center"/>
          </w:tcPr>
          <w:p w14:paraId="58087D1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p>
        </w:tc>
      </w:tr>
    </w:tbl>
    <w:p w14:paraId="556B6FE5">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3.</w:t>
      </w:r>
      <w:r>
        <w:rPr>
          <w:rFonts w:hint="eastAsia" w:ascii="仿宋" w:hAnsi="仿宋" w:eastAsia="仿宋" w:cs="仿宋"/>
          <w:color w:val="auto"/>
          <w:sz w:val="24"/>
          <w:szCs w:val="24"/>
        </w:rPr>
        <w:t>甲方应付合同款至以下乙方指定的银行账户：</w:t>
      </w:r>
    </w:p>
    <w:p w14:paraId="4DB1483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开户名称：</w:t>
      </w:r>
    </w:p>
    <w:p w14:paraId="5C3808D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14:paraId="10DFE788">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p w14:paraId="7B27616B">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hint="eastAsia" w:ascii="仿宋" w:hAnsi="仿宋" w:eastAsia="仿宋"/>
          <w:b/>
          <w:color w:val="auto"/>
          <w:sz w:val="24"/>
          <w:lang w:eastAsia="zh-CN"/>
        </w:rPr>
      </w:pPr>
      <w:r>
        <w:rPr>
          <w:rFonts w:hint="eastAsia" w:ascii="仿宋" w:hAnsi="仿宋" w:eastAsia="仿宋" w:cs="Times New Roman"/>
          <w:b/>
          <w:color w:val="auto"/>
          <w:sz w:val="24"/>
          <w:szCs w:val="21"/>
          <w:lang w:val="en-US" w:eastAsia="zh-CN" w:bidi="ar-SA"/>
        </w:rPr>
        <w:t>七、</w:t>
      </w:r>
      <w:r>
        <w:rPr>
          <w:rFonts w:hint="eastAsia" w:ascii="仿宋" w:hAnsi="仿宋" w:eastAsia="仿宋"/>
          <w:b/>
          <w:color w:val="auto"/>
          <w:sz w:val="24"/>
        </w:rPr>
        <w:t>履约保证金</w:t>
      </w:r>
      <w:r>
        <w:rPr>
          <w:rFonts w:hint="eastAsia" w:ascii="仿宋" w:hAnsi="仿宋" w:eastAsia="仿宋"/>
          <w:b/>
          <w:color w:val="auto"/>
          <w:sz w:val="24"/>
          <w:lang w:eastAsia="zh-CN"/>
        </w:rPr>
        <w:t>：</w:t>
      </w:r>
    </w:p>
    <w:p w14:paraId="1D6B7CD8">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1.乙方在项目实施前须向甲方缴纳合同金额1%的履约保证金；</w:t>
      </w:r>
    </w:p>
    <w:p w14:paraId="6F4B5F7A">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2.履约保证金用于补偿甲方因乙方不能履行其合同义务而蒙受的损失；</w:t>
      </w:r>
    </w:p>
    <w:p w14:paraId="30717714">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3.履约保证金有效期限：合同签订之日起至项目通过甲方验收后结束；</w:t>
      </w:r>
    </w:p>
    <w:p w14:paraId="0003BB83">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仿宋" w:hAnsi="仿宋" w:eastAsia="仿宋"/>
          <w:b w:val="0"/>
          <w:bCs w:val="0"/>
          <w:color w:val="auto"/>
          <w:sz w:val="24"/>
          <w:lang w:val="en-US" w:eastAsia="zh-CN"/>
        </w:rPr>
      </w:pPr>
      <w:r>
        <w:rPr>
          <w:rFonts w:hint="eastAsia" w:ascii="仿宋" w:hAnsi="仿宋" w:eastAsia="仿宋" w:cs="仿宋"/>
          <w:b w:val="0"/>
          <w:bCs w:val="0"/>
          <w:color w:val="auto"/>
          <w:sz w:val="24"/>
          <w:szCs w:val="24"/>
        </w:rPr>
        <w:t>4.履约保证金退还：有效期限满后，按合同约定扣除相关款项（如有）后退还。</w:t>
      </w:r>
    </w:p>
    <w:p w14:paraId="18FC5CDB">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八、违约责任</w:t>
      </w:r>
    </w:p>
    <w:p w14:paraId="0BA72C9C">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除合同规定的不可抗力外，如果乙方没有按照合同规定的时间供货，甲方可要求乙方支付违约金。违约金按每周合同款的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%计收。但违约金的最高限额为合同价的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%。一周按 7 天计算，不足 7 天按一周计算。如果达到最高限额，甲方有权解除合同。</w:t>
      </w:r>
    </w:p>
    <w:p w14:paraId="4F7E25F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项目结束时验收不合格，乙方应在收到甲方通知后**日内退还甲方已支付的合同款，逾期退还合同款的，每日按未退还金额的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%支付违约金。</w:t>
      </w:r>
    </w:p>
    <w:p w14:paraId="4A30B9B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其他违约条款双方协商确定：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265EC48">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九、解决争议的方法</w:t>
      </w:r>
    </w:p>
    <w:p w14:paraId="506B79D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因合同履行中发生的争议，可通过合同当事人双方友好协商解决。如自协商开始之起 15 日内得不到解决，双方应将争议提交采购监管部门调解。调解不成的，可向</w:t>
      </w:r>
      <w:r>
        <w:rPr>
          <w:rFonts w:hint="eastAsia" w:ascii="仿宋" w:hAnsi="仿宋" w:eastAsia="仿宋" w:cs="仿宋"/>
          <w:b/>
          <w:bCs/>
          <w:color w:val="auto"/>
          <w:sz w:val="24"/>
          <w:szCs w:val="24"/>
        </w:rPr>
        <w:t>（1）</w:t>
      </w:r>
      <w:r>
        <w:rPr>
          <w:rFonts w:hint="eastAsia" w:ascii="仿宋" w:hAnsi="仿宋" w:eastAsia="仿宋" w:cs="仿宋"/>
          <w:color w:val="auto"/>
          <w:sz w:val="24"/>
          <w:szCs w:val="24"/>
        </w:rPr>
        <w:t>向</w:t>
      </w:r>
      <w:r>
        <w:rPr>
          <w:rFonts w:hint="eastAsia" w:ascii="仿宋" w:hAnsi="仿宋" w:eastAsia="仿宋" w:cs="仿宋"/>
          <w:b/>
          <w:bCs/>
          <w:color w:val="auto"/>
          <w:sz w:val="24"/>
          <w:szCs w:val="24"/>
          <w:u w:val="single"/>
        </w:rPr>
        <w:t>绍兴市仲裁委员会</w:t>
      </w:r>
      <w:r>
        <w:rPr>
          <w:rFonts w:hint="eastAsia" w:ascii="仿宋" w:hAnsi="仿宋" w:eastAsia="仿宋" w:cs="仿宋"/>
          <w:color w:val="auto"/>
          <w:sz w:val="24"/>
          <w:szCs w:val="24"/>
        </w:rPr>
        <w:t>申请仲裁；</w:t>
      </w:r>
      <w:r>
        <w:rPr>
          <w:rFonts w:hint="eastAsia" w:ascii="仿宋" w:hAnsi="仿宋" w:eastAsia="仿宋" w:cs="仿宋"/>
          <w:b/>
          <w:bCs/>
          <w:color w:val="auto"/>
          <w:sz w:val="24"/>
          <w:szCs w:val="24"/>
        </w:rPr>
        <w:t>（2）</w:t>
      </w:r>
      <w:r>
        <w:rPr>
          <w:rFonts w:hint="eastAsia" w:ascii="仿宋" w:hAnsi="仿宋" w:eastAsia="仿宋" w:cs="仿宋"/>
          <w:color w:val="auto"/>
          <w:sz w:val="24"/>
          <w:szCs w:val="24"/>
        </w:rPr>
        <w:t>向</w:t>
      </w:r>
      <w:r>
        <w:rPr>
          <w:rFonts w:hint="eastAsia" w:ascii="仿宋" w:hAnsi="仿宋" w:eastAsia="仿宋" w:cs="仿宋"/>
          <w:b/>
          <w:bCs/>
          <w:color w:val="auto"/>
          <w:sz w:val="24"/>
          <w:szCs w:val="24"/>
          <w:u w:val="single"/>
        </w:rPr>
        <w:t>诸暨市人民法院</w:t>
      </w:r>
      <w:r>
        <w:rPr>
          <w:rFonts w:hint="eastAsia" w:ascii="仿宋" w:hAnsi="仿宋" w:eastAsia="仿宋" w:cs="仿宋"/>
          <w:color w:val="auto"/>
          <w:sz w:val="24"/>
          <w:szCs w:val="24"/>
        </w:rPr>
        <w:t>起诉。诉讼费用除人民法院另有裁决外，应由败诉方负担。</w:t>
      </w:r>
    </w:p>
    <w:p w14:paraId="563DB95D">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十、违约解除合同</w:t>
      </w:r>
    </w:p>
    <w:p w14:paraId="37C09F73">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w:t>
      </w:r>
      <w:r>
        <w:rPr>
          <w:rFonts w:hint="eastAsia" w:ascii="仿宋" w:hAnsi="仿宋" w:eastAsia="仿宋" w:cs="仿宋"/>
          <w:color w:val="auto"/>
          <w:sz w:val="24"/>
          <w:szCs w:val="24"/>
        </w:rPr>
        <w:t>如乙方有如下违约的情形，甲方可向乙方发出书面通知，部分或全部终止合同,同时保留向乙方追诉的权利：</w:t>
      </w:r>
    </w:p>
    <w:p w14:paraId="26A00FA7">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①</w:t>
      </w:r>
      <w:r>
        <w:rPr>
          <w:rFonts w:hint="eastAsia" w:ascii="仿宋" w:hAnsi="仿宋" w:eastAsia="仿宋" w:cs="仿宋"/>
          <w:color w:val="auto"/>
          <w:sz w:val="24"/>
          <w:szCs w:val="24"/>
        </w:rPr>
        <w:t>乙方未能在合同规定的限期或甲方同意延长的限期内，提供全部或部分标的物的；</w:t>
      </w:r>
    </w:p>
    <w:p w14:paraId="0BA3AC4E">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②</w:t>
      </w:r>
      <w:r>
        <w:rPr>
          <w:rFonts w:hint="eastAsia" w:ascii="仿宋" w:hAnsi="仿宋" w:eastAsia="仿宋" w:cs="仿宋"/>
          <w:color w:val="auto"/>
          <w:sz w:val="24"/>
          <w:szCs w:val="24"/>
        </w:rPr>
        <w:t>乙方未能履行合同规定的其它主要义务的；</w:t>
      </w:r>
    </w:p>
    <w:p w14:paraId="581E9352">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③</w:t>
      </w:r>
      <w:r>
        <w:rPr>
          <w:rFonts w:hint="eastAsia" w:ascii="仿宋" w:hAnsi="仿宋" w:eastAsia="仿宋" w:cs="仿宋"/>
          <w:color w:val="auto"/>
          <w:sz w:val="24"/>
          <w:szCs w:val="24"/>
        </w:rPr>
        <w:t>甲方认为乙方在本合同履行过程中有腐败和欺诈等行为的。</w:t>
      </w:r>
    </w:p>
    <w:p w14:paraId="0E177605">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2.</w:t>
      </w:r>
      <w:r>
        <w:rPr>
          <w:rFonts w:hint="eastAsia" w:ascii="仿宋" w:hAnsi="仿宋" w:eastAsia="仿宋" w:cs="仿宋"/>
          <w:color w:val="auto"/>
          <w:sz w:val="24"/>
          <w:szCs w:val="24"/>
        </w:rPr>
        <w:t>甲方解除合同的，合同于甲方发出书面解除合同通知书送达乙方之日起解除。乙方应在合同解除后 7 日内退还甲方已支付的合同款，逾期退还合同款的，每日按未退还金额的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%支付违约金。</w:t>
      </w:r>
    </w:p>
    <w:p w14:paraId="2DFFBAEB">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十一、破产终止合同</w:t>
      </w:r>
    </w:p>
    <w:p w14:paraId="350359B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果乙方破产或无清偿能力时，甲方经报同级采购监督管理部门审批同意后，可在任何时候以书面形式通知乙方，提出终止合同而不给乙方任何形式的补偿和赔偿。该合同的终止将不损害或不影响甲方已经采取或将要采取任何行动或补救措施的权利。</w:t>
      </w:r>
    </w:p>
    <w:p w14:paraId="62BED71A">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十二、转让和分包</w:t>
      </w:r>
    </w:p>
    <w:p w14:paraId="3F0F452B">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w:t>
      </w:r>
      <w:r>
        <w:rPr>
          <w:rFonts w:hint="eastAsia" w:ascii="仿宋" w:hAnsi="仿宋" w:eastAsia="仿宋" w:cs="仿宋"/>
          <w:color w:val="auto"/>
          <w:sz w:val="24"/>
          <w:szCs w:val="24"/>
        </w:rPr>
        <w:t>采购合同不能转让。</w:t>
      </w:r>
    </w:p>
    <w:p w14:paraId="4901CB16">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2.</w:t>
      </w:r>
      <w:r>
        <w:rPr>
          <w:rFonts w:hint="eastAsia" w:ascii="仿宋" w:hAnsi="仿宋" w:eastAsia="仿宋" w:cs="仿宋"/>
          <w:color w:val="auto"/>
          <w:sz w:val="24"/>
          <w:szCs w:val="24"/>
        </w:rPr>
        <w:t>本项目内容不允许分包（按照招标文件要求）。</w:t>
      </w:r>
    </w:p>
    <w:p w14:paraId="435F3EBD">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十三、合同变更、解除</w:t>
      </w:r>
    </w:p>
    <w:p w14:paraId="664FBA1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和乙方都不得擅自中止或终止本合同，但合同继续履行将损害国家和社会公共利益的除外。不得擅自变更本合同，如必须对合同条款进行改动时，当事人双方须共同签署书面文件，做为合同的补充，并报同级采购监督管理部门批准和备案。</w:t>
      </w:r>
    </w:p>
    <w:p w14:paraId="44AEF762">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十四、通知</w:t>
      </w:r>
    </w:p>
    <w:p w14:paraId="5F16EA4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本合同任何一方给另一方的通知，都应以书面形式发送，而另一方也应以书面形式确认并发送到对方明确的地址。</w:t>
      </w:r>
    </w:p>
    <w:p w14:paraId="01EBA9C7">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十五、计量单位</w:t>
      </w:r>
    </w:p>
    <w:p w14:paraId="4CCE7FC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除技术规范中另有规定外，计量单位均使用国家法定计量单位。</w:t>
      </w:r>
    </w:p>
    <w:p w14:paraId="52C2286F">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十六、不可抗力</w:t>
      </w:r>
    </w:p>
    <w:p w14:paraId="3212343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1.如果双方中任何一方遭遇法律规定的不可抗力，致使合同履行受阻时，履行合同的期限应予延长，延长的期限应相当于不可抗力所影响的时间。</w:t>
      </w:r>
    </w:p>
    <w:p w14:paraId="5C67F6F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2.受事故影响的一方应在不可抗力的事故发生后</w:t>
      </w:r>
      <w:r>
        <w:rPr>
          <w:rFonts w:hint="eastAsia" w:ascii="仿宋" w:hAnsi="仿宋" w:eastAsia="仿宋" w:cs="仿宋"/>
          <w:b/>
          <w:bCs/>
          <w:color w:val="auto"/>
          <w:sz w:val="24"/>
          <w:szCs w:val="24"/>
        </w:rPr>
        <w:t>3个工作日内</w:t>
      </w:r>
      <w:r>
        <w:rPr>
          <w:rFonts w:hint="eastAsia" w:ascii="仿宋" w:hAnsi="仿宋" w:eastAsia="仿宋" w:cs="仿宋"/>
          <w:color w:val="auto"/>
          <w:sz w:val="24"/>
          <w:szCs w:val="24"/>
        </w:rPr>
        <w:t>书面形式通知另一方，并在事故发生后</w:t>
      </w:r>
      <w:r>
        <w:rPr>
          <w:rFonts w:hint="eastAsia" w:ascii="仿宋" w:hAnsi="仿宋" w:eastAsia="仿宋" w:cs="仿宋"/>
          <w:b/>
          <w:bCs/>
          <w:color w:val="auto"/>
          <w:sz w:val="24"/>
          <w:szCs w:val="24"/>
        </w:rPr>
        <w:t>5个工作日</w:t>
      </w:r>
      <w:r>
        <w:rPr>
          <w:rFonts w:hint="eastAsia" w:ascii="仿宋" w:hAnsi="仿宋" w:eastAsia="仿宋" w:cs="仿宋"/>
          <w:color w:val="auto"/>
          <w:sz w:val="24"/>
          <w:szCs w:val="24"/>
        </w:rPr>
        <w:t>内，将有关部门出具的证明文件送达另一方。</w:t>
      </w:r>
    </w:p>
    <w:p w14:paraId="6890B71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3.不可抗力使合同的某些内容有变更必要的，双方应通过协商达成进一步履行合同的协议，因不可抗力致使合同不能履行的，合同终止。</w:t>
      </w:r>
    </w:p>
    <w:p w14:paraId="70C16B29">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十七、合同解释</w:t>
      </w:r>
    </w:p>
    <w:p w14:paraId="5D32509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本合同应按照《中华人民共和国民法典》等法律、法规进行解释。</w:t>
      </w:r>
    </w:p>
    <w:p w14:paraId="1D730781">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十八、合同的生效及其他</w:t>
      </w:r>
    </w:p>
    <w:p w14:paraId="55911536">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采购项目的采购合同内容的确定应以招标文件和投标文件为基础，不得违背其实质性内容。</w:t>
      </w:r>
    </w:p>
    <w:p w14:paraId="75881A4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合同将在双方签字盖章后开始生效。授权代表签署的应附法定代表人授权书。</w:t>
      </w:r>
    </w:p>
    <w:p w14:paraId="3556B4E6">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十九、合同附件（如有）</w:t>
      </w:r>
    </w:p>
    <w:p w14:paraId="1C985BEF">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二十、合同份数</w:t>
      </w:r>
    </w:p>
    <w:p w14:paraId="2D364795">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五</w:t>
      </w:r>
      <w:r>
        <w:rPr>
          <w:rFonts w:hint="eastAsia" w:ascii="仿宋" w:hAnsi="仿宋" w:eastAsia="仿宋" w:cs="仿宋"/>
          <w:color w:val="auto"/>
          <w:sz w:val="24"/>
          <w:szCs w:val="24"/>
        </w:rPr>
        <w:t>份，具同等法律效力。</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251A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noWrap w:val="0"/>
            <w:vAlign w:val="center"/>
          </w:tcPr>
          <w:p w14:paraId="70A2C143">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w:t>
            </w:r>
          </w:p>
        </w:tc>
        <w:tc>
          <w:tcPr>
            <w:tcW w:w="4234" w:type="dxa"/>
            <w:noWrap w:val="0"/>
            <w:vAlign w:val="center"/>
          </w:tcPr>
          <w:p w14:paraId="6C7AF5ED">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w:t>
            </w:r>
          </w:p>
        </w:tc>
      </w:tr>
      <w:tr w14:paraId="0BC6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noWrap w:val="0"/>
            <w:vAlign w:val="top"/>
          </w:tcPr>
          <w:p w14:paraId="3416A8AC">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单位名称（盖章）</w:t>
            </w:r>
          </w:p>
          <w:p w14:paraId="0D906D2C">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单位地址：</w:t>
            </w:r>
          </w:p>
          <w:p w14:paraId="6987F6F8">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74DB0852">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p w14:paraId="32496911">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36EC70C0">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传真号码：</w:t>
            </w:r>
          </w:p>
          <w:p w14:paraId="473875D4">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p w14:paraId="69F04460">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14:paraId="1CF554A3">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p w14:paraId="18C4EFCB">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税    号：</w:t>
            </w:r>
          </w:p>
          <w:p w14:paraId="6B3C6C8D">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签订时间：</w:t>
            </w:r>
          </w:p>
        </w:tc>
        <w:tc>
          <w:tcPr>
            <w:tcW w:w="4234" w:type="dxa"/>
            <w:noWrap w:val="0"/>
            <w:vAlign w:val="top"/>
          </w:tcPr>
          <w:p w14:paraId="2B8B839D">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单位名称（盖章）</w:t>
            </w:r>
          </w:p>
          <w:p w14:paraId="59255FE1">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单位地址：</w:t>
            </w:r>
          </w:p>
          <w:p w14:paraId="1837748A">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50D4B579">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p w14:paraId="016C36CC">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55D06089">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传真号码：</w:t>
            </w:r>
          </w:p>
          <w:p w14:paraId="695A06F6">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p w14:paraId="7893ABC3">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14:paraId="78CD1DA6">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p w14:paraId="3B3580BD">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税    号：</w:t>
            </w:r>
          </w:p>
          <w:p w14:paraId="5FFE77C6">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签订时间：</w:t>
            </w:r>
          </w:p>
        </w:tc>
      </w:tr>
    </w:tbl>
    <w:p w14:paraId="587C1118">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注：</w:t>
      </w:r>
    </w:p>
    <w:p w14:paraId="6838BFB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1、如本协议条款与招标文件中实质性内容不相符，以招标文件规定为准，在签订前进行调整。</w:t>
      </w:r>
    </w:p>
    <w:p w14:paraId="6A05A341">
      <w:pPr>
        <w:keepNext w:val="0"/>
        <w:keepLines w:val="0"/>
        <w:pageBreakBefore w:val="0"/>
        <w:widowControl w:val="0"/>
        <w:kinsoku/>
        <w:wordWrap/>
        <w:overflowPunct/>
        <w:topLinePunct w:val="0"/>
        <w:bidi w:val="0"/>
        <w:snapToGrid w:val="0"/>
        <w:spacing w:line="360" w:lineRule="auto"/>
        <w:ind w:firstLine="482" w:firstLineChars="200"/>
        <w:textAlignment w:val="auto"/>
        <w:rPr>
          <w:rFonts w:ascii="仿宋" w:hAnsi="仿宋" w:eastAsia="仿宋"/>
          <w:color w:val="auto"/>
          <w:sz w:val="24"/>
        </w:rPr>
      </w:pPr>
      <w:r>
        <w:rPr>
          <w:rFonts w:hint="eastAsia" w:ascii="仿宋" w:hAnsi="仿宋" w:eastAsia="仿宋" w:cs="仿宋"/>
          <w:b/>
          <w:color w:val="auto"/>
          <w:sz w:val="24"/>
          <w:szCs w:val="24"/>
        </w:rPr>
        <w:t>2、在正式签订前，应根据招标文件要求及项目实际情况拟定更为详尽的协议书。</w:t>
      </w:r>
    </w:p>
    <w:p w14:paraId="26CF9EB3">
      <w:pPr>
        <w:snapToGrid w:val="0"/>
        <w:spacing w:line="360" w:lineRule="auto"/>
        <w:jc w:val="center"/>
        <w:textAlignment w:val="bottom"/>
        <w:rPr>
          <w:rFonts w:hint="eastAsia" w:ascii="仿宋" w:hAnsi="仿宋" w:eastAsia="仿宋" w:cs="仿宋"/>
          <w:b/>
          <w:bCs/>
          <w:color w:val="auto"/>
          <w:sz w:val="24"/>
          <w:szCs w:val="24"/>
          <w:highlight w:val="none"/>
        </w:rPr>
      </w:pPr>
    </w:p>
    <w:p w14:paraId="1B975455">
      <w:pPr>
        <w:snapToGrid w:val="0"/>
        <w:spacing w:line="360" w:lineRule="auto"/>
        <w:jc w:val="center"/>
        <w:textAlignment w:val="bottom"/>
        <w:rPr>
          <w:rFonts w:hint="eastAsia" w:ascii="仿宋" w:hAnsi="仿宋" w:eastAsia="仿宋" w:cs="仿宋"/>
          <w:b/>
          <w:bCs/>
          <w:color w:val="auto"/>
          <w:sz w:val="36"/>
          <w:szCs w:val="36"/>
          <w:highlight w:val="none"/>
        </w:rPr>
      </w:pPr>
    </w:p>
    <w:p w14:paraId="1AE4C749">
      <w:pPr>
        <w:pStyle w:val="46"/>
        <w:rPr>
          <w:rFonts w:hint="eastAsia" w:ascii="仿宋" w:hAnsi="仿宋" w:eastAsia="仿宋" w:cs="仿宋"/>
          <w:b/>
          <w:bCs/>
          <w:color w:val="auto"/>
          <w:sz w:val="36"/>
          <w:szCs w:val="36"/>
          <w:highlight w:val="none"/>
        </w:rPr>
      </w:pPr>
    </w:p>
    <w:p w14:paraId="7D8AD388">
      <w:pPr>
        <w:pStyle w:val="46"/>
        <w:rPr>
          <w:rFonts w:hint="eastAsia" w:ascii="仿宋" w:hAnsi="仿宋" w:eastAsia="仿宋" w:cs="仿宋"/>
          <w:b/>
          <w:bCs/>
          <w:color w:val="auto"/>
          <w:sz w:val="36"/>
          <w:szCs w:val="36"/>
          <w:highlight w:val="none"/>
        </w:rPr>
      </w:pPr>
    </w:p>
    <w:p w14:paraId="0E02907A">
      <w:pPr>
        <w:snapToGrid w:val="0"/>
        <w:spacing w:line="360" w:lineRule="auto"/>
        <w:jc w:val="center"/>
        <w:textAlignment w:val="bottom"/>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val="en-US" w:eastAsia="zh-CN"/>
        </w:rPr>
        <w:t>六</w:t>
      </w:r>
      <w:r>
        <w:rPr>
          <w:rFonts w:hint="eastAsia" w:ascii="仿宋" w:hAnsi="仿宋" w:eastAsia="仿宋" w:cs="仿宋"/>
          <w:b/>
          <w:bCs/>
          <w:color w:val="auto"/>
          <w:sz w:val="36"/>
          <w:szCs w:val="36"/>
          <w:highlight w:val="none"/>
        </w:rPr>
        <w:t>章  应提交的有关格式范例</w:t>
      </w:r>
    </w:p>
    <w:p w14:paraId="5511D585">
      <w:pPr>
        <w:widowControl/>
        <w:tabs>
          <w:tab w:val="left" w:pos="450"/>
          <w:tab w:val="left" w:pos="8280"/>
        </w:tabs>
        <w:spacing w:line="360" w:lineRule="auto"/>
        <w:ind w:firstLine="480"/>
        <w:jc w:val="center"/>
        <w:rPr>
          <w:rFonts w:hint="eastAsia" w:ascii="仿宋" w:hAnsi="仿宋" w:eastAsia="仿宋" w:cs="仿宋"/>
          <w:color w:val="auto"/>
          <w:sz w:val="30"/>
          <w:szCs w:val="30"/>
          <w:highlight w:val="none"/>
        </w:rPr>
      </w:pPr>
    </w:p>
    <w:p w14:paraId="1B32E2C9">
      <w:pPr>
        <w:widowControl/>
        <w:tabs>
          <w:tab w:val="left" w:pos="450"/>
          <w:tab w:val="left" w:pos="2520"/>
          <w:tab w:val="left" w:pos="8280"/>
        </w:tabs>
        <w:spacing w:line="360" w:lineRule="auto"/>
        <w:ind w:firstLine="4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一、封面格式</w:t>
      </w:r>
    </w:p>
    <w:p w14:paraId="34B0C90F">
      <w:pPr>
        <w:pStyle w:val="32"/>
        <w:spacing w:line="360" w:lineRule="auto"/>
        <w:rPr>
          <w:rFonts w:hint="eastAsia" w:ascii="仿宋" w:hAnsi="仿宋" w:eastAsia="仿宋" w:cs="仿宋"/>
          <w:color w:val="auto"/>
          <w:sz w:val="30"/>
          <w:szCs w:val="30"/>
          <w:highlight w:val="none"/>
        </w:rPr>
      </w:pPr>
    </w:p>
    <w:p w14:paraId="30E77B50">
      <w:pPr>
        <w:pStyle w:val="32"/>
        <w:spacing w:line="360" w:lineRule="auto"/>
        <w:rPr>
          <w:rFonts w:hint="eastAsia" w:ascii="仿宋" w:hAnsi="仿宋" w:eastAsia="仿宋" w:cs="仿宋"/>
          <w:color w:val="auto"/>
          <w:sz w:val="30"/>
          <w:szCs w:val="30"/>
          <w:highlight w:val="none"/>
        </w:rPr>
      </w:pPr>
    </w:p>
    <w:p w14:paraId="1AFE0367">
      <w:pPr>
        <w:snapToGrid w:val="0"/>
        <w:spacing w:line="360" w:lineRule="auto"/>
        <w:jc w:val="center"/>
        <w:textAlignment w:val="bottom"/>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资格文件</w:t>
      </w:r>
      <w:r>
        <w:rPr>
          <w:rFonts w:hint="eastAsia" w:ascii="仿宋" w:hAnsi="仿宋" w:eastAsia="仿宋" w:cs="仿宋"/>
          <w:b/>
          <w:bCs/>
          <w:color w:val="auto"/>
          <w:sz w:val="30"/>
          <w:szCs w:val="30"/>
          <w:highlight w:val="none"/>
          <w:lang w:val="en-US" w:eastAsia="zh-CN"/>
        </w:rPr>
        <w:t>/</w:t>
      </w:r>
      <w:r>
        <w:rPr>
          <w:rFonts w:hint="eastAsia" w:ascii="仿宋" w:hAnsi="仿宋" w:eastAsia="仿宋" w:cs="仿宋"/>
          <w:b/>
          <w:bCs/>
          <w:color w:val="auto"/>
          <w:sz w:val="30"/>
          <w:szCs w:val="30"/>
          <w:highlight w:val="none"/>
        </w:rPr>
        <w:t>商务技术文件</w:t>
      </w:r>
      <w:r>
        <w:rPr>
          <w:rFonts w:hint="eastAsia" w:ascii="仿宋" w:hAnsi="仿宋" w:eastAsia="仿宋" w:cs="仿宋"/>
          <w:b/>
          <w:bCs/>
          <w:color w:val="auto"/>
          <w:sz w:val="30"/>
          <w:szCs w:val="30"/>
          <w:highlight w:val="none"/>
          <w:lang w:val="en-US" w:eastAsia="zh-CN"/>
        </w:rPr>
        <w:t>/</w:t>
      </w:r>
      <w:r>
        <w:rPr>
          <w:rFonts w:hint="eastAsia" w:ascii="仿宋" w:hAnsi="仿宋" w:eastAsia="仿宋" w:cs="仿宋"/>
          <w:b/>
          <w:bCs/>
          <w:color w:val="auto"/>
          <w:sz w:val="30"/>
          <w:szCs w:val="30"/>
          <w:highlight w:val="none"/>
        </w:rPr>
        <w:t>报价文件</w:t>
      </w:r>
    </w:p>
    <w:p w14:paraId="5EB0922D">
      <w:pPr>
        <w:pStyle w:val="32"/>
        <w:spacing w:line="360" w:lineRule="auto"/>
        <w:rPr>
          <w:rFonts w:hint="eastAsia" w:ascii="仿宋" w:hAnsi="仿宋" w:eastAsia="仿宋" w:cs="仿宋"/>
          <w:color w:val="auto"/>
          <w:spacing w:val="8"/>
          <w:sz w:val="30"/>
          <w:szCs w:val="30"/>
          <w:highlight w:val="none"/>
          <w14:textOutline w14:w="5793" w14:cap="sq" w14:cmpd="sng">
            <w14:solidFill>
              <w14:srgbClr w14:val="000000"/>
            </w14:solidFill>
            <w14:prstDash w14:val="solid"/>
            <w14:bevel/>
          </w14:textOutline>
        </w:rPr>
      </w:pPr>
    </w:p>
    <w:p w14:paraId="4337AAC3">
      <w:pPr>
        <w:spacing w:line="360" w:lineRule="auto"/>
        <w:rPr>
          <w:rFonts w:hint="eastAsia" w:ascii="仿宋" w:hAnsi="仿宋" w:eastAsia="仿宋" w:cs="仿宋"/>
          <w:color w:val="auto"/>
          <w:sz w:val="24"/>
          <w:szCs w:val="24"/>
          <w:highlight w:val="none"/>
        </w:rPr>
      </w:pPr>
    </w:p>
    <w:p w14:paraId="0D0A9969">
      <w:pPr>
        <w:widowControl/>
        <w:tabs>
          <w:tab w:val="left" w:pos="275"/>
          <w:tab w:val="left" w:pos="8280"/>
        </w:tabs>
        <w:spacing w:line="360" w:lineRule="auto"/>
        <w:ind w:firstLine="48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ab/>
      </w:r>
    </w:p>
    <w:p w14:paraId="6CB36EAD">
      <w:pPr>
        <w:widowControl/>
        <w:tabs>
          <w:tab w:val="left" w:pos="275"/>
          <w:tab w:val="left" w:pos="8280"/>
        </w:tabs>
        <w:spacing w:line="360" w:lineRule="auto"/>
        <w:ind w:firstLine="301" w:firstLineChars="100"/>
        <w:jc w:val="left"/>
        <w:rPr>
          <w:rFonts w:hint="eastAsia"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7328852C">
      <w:pPr>
        <w:widowControl/>
        <w:tabs>
          <w:tab w:val="left" w:pos="275"/>
          <w:tab w:val="left" w:pos="8280"/>
        </w:tabs>
        <w:spacing w:line="360" w:lineRule="auto"/>
        <w:ind w:firstLine="443" w:firstLineChars="147"/>
        <w:jc w:val="left"/>
        <w:rPr>
          <w:rFonts w:hint="eastAsia" w:ascii="仿宋" w:hAnsi="仿宋" w:eastAsia="仿宋" w:cs="仿宋"/>
          <w:b/>
          <w:color w:val="auto"/>
          <w:sz w:val="30"/>
          <w:szCs w:val="30"/>
          <w:highlight w:val="none"/>
        </w:rPr>
      </w:pPr>
    </w:p>
    <w:p w14:paraId="62E18FAA">
      <w:pPr>
        <w:widowControl/>
        <w:tabs>
          <w:tab w:val="left" w:pos="275"/>
          <w:tab w:val="left" w:pos="8280"/>
        </w:tabs>
        <w:spacing w:line="360" w:lineRule="auto"/>
        <w:ind w:firstLine="301" w:firstLineChars="100"/>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 xml:space="preserve">   </w:t>
      </w:r>
    </w:p>
    <w:p w14:paraId="6C5A5A79">
      <w:pPr>
        <w:widowControl/>
        <w:tabs>
          <w:tab w:val="left" w:pos="765"/>
          <w:tab w:val="left" w:pos="8280"/>
        </w:tabs>
        <w:spacing w:line="360" w:lineRule="auto"/>
        <w:ind w:firstLine="480"/>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ab/>
      </w:r>
    </w:p>
    <w:p w14:paraId="44DFE6C3">
      <w:pPr>
        <w:widowControl/>
        <w:tabs>
          <w:tab w:val="left" w:pos="765"/>
          <w:tab w:val="left" w:pos="8280"/>
        </w:tabs>
        <w:spacing w:line="360" w:lineRule="auto"/>
        <w:ind w:firstLine="301" w:firstLineChars="100"/>
        <w:jc w:val="left"/>
        <w:rPr>
          <w:rFonts w:hint="eastAsia"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投</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标</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人：</w:t>
      </w:r>
      <w:r>
        <w:rPr>
          <w:rFonts w:hint="eastAsia" w:ascii="仿宋" w:hAnsi="仿宋" w:eastAsia="仿宋" w:cs="仿宋"/>
          <w:b/>
          <w:color w:val="auto"/>
          <w:sz w:val="30"/>
          <w:szCs w:val="30"/>
          <w:highlight w:val="none"/>
          <w:u w:val="single"/>
        </w:rPr>
        <w:t xml:space="preserve">              （盖公章）              </w:t>
      </w:r>
    </w:p>
    <w:p w14:paraId="684F8557">
      <w:pPr>
        <w:widowControl/>
        <w:tabs>
          <w:tab w:val="left" w:pos="8280"/>
        </w:tabs>
        <w:spacing w:line="360" w:lineRule="auto"/>
        <w:ind w:firstLine="480"/>
        <w:jc w:val="center"/>
        <w:rPr>
          <w:rFonts w:hint="eastAsia" w:ascii="仿宋" w:hAnsi="仿宋" w:eastAsia="仿宋" w:cs="仿宋"/>
          <w:b/>
          <w:color w:val="auto"/>
          <w:sz w:val="30"/>
          <w:szCs w:val="30"/>
          <w:highlight w:val="none"/>
        </w:rPr>
      </w:pPr>
    </w:p>
    <w:p w14:paraId="5552B44B">
      <w:pPr>
        <w:widowControl/>
        <w:tabs>
          <w:tab w:val="left" w:pos="350"/>
          <w:tab w:val="left" w:pos="8280"/>
        </w:tabs>
        <w:spacing w:line="360" w:lineRule="auto"/>
        <w:ind w:firstLine="301" w:firstLineChars="100"/>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日</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期：       年     月     日</w:t>
      </w:r>
    </w:p>
    <w:p w14:paraId="4EAD45CD">
      <w:pPr>
        <w:spacing w:line="360" w:lineRule="auto"/>
        <w:jc w:val="center"/>
        <w:rPr>
          <w:rFonts w:hint="default" w:ascii="宋体" w:hAnsi="宋体" w:eastAsia="仿宋" w:cs="宋体"/>
          <w:b/>
          <w:color w:val="auto"/>
          <w:sz w:val="32"/>
          <w:szCs w:val="32"/>
          <w:lang w:val="en-US" w:eastAsia="zh-CN"/>
        </w:rPr>
      </w:pPr>
      <w:r>
        <w:rPr>
          <w:rFonts w:hint="eastAsia" w:ascii="仿宋" w:hAnsi="仿宋" w:eastAsia="仿宋" w:cs="仿宋"/>
          <w:color w:val="auto"/>
          <w:sz w:val="24"/>
          <w:szCs w:val="24"/>
          <w:highlight w:val="none"/>
        </w:rPr>
        <w:br w:type="page"/>
      </w:r>
      <w:r>
        <w:rPr>
          <w:rFonts w:hint="eastAsia" w:ascii="仿宋" w:hAnsi="仿宋" w:eastAsia="仿宋" w:cs="仿宋"/>
          <w:b/>
          <w:bCs w:val="0"/>
          <w:color w:val="auto"/>
          <w:sz w:val="32"/>
          <w:szCs w:val="32"/>
          <w:highlight w:val="none"/>
          <w:lang w:val="en-US" w:eastAsia="zh-CN"/>
        </w:rPr>
        <w:t>二</w:t>
      </w:r>
      <w:r>
        <w:rPr>
          <w:rFonts w:hint="eastAsia" w:ascii="仿宋" w:hAnsi="仿宋" w:eastAsia="仿宋" w:cs="仿宋"/>
          <w:b/>
          <w:bCs w:val="0"/>
          <w:color w:val="auto"/>
          <w:sz w:val="32"/>
          <w:szCs w:val="32"/>
          <w:highlight w:val="none"/>
        </w:rPr>
        <w:t>、</w:t>
      </w:r>
      <w:r>
        <w:rPr>
          <w:rFonts w:hint="eastAsia" w:ascii="仿宋" w:hAnsi="仿宋" w:eastAsia="仿宋" w:cs="仿宋"/>
          <w:b/>
          <w:color w:val="auto"/>
          <w:sz w:val="32"/>
          <w:szCs w:val="32"/>
        </w:rPr>
        <w:t>符合参加采购活动应当具备的一般条件的承诺函</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格式）</w:t>
      </w:r>
    </w:p>
    <w:p w14:paraId="7A702059">
      <w:pPr>
        <w:autoSpaceDE/>
        <w:autoSpaceDN/>
        <w:snapToGrid w:val="0"/>
        <w:spacing w:line="420" w:lineRule="exact"/>
        <w:ind w:firstLine="480" w:firstLineChars="200"/>
        <w:rPr>
          <w:rFonts w:hint="eastAsia" w:ascii="仿宋" w:hAnsi="仿宋" w:eastAsia="仿宋" w:cs="仿宋"/>
          <w:color w:val="auto"/>
          <w:sz w:val="24"/>
          <w:u w:val="single"/>
          <w:lang w:eastAsia="zh-CN"/>
        </w:rPr>
      </w:pPr>
    </w:p>
    <w:p w14:paraId="52B77BBE">
      <w:pPr>
        <w:autoSpaceDE/>
        <w:autoSpaceDN/>
        <w:snapToGrid w:val="0"/>
        <w:spacing w:line="42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3BEC2BD0">
      <w:pPr>
        <w:autoSpaceDE/>
        <w:autoSpaceDN/>
        <w:snapToGrid w:val="0"/>
        <w:spacing w:line="420" w:lineRule="exact"/>
        <w:rPr>
          <w:rFonts w:hint="eastAsia" w:ascii="仿宋" w:hAnsi="仿宋" w:eastAsia="仿宋" w:cs="仿宋"/>
          <w:color w:val="auto"/>
          <w:sz w:val="24"/>
        </w:rPr>
      </w:pPr>
      <w:r>
        <w:rPr>
          <w:rFonts w:hint="eastAsia" w:ascii="仿宋" w:hAnsi="仿宋" w:eastAsia="仿宋" w:cs="仿宋"/>
          <w:color w:val="auto"/>
          <w:sz w:val="24"/>
          <w:lang w:val="en-US" w:eastAsia="zh-CN"/>
        </w:rPr>
        <w:t>浙江佰顺项目管理</w:t>
      </w:r>
      <w:r>
        <w:rPr>
          <w:rFonts w:hint="eastAsia" w:ascii="仿宋" w:hAnsi="仿宋" w:eastAsia="仿宋" w:cs="仿宋"/>
          <w:color w:val="auto"/>
          <w:sz w:val="24"/>
          <w:lang w:eastAsia="zh-CN"/>
        </w:rPr>
        <w:t>有限公司</w:t>
      </w:r>
      <w:r>
        <w:rPr>
          <w:rFonts w:hint="eastAsia" w:ascii="仿宋" w:hAnsi="仿宋" w:eastAsia="仿宋" w:cs="仿宋"/>
          <w:color w:val="auto"/>
          <w:sz w:val="24"/>
        </w:rPr>
        <w:t>：</w:t>
      </w:r>
    </w:p>
    <w:p w14:paraId="03E64414">
      <w:pPr>
        <w:autoSpaceDE/>
        <w:autoSpaceDN/>
        <w:snapToGrid w:val="0"/>
        <w:spacing w:line="42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（项目编号：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）采购活动，郑重承诺：</w:t>
      </w:r>
    </w:p>
    <w:p w14:paraId="484FCC11">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（一）具备《中华人民共和国政府采购法》第二十二条规定的以下条件：</w:t>
      </w:r>
    </w:p>
    <w:p w14:paraId="3312AD39">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4D0FFDD">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2、具有良好的商业信誉和健全的财务会计制度；</w:t>
      </w:r>
    </w:p>
    <w:p w14:paraId="77A8AC1D">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73AC85A2">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2A7F8DCC">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BAF7B28">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6、法律、行政法规规定的其他条件。</w:t>
      </w:r>
    </w:p>
    <w:p w14:paraId="3C0C5B79">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5BE0CF0D">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43E38380">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1、单位负责人为同一人或者存在直接控股、管理关系的不同供应商参加本项目的采购活动；</w:t>
      </w:r>
    </w:p>
    <w:p w14:paraId="088B52C0">
      <w:pPr>
        <w:autoSpaceDE/>
        <w:autoSpaceDN/>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2、为本采购项目提供整体设计、规范编制或者项目管理、监理、检测等服务后再参加该采购项目的其他采购活动的。</w:t>
      </w:r>
    </w:p>
    <w:p w14:paraId="14305F97">
      <w:pPr>
        <w:autoSpaceDE/>
        <w:autoSpaceDN/>
        <w:snapToGrid w:val="0"/>
        <w:spacing w:line="420" w:lineRule="exact"/>
        <w:ind w:firstLine="420" w:firstLineChars="200"/>
        <w:rPr>
          <w:rFonts w:hint="eastAsia" w:ascii="仿宋" w:hAnsi="仿宋" w:eastAsia="仿宋" w:cs="仿宋"/>
          <w:color w:val="auto"/>
        </w:rPr>
      </w:pPr>
    </w:p>
    <w:p w14:paraId="2FB2741C">
      <w:pPr>
        <w:rPr>
          <w:rFonts w:hint="eastAsia" w:ascii="仿宋" w:hAnsi="仿宋" w:eastAsia="仿宋" w:cs="仿宋"/>
          <w:color w:val="auto"/>
        </w:rPr>
      </w:pPr>
    </w:p>
    <w:p w14:paraId="7B3C7AA6">
      <w:pPr>
        <w:tabs>
          <w:tab w:val="left" w:pos="432"/>
        </w:tabs>
        <w:rPr>
          <w:rFonts w:hint="eastAsia" w:ascii="仿宋" w:hAnsi="仿宋" w:eastAsia="仿宋" w:cs="仿宋"/>
          <w:color w:val="auto"/>
        </w:rPr>
      </w:pPr>
    </w:p>
    <w:p w14:paraId="10AED898">
      <w:pPr>
        <w:rPr>
          <w:rFonts w:hint="eastAsia" w:ascii="仿宋" w:hAnsi="仿宋" w:eastAsia="仿宋" w:cs="仿宋"/>
          <w:color w:val="auto"/>
        </w:rPr>
      </w:pPr>
    </w:p>
    <w:p w14:paraId="425BD0C7">
      <w:pPr>
        <w:tabs>
          <w:tab w:val="left" w:pos="432"/>
        </w:tabs>
        <w:rPr>
          <w:rFonts w:hint="eastAsia" w:ascii="仿宋" w:hAnsi="仿宋" w:eastAsia="仿宋" w:cs="仿宋"/>
          <w:color w:val="auto"/>
        </w:rPr>
      </w:pPr>
    </w:p>
    <w:p w14:paraId="09CD1EC6">
      <w:pPr>
        <w:rPr>
          <w:rFonts w:hint="eastAsia" w:ascii="仿宋" w:hAnsi="仿宋" w:eastAsia="仿宋" w:cs="仿宋"/>
          <w:color w:val="auto"/>
        </w:rPr>
      </w:pPr>
    </w:p>
    <w:p w14:paraId="2A84091E">
      <w:pPr>
        <w:snapToGrid w:val="0"/>
        <w:spacing w:line="360" w:lineRule="auto"/>
        <w:ind w:firstLine="5520" w:firstLineChars="2300"/>
        <w:rPr>
          <w:rFonts w:hint="eastAsia" w:ascii="仿宋" w:hAnsi="仿宋" w:eastAsia="仿宋" w:cs="仿宋"/>
          <w:color w:val="auto"/>
          <w:sz w:val="24"/>
        </w:rPr>
      </w:pPr>
      <w:r>
        <w:rPr>
          <w:rFonts w:hint="eastAsia" w:ascii="仿宋" w:hAnsi="仿宋" w:eastAsia="仿宋" w:cs="仿宋"/>
          <w:color w:val="auto"/>
          <w:sz w:val="24"/>
          <w:lang w:val="zh-CN"/>
        </w:rPr>
        <w:t>投标人名称(电子签名)：</w:t>
      </w:r>
    </w:p>
    <w:p w14:paraId="7CE2F45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p>
    <w:p w14:paraId="1448EEF1">
      <w:pPr>
        <w:snapToGrid w:val="0"/>
        <w:spacing w:line="360" w:lineRule="auto"/>
        <w:ind w:right="480"/>
        <w:rPr>
          <w:rFonts w:hint="eastAsia" w:ascii="仿宋" w:hAnsi="仿宋" w:eastAsia="仿宋" w:cs="仿宋"/>
          <w:b/>
          <w:iCs/>
          <w:color w:val="auto"/>
          <w:sz w:val="24"/>
          <w:szCs w:val="22"/>
        </w:rPr>
      </w:pPr>
    </w:p>
    <w:p w14:paraId="7D6D00A2">
      <w:pPr>
        <w:snapToGrid w:val="0"/>
        <w:spacing w:line="360" w:lineRule="auto"/>
        <w:ind w:right="480"/>
        <w:rPr>
          <w:rFonts w:hint="eastAsia" w:ascii="仿宋" w:hAnsi="仿宋" w:eastAsia="仿宋" w:cs="仿宋"/>
          <w:b w:val="0"/>
          <w:bCs/>
          <w:iCs/>
          <w:color w:val="auto"/>
          <w:sz w:val="24"/>
          <w:szCs w:val="22"/>
        </w:rPr>
      </w:pPr>
      <w:r>
        <w:rPr>
          <w:rFonts w:hint="eastAsia" w:ascii="仿宋" w:hAnsi="仿宋" w:eastAsia="仿宋" w:cs="仿宋"/>
          <w:b w:val="0"/>
          <w:bCs/>
          <w:iCs/>
          <w:color w:val="auto"/>
          <w:sz w:val="24"/>
          <w:szCs w:val="22"/>
        </w:rPr>
        <w:t>『编制说明』：</w:t>
      </w:r>
    </w:p>
    <w:p w14:paraId="4C6AF074">
      <w:pPr>
        <w:numPr>
          <w:ilvl w:val="0"/>
          <w:numId w:val="4"/>
        </w:numPr>
        <w:snapToGrid w:val="0"/>
        <w:spacing w:line="360" w:lineRule="auto"/>
        <w:ind w:right="480"/>
        <w:rPr>
          <w:rFonts w:hint="eastAsia" w:ascii="仿宋" w:hAnsi="仿宋" w:eastAsia="仿宋" w:cs="仿宋"/>
          <w:b w:val="0"/>
          <w:bCs/>
          <w:iCs/>
          <w:color w:val="auto"/>
          <w:sz w:val="24"/>
          <w:szCs w:val="22"/>
          <w:u w:val="none"/>
        </w:rPr>
      </w:pPr>
      <w:r>
        <w:rPr>
          <w:rFonts w:hint="eastAsia" w:ascii="仿宋" w:hAnsi="仿宋" w:eastAsia="仿宋" w:cs="仿宋"/>
          <w:b w:val="0"/>
          <w:bCs/>
          <w:iCs/>
          <w:color w:val="auto"/>
          <w:sz w:val="24"/>
          <w:szCs w:val="22"/>
          <w:u w:val="none"/>
        </w:rPr>
        <w:t>供应商须按本格式和要求提供本函，否则投标无效。</w:t>
      </w:r>
    </w:p>
    <w:p w14:paraId="3BD0B3FC">
      <w:pPr>
        <w:numPr>
          <w:ilvl w:val="0"/>
          <w:numId w:val="0"/>
        </w:numPr>
        <w:snapToGrid w:val="0"/>
        <w:spacing w:line="360" w:lineRule="auto"/>
        <w:ind w:right="480" w:rightChars="0"/>
        <w:rPr>
          <w:rFonts w:hint="eastAsia" w:ascii="仿宋" w:hAnsi="仿宋" w:eastAsia="仿宋" w:cs="仿宋"/>
          <w:b w:val="0"/>
          <w:bCs/>
          <w:iCs/>
          <w:color w:val="auto"/>
          <w:sz w:val="32"/>
          <w:szCs w:val="32"/>
          <w:u w:val="none"/>
        </w:rPr>
      </w:pPr>
      <w:r>
        <w:rPr>
          <w:rFonts w:hint="eastAsia" w:ascii="仿宋" w:hAnsi="仿宋" w:eastAsia="仿宋" w:cs="仿宋"/>
          <w:b w:val="0"/>
          <w:bCs/>
          <w:iCs/>
          <w:color w:val="auto"/>
          <w:sz w:val="24"/>
          <w:szCs w:val="22"/>
          <w:u w:val="none"/>
        </w:rPr>
        <w:t>2.投标人为联合体的，联合体各方均须签署并提供本承诺函，否则投标无效。</w:t>
      </w:r>
    </w:p>
    <w:p w14:paraId="02BB20CF">
      <w:pPr>
        <w:pStyle w:val="3"/>
        <w:spacing w:line="500" w:lineRule="exact"/>
        <w:jc w:val="center"/>
        <w:rPr>
          <w:rFonts w:hint="eastAsia" w:ascii="仿宋" w:hAnsi="仿宋" w:eastAsia="仿宋" w:cs="仿宋"/>
          <w:b w:val="0"/>
          <w:color w:val="auto"/>
        </w:rPr>
      </w:pPr>
      <w:r>
        <w:rPr>
          <w:rFonts w:hint="eastAsia" w:ascii="仿宋" w:hAnsi="仿宋" w:eastAsia="仿宋" w:cs="仿宋"/>
          <w:b/>
          <w:bCs w:val="0"/>
          <w:color w:val="auto"/>
          <w:lang w:val="en-US" w:eastAsia="zh-CN"/>
        </w:rPr>
        <w:t>三</w:t>
      </w:r>
      <w:r>
        <w:rPr>
          <w:rFonts w:hint="eastAsia" w:ascii="仿宋" w:hAnsi="仿宋" w:eastAsia="仿宋" w:cs="仿宋"/>
          <w:b/>
          <w:bCs w:val="0"/>
          <w:color w:val="auto"/>
        </w:rPr>
        <w:t>、授权委托书（格式）</w:t>
      </w:r>
    </w:p>
    <w:p w14:paraId="40D3C9E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浙江佰顺项目管理有限公司</w:t>
      </w:r>
    </w:p>
    <w:p w14:paraId="4E45E99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或单位负责人）</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，以我方的名义参加贵</w:t>
      </w:r>
      <w:r>
        <w:rPr>
          <w:rFonts w:hint="eastAsia" w:ascii="仿宋" w:hAnsi="仿宋" w:eastAsia="仿宋" w:cs="仿宋"/>
          <w:color w:val="auto"/>
          <w:sz w:val="24"/>
          <w:szCs w:val="24"/>
          <w:lang w:val="en-US" w:eastAsia="zh-CN"/>
        </w:rPr>
        <w:t>公司</w:t>
      </w:r>
      <w:r>
        <w:rPr>
          <w:rFonts w:hint="eastAsia" w:ascii="仿宋" w:hAnsi="仿宋" w:eastAsia="仿宋" w:cs="仿宋"/>
          <w:color w:val="auto"/>
          <w:sz w:val="24"/>
          <w:szCs w:val="24"/>
        </w:rPr>
        <w:t>组织的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(招标项目)        </w:t>
      </w:r>
      <w:r>
        <w:rPr>
          <w:rFonts w:hint="eastAsia" w:ascii="仿宋" w:hAnsi="仿宋" w:eastAsia="仿宋" w:cs="仿宋"/>
          <w:color w:val="auto"/>
          <w:sz w:val="24"/>
          <w:szCs w:val="24"/>
        </w:rPr>
        <w:t>的投标活动，并代表我方全权办理针对上述项目的投标、开标、评标、签约等具体事务和签署相关文件。</w:t>
      </w:r>
    </w:p>
    <w:p w14:paraId="6DEE6996">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我方对被授权人的签名事项负全部责任。</w:t>
      </w:r>
    </w:p>
    <w:p w14:paraId="6FFEF677">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01B18A5B">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AC02816">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授权委托代表</w:t>
      </w:r>
      <w:r>
        <w:rPr>
          <w:rFonts w:hint="eastAsia" w:ascii="仿宋" w:hAnsi="仿宋" w:eastAsia="仿宋" w:cs="仿宋"/>
          <w:b/>
          <w:bCs/>
          <w:color w:val="auto"/>
          <w:sz w:val="24"/>
          <w:szCs w:val="24"/>
          <w:highlight w:val="none"/>
          <w:lang w:val="en-US" w:eastAsia="zh-CN"/>
        </w:rPr>
        <w:t>（身份证复印件）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56F4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120" w:type="dxa"/>
            <w:noWrap w:val="0"/>
            <w:vAlign w:val="top"/>
          </w:tcPr>
          <w:p w14:paraId="59E49339">
            <w:pPr>
              <w:pStyle w:val="39"/>
              <w:adjustRightInd w:val="0"/>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354C7DE5">
            <w:pPr>
              <w:pStyle w:val="39"/>
              <w:adjustRightInd w:val="0"/>
              <w:spacing w:line="360" w:lineRule="auto"/>
              <w:rPr>
                <w:rFonts w:hint="eastAsia" w:ascii="仿宋" w:hAnsi="仿宋" w:eastAsia="仿宋" w:cs="仿宋"/>
                <w:bCs/>
                <w:color w:val="auto"/>
                <w:sz w:val="24"/>
                <w:szCs w:val="21"/>
                <w:highlight w:val="none"/>
              </w:rPr>
            </w:pPr>
          </w:p>
          <w:p w14:paraId="2382A71F">
            <w:pPr>
              <w:pStyle w:val="39"/>
              <w:adjustRightInd w:val="0"/>
              <w:spacing w:line="360" w:lineRule="auto"/>
              <w:rPr>
                <w:rFonts w:hint="eastAsia" w:ascii="仿宋" w:hAnsi="仿宋" w:eastAsia="仿宋" w:cs="仿宋"/>
                <w:bCs/>
                <w:color w:val="auto"/>
                <w:sz w:val="24"/>
                <w:szCs w:val="21"/>
                <w:highlight w:val="none"/>
              </w:rPr>
            </w:pPr>
          </w:p>
          <w:p w14:paraId="47993873">
            <w:pPr>
              <w:pStyle w:val="39"/>
              <w:adjustRightInd w:val="0"/>
              <w:spacing w:line="360" w:lineRule="auto"/>
              <w:rPr>
                <w:rFonts w:hint="eastAsia" w:ascii="仿宋" w:hAnsi="仿宋" w:eastAsia="仿宋" w:cs="仿宋"/>
                <w:bCs/>
                <w:color w:val="auto"/>
                <w:sz w:val="24"/>
                <w:szCs w:val="21"/>
                <w:highlight w:val="none"/>
              </w:rPr>
            </w:pPr>
          </w:p>
          <w:p w14:paraId="052E803F">
            <w:pPr>
              <w:pStyle w:val="39"/>
              <w:adjustRightInd w:val="0"/>
              <w:spacing w:line="360" w:lineRule="auto"/>
              <w:rPr>
                <w:rFonts w:hint="eastAsia" w:ascii="仿宋" w:hAnsi="仿宋" w:eastAsia="仿宋" w:cs="仿宋"/>
                <w:bCs/>
                <w:color w:val="auto"/>
                <w:sz w:val="24"/>
                <w:szCs w:val="21"/>
                <w:highlight w:val="none"/>
              </w:rPr>
            </w:pPr>
          </w:p>
          <w:p w14:paraId="6637E622">
            <w:pPr>
              <w:pStyle w:val="39"/>
              <w:adjustRightInd w:val="0"/>
              <w:spacing w:line="360" w:lineRule="auto"/>
              <w:rPr>
                <w:rFonts w:hint="eastAsia" w:ascii="仿宋" w:hAnsi="仿宋" w:eastAsia="仿宋" w:cs="仿宋"/>
                <w:bCs/>
                <w:color w:val="auto"/>
                <w:sz w:val="24"/>
                <w:szCs w:val="21"/>
                <w:highlight w:val="none"/>
              </w:rPr>
            </w:pPr>
          </w:p>
        </w:tc>
      </w:tr>
    </w:tbl>
    <w:p w14:paraId="40F785D7">
      <w:pPr>
        <w:rPr>
          <w:rFonts w:hint="eastAsia" w:ascii="仿宋" w:hAnsi="仿宋" w:eastAsia="仿宋" w:cs="仿宋"/>
          <w:lang w:val="en-US" w:eastAsia="zh-CN"/>
        </w:rPr>
      </w:pPr>
    </w:p>
    <w:p w14:paraId="5E4F662A">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法定代表人（身份证复印件）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74B3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8120" w:type="dxa"/>
            <w:noWrap w:val="0"/>
            <w:vAlign w:val="top"/>
          </w:tcPr>
          <w:p w14:paraId="0E3E3928">
            <w:pPr>
              <w:pStyle w:val="39"/>
              <w:adjustRightInd w:val="0"/>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340A4292">
            <w:pPr>
              <w:pStyle w:val="39"/>
              <w:adjustRightInd w:val="0"/>
              <w:spacing w:line="360" w:lineRule="auto"/>
              <w:rPr>
                <w:rFonts w:hint="eastAsia" w:ascii="仿宋" w:hAnsi="仿宋" w:eastAsia="仿宋" w:cs="仿宋"/>
                <w:bCs/>
                <w:color w:val="auto"/>
                <w:sz w:val="24"/>
                <w:szCs w:val="21"/>
                <w:highlight w:val="none"/>
              </w:rPr>
            </w:pPr>
          </w:p>
        </w:tc>
      </w:tr>
    </w:tbl>
    <w:p w14:paraId="7ABA7EA0">
      <w:pPr>
        <w:spacing w:line="360" w:lineRule="auto"/>
        <w:rPr>
          <w:rFonts w:hint="eastAsia" w:ascii="仿宋" w:hAnsi="仿宋" w:eastAsia="仿宋" w:cs="仿宋"/>
          <w:color w:val="auto"/>
          <w:sz w:val="24"/>
          <w:szCs w:val="24"/>
        </w:rPr>
      </w:pPr>
    </w:p>
    <w:p w14:paraId="4258F54B">
      <w:pPr>
        <w:spacing w:line="360"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(盖章)</w:t>
      </w:r>
    </w:p>
    <w:p w14:paraId="0A0A901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0F6B20B">
      <w:pPr>
        <w:pStyle w:val="3"/>
        <w:spacing w:line="360" w:lineRule="auto"/>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四、</w:t>
      </w:r>
      <w:r>
        <w:rPr>
          <w:rFonts w:hint="eastAsia" w:ascii="仿宋" w:hAnsi="仿宋" w:eastAsia="仿宋" w:cs="仿宋"/>
          <w:b/>
          <w:bCs w:val="0"/>
          <w:color w:val="auto"/>
          <w:sz w:val="32"/>
          <w:szCs w:val="32"/>
          <w:highlight w:val="none"/>
        </w:rPr>
        <w:t>投标函（格式）</w:t>
      </w:r>
    </w:p>
    <w:p w14:paraId="4C27E1C1">
      <w:pPr>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致：</w:t>
      </w:r>
      <w:r>
        <w:rPr>
          <w:rFonts w:hint="eastAsia" w:ascii="仿宋" w:hAnsi="仿宋" w:eastAsia="仿宋" w:cs="仿宋"/>
          <w:color w:val="auto"/>
          <w:spacing w:val="8"/>
          <w:sz w:val="24"/>
          <w:szCs w:val="24"/>
          <w:highlight w:val="none"/>
          <w:lang w:eastAsia="zh-CN"/>
        </w:rPr>
        <w:t>浙江佰顺项目管理有限公司</w:t>
      </w:r>
    </w:p>
    <w:p w14:paraId="0CA91747">
      <w:pPr>
        <w:spacing w:line="360" w:lineRule="auto"/>
        <w:ind w:firstLine="384" w:firstLineChars="150"/>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根据贵方</w:t>
      </w:r>
      <w:r>
        <w:rPr>
          <w:rFonts w:hint="eastAsia" w:ascii="仿宋" w:hAnsi="仿宋" w:eastAsia="仿宋" w:cs="仿宋"/>
          <w:color w:val="auto"/>
          <w:spacing w:val="8"/>
          <w:sz w:val="24"/>
          <w:szCs w:val="24"/>
          <w:highlight w:val="none"/>
          <w:u w:val="single"/>
        </w:rPr>
        <w:t xml:space="preserve">                           项目的</w:t>
      </w:r>
      <w:r>
        <w:rPr>
          <w:rFonts w:hint="eastAsia" w:ascii="仿宋" w:hAnsi="仿宋" w:eastAsia="仿宋" w:cs="仿宋"/>
          <w:color w:val="auto"/>
          <w:spacing w:val="8"/>
          <w:sz w:val="24"/>
          <w:szCs w:val="24"/>
          <w:highlight w:val="none"/>
        </w:rPr>
        <w:t>招标文件（编号：</w:t>
      </w:r>
      <w:r>
        <w:rPr>
          <w:rFonts w:hint="eastAsia" w:ascii="仿宋" w:hAnsi="仿宋" w:eastAsia="仿宋" w:cs="仿宋"/>
          <w:color w:val="auto"/>
          <w:spacing w:val="8"/>
          <w:sz w:val="24"/>
          <w:szCs w:val="24"/>
          <w:highlight w:val="none"/>
          <w:lang w:val="en-US" w:eastAsia="zh-CN"/>
        </w:rPr>
        <w:t>浙江佰顺2025</w:t>
      </w:r>
      <w:r>
        <w:rPr>
          <w:rFonts w:hint="eastAsia" w:ascii="仿宋" w:hAnsi="仿宋" w:eastAsia="仿宋" w:cs="仿宋"/>
          <w:color w:val="auto"/>
          <w:spacing w:val="8"/>
          <w:sz w:val="24"/>
          <w:szCs w:val="24"/>
          <w:highlight w:val="none"/>
        </w:rPr>
        <w:t xml:space="preserve">-**-**）有关要求， </w:t>
      </w:r>
      <w:r>
        <w:rPr>
          <w:rFonts w:hint="eastAsia" w:ascii="仿宋" w:hAnsi="仿宋" w:eastAsia="仿宋" w:cs="仿宋"/>
          <w:color w:val="auto"/>
          <w:spacing w:val="8"/>
          <w:sz w:val="24"/>
          <w:szCs w:val="24"/>
          <w:highlight w:val="none"/>
          <w:u w:val="single"/>
        </w:rPr>
        <w:t xml:space="preserve">   　　（投标人全称）       </w:t>
      </w:r>
      <w:r>
        <w:rPr>
          <w:rFonts w:hint="eastAsia" w:ascii="仿宋" w:hAnsi="仿宋" w:eastAsia="仿宋" w:cs="仿宋"/>
          <w:color w:val="auto"/>
          <w:spacing w:val="8"/>
          <w:sz w:val="24"/>
          <w:szCs w:val="24"/>
          <w:highlight w:val="none"/>
        </w:rPr>
        <w:t>授权</w:t>
      </w:r>
      <w:r>
        <w:rPr>
          <w:rFonts w:hint="eastAsia" w:ascii="仿宋" w:hAnsi="仿宋" w:eastAsia="仿宋" w:cs="仿宋"/>
          <w:color w:val="auto"/>
          <w:spacing w:val="8"/>
          <w:sz w:val="24"/>
          <w:szCs w:val="24"/>
          <w:highlight w:val="none"/>
          <w:u w:val="single"/>
        </w:rPr>
        <w:t xml:space="preserve">     （委托代理人姓名）   </w:t>
      </w:r>
      <w:r>
        <w:rPr>
          <w:rFonts w:hint="eastAsia" w:ascii="仿宋" w:hAnsi="仿宋" w:eastAsia="仿宋" w:cs="仿宋"/>
          <w:color w:val="auto"/>
          <w:sz w:val="24"/>
          <w:szCs w:val="24"/>
          <w:highlight w:val="none"/>
        </w:rPr>
        <w:t>为全权代表，参加贵方组织的招标采购活动，并进行投标。为此：</w:t>
      </w:r>
    </w:p>
    <w:p w14:paraId="70D508D6">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1、我方已详细研读了全部招标文件，包括修改文件（如有的话）以及全部参考资料和有关附件等，</w:t>
      </w:r>
      <w:r>
        <w:rPr>
          <w:rFonts w:hint="eastAsia" w:ascii="仿宋" w:hAnsi="仿宋" w:eastAsia="仿宋" w:cs="仿宋"/>
          <w:bCs/>
          <w:color w:val="auto"/>
          <w:sz w:val="24"/>
          <w:szCs w:val="24"/>
          <w:highlight w:val="none"/>
        </w:rPr>
        <w:t>完全理解并接受招标文件的各项规定和要求，对招标文件的合理性、合法性不再有异议。</w:t>
      </w:r>
    </w:p>
    <w:p w14:paraId="7D1F1BA0">
      <w:pPr>
        <w:tabs>
          <w:tab w:val="left" w:pos="9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2、我方承诺本投标文件在开标之日起至投标有效期满均具有约束力，并严格遵守投标文件中的承诺。</w:t>
      </w:r>
    </w:p>
    <w:p w14:paraId="319F55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3、我方承诺已经具备招标文件中规定的参加本项目的供应商资格条件。</w:t>
      </w:r>
    </w:p>
    <w:p w14:paraId="51D00E3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4、我方严格按照招标文件的规定报价，并提供招标文件规定的全部投标文件。</w:t>
      </w:r>
    </w:p>
    <w:p w14:paraId="75035B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5、如我方中标，投标文件将作为本项目合同的组成部分，直到合同履行完毕均保持有效，我方将按招标文件及采购法律、法规的规定履行合同责任和义务。</w:t>
      </w:r>
    </w:p>
    <w:p w14:paraId="112A06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6、我方完全理解贵方不一定接受最低价的投标。</w:t>
      </w:r>
    </w:p>
    <w:p w14:paraId="0C793C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7、我方同意向贵方提供任何与该项投标有关的一切数据或资料。若贵方需要，我方愿意提供我方作出的一切承诺的证明材料。</w:t>
      </w:r>
    </w:p>
    <w:p w14:paraId="387E7F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8、与本次投标有关的一切正式往来通讯，请寄：</w:t>
      </w:r>
    </w:p>
    <w:p w14:paraId="036025FD">
      <w:pPr>
        <w:spacing w:line="360" w:lineRule="auto"/>
        <w:ind w:firstLine="42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30E09B79">
      <w:pPr>
        <w:spacing w:line="360" w:lineRule="auto"/>
        <w:ind w:firstLine="42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w:t>
      </w:r>
    </w:p>
    <w:p w14:paraId="1CA4D0A9">
      <w:pPr>
        <w:spacing w:line="360" w:lineRule="auto"/>
        <w:ind w:firstLine="425"/>
        <w:rPr>
          <w:rFonts w:hint="eastAsia" w:ascii="仿宋" w:hAnsi="仿宋" w:eastAsia="仿宋" w:cs="仿宋"/>
          <w:color w:val="auto"/>
          <w:sz w:val="24"/>
          <w:szCs w:val="24"/>
          <w:highlight w:val="none"/>
        </w:rPr>
      </w:pPr>
    </w:p>
    <w:p w14:paraId="21090F4E">
      <w:pPr>
        <w:spacing w:line="360" w:lineRule="auto"/>
        <w:ind w:firstLine="4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投标人名称：</w:t>
      </w:r>
      <w:r>
        <w:rPr>
          <w:rFonts w:hint="eastAsia" w:ascii="仿宋" w:hAnsi="仿宋" w:eastAsia="仿宋" w:cs="仿宋"/>
          <w:color w:val="auto"/>
          <w:sz w:val="24"/>
          <w:szCs w:val="24"/>
          <w:highlight w:val="none"/>
          <w:u w:val="single"/>
        </w:rPr>
        <w:t xml:space="preserve">            （盖公章）              </w:t>
      </w:r>
    </w:p>
    <w:p w14:paraId="28C0DD3E">
      <w:pPr>
        <w:spacing w:line="360" w:lineRule="auto"/>
        <w:ind w:firstLine="425"/>
        <w:rPr>
          <w:rFonts w:hint="eastAsia" w:ascii="仿宋" w:hAnsi="仿宋" w:eastAsia="仿宋" w:cs="仿宋"/>
          <w:color w:val="auto"/>
          <w:sz w:val="24"/>
          <w:szCs w:val="24"/>
          <w:highlight w:val="none"/>
          <w:u w:val="single"/>
        </w:rPr>
      </w:pPr>
    </w:p>
    <w:p w14:paraId="3B1B78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F6AFBCC">
      <w:pPr>
        <w:pStyle w:val="3"/>
        <w:spacing w:line="360" w:lineRule="auto"/>
        <w:jc w:val="both"/>
        <w:rPr>
          <w:rFonts w:hint="eastAsia" w:ascii="仿宋" w:hAnsi="仿宋" w:eastAsia="仿宋" w:cs="仿宋"/>
          <w:b w:val="0"/>
          <w:color w:val="auto"/>
          <w:sz w:val="24"/>
          <w:szCs w:val="24"/>
          <w:highlight w:val="none"/>
        </w:rPr>
      </w:pPr>
    </w:p>
    <w:p w14:paraId="39626C5D">
      <w:pPr>
        <w:pStyle w:val="3"/>
        <w:spacing w:line="360" w:lineRule="auto"/>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br w:type="page"/>
      </w:r>
    </w:p>
    <w:p w14:paraId="668B9764">
      <w:pPr>
        <w:autoSpaceDE/>
        <w:autoSpaceDN/>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、符合性审查资料</w:t>
      </w:r>
    </w:p>
    <w:p w14:paraId="25EFD061">
      <w:pPr>
        <w:autoSpaceDE/>
        <w:autoSpaceDN/>
        <w:spacing w:line="420" w:lineRule="exact"/>
        <w:jc w:val="center"/>
        <w:rPr>
          <w:rFonts w:hint="eastAsia" w:ascii="宋体" w:hAnsi="宋体" w:cs="宋体"/>
          <w:b/>
          <w:color w:val="auto"/>
          <w:sz w:val="32"/>
          <w:szCs w:val="32"/>
        </w:rPr>
      </w:pPr>
    </w:p>
    <w:tbl>
      <w:tblPr>
        <w:tblStyle w:val="2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750"/>
        <w:gridCol w:w="3210"/>
        <w:gridCol w:w="1121"/>
      </w:tblGrid>
      <w:tr w14:paraId="6CC3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31" w:type="dxa"/>
            <w:noWrap w:val="0"/>
            <w:vAlign w:val="center"/>
          </w:tcPr>
          <w:p w14:paraId="299007D3">
            <w:pPr>
              <w:autoSpaceDE/>
              <w:autoSpaceDN/>
              <w:snapToGrid w:val="0"/>
              <w:spacing w:line="420" w:lineRule="exac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750" w:type="dxa"/>
            <w:noWrap w:val="0"/>
            <w:vAlign w:val="center"/>
          </w:tcPr>
          <w:p w14:paraId="5EDDD3F4">
            <w:pPr>
              <w:autoSpaceDE/>
              <w:autoSpaceDN/>
              <w:snapToGrid w:val="0"/>
              <w:spacing w:line="420" w:lineRule="exac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210" w:type="dxa"/>
            <w:noWrap w:val="0"/>
            <w:vAlign w:val="center"/>
          </w:tcPr>
          <w:p w14:paraId="0B5E1296">
            <w:pPr>
              <w:autoSpaceDE/>
              <w:autoSpaceDN/>
              <w:snapToGrid w:val="0"/>
              <w:spacing w:line="420" w:lineRule="exac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121" w:type="dxa"/>
            <w:noWrap w:val="0"/>
            <w:vAlign w:val="center"/>
          </w:tcPr>
          <w:p w14:paraId="1B59E230">
            <w:pPr>
              <w:autoSpaceDE/>
              <w:autoSpaceDN/>
              <w:snapToGrid w:val="0"/>
              <w:spacing w:line="420" w:lineRule="exact"/>
              <w:jc w:val="center"/>
              <w:rPr>
                <w:rFonts w:hint="eastAsia" w:ascii="仿宋" w:hAnsi="仿宋" w:eastAsia="仿宋" w:cs="仿宋"/>
                <w:b/>
                <w:color w:val="auto"/>
                <w:sz w:val="24"/>
              </w:rPr>
            </w:pPr>
            <w:r>
              <w:rPr>
                <w:rFonts w:hint="eastAsia" w:ascii="仿宋" w:hAnsi="仿宋" w:eastAsia="仿宋" w:cs="仿宋"/>
                <w:b/>
                <w:color w:val="auto"/>
                <w:sz w:val="24"/>
              </w:rPr>
              <w:t>页码</w:t>
            </w:r>
          </w:p>
        </w:tc>
      </w:tr>
      <w:tr w14:paraId="7E8F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1" w:type="dxa"/>
            <w:noWrap w:val="0"/>
            <w:vAlign w:val="center"/>
          </w:tcPr>
          <w:p w14:paraId="1BC9B63F">
            <w:pPr>
              <w:autoSpaceDE/>
              <w:autoSpaceDN/>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750" w:type="dxa"/>
            <w:noWrap w:val="0"/>
            <w:vAlign w:val="center"/>
          </w:tcPr>
          <w:p w14:paraId="29503E56">
            <w:pPr>
              <w:autoSpaceDE/>
              <w:autoSpaceDN/>
              <w:spacing w:line="420" w:lineRule="exact"/>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3210" w:type="dxa"/>
            <w:noWrap w:val="0"/>
            <w:vAlign w:val="center"/>
          </w:tcPr>
          <w:p w14:paraId="22BDBAE9">
            <w:pPr>
              <w:autoSpaceDE/>
              <w:autoSpaceDN/>
              <w:spacing w:line="420" w:lineRule="exact"/>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121" w:type="dxa"/>
            <w:noWrap w:val="0"/>
            <w:vAlign w:val="center"/>
          </w:tcPr>
          <w:p w14:paraId="69C8C1BE">
            <w:pPr>
              <w:autoSpaceDE/>
              <w:autoSpaceDN/>
              <w:spacing w:line="420" w:lineRule="exact"/>
              <w:jc w:val="center"/>
              <w:rPr>
                <w:rFonts w:hint="eastAsia" w:ascii="仿宋" w:hAnsi="仿宋" w:eastAsia="仿宋" w:cs="仿宋"/>
                <w:color w:val="auto"/>
                <w:sz w:val="24"/>
              </w:rPr>
            </w:pPr>
          </w:p>
        </w:tc>
      </w:tr>
      <w:tr w14:paraId="2D0F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1" w:type="dxa"/>
            <w:noWrap w:val="0"/>
            <w:vAlign w:val="center"/>
          </w:tcPr>
          <w:p w14:paraId="61850AC5">
            <w:pPr>
              <w:autoSpaceDE/>
              <w:autoSpaceDN/>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750" w:type="dxa"/>
            <w:noWrap w:val="0"/>
            <w:vAlign w:val="center"/>
          </w:tcPr>
          <w:p w14:paraId="0C25C222">
            <w:pPr>
              <w:autoSpaceDE/>
              <w:autoSpaceDN/>
              <w:spacing w:line="420" w:lineRule="exact"/>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3210" w:type="dxa"/>
            <w:noWrap w:val="0"/>
            <w:vAlign w:val="center"/>
          </w:tcPr>
          <w:p w14:paraId="11E2D4CA">
            <w:pPr>
              <w:autoSpaceDE/>
              <w:autoSpaceDN/>
              <w:spacing w:line="420" w:lineRule="exact"/>
              <w:rPr>
                <w:rFonts w:hint="eastAsia" w:ascii="仿宋" w:hAnsi="仿宋" w:eastAsia="仿宋" w:cs="仿宋"/>
                <w:color w:val="auto"/>
                <w:sz w:val="24"/>
              </w:rPr>
            </w:pPr>
            <w:r>
              <w:rPr>
                <w:rFonts w:hint="eastAsia" w:ascii="仿宋" w:hAnsi="仿宋" w:eastAsia="仿宋" w:cs="仿宋"/>
                <w:color w:val="auto"/>
                <w:sz w:val="24"/>
              </w:rPr>
              <w:t>投标函</w:t>
            </w:r>
          </w:p>
        </w:tc>
        <w:tc>
          <w:tcPr>
            <w:tcW w:w="1121" w:type="dxa"/>
            <w:noWrap w:val="0"/>
            <w:vAlign w:val="center"/>
          </w:tcPr>
          <w:p w14:paraId="4CB01D3E">
            <w:pPr>
              <w:autoSpaceDE/>
              <w:autoSpaceDN/>
              <w:spacing w:line="420" w:lineRule="exact"/>
              <w:jc w:val="center"/>
              <w:rPr>
                <w:rFonts w:hint="eastAsia" w:ascii="仿宋" w:hAnsi="仿宋" w:eastAsia="仿宋" w:cs="仿宋"/>
                <w:color w:val="auto"/>
                <w:sz w:val="24"/>
              </w:rPr>
            </w:pPr>
          </w:p>
        </w:tc>
      </w:tr>
      <w:tr w14:paraId="0648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1" w:type="dxa"/>
            <w:noWrap w:val="0"/>
            <w:vAlign w:val="center"/>
          </w:tcPr>
          <w:p w14:paraId="1503709B">
            <w:pPr>
              <w:autoSpaceDE/>
              <w:autoSpaceDN/>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750" w:type="dxa"/>
            <w:noWrap w:val="0"/>
            <w:vAlign w:val="center"/>
          </w:tcPr>
          <w:p w14:paraId="24B387C6">
            <w:pPr>
              <w:autoSpaceDE/>
              <w:autoSpaceDN/>
              <w:spacing w:line="420" w:lineRule="exact"/>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3210" w:type="dxa"/>
            <w:noWrap w:val="0"/>
            <w:vAlign w:val="center"/>
          </w:tcPr>
          <w:p w14:paraId="7F6B8FE7">
            <w:pPr>
              <w:autoSpaceDE/>
              <w:autoSpaceDN/>
              <w:spacing w:line="420" w:lineRule="exact"/>
              <w:rPr>
                <w:rFonts w:hint="eastAsia" w:ascii="仿宋" w:hAnsi="仿宋" w:eastAsia="仿宋" w:cs="仿宋"/>
                <w:color w:val="auto"/>
                <w:sz w:val="24"/>
              </w:rPr>
            </w:pPr>
            <w:r>
              <w:rPr>
                <w:rFonts w:hint="eastAsia" w:ascii="仿宋" w:hAnsi="仿宋" w:eastAsia="仿宋" w:cs="仿宋"/>
                <w:color w:val="auto"/>
                <w:sz w:val="24"/>
              </w:rPr>
              <w:t>招标文件其它实质性要求相应的材料（“★” 系指实质性要求条款，招标文件无其它实质性要求的，无需提供）</w:t>
            </w:r>
          </w:p>
        </w:tc>
        <w:tc>
          <w:tcPr>
            <w:tcW w:w="1121" w:type="dxa"/>
            <w:noWrap w:val="0"/>
            <w:vAlign w:val="center"/>
          </w:tcPr>
          <w:p w14:paraId="08654A1E">
            <w:pPr>
              <w:autoSpaceDE/>
              <w:autoSpaceDN/>
              <w:spacing w:line="420" w:lineRule="exact"/>
              <w:jc w:val="center"/>
              <w:rPr>
                <w:rFonts w:hint="eastAsia" w:ascii="仿宋" w:hAnsi="仿宋" w:eastAsia="仿宋" w:cs="仿宋"/>
                <w:color w:val="auto"/>
                <w:sz w:val="24"/>
              </w:rPr>
            </w:pPr>
          </w:p>
        </w:tc>
      </w:tr>
    </w:tbl>
    <w:p w14:paraId="4374EDF3">
      <w:pPr>
        <w:jc w:val="center"/>
        <w:rPr>
          <w:rFonts w:hint="eastAsia" w:ascii="仿宋" w:hAnsi="仿宋" w:eastAsia="仿宋" w:cs="仿宋"/>
          <w:b/>
          <w:bCs w:val="0"/>
          <w:color w:val="auto"/>
          <w:sz w:val="30"/>
          <w:szCs w:val="30"/>
          <w:highlight w:val="none"/>
          <w:lang w:val="en-US" w:eastAsia="zh-CN"/>
        </w:rPr>
      </w:pPr>
    </w:p>
    <w:p w14:paraId="6A690364">
      <w:pPr>
        <w:jc w:val="center"/>
        <w:rPr>
          <w:rFonts w:hint="eastAsia" w:ascii="仿宋" w:hAnsi="仿宋" w:eastAsia="仿宋" w:cs="仿宋"/>
          <w:b/>
          <w:bCs w:val="0"/>
          <w:color w:val="auto"/>
          <w:sz w:val="30"/>
          <w:szCs w:val="30"/>
          <w:highlight w:val="none"/>
          <w:lang w:val="en-US" w:eastAsia="zh-CN"/>
        </w:rPr>
      </w:pPr>
    </w:p>
    <w:p w14:paraId="5789369C">
      <w:pPr>
        <w:jc w:val="center"/>
        <w:rPr>
          <w:rFonts w:hint="eastAsia" w:ascii="仿宋" w:hAnsi="仿宋" w:eastAsia="仿宋" w:cs="仿宋"/>
          <w:b/>
          <w:bCs w:val="0"/>
          <w:color w:val="auto"/>
          <w:sz w:val="30"/>
          <w:szCs w:val="30"/>
          <w:highlight w:val="none"/>
          <w:lang w:val="en-US" w:eastAsia="zh-CN"/>
        </w:rPr>
      </w:pPr>
    </w:p>
    <w:p w14:paraId="090519C1">
      <w:pPr>
        <w:jc w:val="center"/>
        <w:rPr>
          <w:rFonts w:hint="eastAsia" w:ascii="仿宋" w:hAnsi="仿宋" w:eastAsia="仿宋" w:cs="仿宋"/>
          <w:b/>
          <w:bCs w:val="0"/>
          <w:color w:val="auto"/>
          <w:sz w:val="30"/>
          <w:szCs w:val="30"/>
          <w:highlight w:val="none"/>
          <w:lang w:val="en-US" w:eastAsia="zh-CN"/>
        </w:rPr>
      </w:pPr>
    </w:p>
    <w:p w14:paraId="3C20521B">
      <w:pPr>
        <w:jc w:val="center"/>
        <w:rPr>
          <w:rFonts w:hint="eastAsia" w:ascii="仿宋" w:hAnsi="仿宋" w:eastAsia="仿宋" w:cs="仿宋"/>
          <w:b/>
          <w:bCs w:val="0"/>
          <w:color w:val="auto"/>
          <w:sz w:val="30"/>
          <w:szCs w:val="30"/>
          <w:highlight w:val="none"/>
          <w:lang w:val="en-US" w:eastAsia="zh-CN"/>
        </w:rPr>
      </w:pPr>
    </w:p>
    <w:p w14:paraId="14BE99AB">
      <w:pPr>
        <w:jc w:val="center"/>
        <w:rPr>
          <w:rFonts w:hint="eastAsia" w:ascii="仿宋" w:hAnsi="仿宋" w:eastAsia="仿宋" w:cs="仿宋"/>
          <w:b/>
          <w:bCs w:val="0"/>
          <w:color w:val="auto"/>
          <w:sz w:val="30"/>
          <w:szCs w:val="30"/>
          <w:highlight w:val="none"/>
          <w:lang w:val="en-US" w:eastAsia="zh-CN"/>
        </w:rPr>
      </w:pPr>
    </w:p>
    <w:p w14:paraId="488644D9">
      <w:pPr>
        <w:jc w:val="center"/>
        <w:rPr>
          <w:rFonts w:hint="eastAsia" w:ascii="仿宋" w:hAnsi="仿宋" w:eastAsia="仿宋" w:cs="仿宋"/>
          <w:b/>
          <w:bCs w:val="0"/>
          <w:color w:val="auto"/>
          <w:sz w:val="30"/>
          <w:szCs w:val="30"/>
          <w:highlight w:val="none"/>
          <w:lang w:val="en-US" w:eastAsia="zh-CN"/>
        </w:rPr>
      </w:pPr>
    </w:p>
    <w:p w14:paraId="3DC835C8">
      <w:pPr>
        <w:jc w:val="center"/>
        <w:rPr>
          <w:rFonts w:hint="eastAsia" w:ascii="仿宋" w:hAnsi="仿宋" w:eastAsia="仿宋" w:cs="仿宋"/>
          <w:b/>
          <w:bCs w:val="0"/>
          <w:color w:val="auto"/>
          <w:sz w:val="30"/>
          <w:szCs w:val="30"/>
          <w:highlight w:val="none"/>
          <w:lang w:val="en-US" w:eastAsia="zh-CN"/>
        </w:rPr>
      </w:pPr>
    </w:p>
    <w:p w14:paraId="6AF7EBEA">
      <w:pPr>
        <w:jc w:val="center"/>
        <w:rPr>
          <w:rFonts w:hint="eastAsia" w:ascii="仿宋" w:hAnsi="仿宋" w:eastAsia="仿宋" w:cs="仿宋"/>
          <w:b/>
          <w:bCs w:val="0"/>
          <w:color w:val="auto"/>
          <w:sz w:val="30"/>
          <w:szCs w:val="30"/>
          <w:highlight w:val="none"/>
          <w:lang w:val="en-US" w:eastAsia="zh-CN"/>
        </w:rPr>
      </w:pPr>
    </w:p>
    <w:p w14:paraId="1163CC5E">
      <w:pPr>
        <w:jc w:val="center"/>
        <w:rPr>
          <w:rFonts w:hint="eastAsia" w:ascii="仿宋" w:hAnsi="仿宋" w:eastAsia="仿宋" w:cs="仿宋"/>
          <w:b/>
          <w:bCs w:val="0"/>
          <w:color w:val="auto"/>
          <w:sz w:val="30"/>
          <w:szCs w:val="30"/>
          <w:highlight w:val="none"/>
          <w:lang w:val="en-US" w:eastAsia="zh-CN"/>
        </w:rPr>
      </w:pPr>
    </w:p>
    <w:p w14:paraId="16857C71">
      <w:pPr>
        <w:jc w:val="center"/>
        <w:rPr>
          <w:rFonts w:hint="eastAsia" w:ascii="仿宋" w:hAnsi="仿宋" w:eastAsia="仿宋" w:cs="仿宋"/>
          <w:b/>
          <w:bCs w:val="0"/>
          <w:color w:val="auto"/>
          <w:sz w:val="30"/>
          <w:szCs w:val="30"/>
          <w:highlight w:val="none"/>
          <w:lang w:val="en-US" w:eastAsia="zh-CN"/>
        </w:rPr>
      </w:pPr>
    </w:p>
    <w:p w14:paraId="46CE83A2">
      <w:pPr>
        <w:jc w:val="center"/>
        <w:rPr>
          <w:rFonts w:hint="eastAsia" w:ascii="仿宋" w:hAnsi="仿宋" w:eastAsia="仿宋" w:cs="仿宋"/>
          <w:b/>
          <w:bCs w:val="0"/>
          <w:color w:val="auto"/>
          <w:sz w:val="30"/>
          <w:szCs w:val="30"/>
          <w:highlight w:val="none"/>
          <w:lang w:val="en-US" w:eastAsia="zh-CN"/>
        </w:rPr>
      </w:pPr>
    </w:p>
    <w:p w14:paraId="36195A94">
      <w:pPr>
        <w:jc w:val="center"/>
        <w:rPr>
          <w:rFonts w:hint="eastAsia" w:ascii="仿宋" w:hAnsi="仿宋" w:eastAsia="仿宋" w:cs="仿宋"/>
          <w:b/>
          <w:bCs w:val="0"/>
          <w:color w:val="auto"/>
          <w:sz w:val="30"/>
          <w:szCs w:val="30"/>
          <w:highlight w:val="none"/>
          <w:lang w:val="en-US" w:eastAsia="zh-CN"/>
        </w:rPr>
      </w:pPr>
    </w:p>
    <w:p w14:paraId="7A69E983">
      <w:pPr>
        <w:jc w:val="center"/>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六、商务技术偏离表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6EF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55133356">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289" w:type="dxa"/>
            <w:noWrap w:val="0"/>
            <w:vAlign w:val="center"/>
          </w:tcPr>
          <w:p w14:paraId="00E579C0">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940" w:type="dxa"/>
            <w:noWrap w:val="0"/>
            <w:vAlign w:val="center"/>
          </w:tcPr>
          <w:p w14:paraId="2A2B8472">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投标文件章节（页码）及具体内容</w:t>
            </w:r>
          </w:p>
        </w:tc>
        <w:tc>
          <w:tcPr>
            <w:tcW w:w="1276" w:type="dxa"/>
            <w:noWrap w:val="0"/>
            <w:vAlign w:val="center"/>
          </w:tcPr>
          <w:p w14:paraId="4DEB2A45">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3B9E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2A37799B">
            <w:pPr>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p>
        </w:tc>
        <w:tc>
          <w:tcPr>
            <w:tcW w:w="3289" w:type="dxa"/>
            <w:noWrap w:val="0"/>
            <w:vAlign w:val="center"/>
          </w:tcPr>
          <w:p w14:paraId="41030E1D">
            <w:pPr>
              <w:jc w:val="center"/>
              <w:rPr>
                <w:rFonts w:hint="eastAsia" w:ascii="仿宋" w:hAnsi="仿宋" w:eastAsia="仿宋" w:cs="仿宋"/>
                <w:b w:val="0"/>
                <w:bCs w:val="0"/>
                <w:color w:val="auto"/>
                <w:sz w:val="32"/>
                <w:szCs w:val="32"/>
              </w:rPr>
            </w:pPr>
          </w:p>
        </w:tc>
        <w:tc>
          <w:tcPr>
            <w:tcW w:w="3940" w:type="dxa"/>
            <w:noWrap w:val="0"/>
            <w:vAlign w:val="center"/>
          </w:tcPr>
          <w:p w14:paraId="07D0343B">
            <w:pPr>
              <w:jc w:val="center"/>
              <w:rPr>
                <w:rFonts w:hint="eastAsia" w:ascii="仿宋" w:hAnsi="仿宋" w:eastAsia="仿宋" w:cs="仿宋"/>
                <w:b w:val="0"/>
                <w:bCs w:val="0"/>
                <w:color w:val="auto"/>
                <w:sz w:val="32"/>
                <w:szCs w:val="32"/>
              </w:rPr>
            </w:pPr>
          </w:p>
        </w:tc>
        <w:tc>
          <w:tcPr>
            <w:tcW w:w="1276" w:type="dxa"/>
            <w:noWrap w:val="0"/>
            <w:vAlign w:val="center"/>
          </w:tcPr>
          <w:p w14:paraId="66F16F6B">
            <w:pPr>
              <w:jc w:val="center"/>
              <w:rPr>
                <w:rFonts w:hint="eastAsia" w:ascii="仿宋" w:hAnsi="仿宋" w:eastAsia="仿宋" w:cs="仿宋"/>
                <w:b w:val="0"/>
                <w:bCs w:val="0"/>
                <w:color w:val="auto"/>
                <w:sz w:val="32"/>
                <w:szCs w:val="32"/>
              </w:rPr>
            </w:pPr>
          </w:p>
        </w:tc>
      </w:tr>
      <w:tr w14:paraId="3A2C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107CD036">
            <w:pPr>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p>
        </w:tc>
        <w:tc>
          <w:tcPr>
            <w:tcW w:w="3289" w:type="dxa"/>
            <w:noWrap w:val="0"/>
            <w:vAlign w:val="center"/>
          </w:tcPr>
          <w:p w14:paraId="2C23D289">
            <w:pPr>
              <w:jc w:val="center"/>
              <w:rPr>
                <w:rFonts w:hint="eastAsia" w:ascii="仿宋" w:hAnsi="仿宋" w:eastAsia="仿宋" w:cs="仿宋"/>
                <w:b w:val="0"/>
                <w:bCs w:val="0"/>
                <w:color w:val="auto"/>
                <w:sz w:val="32"/>
                <w:szCs w:val="32"/>
              </w:rPr>
            </w:pPr>
          </w:p>
        </w:tc>
        <w:tc>
          <w:tcPr>
            <w:tcW w:w="3940" w:type="dxa"/>
            <w:noWrap w:val="0"/>
            <w:vAlign w:val="center"/>
          </w:tcPr>
          <w:p w14:paraId="4D578FAE">
            <w:pPr>
              <w:jc w:val="center"/>
              <w:rPr>
                <w:rFonts w:hint="eastAsia" w:ascii="仿宋" w:hAnsi="仿宋" w:eastAsia="仿宋" w:cs="仿宋"/>
                <w:b w:val="0"/>
                <w:bCs w:val="0"/>
                <w:color w:val="auto"/>
                <w:sz w:val="32"/>
                <w:szCs w:val="32"/>
              </w:rPr>
            </w:pPr>
          </w:p>
        </w:tc>
        <w:tc>
          <w:tcPr>
            <w:tcW w:w="1276" w:type="dxa"/>
            <w:noWrap w:val="0"/>
            <w:vAlign w:val="center"/>
          </w:tcPr>
          <w:p w14:paraId="102EEF7A">
            <w:pPr>
              <w:jc w:val="center"/>
              <w:rPr>
                <w:rFonts w:hint="eastAsia" w:ascii="仿宋" w:hAnsi="仿宋" w:eastAsia="仿宋" w:cs="仿宋"/>
                <w:b w:val="0"/>
                <w:bCs w:val="0"/>
                <w:color w:val="auto"/>
                <w:sz w:val="32"/>
                <w:szCs w:val="32"/>
              </w:rPr>
            </w:pPr>
          </w:p>
        </w:tc>
      </w:tr>
      <w:tr w14:paraId="4F45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05599259">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3</w:t>
            </w:r>
          </w:p>
        </w:tc>
        <w:tc>
          <w:tcPr>
            <w:tcW w:w="3289" w:type="dxa"/>
            <w:noWrap w:val="0"/>
            <w:vAlign w:val="center"/>
          </w:tcPr>
          <w:p w14:paraId="268D1EE9">
            <w:pPr>
              <w:jc w:val="center"/>
              <w:rPr>
                <w:rFonts w:hint="eastAsia" w:ascii="仿宋" w:hAnsi="仿宋" w:eastAsia="仿宋" w:cs="仿宋"/>
                <w:b w:val="0"/>
                <w:bCs w:val="0"/>
                <w:color w:val="auto"/>
                <w:sz w:val="32"/>
                <w:szCs w:val="32"/>
              </w:rPr>
            </w:pPr>
          </w:p>
        </w:tc>
        <w:tc>
          <w:tcPr>
            <w:tcW w:w="3940" w:type="dxa"/>
            <w:noWrap w:val="0"/>
            <w:vAlign w:val="center"/>
          </w:tcPr>
          <w:p w14:paraId="5B87F51A">
            <w:pPr>
              <w:jc w:val="center"/>
              <w:rPr>
                <w:rFonts w:hint="eastAsia" w:ascii="仿宋" w:hAnsi="仿宋" w:eastAsia="仿宋" w:cs="仿宋"/>
                <w:b w:val="0"/>
                <w:bCs w:val="0"/>
                <w:color w:val="auto"/>
                <w:sz w:val="32"/>
                <w:szCs w:val="32"/>
              </w:rPr>
            </w:pPr>
          </w:p>
        </w:tc>
        <w:tc>
          <w:tcPr>
            <w:tcW w:w="1276" w:type="dxa"/>
            <w:noWrap w:val="0"/>
            <w:vAlign w:val="center"/>
          </w:tcPr>
          <w:p w14:paraId="774C2869">
            <w:pPr>
              <w:jc w:val="center"/>
              <w:rPr>
                <w:rFonts w:hint="eastAsia" w:ascii="仿宋" w:hAnsi="仿宋" w:eastAsia="仿宋" w:cs="仿宋"/>
                <w:b w:val="0"/>
                <w:bCs w:val="0"/>
                <w:color w:val="auto"/>
                <w:sz w:val="32"/>
                <w:szCs w:val="32"/>
              </w:rPr>
            </w:pPr>
          </w:p>
        </w:tc>
      </w:tr>
      <w:tr w14:paraId="5340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27466D04">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4</w:t>
            </w:r>
          </w:p>
        </w:tc>
        <w:tc>
          <w:tcPr>
            <w:tcW w:w="3289" w:type="dxa"/>
            <w:noWrap w:val="0"/>
            <w:vAlign w:val="center"/>
          </w:tcPr>
          <w:p w14:paraId="6DD9224D">
            <w:pPr>
              <w:jc w:val="center"/>
              <w:rPr>
                <w:rFonts w:hint="eastAsia" w:ascii="仿宋" w:hAnsi="仿宋" w:eastAsia="仿宋" w:cs="仿宋"/>
                <w:b w:val="0"/>
                <w:bCs w:val="0"/>
                <w:color w:val="auto"/>
                <w:sz w:val="32"/>
                <w:szCs w:val="32"/>
              </w:rPr>
            </w:pPr>
          </w:p>
        </w:tc>
        <w:tc>
          <w:tcPr>
            <w:tcW w:w="3940" w:type="dxa"/>
            <w:noWrap w:val="0"/>
            <w:vAlign w:val="center"/>
          </w:tcPr>
          <w:p w14:paraId="7B992795">
            <w:pPr>
              <w:jc w:val="center"/>
              <w:rPr>
                <w:rFonts w:hint="eastAsia" w:ascii="仿宋" w:hAnsi="仿宋" w:eastAsia="仿宋" w:cs="仿宋"/>
                <w:b w:val="0"/>
                <w:bCs w:val="0"/>
                <w:color w:val="auto"/>
                <w:sz w:val="32"/>
                <w:szCs w:val="32"/>
              </w:rPr>
            </w:pPr>
          </w:p>
        </w:tc>
        <w:tc>
          <w:tcPr>
            <w:tcW w:w="1276" w:type="dxa"/>
            <w:noWrap w:val="0"/>
            <w:vAlign w:val="center"/>
          </w:tcPr>
          <w:p w14:paraId="02301EAA">
            <w:pPr>
              <w:jc w:val="center"/>
              <w:rPr>
                <w:rFonts w:hint="eastAsia" w:ascii="仿宋" w:hAnsi="仿宋" w:eastAsia="仿宋" w:cs="仿宋"/>
                <w:b w:val="0"/>
                <w:bCs w:val="0"/>
                <w:color w:val="auto"/>
                <w:sz w:val="32"/>
                <w:szCs w:val="32"/>
              </w:rPr>
            </w:pPr>
          </w:p>
        </w:tc>
      </w:tr>
      <w:tr w14:paraId="108D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3989CCD6">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5</w:t>
            </w:r>
          </w:p>
        </w:tc>
        <w:tc>
          <w:tcPr>
            <w:tcW w:w="3289" w:type="dxa"/>
            <w:noWrap w:val="0"/>
            <w:vAlign w:val="center"/>
          </w:tcPr>
          <w:p w14:paraId="31CBB81A">
            <w:pPr>
              <w:jc w:val="center"/>
              <w:rPr>
                <w:rFonts w:hint="eastAsia" w:ascii="仿宋" w:hAnsi="仿宋" w:eastAsia="仿宋" w:cs="仿宋"/>
                <w:b w:val="0"/>
                <w:bCs w:val="0"/>
                <w:color w:val="auto"/>
                <w:sz w:val="32"/>
                <w:szCs w:val="32"/>
              </w:rPr>
            </w:pPr>
          </w:p>
        </w:tc>
        <w:tc>
          <w:tcPr>
            <w:tcW w:w="3940" w:type="dxa"/>
            <w:noWrap w:val="0"/>
            <w:vAlign w:val="center"/>
          </w:tcPr>
          <w:p w14:paraId="11C523AC">
            <w:pPr>
              <w:jc w:val="center"/>
              <w:rPr>
                <w:rFonts w:hint="eastAsia" w:ascii="仿宋" w:hAnsi="仿宋" w:eastAsia="仿宋" w:cs="仿宋"/>
                <w:b w:val="0"/>
                <w:bCs w:val="0"/>
                <w:color w:val="auto"/>
                <w:sz w:val="32"/>
                <w:szCs w:val="32"/>
              </w:rPr>
            </w:pPr>
          </w:p>
        </w:tc>
        <w:tc>
          <w:tcPr>
            <w:tcW w:w="1276" w:type="dxa"/>
            <w:noWrap w:val="0"/>
            <w:vAlign w:val="center"/>
          </w:tcPr>
          <w:p w14:paraId="55EB795E">
            <w:pPr>
              <w:jc w:val="center"/>
              <w:rPr>
                <w:rFonts w:hint="eastAsia" w:ascii="仿宋" w:hAnsi="仿宋" w:eastAsia="仿宋" w:cs="仿宋"/>
                <w:b w:val="0"/>
                <w:bCs w:val="0"/>
                <w:color w:val="auto"/>
                <w:sz w:val="32"/>
                <w:szCs w:val="32"/>
              </w:rPr>
            </w:pPr>
          </w:p>
        </w:tc>
      </w:tr>
      <w:tr w14:paraId="41FC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72F93F47">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6</w:t>
            </w:r>
          </w:p>
        </w:tc>
        <w:tc>
          <w:tcPr>
            <w:tcW w:w="3289" w:type="dxa"/>
            <w:noWrap w:val="0"/>
            <w:vAlign w:val="center"/>
          </w:tcPr>
          <w:p w14:paraId="660E840F">
            <w:pPr>
              <w:jc w:val="center"/>
              <w:rPr>
                <w:rFonts w:hint="eastAsia" w:ascii="仿宋" w:hAnsi="仿宋" w:eastAsia="仿宋" w:cs="仿宋"/>
                <w:b w:val="0"/>
                <w:bCs w:val="0"/>
                <w:color w:val="auto"/>
                <w:sz w:val="32"/>
                <w:szCs w:val="32"/>
              </w:rPr>
            </w:pPr>
          </w:p>
        </w:tc>
        <w:tc>
          <w:tcPr>
            <w:tcW w:w="3940" w:type="dxa"/>
            <w:noWrap w:val="0"/>
            <w:vAlign w:val="center"/>
          </w:tcPr>
          <w:p w14:paraId="2ED9D7BD">
            <w:pPr>
              <w:jc w:val="center"/>
              <w:rPr>
                <w:rFonts w:hint="eastAsia" w:ascii="仿宋" w:hAnsi="仿宋" w:eastAsia="仿宋" w:cs="仿宋"/>
                <w:b w:val="0"/>
                <w:bCs w:val="0"/>
                <w:color w:val="auto"/>
                <w:sz w:val="32"/>
                <w:szCs w:val="32"/>
              </w:rPr>
            </w:pPr>
          </w:p>
        </w:tc>
        <w:tc>
          <w:tcPr>
            <w:tcW w:w="1276" w:type="dxa"/>
            <w:noWrap w:val="0"/>
            <w:vAlign w:val="center"/>
          </w:tcPr>
          <w:p w14:paraId="5906FCB7">
            <w:pPr>
              <w:jc w:val="center"/>
              <w:rPr>
                <w:rFonts w:hint="eastAsia" w:ascii="仿宋" w:hAnsi="仿宋" w:eastAsia="仿宋" w:cs="仿宋"/>
                <w:b w:val="0"/>
                <w:bCs w:val="0"/>
                <w:color w:val="auto"/>
                <w:sz w:val="32"/>
                <w:szCs w:val="32"/>
              </w:rPr>
            </w:pPr>
          </w:p>
        </w:tc>
      </w:tr>
      <w:tr w14:paraId="1EBF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39BC17D2">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7</w:t>
            </w:r>
          </w:p>
        </w:tc>
        <w:tc>
          <w:tcPr>
            <w:tcW w:w="3289" w:type="dxa"/>
            <w:noWrap w:val="0"/>
            <w:vAlign w:val="center"/>
          </w:tcPr>
          <w:p w14:paraId="313F40FA">
            <w:pPr>
              <w:jc w:val="center"/>
              <w:rPr>
                <w:rFonts w:hint="eastAsia" w:ascii="仿宋" w:hAnsi="仿宋" w:eastAsia="仿宋" w:cs="仿宋"/>
                <w:b w:val="0"/>
                <w:bCs w:val="0"/>
                <w:color w:val="auto"/>
                <w:sz w:val="32"/>
                <w:szCs w:val="32"/>
              </w:rPr>
            </w:pPr>
          </w:p>
        </w:tc>
        <w:tc>
          <w:tcPr>
            <w:tcW w:w="3940" w:type="dxa"/>
            <w:noWrap w:val="0"/>
            <w:vAlign w:val="center"/>
          </w:tcPr>
          <w:p w14:paraId="7C7A479E">
            <w:pPr>
              <w:jc w:val="center"/>
              <w:rPr>
                <w:rFonts w:hint="eastAsia" w:ascii="仿宋" w:hAnsi="仿宋" w:eastAsia="仿宋" w:cs="仿宋"/>
                <w:b w:val="0"/>
                <w:bCs w:val="0"/>
                <w:color w:val="auto"/>
                <w:sz w:val="32"/>
                <w:szCs w:val="32"/>
              </w:rPr>
            </w:pPr>
          </w:p>
        </w:tc>
        <w:tc>
          <w:tcPr>
            <w:tcW w:w="1276" w:type="dxa"/>
            <w:noWrap w:val="0"/>
            <w:vAlign w:val="center"/>
          </w:tcPr>
          <w:p w14:paraId="5D78AC01">
            <w:pPr>
              <w:jc w:val="center"/>
              <w:rPr>
                <w:rFonts w:hint="eastAsia" w:ascii="仿宋" w:hAnsi="仿宋" w:eastAsia="仿宋" w:cs="仿宋"/>
                <w:b w:val="0"/>
                <w:bCs w:val="0"/>
                <w:color w:val="auto"/>
                <w:sz w:val="32"/>
                <w:szCs w:val="32"/>
              </w:rPr>
            </w:pPr>
          </w:p>
        </w:tc>
      </w:tr>
      <w:tr w14:paraId="010E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noWrap w:val="0"/>
            <w:vAlign w:val="center"/>
          </w:tcPr>
          <w:p w14:paraId="66556CE5">
            <w:pPr>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w:t>
            </w:r>
          </w:p>
        </w:tc>
        <w:tc>
          <w:tcPr>
            <w:tcW w:w="3289" w:type="dxa"/>
            <w:noWrap w:val="0"/>
            <w:vAlign w:val="center"/>
          </w:tcPr>
          <w:p w14:paraId="40AAA518">
            <w:pPr>
              <w:jc w:val="center"/>
              <w:rPr>
                <w:rFonts w:hint="eastAsia" w:ascii="仿宋" w:hAnsi="仿宋" w:eastAsia="仿宋" w:cs="仿宋"/>
                <w:b w:val="0"/>
                <w:bCs w:val="0"/>
                <w:color w:val="auto"/>
                <w:sz w:val="32"/>
                <w:szCs w:val="32"/>
              </w:rPr>
            </w:pPr>
          </w:p>
        </w:tc>
        <w:tc>
          <w:tcPr>
            <w:tcW w:w="3940" w:type="dxa"/>
            <w:noWrap w:val="0"/>
            <w:vAlign w:val="center"/>
          </w:tcPr>
          <w:p w14:paraId="27B1D8D5">
            <w:pPr>
              <w:jc w:val="center"/>
              <w:rPr>
                <w:rFonts w:hint="eastAsia" w:ascii="仿宋" w:hAnsi="仿宋" w:eastAsia="仿宋" w:cs="仿宋"/>
                <w:b w:val="0"/>
                <w:bCs w:val="0"/>
                <w:color w:val="auto"/>
                <w:sz w:val="32"/>
                <w:szCs w:val="32"/>
              </w:rPr>
            </w:pPr>
          </w:p>
        </w:tc>
        <w:tc>
          <w:tcPr>
            <w:tcW w:w="1276" w:type="dxa"/>
            <w:noWrap w:val="0"/>
            <w:vAlign w:val="center"/>
          </w:tcPr>
          <w:p w14:paraId="1F7BA1CB">
            <w:pPr>
              <w:jc w:val="center"/>
              <w:rPr>
                <w:rFonts w:hint="eastAsia" w:ascii="仿宋" w:hAnsi="仿宋" w:eastAsia="仿宋" w:cs="仿宋"/>
                <w:b w:val="0"/>
                <w:bCs w:val="0"/>
                <w:color w:val="auto"/>
                <w:sz w:val="32"/>
                <w:szCs w:val="32"/>
              </w:rPr>
            </w:pPr>
          </w:p>
        </w:tc>
      </w:tr>
    </w:tbl>
    <w:p w14:paraId="0EF28E84">
      <w:pPr>
        <w:pStyle w:val="11"/>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0264C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1、投标文件应根据投标设备的性能指标、对照招标文件要求在“偏离情况”栏注明“正偏离”、“负偏离”或“无偏离”。 如果本表没有列明的内容视同与招标文件相一致。</w:t>
      </w:r>
    </w:p>
    <w:p w14:paraId="758AF4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2、此表在不改变格式的情况下可自行制作。</w:t>
      </w:r>
    </w:p>
    <w:p w14:paraId="6AB603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3、此表置于技术标书中。</w:t>
      </w:r>
    </w:p>
    <w:p w14:paraId="4EFA22C6">
      <w:pPr>
        <w:pStyle w:val="2"/>
        <w:rPr>
          <w:rFonts w:hint="default"/>
          <w:lang w:val="en-US" w:eastAsia="zh-CN"/>
        </w:rPr>
      </w:pPr>
    </w:p>
    <w:p w14:paraId="3FA7273D">
      <w:pPr>
        <w:jc w:val="center"/>
        <w:rPr>
          <w:rFonts w:hint="eastAsia" w:ascii="仿宋" w:hAnsi="仿宋" w:eastAsia="仿宋" w:cs="仿宋"/>
          <w:b/>
          <w:bCs w:val="0"/>
          <w:color w:val="auto"/>
          <w:sz w:val="30"/>
          <w:szCs w:val="30"/>
          <w:highlight w:val="none"/>
          <w:lang w:val="en-US" w:eastAsia="zh-CN"/>
        </w:rPr>
      </w:pPr>
    </w:p>
    <w:p w14:paraId="44A70C08">
      <w:pPr>
        <w:jc w:val="center"/>
        <w:rPr>
          <w:rFonts w:hint="eastAsia" w:ascii="仿宋" w:hAnsi="仿宋" w:eastAsia="仿宋" w:cs="仿宋"/>
          <w:b/>
          <w:bCs w:val="0"/>
          <w:color w:val="auto"/>
          <w:sz w:val="30"/>
          <w:szCs w:val="30"/>
          <w:highlight w:val="none"/>
          <w:lang w:val="en-US" w:eastAsia="zh-CN"/>
        </w:rPr>
      </w:pPr>
    </w:p>
    <w:p w14:paraId="35855B58">
      <w:pPr>
        <w:jc w:val="center"/>
        <w:rPr>
          <w:rFonts w:hint="eastAsia" w:ascii="仿宋" w:hAnsi="仿宋" w:eastAsia="仿宋" w:cs="仿宋"/>
          <w:b/>
          <w:bCs w:val="0"/>
          <w:color w:val="auto"/>
          <w:sz w:val="30"/>
          <w:szCs w:val="30"/>
          <w:highlight w:val="none"/>
          <w:lang w:val="en-US" w:eastAsia="zh-CN"/>
        </w:rPr>
      </w:pPr>
    </w:p>
    <w:p w14:paraId="1EBCBABD">
      <w:pPr>
        <w:jc w:val="center"/>
        <w:rPr>
          <w:rFonts w:hint="eastAsia" w:ascii="仿宋" w:hAnsi="仿宋" w:eastAsia="仿宋" w:cs="仿宋"/>
          <w:b/>
          <w:bCs w:val="0"/>
          <w:color w:val="auto"/>
          <w:sz w:val="30"/>
          <w:szCs w:val="30"/>
          <w:highlight w:val="none"/>
          <w:lang w:val="en-US" w:eastAsia="zh-CN"/>
        </w:rPr>
      </w:pPr>
    </w:p>
    <w:p w14:paraId="5D60FAD6">
      <w:pPr>
        <w:jc w:val="center"/>
        <w:rPr>
          <w:rFonts w:hint="eastAsia" w:ascii="仿宋" w:hAnsi="仿宋" w:eastAsia="仿宋" w:cs="仿宋"/>
          <w:b/>
          <w:bCs w:val="0"/>
          <w:color w:val="auto"/>
          <w:sz w:val="30"/>
          <w:szCs w:val="30"/>
          <w:highlight w:val="none"/>
          <w:lang w:val="en-US" w:eastAsia="zh-CN"/>
        </w:rPr>
      </w:pPr>
    </w:p>
    <w:p w14:paraId="69655A09">
      <w:pPr>
        <w:jc w:val="center"/>
        <w:rPr>
          <w:rFonts w:hint="eastAsia" w:ascii="仿宋" w:hAnsi="仿宋" w:eastAsia="仿宋" w:cs="仿宋"/>
          <w:b/>
          <w:bCs w:val="0"/>
          <w:color w:val="auto"/>
          <w:sz w:val="30"/>
          <w:szCs w:val="30"/>
          <w:highlight w:val="none"/>
          <w:lang w:val="en-US" w:eastAsia="zh-CN"/>
        </w:rPr>
      </w:pPr>
    </w:p>
    <w:p w14:paraId="3BBB033F">
      <w:pPr>
        <w:jc w:val="center"/>
        <w:rPr>
          <w:rFonts w:hint="eastAsia" w:ascii="仿宋" w:hAnsi="仿宋" w:eastAsia="仿宋" w:cs="仿宋"/>
          <w:b/>
          <w:color w:val="auto"/>
          <w:sz w:val="30"/>
          <w:szCs w:val="30"/>
        </w:rPr>
      </w:pPr>
      <w:r>
        <w:rPr>
          <w:rFonts w:hint="eastAsia" w:ascii="仿宋" w:hAnsi="仿宋" w:eastAsia="仿宋" w:cs="仿宋"/>
          <w:b/>
          <w:bCs w:val="0"/>
          <w:color w:val="auto"/>
          <w:sz w:val="30"/>
          <w:szCs w:val="30"/>
          <w:highlight w:val="none"/>
          <w:lang w:val="en-US" w:eastAsia="zh-CN"/>
        </w:rPr>
        <w:t>七</w:t>
      </w:r>
      <w:r>
        <w:rPr>
          <w:rFonts w:hint="eastAsia" w:ascii="仿宋" w:hAnsi="仿宋" w:eastAsia="仿宋" w:cs="仿宋"/>
          <w:b/>
          <w:bCs w:val="0"/>
          <w:color w:val="auto"/>
          <w:sz w:val="30"/>
          <w:szCs w:val="30"/>
          <w:highlight w:val="none"/>
        </w:rPr>
        <w:t>、</w:t>
      </w:r>
      <w:r>
        <w:rPr>
          <w:rFonts w:hint="eastAsia" w:ascii="仿宋" w:hAnsi="仿宋" w:eastAsia="仿宋" w:cs="仿宋"/>
          <w:b/>
          <w:color w:val="auto"/>
          <w:sz w:val="30"/>
          <w:szCs w:val="30"/>
          <w:lang w:val="zh-CN"/>
        </w:rPr>
        <w:t>供应商廉洁自律承诺书</w:t>
      </w:r>
    </w:p>
    <w:p w14:paraId="01D17D16">
      <w:pPr>
        <w:snapToGrid w:val="0"/>
        <w:spacing w:line="360" w:lineRule="auto"/>
        <w:rPr>
          <w:rFonts w:hint="eastAsia" w:ascii="宋体" w:hAnsi="宋体" w:cs="宋体"/>
          <w:color w:val="auto"/>
          <w:sz w:val="24"/>
        </w:rPr>
      </w:pPr>
    </w:p>
    <w:p w14:paraId="4D05B03B">
      <w:pPr>
        <w:spacing w:line="420" w:lineRule="exact"/>
        <w:jc w:val="lef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1E6EF896">
      <w:pPr>
        <w:spacing w:line="42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代理机构</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2EA2B304">
      <w:pPr>
        <w:spacing w:line="42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sz w:val="24"/>
          <w:lang w:val="zh-CN"/>
        </w:rPr>
        <w:t>项目招标要求参加投标。在这次投标过程中和中标后，我们将严格遵守国家法律法规要求，并郑重承诺：</w:t>
      </w:r>
    </w:p>
    <w:p w14:paraId="200A0943">
      <w:pPr>
        <w:spacing w:line="42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一、不向项目有关人员及部门赠送礼金礼物、有价证券、回扣以及中介费、介绍费、咨询费等好处费； </w:t>
      </w:r>
    </w:p>
    <w:p w14:paraId="750F27D3">
      <w:pPr>
        <w:spacing w:line="42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二、不为项目有关人员及部门报销应由你方单位或个人支付的费用； </w:t>
      </w:r>
    </w:p>
    <w:p w14:paraId="58C0BD5E">
      <w:pPr>
        <w:spacing w:line="42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三、不向项目有关人员及部门提供有可能影响公正的宴请和健身娱乐等活动； </w:t>
      </w:r>
    </w:p>
    <w:p w14:paraId="0AE1C59E">
      <w:pPr>
        <w:spacing w:line="42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四、不为项目有关人员及部门出国（境）、旅游等提供方便；</w:t>
      </w:r>
    </w:p>
    <w:p w14:paraId="48E92CB2">
      <w:pPr>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zh-CN"/>
        </w:rPr>
        <w:t>五、不为项目有关人员个人装修住房、婚丧嫁娶、配偶子女工作安排等提供</w:t>
      </w:r>
      <w:r>
        <w:rPr>
          <w:rFonts w:hint="eastAsia" w:ascii="仿宋" w:hAnsi="仿宋" w:eastAsia="仿宋" w:cs="仿宋"/>
          <w:color w:val="auto"/>
          <w:sz w:val="24"/>
        </w:rPr>
        <w:t>好处；</w:t>
      </w:r>
    </w:p>
    <w:p w14:paraId="433110B1">
      <w:pPr>
        <w:spacing w:line="42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六、严格遵守《中华人民共和国招标投标法》《中华人民共和国民法典》等法律法规，诚实守信，合法经营，坚决抵制各种违法违纪行为。</w:t>
      </w:r>
    </w:p>
    <w:p w14:paraId="4EB4F539">
      <w:pPr>
        <w:spacing w:line="42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sz w:val="24"/>
          <w:lang w:val="zh-CN"/>
        </w:rPr>
        <w:t>进行项目建设或其他经营活动。由此引起的相应损失均由我单位承担。</w:t>
      </w:r>
    </w:p>
    <w:p w14:paraId="51E64710">
      <w:pPr>
        <w:spacing w:line="360" w:lineRule="auto"/>
        <w:ind w:left="2"/>
        <w:jc w:val="left"/>
        <w:rPr>
          <w:rFonts w:hint="eastAsia" w:ascii="仿宋" w:hAnsi="仿宋" w:eastAsia="仿宋" w:cs="仿宋"/>
          <w:color w:val="auto"/>
          <w:sz w:val="24"/>
          <w:lang w:val="zh-CN"/>
        </w:rPr>
      </w:pPr>
    </w:p>
    <w:p w14:paraId="0755DF2E">
      <w:pPr>
        <w:spacing w:line="360" w:lineRule="auto"/>
        <w:ind w:left="2"/>
        <w:jc w:val="left"/>
        <w:rPr>
          <w:rFonts w:hint="eastAsia" w:ascii="仿宋" w:hAnsi="仿宋" w:eastAsia="仿宋" w:cs="仿宋"/>
          <w:color w:val="auto"/>
          <w:sz w:val="24"/>
          <w:lang w:val="zh-CN"/>
        </w:rPr>
      </w:pPr>
    </w:p>
    <w:p w14:paraId="674F1FA0">
      <w:pPr>
        <w:spacing w:line="360" w:lineRule="auto"/>
        <w:ind w:left="2"/>
        <w:jc w:val="left"/>
        <w:rPr>
          <w:rFonts w:hint="eastAsia" w:ascii="仿宋" w:hAnsi="仿宋" w:eastAsia="仿宋" w:cs="仿宋"/>
          <w:color w:val="auto"/>
          <w:sz w:val="24"/>
          <w:lang w:val="zh-CN"/>
        </w:rPr>
      </w:pPr>
    </w:p>
    <w:p w14:paraId="0981858D">
      <w:pPr>
        <w:pageBreakBefore w:val="0"/>
        <w:widowControl w:val="0"/>
        <w:kinsoku/>
        <w:wordWrap/>
        <w:overflowPunct/>
        <w:topLinePunct w:val="0"/>
        <w:bidi w:val="0"/>
        <w:snapToGrid w:val="0"/>
        <w:spacing w:line="360" w:lineRule="auto"/>
        <w:ind w:left="2" w:leftChars="1" w:right="1120" w:firstLine="4560" w:firstLineChars="19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投标人名称（</w:t>
      </w:r>
      <w:r>
        <w:rPr>
          <w:rFonts w:hint="eastAsia" w:ascii="仿宋" w:hAnsi="仿宋" w:eastAsia="仿宋" w:cs="仿宋"/>
          <w:color w:val="auto"/>
          <w:sz w:val="24"/>
        </w:rPr>
        <w:t>电子签章</w:t>
      </w:r>
      <w:r>
        <w:rPr>
          <w:rFonts w:hint="eastAsia" w:ascii="仿宋" w:hAnsi="仿宋" w:eastAsia="仿宋" w:cs="仿宋"/>
          <w:color w:val="auto"/>
          <w:sz w:val="24"/>
          <w:lang w:val="zh-CN"/>
        </w:rPr>
        <w:t xml:space="preserve">）：              </w:t>
      </w:r>
    </w:p>
    <w:p w14:paraId="0F4EAFEB">
      <w:pPr>
        <w:pageBreakBefore w:val="0"/>
        <w:widowControl w:val="0"/>
        <w:kinsoku/>
        <w:wordWrap/>
        <w:overflowPunct/>
        <w:topLinePunct w:val="0"/>
        <w:bidi w:val="0"/>
        <w:snapToGrid w:val="0"/>
        <w:spacing w:line="360" w:lineRule="auto"/>
        <w:ind w:left="4620" w:leftChars="2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日期</w:t>
      </w:r>
      <w:r>
        <w:rPr>
          <w:rFonts w:hint="eastAsia" w:ascii="仿宋" w:hAnsi="仿宋" w:eastAsia="仿宋" w:cs="仿宋"/>
          <w:color w:val="auto"/>
          <w:sz w:val="24"/>
        </w:rPr>
        <w:t>：</w:t>
      </w:r>
      <w:r>
        <w:rPr>
          <w:rFonts w:hint="eastAsia" w:ascii="仿宋" w:hAnsi="仿宋" w:eastAsia="仿宋" w:cs="仿宋"/>
          <w:color w:val="auto"/>
          <w:sz w:val="24"/>
          <w:lang w:val="zh-CN"/>
        </w:rPr>
        <w:t xml:space="preserve">   年   月   日</w:t>
      </w:r>
    </w:p>
    <w:p w14:paraId="1F991285">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3F768DDC">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5F9A2450">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5FA1E4EF">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27811BAC">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579A00AF">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310790D3">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59A01AB2">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399D757F">
      <w:pPr>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lang w:val="zh-CN"/>
        </w:rPr>
      </w:pPr>
    </w:p>
    <w:p w14:paraId="7ECEE82A">
      <w:pPr>
        <w:pageBreakBefore w:val="0"/>
        <w:widowControl w:val="0"/>
        <w:kinsoku/>
        <w:wordWrap/>
        <w:overflowPunct/>
        <w:topLinePunct w:val="0"/>
        <w:bidi w:val="0"/>
        <w:snapToGrid w:val="0"/>
        <w:spacing w:line="36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lang w:val="en-US" w:eastAsia="zh-CN"/>
        </w:rPr>
        <w:t>八、</w:t>
      </w:r>
      <w:r>
        <w:rPr>
          <w:rFonts w:hint="eastAsia" w:ascii="仿宋" w:hAnsi="仿宋" w:eastAsia="仿宋" w:cs="仿宋"/>
          <w:b/>
          <w:bCs/>
          <w:color w:val="auto"/>
          <w:sz w:val="30"/>
          <w:szCs w:val="30"/>
          <w:highlight w:val="none"/>
        </w:rPr>
        <w:t>开标一览表（格式）</w:t>
      </w:r>
    </w:p>
    <w:p w14:paraId="3E193DA2">
      <w:pPr>
        <w:spacing w:line="360" w:lineRule="auto"/>
        <w:rPr>
          <w:rFonts w:hint="eastAsia" w:ascii="仿宋" w:hAnsi="仿宋" w:eastAsia="仿宋" w:cs="仿宋"/>
          <w:color w:val="auto"/>
          <w:sz w:val="24"/>
          <w:szCs w:val="24"/>
          <w:highlight w:val="none"/>
        </w:rPr>
      </w:pPr>
    </w:p>
    <w:p w14:paraId="494108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EB4513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浙江佰顺2025</w:t>
      </w:r>
      <w:r>
        <w:rPr>
          <w:rFonts w:hint="eastAsia" w:ascii="仿宋" w:hAnsi="仿宋" w:eastAsia="仿宋" w:cs="仿宋"/>
          <w:color w:val="auto"/>
          <w:sz w:val="24"/>
          <w:szCs w:val="24"/>
          <w:highlight w:val="none"/>
        </w:rPr>
        <w:t xml:space="preserve">-**-**         </w:t>
      </w:r>
    </w:p>
    <w:tbl>
      <w:tblPr>
        <w:tblStyle w:val="24"/>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515"/>
        <w:gridCol w:w="2829"/>
        <w:gridCol w:w="2829"/>
      </w:tblGrid>
      <w:tr w14:paraId="50C8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noWrap w:val="0"/>
            <w:vAlign w:val="center"/>
          </w:tcPr>
          <w:p w14:paraId="49CDA2D7">
            <w:pPr>
              <w:jc w:val="center"/>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序号</w:t>
            </w:r>
          </w:p>
        </w:tc>
        <w:tc>
          <w:tcPr>
            <w:tcW w:w="2515" w:type="dxa"/>
            <w:noWrap w:val="0"/>
            <w:vAlign w:val="center"/>
          </w:tcPr>
          <w:p w14:paraId="2CD7C0C2">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标项内容</w:t>
            </w:r>
          </w:p>
        </w:tc>
        <w:tc>
          <w:tcPr>
            <w:tcW w:w="2829" w:type="dxa"/>
            <w:shd w:val="clear" w:color="auto" w:fill="auto"/>
            <w:noWrap w:val="0"/>
            <w:vAlign w:val="center"/>
          </w:tcPr>
          <w:p w14:paraId="1540FCD1">
            <w:pPr>
              <w:pStyle w:val="48"/>
              <w:ind w:left="0" w:leftChars="0" w:firstLine="0" w:firstLineChars="0"/>
              <w:jc w:val="center"/>
              <w:rPr>
                <w:rFonts w:hint="default" w:ascii="仿宋" w:hAnsi="仿宋" w:eastAsia="仿宋" w:cs="仿宋"/>
                <w:b/>
                <w:bCs w:val="0"/>
                <w:color w:val="auto"/>
                <w:kern w:val="2"/>
                <w:sz w:val="24"/>
                <w:szCs w:val="24"/>
                <w:highlight w:val="none"/>
                <w:u w:val="none"/>
                <w:lang w:val="en-US" w:eastAsia="zh-CN" w:bidi="ar-SA"/>
              </w:rPr>
            </w:pPr>
            <w:r>
              <w:rPr>
                <w:rFonts w:hint="eastAsia" w:ascii="仿宋" w:hAnsi="仿宋" w:eastAsia="仿宋" w:cs="仿宋"/>
                <w:b/>
                <w:bCs w:val="0"/>
                <w:color w:val="auto"/>
                <w:kern w:val="2"/>
                <w:sz w:val="24"/>
                <w:szCs w:val="24"/>
                <w:highlight w:val="none"/>
                <w:u w:val="none"/>
                <w:lang w:val="en-US" w:eastAsia="zh-CN" w:bidi="ar-SA"/>
              </w:rPr>
              <w:t>最高折扣率（%）</w:t>
            </w:r>
          </w:p>
          <w:p w14:paraId="2FCCD1FF">
            <w:pPr>
              <w:pStyle w:val="48"/>
              <w:ind w:left="0" w:leftChars="0" w:firstLine="0" w:firstLineChars="0"/>
              <w:jc w:val="center"/>
              <w:rPr>
                <w:rFonts w:hint="eastAsia" w:ascii="仿宋" w:hAnsi="仿宋" w:eastAsia="仿宋" w:cs="仿宋"/>
                <w:b/>
                <w:bCs w:val="0"/>
                <w:kern w:val="2"/>
                <w:sz w:val="28"/>
                <w:szCs w:val="24"/>
                <w:highlight w:val="none"/>
                <w:lang w:val="en-US" w:eastAsia="zh-CN" w:bidi="ar-SA"/>
              </w:rPr>
            </w:pPr>
            <w:r>
              <w:rPr>
                <w:rFonts w:hint="eastAsia" w:ascii="仿宋" w:hAnsi="仿宋" w:eastAsia="仿宋" w:cs="仿宋"/>
                <w:b/>
                <w:bCs w:val="0"/>
                <w:color w:val="auto"/>
                <w:kern w:val="2"/>
                <w:sz w:val="24"/>
                <w:szCs w:val="24"/>
                <w:highlight w:val="none"/>
                <w:u w:val="none"/>
                <w:lang w:val="en-US" w:eastAsia="zh-CN" w:bidi="ar-SA"/>
              </w:rPr>
              <w:t>（最高限价）</w:t>
            </w:r>
          </w:p>
        </w:tc>
        <w:tc>
          <w:tcPr>
            <w:tcW w:w="2829" w:type="dxa"/>
            <w:noWrap w:val="0"/>
            <w:vAlign w:val="center"/>
          </w:tcPr>
          <w:p w14:paraId="2BD263AF">
            <w:pPr>
              <w:pStyle w:val="48"/>
              <w:ind w:left="0" w:leftChars="0" w:firstLine="0" w:firstLineChars="0"/>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4"/>
                <w:szCs w:val="24"/>
                <w:highlight w:val="none"/>
                <w:vertAlign w:val="baseline"/>
                <w:lang w:val="en-US" w:eastAsia="zh-CN"/>
              </w:rPr>
              <w:t>投标折扣率（%）</w:t>
            </w:r>
          </w:p>
        </w:tc>
      </w:tr>
      <w:tr w14:paraId="4ABC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914" w:type="dxa"/>
            <w:shd w:val="clear" w:color="auto" w:fill="auto"/>
            <w:noWrap w:val="0"/>
            <w:vAlign w:val="center"/>
          </w:tcPr>
          <w:p w14:paraId="64243644">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lang w:val="en-US" w:eastAsia="zh-CN"/>
              </w:rPr>
              <w:t>1</w:t>
            </w:r>
          </w:p>
        </w:tc>
        <w:tc>
          <w:tcPr>
            <w:tcW w:w="2515" w:type="dxa"/>
            <w:shd w:val="clear" w:color="auto" w:fill="auto"/>
            <w:noWrap w:val="0"/>
            <w:vAlign w:val="center"/>
          </w:tcPr>
          <w:p w14:paraId="7CEB2289">
            <w:pPr>
              <w:jc w:val="left"/>
              <w:rPr>
                <w:rFonts w:hint="eastAsia" w:ascii="仿宋" w:hAnsi="仿宋" w:eastAsia="仿宋" w:cs="仿宋"/>
                <w:bCs/>
                <w:color w:val="auto"/>
                <w:kern w:val="2"/>
                <w:sz w:val="28"/>
                <w:szCs w:val="28"/>
                <w:highlight w:val="none"/>
                <w:lang w:val="en-US" w:eastAsia="zh-CN" w:bidi="ar-SA"/>
              </w:rPr>
            </w:pPr>
          </w:p>
        </w:tc>
        <w:tc>
          <w:tcPr>
            <w:tcW w:w="2829" w:type="dxa"/>
            <w:shd w:val="clear" w:color="auto" w:fill="auto"/>
            <w:noWrap w:val="0"/>
            <w:vAlign w:val="center"/>
          </w:tcPr>
          <w:p w14:paraId="7C0DB0BB">
            <w:pPr>
              <w:pStyle w:val="48"/>
              <w:ind w:left="0" w:leftChars="0" w:firstLine="0" w:firstLineChars="0"/>
              <w:jc w:val="center"/>
              <w:rPr>
                <w:rFonts w:hint="eastAsia" w:ascii="仿宋" w:hAnsi="仿宋" w:eastAsia="仿宋" w:cs="仿宋"/>
                <w:kern w:val="2"/>
                <w:sz w:val="28"/>
                <w:szCs w:val="24"/>
                <w:highlight w:val="none"/>
                <w:u w:val="single"/>
                <w:lang w:val="en-US" w:eastAsia="zh-CN" w:bidi="ar-SA"/>
              </w:rPr>
            </w:pPr>
            <w:r>
              <w:rPr>
                <w:rFonts w:hint="eastAsia" w:ascii="仿宋" w:hAnsi="仿宋" w:eastAsia="仿宋" w:cs="仿宋"/>
                <w:color w:val="auto"/>
                <w:sz w:val="24"/>
                <w:szCs w:val="24"/>
                <w:highlight w:val="none"/>
                <w:lang w:val="en-US" w:eastAsia="zh-CN"/>
              </w:rPr>
              <w:t>80%</w:t>
            </w:r>
          </w:p>
        </w:tc>
        <w:tc>
          <w:tcPr>
            <w:tcW w:w="2829" w:type="dxa"/>
            <w:shd w:val="clear" w:color="auto" w:fill="auto"/>
            <w:noWrap w:val="0"/>
            <w:vAlign w:val="center"/>
          </w:tcPr>
          <w:p w14:paraId="21FE3339">
            <w:pPr>
              <w:spacing w:line="700" w:lineRule="exact"/>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xml:space="preserve">     .   %           </w:t>
            </w:r>
          </w:p>
          <w:p w14:paraId="6D7A6906">
            <w:pPr>
              <w:pStyle w:val="48"/>
              <w:ind w:left="0" w:leftChars="0" w:firstLine="0" w:firstLineChars="0"/>
              <w:jc w:val="left"/>
              <w:rPr>
                <w:rFonts w:hint="eastAsia" w:ascii="仿宋" w:hAnsi="仿宋" w:eastAsia="仿宋" w:cs="仿宋"/>
                <w:color w:val="auto"/>
                <w:sz w:val="24"/>
                <w:szCs w:val="24"/>
                <w:highlight w:val="none"/>
                <w:lang w:val="en-US" w:eastAsia="zh-CN"/>
              </w:rPr>
            </w:pPr>
          </w:p>
          <w:p w14:paraId="6CB369F7">
            <w:pPr>
              <w:pStyle w:val="48"/>
              <w:ind w:left="0" w:leftChars="0"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u w:val="single"/>
                <w:lang w:val="en-US" w:eastAsia="zh-CN"/>
              </w:rPr>
              <w:t xml:space="preserve"> 百分之      </w:t>
            </w:r>
            <w:r>
              <w:rPr>
                <w:rFonts w:hint="eastAsia" w:ascii="仿宋" w:hAnsi="仿宋" w:eastAsia="仿宋" w:cs="仿宋"/>
                <w:color w:val="auto"/>
                <w:sz w:val="28"/>
                <w:szCs w:val="28"/>
                <w:highlight w:val="none"/>
                <w:u w:val="single"/>
                <w:lang w:val="en-US" w:eastAsia="zh-CN"/>
              </w:rPr>
              <w:t xml:space="preserve">      </w:t>
            </w:r>
          </w:p>
        </w:tc>
      </w:tr>
    </w:tbl>
    <w:p w14:paraId="1A5F34EC">
      <w:pPr>
        <w:pStyle w:val="46"/>
        <w:rPr>
          <w:rFonts w:hint="eastAsia"/>
        </w:rPr>
      </w:pPr>
    </w:p>
    <w:p w14:paraId="58042D7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w:t>
      </w:r>
    </w:p>
    <w:p w14:paraId="4CE1A3B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投标报价是采购文件所确定的采购范围内全部工作内容的价格表现。其包括服务费、人员工资、税收、交通费、审核费等完成招标文件规定的所有工作内容的所有费用。投标人应根据采购人提供的采购文件及相关技术资料，以及本项目实际情况和自身的综合实力进行投标报价。</w:t>
      </w:r>
    </w:p>
    <w:p w14:paraId="173D53B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 w:hAnsi="仿宋" w:eastAsia="仿宋"/>
          <w:b/>
          <w:bCs/>
          <w:color w:val="auto"/>
          <w:sz w:val="28"/>
        </w:rPr>
      </w:pPr>
      <w:r>
        <w:rPr>
          <w:rFonts w:hint="eastAsia" w:ascii="仿宋" w:hAnsi="仿宋" w:eastAsia="仿宋" w:cs="宋体"/>
          <w:b/>
          <w:bCs/>
          <w:color w:val="auto"/>
          <w:sz w:val="24"/>
          <w:szCs w:val="24"/>
        </w:rPr>
        <w:t>2、投标报价</w:t>
      </w:r>
      <w:r>
        <w:rPr>
          <w:rFonts w:hint="eastAsia" w:ascii="仿宋" w:hAnsi="仿宋" w:eastAsia="仿宋" w:cs="仿宋_GB2312"/>
          <w:b/>
          <w:bCs/>
          <w:color w:val="auto"/>
          <w:sz w:val="24"/>
          <w:lang w:val="zh-CN"/>
        </w:rPr>
        <w:t>不得超过最高限价，否则按无效报价处理</w:t>
      </w:r>
      <w:r>
        <w:rPr>
          <w:rFonts w:hint="eastAsia" w:ascii="仿宋" w:hAnsi="仿宋" w:eastAsia="仿宋" w:cs="宋体"/>
          <w:b/>
          <w:bCs/>
          <w:color w:val="auto"/>
          <w:sz w:val="24"/>
          <w:szCs w:val="24"/>
        </w:rPr>
        <w:t>。</w:t>
      </w:r>
    </w:p>
    <w:p w14:paraId="51CFD538">
      <w:pPr>
        <w:pStyle w:val="30"/>
        <w:keepNext w:val="0"/>
        <w:keepLines w:val="0"/>
        <w:pageBreakBefore w:val="0"/>
        <w:widowControl w:val="0"/>
        <w:kinsoku/>
        <w:wordWrap/>
        <w:overflowPunct/>
        <w:topLinePunct w:val="0"/>
        <w:autoSpaceDE w:val="0"/>
        <w:autoSpaceDN w:val="0"/>
        <w:bidi w:val="0"/>
        <w:adjustRightInd w:val="0"/>
        <w:snapToGrid w:val="0"/>
        <w:spacing w:after="0" w:line="360" w:lineRule="auto"/>
        <w:textAlignment w:val="auto"/>
        <w:rPr>
          <w:rFonts w:hint="eastAsia" w:ascii="仿宋" w:hAnsi="仿宋" w:eastAsia="仿宋" w:cs="仿宋"/>
          <w:color w:val="auto"/>
          <w:sz w:val="24"/>
          <w:szCs w:val="24"/>
          <w:highlight w:val="none"/>
        </w:rPr>
      </w:pPr>
    </w:p>
    <w:p w14:paraId="23FB637B">
      <w:pPr>
        <w:spacing w:line="360" w:lineRule="auto"/>
        <w:ind w:firstLine="480" w:firstLineChars="200"/>
        <w:rPr>
          <w:rFonts w:hint="eastAsia" w:ascii="仿宋" w:hAnsi="仿宋" w:eastAsia="仿宋" w:cs="仿宋"/>
          <w:color w:val="auto"/>
          <w:sz w:val="24"/>
          <w:szCs w:val="24"/>
          <w:highlight w:val="none"/>
          <w:lang w:val="en-US" w:eastAsia="zh-CN"/>
        </w:rPr>
      </w:pPr>
    </w:p>
    <w:p w14:paraId="6526F7B9">
      <w:pPr>
        <w:pStyle w:val="10"/>
        <w:spacing w:before="91" w:line="360" w:lineRule="auto"/>
        <w:rPr>
          <w:rFonts w:hint="eastAsia" w:ascii="仿宋" w:hAnsi="仿宋" w:eastAsia="仿宋" w:cs="仿宋"/>
          <w:color w:val="auto"/>
          <w:spacing w:val="1"/>
          <w:sz w:val="24"/>
          <w:szCs w:val="24"/>
          <w:highlight w:val="none"/>
        </w:rPr>
      </w:pPr>
    </w:p>
    <w:p w14:paraId="0041EF1E">
      <w:pPr>
        <w:pStyle w:val="10"/>
        <w:spacing w:before="91"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投标人</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5"/>
          <w:sz w:val="24"/>
          <w:szCs w:val="24"/>
          <w:highlight w:val="none"/>
          <w:u w:val="single" w:color="auto"/>
        </w:rPr>
        <w:t xml:space="preserve">         </w:t>
      </w:r>
      <w:r>
        <w:rPr>
          <w:rFonts w:hint="eastAsia" w:ascii="仿宋" w:hAnsi="仿宋" w:eastAsia="仿宋" w:cs="仿宋"/>
          <w:color w:val="auto"/>
          <w:spacing w:val="-13"/>
          <w:sz w:val="24"/>
          <w:szCs w:val="24"/>
          <w:highlight w:val="none"/>
          <w:u w:val="single" w:color="auto"/>
        </w:rPr>
        <w:t>（</w:t>
      </w:r>
      <w:r>
        <w:rPr>
          <w:rFonts w:hint="eastAsia" w:ascii="仿宋" w:hAnsi="仿宋" w:eastAsia="仿宋" w:cs="仿宋"/>
          <w:color w:val="auto"/>
          <w:spacing w:val="1"/>
          <w:sz w:val="24"/>
          <w:szCs w:val="24"/>
          <w:highlight w:val="none"/>
          <w:u w:val="single" w:color="auto"/>
        </w:rPr>
        <w:t xml:space="preserve">盖章）            </w:t>
      </w:r>
    </w:p>
    <w:p w14:paraId="6C2668D4">
      <w:pPr>
        <w:spacing w:line="360" w:lineRule="auto"/>
        <w:rPr>
          <w:rFonts w:hint="eastAsia" w:ascii="仿宋" w:hAnsi="仿宋" w:eastAsia="仿宋" w:cs="仿宋"/>
          <w:color w:val="auto"/>
          <w:sz w:val="24"/>
          <w:szCs w:val="24"/>
          <w:highlight w:val="none"/>
        </w:rPr>
      </w:pPr>
    </w:p>
    <w:p w14:paraId="04C7A5E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519E98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BBF4FA3">
      <w:pPr>
        <w:spacing w:line="360" w:lineRule="auto"/>
        <w:rPr>
          <w:rFonts w:hint="eastAsia" w:ascii="仿宋" w:hAnsi="仿宋" w:eastAsia="仿宋" w:cs="仿宋"/>
          <w:color w:val="auto"/>
          <w:sz w:val="24"/>
          <w:szCs w:val="24"/>
          <w:highlight w:val="none"/>
        </w:rPr>
        <w:sectPr>
          <w:headerReference r:id="rId11" w:type="default"/>
          <w:footerReference r:id="rId12" w:type="default"/>
          <w:pgSz w:w="11906" w:h="16838"/>
          <w:pgMar w:top="1417" w:right="1417" w:bottom="1417" w:left="1417" w:header="567" w:footer="850" w:gutter="0"/>
          <w:pgNumType w:fmt="decimal"/>
          <w:cols w:space="0" w:num="1"/>
          <w:titlePg/>
          <w:rtlGutter w:val="0"/>
          <w:docGrid w:type="lines" w:linePitch="318" w:charSpace="0"/>
        </w:sectPr>
      </w:pPr>
    </w:p>
    <w:p w14:paraId="59B40853">
      <w:pPr>
        <w:pStyle w:val="3"/>
        <w:spacing w:before="0" w:after="0" w:line="360" w:lineRule="auto"/>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九</w:t>
      </w:r>
      <w:r>
        <w:rPr>
          <w:rFonts w:hint="eastAsia" w:ascii="仿宋" w:hAnsi="仿宋" w:eastAsia="仿宋" w:cs="仿宋"/>
          <w:b/>
          <w:bCs w:val="0"/>
          <w:color w:val="auto"/>
          <w:sz w:val="32"/>
          <w:szCs w:val="32"/>
          <w:highlight w:val="none"/>
        </w:rPr>
        <w:t>、投标承诺书（格式）</w:t>
      </w:r>
    </w:p>
    <w:p w14:paraId="411A7B4F">
      <w:pPr>
        <w:spacing w:line="360" w:lineRule="auto"/>
        <w:ind w:firstLine="480" w:firstLineChars="200"/>
        <w:rPr>
          <w:rFonts w:hint="eastAsia" w:ascii="仿宋" w:hAnsi="仿宋" w:eastAsia="仿宋" w:cs="仿宋"/>
          <w:color w:val="auto"/>
          <w:sz w:val="24"/>
          <w:szCs w:val="24"/>
          <w:highlight w:val="none"/>
        </w:rPr>
      </w:pPr>
    </w:p>
    <w:p w14:paraId="7C49E57A">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我公司已详细阅读了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项目（项目编号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浙江佰顺2025-**-**</w:t>
      </w:r>
      <w:r>
        <w:rPr>
          <w:rFonts w:hint="eastAsia" w:ascii="仿宋" w:hAnsi="仿宋" w:eastAsia="仿宋" w:cs="仿宋"/>
          <w:color w:val="auto"/>
          <w:sz w:val="21"/>
          <w:szCs w:val="21"/>
          <w:highlight w:val="none"/>
        </w:rPr>
        <w:t>）采购文件，现参加该项目投标，并就有关事项作出如下承诺：</w:t>
      </w:r>
    </w:p>
    <w:p w14:paraId="6B6B0AB8">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一、我公司在该项目招投标及合同履约过程中，不会出现以下行为，否则我公司愿意接受该行为被记录为不良行为，并在不良行为记录时限内放弃</w:t>
      </w:r>
      <w:r>
        <w:rPr>
          <w:rFonts w:hint="eastAsia" w:ascii="仿宋" w:hAnsi="仿宋" w:eastAsia="仿宋" w:cs="仿宋"/>
          <w:color w:val="auto"/>
          <w:sz w:val="21"/>
          <w:szCs w:val="21"/>
          <w:highlight w:val="none"/>
          <w:lang w:val="en-US" w:eastAsia="zh-CN"/>
        </w:rPr>
        <w:t>诸暨市暨阳排水管理有限公司</w:t>
      </w:r>
      <w:r>
        <w:rPr>
          <w:rFonts w:hint="eastAsia" w:ascii="仿宋" w:hAnsi="仿宋" w:eastAsia="仿宋" w:cs="仿宋"/>
          <w:color w:val="auto"/>
          <w:sz w:val="21"/>
          <w:szCs w:val="21"/>
          <w:highlight w:val="none"/>
        </w:rPr>
        <w:t>范围内项目投标的资格。</w:t>
      </w:r>
    </w:p>
    <w:p w14:paraId="0D3E6E4D">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（1）已报名但无故放弃投标(开标前已有书面说明并证实的除外)一年内累计3次以上的；</w:t>
      </w:r>
    </w:p>
    <w:p w14:paraId="295337EE">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（2）在招标采购过程中，与采购人进行协商谈判的；</w:t>
      </w:r>
    </w:p>
    <w:p w14:paraId="47DEF445">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（3）投标有效期内撤回其投标文件的；</w:t>
      </w:r>
    </w:p>
    <w:p w14:paraId="0F6C6E0F">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（4）拒绝有关部门监督检查或提供虚假情况的；</w:t>
      </w:r>
    </w:p>
    <w:p w14:paraId="6CCBA8FE">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（5）不积极配合采购单位做好标的验收工作的；</w:t>
      </w:r>
    </w:p>
    <w:p w14:paraId="339A93F8">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（6）在有关部门的监督检查或考核中被通报批评或处以警告及以上处罚的；</w:t>
      </w:r>
    </w:p>
    <w:p w14:paraId="4EC2D4A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（7）不遵守投标会场纪律，无理取闹，扰乱交易秩序的；</w:t>
      </w:r>
    </w:p>
    <w:p w14:paraId="7B91B199">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（8）中标后无正当理由放弃中标，或不与采购人签订采购合同，或在签订合同时提出附加条件或更改合同实质性内容，或拒不提交所要求的履约保证金的；</w:t>
      </w:r>
    </w:p>
    <w:p w14:paraId="7991ED3A">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（9）虚假投诉、恶意投诉或未按层级和相关程序逐级质疑、投诉而影响采购工作正常进行或造成不良影响的；</w:t>
      </w:r>
    </w:p>
    <w:p w14:paraId="41A994A7">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（10）不按照与采购人订立的合同履行义务（包括提供标的、售后服务、技术支持等），严重违反合同规定和廉政合同要求的；</w:t>
      </w:r>
    </w:p>
    <w:p w14:paraId="50A5AAB0">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（11）项目负责人不到位，或擅自变换项目负责人，或不认真履行职责造成采购人损失的；</w:t>
      </w:r>
    </w:p>
    <w:p w14:paraId="1F31A08A">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（12）发生经营状况重大变化以及重要担保、重大合同纠纷或诉讼、信用等级和资质变化等可能影响履约能力的重大事项，未及时向采购人提供书面报告，因而造成采购人损失的；</w:t>
      </w:r>
    </w:p>
    <w:p w14:paraId="11BA066E">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（13）与采购人、其他投标人或者采购代理机构相互串通的；</w:t>
      </w:r>
    </w:p>
    <w:p w14:paraId="4652E8D5">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（14）采取不正当手段排挤其他投标人，进行不公平竞争的；</w:t>
      </w:r>
    </w:p>
    <w:p w14:paraId="2EDEDF0B">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（15）中标后与采购人另行订立背离合同实质内容的协议的；</w:t>
      </w:r>
    </w:p>
    <w:p w14:paraId="3BA6913C">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（16）事先有承诺，而事后违反承诺内容的；</w:t>
      </w:r>
    </w:p>
    <w:p w14:paraId="325CF93E">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（17）将中标项目转包或违反规定进行分包的；</w:t>
      </w:r>
    </w:p>
    <w:p w14:paraId="00C98512">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（18）以他人名义投标或允许他人以自己名义投标，或者以其他方式弄虚作假的；</w:t>
      </w:r>
    </w:p>
    <w:p w14:paraId="2103FD6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（19）未按照采购合同约定及时提供全部货物的，或无故拖延工期的；</w:t>
      </w:r>
    </w:p>
    <w:p w14:paraId="7F62FD34">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（20）无故不提供中标要求的型号、配置等产品的，或有拆换、调换、截留产品零部件和备品备件的行为的；</w:t>
      </w:r>
    </w:p>
    <w:p w14:paraId="6EBC05FD">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（21）为获取自身利益，向采购人及其他有利害关系的单位或个人提供不正当利益的；</w:t>
      </w:r>
    </w:p>
    <w:p w14:paraId="71D4B682">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（22）提供假冒伪劣产品或走私物品的；</w:t>
      </w:r>
    </w:p>
    <w:p w14:paraId="1129F570">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（23）擅自变更、中止、终止或解除采购合同的；</w:t>
      </w:r>
    </w:p>
    <w:p w14:paraId="12DFBE74">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（24）向有关人员行贿或者提供不正当利益谋取中标的；</w:t>
      </w:r>
    </w:p>
    <w:p w14:paraId="312B9538">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（25）在采购活动期间，对管理机构、采购人、其他投标人、评标专家、中介机构等采购相关机构和人员，采取诋毁、诽谤、胁迫、暴力等不正当手段的；</w:t>
      </w:r>
    </w:p>
    <w:p w14:paraId="5D357DF4">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认定的其他违反采购管理的行为。</w:t>
      </w:r>
    </w:p>
    <w:p w14:paraId="680899DE">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14:paraId="7E6366CC">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相关法律法规做出的处罚决定。</w:t>
      </w:r>
    </w:p>
    <w:p w14:paraId="0E38B54D">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三、我公司及其他利害关系人如对该项目的中标公示有异议，将在采购文件规定的公示期限内提出符合以下条件的有效质疑，否则我公司愿意接受相关部门不予受理的决定。</w:t>
      </w:r>
    </w:p>
    <w:p w14:paraId="4DAA50D2">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1、质疑人须为采购响应人和其他利害关系人；</w:t>
      </w:r>
    </w:p>
    <w:p w14:paraId="00602FCE">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2、投诉时，应当递交质疑书，质疑书应当包括下列内容：</w:t>
      </w:r>
    </w:p>
    <w:p w14:paraId="5AB5BCA5">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（1）质疑人的名称、地址及有效联系方式；</w:t>
      </w:r>
    </w:p>
    <w:p w14:paraId="3FBD9A86">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（2）被质疑人的名称、地址及联系方式；</w:t>
      </w:r>
    </w:p>
    <w:p w14:paraId="08C0FFD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（3）质疑事项的基本事实；</w:t>
      </w:r>
    </w:p>
    <w:p w14:paraId="674CE3A0">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（4）相关请求及主张；</w:t>
      </w:r>
    </w:p>
    <w:p w14:paraId="2429CF68">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（5）有效线索和相关证明材料；</w:t>
      </w:r>
    </w:p>
    <w:p w14:paraId="26A9CB8F">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（6）质疑人是法人的，质疑书必须由其法定代表人或者授权代表签字并加盖公章；其他组织或者个人质疑的，质疑书必须由其主要负责人或者质疑人本人签字，并附有效身份证明复印件。</w:t>
      </w:r>
    </w:p>
    <w:p w14:paraId="7BFA68F4">
      <w:pPr>
        <w:spacing w:line="360" w:lineRule="auto"/>
        <w:ind w:firstLine="964" w:firstLineChars="400"/>
        <w:rPr>
          <w:rFonts w:hint="eastAsia" w:ascii="仿宋" w:hAnsi="仿宋" w:eastAsia="仿宋" w:cs="仿宋"/>
          <w:b/>
          <w:color w:val="auto"/>
          <w:sz w:val="24"/>
          <w:szCs w:val="24"/>
          <w:highlight w:val="none"/>
        </w:rPr>
      </w:pPr>
    </w:p>
    <w:p w14:paraId="2A7CE944">
      <w:pPr>
        <w:spacing w:line="360" w:lineRule="auto"/>
        <w:ind w:firstLine="960" w:firstLineChars="400"/>
        <w:rPr>
          <w:rFonts w:hint="eastAsia" w:ascii="仿宋" w:hAnsi="仿宋" w:eastAsia="仿宋" w:cs="仿宋"/>
          <w:color w:val="auto"/>
          <w:sz w:val="24"/>
          <w:szCs w:val="24"/>
          <w:highlight w:val="none"/>
        </w:rPr>
      </w:pPr>
    </w:p>
    <w:p w14:paraId="61CEEA31">
      <w:pPr>
        <w:spacing w:line="360" w:lineRule="auto"/>
        <w:ind w:firstLine="960" w:firstLineChars="400"/>
        <w:jc w:val="right"/>
        <w:rPr>
          <w:rFonts w:hint="eastAsia" w:ascii="仿宋" w:hAnsi="仿宋" w:eastAsia="仿宋" w:cs="仿宋"/>
          <w:color w:val="auto"/>
          <w:sz w:val="24"/>
          <w:szCs w:val="24"/>
          <w:highlight w:val="none"/>
        </w:rPr>
      </w:pPr>
    </w:p>
    <w:p w14:paraId="4EA13E9D">
      <w:pPr>
        <w:spacing w:line="360" w:lineRule="auto"/>
        <w:ind w:firstLine="425"/>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（盖公章）</w:t>
      </w:r>
    </w:p>
    <w:p w14:paraId="18F67607">
      <w:pPr>
        <w:pStyle w:val="41"/>
        <w:rPr>
          <w:rFonts w:hint="eastAsia"/>
        </w:rPr>
      </w:pPr>
    </w:p>
    <w:p w14:paraId="68915BB8">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8E2D8A8">
      <w:pPr>
        <w:spacing w:line="360" w:lineRule="auto"/>
        <w:rPr>
          <w:rFonts w:hint="eastAsia" w:ascii="仿宋" w:hAnsi="仿宋" w:eastAsia="仿宋" w:cs="仿宋"/>
          <w:color w:val="auto"/>
          <w:sz w:val="24"/>
          <w:szCs w:val="24"/>
          <w:highlight w:val="none"/>
        </w:rPr>
      </w:pPr>
    </w:p>
    <w:p w14:paraId="5574F21E">
      <w:pPr>
        <w:spacing w:line="360" w:lineRule="auto"/>
        <w:rPr>
          <w:rFonts w:hint="eastAsia" w:ascii="仿宋" w:hAnsi="仿宋" w:eastAsia="仿宋" w:cs="仿宋"/>
          <w:color w:val="auto"/>
          <w:sz w:val="24"/>
          <w:szCs w:val="24"/>
          <w:highlight w:val="none"/>
        </w:rPr>
      </w:pPr>
    </w:p>
    <w:p w14:paraId="550CA9A9">
      <w:pPr>
        <w:spacing w:line="360" w:lineRule="auto"/>
        <w:rPr>
          <w:rFonts w:hint="eastAsia" w:ascii="仿宋" w:hAnsi="仿宋" w:eastAsia="仿宋" w:cs="仿宋"/>
          <w:sz w:val="24"/>
          <w:szCs w:val="24"/>
        </w:rPr>
      </w:pPr>
    </w:p>
    <w:sectPr>
      <w:pgSz w:w="11906" w:h="16838"/>
      <w:pgMar w:top="1417" w:right="1417" w:bottom="1417" w:left="1417" w:header="567" w:footer="850" w:gutter="0"/>
      <w:pgNumType w:fmt="decimal"/>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3169">
    <w:pPr>
      <w:pStyle w:val="15"/>
      <w:rPr>
        <w:rFonts w:hint="eastAsia" w:eastAsia="宋体"/>
        <w:lang w:val="en-US" w:eastAsia="zh-CN"/>
      </w:rPr>
    </w:pPr>
    <w:r>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EE0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99AA">
    <w:pPr>
      <w:pStyle w:val="15"/>
      <w:tabs>
        <w:tab w:val="center" w:pos="4536"/>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E3F5">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796ED">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2796ED">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723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491B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C491B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E5B4">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DCA0A">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FDCA0A">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38DF">
    <w:pPr>
      <w:pStyle w:val="17"/>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1B74">
    <w:pPr>
      <w:pStyle w:val="17"/>
      <w:pBdr>
        <w:bottom w:val="thinThickSmallGap" w:color="0000FF" w:sz="12" w:space="1"/>
      </w:pBdr>
      <w:rPr>
        <w:rFonts w:hint="eastAsia"/>
        <w:b/>
        <w:bCs/>
        <w:color w:val="0000FF"/>
        <w:sz w:val="24"/>
        <w:szCs w:val="24"/>
        <w:lang w:val="en-US" w:eastAsia="zh-CN"/>
      </w:rPr>
    </w:pPr>
  </w:p>
  <w:p w14:paraId="5F58FA13">
    <w:pPr>
      <w:pStyle w:val="17"/>
      <w:pBdr>
        <w:bottom w:val="thinThickSmallGap" w:color="0000FF" w:sz="12" w:space="1"/>
      </w:pBdr>
      <w:rPr>
        <w:rFonts w:hint="default"/>
        <w:b/>
        <w:bCs/>
        <w:color w:val="0000FF"/>
        <w:sz w:val="24"/>
        <w:szCs w:val="24"/>
        <w:lang w:val="en-US" w:eastAsia="zh-CN"/>
      </w:rPr>
    </w:pPr>
    <w:r>
      <w:rPr>
        <w:rFonts w:hint="eastAsia"/>
        <w:b/>
        <w:bCs/>
        <w:color w:val="0000FF"/>
        <w:sz w:val="24"/>
        <w:szCs w:val="24"/>
        <w:lang w:val="en-US" w:eastAsia="zh-CN"/>
      </w:rPr>
      <w:t>浙江佰顺项目管理有限公司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3D1B">
    <w:pPr>
      <w:pStyle w:val="17"/>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690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30A18"/>
    <w:multiLevelType w:val="singleLevel"/>
    <w:tmpl w:val="0DE30A18"/>
    <w:lvl w:ilvl="0" w:tentative="0">
      <w:start w:val="3"/>
      <w:numFmt w:val="chineseCounting"/>
      <w:suff w:val="nothing"/>
      <w:lvlText w:val="%1、"/>
      <w:lvlJc w:val="left"/>
      <w:rPr>
        <w:rFonts w:hint="eastAsia"/>
      </w:rPr>
    </w:lvl>
  </w:abstractNum>
  <w:abstractNum w:abstractNumId="1">
    <w:nsid w:val="103F15E2"/>
    <w:multiLevelType w:val="singleLevel"/>
    <w:tmpl w:val="103F15E2"/>
    <w:lvl w:ilvl="0" w:tentative="0">
      <w:start w:val="17"/>
      <w:numFmt w:val="decimal"/>
      <w:lvlText w:val="%1."/>
      <w:lvlJc w:val="left"/>
      <w:pPr>
        <w:tabs>
          <w:tab w:val="left" w:pos="312"/>
        </w:tabs>
      </w:pPr>
    </w:lvl>
  </w:abstractNum>
  <w:abstractNum w:abstractNumId="2">
    <w:nsid w:val="2E789E85"/>
    <w:multiLevelType w:val="singleLevel"/>
    <w:tmpl w:val="2E789E85"/>
    <w:lvl w:ilvl="0" w:tentative="0">
      <w:start w:val="1"/>
      <w:numFmt w:val="decimal"/>
      <w:lvlText w:val="%1."/>
      <w:lvlJc w:val="left"/>
      <w:pPr>
        <w:tabs>
          <w:tab w:val="left" w:pos="312"/>
        </w:tabs>
      </w:pPr>
    </w:lvl>
  </w:abstractNum>
  <w:abstractNum w:abstractNumId="3">
    <w:nsid w:val="403289EA"/>
    <w:multiLevelType w:val="singleLevel"/>
    <w:tmpl w:val="403289EA"/>
    <w:lvl w:ilvl="0" w:tentative="0">
      <w:start w:val="1"/>
      <w:numFmt w:val="decimal"/>
      <w:pStyle w:val="5"/>
      <w:lvlText w:val="%1."/>
      <w:lvlJc w:val="left"/>
      <w:pPr>
        <w:tabs>
          <w:tab w:val="left" w:pos="360"/>
        </w:tabs>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NWNhYTk5NTQyN2Q1ODY0NjY4MjgxYzdmNTQ5NjIifQ=="/>
  </w:docVars>
  <w:rsids>
    <w:rsidRoot w:val="23BF76CC"/>
    <w:rsid w:val="01B12C08"/>
    <w:rsid w:val="03F753A4"/>
    <w:rsid w:val="04C17856"/>
    <w:rsid w:val="0646345C"/>
    <w:rsid w:val="06C16154"/>
    <w:rsid w:val="076F21FF"/>
    <w:rsid w:val="09E81022"/>
    <w:rsid w:val="0A6A4724"/>
    <w:rsid w:val="0A746D10"/>
    <w:rsid w:val="0A9F05EC"/>
    <w:rsid w:val="0BE82925"/>
    <w:rsid w:val="0DBA40D8"/>
    <w:rsid w:val="0E032C8D"/>
    <w:rsid w:val="0E8C3F30"/>
    <w:rsid w:val="0FC6778D"/>
    <w:rsid w:val="10C5330F"/>
    <w:rsid w:val="114535BD"/>
    <w:rsid w:val="12AC38F3"/>
    <w:rsid w:val="12D32BC7"/>
    <w:rsid w:val="135D6FC9"/>
    <w:rsid w:val="13734411"/>
    <w:rsid w:val="14460456"/>
    <w:rsid w:val="14893887"/>
    <w:rsid w:val="15714241"/>
    <w:rsid w:val="1BD9327F"/>
    <w:rsid w:val="1C250181"/>
    <w:rsid w:val="1C7870A4"/>
    <w:rsid w:val="1F0959E6"/>
    <w:rsid w:val="1F341D23"/>
    <w:rsid w:val="1F9279CD"/>
    <w:rsid w:val="20F1085B"/>
    <w:rsid w:val="210E6D86"/>
    <w:rsid w:val="235C0316"/>
    <w:rsid w:val="23BF76CC"/>
    <w:rsid w:val="255B6AB3"/>
    <w:rsid w:val="28285372"/>
    <w:rsid w:val="296D2708"/>
    <w:rsid w:val="29F479AB"/>
    <w:rsid w:val="2AC0246A"/>
    <w:rsid w:val="2BDB6A5E"/>
    <w:rsid w:val="2C6D0CF3"/>
    <w:rsid w:val="2C9C423F"/>
    <w:rsid w:val="2DB712C4"/>
    <w:rsid w:val="2E0301FA"/>
    <w:rsid w:val="31E53FF7"/>
    <w:rsid w:val="33022C64"/>
    <w:rsid w:val="3646711C"/>
    <w:rsid w:val="365F715C"/>
    <w:rsid w:val="3CCA7630"/>
    <w:rsid w:val="3DE27B25"/>
    <w:rsid w:val="3F6D59E1"/>
    <w:rsid w:val="40FD712D"/>
    <w:rsid w:val="41F027BE"/>
    <w:rsid w:val="429D3B39"/>
    <w:rsid w:val="45D709AB"/>
    <w:rsid w:val="49BB79DB"/>
    <w:rsid w:val="49CB134B"/>
    <w:rsid w:val="4A5F1294"/>
    <w:rsid w:val="4BEA54CE"/>
    <w:rsid w:val="4C616E9F"/>
    <w:rsid w:val="4C701E77"/>
    <w:rsid w:val="4FD8048C"/>
    <w:rsid w:val="50332C0A"/>
    <w:rsid w:val="51016584"/>
    <w:rsid w:val="56DB6B1B"/>
    <w:rsid w:val="57874EB7"/>
    <w:rsid w:val="591F48E0"/>
    <w:rsid w:val="59513506"/>
    <w:rsid w:val="5AB50709"/>
    <w:rsid w:val="5C482045"/>
    <w:rsid w:val="60DF7E6F"/>
    <w:rsid w:val="632F7028"/>
    <w:rsid w:val="639A09BF"/>
    <w:rsid w:val="64A268B1"/>
    <w:rsid w:val="65935FDA"/>
    <w:rsid w:val="69405B84"/>
    <w:rsid w:val="6D612419"/>
    <w:rsid w:val="6EF9094A"/>
    <w:rsid w:val="6F363BEA"/>
    <w:rsid w:val="6F725243"/>
    <w:rsid w:val="71367DFF"/>
    <w:rsid w:val="71E125AB"/>
    <w:rsid w:val="75355EC3"/>
    <w:rsid w:val="76DF53BC"/>
    <w:rsid w:val="76EE5A34"/>
    <w:rsid w:val="76F86704"/>
    <w:rsid w:val="78CB5A16"/>
    <w:rsid w:val="7A634AF9"/>
    <w:rsid w:val="7B1A6CE9"/>
    <w:rsid w:val="7BDA558A"/>
    <w:rsid w:val="7D44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kern w:val="44"/>
      <w:sz w:val="44"/>
    </w:rPr>
  </w:style>
  <w:style w:type="paragraph" w:styleId="3">
    <w:name w:val="heading 2"/>
    <w:basedOn w:val="1"/>
    <w:next w:val="1"/>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paragraph" w:styleId="4">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qFormat/>
    <w:uiPriority w:val="0"/>
    <w:pPr>
      <w:autoSpaceDE/>
      <w:autoSpaceDN/>
      <w:adjustRightInd/>
      <w:ind w:firstLine="420"/>
    </w:pPr>
    <w:rPr>
      <w:rFonts w:eastAsia="宋体"/>
      <w:kern w:val="2"/>
      <w:sz w:val="21"/>
      <w:lang w:val="en-US" w:eastAsia="zh-CN" w:bidi="ar-SA"/>
    </w:rPr>
  </w:style>
  <w:style w:type="paragraph" w:styleId="7">
    <w:name w:val="Body Text Indent"/>
    <w:basedOn w:val="1"/>
    <w:next w:val="1"/>
    <w:qFormat/>
    <w:uiPriority w:val="0"/>
    <w:pPr>
      <w:spacing w:after="120" w:afterLines="0"/>
      <w:ind w:left="420" w:leftChars="200"/>
    </w:pPr>
  </w:style>
  <w:style w:type="paragraph" w:styleId="8">
    <w:name w:val="index 5"/>
    <w:basedOn w:val="1"/>
    <w:next w:val="1"/>
    <w:qFormat/>
    <w:uiPriority w:val="0"/>
    <w:pPr>
      <w:ind w:left="800" w:leftChars="800"/>
    </w:pPr>
  </w:style>
  <w:style w:type="paragraph" w:styleId="9">
    <w:name w:val="Body Text 3"/>
    <w:basedOn w:val="1"/>
    <w:unhideWhenUsed/>
    <w:qFormat/>
    <w:uiPriority w:val="99"/>
    <w:pPr>
      <w:spacing w:after="120"/>
    </w:pPr>
    <w:rPr>
      <w:sz w:val="16"/>
      <w:szCs w:val="16"/>
    </w:rPr>
  </w:style>
  <w:style w:type="paragraph" w:styleId="10">
    <w:name w:val="Body Text"/>
    <w:basedOn w:val="1"/>
    <w:next w:val="1"/>
    <w:semiHidden/>
    <w:qFormat/>
    <w:uiPriority w:val="0"/>
    <w:rPr>
      <w:rFonts w:ascii="仿宋" w:hAnsi="仿宋" w:eastAsia="仿宋" w:cs="仿宋"/>
      <w:sz w:val="31"/>
      <w:szCs w:val="31"/>
      <w:lang w:val="en-US" w:eastAsia="en-US" w:bidi="ar-SA"/>
    </w:rPr>
  </w:style>
  <w:style w:type="paragraph" w:styleId="11">
    <w:name w:val="Plain Text"/>
    <w:basedOn w:val="1"/>
    <w:next w:val="12"/>
    <w:qFormat/>
    <w:uiPriority w:val="0"/>
    <w:pPr>
      <w:autoSpaceDE/>
      <w:autoSpaceDN/>
      <w:adjustRightInd/>
    </w:pPr>
    <w:rPr>
      <w:rFonts w:eastAsia="宋体"/>
      <w:kern w:val="2"/>
      <w:sz w:val="24"/>
      <w:lang w:val="en-US" w:eastAsia="zh-CN" w:bidi="ar-SA"/>
    </w:rPr>
  </w:style>
  <w:style w:type="paragraph" w:styleId="12">
    <w:name w:val="index 7"/>
    <w:basedOn w:val="1"/>
    <w:next w:val="1"/>
    <w:qFormat/>
    <w:uiPriority w:val="0"/>
    <w:pPr>
      <w:ind w:left="1200" w:leftChars="1200"/>
    </w:pPr>
  </w:style>
  <w:style w:type="paragraph" w:styleId="13">
    <w:name w:val="Body Text Indent 2"/>
    <w:basedOn w:val="1"/>
    <w:next w:val="14"/>
    <w:qFormat/>
    <w:uiPriority w:val="0"/>
    <w:pPr>
      <w:ind w:firstLine="570"/>
    </w:pPr>
    <w:rPr>
      <w:sz w:val="24"/>
    </w:rPr>
  </w:style>
  <w:style w:type="paragraph" w:customStyle="1" w:styleId="14">
    <w:name w:val="z正文"/>
    <w:basedOn w:val="11"/>
    <w:qFormat/>
    <w:uiPriority w:val="0"/>
    <w:pPr>
      <w:tabs>
        <w:tab w:val="left" w:pos="525"/>
      </w:tabs>
      <w:snapToGrid w:val="0"/>
      <w:spacing w:line="360" w:lineRule="auto"/>
    </w:pPr>
    <w:rPr>
      <w:rFonts w:hAnsi="宋体"/>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cs="Arial"/>
      <w:kern w:val="2"/>
      <w:szCs w:val="24"/>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6"/>
    <w:basedOn w:val="1"/>
    <w:next w:val="1"/>
    <w:qFormat/>
    <w:uiPriority w:val="0"/>
    <w:pPr>
      <w:ind w:left="2100" w:leftChars="1000"/>
    </w:pPr>
  </w:style>
  <w:style w:type="paragraph" w:styleId="19">
    <w:name w:val="Body Text Indent 3"/>
    <w:basedOn w:val="1"/>
    <w:qFormat/>
    <w:uiPriority w:val="0"/>
    <w:pPr>
      <w:autoSpaceDE/>
      <w:autoSpaceDN/>
      <w:adjustRightInd/>
      <w:ind w:firstLine="435"/>
    </w:pPr>
    <w:rPr>
      <w:color w:val="auto"/>
      <w:kern w:val="2"/>
      <w:szCs w:val="24"/>
    </w:rPr>
  </w:style>
  <w:style w:type="paragraph" w:styleId="20">
    <w:name w:val="Normal (Web)"/>
    <w:basedOn w:val="1"/>
    <w:qFormat/>
    <w:uiPriority w:val="0"/>
    <w:pPr>
      <w:widowControl/>
      <w:autoSpaceDE/>
      <w:autoSpaceDN/>
      <w:adjustRightInd/>
      <w:spacing w:before="100" w:beforeAutospacing="1" w:after="100" w:afterAutospacing="1"/>
      <w:jc w:val="left"/>
    </w:pPr>
    <w:rPr>
      <w:rFonts w:ascii="宋体" w:hAnsi="宋体" w:eastAsia="Times New Roman"/>
      <w:sz w:val="24"/>
      <w:szCs w:val="24"/>
    </w:rPr>
  </w:style>
  <w:style w:type="paragraph" w:styleId="21">
    <w:name w:val="Body Text First Indent"/>
    <w:basedOn w:val="10"/>
    <w:next w:val="18"/>
    <w:unhideWhenUsed/>
    <w:qFormat/>
    <w:uiPriority w:val="0"/>
    <w:pPr>
      <w:ind w:firstLine="420" w:firstLineChars="100"/>
    </w:pPr>
    <w:rPr>
      <w:rFonts w:ascii="仿宋_GB2312" w:eastAsia="仿宋_GB2312"/>
      <w:bCs/>
      <w:sz w:val="30"/>
      <w:lang w:val="en-US" w:eastAsia="zh-CN"/>
    </w:rPr>
  </w:style>
  <w:style w:type="paragraph" w:styleId="22">
    <w:name w:val="Body Text First Indent 2"/>
    <w:basedOn w:val="7"/>
    <w:next w:val="23"/>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Body Text First Indent 21"/>
    <w:basedOn w:val="31"/>
    <w:qFormat/>
    <w:uiPriority w:val="0"/>
    <w:pPr>
      <w:ind w:firstLine="420"/>
    </w:pPr>
    <w:rPr>
      <w:rFonts w:cs="宋体"/>
    </w:rPr>
  </w:style>
  <w:style w:type="paragraph" w:customStyle="1" w:styleId="31">
    <w:name w:val="Body Text Indent1"/>
    <w:basedOn w:val="1"/>
    <w:next w:val="1"/>
    <w:qFormat/>
    <w:uiPriority w:val="0"/>
    <w:pPr>
      <w:spacing w:after="120"/>
      <w:ind w:left="420" w:leftChars="200"/>
    </w:pPr>
  </w:style>
  <w:style w:type="paragraph" w:customStyle="1" w:styleId="32">
    <w:name w:val="BodyText1I"/>
    <w:basedOn w:val="33"/>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33">
    <w:name w:val="BodyText"/>
    <w:basedOn w:val="1"/>
    <w:next w:val="32"/>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34">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35">
    <w:name w:val="正文段"/>
    <w:basedOn w:val="1"/>
    <w:next w:val="8"/>
    <w:qFormat/>
    <w:uiPriority w:val="0"/>
    <w:pPr>
      <w:widowControl/>
      <w:autoSpaceDE/>
      <w:autoSpaceDN/>
      <w:adjustRightInd/>
      <w:snapToGrid w:val="0"/>
      <w:spacing w:after="156" w:afterLines="50"/>
      <w:ind w:firstLine="200" w:firstLineChars="200"/>
    </w:pPr>
    <w:rPr>
      <w:color w:val="auto"/>
      <w:sz w:val="24"/>
      <w:szCs w:val="20"/>
    </w:rPr>
  </w:style>
  <w:style w:type="paragraph" w:styleId="36">
    <w:name w:val="List Paragraph"/>
    <w:basedOn w:val="1"/>
    <w:qFormat/>
    <w:uiPriority w:val="99"/>
    <w:pPr>
      <w:ind w:firstLine="420" w:firstLineChars="200"/>
    </w:pPr>
  </w:style>
  <w:style w:type="paragraph" w:customStyle="1" w:styleId="37">
    <w:name w:val="表格文字"/>
    <w:basedOn w:val="38"/>
    <w:next w:val="10"/>
    <w:qFormat/>
    <w:uiPriority w:val="0"/>
    <w:pPr>
      <w:adjustRightInd w:val="0"/>
      <w:spacing w:line="420" w:lineRule="atLeast"/>
      <w:textAlignment w:val="baseline"/>
    </w:pPr>
    <w:rPr>
      <w:szCs w:val="24"/>
    </w:rPr>
  </w:style>
  <w:style w:type="paragraph" w:customStyle="1" w:styleId="38">
    <w:name w:val="表格文字（两侧对齐）"/>
    <w:basedOn w:val="1"/>
    <w:qFormat/>
    <w:uiPriority w:val="0"/>
    <w:pPr>
      <w:autoSpaceDE/>
      <w:autoSpaceDN/>
      <w:adjustRightInd/>
      <w:snapToGrid w:val="0"/>
    </w:pPr>
    <w:rPr>
      <w:color w:val="auto"/>
      <w:sz w:val="20"/>
      <w:szCs w:val="24"/>
    </w:rPr>
  </w:style>
  <w:style w:type="paragraph" w:customStyle="1" w:styleId="39">
    <w:name w:val="纯文本_0_0"/>
    <w:basedOn w:val="40"/>
    <w:qFormat/>
    <w:uiPriority w:val="0"/>
    <w:rPr>
      <w:rFonts w:ascii="宋体" w:hAnsi="Courier New"/>
      <w:kern w:val="2"/>
      <w:sz w:val="21"/>
      <w:lang w:val="en-US" w:eastAsia="zh-CN"/>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41">
    <w:name w:val="Body Text First Indent 2"/>
    <w:basedOn w:val="42"/>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42">
    <w:name w:val="Body Text Indent"/>
    <w:basedOn w:val="1"/>
    <w:next w:val="1"/>
    <w:qFormat/>
    <w:uiPriority w:val="0"/>
    <w:pPr>
      <w:spacing w:after="120" w:afterLines="0"/>
      <w:ind w:left="420" w:leftChars="200"/>
    </w:pPr>
    <w:rPr>
      <w:color w:val="000000"/>
      <w:sz w:val="21"/>
      <w:szCs w:val="21"/>
    </w:rPr>
  </w:style>
  <w:style w:type="character" w:customStyle="1" w:styleId="43">
    <w:name w:val="font11"/>
    <w:basedOn w:val="26"/>
    <w:qFormat/>
    <w:uiPriority w:val="0"/>
    <w:rPr>
      <w:rFonts w:ascii="Calibri" w:hAnsi="Calibri" w:cs="Calibri"/>
      <w:color w:val="000000"/>
      <w:sz w:val="24"/>
      <w:szCs w:val="24"/>
      <w:u w:val="none"/>
    </w:rPr>
  </w:style>
  <w:style w:type="paragraph" w:customStyle="1" w:styleId="44">
    <w:name w:val="正文缩进1"/>
    <w:basedOn w:val="1"/>
    <w:next w:val="7"/>
    <w:autoRedefine/>
    <w:qFormat/>
    <w:uiPriority w:val="99"/>
    <w:pPr>
      <w:autoSpaceDE w:val="0"/>
      <w:autoSpaceDN w:val="0"/>
      <w:snapToGrid w:val="0"/>
      <w:spacing w:after="120" w:line="360" w:lineRule="auto"/>
      <w:ind w:left="420" w:leftChars="200" w:firstLine="480" w:firstLineChars="200"/>
    </w:pPr>
    <w:rPr>
      <w:sz w:val="24"/>
      <w:szCs w:val="21"/>
    </w:rPr>
  </w:style>
  <w:style w:type="character" w:customStyle="1" w:styleId="45">
    <w:name w:val="ca-12"/>
    <w:basedOn w:val="26"/>
    <w:qFormat/>
    <w:uiPriority w:val="0"/>
  </w:style>
  <w:style w:type="paragraph" w:customStyle="1" w:styleId="46">
    <w:name w:val="Body Text 3"/>
    <w:basedOn w:val="1"/>
    <w:qFormat/>
    <w:uiPriority w:val="0"/>
    <w:pPr>
      <w:spacing w:after="120" w:afterLines="0"/>
    </w:pPr>
    <w:rPr>
      <w:sz w:val="16"/>
      <w:szCs w:val="16"/>
    </w:rPr>
  </w:style>
  <w:style w:type="paragraph" w:customStyle="1" w:styleId="4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8">
    <w:name w:val="_Style 3"/>
    <w:basedOn w:val="1"/>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16633</Words>
  <Characters>17722</Characters>
  <Lines>0</Lines>
  <Paragraphs>0</Paragraphs>
  <TotalTime>11</TotalTime>
  <ScaleCrop>false</ScaleCrop>
  <LinksUpToDate>false</LinksUpToDate>
  <CharactersWithSpaces>17847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2023-11-15T03:33:00Z</dcterms:created>
  <dc:creator>小頹桑</dc:creator>
  <cp:lastModifiedBy>小手。。</cp:lastModifiedBy>
  <cp:lastPrinted>2025-06-19T06:36:00Z</cp:lastPrinted>
  <dcterms:modified xsi:type="dcterms:W3CDTF">2025-07-11T02:38:30Z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00E74C39FE3A40C691F7F1D4DBEFE5AC_13</vt:lpwstr>
  </property>
  <property fmtid="{D5CDD505-2E9C-101B-9397-08002B2CF9AE}" pid="4" name="KSOTemplateDocerSaveRecord">
    <vt:lpwstr>eyJoZGlkIjoiNTQ0NGVmYjUyMjM2OTkwMzM0YTdkNjRkMDZmMDJiZWEiLCJ1c2VySWQiOiI0MDUzNjczMzQifQ==</vt:lpwstr>
  </property>
</Properties>
</file>