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29BADBA">
      <w:pPr>
        <w:spacing w:before="156"/>
        <w:jc w:val="center"/>
        <w:rPr>
          <w:rStyle w:val="106"/>
          <w:rFonts w:hint="eastAsia" w:asciiTheme="minorEastAsia" w:hAnsiTheme="minorEastAsia" w:eastAsiaTheme="minorEastAsia" w:cstheme="minorEastAsia"/>
          <w:b/>
          <w:color w:val="auto"/>
          <w:sz w:val="52"/>
          <w:szCs w:val="52"/>
          <w:highlight w:val="none"/>
        </w:rPr>
      </w:pPr>
      <w:r>
        <w:rPr>
          <w:rStyle w:val="106"/>
          <w:rFonts w:hint="eastAsia" w:asciiTheme="minorEastAsia" w:hAnsiTheme="minorEastAsia" w:eastAsiaTheme="minorEastAsia" w:cstheme="minorEastAsia"/>
          <w:b/>
          <w:color w:val="auto"/>
          <w:sz w:val="52"/>
          <w:szCs w:val="52"/>
          <w:highlight w:val="none"/>
          <w:lang w:eastAsia="zh-CN"/>
        </w:rPr>
        <w:t>宁东新城前横孵化园及配套基础设施提升工程项目-前横片科技孵化园工程</w:t>
      </w:r>
      <w:r>
        <w:rPr>
          <w:rStyle w:val="106"/>
          <w:rFonts w:hint="eastAsia" w:asciiTheme="minorEastAsia" w:hAnsiTheme="minorEastAsia" w:eastAsiaTheme="minorEastAsia" w:cstheme="minorEastAsia"/>
          <w:b/>
          <w:color w:val="auto"/>
          <w:sz w:val="52"/>
          <w:szCs w:val="52"/>
          <w:highlight w:val="none"/>
        </w:rPr>
        <w:t>招标代理及造价咨询服务项目</w:t>
      </w:r>
    </w:p>
    <w:p w14:paraId="3E3ACA31">
      <w:pPr>
        <w:spacing w:before="156"/>
        <w:jc w:val="center"/>
        <w:rPr>
          <w:rStyle w:val="106"/>
          <w:rFonts w:hint="eastAsia" w:asciiTheme="minorEastAsia" w:hAnsiTheme="minorEastAsia" w:eastAsiaTheme="minorEastAsia" w:cstheme="minorEastAsia"/>
          <w:color w:val="auto"/>
          <w:sz w:val="52"/>
          <w:szCs w:val="52"/>
          <w:highlight w:val="none"/>
        </w:rPr>
      </w:pPr>
    </w:p>
    <w:p w14:paraId="0A6255E7">
      <w:pPr>
        <w:spacing w:before="156"/>
        <w:jc w:val="center"/>
        <w:rPr>
          <w:rStyle w:val="106"/>
          <w:rFonts w:hint="eastAsia" w:asciiTheme="minorEastAsia" w:hAnsiTheme="minorEastAsia" w:eastAsiaTheme="minorEastAsia" w:cstheme="minorEastAsia"/>
          <w:color w:val="auto"/>
          <w:sz w:val="52"/>
          <w:szCs w:val="52"/>
          <w:highlight w:val="none"/>
        </w:rPr>
      </w:pPr>
      <w:r>
        <w:rPr>
          <w:rStyle w:val="106"/>
          <w:rFonts w:hint="eastAsia" w:asciiTheme="minorEastAsia" w:hAnsiTheme="minorEastAsia" w:eastAsiaTheme="minorEastAsia" w:cstheme="minorEastAsia"/>
          <w:color w:val="auto"/>
          <w:sz w:val="52"/>
          <w:szCs w:val="52"/>
          <w:highlight w:val="none"/>
        </w:rPr>
        <w:t>公开招标采购文件</w:t>
      </w:r>
    </w:p>
    <w:p w14:paraId="1A5F872A">
      <w:pPr>
        <w:snapToGrid w:val="0"/>
        <w:spacing w:before="156" w:line="360" w:lineRule="auto"/>
        <w:rPr>
          <w:rStyle w:val="106"/>
          <w:rFonts w:hint="eastAsia" w:asciiTheme="minorEastAsia" w:hAnsiTheme="minorEastAsia" w:eastAsiaTheme="minorEastAsia" w:cstheme="minorEastAsia"/>
          <w:color w:val="auto"/>
          <w:sz w:val="30"/>
          <w:szCs w:val="72"/>
          <w:highlight w:val="none"/>
        </w:rPr>
      </w:pPr>
    </w:p>
    <w:p w14:paraId="3AC45DDB">
      <w:pPr>
        <w:snapToGrid w:val="0"/>
        <w:spacing w:before="156" w:line="360" w:lineRule="auto"/>
        <w:rPr>
          <w:rStyle w:val="106"/>
          <w:rFonts w:hint="eastAsia" w:asciiTheme="minorEastAsia" w:hAnsiTheme="minorEastAsia" w:eastAsiaTheme="minorEastAsia" w:cstheme="minorEastAsia"/>
          <w:color w:val="auto"/>
          <w:sz w:val="30"/>
          <w:szCs w:val="72"/>
          <w:highlight w:val="none"/>
        </w:rPr>
      </w:pPr>
    </w:p>
    <w:p w14:paraId="05D9922A">
      <w:pPr>
        <w:pStyle w:val="41"/>
        <w:snapToGrid w:val="0"/>
        <w:spacing w:before="0" w:after="0" w:line="480" w:lineRule="auto"/>
        <w:rPr>
          <w:rStyle w:val="106"/>
          <w:rFonts w:hint="eastAsia" w:asciiTheme="minorEastAsia" w:hAnsiTheme="minorEastAsia" w:eastAsiaTheme="minorEastAsia" w:cstheme="minorEastAsia"/>
          <w:b/>
          <w:color w:val="auto"/>
          <w:sz w:val="32"/>
          <w:szCs w:val="32"/>
          <w:highlight w:val="none"/>
        </w:rPr>
      </w:pPr>
      <w:r>
        <w:rPr>
          <w:rStyle w:val="106"/>
          <w:rFonts w:hint="eastAsia" w:asciiTheme="minorEastAsia" w:hAnsiTheme="minorEastAsia" w:eastAsiaTheme="minorEastAsia" w:cstheme="minorEastAsia"/>
          <w:b/>
          <w:bCs/>
          <w:color w:val="auto"/>
          <w:sz w:val="30"/>
          <w:szCs w:val="30"/>
          <w:highlight w:val="none"/>
        </w:rPr>
        <w:t>项目编号：CBZJ-20256044</w:t>
      </w:r>
    </w:p>
    <w:p w14:paraId="3EC0E5AD">
      <w:pPr>
        <w:snapToGrid w:val="0"/>
        <w:spacing w:line="480" w:lineRule="auto"/>
        <w:ind w:left="1494" w:hanging="1494" w:hangingChars="496"/>
        <w:rPr>
          <w:rStyle w:val="106"/>
          <w:rFonts w:hint="eastAsia" w:asciiTheme="minorEastAsia" w:hAnsiTheme="minorEastAsia" w:eastAsiaTheme="minorEastAsia" w:cstheme="minorEastAsia"/>
          <w:b/>
          <w:color w:val="auto"/>
          <w:sz w:val="30"/>
          <w:szCs w:val="72"/>
          <w:highlight w:val="none"/>
        </w:rPr>
      </w:pPr>
      <w:r>
        <w:rPr>
          <w:rStyle w:val="106"/>
          <w:rFonts w:hint="eastAsia" w:asciiTheme="minorEastAsia" w:hAnsiTheme="minorEastAsia" w:eastAsiaTheme="minorEastAsia" w:cstheme="minorEastAsia"/>
          <w:b/>
          <w:color w:val="auto"/>
          <w:sz w:val="30"/>
          <w:szCs w:val="72"/>
          <w:highlight w:val="none"/>
        </w:rPr>
        <w:t>项目名称：</w:t>
      </w:r>
      <w:r>
        <w:rPr>
          <w:rStyle w:val="106"/>
          <w:rFonts w:hint="eastAsia" w:asciiTheme="minorEastAsia" w:hAnsiTheme="minorEastAsia" w:eastAsiaTheme="minorEastAsia" w:cstheme="minorEastAsia"/>
          <w:b/>
          <w:color w:val="auto"/>
          <w:sz w:val="30"/>
          <w:szCs w:val="72"/>
          <w:highlight w:val="none"/>
          <w:lang w:eastAsia="zh-CN"/>
        </w:rPr>
        <w:t>宁东新城前横孵化园及配套基础设施提升工程项目-前横片科技孵化园工程</w:t>
      </w:r>
      <w:r>
        <w:rPr>
          <w:rStyle w:val="106"/>
          <w:rFonts w:hint="eastAsia" w:asciiTheme="minorEastAsia" w:hAnsiTheme="minorEastAsia" w:eastAsiaTheme="minorEastAsia" w:cstheme="minorEastAsia"/>
          <w:b/>
          <w:color w:val="auto"/>
          <w:sz w:val="30"/>
          <w:szCs w:val="72"/>
          <w:highlight w:val="none"/>
        </w:rPr>
        <w:t>招标代理及造价咨询服务项目</w:t>
      </w:r>
    </w:p>
    <w:p w14:paraId="01754067">
      <w:pPr>
        <w:snapToGrid w:val="0"/>
        <w:spacing w:line="480" w:lineRule="auto"/>
        <w:ind w:left="1494" w:hanging="1494" w:hangingChars="496"/>
        <w:rPr>
          <w:rStyle w:val="106"/>
          <w:rFonts w:hint="eastAsia" w:asciiTheme="minorEastAsia" w:hAnsiTheme="minorEastAsia" w:eastAsiaTheme="minorEastAsia" w:cstheme="minorEastAsia"/>
          <w:b/>
          <w:color w:val="auto"/>
          <w:sz w:val="30"/>
          <w:szCs w:val="72"/>
          <w:highlight w:val="none"/>
        </w:rPr>
      </w:pPr>
      <w:r>
        <w:rPr>
          <w:rStyle w:val="106"/>
          <w:rFonts w:hint="eastAsia" w:asciiTheme="minorEastAsia" w:hAnsiTheme="minorEastAsia" w:eastAsiaTheme="minorEastAsia" w:cstheme="minorEastAsia"/>
          <w:b/>
          <w:color w:val="auto"/>
          <w:sz w:val="30"/>
          <w:szCs w:val="72"/>
          <w:highlight w:val="none"/>
        </w:rPr>
        <w:t>招标人：宁海县科建开发投资有限公司</w:t>
      </w:r>
    </w:p>
    <w:p w14:paraId="488BE873">
      <w:pPr>
        <w:snapToGrid w:val="0"/>
        <w:spacing w:line="480" w:lineRule="auto"/>
        <w:ind w:left="1494" w:hanging="1494" w:hangingChars="496"/>
        <w:rPr>
          <w:rStyle w:val="106"/>
          <w:rFonts w:hint="eastAsia" w:asciiTheme="minorEastAsia" w:hAnsiTheme="minorEastAsia" w:eastAsiaTheme="minorEastAsia" w:cstheme="minorEastAsia"/>
          <w:b/>
          <w:color w:val="auto"/>
          <w:sz w:val="30"/>
          <w:szCs w:val="72"/>
          <w:highlight w:val="none"/>
        </w:rPr>
      </w:pPr>
      <w:r>
        <w:rPr>
          <w:rStyle w:val="106"/>
          <w:rFonts w:hint="eastAsia" w:asciiTheme="minorEastAsia" w:hAnsiTheme="minorEastAsia" w:eastAsiaTheme="minorEastAsia" w:cstheme="minorEastAsia"/>
          <w:b/>
          <w:color w:val="auto"/>
          <w:sz w:val="30"/>
          <w:szCs w:val="72"/>
          <w:highlight w:val="none"/>
        </w:rPr>
        <w:t>招标代理机构：浙江中基正采管理咨询有限公司</w:t>
      </w:r>
    </w:p>
    <w:p w14:paraId="4BACD2A4">
      <w:pPr>
        <w:pStyle w:val="41"/>
        <w:snapToGrid w:val="0"/>
        <w:spacing w:line="360" w:lineRule="auto"/>
        <w:rPr>
          <w:rStyle w:val="106"/>
          <w:rFonts w:hint="eastAsia" w:asciiTheme="minorEastAsia" w:hAnsiTheme="minorEastAsia" w:eastAsiaTheme="minorEastAsia" w:cstheme="minorEastAsia"/>
          <w:b/>
          <w:bCs/>
          <w:color w:val="auto"/>
          <w:w w:val="95"/>
          <w:sz w:val="30"/>
          <w:szCs w:val="30"/>
          <w:highlight w:val="none"/>
        </w:rPr>
      </w:pPr>
    </w:p>
    <w:p w14:paraId="3AA69E43">
      <w:pPr>
        <w:pStyle w:val="41"/>
        <w:snapToGrid w:val="0"/>
        <w:spacing w:line="360" w:lineRule="auto"/>
        <w:rPr>
          <w:rStyle w:val="106"/>
          <w:rFonts w:hint="eastAsia" w:asciiTheme="minorEastAsia" w:hAnsiTheme="minorEastAsia" w:eastAsiaTheme="minorEastAsia" w:cstheme="minorEastAsia"/>
          <w:b/>
          <w:bCs/>
          <w:color w:val="auto"/>
          <w:w w:val="95"/>
          <w:sz w:val="30"/>
          <w:szCs w:val="30"/>
          <w:highlight w:val="none"/>
        </w:rPr>
      </w:pPr>
    </w:p>
    <w:p w14:paraId="1BE06150">
      <w:pPr>
        <w:snapToGrid w:val="0"/>
        <w:spacing w:before="156" w:line="360" w:lineRule="auto"/>
        <w:jc w:val="center"/>
        <w:rPr>
          <w:rStyle w:val="106"/>
          <w:rFonts w:hint="eastAsia" w:asciiTheme="minorEastAsia" w:hAnsiTheme="minorEastAsia" w:eastAsiaTheme="minorEastAsia" w:cstheme="minorEastAsia"/>
          <w:b/>
          <w:bCs/>
          <w:color w:val="auto"/>
          <w:w w:val="95"/>
          <w:sz w:val="30"/>
          <w:szCs w:val="30"/>
          <w:highlight w:val="none"/>
        </w:rPr>
      </w:pPr>
      <w:r>
        <w:rPr>
          <w:rStyle w:val="106"/>
          <w:rFonts w:hint="eastAsia" w:asciiTheme="minorEastAsia" w:hAnsiTheme="minorEastAsia" w:eastAsiaTheme="minorEastAsia" w:cstheme="minorEastAsia"/>
          <w:b/>
          <w:bCs/>
          <w:color w:val="auto"/>
          <w:w w:val="95"/>
          <w:sz w:val="30"/>
          <w:szCs w:val="30"/>
          <w:highlight w:val="none"/>
        </w:rPr>
        <w:t>2025年</w:t>
      </w:r>
      <w:r>
        <w:rPr>
          <w:rStyle w:val="106"/>
          <w:rFonts w:hint="eastAsia" w:asciiTheme="minorEastAsia" w:hAnsiTheme="minorEastAsia" w:eastAsiaTheme="minorEastAsia" w:cstheme="minorEastAsia"/>
          <w:b/>
          <w:bCs/>
          <w:color w:val="auto"/>
          <w:w w:val="95"/>
          <w:sz w:val="30"/>
          <w:szCs w:val="30"/>
          <w:highlight w:val="none"/>
          <w:lang w:val="en-US" w:eastAsia="zh-CN"/>
        </w:rPr>
        <w:t>6</w:t>
      </w:r>
      <w:r>
        <w:rPr>
          <w:rStyle w:val="106"/>
          <w:rFonts w:hint="eastAsia" w:asciiTheme="minorEastAsia" w:hAnsiTheme="minorEastAsia" w:eastAsiaTheme="minorEastAsia" w:cstheme="minorEastAsia"/>
          <w:b/>
          <w:bCs/>
          <w:color w:val="auto"/>
          <w:w w:val="95"/>
          <w:sz w:val="30"/>
          <w:szCs w:val="30"/>
          <w:highlight w:val="none"/>
        </w:rPr>
        <w:t>月</w:t>
      </w:r>
    </w:p>
    <w:p w14:paraId="7EBE34F9">
      <w:pPr>
        <w:pStyle w:val="41"/>
        <w:spacing w:line="360" w:lineRule="auto"/>
        <w:jc w:val="center"/>
        <w:rPr>
          <w:rStyle w:val="106"/>
          <w:rFonts w:hint="eastAsia" w:asciiTheme="minorEastAsia" w:hAnsiTheme="minorEastAsia" w:eastAsiaTheme="minorEastAsia" w:cstheme="minorEastAsia"/>
          <w:b/>
          <w:color w:val="auto"/>
          <w:sz w:val="30"/>
          <w:szCs w:val="3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133" w:bottom="1440" w:left="1610" w:header="851" w:footer="992" w:gutter="0"/>
          <w:pgNumType w:start="1"/>
          <w:cols w:space="720" w:num="1"/>
          <w:titlePg/>
          <w:docGrid w:type="lines" w:linePitch="312" w:charSpace="0"/>
        </w:sectPr>
      </w:pPr>
    </w:p>
    <w:p w14:paraId="1B695AA2">
      <w:pPr>
        <w:jc w:val="center"/>
        <w:rPr>
          <w:rStyle w:val="106"/>
          <w:rFonts w:hint="eastAsia" w:asciiTheme="minorEastAsia" w:hAnsiTheme="minorEastAsia" w:eastAsiaTheme="minorEastAsia" w:cstheme="minorEastAsia"/>
          <w:b/>
          <w:color w:val="auto"/>
          <w:sz w:val="48"/>
          <w:szCs w:val="48"/>
          <w:highlight w:val="none"/>
        </w:rPr>
      </w:pPr>
      <w:r>
        <w:rPr>
          <w:rStyle w:val="106"/>
          <w:rFonts w:hint="eastAsia" w:asciiTheme="minorEastAsia" w:hAnsiTheme="minorEastAsia" w:eastAsiaTheme="minorEastAsia" w:cstheme="minorEastAsia"/>
          <w:b/>
          <w:color w:val="auto"/>
          <w:sz w:val="48"/>
          <w:szCs w:val="48"/>
          <w:highlight w:val="none"/>
        </w:rPr>
        <w:t>目    录</w:t>
      </w:r>
    </w:p>
    <w:p w14:paraId="09A3C13E">
      <w:pPr>
        <w:jc w:val="center"/>
        <w:rPr>
          <w:rFonts w:hint="eastAsia" w:asciiTheme="minorEastAsia" w:hAnsiTheme="minorEastAsia" w:eastAsiaTheme="minorEastAsia" w:cstheme="minorEastAsia"/>
          <w:color w:val="auto"/>
          <w:highlight w:val="none"/>
        </w:rPr>
      </w:pPr>
    </w:p>
    <w:p w14:paraId="4D992BF2">
      <w:pPr>
        <w:pStyle w:val="129"/>
        <w:tabs>
          <w:tab w:val="right" w:leader="dot" w:pos="8856"/>
        </w:tabs>
        <w:spacing w:line="72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TOC \o "1-1" \h \u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"_Toc21668"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8"/>
          <w:szCs w:val="28"/>
          <w:highlight w:val="none"/>
        </w:rPr>
        <w:t>第一章  公开招标公告</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_Toc21668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3</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56EC8743">
      <w:pPr>
        <w:pStyle w:val="129"/>
        <w:tabs>
          <w:tab w:val="right" w:leader="dot" w:pos="8856"/>
        </w:tabs>
        <w:spacing w:line="72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"_Toc16830"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Cs/>
          <w:color w:val="auto"/>
          <w:kern w:val="44"/>
          <w:sz w:val="28"/>
          <w:szCs w:val="28"/>
          <w:highlight w:val="none"/>
        </w:rPr>
        <w:t>第二章  招标需求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_Toc16830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7</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2F389F58">
      <w:pPr>
        <w:pStyle w:val="129"/>
        <w:tabs>
          <w:tab w:val="right" w:leader="dot" w:pos="8856"/>
        </w:tabs>
        <w:spacing w:line="72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"_Toc9633"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8"/>
          <w:szCs w:val="28"/>
          <w:highlight w:val="none"/>
        </w:rPr>
        <w:t>第三章  投标人须知</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_Toc9633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16</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51C354C4">
      <w:pPr>
        <w:pStyle w:val="129"/>
        <w:tabs>
          <w:tab w:val="right" w:leader="dot" w:pos="8856"/>
        </w:tabs>
        <w:spacing w:line="72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"_Toc30545"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8"/>
          <w:szCs w:val="28"/>
          <w:highlight w:val="none"/>
        </w:rPr>
        <w:t>第四章  评标办法及评分标准</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_Toc30545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29</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5656EFD7">
      <w:pPr>
        <w:pStyle w:val="129"/>
        <w:tabs>
          <w:tab w:val="right" w:leader="dot" w:pos="8856"/>
        </w:tabs>
        <w:spacing w:line="72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"_Toc19820"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8"/>
          <w:szCs w:val="28"/>
          <w:highlight w:val="none"/>
        </w:rPr>
        <w:t>第五章  合同主要条款</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_Toc19820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37</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155E2111">
      <w:pPr>
        <w:pStyle w:val="129"/>
        <w:tabs>
          <w:tab w:val="right" w:leader="dot" w:pos="8856"/>
        </w:tabs>
        <w:spacing w:line="72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"_Toc25657"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8"/>
          <w:szCs w:val="28"/>
          <w:highlight w:val="none"/>
        </w:rPr>
        <w:t>第六章  投标文件格式</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_Toc25657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58</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218970BD">
      <w:pPr>
        <w:spacing w:line="700" w:lineRule="exac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end"/>
      </w:r>
    </w:p>
    <w:p w14:paraId="70C845ED">
      <w:pPr>
        <w:pStyle w:val="31"/>
        <w:spacing w:before="100" w:after="100" w:line="360" w:lineRule="auto"/>
        <w:rPr>
          <w:rStyle w:val="106"/>
          <w:rFonts w:hint="eastAsia" w:asciiTheme="minorEastAsia" w:hAnsiTheme="minorEastAsia" w:eastAsiaTheme="minorEastAsia" w:cstheme="minorEastAsia"/>
          <w:color w:val="auto"/>
          <w:highlight w:val="none"/>
        </w:rPr>
        <w:sectPr>
          <w:pgSz w:w="11906" w:h="16838"/>
          <w:pgMar w:top="1440" w:right="1440" w:bottom="1440" w:left="1610" w:header="851" w:footer="992" w:gutter="0"/>
          <w:cols w:space="720" w:num="1"/>
          <w:titlePg/>
          <w:docGrid w:type="lines" w:linePitch="312" w:charSpace="0"/>
        </w:sectPr>
      </w:pPr>
      <w:bookmarkStart w:id="0" w:name="_Toc21668"/>
    </w:p>
    <w:p w14:paraId="5BBF757F">
      <w:pPr>
        <w:pStyle w:val="31"/>
        <w:spacing w:before="0" w:after="0" w:line="360" w:lineRule="auto"/>
        <w:outlineLvl w:val="0"/>
        <w:rPr>
          <w:rStyle w:val="106"/>
          <w:rFonts w:hint="eastAsia" w:asciiTheme="minorEastAsia" w:hAnsiTheme="minorEastAsia" w:eastAsiaTheme="minorEastAsia" w:cstheme="minorEastAsia"/>
          <w:color w:val="auto"/>
          <w:sz w:val="28"/>
          <w:szCs w:val="28"/>
          <w:highlight w:val="none"/>
        </w:rPr>
      </w:pPr>
      <w:r>
        <w:rPr>
          <w:rStyle w:val="106"/>
          <w:rFonts w:hint="eastAsia" w:asciiTheme="minorEastAsia" w:hAnsiTheme="minorEastAsia" w:eastAsiaTheme="minorEastAsia" w:cstheme="minorEastAsia"/>
          <w:color w:val="auto"/>
          <w:sz w:val="28"/>
          <w:szCs w:val="28"/>
          <w:highlight w:val="none"/>
        </w:rPr>
        <w:t>第一章  公开招标公告</w:t>
      </w:r>
      <w:bookmarkEnd w:id="0"/>
    </w:p>
    <w:p w14:paraId="0526C2B2">
      <w:pPr>
        <w:pStyle w:val="131"/>
        <w:widowControl w:val="0"/>
        <w:spacing w:afterLines="0" w:line="44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浙江中基正采管理咨询有限公司受宁海县科建开发投资有限公司的委托，就</w:t>
      </w:r>
      <w:r>
        <w:rPr>
          <w:rFonts w:hint="eastAsia" w:asciiTheme="minorEastAsia" w:hAnsiTheme="minorEastAsia" w:eastAsiaTheme="minorEastAsia" w:cstheme="minorEastAsia"/>
          <w:color w:val="auto"/>
          <w:sz w:val="21"/>
          <w:szCs w:val="21"/>
          <w:highlight w:val="none"/>
          <w:lang w:eastAsia="zh-CN"/>
        </w:rPr>
        <w:t>宁东新城前横孵化园及配套基础设施提升工程项目-前横片科技孵化园工程</w:t>
      </w:r>
      <w:r>
        <w:rPr>
          <w:rFonts w:hint="eastAsia" w:asciiTheme="minorEastAsia" w:hAnsiTheme="minorEastAsia" w:eastAsiaTheme="minorEastAsia" w:cstheme="minorEastAsia"/>
          <w:color w:val="auto"/>
          <w:sz w:val="21"/>
          <w:szCs w:val="21"/>
          <w:highlight w:val="none"/>
        </w:rPr>
        <w:t>招标代理及造价咨询服务项目进行公开招标采购，欢迎合格的投标人前来投标。</w:t>
      </w:r>
    </w:p>
    <w:p w14:paraId="309F7096">
      <w:pPr>
        <w:tabs>
          <w:tab w:val="left" w:pos="0"/>
        </w:tabs>
        <w:snapToGrid w:val="0"/>
        <w:spacing w:line="440" w:lineRule="exact"/>
        <w:ind w:firstLine="422"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一、项目编号：</w:t>
      </w:r>
      <w:r>
        <w:rPr>
          <w:rFonts w:hint="eastAsia" w:asciiTheme="minorEastAsia" w:hAnsiTheme="minorEastAsia" w:eastAsiaTheme="minorEastAsia" w:cstheme="minorEastAsia"/>
          <w:bCs/>
          <w:color w:val="auto"/>
          <w:szCs w:val="21"/>
          <w:highlight w:val="none"/>
        </w:rPr>
        <w:t>CBZJ-20256044</w:t>
      </w:r>
    </w:p>
    <w:p w14:paraId="6C80A16C">
      <w:pPr>
        <w:snapToGrid w:val="0"/>
        <w:spacing w:line="440" w:lineRule="exact"/>
        <w:ind w:firstLine="422"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二、采购组织类型：</w:t>
      </w:r>
      <w:r>
        <w:rPr>
          <w:rFonts w:hint="eastAsia" w:asciiTheme="minorEastAsia" w:hAnsiTheme="minorEastAsia" w:eastAsiaTheme="minorEastAsia" w:cstheme="minorEastAsia"/>
          <w:color w:val="auto"/>
          <w:szCs w:val="21"/>
          <w:highlight w:val="none"/>
        </w:rPr>
        <w:t>国企采购</w:t>
      </w:r>
    </w:p>
    <w:p w14:paraId="5C0006A0">
      <w:pPr>
        <w:snapToGrid w:val="0"/>
        <w:spacing w:line="440" w:lineRule="exact"/>
        <w:ind w:firstLine="422"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三、采购方式、用途：</w:t>
      </w:r>
      <w:r>
        <w:rPr>
          <w:rFonts w:hint="eastAsia" w:asciiTheme="minorEastAsia" w:hAnsiTheme="minorEastAsia" w:eastAsiaTheme="minorEastAsia" w:cstheme="minorEastAsia"/>
          <w:color w:val="auto"/>
          <w:szCs w:val="21"/>
          <w:highlight w:val="none"/>
        </w:rPr>
        <w:t>公开招标、自用</w:t>
      </w:r>
    </w:p>
    <w:p w14:paraId="1D7DB4CB">
      <w:pPr>
        <w:snapToGrid w:val="0"/>
        <w:spacing w:line="440" w:lineRule="exact"/>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四、采购内容、服务需求、合同履约期限及采购预算：</w:t>
      </w:r>
    </w:p>
    <w:tbl>
      <w:tblPr>
        <w:tblStyle w:val="21"/>
        <w:tblW w:w="4996" w:type="pct"/>
        <w:tblInd w:w="0" w:type="dxa"/>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1"/>
        <w:gridCol w:w="1542"/>
        <w:gridCol w:w="3270"/>
        <w:gridCol w:w="2378"/>
        <w:gridCol w:w="1224"/>
      </w:tblGrid>
      <w:tr w14:paraId="33F4702E">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647" w:type="dxa"/>
            <w:tcBorders>
              <w:left w:val="single" w:color="auto" w:sz="4" w:space="0"/>
            </w:tcBorders>
            <w:vAlign w:val="center"/>
          </w:tcPr>
          <w:p w14:paraId="09D02AE4">
            <w:pPr>
              <w:spacing w:line="440" w:lineRule="exact"/>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标项</w:t>
            </w:r>
          </w:p>
        </w:tc>
        <w:tc>
          <w:tcPr>
            <w:tcW w:w="1542" w:type="dxa"/>
            <w:tcBorders>
              <w:left w:val="single" w:color="auto" w:sz="4" w:space="0"/>
            </w:tcBorders>
            <w:vAlign w:val="center"/>
          </w:tcPr>
          <w:p w14:paraId="065566AD">
            <w:pPr>
              <w:spacing w:line="440" w:lineRule="exact"/>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采购内容</w:t>
            </w:r>
          </w:p>
        </w:tc>
        <w:tc>
          <w:tcPr>
            <w:tcW w:w="3275" w:type="dxa"/>
            <w:tcBorders>
              <w:right w:val="single" w:color="auto" w:sz="4" w:space="0"/>
            </w:tcBorders>
            <w:vAlign w:val="center"/>
          </w:tcPr>
          <w:p w14:paraId="795536F0">
            <w:pPr>
              <w:spacing w:line="440" w:lineRule="exact"/>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服务需求</w:t>
            </w:r>
          </w:p>
        </w:tc>
        <w:tc>
          <w:tcPr>
            <w:tcW w:w="2381" w:type="dxa"/>
            <w:tcBorders>
              <w:left w:val="single" w:color="auto" w:sz="4" w:space="0"/>
            </w:tcBorders>
            <w:vAlign w:val="center"/>
          </w:tcPr>
          <w:p w14:paraId="046513C0">
            <w:pPr>
              <w:spacing w:line="440" w:lineRule="exact"/>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合同履约期限</w:t>
            </w:r>
          </w:p>
        </w:tc>
        <w:tc>
          <w:tcPr>
            <w:tcW w:w="1221" w:type="dxa"/>
            <w:tcBorders>
              <w:left w:val="single" w:color="auto" w:sz="4" w:space="0"/>
            </w:tcBorders>
            <w:vAlign w:val="center"/>
          </w:tcPr>
          <w:p w14:paraId="4164A52A">
            <w:pPr>
              <w:spacing w:line="440" w:lineRule="exact"/>
              <w:jc w:val="center"/>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rPr>
              <w:t>采购预算</w:t>
            </w:r>
          </w:p>
        </w:tc>
      </w:tr>
      <w:tr w14:paraId="2E512EC4">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647" w:type="dxa"/>
            <w:tcBorders>
              <w:left w:val="single" w:color="auto" w:sz="4" w:space="0"/>
            </w:tcBorders>
            <w:vAlign w:val="center"/>
          </w:tcPr>
          <w:p w14:paraId="437D6C71">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w:t>
            </w:r>
          </w:p>
        </w:tc>
        <w:tc>
          <w:tcPr>
            <w:tcW w:w="1542" w:type="dxa"/>
            <w:tcBorders>
              <w:left w:val="single" w:color="auto" w:sz="4" w:space="0"/>
            </w:tcBorders>
            <w:vAlign w:val="center"/>
          </w:tcPr>
          <w:p w14:paraId="1459FC47">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招标代理</w:t>
            </w:r>
            <w:r>
              <w:rPr>
                <w:rFonts w:hint="eastAsia" w:asciiTheme="minorEastAsia" w:hAnsiTheme="minorEastAsia" w:eastAsiaTheme="minorEastAsia" w:cstheme="minorEastAsia"/>
                <w:color w:val="auto"/>
                <w:szCs w:val="21"/>
                <w:highlight w:val="none"/>
                <w:lang w:val="en-US" w:eastAsia="zh-CN"/>
              </w:rPr>
              <w:t>和</w:t>
            </w:r>
            <w:r>
              <w:rPr>
                <w:rFonts w:hint="eastAsia" w:asciiTheme="minorEastAsia" w:hAnsiTheme="minorEastAsia" w:eastAsiaTheme="minorEastAsia" w:cstheme="minorEastAsia"/>
                <w:color w:val="auto"/>
                <w:szCs w:val="21"/>
                <w:highlight w:val="none"/>
              </w:rPr>
              <w:t>工程量清单及招标控制价编制</w:t>
            </w:r>
          </w:p>
        </w:tc>
        <w:tc>
          <w:tcPr>
            <w:tcW w:w="3275" w:type="dxa"/>
            <w:tcBorders>
              <w:right w:val="single" w:color="auto" w:sz="4" w:space="0"/>
            </w:tcBorders>
            <w:vAlign w:val="center"/>
          </w:tcPr>
          <w:p w14:paraId="2AC48B7F">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招标代理</w:t>
            </w:r>
            <w:r>
              <w:rPr>
                <w:rFonts w:hint="eastAsia" w:asciiTheme="minorEastAsia" w:hAnsiTheme="minorEastAsia" w:eastAsiaTheme="minorEastAsia" w:cstheme="minorEastAsia"/>
                <w:color w:val="auto"/>
                <w:szCs w:val="21"/>
                <w:highlight w:val="none"/>
                <w:lang w:eastAsia="zh-CN"/>
              </w:rPr>
              <w:t>和</w:t>
            </w:r>
            <w:r>
              <w:rPr>
                <w:rFonts w:hint="eastAsia" w:asciiTheme="minorEastAsia" w:hAnsiTheme="minorEastAsia" w:eastAsiaTheme="minorEastAsia" w:cstheme="minorEastAsia"/>
                <w:color w:val="auto"/>
                <w:szCs w:val="21"/>
                <w:highlight w:val="none"/>
              </w:rPr>
              <w:t>工程量清单及招标控制价编制，详见第二章 招标需求。</w:t>
            </w:r>
          </w:p>
        </w:tc>
        <w:tc>
          <w:tcPr>
            <w:tcW w:w="2381" w:type="dxa"/>
            <w:tcBorders>
              <w:left w:val="single" w:color="auto" w:sz="4" w:space="0"/>
            </w:tcBorders>
            <w:vAlign w:val="center"/>
          </w:tcPr>
          <w:p w14:paraId="25451678">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zh-CN"/>
              </w:rPr>
              <w:t>自合同签订之日起至全部服务完成并移交完整的资料、报告等经招标人确认为止。</w:t>
            </w:r>
          </w:p>
        </w:tc>
        <w:tc>
          <w:tcPr>
            <w:tcW w:w="1221" w:type="dxa"/>
            <w:tcBorders>
              <w:left w:val="single" w:color="auto" w:sz="4" w:space="0"/>
            </w:tcBorders>
            <w:vAlign w:val="center"/>
          </w:tcPr>
          <w:p w14:paraId="1210B9EE">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118.18</w:t>
            </w:r>
            <w:r>
              <w:rPr>
                <w:rFonts w:hint="eastAsia" w:asciiTheme="minorEastAsia" w:hAnsiTheme="minorEastAsia" w:eastAsiaTheme="minorEastAsia" w:cstheme="minorEastAsia"/>
                <w:color w:val="auto"/>
                <w:szCs w:val="21"/>
                <w:highlight w:val="none"/>
                <w:lang w:val="zh-CN"/>
              </w:rPr>
              <w:t>万元</w:t>
            </w:r>
          </w:p>
        </w:tc>
      </w:tr>
      <w:tr w14:paraId="61CBAA42">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647" w:type="dxa"/>
            <w:tcBorders>
              <w:left w:val="single" w:color="auto" w:sz="4" w:space="0"/>
            </w:tcBorders>
            <w:vAlign w:val="center"/>
          </w:tcPr>
          <w:p w14:paraId="7E216461">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w:t>
            </w:r>
          </w:p>
        </w:tc>
        <w:tc>
          <w:tcPr>
            <w:tcW w:w="1542" w:type="dxa"/>
            <w:tcBorders>
              <w:left w:val="single" w:color="auto" w:sz="4" w:space="0"/>
            </w:tcBorders>
            <w:vAlign w:val="center"/>
          </w:tcPr>
          <w:p w14:paraId="549FB635">
            <w:pPr>
              <w:spacing w:line="440" w:lineRule="exact"/>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施工阶段全过程工程造价控制</w:t>
            </w:r>
            <w:r>
              <w:rPr>
                <w:rFonts w:hint="eastAsia" w:asciiTheme="minorEastAsia" w:hAnsiTheme="minorEastAsia" w:eastAsiaTheme="minorEastAsia" w:cstheme="minorEastAsia"/>
                <w:color w:val="auto"/>
                <w:szCs w:val="21"/>
                <w:highlight w:val="none"/>
                <w:lang w:val="en-US" w:eastAsia="zh-CN"/>
              </w:rPr>
              <w:t>和</w:t>
            </w:r>
            <w:r>
              <w:rPr>
                <w:rFonts w:hint="eastAsia" w:asciiTheme="minorEastAsia" w:hAnsiTheme="minorEastAsia" w:eastAsiaTheme="minorEastAsia" w:cstheme="minorEastAsia"/>
                <w:color w:val="auto"/>
                <w:szCs w:val="21"/>
                <w:highlight w:val="none"/>
              </w:rPr>
              <w:t>工程结算审核</w:t>
            </w:r>
          </w:p>
        </w:tc>
        <w:tc>
          <w:tcPr>
            <w:tcW w:w="3275" w:type="dxa"/>
            <w:tcBorders>
              <w:right w:val="single" w:color="auto" w:sz="4" w:space="0"/>
            </w:tcBorders>
            <w:vAlign w:val="center"/>
          </w:tcPr>
          <w:p w14:paraId="2B3D66D5">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施工阶段全过程工程造价控制（含跟踪审计</w:t>
            </w:r>
            <w:r>
              <w:rPr>
                <w:rFonts w:hint="eastAsia" w:asciiTheme="minorEastAsia" w:hAnsiTheme="minorEastAsia" w:eastAsiaTheme="minorEastAsia" w:cstheme="minorEastAsia"/>
                <w:color w:val="auto"/>
                <w:szCs w:val="21"/>
                <w:highlight w:val="none"/>
                <w:lang w:eastAsia="zh-CN"/>
              </w:rPr>
              <w:t>、不含工程量清单及招标控制价编制</w:t>
            </w:r>
            <w:r>
              <w:rPr>
                <w:rFonts w:hint="eastAsia" w:asciiTheme="minorEastAsia" w:hAnsiTheme="minorEastAsia" w:eastAsiaTheme="minorEastAsia" w:cstheme="minorEastAsia"/>
                <w:color w:val="auto"/>
                <w:szCs w:val="21"/>
                <w:highlight w:val="none"/>
              </w:rPr>
              <w:t>）、工程结算审核，详见第二章  招标需求。</w:t>
            </w:r>
          </w:p>
        </w:tc>
        <w:tc>
          <w:tcPr>
            <w:tcW w:w="2381" w:type="dxa"/>
            <w:tcBorders>
              <w:left w:val="single" w:color="auto" w:sz="4" w:space="0"/>
            </w:tcBorders>
            <w:vAlign w:val="center"/>
          </w:tcPr>
          <w:p w14:paraId="5CFC154A">
            <w:pPr>
              <w:spacing w:line="440" w:lineRule="exact"/>
              <w:jc w:val="center"/>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自合同签订之日起至全部服务完成并移交完整的资料、报告等经招标人确认为止。</w:t>
            </w:r>
          </w:p>
        </w:tc>
        <w:tc>
          <w:tcPr>
            <w:tcW w:w="1221" w:type="dxa"/>
            <w:tcBorders>
              <w:left w:val="single" w:color="auto" w:sz="4" w:space="0"/>
            </w:tcBorders>
            <w:vAlign w:val="center"/>
          </w:tcPr>
          <w:p w14:paraId="60EAA391">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186.89</w:t>
            </w:r>
            <w:r>
              <w:rPr>
                <w:rFonts w:hint="eastAsia" w:asciiTheme="minorEastAsia" w:hAnsiTheme="minorEastAsia" w:eastAsiaTheme="minorEastAsia" w:cstheme="minorEastAsia"/>
                <w:color w:val="auto"/>
                <w:szCs w:val="21"/>
                <w:highlight w:val="none"/>
              </w:rPr>
              <w:t>万元</w:t>
            </w:r>
          </w:p>
        </w:tc>
      </w:tr>
    </w:tbl>
    <w:p w14:paraId="45EBA2A8">
      <w:pPr>
        <w:snapToGrid w:val="0"/>
        <w:spacing w:line="44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★注：本项目先评标项一，后评标项二，投标人可参加所有标项的投标，标项一的第一中标候选人，不再进入标项二的评审。</w:t>
      </w:r>
    </w:p>
    <w:p w14:paraId="3EA82192">
      <w:pPr>
        <w:snapToGrid w:val="0"/>
        <w:spacing w:line="44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五、合格投标人的资格要求：</w:t>
      </w:r>
    </w:p>
    <w:p w14:paraId="4B77F643">
      <w:pPr>
        <w:snapToGrid w:val="0"/>
        <w:spacing w:line="44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1.基本要求：</w:t>
      </w:r>
      <w:r>
        <w:rPr>
          <w:rFonts w:hint="eastAsia" w:asciiTheme="minorEastAsia" w:hAnsiTheme="minorEastAsia" w:eastAsiaTheme="minorEastAsia" w:cstheme="minorEastAsia"/>
          <w:bCs/>
          <w:color w:val="auto"/>
          <w:szCs w:val="21"/>
          <w:highlight w:val="none"/>
          <w:lang w:val="en-US" w:eastAsia="zh-CN"/>
        </w:rPr>
        <w:t>投标人须具有合法有效的营业执照；</w:t>
      </w:r>
      <w:r>
        <w:rPr>
          <w:rFonts w:hint="eastAsia" w:asciiTheme="minorEastAsia" w:hAnsiTheme="minorEastAsia" w:eastAsiaTheme="minorEastAsia" w:cstheme="minorEastAsia"/>
          <w:bCs/>
          <w:color w:val="auto"/>
          <w:szCs w:val="21"/>
          <w:highlight w:val="none"/>
        </w:rPr>
        <w:t>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2A1CD1F0">
      <w:pPr>
        <w:snapToGrid w:val="0"/>
        <w:spacing w:line="44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2.投标人未被“信用中国”（www.creditchina.gov.cn</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bCs/>
          <w:color w:val="auto"/>
          <w:szCs w:val="21"/>
          <w:highlight w:val="none"/>
        </w:rPr>
        <w:t>中国政府采购网（www.ccgp.gov.cn）列入失信被执行人、重大税收违法案件当事人名单</w:t>
      </w:r>
      <w:r>
        <w:rPr>
          <w:rFonts w:hint="eastAsia" w:asciiTheme="minorEastAsia" w:hAnsiTheme="minorEastAsia" w:eastAsiaTheme="minorEastAsia" w:cstheme="minorEastAsia"/>
          <w:bCs/>
          <w:color w:val="auto"/>
          <w:szCs w:val="21"/>
          <w:highlight w:val="none"/>
          <w:lang w:eastAsia="zh-CN"/>
        </w:rPr>
        <w:t>（重大税收违法失信主体）</w:t>
      </w:r>
      <w:r>
        <w:rPr>
          <w:rFonts w:hint="eastAsia" w:asciiTheme="minorEastAsia" w:hAnsiTheme="minorEastAsia" w:eastAsiaTheme="minorEastAsia" w:cstheme="minorEastAsia"/>
          <w:bCs/>
          <w:color w:val="auto"/>
          <w:szCs w:val="21"/>
          <w:highlight w:val="none"/>
        </w:rPr>
        <w:t>、政府采购严重违法失信行为记录名单（以招标代理机构于投标截止日当天在信用中国网站查询结果为准，如相关失信记录已失效，投标人需提供相关证明资料）。</w:t>
      </w:r>
    </w:p>
    <w:p w14:paraId="0996E76F">
      <w:pPr>
        <w:snapToGrid w:val="0"/>
        <w:spacing w:line="44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0B880967">
      <w:pPr>
        <w:snapToGrid w:val="0"/>
        <w:spacing w:line="44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4.未在中国裁判文书网有行贿犯罪相关记录。（以响应文件提交截止日当天中国裁判文书网查询结果为准，如相关记录已失效，供应商需提供相关证明资料；若在响应文件提交</w:t>
      </w:r>
      <w:r>
        <w:rPr>
          <w:rFonts w:hint="eastAsia" w:asciiTheme="minorEastAsia" w:hAnsiTheme="minorEastAsia" w:eastAsiaTheme="minorEastAsia" w:cstheme="minorEastAsia"/>
          <w:bCs/>
          <w:color w:val="auto"/>
          <w:szCs w:val="21"/>
          <w:highlight w:val="none"/>
          <w:lang w:val="en-US" w:eastAsia="zh-CN"/>
        </w:rPr>
        <w:t>截止日</w:t>
      </w:r>
      <w:r>
        <w:rPr>
          <w:rFonts w:hint="eastAsia" w:asciiTheme="minorEastAsia" w:hAnsiTheme="minorEastAsia" w:eastAsiaTheme="minorEastAsia" w:cstheme="minorEastAsia"/>
          <w:bCs/>
          <w:color w:val="auto"/>
          <w:szCs w:val="21"/>
          <w:highlight w:val="none"/>
        </w:rPr>
        <w:t>当天因不可抗力事件导致无法查询且一时无法恢复查询的，可在</w:t>
      </w:r>
      <w:r>
        <w:rPr>
          <w:rFonts w:hint="eastAsia" w:asciiTheme="minorEastAsia" w:hAnsiTheme="minorEastAsia" w:eastAsiaTheme="minorEastAsia" w:cstheme="minorEastAsia"/>
          <w:bCs/>
          <w:color w:val="auto"/>
          <w:szCs w:val="21"/>
          <w:highlight w:val="none"/>
          <w:lang w:val="en-US" w:eastAsia="zh-CN"/>
        </w:rPr>
        <w:t>结果</w:t>
      </w:r>
      <w:r>
        <w:rPr>
          <w:rFonts w:hint="eastAsia" w:asciiTheme="minorEastAsia" w:hAnsiTheme="minorEastAsia" w:eastAsiaTheme="minorEastAsia" w:cstheme="minorEastAsia"/>
          <w:bCs/>
          <w:color w:val="auto"/>
          <w:szCs w:val="21"/>
          <w:highlight w:val="none"/>
        </w:rPr>
        <w:t>公示期间对</w:t>
      </w:r>
      <w:r>
        <w:rPr>
          <w:rFonts w:hint="eastAsia" w:asciiTheme="minorEastAsia" w:hAnsiTheme="minorEastAsia" w:eastAsiaTheme="minorEastAsia" w:cstheme="minorEastAsia"/>
          <w:bCs/>
          <w:color w:val="auto"/>
          <w:szCs w:val="21"/>
          <w:highlight w:val="none"/>
          <w:lang w:val="en-US" w:eastAsia="zh-CN"/>
        </w:rPr>
        <w:t>成交</w:t>
      </w:r>
      <w:r>
        <w:rPr>
          <w:rFonts w:hint="eastAsia" w:asciiTheme="minorEastAsia" w:hAnsiTheme="minorEastAsia" w:eastAsiaTheme="minorEastAsia" w:cstheme="minorEastAsia"/>
          <w:bCs/>
          <w:color w:val="auto"/>
          <w:szCs w:val="21"/>
          <w:highlight w:val="none"/>
        </w:rPr>
        <w:t>候选人进行事后查询。</w:t>
      </w:r>
      <w:r>
        <w:rPr>
          <w:rFonts w:hint="eastAsia" w:asciiTheme="minorEastAsia" w:hAnsiTheme="minorEastAsia" w:eastAsiaTheme="minorEastAsia" w:cstheme="minorEastAsia"/>
          <w:bCs/>
          <w:color w:val="auto"/>
          <w:szCs w:val="21"/>
          <w:highlight w:val="none"/>
          <w:lang w:val="en-US" w:eastAsia="zh-CN"/>
        </w:rPr>
        <w:t>成交</w:t>
      </w:r>
      <w:r>
        <w:rPr>
          <w:rFonts w:hint="eastAsia" w:asciiTheme="minorEastAsia" w:hAnsiTheme="minorEastAsia" w:eastAsiaTheme="minorEastAsia" w:cstheme="minorEastAsia"/>
          <w:bCs/>
          <w:color w:val="auto"/>
          <w:szCs w:val="21"/>
          <w:highlight w:val="none"/>
        </w:rPr>
        <w:t>候选人在中国裁判文书网有行贿犯罪相关记录，采购人将依法取消其</w:t>
      </w:r>
      <w:r>
        <w:rPr>
          <w:rFonts w:hint="eastAsia" w:asciiTheme="minorEastAsia" w:hAnsiTheme="minorEastAsia" w:eastAsiaTheme="minorEastAsia" w:cstheme="minorEastAsia"/>
          <w:bCs/>
          <w:color w:val="auto"/>
          <w:szCs w:val="21"/>
          <w:highlight w:val="none"/>
          <w:lang w:val="en-US" w:eastAsia="zh-CN"/>
        </w:rPr>
        <w:t>成交</w:t>
      </w:r>
      <w:r>
        <w:rPr>
          <w:rFonts w:hint="eastAsia" w:asciiTheme="minorEastAsia" w:hAnsiTheme="minorEastAsia" w:eastAsiaTheme="minorEastAsia" w:cstheme="minorEastAsia"/>
          <w:bCs/>
          <w:color w:val="auto"/>
          <w:szCs w:val="21"/>
          <w:highlight w:val="none"/>
        </w:rPr>
        <w:t>资格）。</w:t>
      </w:r>
    </w:p>
    <w:p w14:paraId="6643DBF5">
      <w:pPr>
        <w:snapToGrid w:val="0"/>
        <w:spacing w:line="44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lang w:val="en-US" w:eastAsia="zh-CN"/>
        </w:rPr>
        <w:t>5.</w:t>
      </w:r>
      <w:r>
        <w:rPr>
          <w:rFonts w:hint="eastAsia" w:asciiTheme="minorEastAsia" w:hAnsiTheme="minorEastAsia" w:eastAsiaTheme="minorEastAsia" w:cstheme="minorEastAsia"/>
          <w:bCs/>
          <w:color w:val="auto"/>
          <w:szCs w:val="21"/>
          <w:highlight w:val="none"/>
        </w:rPr>
        <w:t>本项目不接受联合体投标，本次招标采用资格后审。</w:t>
      </w:r>
    </w:p>
    <w:p w14:paraId="4E57E86E">
      <w:pPr>
        <w:snapToGrid w:val="0"/>
        <w:spacing w:line="440" w:lineRule="exact"/>
        <w:ind w:firstLine="422"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六、招标文件的发售</w:t>
      </w:r>
      <w:r>
        <w:rPr>
          <w:rFonts w:hint="eastAsia" w:asciiTheme="minorEastAsia" w:hAnsiTheme="minorEastAsia" w:eastAsiaTheme="minorEastAsia" w:cstheme="minorEastAsia"/>
          <w:color w:val="auto"/>
          <w:szCs w:val="21"/>
          <w:highlight w:val="none"/>
        </w:rPr>
        <w:t>：</w:t>
      </w:r>
    </w:p>
    <w:p w14:paraId="10B4AE1A">
      <w:pPr>
        <w:snapToGrid w:val="0"/>
        <w:spacing w:line="44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1.发售时间：2025年</w:t>
      </w:r>
      <w:r>
        <w:rPr>
          <w:rFonts w:hint="eastAsia" w:asciiTheme="minorEastAsia" w:hAnsiTheme="minorEastAsia" w:eastAsiaTheme="minorEastAsia" w:cstheme="minorEastAsia"/>
          <w:bCs/>
          <w:color w:val="auto"/>
          <w:szCs w:val="21"/>
          <w:highlight w:val="none"/>
          <w:lang w:val="en-US" w:eastAsia="zh-CN"/>
        </w:rPr>
        <w:t>06</w:t>
      </w:r>
      <w:r>
        <w:rPr>
          <w:rFonts w:hint="eastAsia" w:asciiTheme="minorEastAsia" w:hAnsiTheme="minorEastAsia" w:eastAsiaTheme="minorEastAsia" w:cstheme="minorEastAsia"/>
          <w:bCs/>
          <w:color w:val="auto"/>
          <w:szCs w:val="21"/>
          <w:highlight w:val="none"/>
        </w:rPr>
        <w:t>月</w:t>
      </w:r>
      <w:r>
        <w:rPr>
          <w:rFonts w:hint="eastAsia" w:asciiTheme="minorEastAsia" w:hAnsiTheme="minorEastAsia" w:eastAsiaTheme="minorEastAsia" w:cstheme="minorEastAsia"/>
          <w:bCs/>
          <w:color w:val="auto"/>
          <w:szCs w:val="21"/>
          <w:highlight w:val="none"/>
          <w:lang w:val="en-US" w:eastAsia="zh-CN"/>
        </w:rPr>
        <w:t>25</w:t>
      </w:r>
      <w:r>
        <w:rPr>
          <w:rFonts w:hint="eastAsia" w:asciiTheme="minorEastAsia" w:hAnsiTheme="minorEastAsia" w:eastAsiaTheme="minorEastAsia" w:cstheme="minorEastAsia"/>
          <w:bCs/>
          <w:color w:val="auto"/>
          <w:szCs w:val="21"/>
          <w:highlight w:val="none"/>
        </w:rPr>
        <w:t>日至2025年</w:t>
      </w:r>
      <w:r>
        <w:rPr>
          <w:rFonts w:hint="eastAsia" w:asciiTheme="minorEastAsia" w:hAnsiTheme="minorEastAsia" w:eastAsiaTheme="minorEastAsia" w:cstheme="minorEastAsia"/>
          <w:bCs/>
          <w:color w:val="auto"/>
          <w:szCs w:val="21"/>
          <w:highlight w:val="none"/>
          <w:lang w:val="en-US" w:eastAsia="zh-CN"/>
        </w:rPr>
        <w:t>07</w:t>
      </w:r>
      <w:r>
        <w:rPr>
          <w:rFonts w:hint="eastAsia" w:asciiTheme="minorEastAsia" w:hAnsiTheme="minorEastAsia" w:eastAsiaTheme="minorEastAsia" w:cstheme="minorEastAsia"/>
          <w:bCs/>
          <w:color w:val="auto"/>
          <w:szCs w:val="21"/>
          <w:highlight w:val="none"/>
        </w:rPr>
        <w:t>月</w:t>
      </w:r>
      <w:r>
        <w:rPr>
          <w:rFonts w:hint="eastAsia" w:asciiTheme="minorEastAsia" w:hAnsiTheme="minorEastAsia" w:eastAsiaTheme="minorEastAsia" w:cstheme="minorEastAsia"/>
          <w:bCs/>
          <w:color w:val="auto"/>
          <w:szCs w:val="21"/>
          <w:highlight w:val="none"/>
          <w:lang w:val="en-US" w:eastAsia="zh-CN"/>
        </w:rPr>
        <w:t>03</w:t>
      </w:r>
      <w:r>
        <w:rPr>
          <w:rFonts w:hint="eastAsia" w:asciiTheme="minorEastAsia" w:hAnsiTheme="minorEastAsia" w:eastAsiaTheme="minorEastAsia" w:cstheme="minorEastAsia"/>
          <w:bCs/>
          <w:color w:val="auto"/>
          <w:szCs w:val="21"/>
          <w:highlight w:val="none"/>
        </w:rPr>
        <w:t>日，每天上午00：00至12：00 ，下午12：00至23：59（北京时间，线上获取法定节假日均可）。</w:t>
      </w:r>
    </w:p>
    <w:p w14:paraId="0E2EB985">
      <w:pPr>
        <w:snapToGrid w:val="0"/>
        <w:spacing w:line="44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2.获取方式：（1）本项目招标文件实行“</w:t>
      </w:r>
      <w:r>
        <w:rPr>
          <w:rFonts w:hint="eastAsia" w:asciiTheme="minorEastAsia" w:hAnsiTheme="minorEastAsia" w:eastAsiaTheme="minorEastAsia" w:cstheme="minorEastAsia"/>
          <w:color w:val="auto"/>
          <w:szCs w:val="21"/>
          <w:highlight w:val="none"/>
        </w:rPr>
        <w:t>乐采云（www.lecaiyun.com）</w:t>
      </w:r>
      <w:r>
        <w:rPr>
          <w:rFonts w:hint="eastAsia" w:asciiTheme="minorEastAsia" w:hAnsiTheme="minorEastAsia" w:eastAsiaTheme="minorEastAsia" w:cstheme="minorEastAsia"/>
          <w:bCs/>
          <w:color w:val="auto"/>
          <w:szCs w:val="21"/>
          <w:highlight w:val="none"/>
        </w:rPr>
        <w:t>”在线获取，不提供招标文件纸质版。投标人获取招标文件前应先完成“浙江政府采购网”的账号注册；（2）潜在投标人登录“乐采云（www.lecaiyun.com）”，在线申请获取招标文件（进入“项目采购”应用，在获取招标文件菜单中选择项目，申请获取招标文件）；（3）公开招标公告附件内的招标文件仅供阅览使用(如有），投标人只有在“乐采云（www.lecaiyun.com）”完成获取招标文件申请，下载了招标文件并支付本次采购的标书费后才视作依法获取招标文件（法律法规所指的投标人获取招标文件时间以投标人完成获取招标文件申请后下载招标文件的时间为准）。</w:t>
      </w:r>
    </w:p>
    <w:p w14:paraId="0A82E6B7">
      <w:pPr>
        <w:snapToGrid w:val="0"/>
        <w:spacing w:line="44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3.售价：招标文件每份500元人民币，售后不退。在线购买网址：</w:t>
      </w:r>
      <w:r>
        <w:rPr>
          <w:rFonts w:hint="eastAsia" w:asciiTheme="minorEastAsia" w:hAnsiTheme="minorEastAsia" w:eastAsiaTheme="minorEastAsia" w:cstheme="minorEastAsia"/>
          <w:bCs/>
          <w:color w:val="auto"/>
          <w:szCs w:val="21"/>
          <w:highlight w:val="none"/>
        </w:rPr>
        <w:fldChar w:fldCharType="begin"/>
      </w:r>
      <w:r>
        <w:rPr>
          <w:rFonts w:hint="eastAsia" w:asciiTheme="minorEastAsia" w:hAnsiTheme="minorEastAsia" w:eastAsiaTheme="minorEastAsia" w:cstheme="minorEastAsia"/>
          <w:bCs/>
          <w:color w:val="auto"/>
          <w:szCs w:val="21"/>
          <w:highlight w:val="none"/>
        </w:rPr>
        <w:instrText xml:space="preserve"> HYPERLINK "https://dwz.cn/klDXYTUZ。" </w:instrText>
      </w:r>
      <w:r>
        <w:rPr>
          <w:rFonts w:hint="eastAsia" w:asciiTheme="minorEastAsia" w:hAnsiTheme="minorEastAsia" w:eastAsiaTheme="minorEastAsia" w:cstheme="minorEastAsia"/>
          <w:bCs/>
          <w:color w:val="auto"/>
          <w:szCs w:val="21"/>
          <w:highlight w:val="none"/>
        </w:rPr>
        <w:fldChar w:fldCharType="separate"/>
      </w:r>
      <w:r>
        <w:rPr>
          <w:rStyle w:val="23"/>
          <w:rFonts w:hint="eastAsia" w:asciiTheme="minorEastAsia" w:hAnsiTheme="minorEastAsia" w:eastAsiaTheme="minorEastAsia" w:cstheme="minorEastAsia"/>
          <w:bCs/>
          <w:color w:val="auto"/>
          <w:szCs w:val="21"/>
          <w:highlight w:val="none"/>
        </w:rPr>
        <w:t>https://dwz.cn/iPsrPWfg。</w:t>
      </w:r>
      <w:r>
        <w:rPr>
          <w:rFonts w:hint="eastAsia" w:asciiTheme="minorEastAsia" w:hAnsiTheme="minorEastAsia" w:eastAsiaTheme="minorEastAsia" w:cstheme="minorEastAsia"/>
          <w:bCs/>
          <w:color w:val="auto"/>
          <w:szCs w:val="21"/>
          <w:highlight w:val="none"/>
        </w:rPr>
        <w:fldChar w:fldCharType="end"/>
      </w:r>
    </w:p>
    <w:p w14:paraId="51B62DAB">
      <w:pPr>
        <w:snapToGrid w:val="0"/>
        <w:spacing w:line="440" w:lineRule="exact"/>
        <w:ind w:firstLine="422"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七、投标保证金</w:t>
      </w:r>
      <w:r>
        <w:rPr>
          <w:rFonts w:hint="eastAsia" w:asciiTheme="minorEastAsia" w:hAnsiTheme="minorEastAsia" w:eastAsiaTheme="minorEastAsia" w:cstheme="minorEastAsia"/>
          <w:color w:val="auto"/>
          <w:szCs w:val="21"/>
          <w:highlight w:val="none"/>
        </w:rPr>
        <w:t>：</w:t>
      </w:r>
    </w:p>
    <w:p w14:paraId="759220FE">
      <w:pPr>
        <w:snapToGrid w:val="0"/>
        <w:spacing w:line="440" w:lineRule="exact"/>
        <w:ind w:firstLine="422" w:firstLineChars="200"/>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投标保证金（人民币）：标项一：人民币</w:t>
      </w:r>
      <w:r>
        <w:rPr>
          <w:rFonts w:hint="eastAsia" w:asciiTheme="minorEastAsia" w:hAnsiTheme="minorEastAsia" w:eastAsiaTheme="minorEastAsia" w:cstheme="minorEastAsia"/>
          <w:b/>
          <w:bCs/>
          <w:color w:val="auto"/>
          <w:szCs w:val="21"/>
          <w:highlight w:val="none"/>
          <w:lang w:val="en-US" w:eastAsia="zh-CN"/>
        </w:rPr>
        <w:t>贰万</w:t>
      </w:r>
      <w:r>
        <w:rPr>
          <w:rFonts w:hint="eastAsia" w:asciiTheme="minorEastAsia" w:hAnsiTheme="minorEastAsia" w:eastAsiaTheme="minorEastAsia" w:cstheme="minorEastAsia"/>
          <w:b/>
          <w:bCs/>
          <w:color w:val="auto"/>
          <w:szCs w:val="21"/>
          <w:highlight w:val="none"/>
        </w:rPr>
        <w:t>元整（¥</w:t>
      </w:r>
      <w:r>
        <w:rPr>
          <w:rFonts w:hint="eastAsia" w:asciiTheme="minorEastAsia" w:hAnsiTheme="minorEastAsia" w:eastAsiaTheme="minorEastAsia" w:cstheme="minorEastAsia"/>
          <w:b/>
          <w:bCs/>
          <w:color w:val="auto"/>
          <w:szCs w:val="21"/>
          <w:highlight w:val="none"/>
          <w:lang w:val="en-US" w:eastAsia="zh-CN"/>
        </w:rPr>
        <w:t>20000</w:t>
      </w:r>
      <w:r>
        <w:rPr>
          <w:rFonts w:hint="eastAsia" w:asciiTheme="minorEastAsia" w:hAnsiTheme="minorEastAsia" w:eastAsiaTheme="minorEastAsia" w:cstheme="minorEastAsia"/>
          <w:b/>
          <w:bCs/>
          <w:color w:val="auto"/>
          <w:szCs w:val="21"/>
          <w:highlight w:val="none"/>
        </w:rPr>
        <w:t>）；标项二：人民币</w:t>
      </w:r>
      <w:r>
        <w:rPr>
          <w:rFonts w:hint="eastAsia" w:asciiTheme="minorEastAsia" w:hAnsiTheme="minorEastAsia" w:eastAsiaTheme="minorEastAsia" w:cstheme="minorEastAsia"/>
          <w:b/>
          <w:bCs/>
          <w:color w:val="auto"/>
          <w:szCs w:val="21"/>
          <w:highlight w:val="none"/>
          <w:lang w:val="en-US" w:eastAsia="zh-CN"/>
        </w:rPr>
        <w:t>叁万</w:t>
      </w:r>
      <w:r>
        <w:rPr>
          <w:rFonts w:hint="eastAsia" w:asciiTheme="minorEastAsia" w:hAnsiTheme="minorEastAsia" w:eastAsiaTheme="minorEastAsia" w:cstheme="minorEastAsia"/>
          <w:b/>
          <w:bCs/>
          <w:color w:val="auto"/>
          <w:szCs w:val="21"/>
          <w:highlight w:val="none"/>
        </w:rPr>
        <w:t>元整（¥</w:t>
      </w:r>
      <w:r>
        <w:rPr>
          <w:rFonts w:hint="eastAsia" w:asciiTheme="minorEastAsia" w:hAnsiTheme="minorEastAsia" w:eastAsiaTheme="minorEastAsia" w:cstheme="minorEastAsia"/>
          <w:b/>
          <w:bCs/>
          <w:color w:val="auto"/>
          <w:szCs w:val="21"/>
          <w:highlight w:val="none"/>
          <w:lang w:val="en-US" w:eastAsia="zh-CN"/>
        </w:rPr>
        <w:t>30000</w:t>
      </w:r>
      <w:r>
        <w:rPr>
          <w:rFonts w:hint="eastAsia" w:asciiTheme="minorEastAsia" w:hAnsiTheme="minorEastAsia" w:eastAsiaTheme="minorEastAsia" w:cstheme="minorEastAsia"/>
          <w:b/>
          <w:bCs/>
          <w:color w:val="auto"/>
          <w:szCs w:val="21"/>
          <w:highlight w:val="none"/>
        </w:rPr>
        <w:t>）</w:t>
      </w:r>
    </w:p>
    <w:p w14:paraId="6C39FE92">
      <w:pPr>
        <w:snapToGrid w:val="0"/>
        <w:spacing w:line="44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缴纳形式：只接收转账支票（必须实时清算）、网银转账、银行汇票或电汇形式。</w:t>
      </w:r>
    </w:p>
    <w:p w14:paraId="266A5F27">
      <w:pPr>
        <w:snapToGrid w:val="0"/>
        <w:spacing w:line="44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缴纳截止时间：2025年</w:t>
      </w:r>
      <w:r>
        <w:rPr>
          <w:rFonts w:hint="eastAsia" w:asciiTheme="minorEastAsia" w:hAnsiTheme="minorEastAsia" w:eastAsiaTheme="minorEastAsia" w:cstheme="minorEastAsia"/>
          <w:bCs/>
          <w:color w:val="auto"/>
          <w:szCs w:val="21"/>
          <w:highlight w:val="none"/>
          <w:lang w:val="en-US" w:eastAsia="zh-CN"/>
        </w:rPr>
        <w:t>07</w:t>
      </w:r>
      <w:r>
        <w:rPr>
          <w:rFonts w:hint="eastAsia" w:asciiTheme="minorEastAsia" w:hAnsiTheme="minorEastAsia" w:eastAsiaTheme="minorEastAsia" w:cstheme="minorEastAsia"/>
          <w:bCs/>
          <w:color w:val="auto"/>
          <w:szCs w:val="21"/>
          <w:highlight w:val="none"/>
        </w:rPr>
        <w:t>月</w:t>
      </w:r>
      <w:r>
        <w:rPr>
          <w:rFonts w:hint="eastAsia" w:asciiTheme="minorEastAsia" w:hAnsiTheme="minorEastAsia" w:eastAsiaTheme="minorEastAsia" w:cstheme="minorEastAsia"/>
          <w:bCs/>
          <w:color w:val="auto"/>
          <w:szCs w:val="21"/>
          <w:highlight w:val="none"/>
          <w:lang w:val="en-US" w:eastAsia="zh-CN"/>
        </w:rPr>
        <w:t>16</w:t>
      </w:r>
      <w:r>
        <w:rPr>
          <w:rFonts w:hint="eastAsia" w:asciiTheme="minorEastAsia" w:hAnsiTheme="minorEastAsia" w:eastAsiaTheme="minorEastAsia" w:cstheme="minorEastAsia"/>
          <w:bCs/>
          <w:color w:val="auto"/>
          <w:szCs w:val="21"/>
          <w:highlight w:val="none"/>
        </w:rPr>
        <w:t>日16：00</w:t>
      </w:r>
    </w:p>
    <w:p w14:paraId="234E2DB8">
      <w:pPr>
        <w:snapToGrid w:val="0"/>
        <w:spacing w:line="44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汇款账户：</w:t>
      </w:r>
    </w:p>
    <w:p w14:paraId="194FAA52">
      <w:pPr>
        <w:spacing w:line="44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开户银行： 宁波银行股份有限公司鄞州中心区支行</w:t>
      </w:r>
    </w:p>
    <w:p w14:paraId="2EB21C36">
      <w:pPr>
        <w:spacing w:line="44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账    号： 30010122001229488</w:t>
      </w:r>
    </w:p>
    <w:p w14:paraId="1DD9017D">
      <w:pPr>
        <w:spacing w:line="44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户    名： 浙江中基正采管理咨询有限公司</w:t>
      </w:r>
    </w:p>
    <w:p w14:paraId="03747F27">
      <w:pPr>
        <w:snapToGrid w:val="0"/>
        <w:spacing w:line="440" w:lineRule="exact"/>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八、提交（上传）投标文件截止时间、开标时间和地点</w:t>
      </w:r>
    </w:p>
    <w:p w14:paraId="5CC15597">
      <w:pPr>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1.提交（上传）投标文件截止时间、开标时间：2025年</w:t>
      </w:r>
      <w:r>
        <w:rPr>
          <w:rFonts w:hint="eastAsia" w:asciiTheme="minorEastAsia" w:hAnsiTheme="minorEastAsia" w:eastAsiaTheme="minorEastAsia" w:cstheme="minorEastAsia"/>
          <w:bCs/>
          <w:color w:val="auto"/>
          <w:szCs w:val="21"/>
          <w:highlight w:val="none"/>
          <w:lang w:val="en-US" w:eastAsia="zh-CN"/>
        </w:rPr>
        <w:t>07</w:t>
      </w:r>
      <w:r>
        <w:rPr>
          <w:rFonts w:hint="eastAsia" w:asciiTheme="minorEastAsia" w:hAnsiTheme="minorEastAsia" w:eastAsiaTheme="minorEastAsia" w:cstheme="minorEastAsia"/>
          <w:bCs/>
          <w:color w:val="auto"/>
          <w:szCs w:val="21"/>
          <w:highlight w:val="none"/>
        </w:rPr>
        <w:t>月</w:t>
      </w:r>
      <w:r>
        <w:rPr>
          <w:rFonts w:hint="eastAsia" w:asciiTheme="minorEastAsia" w:hAnsiTheme="minorEastAsia" w:eastAsiaTheme="minorEastAsia" w:cstheme="minorEastAsia"/>
          <w:bCs/>
          <w:color w:val="auto"/>
          <w:szCs w:val="21"/>
          <w:highlight w:val="none"/>
          <w:lang w:val="en-US" w:eastAsia="zh-CN"/>
        </w:rPr>
        <w:t>18</w:t>
      </w:r>
      <w:r>
        <w:rPr>
          <w:rFonts w:hint="eastAsia" w:asciiTheme="minorEastAsia" w:hAnsiTheme="minorEastAsia" w:eastAsiaTheme="minorEastAsia" w:cstheme="minorEastAsia"/>
          <w:bCs/>
          <w:color w:val="auto"/>
          <w:szCs w:val="21"/>
          <w:highlight w:val="none"/>
        </w:rPr>
        <w:t>日</w:t>
      </w:r>
      <w:r>
        <w:rPr>
          <w:rFonts w:hint="eastAsia" w:asciiTheme="minorEastAsia" w:hAnsiTheme="minorEastAsia" w:eastAsiaTheme="minorEastAsia" w:cstheme="minorEastAsia"/>
          <w:color w:val="auto"/>
          <w:szCs w:val="21"/>
          <w:highlight w:val="none"/>
        </w:rPr>
        <w:t>09：</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0（北京时间）</w:t>
      </w:r>
    </w:p>
    <w:p w14:paraId="5A4AE952">
      <w:pPr>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2.提交地点（网址）：本项目通过“乐采云（www.lecaiyun.com）”实行在线制作并提 交投标文件（电子投标）。</w:t>
      </w:r>
    </w:p>
    <w:p w14:paraId="1370F311">
      <w:pPr>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3.开标地点（网址）：宁海县公共资源交易中心（宁海县桃源街道金水东路5号五楼，详见五楼大厅公告），本项目通过“乐采云”实行在线电子评标，投标人可在线参加开标。</w:t>
      </w:r>
    </w:p>
    <w:p w14:paraId="3BD1A174">
      <w:pPr>
        <w:snapToGrid w:val="0"/>
        <w:spacing w:line="440" w:lineRule="exact"/>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九、本次招标有关信息公告在：</w:t>
      </w:r>
      <w:r>
        <w:rPr>
          <w:rFonts w:hint="eastAsia" w:asciiTheme="minorEastAsia" w:hAnsiTheme="minorEastAsia" w:eastAsiaTheme="minorEastAsia" w:cstheme="minorEastAsia"/>
          <w:color w:val="auto"/>
          <w:szCs w:val="21"/>
          <w:highlight w:val="none"/>
        </w:rPr>
        <w:t>浙江政府采购网（https：//zfcg.czt.zj.gov.cn/）、宁波政府采购网（http：//www.nbzfcg.cn/）、宁波市公共资源交易电子服务系统（宁海）（http://ggzy.zwb.ningbo.gov.cn/ninghai/）、浙江中基正采管理咨询有限公司官网（http：//www.nbszzx.com.cn/）。</w:t>
      </w:r>
    </w:p>
    <w:p w14:paraId="7FF127A0">
      <w:pPr>
        <w:snapToGrid w:val="0"/>
        <w:spacing w:line="440" w:lineRule="exact"/>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十、特别提醒：</w:t>
      </w:r>
    </w:p>
    <w:p w14:paraId="303D1E71">
      <w:pPr>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1.本项目实行网上投标，采用电子投标文件。若投标人参与投标，自行承担投标一切费用。</w:t>
      </w:r>
    </w:p>
    <w:p w14:paraId="68B79A50">
      <w:pPr>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标前准备：各投标人应在开标前应确保成为浙江省政府采购网正式注册入库投标人，并完成CA数字证书办理（投标人CA申领操作指南：https：//help.zcygov.cn/web/site_2/2018/11-29/2452.html，完成CA数字证书办理预计二周左右，请投标人自行把握时间）。因未注册入库、未办理CA数字证书等原因造成无法获取招标文件、无法投标或投标失败等后果由投标人自行承担。</w:t>
      </w:r>
    </w:p>
    <w:p w14:paraId="55A724D4">
      <w:pPr>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3.投标文件制作：</w:t>
      </w:r>
    </w:p>
    <w:p w14:paraId="53855747">
      <w:pPr>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应按照本项目招标文件和“乐采云”的要求编制、加密并上传电子投标文件。投标人在使用系统进行投标的过程中遇到涉及平台使用的任何问题，可致电“乐采云”技术支持热线咨询，联系方式：400-881-7190。</w:t>
      </w:r>
    </w:p>
    <w:p w14:paraId="168EDD8A">
      <w:pPr>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（2）投标人通过“乐采云”电子投标工具制作投标文件，电子投标工具请投标人自行前往浙江省政府采购网下载并安装，（下载网址：http：//www.zjzfcg.gov.cn/bidClientTemplate/2019-05-27/12946.html）。</w:t>
      </w:r>
    </w:p>
    <w:p w14:paraId="57D3018D">
      <w:pPr>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4.以U盘存储的数据电文形式的电子备份投标文件1份，按“乐采云”项目采购-电子招投标操作指南中上传的投标文件格式，以用于异常情况处理。</w:t>
      </w:r>
    </w:p>
    <w:p w14:paraId="1D0AC6D4">
      <w:pPr>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5.开评标注意事项：提交（上传）投标文件截止时间之前将投标文件上传到“乐采云”，并于提交（上传）投标文件截止时间前，将以U盘存储的电子备份投标文件密封，于2025年</w:t>
      </w:r>
      <w:r>
        <w:rPr>
          <w:rFonts w:hint="eastAsia" w:asciiTheme="minorEastAsia" w:hAnsiTheme="minorEastAsia" w:eastAsiaTheme="minorEastAsia" w:cstheme="minorEastAsia"/>
          <w:bCs/>
          <w:color w:val="auto"/>
          <w:szCs w:val="21"/>
          <w:highlight w:val="none"/>
        </w:rPr>
        <w:t xml:space="preserve">  月  日</w:t>
      </w:r>
      <w:r>
        <w:rPr>
          <w:rFonts w:hint="eastAsia" w:asciiTheme="minorEastAsia" w:hAnsiTheme="minorEastAsia" w:eastAsiaTheme="minorEastAsia" w:cstheme="minorEastAsia"/>
          <w:color w:val="auto"/>
          <w:szCs w:val="21"/>
          <w:highlight w:val="none"/>
        </w:rPr>
        <w:t>16：00前（北京时间）邮寄递交至（地址：宁波市鄞州区天童南路666号中基大厦19楼，收件人：张嘉城，联系电话：0574-87425569）。各投标人自行考虑邮寄在途时间，邮寄过程中无论何种因素导致电子备份投标文件未按时递交的后果，均由投标人自行负责。电子备份投标文件递交时间以招标代理机构实际收到的时间为准。逾期送达不予接收。请各投标人确保密封包装在邮寄过程密封包装完好，并在邮寄包裹上注明项目名称，因邮寄过程的密封破损造成不符合开标要求的，招标代理机构概不负责。</w:t>
      </w:r>
    </w:p>
    <w:p w14:paraId="5F9D1D75">
      <w:pPr>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标时间后30分钟内投标人应当登录“乐采云”，用“项目采购-开标评标”功能进行解密投标文件。若在规定时间内解密成功的投标人满足3家或以上的，其他解密不成功的投标人视为放弃投标；若解密成功的投标人不足3家的，本项目作流标处理。若投标人在规定时间内无法解密或解密失败的，视为投标人放弃投标。</w:t>
      </w:r>
    </w:p>
    <w:p w14:paraId="26B4DA06">
      <w:pPr>
        <w:snapToGrid w:val="0"/>
        <w:spacing w:line="440" w:lineRule="exact"/>
        <w:ind w:firstLine="420"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6.公开招标公告与招标文件内容有出入之处，以招标文件约定为准。</w:t>
      </w:r>
    </w:p>
    <w:p w14:paraId="090C2994">
      <w:pPr>
        <w:snapToGrid w:val="0"/>
        <w:spacing w:line="44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十</w:t>
      </w:r>
      <w:r>
        <w:rPr>
          <w:rFonts w:hint="eastAsia" w:asciiTheme="minorEastAsia" w:hAnsiTheme="minorEastAsia" w:eastAsiaTheme="minorEastAsia" w:cstheme="minorEastAsia"/>
          <w:b/>
          <w:color w:val="auto"/>
          <w:szCs w:val="21"/>
          <w:highlight w:val="none"/>
          <w:lang w:val="en-US" w:eastAsia="zh-CN"/>
        </w:rPr>
        <w:t>一</w:t>
      </w:r>
      <w:r>
        <w:rPr>
          <w:rFonts w:hint="eastAsia" w:asciiTheme="minorEastAsia" w:hAnsiTheme="minorEastAsia" w:eastAsiaTheme="minorEastAsia" w:cstheme="minorEastAsia"/>
          <w:b/>
          <w:color w:val="auto"/>
          <w:szCs w:val="21"/>
          <w:highlight w:val="none"/>
        </w:rPr>
        <w:t>、业务咨询：</w:t>
      </w:r>
      <w:bookmarkStart w:id="115" w:name="_GoBack"/>
      <w:bookmarkEnd w:id="115"/>
    </w:p>
    <w:p w14:paraId="397DDC4A">
      <w:pPr>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1.招标人：宁海县科建开发投资有限公司</w:t>
      </w:r>
    </w:p>
    <w:p w14:paraId="6FF9630F">
      <w:pPr>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地址：宁海县力洋镇创业路39号</w:t>
      </w:r>
    </w:p>
    <w:p w14:paraId="7CC8988B">
      <w:pPr>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项目联系人：汪先生</w:t>
      </w:r>
    </w:p>
    <w:p w14:paraId="06861595">
      <w:pPr>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项目联系方式：</w:t>
      </w:r>
      <w:r>
        <w:rPr>
          <w:rFonts w:hint="eastAsia" w:asciiTheme="minorEastAsia" w:hAnsiTheme="minorEastAsia" w:eastAsiaTheme="minorEastAsia" w:cstheme="minorEastAsia"/>
          <w:color w:val="auto"/>
          <w:szCs w:val="21"/>
          <w:highlight w:val="none"/>
          <w:lang w:val="en-US" w:eastAsia="zh-CN"/>
        </w:rPr>
        <w:t>0574-65107030</w:t>
      </w:r>
    </w:p>
    <w:p w14:paraId="71CC3224">
      <w:pPr>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709708A2">
      <w:pPr>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2.招标代理机构：浙江中基正采管理咨询有限公司</w:t>
      </w:r>
    </w:p>
    <w:p w14:paraId="604DDEDC">
      <w:pPr>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地址：宁波市鄞州区天童南路666号中基大厦19楼</w:t>
      </w:r>
    </w:p>
    <w:p w14:paraId="0DF834D0">
      <w:pPr>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联系人：王工、张工</w:t>
      </w:r>
    </w:p>
    <w:p w14:paraId="31166719">
      <w:pPr>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联系电话：0574－87425569</w:t>
      </w:r>
    </w:p>
    <w:p w14:paraId="68EA5B91">
      <w:pPr>
        <w:pStyle w:val="4"/>
        <w:rPr>
          <w:rFonts w:hint="eastAsia" w:asciiTheme="minorEastAsia" w:hAnsiTheme="minorEastAsia" w:eastAsiaTheme="minorEastAsia" w:cstheme="minorEastAsia"/>
          <w:highlight w:val="none"/>
        </w:rPr>
      </w:pPr>
    </w:p>
    <w:p w14:paraId="47FFC3DB">
      <w:pPr>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3.监督管理部门：宁波南滨集团有限公司</w:t>
      </w:r>
    </w:p>
    <w:p w14:paraId="0186A2F8">
      <w:pPr>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联系人：</w:t>
      </w:r>
      <w:r>
        <w:rPr>
          <w:rFonts w:hint="eastAsia" w:asciiTheme="minorEastAsia" w:hAnsiTheme="minorEastAsia" w:eastAsiaTheme="minorEastAsia" w:cstheme="minorEastAsia"/>
          <w:color w:val="auto"/>
          <w:szCs w:val="21"/>
          <w:highlight w:val="none"/>
          <w:lang w:val="en-US" w:eastAsia="zh-CN"/>
        </w:rPr>
        <w:t>鲍</w:t>
      </w:r>
      <w:r>
        <w:rPr>
          <w:rFonts w:hint="eastAsia" w:asciiTheme="minorEastAsia" w:hAnsiTheme="minorEastAsia" w:eastAsiaTheme="minorEastAsia" w:cstheme="minorEastAsia"/>
          <w:color w:val="auto"/>
          <w:szCs w:val="21"/>
          <w:highlight w:val="none"/>
        </w:rPr>
        <w:t>先生</w:t>
      </w:r>
    </w:p>
    <w:p w14:paraId="5E6D068E">
      <w:pPr>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联系电话：0574-59983026</w:t>
      </w:r>
    </w:p>
    <w:p w14:paraId="3A750DD2">
      <w:pPr>
        <w:snapToGrid w:val="0"/>
        <w:spacing w:line="440" w:lineRule="exact"/>
        <w:ind w:firstLine="420" w:firstLineChars="200"/>
        <w:rPr>
          <w:rFonts w:hint="eastAsia" w:asciiTheme="minorEastAsia" w:hAnsiTheme="minorEastAsia" w:eastAsiaTheme="minorEastAsia" w:cstheme="minorEastAsia"/>
          <w:color w:val="auto"/>
          <w:szCs w:val="21"/>
          <w:highlight w:val="none"/>
        </w:rPr>
      </w:pPr>
    </w:p>
    <w:p w14:paraId="5D22978C">
      <w:pPr>
        <w:spacing w:line="440" w:lineRule="exact"/>
        <w:ind w:firstLine="420" w:firstLineChars="200"/>
        <w:jc w:val="left"/>
        <w:rPr>
          <w:rFonts w:hint="eastAsia" w:asciiTheme="minorEastAsia" w:hAnsiTheme="minorEastAsia" w:eastAsiaTheme="minorEastAsia" w:cstheme="minorEastAsia"/>
          <w:color w:val="auto"/>
          <w:kern w:val="0"/>
          <w:szCs w:val="21"/>
          <w:highlight w:val="none"/>
        </w:rPr>
      </w:pPr>
    </w:p>
    <w:p w14:paraId="250E5491">
      <w:pPr>
        <w:rPr>
          <w:rStyle w:val="106"/>
          <w:rFonts w:hint="eastAsia" w:asciiTheme="minorEastAsia" w:hAnsiTheme="minorEastAsia" w:eastAsiaTheme="minorEastAsia" w:cstheme="minorEastAsia"/>
          <w:b/>
          <w:bCs/>
          <w:color w:val="auto"/>
          <w:kern w:val="44"/>
          <w:sz w:val="30"/>
          <w:szCs w:val="44"/>
          <w:highlight w:val="none"/>
        </w:rPr>
      </w:pPr>
      <w:bookmarkStart w:id="1" w:name="_Toc21434"/>
      <w:bookmarkStart w:id="2" w:name="_Toc16830"/>
    </w:p>
    <w:p w14:paraId="50ACC121">
      <w:pPr>
        <w:rPr>
          <w:rStyle w:val="106"/>
          <w:rFonts w:hint="eastAsia" w:asciiTheme="minorEastAsia" w:hAnsiTheme="minorEastAsia" w:eastAsiaTheme="minorEastAsia" w:cstheme="minorEastAsia"/>
          <w:b/>
          <w:bCs/>
          <w:color w:val="auto"/>
          <w:kern w:val="44"/>
          <w:sz w:val="30"/>
          <w:szCs w:val="44"/>
          <w:highlight w:val="none"/>
        </w:rPr>
      </w:pPr>
      <w:r>
        <w:rPr>
          <w:rStyle w:val="106"/>
          <w:rFonts w:hint="eastAsia" w:asciiTheme="minorEastAsia" w:hAnsiTheme="minorEastAsia" w:eastAsiaTheme="minorEastAsia" w:cstheme="minorEastAsia"/>
          <w:b/>
          <w:bCs/>
          <w:color w:val="auto"/>
          <w:kern w:val="44"/>
          <w:sz w:val="30"/>
          <w:szCs w:val="44"/>
          <w:highlight w:val="none"/>
        </w:rPr>
        <w:br w:type="page"/>
      </w:r>
    </w:p>
    <w:p w14:paraId="7273CFED">
      <w:pPr>
        <w:snapToGrid w:val="0"/>
        <w:spacing w:line="360" w:lineRule="auto"/>
        <w:jc w:val="center"/>
        <w:outlineLvl w:val="0"/>
        <w:rPr>
          <w:rStyle w:val="106"/>
          <w:rFonts w:hint="eastAsia" w:asciiTheme="minorEastAsia" w:hAnsiTheme="minorEastAsia" w:eastAsiaTheme="minorEastAsia" w:cstheme="minorEastAsia"/>
          <w:b/>
          <w:bCs/>
          <w:color w:val="auto"/>
          <w:kern w:val="44"/>
          <w:sz w:val="28"/>
          <w:szCs w:val="28"/>
          <w:highlight w:val="none"/>
        </w:rPr>
      </w:pPr>
      <w:r>
        <w:rPr>
          <w:rStyle w:val="106"/>
          <w:rFonts w:hint="eastAsia" w:asciiTheme="minorEastAsia" w:hAnsiTheme="minorEastAsia" w:eastAsiaTheme="minorEastAsia" w:cstheme="minorEastAsia"/>
          <w:b/>
          <w:bCs/>
          <w:color w:val="auto"/>
          <w:kern w:val="44"/>
          <w:sz w:val="28"/>
          <w:szCs w:val="28"/>
          <w:highlight w:val="none"/>
        </w:rPr>
        <w:t xml:space="preserve">第二章  </w:t>
      </w:r>
      <w:bookmarkEnd w:id="1"/>
      <w:bookmarkEnd w:id="2"/>
      <w:r>
        <w:rPr>
          <w:rStyle w:val="106"/>
          <w:rFonts w:hint="eastAsia" w:asciiTheme="minorEastAsia" w:hAnsiTheme="minorEastAsia" w:eastAsiaTheme="minorEastAsia" w:cstheme="minorEastAsia"/>
          <w:b/>
          <w:bCs/>
          <w:color w:val="auto"/>
          <w:kern w:val="44"/>
          <w:sz w:val="28"/>
          <w:szCs w:val="28"/>
          <w:highlight w:val="none"/>
        </w:rPr>
        <w:t>招标需求</w:t>
      </w:r>
    </w:p>
    <w:p w14:paraId="49D2147D">
      <w:pPr>
        <w:spacing w:line="440" w:lineRule="exact"/>
        <w:rPr>
          <w:rFonts w:hint="eastAsia" w:asciiTheme="minorEastAsia" w:hAnsiTheme="minorEastAsia" w:eastAsiaTheme="minorEastAsia" w:cstheme="minorEastAsia"/>
          <w:b/>
          <w:bCs/>
          <w:color w:val="auto"/>
          <w:szCs w:val="21"/>
          <w:highlight w:val="none"/>
        </w:rPr>
      </w:pPr>
      <w:bookmarkStart w:id="3" w:name="_Hlk111973454"/>
      <w:r>
        <w:rPr>
          <w:rFonts w:hint="eastAsia" w:asciiTheme="minorEastAsia" w:hAnsiTheme="minorEastAsia" w:eastAsiaTheme="minorEastAsia" w:cstheme="minorEastAsia"/>
          <w:b/>
          <w:bCs/>
          <w:color w:val="auto"/>
          <w:szCs w:val="21"/>
          <w:highlight w:val="none"/>
        </w:rPr>
        <w:t>一、项目概况</w:t>
      </w:r>
    </w:p>
    <w:p w14:paraId="77A53006">
      <w:pPr>
        <w:spacing w:line="44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（1）建设地点:</w:t>
      </w:r>
      <w:r>
        <w:rPr>
          <w:rFonts w:hint="eastAsia" w:asciiTheme="minorEastAsia" w:hAnsiTheme="minorEastAsia" w:eastAsiaTheme="minorEastAsia" w:cstheme="minorEastAsia"/>
          <w:color w:val="auto"/>
          <w:szCs w:val="21"/>
          <w:highlight w:val="none"/>
          <w:lang w:val="en-US" w:eastAsia="zh-CN"/>
        </w:rPr>
        <w:t>本项目位于宁波南部滨海经济开发区前横片区内，向港路以北，南兴路以东，友谊路以西。</w:t>
      </w:r>
    </w:p>
    <w:p w14:paraId="73C4F597">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（2）建设内容及建设规模:</w:t>
      </w:r>
      <w:r>
        <w:rPr>
          <w:rFonts w:hint="eastAsia" w:asciiTheme="minorEastAsia" w:hAnsiTheme="minorEastAsia" w:eastAsiaTheme="minorEastAsia" w:cstheme="minorEastAsia"/>
          <w:color w:val="auto"/>
          <w:szCs w:val="21"/>
          <w:highlight w:val="none"/>
          <w:lang w:val="en-US" w:eastAsia="zh-CN"/>
        </w:rPr>
        <w:t>项目地块总用地面积约</w:t>
      </w:r>
      <w:r>
        <w:rPr>
          <w:rFonts w:hint="eastAsia" w:asciiTheme="minorEastAsia" w:hAnsiTheme="minorEastAsia" w:eastAsiaTheme="minorEastAsia" w:cstheme="minorEastAsia"/>
          <w:color w:val="auto"/>
          <w:szCs w:val="21"/>
          <w:highlight w:val="none"/>
        </w:rPr>
        <w:t>9</w:t>
      </w:r>
      <w:r>
        <w:rPr>
          <w:rFonts w:hint="eastAsia" w:asciiTheme="minorEastAsia" w:hAnsiTheme="minorEastAsia" w:eastAsiaTheme="minorEastAsia" w:cstheme="minorEastAsia"/>
          <w:color w:val="auto"/>
          <w:szCs w:val="21"/>
          <w:highlight w:val="none"/>
          <w:lang w:val="en-US" w:eastAsia="zh-CN"/>
        </w:rPr>
        <w:t>6895</w:t>
      </w:r>
      <w:r>
        <w:rPr>
          <w:rFonts w:hint="eastAsia" w:asciiTheme="minorEastAsia" w:hAnsiTheme="minorEastAsia" w:eastAsiaTheme="minorEastAsia" w:cstheme="minorEastAsia"/>
          <w:color w:val="auto"/>
          <w:szCs w:val="21"/>
          <w:highlight w:val="none"/>
        </w:rPr>
        <w:t>平</w:t>
      </w:r>
      <w:r>
        <w:rPr>
          <w:rFonts w:hint="eastAsia" w:asciiTheme="minorEastAsia" w:hAnsiTheme="minorEastAsia" w:eastAsiaTheme="minorEastAsia" w:cstheme="minorEastAsia"/>
          <w:color w:val="auto"/>
          <w:szCs w:val="21"/>
          <w:highlight w:val="none"/>
          <w:lang w:val="en-US" w:eastAsia="zh-CN"/>
        </w:rPr>
        <w:t>方米</w:t>
      </w:r>
      <w:r>
        <w:rPr>
          <w:rFonts w:hint="eastAsia" w:asciiTheme="minorEastAsia" w:hAnsiTheme="minorEastAsia" w:eastAsiaTheme="minorEastAsia" w:cstheme="minorEastAsia"/>
          <w:color w:val="auto"/>
          <w:szCs w:val="21"/>
          <w:highlight w:val="none"/>
        </w:rPr>
        <w:t>（14</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亩）</w:t>
      </w:r>
      <w:r>
        <w:rPr>
          <w:rFonts w:hint="eastAsia" w:asciiTheme="minorEastAsia" w:hAnsiTheme="minorEastAsia" w:eastAsiaTheme="minorEastAsia" w:cstheme="minorEastAsia"/>
          <w:color w:val="auto"/>
          <w:szCs w:val="21"/>
          <w:highlight w:val="none"/>
          <w:lang w:eastAsia="zh-CN"/>
        </w:rPr>
        <w:t>，设计</w:t>
      </w:r>
      <w:r>
        <w:rPr>
          <w:rFonts w:hint="eastAsia" w:asciiTheme="minorEastAsia" w:hAnsiTheme="minorEastAsia" w:eastAsiaTheme="minorEastAsia" w:cstheme="minorEastAsia"/>
          <w:color w:val="auto"/>
          <w:szCs w:val="21"/>
          <w:highlight w:val="none"/>
          <w:lang w:val="en-US" w:eastAsia="zh-CN"/>
        </w:rPr>
        <w:t>总</w:t>
      </w:r>
      <w:r>
        <w:rPr>
          <w:rFonts w:hint="eastAsia" w:asciiTheme="minorEastAsia" w:hAnsiTheme="minorEastAsia" w:eastAsiaTheme="minorEastAsia" w:cstheme="minorEastAsia"/>
          <w:color w:val="auto"/>
          <w:szCs w:val="21"/>
          <w:highlight w:val="none"/>
        </w:rPr>
        <w:t>建筑</w:t>
      </w:r>
      <w:r>
        <w:rPr>
          <w:rFonts w:hint="eastAsia" w:asciiTheme="minorEastAsia" w:hAnsiTheme="minorEastAsia" w:eastAsiaTheme="minorEastAsia" w:cstheme="minorEastAsia"/>
          <w:color w:val="auto"/>
          <w:szCs w:val="21"/>
          <w:highlight w:val="none"/>
          <w:lang w:val="en-US" w:eastAsia="zh-CN"/>
        </w:rPr>
        <w:t>面</w:t>
      </w:r>
      <w:r>
        <w:rPr>
          <w:rFonts w:hint="eastAsia" w:asciiTheme="minorEastAsia" w:hAnsiTheme="minorEastAsia" w:eastAsiaTheme="minorEastAsia" w:cstheme="minorEastAsia"/>
          <w:color w:val="auto"/>
          <w:szCs w:val="21"/>
          <w:highlight w:val="none"/>
        </w:rPr>
        <w:t>积约</w:t>
      </w:r>
      <w:r>
        <w:rPr>
          <w:rFonts w:hint="eastAsia" w:asciiTheme="minorEastAsia" w:hAnsiTheme="minorEastAsia" w:eastAsiaTheme="minorEastAsia" w:cstheme="minorEastAsia"/>
          <w:color w:val="auto"/>
          <w:szCs w:val="21"/>
          <w:highlight w:val="none"/>
          <w:lang w:val="en-US" w:eastAsia="zh-CN"/>
        </w:rPr>
        <w:t>200914.22</w:t>
      </w:r>
      <w:r>
        <w:rPr>
          <w:rFonts w:hint="eastAsia" w:asciiTheme="minorEastAsia" w:hAnsiTheme="minorEastAsia" w:eastAsiaTheme="minorEastAsia" w:cstheme="minorEastAsia"/>
          <w:color w:val="auto"/>
          <w:szCs w:val="21"/>
          <w:highlight w:val="none"/>
        </w:rPr>
        <w:t>平</w:t>
      </w:r>
      <w:r>
        <w:rPr>
          <w:rFonts w:hint="eastAsia" w:asciiTheme="minorEastAsia" w:hAnsiTheme="minorEastAsia" w:eastAsiaTheme="minorEastAsia" w:cstheme="minorEastAsia"/>
          <w:color w:val="auto"/>
          <w:szCs w:val="21"/>
          <w:highlight w:val="none"/>
          <w:lang w:val="en-US" w:eastAsia="zh-CN"/>
        </w:rPr>
        <w:t>方米</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其中生产性用房建筑面积约171275.78平方米，非生产性用房建筑面积约29638.44平方米，主要建设内容包括1#～10#厂房、配套办公楼、公寓楼，以及区内道路、供电、供水、排水、通讯网络、绿化及停车场地等基础设施</w:t>
      </w:r>
      <w:r>
        <w:rPr>
          <w:rFonts w:hint="eastAsia" w:asciiTheme="minorEastAsia" w:hAnsiTheme="minorEastAsia" w:eastAsiaTheme="minorEastAsia" w:cstheme="minorEastAsia"/>
          <w:color w:val="auto"/>
          <w:szCs w:val="21"/>
          <w:highlight w:val="none"/>
        </w:rPr>
        <w:t>。</w:t>
      </w:r>
    </w:p>
    <w:p w14:paraId="6EF0E64F">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项目总投资：</w:t>
      </w:r>
      <w:r>
        <w:rPr>
          <w:rFonts w:hint="eastAsia" w:asciiTheme="minorEastAsia" w:hAnsiTheme="minorEastAsia" w:eastAsiaTheme="minorEastAsia" w:cstheme="minorEastAsia"/>
          <w:color w:val="auto"/>
          <w:szCs w:val="21"/>
          <w:highlight w:val="none"/>
          <w:lang w:val="zh-CN"/>
        </w:rPr>
        <w:t>估算投资约</w:t>
      </w:r>
      <w:r>
        <w:rPr>
          <w:rFonts w:hint="eastAsia" w:asciiTheme="minorEastAsia" w:hAnsiTheme="minorEastAsia" w:eastAsiaTheme="minorEastAsia" w:cstheme="minorEastAsia"/>
          <w:color w:val="auto"/>
          <w:szCs w:val="21"/>
          <w:highlight w:val="none"/>
          <w:lang w:val="en-US" w:eastAsia="zh-CN"/>
        </w:rPr>
        <w:t>10</w:t>
      </w:r>
      <w:r>
        <w:rPr>
          <w:rFonts w:hint="eastAsia" w:asciiTheme="minorEastAsia" w:hAnsiTheme="minorEastAsia" w:eastAsiaTheme="minorEastAsia" w:cstheme="minorEastAsia"/>
          <w:color w:val="auto"/>
          <w:szCs w:val="21"/>
          <w:highlight w:val="none"/>
        </w:rPr>
        <w:t>亿元，其中</w:t>
      </w:r>
      <w:r>
        <w:rPr>
          <w:rFonts w:hint="eastAsia" w:asciiTheme="minorEastAsia" w:hAnsiTheme="minorEastAsia" w:eastAsiaTheme="minorEastAsia" w:cstheme="minorEastAsia"/>
          <w:color w:val="auto"/>
          <w:szCs w:val="21"/>
          <w:highlight w:val="none"/>
          <w:lang w:val="zh-CN"/>
        </w:rPr>
        <w:t>项目工程建安费</w:t>
      </w:r>
      <w:r>
        <w:rPr>
          <w:rFonts w:hint="eastAsia" w:asciiTheme="minorEastAsia" w:hAnsiTheme="minorEastAsia" w:eastAsiaTheme="minorEastAsia" w:cstheme="minorEastAsia"/>
          <w:color w:val="auto"/>
          <w:szCs w:val="21"/>
          <w:highlight w:val="none"/>
        </w:rPr>
        <w:t>暂估为</w:t>
      </w:r>
      <w:r>
        <w:rPr>
          <w:rFonts w:hint="eastAsia" w:asciiTheme="minorEastAsia" w:hAnsiTheme="minorEastAsia" w:eastAsiaTheme="minorEastAsia" w:cstheme="minorEastAsia"/>
          <w:color w:val="auto"/>
          <w:szCs w:val="21"/>
          <w:highlight w:val="none"/>
          <w:lang w:val="en-US" w:eastAsia="zh-CN"/>
        </w:rPr>
        <w:t>7.6</w:t>
      </w:r>
      <w:r>
        <w:rPr>
          <w:rFonts w:hint="eastAsia" w:asciiTheme="minorEastAsia" w:hAnsiTheme="minorEastAsia" w:eastAsiaTheme="minorEastAsia" w:cstheme="minorEastAsia"/>
          <w:color w:val="auto"/>
          <w:szCs w:val="21"/>
          <w:highlight w:val="none"/>
        </w:rPr>
        <w:t>亿元。</w:t>
      </w:r>
    </w:p>
    <w:p w14:paraId="37002BF6">
      <w:pPr>
        <w:spacing w:line="440" w:lineRule="exac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二、招标内容及要求</w:t>
      </w:r>
    </w:p>
    <w:p w14:paraId="760F9006">
      <w:pPr>
        <w:spacing w:line="440" w:lineRule="exact"/>
        <w:ind w:firstLine="422"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标项一：招标代理</w:t>
      </w:r>
      <w:r>
        <w:rPr>
          <w:rFonts w:hint="eastAsia" w:asciiTheme="minorEastAsia" w:hAnsiTheme="minorEastAsia" w:eastAsiaTheme="minorEastAsia" w:cstheme="minorEastAsia"/>
          <w:b/>
          <w:bCs/>
          <w:color w:val="auto"/>
          <w:szCs w:val="21"/>
          <w:highlight w:val="none"/>
          <w:lang w:val="en-US" w:eastAsia="zh-CN"/>
        </w:rPr>
        <w:t>和</w:t>
      </w:r>
      <w:r>
        <w:rPr>
          <w:rFonts w:hint="eastAsia" w:asciiTheme="minorEastAsia" w:hAnsiTheme="minorEastAsia" w:eastAsiaTheme="minorEastAsia" w:cstheme="minorEastAsia"/>
          <w:b/>
          <w:bCs/>
          <w:color w:val="auto"/>
          <w:szCs w:val="21"/>
          <w:highlight w:val="none"/>
        </w:rPr>
        <w:t>工程量清单及招标控制价编制</w:t>
      </w:r>
    </w:p>
    <w:p w14:paraId="3080737D">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（一）主要工作内容：</w:t>
      </w:r>
    </w:p>
    <w:p w14:paraId="69378C0B">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1.招标代理服务内容：</w:t>
      </w:r>
    </w:p>
    <w:p w14:paraId="04A10748">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中标人需根据招标人提供的项目建议书及可行性研究报告，拟建设项目内容，编制招标文件并做好招标过程服务，具体包括</w:t>
      </w:r>
      <w:r>
        <w:rPr>
          <w:rFonts w:hint="eastAsia" w:asciiTheme="minorEastAsia" w:hAnsiTheme="minorEastAsia" w:eastAsiaTheme="minorEastAsia" w:cstheme="minorEastAsia"/>
          <w:color w:val="auto"/>
          <w:szCs w:val="21"/>
          <w:highlight w:val="none"/>
          <w:lang w:eastAsia="zh-CN"/>
        </w:rPr>
        <w:t>但不限于</w:t>
      </w:r>
      <w:r>
        <w:rPr>
          <w:rFonts w:hint="eastAsia" w:asciiTheme="minorEastAsia" w:hAnsiTheme="minorEastAsia" w:eastAsiaTheme="minorEastAsia" w:cstheme="minorEastAsia"/>
          <w:color w:val="auto"/>
          <w:szCs w:val="21"/>
          <w:highlight w:val="none"/>
        </w:rPr>
        <w:t>如下内容：</w:t>
      </w:r>
    </w:p>
    <w:p w14:paraId="44CEC4B6">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（1）项目涉及的所有项目的前期咨询、拟订招标方案</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建设项目的具体范围、拟招标的组织形式、拟采用的招标方式，上述内容确定后，还应包括制定招标项目的作业计划，计划内容包括招标流程、工作进度安排、项目特点分析和解决预案等。</w:t>
      </w:r>
    </w:p>
    <w:p w14:paraId="05439029">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en-US" w:eastAsia="zh-CN"/>
        </w:rPr>
        <w:t>起草招标公告、</w:t>
      </w:r>
      <w:r>
        <w:rPr>
          <w:rFonts w:hint="eastAsia" w:asciiTheme="minorEastAsia" w:hAnsiTheme="minorEastAsia" w:eastAsiaTheme="minorEastAsia" w:cstheme="minorEastAsia"/>
          <w:color w:val="auto"/>
          <w:szCs w:val="21"/>
          <w:highlight w:val="none"/>
        </w:rPr>
        <w:t>编制招标文件（包括资格预审文件）。</w:t>
      </w:r>
    </w:p>
    <w:p w14:paraId="3063A30A">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（3）向招投标监督管理部门提出招标申请，</w:t>
      </w:r>
      <w:r>
        <w:rPr>
          <w:rFonts w:hint="eastAsia" w:asciiTheme="minorEastAsia" w:hAnsiTheme="minorEastAsia" w:eastAsiaTheme="minorEastAsia" w:cstheme="minorEastAsia"/>
          <w:color w:val="auto"/>
          <w:szCs w:val="21"/>
          <w:highlight w:val="none"/>
          <w:lang w:val="en-US" w:eastAsia="zh-CN"/>
        </w:rPr>
        <w:t>审查投标人资格，</w:t>
      </w:r>
      <w:r>
        <w:rPr>
          <w:rFonts w:hint="eastAsia" w:asciiTheme="minorEastAsia" w:hAnsiTheme="minorEastAsia" w:eastAsiaTheme="minorEastAsia" w:cstheme="minorEastAsia"/>
          <w:color w:val="auto"/>
          <w:szCs w:val="21"/>
          <w:highlight w:val="none"/>
        </w:rPr>
        <w:t>发布招标公告</w:t>
      </w:r>
      <w:r>
        <w:rPr>
          <w:rFonts w:hint="eastAsia" w:asciiTheme="minorEastAsia" w:hAnsiTheme="minorEastAsia" w:eastAsiaTheme="minorEastAsia" w:cstheme="minorEastAsia"/>
          <w:color w:val="auto"/>
          <w:szCs w:val="21"/>
          <w:highlight w:val="none"/>
          <w:lang w:eastAsia="zh-CN"/>
        </w:rPr>
        <w:t>、资格预审文件和招标文件发出后，招标代理人还要负责有关澄清和修改等工作</w:t>
      </w:r>
      <w:r>
        <w:rPr>
          <w:rFonts w:hint="eastAsia" w:asciiTheme="minorEastAsia" w:hAnsiTheme="minorEastAsia" w:eastAsiaTheme="minorEastAsia" w:cstheme="minorEastAsia"/>
          <w:color w:val="auto"/>
          <w:szCs w:val="21"/>
          <w:highlight w:val="none"/>
        </w:rPr>
        <w:t>。</w:t>
      </w:r>
    </w:p>
    <w:p w14:paraId="5C20753A">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（4）组织投标人踏勘现场和答疑，整理答疑纪要。</w:t>
      </w:r>
    </w:p>
    <w:p w14:paraId="4F6F6C12">
      <w:pPr>
        <w:widowControl w:val="0"/>
        <w:adjustRightInd w:val="0"/>
        <w:spacing w:line="440" w:lineRule="exact"/>
        <w:ind w:firstLine="420" w:firstLineChars="200"/>
        <w:rPr>
          <w:rFonts w:hint="eastAsia" w:asciiTheme="minorEastAsia" w:hAnsiTheme="minorEastAsia" w:eastAsiaTheme="minorEastAsia" w:cstheme="minorEastAsia"/>
          <w:color w:val="auto"/>
          <w:szCs w:val="21"/>
          <w:highlight w:val="none"/>
          <w:u w:val="none"/>
          <w:lang w:val="en-US" w:eastAsia="zh-CN"/>
        </w:rPr>
      </w:pPr>
      <w:r>
        <w:rPr>
          <w:rFonts w:hint="eastAsia" w:asciiTheme="minorEastAsia" w:hAnsiTheme="minorEastAsia" w:eastAsiaTheme="minorEastAsia" w:cstheme="minorEastAsia"/>
          <w:color w:val="auto"/>
          <w:szCs w:val="21"/>
          <w:highlight w:val="none"/>
          <w:u w:val="none"/>
          <w:lang w:val="en-US" w:eastAsia="zh-CN"/>
        </w:rPr>
        <w:t>（5）依法组建评标委员会、审查投标人资格、组织开标、评标和定标。</w:t>
      </w:r>
    </w:p>
    <w:p w14:paraId="20BCB19A">
      <w:pPr>
        <w:widowControl w:val="0"/>
        <w:adjustRightInd w:val="0"/>
        <w:spacing w:line="440" w:lineRule="exact"/>
        <w:ind w:firstLine="420" w:firstLineChars="200"/>
        <w:rPr>
          <w:rFonts w:hint="eastAsia" w:asciiTheme="minorEastAsia" w:hAnsiTheme="minorEastAsia" w:eastAsiaTheme="minorEastAsia" w:cstheme="minorEastAsia"/>
          <w:color w:val="auto"/>
          <w:szCs w:val="21"/>
          <w:highlight w:val="none"/>
          <w:u w:val="none"/>
          <w:lang w:val="en-US" w:eastAsia="zh-CN"/>
        </w:rPr>
      </w:pPr>
      <w:r>
        <w:rPr>
          <w:rFonts w:hint="eastAsia" w:asciiTheme="minorEastAsia" w:hAnsiTheme="minorEastAsia" w:eastAsiaTheme="minorEastAsia" w:cstheme="minorEastAsia"/>
          <w:color w:val="auto"/>
          <w:szCs w:val="21"/>
          <w:highlight w:val="none"/>
          <w:u w:val="none"/>
          <w:lang w:val="en-US" w:eastAsia="zh-CN"/>
        </w:rPr>
        <w:t>（6）提交招投标书面情况报告及相关材料。</w:t>
      </w:r>
    </w:p>
    <w:p w14:paraId="739D1D6A">
      <w:pPr>
        <w:widowControl w:val="0"/>
        <w:adjustRightInd w:val="0"/>
        <w:spacing w:line="440" w:lineRule="exact"/>
        <w:ind w:firstLine="420" w:firstLineChars="200"/>
        <w:rPr>
          <w:rFonts w:hint="eastAsia" w:asciiTheme="minorEastAsia" w:hAnsiTheme="minorEastAsia" w:eastAsiaTheme="minorEastAsia" w:cstheme="minorEastAsia"/>
          <w:color w:val="auto"/>
          <w:szCs w:val="21"/>
          <w:highlight w:val="none"/>
          <w:u w:val="none"/>
          <w:lang w:val="en-US" w:eastAsia="zh-CN"/>
        </w:rPr>
      </w:pPr>
      <w:r>
        <w:rPr>
          <w:rFonts w:hint="eastAsia" w:asciiTheme="minorEastAsia" w:hAnsiTheme="minorEastAsia" w:eastAsiaTheme="minorEastAsia" w:cstheme="minorEastAsia"/>
          <w:color w:val="auto"/>
          <w:szCs w:val="21"/>
          <w:highlight w:val="none"/>
          <w:u w:val="none"/>
          <w:lang w:val="en-US" w:eastAsia="zh-CN"/>
        </w:rPr>
        <w:t>（7）向中标人发出中标通知书，向未中标的投标人发出中标结果通知书、办理招标的备案手续和有关事项的公示手续、草拟合同协助工程合同的签订、协调合同的签订和备案。</w:t>
      </w:r>
    </w:p>
    <w:p w14:paraId="6FFC349A">
      <w:pPr>
        <w:widowControl w:val="0"/>
        <w:adjustRightInd w:val="0"/>
        <w:spacing w:line="440" w:lineRule="exact"/>
        <w:ind w:firstLine="420" w:firstLineChars="200"/>
        <w:rPr>
          <w:rFonts w:hint="eastAsia" w:asciiTheme="minorEastAsia" w:hAnsiTheme="minorEastAsia" w:eastAsiaTheme="minorEastAsia" w:cstheme="minorEastAsia"/>
          <w:color w:val="auto"/>
          <w:szCs w:val="21"/>
          <w:highlight w:val="none"/>
          <w:u w:val="none"/>
          <w:lang w:val="en-US" w:eastAsia="zh-CN"/>
        </w:rPr>
      </w:pPr>
      <w:r>
        <w:rPr>
          <w:rFonts w:hint="eastAsia" w:asciiTheme="minorEastAsia" w:hAnsiTheme="minorEastAsia" w:eastAsiaTheme="minorEastAsia" w:cstheme="minorEastAsia"/>
          <w:color w:val="auto"/>
          <w:szCs w:val="21"/>
          <w:highlight w:val="none"/>
          <w:u w:val="none"/>
          <w:lang w:val="en-US" w:eastAsia="zh-CN"/>
        </w:rPr>
        <w:t>（8）整理招标全过程资料等招标有关的其他事项。</w:t>
      </w:r>
    </w:p>
    <w:p w14:paraId="6268EA88">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2.工程量清单及招标控制价编制服务内容</w:t>
      </w:r>
      <w:r>
        <w:rPr>
          <w:rFonts w:hint="eastAsia" w:asciiTheme="minorEastAsia" w:hAnsiTheme="minorEastAsia" w:eastAsiaTheme="minorEastAsia" w:cstheme="minorEastAsia"/>
          <w:color w:val="auto"/>
          <w:kern w:val="2"/>
          <w:sz w:val="21"/>
          <w:szCs w:val="24"/>
          <w:highlight w:val="none"/>
          <w:lang w:val="en-US" w:eastAsia="zh-CN" w:bidi="ar-SA"/>
        </w:rPr>
        <w:t>（包括但不限于如下内容）</w:t>
      </w:r>
      <w:r>
        <w:rPr>
          <w:rFonts w:hint="eastAsia" w:asciiTheme="minorEastAsia" w:hAnsiTheme="minorEastAsia" w:eastAsiaTheme="minorEastAsia" w:cstheme="minorEastAsia"/>
          <w:color w:val="auto"/>
          <w:szCs w:val="21"/>
          <w:highlight w:val="none"/>
        </w:rPr>
        <w:t>：</w:t>
      </w:r>
    </w:p>
    <w:p w14:paraId="7A130F0C">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收到招标人提供的图纸后，在招标人规定的时间内完成预算编制任务。</w:t>
      </w:r>
    </w:p>
    <w:p w14:paraId="0F175BC9">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协助配合好预算审核工作，并且确保</w:t>
      </w:r>
      <w:r>
        <w:rPr>
          <w:rFonts w:hint="eastAsia" w:asciiTheme="minorEastAsia" w:hAnsiTheme="minorEastAsia" w:eastAsiaTheme="minorEastAsia" w:cstheme="minorEastAsia"/>
          <w:color w:val="auto"/>
          <w:szCs w:val="21"/>
          <w:highlight w:val="none"/>
          <w:lang w:eastAsia="zh-CN"/>
        </w:rPr>
        <w:t>总</w:t>
      </w:r>
      <w:r>
        <w:rPr>
          <w:rFonts w:hint="eastAsia" w:asciiTheme="minorEastAsia" w:hAnsiTheme="minorEastAsia" w:eastAsiaTheme="minorEastAsia" w:cstheme="minorEastAsia"/>
          <w:color w:val="auto"/>
          <w:szCs w:val="21"/>
          <w:highlight w:val="none"/>
        </w:rPr>
        <w:t>误差率控制在±5%之内。</w:t>
      </w:r>
      <w:r>
        <w:rPr>
          <w:rFonts w:hint="eastAsia" w:asciiTheme="minorEastAsia" w:hAnsiTheme="minorEastAsia" w:eastAsiaTheme="minorEastAsia" w:cstheme="minorEastAsia"/>
          <w:color w:val="auto"/>
          <w:szCs w:val="21"/>
          <w:highlight w:val="none"/>
          <w:lang w:val="zh-CN" w:eastAsia="zh-CN"/>
        </w:rPr>
        <w:t>中标人出具的工程量清单及招标控制价经预算审核单位审核后，总误差率≥5%以及存在较大幅度漏审漏项（占比超过5%以上）的，中标人须向招标人赔偿合同预算编制费用的30%，作为违约金。</w:t>
      </w:r>
    </w:p>
    <w:p w14:paraId="3407AD85">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（二）工作要求：</w:t>
      </w:r>
    </w:p>
    <w:p w14:paraId="489F997D">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1.招标代理服务工作要求：</w:t>
      </w:r>
    </w:p>
    <w:p w14:paraId="63347987">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（1）中标人必须遵守国家、省、宁波市和宁海县关于招标代理的各项法律法规。 </w:t>
      </w:r>
    </w:p>
    <w:p w14:paraId="726DBE9B">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（2）中标人职业道德要求：</w:t>
      </w:r>
    </w:p>
    <w:p w14:paraId="4DC9E06D">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①应本着“客观、公正、合理、科学”的原则，遵守国家法律法规和宁波市有关文件规定，严格按规范程序操作。</w:t>
      </w:r>
    </w:p>
    <w:p w14:paraId="5FC04744">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②在接受工程造价咨询、招标代理等委托服务时，应正确编写文件，严格执行计价依据，认真履行职责，同时承担相应的法律责任。</w:t>
      </w:r>
    </w:p>
    <w:p w14:paraId="055DB5C6">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③有权拒绝不符合国家法律、政策、资格条件、技术经济指标、定额等条件和人为干涉因素。</w:t>
      </w:r>
    </w:p>
    <w:p w14:paraId="4586915C">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④不得泄露与受委托项目有关应保密的内容、数据等信息资料。</w:t>
      </w:r>
    </w:p>
    <w:p w14:paraId="72EBDB29">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⑤应当认真落实回避制度，不得参加同项目应分离的服务，不得参与受委托项目有关的其他经营活动。</w:t>
      </w:r>
    </w:p>
    <w:p w14:paraId="0EA48E3E">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⑥中标人若有滥用职权、营私舞弊、玩忽职守行为的，按《中华人民共和国招标投标法》、《政府采购法》、《工程建设项目招标代理机构资格认定办法》和《工程造价咨询企业管理办法》等规定处理。情节严重，造成国家重大损失的，移送司法机关追究刑事责任。</w:t>
      </w:r>
    </w:p>
    <w:p w14:paraId="064E0DF0">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⑦中标人应廉洁自律、诚实信用、严格履行投标承诺，不得向招标人进行商业贿赂或提供不正当利益，自觉接受有关行政监督部门依法实施的监督。</w:t>
      </w:r>
    </w:p>
    <w:p w14:paraId="2CB45055">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中标人应按照国家和省市有关规定，以及投标承诺，在法律法规许可的范围内从事工程代理服务活动，并严格遵循独立、客观、公正、诚实信用的原则，不得损害社会公共利益和他人的合法权益。为招标人提供服务时，应调配所有资源，从项目前期准备、项目进度、投资、质量、人员投入等各个环节，确保工程招标代理服务工作的顺利完成，在约定的时间内完成服务事项。</w:t>
      </w:r>
    </w:p>
    <w:p w14:paraId="234F628D">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2.工程量清单及招标控制价编制工作要求：</w:t>
      </w:r>
    </w:p>
    <w:p w14:paraId="68FB77EB">
      <w:pPr>
        <w:spacing w:line="440" w:lineRule="exact"/>
        <w:ind w:firstLine="422" w:firstLineChars="200"/>
        <w:rPr>
          <w:rFonts w:hint="eastAsia" w:asciiTheme="minorEastAsia" w:hAnsiTheme="minorEastAsia" w:eastAsiaTheme="minorEastAsia" w:cstheme="minorEastAsia"/>
          <w:b/>
          <w:bCs/>
          <w:color w:val="auto"/>
          <w:szCs w:val="21"/>
          <w:highlight w:val="none"/>
          <w:u w:val="single"/>
          <w:lang w:eastAsia="zh-CN"/>
        </w:rPr>
      </w:pPr>
      <w:r>
        <w:rPr>
          <w:rFonts w:hint="eastAsia" w:asciiTheme="minorEastAsia" w:hAnsiTheme="minorEastAsia" w:eastAsiaTheme="minorEastAsia" w:cstheme="minorEastAsia"/>
          <w:b/>
          <w:bCs/>
          <w:color w:val="auto"/>
          <w:szCs w:val="21"/>
          <w:highlight w:val="none"/>
          <w:u w:val="single"/>
          <w:lang w:eastAsia="zh-CN"/>
        </w:rPr>
        <w:t>（</w:t>
      </w:r>
      <w:r>
        <w:rPr>
          <w:rFonts w:hint="eastAsia" w:asciiTheme="minorEastAsia" w:hAnsiTheme="minorEastAsia" w:eastAsiaTheme="minorEastAsia" w:cstheme="minorEastAsia"/>
          <w:b/>
          <w:bCs/>
          <w:color w:val="auto"/>
          <w:szCs w:val="21"/>
          <w:highlight w:val="none"/>
          <w:u w:val="single"/>
          <w:lang w:val="en-US" w:eastAsia="zh-CN"/>
        </w:rPr>
        <w:t>1</w:t>
      </w:r>
      <w:r>
        <w:rPr>
          <w:rFonts w:hint="eastAsia" w:asciiTheme="minorEastAsia" w:hAnsiTheme="minorEastAsia" w:eastAsiaTheme="minorEastAsia" w:cstheme="minorEastAsia"/>
          <w:b/>
          <w:bCs/>
          <w:color w:val="auto"/>
          <w:szCs w:val="21"/>
          <w:highlight w:val="none"/>
          <w:u w:val="single"/>
          <w:lang w:eastAsia="zh-CN"/>
        </w:rPr>
        <w:t>）</w:t>
      </w:r>
      <w:r>
        <w:rPr>
          <w:rFonts w:hint="eastAsia" w:asciiTheme="minorEastAsia" w:hAnsiTheme="minorEastAsia" w:eastAsiaTheme="minorEastAsia" w:cstheme="minorEastAsia"/>
          <w:b/>
          <w:bCs/>
          <w:color w:val="auto"/>
          <w:szCs w:val="21"/>
          <w:highlight w:val="none"/>
          <w:u w:val="single"/>
          <w:lang w:val="en-US" w:eastAsia="zh-CN"/>
        </w:rPr>
        <w:t>签订合同并收到图纸后40</w:t>
      </w:r>
      <w:r>
        <w:rPr>
          <w:rFonts w:hint="eastAsia" w:asciiTheme="minorEastAsia" w:hAnsiTheme="minorEastAsia" w:eastAsiaTheme="minorEastAsia" w:cstheme="minorEastAsia"/>
          <w:b/>
          <w:bCs/>
          <w:color w:val="auto"/>
          <w:szCs w:val="21"/>
          <w:highlight w:val="none"/>
          <w:u w:val="single"/>
          <w:lang w:eastAsia="zh-CN"/>
        </w:rPr>
        <w:t>天内完成初稿，</w:t>
      </w:r>
      <w:r>
        <w:rPr>
          <w:rFonts w:hint="eastAsia" w:asciiTheme="minorEastAsia" w:hAnsiTheme="minorEastAsia" w:eastAsiaTheme="minorEastAsia" w:cstheme="minorEastAsia"/>
          <w:b/>
          <w:bCs/>
          <w:color w:val="auto"/>
          <w:szCs w:val="21"/>
          <w:highlight w:val="none"/>
          <w:u w:val="single"/>
          <w:lang w:val="en-US" w:eastAsia="zh-CN"/>
        </w:rPr>
        <w:t>50</w:t>
      </w:r>
      <w:r>
        <w:rPr>
          <w:rFonts w:hint="eastAsia" w:asciiTheme="minorEastAsia" w:hAnsiTheme="minorEastAsia" w:eastAsiaTheme="minorEastAsia" w:cstheme="minorEastAsia"/>
          <w:b/>
          <w:bCs/>
          <w:color w:val="auto"/>
          <w:szCs w:val="21"/>
          <w:highlight w:val="none"/>
          <w:u w:val="single"/>
          <w:lang w:eastAsia="zh-CN"/>
        </w:rPr>
        <w:t>天内完成并提交正式报告。</w:t>
      </w:r>
    </w:p>
    <w:p w14:paraId="01F5EEB1">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根据</w:t>
      </w:r>
      <w:r>
        <w:rPr>
          <w:rFonts w:hint="eastAsia" w:asciiTheme="minorEastAsia" w:hAnsiTheme="minorEastAsia" w:eastAsiaTheme="minorEastAsia" w:cstheme="minorEastAsia"/>
          <w:color w:val="auto"/>
          <w:szCs w:val="21"/>
          <w:highlight w:val="none"/>
          <w:lang w:val="en-US" w:eastAsia="zh-CN"/>
        </w:rPr>
        <w:t>招标人提供各项工程的</w:t>
      </w:r>
      <w:r>
        <w:rPr>
          <w:rFonts w:hint="eastAsia" w:asciiTheme="minorEastAsia" w:hAnsiTheme="minorEastAsia" w:eastAsiaTheme="minorEastAsia" w:cstheme="minorEastAsia"/>
          <w:color w:val="auto"/>
          <w:szCs w:val="21"/>
          <w:highlight w:val="none"/>
        </w:rPr>
        <w:t>施工图纸文件</w:t>
      </w:r>
      <w:r>
        <w:rPr>
          <w:rFonts w:hint="eastAsia" w:asciiTheme="minorEastAsia" w:hAnsiTheme="minorEastAsia" w:eastAsiaTheme="minorEastAsia" w:cstheme="minorEastAsia"/>
          <w:color w:val="auto"/>
          <w:szCs w:val="21"/>
          <w:highlight w:val="none"/>
          <w:lang w:eastAsia="zh-CN"/>
        </w:rPr>
        <w:t>，按照工程造价相关</w:t>
      </w:r>
      <w:r>
        <w:rPr>
          <w:rFonts w:hint="eastAsia" w:asciiTheme="minorEastAsia" w:hAnsiTheme="minorEastAsia" w:eastAsiaTheme="minorEastAsia" w:cstheme="minorEastAsia"/>
          <w:color w:val="auto"/>
          <w:szCs w:val="21"/>
          <w:highlight w:val="none"/>
          <w:lang w:val="en-US" w:eastAsia="zh-CN"/>
        </w:rPr>
        <w:t>的计价依据并完成工程量计算及清单组价；</w:t>
      </w:r>
      <w:r>
        <w:rPr>
          <w:rFonts w:hint="eastAsia" w:asciiTheme="minorEastAsia" w:hAnsiTheme="minorEastAsia" w:eastAsiaTheme="minorEastAsia" w:cstheme="minorEastAsia"/>
          <w:color w:val="auto"/>
          <w:szCs w:val="21"/>
          <w:highlight w:val="none"/>
        </w:rPr>
        <w:t>对</w:t>
      </w:r>
      <w:r>
        <w:rPr>
          <w:rFonts w:hint="eastAsia" w:asciiTheme="minorEastAsia" w:hAnsiTheme="minorEastAsia" w:eastAsiaTheme="minorEastAsia" w:cstheme="minorEastAsia"/>
          <w:color w:val="auto"/>
          <w:szCs w:val="21"/>
          <w:highlight w:val="none"/>
          <w:lang w:eastAsia="zh-CN"/>
        </w:rPr>
        <w:t>设计图纸</w:t>
      </w:r>
      <w:r>
        <w:rPr>
          <w:rFonts w:hint="eastAsia" w:asciiTheme="minorEastAsia" w:hAnsiTheme="minorEastAsia" w:eastAsiaTheme="minorEastAsia" w:cstheme="minorEastAsia"/>
          <w:color w:val="auto"/>
          <w:szCs w:val="21"/>
          <w:highlight w:val="none"/>
        </w:rPr>
        <w:t>有关问题进行补充和完善并出具编制报告</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工程造价咨询成果包括但不限于（宁海县评审中心要求上传资料）：详细的</w:t>
      </w:r>
      <w:r>
        <w:rPr>
          <w:rFonts w:hint="eastAsia" w:asciiTheme="minorEastAsia" w:hAnsiTheme="minorEastAsia" w:eastAsiaTheme="minorEastAsia" w:cstheme="minorEastAsia"/>
          <w:color w:val="auto"/>
          <w:szCs w:val="21"/>
          <w:highlight w:val="none"/>
        </w:rPr>
        <w:t>工程量清单及招标控制价</w:t>
      </w:r>
      <w:r>
        <w:rPr>
          <w:rFonts w:hint="eastAsia" w:asciiTheme="minorEastAsia" w:hAnsiTheme="minorEastAsia" w:eastAsiaTheme="minorEastAsia" w:cstheme="minorEastAsia"/>
          <w:color w:val="auto"/>
          <w:szCs w:val="21"/>
          <w:highlight w:val="none"/>
          <w:lang w:val="en-US" w:eastAsia="zh-CN"/>
        </w:rPr>
        <w:t>编制说明、</w:t>
      </w:r>
      <w:r>
        <w:rPr>
          <w:rFonts w:hint="eastAsia" w:asciiTheme="minorEastAsia" w:hAnsiTheme="minorEastAsia" w:eastAsiaTheme="minorEastAsia" w:cstheme="minorEastAsia"/>
          <w:color w:val="auto"/>
          <w:szCs w:val="21"/>
          <w:highlight w:val="none"/>
        </w:rPr>
        <w:t>工程量清单及招标控制价</w:t>
      </w:r>
      <w:r>
        <w:rPr>
          <w:rFonts w:hint="eastAsia" w:asciiTheme="minorEastAsia" w:hAnsiTheme="minorEastAsia" w:eastAsiaTheme="minorEastAsia" w:cstheme="minorEastAsia"/>
          <w:color w:val="auto"/>
          <w:szCs w:val="21"/>
          <w:highlight w:val="none"/>
          <w:lang w:val="en-US" w:eastAsia="zh-CN"/>
        </w:rPr>
        <w:t>报告(书面及电子版)、工程量计算稿，无价材料的书面或电子询价资料，工程造价指标，成果文件应符合建设工程造价咨询成果文件质量标准 CECA/GC 7-2012及省、市、县对工程造价咨询成果文件等有关工程造价资料。</w:t>
      </w:r>
    </w:p>
    <w:p w14:paraId="707D0F31">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协助招标人做好招标答疑和核对工作。</w:t>
      </w:r>
    </w:p>
    <w:p w14:paraId="76D14759">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（4）清单编制</w:t>
      </w:r>
      <w:r>
        <w:rPr>
          <w:rFonts w:hint="eastAsia" w:asciiTheme="minorEastAsia" w:hAnsiTheme="minorEastAsia" w:eastAsiaTheme="minorEastAsia" w:cstheme="minorEastAsia"/>
          <w:color w:val="auto"/>
          <w:szCs w:val="21"/>
          <w:highlight w:val="none"/>
        </w:rPr>
        <w:t>完成后还须</w:t>
      </w:r>
      <w:r>
        <w:rPr>
          <w:rFonts w:hint="eastAsia" w:asciiTheme="minorEastAsia" w:hAnsiTheme="minorEastAsia" w:eastAsiaTheme="minorEastAsia" w:cstheme="minorEastAsia"/>
          <w:color w:val="auto"/>
          <w:szCs w:val="21"/>
          <w:highlight w:val="none"/>
          <w:lang w:val="en-US" w:eastAsia="zh-CN"/>
        </w:rPr>
        <w:t>做好</w:t>
      </w:r>
      <w:r>
        <w:rPr>
          <w:rFonts w:hint="eastAsia" w:asciiTheme="minorEastAsia" w:hAnsiTheme="minorEastAsia" w:eastAsiaTheme="minorEastAsia" w:cstheme="minorEastAsia"/>
          <w:color w:val="auto"/>
          <w:szCs w:val="21"/>
          <w:highlight w:val="none"/>
        </w:rPr>
        <w:t>宁海县政府投资项目评审中心另行安排的复核评审的配合工作。</w:t>
      </w:r>
    </w:p>
    <w:p w14:paraId="2FC348C7">
      <w:pPr>
        <w:spacing w:line="440" w:lineRule="exact"/>
        <w:ind w:firstLine="420" w:firstLineChars="200"/>
        <w:rPr>
          <w:rFonts w:hint="eastAsia" w:asciiTheme="minorEastAsia" w:hAnsiTheme="minorEastAsia" w:eastAsiaTheme="minorEastAsia" w:cstheme="minorEastAsia"/>
          <w:color w:val="auto"/>
          <w:szCs w:val="21"/>
          <w:highlight w:val="none"/>
        </w:rPr>
      </w:pPr>
      <w:bookmarkStart w:id="4" w:name="_Hlk111842701"/>
      <w:r>
        <w:rPr>
          <w:rFonts w:hint="eastAsia" w:asciiTheme="minorEastAsia" w:hAnsiTheme="minorEastAsia" w:eastAsiaTheme="minorEastAsia" w:cstheme="minorEastAsia"/>
          <w:color w:val="auto"/>
          <w:szCs w:val="21"/>
          <w:highlight w:val="none"/>
        </w:rPr>
        <w:t>★（三）最低人员要求：</w:t>
      </w:r>
    </w:p>
    <w:p w14:paraId="605C97B3">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1.招标代理：</w:t>
      </w:r>
    </w:p>
    <w:tbl>
      <w:tblPr>
        <w:tblStyle w:val="21"/>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41"/>
        <w:gridCol w:w="5105"/>
        <w:gridCol w:w="845"/>
      </w:tblGrid>
      <w:tr w14:paraId="0C1D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09" w:type="dxa"/>
            <w:noWrap w:val="0"/>
            <w:vAlign w:val="center"/>
          </w:tcPr>
          <w:p w14:paraId="250FC776">
            <w:pPr>
              <w:widowControl w:val="0"/>
              <w:adjustRightInd/>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1741" w:type="dxa"/>
            <w:noWrap w:val="0"/>
            <w:vAlign w:val="center"/>
          </w:tcPr>
          <w:p w14:paraId="729C23CD">
            <w:pPr>
              <w:widowControl w:val="0"/>
              <w:adjustRightInd/>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岗位</w:t>
            </w:r>
          </w:p>
        </w:tc>
        <w:tc>
          <w:tcPr>
            <w:tcW w:w="5105" w:type="dxa"/>
            <w:noWrap w:val="0"/>
            <w:vAlign w:val="center"/>
          </w:tcPr>
          <w:p w14:paraId="0E512F3E">
            <w:pPr>
              <w:widowControl w:val="0"/>
              <w:adjustRightInd/>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资格资历要求</w:t>
            </w:r>
          </w:p>
        </w:tc>
        <w:tc>
          <w:tcPr>
            <w:tcW w:w="845" w:type="dxa"/>
            <w:noWrap w:val="0"/>
            <w:vAlign w:val="center"/>
          </w:tcPr>
          <w:p w14:paraId="7E9D4CE8">
            <w:pPr>
              <w:widowControl w:val="0"/>
              <w:adjustRightInd/>
              <w:jc w:val="center"/>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数量</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人</w:t>
            </w:r>
            <w:r>
              <w:rPr>
                <w:rFonts w:hint="eastAsia" w:asciiTheme="minorEastAsia" w:hAnsiTheme="minorEastAsia" w:eastAsiaTheme="minorEastAsia" w:cstheme="minorEastAsia"/>
                <w:b/>
                <w:bCs/>
                <w:color w:val="auto"/>
                <w:sz w:val="21"/>
                <w:szCs w:val="21"/>
                <w:highlight w:val="none"/>
                <w:lang w:eastAsia="zh-CN"/>
              </w:rPr>
              <w:t>）</w:t>
            </w:r>
          </w:p>
        </w:tc>
      </w:tr>
      <w:tr w14:paraId="1646B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09" w:type="dxa"/>
            <w:noWrap w:val="0"/>
            <w:vAlign w:val="center"/>
          </w:tcPr>
          <w:p w14:paraId="52A5792D">
            <w:pPr>
              <w:widowControl w:val="0"/>
              <w:adjustRightInd/>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741" w:type="dxa"/>
            <w:noWrap w:val="0"/>
            <w:vAlign w:val="center"/>
          </w:tcPr>
          <w:p w14:paraId="4BB737A8">
            <w:pPr>
              <w:widowControl w:val="0"/>
              <w:adjustRightInd/>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项目负责人</w:t>
            </w:r>
          </w:p>
        </w:tc>
        <w:tc>
          <w:tcPr>
            <w:tcW w:w="5105" w:type="dxa"/>
            <w:noWrap w:val="0"/>
            <w:vAlign w:val="center"/>
          </w:tcPr>
          <w:p w14:paraId="408477DD">
            <w:pPr>
              <w:widowControl w:val="0"/>
              <w:adjustRightInd/>
              <w:spacing w:line="340" w:lineRule="exact"/>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pacing w:val="-6"/>
                <w:sz w:val="21"/>
                <w:szCs w:val="21"/>
                <w:highlight w:val="none"/>
              </w:rPr>
              <w:t>中级及以上技术职称（投标文件中提供相关证明材料）</w:t>
            </w:r>
          </w:p>
        </w:tc>
        <w:tc>
          <w:tcPr>
            <w:tcW w:w="845" w:type="dxa"/>
            <w:noWrap w:val="0"/>
            <w:vAlign w:val="center"/>
          </w:tcPr>
          <w:p w14:paraId="50B1901C">
            <w:pPr>
              <w:widowControl w:val="0"/>
              <w:adjustRightInd/>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w:t>
            </w:r>
          </w:p>
        </w:tc>
      </w:tr>
      <w:tr w14:paraId="4E2B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09" w:type="dxa"/>
            <w:noWrap w:val="0"/>
            <w:vAlign w:val="center"/>
          </w:tcPr>
          <w:p w14:paraId="6913B8F2">
            <w:pPr>
              <w:widowControl/>
              <w:adjustRightInd/>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c>
          <w:tcPr>
            <w:tcW w:w="1741" w:type="dxa"/>
            <w:noWrap w:val="0"/>
            <w:vAlign w:val="center"/>
          </w:tcPr>
          <w:p w14:paraId="24F84CB7">
            <w:pPr>
              <w:widowControl/>
              <w:adjustRightInd/>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招标代理服务人员小组</w:t>
            </w:r>
          </w:p>
        </w:tc>
        <w:tc>
          <w:tcPr>
            <w:tcW w:w="5105" w:type="dxa"/>
            <w:noWrap w:val="0"/>
            <w:vAlign w:val="center"/>
          </w:tcPr>
          <w:p w14:paraId="488D8620">
            <w:pPr>
              <w:widowControl/>
              <w:adjustRightInd/>
              <w:textAlignment w:val="center"/>
              <w:rPr>
                <w:rFonts w:hint="eastAsia" w:asciiTheme="minorEastAsia" w:hAnsiTheme="minorEastAsia" w:eastAsiaTheme="minorEastAsia" w:cstheme="minorEastAsia"/>
                <w:b/>
                <w:bCs/>
                <w:color w:val="auto"/>
                <w:spacing w:val="-6"/>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具有中级及以上技术职称人员不少于1人</w:t>
            </w:r>
            <w:r>
              <w:rPr>
                <w:rFonts w:hint="eastAsia" w:asciiTheme="minorEastAsia" w:hAnsiTheme="minorEastAsia" w:eastAsiaTheme="minorEastAsia" w:cstheme="minorEastAsia"/>
                <w:b/>
                <w:bCs/>
                <w:color w:val="auto"/>
                <w:spacing w:val="-6"/>
                <w:sz w:val="21"/>
                <w:szCs w:val="21"/>
                <w:highlight w:val="none"/>
              </w:rPr>
              <w:t>（投标文件中提供相关证明材料）</w:t>
            </w:r>
          </w:p>
        </w:tc>
        <w:tc>
          <w:tcPr>
            <w:tcW w:w="845" w:type="dxa"/>
            <w:noWrap w:val="0"/>
            <w:vAlign w:val="center"/>
          </w:tcPr>
          <w:p w14:paraId="673C1A82">
            <w:pPr>
              <w:widowControl/>
              <w:adjustRightInd/>
              <w:jc w:val="center"/>
              <w:textAlignment w:val="center"/>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lang w:val="en-US" w:eastAsia="zh-CN" w:bidi="ar"/>
              </w:rPr>
              <w:t>2</w:t>
            </w:r>
          </w:p>
        </w:tc>
      </w:tr>
    </w:tbl>
    <w:p w14:paraId="22FB0C8C">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2.工程量清单及招标控制价编制：</w:t>
      </w:r>
    </w:p>
    <w:tbl>
      <w:tblPr>
        <w:tblStyle w:val="21"/>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41"/>
        <w:gridCol w:w="5105"/>
        <w:gridCol w:w="845"/>
      </w:tblGrid>
      <w:tr w14:paraId="72DC4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09" w:type="dxa"/>
            <w:noWrap w:val="0"/>
            <w:vAlign w:val="center"/>
          </w:tcPr>
          <w:p w14:paraId="3E5FCCFC">
            <w:pPr>
              <w:widowControl w:val="0"/>
              <w:adjustRightInd/>
              <w:jc w:val="center"/>
              <w:rPr>
                <w:rFonts w:hint="eastAsia" w:asciiTheme="minorEastAsia" w:hAnsiTheme="minorEastAsia" w:eastAsiaTheme="minorEastAsia" w:cstheme="minorEastAsia"/>
                <w:b/>
                <w:bCs/>
                <w:color w:val="auto"/>
                <w:sz w:val="21"/>
                <w:szCs w:val="21"/>
                <w:highlight w:val="none"/>
              </w:rPr>
            </w:pPr>
            <w:bookmarkStart w:id="5" w:name="_Hlk111842654"/>
            <w:r>
              <w:rPr>
                <w:rFonts w:hint="eastAsia" w:asciiTheme="minorEastAsia" w:hAnsiTheme="minorEastAsia" w:eastAsiaTheme="minorEastAsia" w:cstheme="minorEastAsia"/>
                <w:b/>
                <w:bCs/>
                <w:color w:val="auto"/>
                <w:sz w:val="21"/>
                <w:szCs w:val="21"/>
                <w:highlight w:val="none"/>
              </w:rPr>
              <w:t>序号</w:t>
            </w:r>
          </w:p>
        </w:tc>
        <w:tc>
          <w:tcPr>
            <w:tcW w:w="1741" w:type="dxa"/>
            <w:noWrap w:val="0"/>
            <w:vAlign w:val="center"/>
          </w:tcPr>
          <w:p w14:paraId="6E142F02">
            <w:pPr>
              <w:widowControl w:val="0"/>
              <w:adjustRightInd/>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岗位</w:t>
            </w:r>
          </w:p>
        </w:tc>
        <w:tc>
          <w:tcPr>
            <w:tcW w:w="5105" w:type="dxa"/>
            <w:noWrap w:val="0"/>
            <w:vAlign w:val="center"/>
          </w:tcPr>
          <w:p w14:paraId="620866D7">
            <w:pPr>
              <w:widowControl w:val="0"/>
              <w:adjustRightInd/>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资格资历要求</w:t>
            </w:r>
          </w:p>
        </w:tc>
        <w:tc>
          <w:tcPr>
            <w:tcW w:w="845" w:type="dxa"/>
            <w:noWrap w:val="0"/>
            <w:vAlign w:val="center"/>
          </w:tcPr>
          <w:p w14:paraId="1DE75780">
            <w:pPr>
              <w:widowControl w:val="0"/>
              <w:adjustRightInd/>
              <w:jc w:val="center"/>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数量</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人</w:t>
            </w:r>
            <w:r>
              <w:rPr>
                <w:rFonts w:hint="eastAsia" w:asciiTheme="minorEastAsia" w:hAnsiTheme="minorEastAsia" w:eastAsiaTheme="minorEastAsia" w:cstheme="minorEastAsia"/>
                <w:b/>
                <w:bCs/>
                <w:color w:val="auto"/>
                <w:sz w:val="21"/>
                <w:szCs w:val="21"/>
                <w:highlight w:val="none"/>
                <w:lang w:eastAsia="zh-CN"/>
              </w:rPr>
              <w:t>）</w:t>
            </w:r>
          </w:p>
        </w:tc>
      </w:tr>
      <w:tr w14:paraId="031B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09" w:type="dxa"/>
            <w:noWrap w:val="0"/>
            <w:vAlign w:val="center"/>
          </w:tcPr>
          <w:p w14:paraId="43B09D56">
            <w:pPr>
              <w:widowControl w:val="0"/>
              <w:adjustRightInd/>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741" w:type="dxa"/>
            <w:noWrap w:val="0"/>
            <w:vAlign w:val="center"/>
          </w:tcPr>
          <w:p w14:paraId="14635979">
            <w:pPr>
              <w:widowControl w:val="0"/>
              <w:adjustRightInd/>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项目负责人</w:t>
            </w:r>
          </w:p>
        </w:tc>
        <w:tc>
          <w:tcPr>
            <w:tcW w:w="5105" w:type="dxa"/>
            <w:noWrap w:val="0"/>
            <w:vAlign w:val="center"/>
          </w:tcPr>
          <w:p w14:paraId="52A1B4F9">
            <w:pPr>
              <w:widowControl w:val="0"/>
              <w:adjustRightInd/>
              <w:spacing w:line="340" w:lineRule="exact"/>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pacing w:val="-6"/>
                <w:sz w:val="21"/>
                <w:szCs w:val="21"/>
                <w:highlight w:val="none"/>
              </w:rPr>
              <w:t>须具有</w:t>
            </w:r>
            <w:r>
              <w:rPr>
                <w:rFonts w:hint="eastAsia" w:asciiTheme="minorEastAsia" w:hAnsiTheme="minorEastAsia" w:eastAsiaTheme="minorEastAsia" w:cstheme="minorEastAsia"/>
                <w:b/>
                <w:bCs/>
                <w:color w:val="auto"/>
                <w:spacing w:val="-6"/>
                <w:sz w:val="21"/>
                <w:szCs w:val="21"/>
                <w:highlight w:val="none"/>
                <w:lang w:eastAsia="zh-CN"/>
              </w:rPr>
              <w:t>土建专业</w:t>
            </w:r>
            <w:r>
              <w:rPr>
                <w:rFonts w:hint="eastAsia" w:asciiTheme="minorEastAsia" w:hAnsiTheme="minorEastAsia" w:eastAsiaTheme="minorEastAsia" w:cstheme="minorEastAsia"/>
                <w:b/>
                <w:bCs/>
                <w:color w:val="auto"/>
                <w:spacing w:val="-6"/>
                <w:sz w:val="21"/>
                <w:szCs w:val="21"/>
                <w:highlight w:val="none"/>
              </w:rPr>
              <w:t>一级注册造价工程师资质证书</w:t>
            </w:r>
            <w:r>
              <w:rPr>
                <w:rFonts w:hint="eastAsia" w:asciiTheme="minorEastAsia" w:hAnsiTheme="minorEastAsia" w:eastAsiaTheme="minorEastAsia" w:cstheme="minorEastAsia"/>
                <w:b/>
                <w:bCs/>
                <w:color w:val="auto"/>
                <w:spacing w:val="-6"/>
                <w:sz w:val="21"/>
                <w:szCs w:val="21"/>
                <w:highlight w:val="none"/>
                <w:lang w:eastAsia="zh-CN"/>
              </w:rPr>
              <w:t>。要求自</w:t>
            </w:r>
            <w:r>
              <w:rPr>
                <w:rFonts w:hint="eastAsia" w:asciiTheme="minorEastAsia" w:hAnsiTheme="minorEastAsia" w:eastAsiaTheme="minorEastAsia" w:cstheme="minorEastAsia"/>
                <w:b/>
                <w:bCs/>
                <w:color w:val="auto"/>
                <w:spacing w:val="-6"/>
                <w:sz w:val="21"/>
                <w:szCs w:val="21"/>
                <w:highlight w:val="none"/>
                <w:lang w:val="en-US" w:eastAsia="zh-CN"/>
              </w:rPr>
              <w:t>2022年1月1日以来，</w:t>
            </w:r>
            <w:r>
              <w:rPr>
                <w:rFonts w:hint="eastAsia" w:asciiTheme="minorEastAsia" w:hAnsiTheme="minorEastAsia" w:eastAsiaTheme="minorEastAsia" w:cstheme="minorEastAsia"/>
                <w:b/>
                <w:bCs/>
                <w:color w:val="auto"/>
                <w:spacing w:val="-6"/>
                <w:sz w:val="21"/>
                <w:szCs w:val="21"/>
                <w:highlight w:val="none"/>
                <w:lang w:eastAsia="zh-CN"/>
              </w:rPr>
              <w:t>完成过（政府或国有投资项目）</w:t>
            </w:r>
            <w:r>
              <w:rPr>
                <w:rFonts w:hint="eastAsia" w:asciiTheme="minorEastAsia" w:hAnsiTheme="minorEastAsia" w:eastAsiaTheme="minorEastAsia" w:cstheme="minorEastAsia"/>
                <w:b/>
                <w:bCs/>
                <w:color w:val="auto"/>
                <w:spacing w:val="-6"/>
                <w:sz w:val="21"/>
                <w:szCs w:val="21"/>
                <w:highlight w:val="none"/>
                <w:lang w:val="en-US" w:eastAsia="zh-CN"/>
              </w:rPr>
              <w:t>新建或改建土建工程的</w:t>
            </w:r>
            <w:r>
              <w:rPr>
                <w:rFonts w:hint="eastAsia" w:asciiTheme="minorEastAsia" w:hAnsiTheme="minorEastAsia" w:eastAsiaTheme="minorEastAsia" w:cstheme="minorEastAsia"/>
                <w:b/>
                <w:bCs/>
                <w:color w:val="auto"/>
                <w:spacing w:val="-6"/>
                <w:sz w:val="21"/>
                <w:szCs w:val="21"/>
                <w:highlight w:val="none"/>
                <w:lang w:eastAsia="zh-CN"/>
              </w:rPr>
              <w:t>施工图预算（招标控制价或工程量清单预算）业务，并担任项目负责人。（投标文件中提供相关证明材料）</w:t>
            </w:r>
          </w:p>
        </w:tc>
        <w:tc>
          <w:tcPr>
            <w:tcW w:w="845" w:type="dxa"/>
            <w:noWrap w:val="0"/>
            <w:vAlign w:val="center"/>
          </w:tcPr>
          <w:p w14:paraId="388E84D6">
            <w:pPr>
              <w:widowControl w:val="0"/>
              <w:adjustRightInd/>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w:t>
            </w:r>
          </w:p>
        </w:tc>
      </w:tr>
      <w:tr w14:paraId="79BF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09" w:type="dxa"/>
            <w:vMerge w:val="restart"/>
            <w:noWrap w:val="0"/>
            <w:vAlign w:val="center"/>
          </w:tcPr>
          <w:p w14:paraId="74D1514E">
            <w:pPr>
              <w:widowControl/>
              <w:adjustRightInd/>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c>
          <w:tcPr>
            <w:tcW w:w="1741" w:type="dxa"/>
            <w:vMerge w:val="restart"/>
            <w:noWrap w:val="0"/>
            <w:vAlign w:val="center"/>
          </w:tcPr>
          <w:p w14:paraId="59C62374">
            <w:pPr>
              <w:widowControl/>
              <w:adjustRightInd/>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项目</w:t>
            </w:r>
            <w:r>
              <w:rPr>
                <w:rFonts w:hint="eastAsia" w:asciiTheme="minorEastAsia" w:hAnsiTheme="minorEastAsia" w:eastAsiaTheme="minorEastAsia" w:cstheme="minorEastAsia"/>
                <w:b/>
                <w:bCs/>
                <w:color w:val="auto"/>
                <w:kern w:val="0"/>
                <w:sz w:val="21"/>
                <w:szCs w:val="21"/>
                <w:highlight w:val="none"/>
                <w:lang w:val="en-US" w:eastAsia="zh-CN" w:bidi="ar"/>
              </w:rPr>
              <w:t>作业</w:t>
            </w:r>
            <w:r>
              <w:rPr>
                <w:rFonts w:hint="eastAsia" w:asciiTheme="minorEastAsia" w:hAnsiTheme="minorEastAsia" w:eastAsiaTheme="minorEastAsia" w:cstheme="minorEastAsia"/>
                <w:b/>
                <w:bCs/>
                <w:color w:val="auto"/>
                <w:kern w:val="0"/>
                <w:sz w:val="21"/>
                <w:szCs w:val="21"/>
                <w:highlight w:val="none"/>
                <w:lang w:bidi="ar"/>
              </w:rPr>
              <w:t>人员</w:t>
            </w:r>
          </w:p>
        </w:tc>
        <w:tc>
          <w:tcPr>
            <w:tcW w:w="5105" w:type="dxa"/>
            <w:noWrap w:val="0"/>
            <w:vAlign w:val="center"/>
          </w:tcPr>
          <w:p w14:paraId="6A0CD254">
            <w:pPr>
              <w:widowControl/>
              <w:adjustRightInd/>
              <w:textAlignment w:val="center"/>
              <w:rPr>
                <w:rFonts w:hint="eastAsia" w:asciiTheme="minorEastAsia" w:hAnsiTheme="minorEastAsia" w:eastAsiaTheme="minorEastAsia" w:cstheme="minorEastAsia"/>
                <w:b/>
                <w:bCs/>
                <w:color w:val="auto"/>
                <w:spacing w:val="-6"/>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须具有</w:t>
            </w:r>
            <w:r>
              <w:rPr>
                <w:rFonts w:hint="eastAsia" w:asciiTheme="minorEastAsia" w:hAnsiTheme="minorEastAsia" w:eastAsiaTheme="minorEastAsia" w:cstheme="minorEastAsia"/>
                <w:b/>
                <w:bCs/>
                <w:color w:val="auto"/>
                <w:kern w:val="0"/>
                <w:sz w:val="21"/>
                <w:szCs w:val="21"/>
                <w:highlight w:val="none"/>
                <w:lang w:eastAsia="zh-CN" w:bidi="ar"/>
              </w:rPr>
              <w:t>土建专业</w:t>
            </w:r>
            <w:r>
              <w:rPr>
                <w:rFonts w:hint="eastAsia" w:asciiTheme="minorEastAsia" w:hAnsiTheme="minorEastAsia" w:eastAsiaTheme="minorEastAsia" w:cstheme="minorEastAsia"/>
                <w:b/>
                <w:bCs/>
                <w:color w:val="auto"/>
                <w:spacing w:val="-6"/>
                <w:sz w:val="21"/>
                <w:szCs w:val="21"/>
                <w:highlight w:val="none"/>
              </w:rPr>
              <w:t>一级注册造价工程师</w:t>
            </w:r>
            <w:r>
              <w:rPr>
                <w:rFonts w:hint="eastAsia" w:asciiTheme="minorEastAsia" w:hAnsiTheme="minorEastAsia" w:eastAsiaTheme="minorEastAsia" w:cstheme="minorEastAsia"/>
                <w:b/>
                <w:bCs/>
                <w:color w:val="auto"/>
                <w:kern w:val="0"/>
                <w:sz w:val="21"/>
                <w:szCs w:val="21"/>
                <w:highlight w:val="none"/>
                <w:lang w:bidi="ar"/>
              </w:rPr>
              <w:t>资质证书</w:t>
            </w:r>
            <w:r>
              <w:rPr>
                <w:rFonts w:hint="eastAsia" w:asciiTheme="minorEastAsia" w:hAnsiTheme="minorEastAsia" w:eastAsiaTheme="minorEastAsia" w:cstheme="minorEastAsia"/>
                <w:b/>
                <w:bCs/>
                <w:color w:val="auto"/>
                <w:kern w:val="0"/>
                <w:sz w:val="21"/>
                <w:szCs w:val="21"/>
                <w:highlight w:val="none"/>
                <w:lang w:eastAsia="zh-CN" w:bidi="ar"/>
              </w:rPr>
              <w:t>。</w:t>
            </w:r>
            <w:r>
              <w:rPr>
                <w:rFonts w:hint="eastAsia" w:asciiTheme="minorEastAsia" w:hAnsiTheme="minorEastAsia" w:eastAsiaTheme="minorEastAsia" w:cstheme="minorEastAsia"/>
                <w:b/>
                <w:bCs/>
                <w:color w:val="auto"/>
                <w:spacing w:val="-6"/>
                <w:sz w:val="21"/>
                <w:szCs w:val="21"/>
                <w:highlight w:val="none"/>
                <w:lang w:eastAsia="zh-CN"/>
              </w:rPr>
              <w:t>（投标文件中提供相关证明材料）</w:t>
            </w:r>
          </w:p>
        </w:tc>
        <w:tc>
          <w:tcPr>
            <w:tcW w:w="845" w:type="dxa"/>
            <w:noWrap w:val="0"/>
            <w:vAlign w:val="center"/>
          </w:tcPr>
          <w:p w14:paraId="1D745C77">
            <w:pPr>
              <w:widowControl/>
              <w:adjustRightInd/>
              <w:jc w:val="center"/>
              <w:textAlignment w:val="center"/>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lang w:val="en-US" w:eastAsia="zh-CN" w:bidi="ar"/>
              </w:rPr>
              <w:t>1</w:t>
            </w:r>
          </w:p>
        </w:tc>
      </w:tr>
      <w:tr w14:paraId="62F2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09" w:type="dxa"/>
            <w:vMerge w:val="continue"/>
            <w:noWrap w:val="0"/>
            <w:vAlign w:val="center"/>
          </w:tcPr>
          <w:p w14:paraId="0AD470E1">
            <w:pPr>
              <w:widowControl w:val="0"/>
              <w:adjustRightInd/>
              <w:jc w:val="center"/>
              <w:rPr>
                <w:rFonts w:hint="eastAsia" w:asciiTheme="minorEastAsia" w:hAnsiTheme="minorEastAsia" w:eastAsiaTheme="minorEastAsia" w:cstheme="minorEastAsia"/>
                <w:color w:val="auto"/>
                <w:sz w:val="21"/>
                <w:szCs w:val="21"/>
                <w:highlight w:val="none"/>
              </w:rPr>
            </w:pPr>
          </w:p>
        </w:tc>
        <w:tc>
          <w:tcPr>
            <w:tcW w:w="1741" w:type="dxa"/>
            <w:vMerge w:val="continue"/>
            <w:noWrap w:val="0"/>
            <w:vAlign w:val="center"/>
          </w:tcPr>
          <w:p w14:paraId="6232DC79">
            <w:pPr>
              <w:widowControl/>
              <w:adjustRightInd/>
              <w:jc w:val="center"/>
              <w:textAlignment w:val="center"/>
              <w:rPr>
                <w:rFonts w:hint="eastAsia" w:asciiTheme="minorEastAsia" w:hAnsiTheme="minorEastAsia" w:eastAsiaTheme="minorEastAsia" w:cstheme="minorEastAsia"/>
                <w:b/>
                <w:bCs/>
                <w:color w:val="auto"/>
                <w:sz w:val="21"/>
                <w:szCs w:val="21"/>
                <w:highlight w:val="none"/>
              </w:rPr>
            </w:pPr>
          </w:p>
        </w:tc>
        <w:tc>
          <w:tcPr>
            <w:tcW w:w="5105" w:type="dxa"/>
            <w:noWrap w:val="0"/>
            <w:vAlign w:val="center"/>
          </w:tcPr>
          <w:p w14:paraId="4F45D334">
            <w:pPr>
              <w:widowControl/>
              <w:adjustRightInd/>
              <w:textAlignment w:val="center"/>
              <w:rPr>
                <w:rFonts w:hint="eastAsia" w:asciiTheme="minorEastAsia" w:hAnsiTheme="minorEastAsia" w:eastAsiaTheme="minorEastAsia" w:cstheme="minorEastAsia"/>
                <w:b/>
                <w:bCs/>
                <w:color w:val="auto"/>
                <w:spacing w:val="-6"/>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须具有</w:t>
            </w:r>
            <w:r>
              <w:rPr>
                <w:rFonts w:hint="eastAsia" w:asciiTheme="minorEastAsia" w:hAnsiTheme="minorEastAsia" w:eastAsiaTheme="minorEastAsia" w:cstheme="minorEastAsia"/>
                <w:b/>
                <w:bCs/>
                <w:color w:val="auto"/>
                <w:kern w:val="0"/>
                <w:sz w:val="21"/>
                <w:szCs w:val="21"/>
                <w:highlight w:val="none"/>
                <w:lang w:val="en-US" w:eastAsia="zh-CN" w:bidi="ar"/>
              </w:rPr>
              <w:t>安装</w:t>
            </w:r>
            <w:r>
              <w:rPr>
                <w:rFonts w:hint="eastAsia" w:asciiTheme="minorEastAsia" w:hAnsiTheme="minorEastAsia" w:eastAsiaTheme="minorEastAsia" w:cstheme="minorEastAsia"/>
                <w:b/>
                <w:bCs/>
                <w:color w:val="auto"/>
                <w:kern w:val="0"/>
                <w:sz w:val="21"/>
                <w:szCs w:val="21"/>
                <w:highlight w:val="none"/>
                <w:lang w:eastAsia="zh-CN" w:bidi="ar"/>
              </w:rPr>
              <w:t>专业</w:t>
            </w:r>
            <w:r>
              <w:rPr>
                <w:rFonts w:hint="eastAsia" w:asciiTheme="minorEastAsia" w:hAnsiTheme="minorEastAsia" w:eastAsiaTheme="minorEastAsia" w:cstheme="minorEastAsia"/>
                <w:b/>
                <w:bCs/>
                <w:color w:val="auto"/>
                <w:spacing w:val="-6"/>
                <w:sz w:val="21"/>
                <w:szCs w:val="21"/>
                <w:highlight w:val="none"/>
              </w:rPr>
              <w:t>一级注册造价工程师</w:t>
            </w:r>
            <w:r>
              <w:rPr>
                <w:rFonts w:hint="eastAsia" w:asciiTheme="minorEastAsia" w:hAnsiTheme="minorEastAsia" w:eastAsiaTheme="minorEastAsia" w:cstheme="minorEastAsia"/>
                <w:b/>
                <w:bCs/>
                <w:color w:val="auto"/>
                <w:kern w:val="0"/>
                <w:sz w:val="21"/>
                <w:szCs w:val="21"/>
                <w:highlight w:val="none"/>
                <w:lang w:bidi="ar"/>
              </w:rPr>
              <w:t>资质证书</w:t>
            </w:r>
            <w:r>
              <w:rPr>
                <w:rFonts w:hint="eastAsia" w:asciiTheme="minorEastAsia" w:hAnsiTheme="minorEastAsia" w:eastAsiaTheme="minorEastAsia" w:cstheme="minorEastAsia"/>
                <w:b/>
                <w:bCs/>
                <w:color w:val="auto"/>
                <w:kern w:val="0"/>
                <w:sz w:val="21"/>
                <w:szCs w:val="21"/>
                <w:highlight w:val="none"/>
                <w:lang w:eastAsia="zh-CN" w:bidi="ar"/>
              </w:rPr>
              <w:t>。</w:t>
            </w:r>
            <w:r>
              <w:rPr>
                <w:rFonts w:hint="eastAsia" w:asciiTheme="minorEastAsia" w:hAnsiTheme="minorEastAsia" w:eastAsiaTheme="minorEastAsia" w:cstheme="minorEastAsia"/>
                <w:b/>
                <w:bCs/>
                <w:color w:val="auto"/>
                <w:spacing w:val="-6"/>
                <w:sz w:val="21"/>
                <w:szCs w:val="21"/>
                <w:highlight w:val="none"/>
                <w:lang w:eastAsia="zh-CN"/>
              </w:rPr>
              <w:t>（投标文件中提供相关证明材料）</w:t>
            </w:r>
          </w:p>
        </w:tc>
        <w:tc>
          <w:tcPr>
            <w:tcW w:w="845" w:type="dxa"/>
            <w:noWrap w:val="0"/>
            <w:vAlign w:val="center"/>
          </w:tcPr>
          <w:p w14:paraId="41BCC496">
            <w:pPr>
              <w:widowControl/>
              <w:adjustRightInd/>
              <w:jc w:val="center"/>
              <w:textAlignment w:val="center"/>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w:t>
            </w:r>
          </w:p>
        </w:tc>
      </w:tr>
      <w:tr w14:paraId="2548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09" w:type="dxa"/>
            <w:noWrap w:val="0"/>
            <w:vAlign w:val="center"/>
          </w:tcPr>
          <w:p w14:paraId="6CFACD5E">
            <w:pPr>
              <w:widowControl w:val="0"/>
              <w:adjustRightInd/>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1741" w:type="dxa"/>
            <w:noWrap w:val="0"/>
            <w:vAlign w:val="center"/>
          </w:tcPr>
          <w:p w14:paraId="121B81F2">
            <w:pPr>
              <w:widowControl/>
              <w:adjustRightInd/>
              <w:jc w:val="center"/>
              <w:textAlignment w:val="center"/>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项目审定人员</w:t>
            </w:r>
          </w:p>
        </w:tc>
        <w:tc>
          <w:tcPr>
            <w:tcW w:w="5105" w:type="dxa"/>
            <w:noWrap w:val="0"/>
            <w:vAlign w:val="center"/>
          </w:tcPr>
          <w:p w14:paraId="50BF16AD">
            <w:pPr>
              <w:widowControl/>
              <w:adjustRightInd/>
              <w:textAlignment w:val="center"/>
              <w:rPr>
                <w:rFonts w:hint="eastAsia" w:asciiTheme="minorEastAsia" w:hAnsiTheme="minorEastAsia" w:eastAsiaTheme="minorEastAsia" w:cstheme="minorEastAsia"/>
                <w:b/>
                <w:bCs/>
                <w:color w:val="auto"/>
                <w:kern w:val="0"/>
                <w:sz w:val="21"/>
                <w:szCs w:val="21"/>
                <w:highlight w:val="none"/>
                <w:lang w:eastAsia="zh-CN" w:bidi="ar"/>
              </w:rPr>
            </w:pPr>
            <w:r>
              <w:rPr>
                <w:rFonts w:hint="eastAsia" w:asciiTheme="minorEastAsia" w:hAnsiTheme="minorEastAsia" w:eastAsiaTheme="minorEastAsia" w:cstheme="minorEastAsia"/>
                <w:b/>
                <w:bCs/>
                <w:sz w:val="21"/>
                <w:szCs w:val="21"/>
                <w:highlight w:val="none"/>
                <w:lang w:val="en-US" w:eastAsia="zh-CN" w:bidi="ar"/>
              </w:rPr>
              <w:t>须具有一级注册造价师资格和高级职称，且为单位技术负责人，审定人员不得兼负责人及作业人员。</w:t>
            </w:r>
            <w:r>
              <w:rPr>
                <w:rFonts w:hint="eastAsia" w:asciiTheme="minorEastAsia" w:hAnsiTheme="minorEastAsia" w:eastAsiaTheme="minorEastAsia" w:cstheme="minorEastAsia"/>
                <w:b/>
                <w:bCs/>
                <w:color w:val="auto"/>
                <w:spacing w:val="-6"/>
                <w:sz w:val="21"/>
                <w:szCs w:val="21"/>
                <w:highlight w:val="none"/>
                <w:lang w:eastAsia="zh-CN"/>
              </w:rPr>
              <w:t>（投标文件中提供相关证明材料，</w:t>
            </w:r>
            <w:r>
              <w:rPr>
                <w:rFonts w:hint="eastAsia" w:asciiTheme="minorEastAsia" w:hAnsiTheme="minorEastAsia" w:eastAsiaTheme="minorEastAsia" w:cstheme="minorEastAsia"/>
                <w:b/>
                <w:bCs/>
                <w:color w:val="auto"/>
                <w:spacing w:val="-6"/>
                <w:sz w:val="21"/>
                <w:szCs w:val="21"/>
                <w:highlight w:val="none"/>
                <w:lang w:val="en-US" w:eastAsia="zh-CN"/>
              </w:rPr>
              <w:t>须出具技术负责人委任书或相关证明</w:t>
            </w:r>
            <w:r>
              <w:rPr>
                <w:rFonts w:hint="eastAsia" w:asciiTheme="minorEastAsia" w:hAnsiTheme="minorEastAsia" w:eastAsiaTheme="minorEastAsia" w:cstheme="minorEastAsia"/>
                <w:b/>
                <w:bCs/>
                <w:color w:val="auto"/>
                <w:spacing w:val="-6"/>
                <w:sz w:val="21"/>
                <w:szCs w:val="21"/>
                <w:highlight w:val="none"/>
                <w:lang w:eastAsia="zh-CN"/>
              </w:rPr>
              <w:t>）</w:t>
            </w:r>
          </w:p>
        </w:tc>
        <w:tc>
          <w:tcPr>
            <w:tcW w:w="845" w:type="dxa"/>
            <w:noWrap w:val="0"/>
            <w:vAlign w:val="center"/>
          </w:tcPr>
          <w:p w14:paraId="52093A1A">
            <w:pPr>
              <w:widowControl/>
              <w:adjustRightInd/>
              <w:jc w:val="center"/>
              <w:textAlignment w:val="center"/>
              <w:rPr>
                <w:rFonts w:hint="eastAsia" w:asciiTheme="minorEastAsia" w:hAnsiTheme="minorEastAsia" w:eastAsiaTheme="minorEastAsia" w:cstheme="minorEastAsia"/>
                <w:b/>
                <w:bCs/>
                <w:color w:val="auto"/>
                <w:kern w:val="0"/>
                <w:sz w:val="21"/>
                <w:szCs w:val="21"/>
                <w:highlight w:val="none"/>
                <w:lang w:val="en-US" w:eastAsia="zh-CN" w:bidi="ar"/>
              </w:rPr>
            </w:pPr>
            <w:r>
              <w:rPr>
                <w:rFonts w:hint="eastAsia" w:asciiTheme="minorEastAsia" w:hAnsiTheme="minorEastAsia" w:eastAsiaTheme="minorEastAsia" w:cstheme="minorEastAsia"/>
                <w:b/>
                <w:bCs/>
                <w:color w:val="auto"/>
                <w:kern w:val="0"/>
                <w:sz w:val="21"/>
                <w:szCs w:val="21"/>
                <w:highlight w:val="none"/>
                <w:lang w:val="en-US" w:eastAsia="zh-CN" w:bidi="ar"/>
              </w:rPr>
              <w:t>1</w:t>
            </w:r>
          </w:p>
        </w:tc>
      </w:tr>
      <w:bookmarkEnd w:id="4"/>
      <w:bookmarkEnd w:id="5"/>
    </w:tbl>
    <w:p w14:paraId="76494ECF">
      <w:pPr>
        <w:numPr>
          <w:ilvl w:val="0"/>
          <w:numId w:val="3"/>
        </w:numPr>
        <w:spacing w:line="44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未经招标人同意不得更换成员名单，招标代理项目负责人与工程量清单及招标控制价编制负责人不得为同一人，投标人及其拟派的项目负责人不得有被相关行政部门限制在宁波行政区域内投标的违法行为记录，且在处罚有效期内。</w:t>
      </w:r>
    </w:p>
    <w:p w14:paraId="11046FFE">
      <w:pPr>
        <w:spacing w:line="440" w:lineRule="exact"/>
        <w:ind w:firstLine="422"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注：</w:t>
      </w:r>
      <w:r>
        <w:rPr>
          <w:rFonts w:hint="eastAsia" w:asciiTheme="minorEastAsia" w:hAnsiTheme="minorEastAsia" w:eastAsiaTheme="minorEastAsia" w:cstheme="minorEastAsia"/>
          <w:b/>
          <w:bCs/>
          <w:color w:val="auto"/>
          <w:szCs w:val="21"/>
          <w:highlight w:val="none"/>
          <w:u w:val="single"/>
        </w:rPr>
        <w:t>请投标人在投标文件中提供上述人员的技术职称证书和执业资格证明文件复印件，以及投标人为上述人员缴纳的近开标日3个月任意一个月的有效社保证明复印件。若</w:t>
      </w:r>
      <w:r>
        <w:rPr>
          <w:rFonts w:hint="eastAsia" w:asciiTheme="minorEastAsia" w:hAnsiTheme="minorEastAsia" w:eastAsiaTheme="minorEastAsia" w:cstheme="minorEastAsia"/>
          <w:b/>
          <w:bCs/>
          <w:color w:val="auto"/>
          <w:szCs w:val="21"/>
          <w:highlight w:val="none"/>
          <w:u w:val="single"/>
          <w:lang w:eastAsia="zh-CN"/>
        </w:rPr>
        <w:t>投入</w:t>
      </w:r>
      <w:r>
        <w:rPr>
          <w:rFonts w:hint="eastAsia" w:asciiTheme="minorEastAsia" w:hAnsiTheme="minorEastAsia" w:eastAsiaTheme="minorEastAsia" w:cstheme="minorEastAsia"/>
          <w:b/>
          <w:bCs/>
          <w:color w:val="auto"/>
          <w:szCs w:val="21"/>
          <w:highlight w:val="none"/>
          <w:u w:val="single"/>
        </w:rPr>
        <w:t>人员已退休，无需提供社保证明材料，但需提供退休证明及返聘证明</w:t>
      </w:r>
      <w:r>
        <w:rPr>
          <w:rFonts w:hint="eastAsia" w:asciiTheme="minorEastAsia" w:hAnsiTheme="minorEastAsia" w:eastAsiaTheme="minorEastAsia" w:cstheme="minorEastAsia"/>
          <w:b/>
          <w:bCs/>
          <w:color w:val="auto"/>
          <w:szCs w:val="21"/>
          <w:highlight w:val="none"/>
          <w:u w:val="single"/>
          <w:lang w:eastAsia="zh-CN"/>
        </w:rPr>
        <w:t>，返聘时间不小于开标前三个月及以上，返聘人员的比例不得超总服务团队人数的</w:t>
      </w:r>
      <w:r>
        <w:rPr>
          <w:rFonts w:hint="eastAsia" w:asciiTheme="minorEastAsia" w:hAnsiTheme="minorEastAsia" w:eastAsiaTheme="minorEastAsia" w:cstheme="minorEastAsia"/>
          <w:b/>
          <w:bCs/>
          <w:color w:val="auto"/>
          <w:szCs w:val="21"/>
          <w:highlight w:val="none"/>
          <w:u w:val="single"/>
          <w:lang w:val="en-US" w:eastAsia="zh-CN"/>
        </w:rPr>
        <w:t>30%。</w:t>
      </w:r>
    </w:p>
    <w:p w14:paraId="73FA2E8F">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（四）付款方式</w:t>
      </w:r>
    </w:p>
    <w:p w14:paraId="52AC00B8">
      <w:pPr>
        <w:spacing w:line="44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eastAsia="zh-CN"/>
        </w:rPr>
        <w:t>招标代理</w:t>
      </w:r>
      <w:r>
        <w:rPr>
          <w:rFonts w:hint="eastAsia" w:asciiTheme="minorEastAsia" w:hAnsiTheme="minorEastAsia" w:eastAsiaTheme="minorEastAsia" w:cstheme="minorEastAsia"/>
          <w:color w:val="auto"/>
          <w:szCs w:val="21"/>
          <w:highlight w:val="none"/>
          <w:lang w:val="en-US" w:eastAsia="zh-CN"/>
        </w:rPr>
        <w:t>和</w:t>
      </w:r>
      <w:r>
        <w:rPr>
          <w:rFonts w:hint="eastAsia" w:asciiTheme="minorEastAsia" w:hAnsiTheme="minorEastAsia" w:eastAsiaTheme="minorEastAsia" w:cstheme="minorEastAsia"/>
          <w:color w:val="auto"/>
          <w:szCs w:val="21"/>
          <w:highlight w:val="none"/>
          <w:lang w:eastAsia="zh-CN"/>
        </w:rPr>
        <w:t>工程量清单及招标控制价编制</w:t>
      </w:r>
      <w:r>
        <w:rPr>
          <w:rFonts w:hint="eastAsia" w:asciiTheme="minorEastAsia" w:hAnsiTheme="minorEastAsia" w:eastAsiaTheme="minorEastAsia" w:cstheme="minorEastAsia"/>
          <w:color w:val="auto"/>
          <w:szCs w:val="21"/>
          <w:highlight w:val="none"/>
        </w:rPr>
        <w:t>的支付方式。</w:t>
      </w:r>
    </w:p>
    <w:tbl>
      <w:tblPr>
        <w:tblStyle w:val="21"/>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108" w:type="dxa"/>
          <w:bottom w:w="28" w:type="dxa"/>
          <w:right w:w="108" w:type="dxa"/>
        </w:tblCellMar>
      </w:tblPr>
      <w:tblGrid>
        <w:gridCol w:w="1994"/>
        <w:gridCol w:w="4745"/>
        <w:gridCol w:w="2225"/>
      </w:tblGrid>
      <w:tr w14:paraId="4DB47F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397" w:hRule="atLeast"/>
        </w:trPr>
        <w:tc>
          <w:tcPr>
            <w:tcW w:w="1994" w:type="dxa"/>
            <w:vAlign w:val="center"/>
          </w:tcPr>
          <w:p w14:paraId="674CAA4E">
            <w:pPr>
              <w:spacing w:line="440" w:lineRule="exact"/>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服务类别</w:t>
            </w:r>
          </w:p>
        </w:tc>
        <w:tc>
          <w:tcPr>
            <w:tcW w:w="4745" w:type="dxa"/>
            <w:vAlign w:val="center"/>
          </w:tcPr>
          <w:p w14:paraId="26AEBD48">
            <w:pPr>
              <w:spacing w:line="440" w:lineRule="exact"/>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支付时间</w:t>
            </w:r>
          </w:p>
        </w:tc>
        <w:tc>
          <w:tcPr>
            <w:tcW w:w="2225" w:type="dxa"/>
            <w:vAlign w:val="center"/>
          </w:tcPr>
          <w:p w14:paraId="2AEA8617">
            <w:pPr>
              <w:spacing w:line="440" w:lineRule="exact"/>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支付比例</w:t>
            </w:r>
          </w:p>
        </w:tc>
      </w:tr>
      <w:tr w14:paraId="7B7402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1678" w:hRule="atLeast"/>
        </w:trPr>
        <w:tc>
          <w:tcPr>
            <w:tcW w:w="1994" w:type="dxa"/>
            <w:vAlign w:val="center"/>
          </w:tcPr>
          <w:p w14:paraId="0D8D1266">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招标代理</w:t>
            </w:r>
            <w:r>
              <w:rPr>
                <w:rFonts w:hint="eastAsia" w:asciiTheme="minorEastAsia" w:hAnsiTheme="minorEastAsia" w:eastAsiaTheme="minorEastAsia" w:cstheme="minorEastAsia"/>
                <w:color w:val="auto"/>
                <w:szCs w:val="21"/>
                <w:highlight w:val="none"/>
                <w:lang w:eastAsia="zh-CN"/>
              </w:rPr>
              <w:t>和</w:t>
            </w:r>
            <w:r>
              <w:rPr>
                <w:rFonts w:hint="eastAsia" w:asciiTheme="minorEastAsia" w:hAnsiTheme="minorEastAsia" w:eastAsiaTheme="minorEastAsia" w:cstheme="minorEastAsia"/>
                <w:color w:val="auto"/>
                <w:szCs w:val="21"/>
                <w:highlight w:val="none"/>
              </w:rPr>
              <w:t>工程量清单及招标控制价编制服务费</w:t>
            </w:r>
          </w:p>
        </w:tc>
        <w:tc>
          <w:tcPr>
            <w:tcW w:w="4745" w:type="dxa"/>
            <w:vAlign w:val="center"/>
          </w:tcPr>
          <w:p w14:paraId="7E9C44A8">
            <w:pPr>
              <w:spacing w:line="440" w:lineRule="exact"/>
              <w:ind w:firstLine="420" w:firstLineChars="200"/>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Cs w:val="21"/>
                <w:highlight w:val="none"/>
              </w:rPr>
              <w:t>招标人在招标项目中标通知书发出且与该项目的中标人签订合同后</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由咨询人上报支付服务费申请并提供增值税专用发票，经委托人审核后30日内支付。</w:t>
            </w:r>
          </w:p>
        </w:tc>
        <w:tc>
          <w:tcPr>
            <w:tcW w:w="2225" w:type="dxa"/>
            <w:vAlign w:val="center"/>
          </w:tcPr>
          <w:p w14:paraId="378E16CD">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招标人</w:t>
            </w:r>
            <w:r>
              <w:rPr>
                <w:rFonts w:hint="eastAsia" w:asciiTheme="minorEastAsia" w:hAnsiTheme="minorEastAsia" w:eastAsiaTheme="minorEastAsia" w:cstheme="minorEastAsia"/>
                <w:color w:val="auto"/>
                <w:szCs w:val="21"/>
                <w:highlight w:val="none"/>
                <w:lang w:val="en-US" w:eastAsia="zh-CN"/>
              </w:rPr>
              <w:t>支付至最终确定价格的100%</w:t>
            </w:r>
          </w:p>
        </w:tc>
      </w:tr>
    </w:tbl>
    <w:p w14:paraId="16E72E8D">
      <w:pPr>
        <w:spacing w:line="440" w:lineRule="exact"/>
        <w:rPr>
          <w:rFonts w:hint="eastAsia" w:asciiTheme="minorEastAsia" w:hAnsiTheme="minorEastAsia" w:eastAsiaTheme="minorEastAsia" w:cstheme="minorEastAsia"/>
          <w:b/>
          <w:bCs/>
          <w:color w:val="auto"/>
          <w:szCs w:val="21"/>
          <w:highlight w:val="none"/>
        </w:rPr>
        <w:sectPr>
          <w:footerReference r:id="rId10" w:type="first"/>
          <w:footerReference r:id="rId9" w:type="default"/>
          <w:pgSz w:w="11906" w:h="16838"/>
          <w:pgMar w:top="1440" w:right="1440" w:bottom="1440" w:left="1610" w:header="851" w:footer="992" w:gutter="0"/>
          <w:cols w:space="720" w:num="1"/>
          <w:titlePg/>
          <w:docGrid w:type="lines" w:linePitch="312" w:charSpace="0"/>
        </w:sectPr>
      </w:pPr>
    </w:p>
    <w:p w14:paraId="3C0DCC1F">
      <w:pPr>
        <w:spacing w:line="440" w:lineRule="exact"/>
        <w:ind w:firstLine="42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标项二：施工阶段全过程工程造价控制</w:t>
      </w:r>
      <w:r>
        <w:rPr>
          <w:rFonts w:hint="eastAsia" w:asciiTheme="minorEastAsia" w:hAnsiTheme="minorEastAsia" w:eastAsiaTheme="minorEastAsia" w:cstheme="minorEastAsia"/>
          <w:b/>
          <w:bCs/>
          <w:color w:val="auto"/>
          <w:szCs w:val="21"/>
          <w:highlight w:val="none"/>
          <w:lang w:eastAsia="zh-CN"/>
        </w:rPr>
        <w:t>和</w:t>
      </w:r>
      <w:r>
        <w:rPr>
          <w:rFonts w:hint="eastAsia" w:asciiTheme="minorEastAsia" w:hAnsiTheme="minorEastAsia" w:eastAsiaTheme="minorEastAsia" w:cstheme="minorEastAsia"/>
          <w:b/>
          <w:bCs/>
          <w:color w:val="auto"/>
          <w:szCs w:val="21"/>
          <w:highlight w:val="none"/>
        </w:rPr>
        <w:t>工程结算审核</w:t>
      </w:r>
    </w:p>
    <w:p w14:paraId="2AFC0F89">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（一）主要工作内容：</w:t>
      </w:r>
    </w:p>
    <w:p w14:paraId="05035AFE">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bookmarkStart w:id="6" w:name="_Hlk137224147"/>
      <w:r>
        <w:rPr>
          <w:rFonts w:hint="eastAsia" w:asciiTheme="minorEastAsia" w:hAnsiTheme="minorEastAsia" w:eastAsiaTheme="minorEastAsia" w:cstheme="minorEastAsia"/>
          <w:color w:val="auto"/>
          <w:szCs w:val="21"/>
          <w:highlight w:val="none"/>
        </w:rPr>
        <w:t>施工阶段全过程工程造价控制</w:t>
      </w:r>
      <w:bookmarkEnd w:id="6"/>
      <w:r>
        <w:rPr>
          <w:rFonts w:hint="eastAsia" w:asciiTheme="minorEastAsia" w:hAnsiTheme="minorEastAsia" w:eastAsiaTheme="minorEastAsia" w:cstheme="minorEastAsia"/>
          <w:color w:val="auto"/>
          <w:szCs w:val="21"/>
          <w:highlight w:val="none"/>
        </w:rPr>
        <w:t>（含跟踪审计</w:t>
      </w:r>
      <w:r>
        <w:rPr>
          <w:rFonts w:hint="eastAsia" w:asciiTheme="minorEastAsia" w:hAnsiTheme="minorEastAsia" w:eastAsiaTheme="minorEastAsia" w:cstheme="minorEastAsia"/>
          <w:color w:val="auto"/>
          <w:szCs w:val="21"/>
          <w:highlight w:val="none"/>
          <w:lang w:eastAsia="zh-CN"/>
        </w:rPr>
        <w:t>、不含工程量清单及招标控制价编制</w:t>
      </w:r>
      <w:r>
        <w:rPr>
          <w:rFonts w:hint="eastAsia" w:asciiTheme="minorEastAsia" w:hAnsiTheme="minorEastAsia" w:eastAsiaTheme="minorEastAsia" w:cstheme="minorEastAsia"/>
          <w:color w:val="auto"/>
          <w:szCs w:val="21"/>
          <w:highlight w:val="none"/>
        </w:rPr>
        <w:t>）服务内容：</w:t>
      </w:r>
    </w:p>
    <w:p w14:paraId="01E47587">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（1）跟踪审计服务内容：</w:t>
      </w:r>
    </w:p>
    <w:p w14:paraId="0A22077D">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①评审招标人项目造价管理、设计变更管理情况，参与并督促招标人建立和完善各种内部管理制度。</w:t>
      </w:r>
    </w:p>
    <w:p w14:paraId="349D4C21">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②施工阶段全过程工程造价控制</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包括施工过程中设计变更和工程签证等过程跟踪计量及造价审核，对工程设计、施工方案的经济合理性提出优化建议，参与建设单位工程例会以及项目协调会，对建设单位需报审的暂定价、专项方案、二次设计方案等造价进行审核，负责对施工单位报送的每期完成进度款月报表进行审核</w:t>
      </w:r>
      <w:r>
        <w:rPr>
          <w:rFonts w:hint="eastAsia" w:asciiTheme="minorEastAsia" w:hAnsiTheme="minorEastAsia" w:eastAsiaTheme="minorEastAsia" w:cstheme="minorEastAsia"/>
          <w:color w:val="auto"/>
          <w:szCs w:val="21"/>
          <w:highlight w:val="none"/>
          <w:lang w:eastAsia="zh-CN"/>
        </w:rPr>
        <w:t>，协助招标人进行前期及零星工程预、结算审核，协助招标人对上报结算初审资料（含设备采购）进行复核把关及完成招标人交办的其他涉及造价咨询的相关工作，出具报告并配合招标人完成其他相关工作</w:t>
      </w:r>
      <w:r>
        <w:rPr>
          <w:rFonts w:hint="eastAsia" w:asciiTheme="minorEastAsia" w:hAnsiTheme="minorEastAsia" w:eastAsiaTheme="minorEastAsia" w:cstheme="minorEastAsia"/>
          <w:color w:val="auto"/>
          <w:szCs w:val="21"/>
          <w:highlight w:val="none"/>
        </w:rPr>
        <w:t>。</w:t>
      </w:r>
    </w:p>
    <w:p w14:paraId="08537AC6">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③派驻专业人员进驻工地现场，对工程造价与投资进行动态控制与监督。</w:t>
      </w:r>
    </w:p>
    <w:p w14:paraId="4AF8A368">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④为招标人提供与造价控制相关的人工、材料、设备等造价信息和基本建设法律、法规、政策、制度方面的咨询服务，协助招标人处理工程造价纠纷、合同纠纷。</w:t>
      </w:r>
    </w:p>
    <w:p w14:paraId="52E82BBB">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⑤承包人提出索赔时，根据合同和有关法律、法规，提供咨询意见，审核索赔费用。</w:t>
      </w:r>
    </w:p>
    <w:p w14:paraId="72E155F1">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⑥招标人认为涉及项目建设和造价控制的其他工作。</w:t>
      </w:r>
    </w:p>
    <w:p w14:paraId="6C0453D6">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2.结算审核工作</w:t>
      </w:r>
    </w:p>
    <w:p w14:paraId="207F48CC">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（1）根据工程合同相应的建设工程法律、法规、标准规范与工程计价依据、招投标文件、施工图纸、现场发生的各项有效证明、施工单位提交的送审结算书审核工程造价。</w:t>
      </w:r>
    </w:p>
    <w:p w14:paraId="65BF140A">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（2）现场踏勘、计量复核。</w:t>
      </w:r>
    </w:p>
    <w:p w14:paraId="3498DB99">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（3）工程量、工程价格及各类项目费用进行审核确定。</w:t>
      </w:r>
    </w:p>
    <w:p w14:paraId="7E6955D2">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（4）组织召开工程造价审核相关的会议。</w:t>
      </w:r>
    </w:p>
    <w:p w14:paraId="5A77E031">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（5）钢筋及预埋件重量计算：按施工图纸、设计标准、施工操作规程、工程量计算规则和经批准的施工组织设计，计算钢筋及预埋件重量；提供完整和规范的钢筋翻样及预埋件重量明细表、汇总表。</w:t>
      </w:r>
    </w:p>
    <w:p w14:paraId="0D92CBAA">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（6）编制工程结算审核报告。</w:t>
      </w:r>
    </w:p>
    <w:p w14:paraId="3DC62B9F">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（二）工作要求：</w:t>
      </w:r>
    </w:p>
    <w:p w14:paraId="63B2614B">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1.施工阶段全过程工程造价控制（含跟踪审计</w:t>
      </w:r>
      <w:r>
        <w:rPr>
          <w:rFonts w:hint="eastAsia" w:asciiTheme="minorEastAsia" w:hAnsiTheme="minorEastAsia" w:eastAsiaTheme="minorEastAsia" w:cstheme="minorEastAsia"/>
          <w:color w:val="auto"/>
          <w:szCs w:val="21"/>
          <w:highlight w:val="none"/>
          <w:lang w:eastAsia="zh-CN"/>
        </w:rPr>
        <w:t>、不含工程量清单及招标控制价编制</w:t>
      </w:r>
      <w:r>
        <w:rPr>
          <w:rFonts w:hint="eastAsia" w:asciiTheme="minorEastAsia" w:hAnsiTheme="minorEastAsia" w:eastAsiaTheme="minorEastAsia" w:cstheme="minorEastAsia"/>
          <w:color w:val="auto"/>
          <w:szCs w:val="21"/>
          <w:highlight w:val="none"/>
        </w:rPr>
        <w:t>）工作要求：</w:t>
      </w:r>
    </w:p>
    <w:p w14:paraId="702697E1">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（1）跟踪审计服务工作要求：</w:t>
      </w:r>
    </w:p>
    <w:p w14:paraId="30985528">
      <w:pPr>
        <w:numPr>
          <w:ilvl w:val="0"/>
          <w:numId w:val="4"/>
        </w:numPr>
        <w:spacing w:line="440" w:lineRule="exact"/>
        <w:ind w:firstLine="425"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项目负责人每个月必须到建设项目现场工作</w:t>
      </w:r>
      <w:r>
        <w:rPr>
          <w:rFonts w:hint="eastAsia" w:asciiTheme="minorEastAsia" w:hAnsiTheme="minorEastAsia" w:eastAsiaTheme="minorEastAsia" w:cstheme="minorEastAsia"/>
          <w:color w:val="auto"/>
          <w:szCs w:val="21"/>
          <w:highlight w:val="none"/>
          <w:lang w:val="en-US"/>
        </w:rPr>
        <w:t>2</w:t>
      </w:r>
      <w:r>
        <w:rPr>
          <w:rFonts w:hint="eastAsia" w:asciiTheme="minorEastAsia" w:hAnsiTheme="minorEastAsia" w:eastAsiaTheme="minorEastAsia" w:cstheme="minorEastAsia"/>
          <w:color w:val="auto"/>
          <w:szCs w:val="21"/>
          <w:highlight w:val="none"/>
        </w:rPr>
        <w:t>天，同时根据建设管理单位要求或工作需要不定期到现场工作。在跟踪评审实施过程中，跟踪评审人员必须保证每周</w:t>
      </w:r>
      <w:r>
        <w:rPr>
          <w:rFonts w:hint="eastAsia" w:asciiTheme="minorEastAsia" w:hAnsiTheme="minorEastAsia" w:eastAsiaTheme="minorEastAsia" w:cstheme="minorEastAsia"/>
          <w:color w:val="auto"/>
          <w:szCs w:val="21"/>
          <w:highlight w:val="none"/>
          <w:lang w:val="en-US"/>
        </w:rPr>
        <w:t>2</w:t>
      </w:r>
      <w:r>
        <w:rPr>
          <w:rFonts w:hint="eastAsia" w:asciiTheme="minorEastAsia" w:hAnsiTheme="minorEastAsia" w:eastAsiaTheme="minorEastAsia" w:cstheme="minorEastAsia"/>
          <w:color w:val="auto"/>
          <w:szCs w:val="21"/>
          <w:highlight w:val="none"/>
        </w:rPr>
        <w:t>天驻场跟踪评审，其日常工作分配由建设管理单位管理。</w:t>
      </w:r>
    </w:p>
    <w:p w14:paraId="5982EF27">
      <w:pPr>
        <w:numPr>
          <w:ilvl w:val="0"/>
          <w:numId w:val="4"/>
        </w:numPr>
        <w:spacing w:line="440" w:lineRule="exact"/>
        <w:ind w:firstLine="425"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对招标人提出的服务请求（原则上提前24小时通知），中标人应在接到招标人通知1小时内作出响应，主审人员和跟踪评审人员必须在通知时间内到达。</w:t>
      </w:r>
    </w:p>
    <w:p w14:paraId="4EF688A9">
      <w:pPr>
        <w:numPr>
          <w:ilvl w:val="0"/>
          <w:numId w:val="4"/>
        </w:numPr>
        <w:spacing w:line="440" w:lineRule="exact"/>
        <w:ind w:firstLine="425"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负责人应参与项目列席重要的技术交底(会审)、设计变更等会议，及时提出意见。项目负责人要认真写好现场工作日记，记录参加的会议内容和审核工程技术方案、合同的有关情况及工作程序等。注意收集审查资料，保证项目审查资料及审查记录的完整、真实、准确。</w:t>
      </w:r>
    </w:p>
    <w:p w14:paraId="6A71B50F">
      <w:pPr>
        <w:numPr>
          <w:ilvl w:val="0"/>
          <w:numId w:val="4"/>
        </w:numPr>
        <w:spacing w:line="440" w:lineRule="exact"/>
        <w:ind w:firstLine="425"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工程建设中设计变更、设备购置调整和技术方案重大修改等影响项目投资或发现建设管理单位、施工单位有违反政策、制度的事项，须及时向有关部门及时作出处理。</w:t>
      </w:r>
    </w:p>
    <w:p w14:paraId="02BE5011">
      <w:pPr>
        <w:numPr>
          <w:ilvl w:val="0"/>
          <w:numId w:val="4"/>
        </w:numPr>
        <w:spacing w:line="440" w:lineRule="exact"/>
        <w:ind w:firstLine="425"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负责对施工单位上报的已完工作量进度报表进行审核，提供详细的审核报告，并出具当期进度款付款建议书，经招标人认可后作为支付当期进度款的依据；</w:t>
      </w:r>
    </w:p>
    <w:p w14:paraId="52524CA9">
      <w:pPr>
        <w:numPr>
          <w:ilvl w:val="0"/>
          <w:numId w:val="4"/>
        </w:numPr>
        <w:spacing w:line="440" w:lineRule="exact"/>
        <w:ind w:firstLine="425"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对招标人在咨询期内所支付的各类款项进行审核并出具付款建议书；</w:t>
      </w:r>
    </w:p>
    <w:p w14:paraId="6B6497C7">
      <w:pPr>
        <w:numPr>
          <w:ilvl w:val="0"/>
          <w:numId w:val="4"/>
        </w:numPr>
        <w:spacing w:line="440" w:lineRule="exact"/>
        <w:ind w:firstLine="425"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对招标人在咨询期内所签订的各类合同进行审核并出具咨询建议书；</w:t>
      </w:r>
    </w:p>
    <w:p w14:paraId="7ADEDE0E">
      <w:pPr>
        <w:numPr>
          <w:ilvl w:val="0"/>
          <w:numId w:val="4"/>
        </w:numPr>
        <w:spacing w:line="440" w:lineRule="exact"/>
        <w:ind w:firstLine="425"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承包方提出索赔时，根据合同和有关法律、法规，及时出具对索赔的处理意见和建议，并对索赔发生的金额进行审核；</w:t>
      </w:r>
    </w:p>
    <w:p w14:paraId="02EDB401">
      <w:pPr>
        <w:numPr>
          <w:ilvl w:val="0"/>
          <w:numId w:val="4"/>
        </w:numPr>
        <w:spacing w:line="440" w:lineRule="exact"/>
        <w:ind w:firstLine="425"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对设计变更、隐蔽工程、现场签证进行现场勘验和确认，及时审核设计变更、现场签证等的合理性、必要性及发生的费用，相应调整投资控制目标；对量大及非常规签证及时向招标人报告，并向招标人提供决策依据和建议；</w:t>
      </w:r>
    </w:p>
    <w:p w14:paraId="6B8E0E00">
      <w:pPr>
        <w:numPr>
          <w:ilvl w:val="0"/>
          <w:numId w:val="4"/>
        </w:numPr>
        <w:spacing w:line="440" w:lineRule="exact"/>
        <w:ind w:firstLine="425"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提供涉及委托咨询工程项目的人工、材料、设备等价格信息和基本建设法律、法规、政策、制度方面的咨询服务，对市场定价项目、竞价项目、无价材料、甲供材料及装饰材料等进行询价，提供询价依据和限价、定价建议；</w:t>
      </w:r>
    </w:p>
    <w:p w14:paraId="1C592957">
      <w:pPr>
        <w:numPr>
          <w:ilvl w:val="0"/>
          <w:numId w:val="4"/>
        </w:numPr>
        <w:spacing w:line="440" w:lineRule="exact"/>
        <w:ind w:firstLine="425"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根据需要，分期、分批、按需审核各项工程造价： </w:t>
      </w:r>
    </w:p>
    <w:p w14:paraId="0251924A">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1）现场踏勘、计量复核； </w:t>
      </w:r>
    </w:p>
    <w:p w14:paraId="4EFC21EE">
      <w:pPr>
        <w:spacing w:line="44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2）对工程量、工程要素价格及各类项目费用进行审核；</w:t>
      </w:r>
    </w:p>
    <w:p w14:paraId="2B800838">
      <w:pPr>
        <w:numPr>
          <w:ilvl w:val="0"/>
          <w:numId w:val="4"/>
        </w:numPr>
        <w:spacing w:line="440" w:lineRule="exact"/>
        <w:ind w:firstLine="425"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跟踪全过程工程咨询人员应每季度、每年编写跟踪咨询情况汇报，并上报；</w:t>
      </w:r>
    </w:p>
    <w:p w14:paraId="487BBBDA">
      <w:pPr>
        <w:numPr>
          <w:ilvl w:val="0"/>
          <w:numId w:val="4"/>
        </w:numPr>
        <w:spacing w:line="440" w:lineRule="exact"/>
        <w:ind w:firstLine="425"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建立完整的项目跟踪咨询档案，在跟踪咨询项目完成后将相关资料整理汇编，向招标人移交。</w:t>
      </w:r>
    </w:p>
    <w:p w14:paraId="2AAF2C9B">
      <w:pPr>
        <w:numPr>
          <w:ilvl w:val="0"/>
          <w:numId w:val="4"/>
        </w:numPr>
        <w:spacing w:line="440" w:lineRule="exact"/>
        <w:ind w:firstLine="425"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协助委托方处理工程造价纠纷、合同纠纷。</w:t>
      </w:r>
    </w:p>
    <w:p w14:paraId="267BA11D">
      <w:pPr>
        <w:numPr>
          <w:ilvl w:val="0"/>
          <w:numId w:val="4"/>
        </w:numPr>
        <w:spacing w:line="440" w:lineRule="exact"/>
        <w:ind w:firstLine="425"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与投资控制相关的其他咨询服务。</w:t>
      </w:r>
    </w:p>
    <w:p w14:paraId="3A0BFA1B">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2.结算审核工作要求：</w:t>
      </w:r>
    </w:p>
    <w:p w14:paraId="32D3C585">
      <w:pPr>
        <w:spacing w:line="440" w:lineRule="exact"/>
        <w:ind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b/>
          <w:bCs/>
          <w:color w:val="auto"/>
          <w:szCs w:val="21"/>
          <w:highlight w:val="none"/>
          <w:u w:val="single"/>
        </w:rPr>
        <w:t>结算审核工作</w:t>
      </w:r>
      <w:r>
        <w:rPr>
          <w:rFonts w:hint="eastAsia" w:asciiTheme="minorEastAsia" w:hAnsiTheme="minorEastAsia" w:eastAsiaTheme="minorEastAsia" w:cstheme="minorEastAsia"/>
          <w:b/>
          <w:bCs/>
          <w:color w:val="auto"/>
          <w:szCs w:val="21"/>
          <w:highlight w:val="none"/>
          <w:u w:val="single"/>
          <w:lang w:eastAsia="zh-CN"/>
        </w:rPr>
        <w:t>在</w:t>
      </w:r>
      <w:r>
        <w:rPr>
          <w:rFonts w:hint="eastAsia" w:asciiTheme="minorEastAsia" w:hAnsiTheme="minorEastAsia" w:eastAsiaTheme="minorEastAsia" w:cstheme="minorEastAsia"/>
          <w:b/>
          <w:bCs/>
          <w:color w:val="auto"/>
          <w:szCs w:val="21"/>
          <w:highlight w:val="none"/>
          <w:u w:val="single"/>
          <w:lang w:val="en-US" w:eastAsia="zh-CN"/>
        </w:rPr>
        <w:t>6</w:t>
      </w:r>
      <w:r>
        <w:rPr>
          <w:rFonts w:hint="eastAsia" w:asciiTheme="minorEastAsia" w:hAnsiTheme="minorEastAsia" w:eastAsiaTheme="minorEastAsia" w:cstheme="minorEastAsia"/>
          <w:b/>
          <w:bCs/>
          <w:color w:val="auto"/>
          <w:szCs w:val="21"/>
          <w:highlight w:val="none"/>
          <w:u w:val="single"/>
        </w:rPr>
        <w:t>0天内完成初稿，120天内完成结算审核工作并提交正式报告</w:t>
      </w:r>
      <w:r>
        <w:rPr>
          <w:rFonts w:hint="eastAsia" w:asciiTheme="minorEastAsia" w:hAnsiTheme="minorEastAsia" w:eastAsiaTheme="minorEastAsia" w:cstheme="minorEastAsia"/>
          <w:b/>
          <w:bCs/>
          <w:color w:val="auto"/>
          <w:szCs w:val="21"/>
          <w:highlight w:val="none"/>
          <w:lang w:eastAsia="zh-CN"/>
        </w:rPr>
        <w:t>。</w:t>
      </w:r>
    </w:p>
    <w:p w14:paraId="6EE8876E">
      <w:pPr>
        <w:spacing w:line="440" w:lineRule="exact"/>
        <w:ind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val="0"/>
          <w:bCs w:val="0"/>
          <w:color w:val="auto"/>
          <w:highlight w:val="none"/>
        </w:rPr>
        <w:t>咨询人出具的结算审核报告</w:t>
      </w:r>
      <w:r>
        <w:rPr>
          <w:rFonts w:hint="eastAsia" w:asciiTheme="minorEastAsia" w:hAnsiTheme="minorEastAsia" w:eastAsiaTheme="minorEastAsia" w:cstheme="minorEastAsia"/>
          <w:b w:val="0"/>
          <w:bCs w:val="0"/>
          <w:color w:val="auto"/>
          <w:highlight w:val="none"/>
          <w:lang w:val="zh-CN" w:eastAsia="zh-CN"/>
        </w:rPr>
        <w:t>经</w:t>
      </w:r>
      <w:r>
        <w:rPr>
          <w:rFonts w:hint="eastAsia" w:asciiTheme="minorEastAsia" w:hAnsiTheme="minorEastAsia" w:eastAsiaTheme="minorEastAsia" w:cstheme="minorEastAsia"/>
          <w:color w:val="auto"/>
          <w:szCs w:val="21"/>
          <w:highlight w:val="none"/>
        </w:rPr>
        <w:t>评审中心</w:t>
      </w:r>
      <w:r>
        <w:rPr>
          <w:rFonts w:hint="eastAsia" w:asciiTheme="minorEastAsia" w:hAnsiTheme="minorEastAsia" w:eastAsiaTheme="minorEastAsia" w:cstheme="minorEastAsia"/>
          <w:color w:val="auto"/>
          <w:szCs w:val="21"/>
          <w:highlight w:val="none"/>
          <w:lang w:eastAsia="zh-CN"/>
        </w:rPr>
        <w:t>委托的</w:t>
      </w:r>
      <w:r>
        <w:rPr>
          <w:rFonts w:hint="eastAsia" w:asciiTheme="minorEastAsia" w:hAnsiTheme="minorEastAsia" w:eastAsiaTheme="minorEastAsia" w:cstheme="minorEastAsia"/>
          <w:b w:val="0"/>
          <w:bCs w:val="0"/>
          <w:color w:val="auto"/>
          <w:highlight w:val="none"/>
          <w:lang w:val="zh-CN" w:eastAsia="zh-CN"/>
        </w:rPr>
        <w:t>结算审核单位审核后</w:t>
      </w:r>
      <w:r>
        <w:rPr>
          <w:rFonts w:hint="eastAsia" w:asciiTheme="minorEastAsia" w:hAnsiTheme="minorEastAsia" w:eastAsiaTheme="minorEastAsia" w:cstheme="minorEastAsia"/>
          <w:b w:val="0"/>
          <w:bCs w:val="0"/>
          <w:color w:val="auto"/>
          <w:highlight w:val="none"/>
          <w:lang w:eastAsia="zh-CN"/>
        </w:rPr>
        <w:t>，总</w:t>
      </w:r>
      <w:r>
        <w:rPr>
          <w:rFonts w:hint="eastAsia" w:asciiTheme="minorEastAsia" w:hAnsiTheme="minorEastAsia" w:eastAsiaTheme="minorEastAsia" w:cstheme="minorEastAsia"/>
          <w:b w:val="0"/>
          <w:bCs w:val="0"/>
          <w:color w:val="auto"/>
          <w:highlight w:val="none"/>
          <w:lang w:val="zh-CN" w:eastAsia="zh-CN"/>
        </w:rPr>
        <w:t>误差率≥</w:t>
      </w: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lang w:val="zh-CN" w:eastAsia="zh-CN"/>
        </w:rPr>
        <w:t>%以及存在较大幅度漏审漏项（占比超过</w:t>
      </w: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lang w:val="zh-CN" w:eastAsia="zh-CN"/>
        </w:rPr>
        <w:t>%以上）的，中标人须向招标人赔偿合同</w:t>
      </w:r>
      <w:r>
        <w:rPr>
          <w:rFonts w:hint="eastAsia" w:asciiTheme="minorEastAsia" w:hAnsiTheme="minorEastAsia" w:eastAsiaTheme="minorEastAsia" w:cstheme="minorEastAsia"/>
          <w:b w:val="0"/>
          <w:bCs w:val="0"/>
          <w:color w:val="auto"/>
          <w:highlight w:val="none"/>
        </w:rPr>
        <w:t>结算审核</w:t>
      </w:r>
      <w:r>
        <w:rPr>
          <w:rFonts w:hint="eastAsia" w:asciiTheme="minorEastAsia" w:hAnsiTheme="minorEastAsia" w:eastAsiaTheme="minorEastAsia" w:cstheme="minorEastAsia"/>
          <w:b w:val="0"/>
          <w:bCs w:val="0"/>
          <w:color w:val="auto"/>
          <w:highlight w:val="none"/>
          <w:lang w:val="zh-CN" w:eastAsia="zh-CN"/>
        </w:rPr>
        <w:t>费用的30%，</w:t>
      </w:r>
      <w:r>
        <w:rPr>
          <w:rFonts w:hint="eastAsia" w:asciiTheme="minorEastAsia" w:hAnsiTheme="minorEastAsia" w:eastAsiaTheme="minorEastAsia" w:cstheme="minorEastAsia"/>
          <w:color w:val="auto"/>
          <w:szCs w:val="21"/>
          <w:highlight w:val="none"/>
          <w:lang w:val="zh-CN" w:eastAsia="zh-CN"/>
        </w:rPr>
        <w:t>作为违约金。</w:t>
      </w:r>
    </w:p>
    <w:p w14:paraId="103F24D9">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）工程竣工结算完成后还须做好宁海县政府投资项目评审中心另行安排的复核评审的配合工作。</w:t>
      </w:r>
    </w:p>
    <w:p w14:paraId="0081FE35">
      <w:pPr>
        <w:spacing w:line="440" w:lineRule="exact"/>
        <w:ind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lang w:eastAsia="zh-CN"/>
        </w:rPr>
        <w:t>）招标人提出过程结算时，投标单位无条件响应并全力配合，及时组织实施方案，确保过程结算顺利进行。</w:t>
      </w:r>
    </w:p>
    <w:p w14:paraId="61929D39">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★（三）最低人员要求：</w:t>
      </w:r>
    </w:p>
    <w:p w14:paraId="5422CD4B">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1.施工阶段全过程工程造价控制（含跟踪审计</w:t>
      </w:r>
      <w:r>
        <w:rPr>
          <w:rFonts w:hint="eastAsia" w:asciiTheme="minorEastAsia" w:hAnsiTheme="minorEastAsia" w:eastAsiaTheme="minorEastAsia" w:cstheme="minorEastAsia"/>
          <w:color w:val="auto"/>
          <w:szCs w:val="21"/>
          <w:highlight w:val="none"/>
          <w:lang w:eastAsia="zh-CN"/>
        </w:rPr>
        <w:t>、不含工程量清单及招标控制价编制</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和工程</w:t>
      </w:r>
      <w:r>
        <w:rPr>
          <w:rFonts w:hint="eastAsia" w:asciiTheme="minorEastAsia" w:hAnsiTheme="minorEastAsia" w:eastAsiaTheme="minorEastAsia" w:cstheme="minorEastAsia"/>
          <w:color w:val="auto"/>
          <w:szCs w:val="21"/>
          <w:highlight w:val="none"/>
        </w:rPr>
        <w:t>结算审核：</w:t>
      </w:r>
    </w:p>
    <w:p w14:paraId="35DE95FD">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（1）最低人员要求：</w:t>
      </w:r>
    </w:p>
    <w:tbl>
      <w:tblPr>
        <w:tblStyle w:val="21"/>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41"/>
        <w:gridCol w:w="5105"/>
        <w:gridCol w:w="845"/>
      </w:tblGrid>
      <w:tr w14:paraId="1722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09" w:type="dxa"/>
            <w:noWrap w:val="0"/>
            <w:vAlign w:val="center"/>
          </w:tcPr>
          <w:p w14:paraId="033E893D">
            <w:pPr>
              <w:widowControl w:val="0"/>
              <w:adjustRightInd/>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1741" w:type="dxa"/>
            <w:noWrap w:val="0"/>
            <w:vAlign w:val="center"/>
          </w:tcPr>
          <w:p w14:paraId="7379D3B7">
            <w:pPr>
              <w:widowControl w:val="0"/>
              <w:adjustRightInd/>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岗位</w:t>
            </w:r>
          </w:p>
        </w:tc>
        <w:tc>
          <w:tcPr>
            <w:tcW w:w="5105" w:type="dxa"/>
            <w:noWrap w:val="0"/>
            <w:vAlign w:val="center"/>
          </w:tcPr>
          <w:p w14:paraId="223C7BBE">
            <w:pPr>
              <w:widowControl w:val="0"/>
              <w:adjustRightInd/>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资格资历要求</w:t>
            </w:r>
          </w:p>
        </w:tc>
        <w:tc>
          <w:tcPr>
            <w:tcW w:w="845" w:type="dxa"/>
            <w:noWrap w:val="0"/>
            <w:vAlign w:val="center"/>
          </w:tcPr>
          <w:p w14:paraId="4F958B36">
            <w:pPr>
              <w:widowControl w:val="0"/>
              <w:adjustRightInd/>
              <w:jc w:val="center"/>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数量</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人</w:t>
            </w:r>
            <w:r>
              <w:rPr>
                <w:rFonts w:hint="eastAsia" w:asciiTheme="minorEastAsia" w:hAnsiTheme="minorEastAsia" w:eastAsiaTheme="minorEastAsia" w:cstheme="minorEastAsia"/>
                <w:b/>
                <w:bCs/>
                <w:color w:val="auto"/>
                <w:sz w:val="21"/>
                <w:szCs w:val="21"/>
                <w:highlight w:val="none"/>
                <w:lang w:eastAsia="zh-CN"/>
              </w:rPr>
              <w:t>）</w:t>
            </w:r>
          </w:p>
        </w:tc>
      </w:tr>
      <w:tr w14:paraId="67DA6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09" w:type="dxa"/>
            <w:noWrap w:val="0"/>
            <w:vAlign w:val="center"/>
          </w:tcPr>
          <w:p w14:paraId="4F243A77">
            <w:pPr>
              <w:widowControl w:val="0"/>
              <w:adjustRightInd/>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1741" w:type="dxa"/>
            <w:noWrap w:val="0"/>
            <w:vAlign w:val="center"/>
          </w:tcPr>
          <w:p w14:paraId="00128D7A">
            <w:pPr>
              <w:widowControl w:val="0"/>
              <w:adjustRightInd/>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项目负责人</w:t>
            </w:r>
          </w:p>
        </w:tc>
        <w:tc>
          <w:tcPr>
            <w:tcW w:w="5105" w:type="dxa"/>
            <w:noWrap w:val="0"/>
            <w:vAlign w:val="center"/>
          </w:tcPr>
          <w:p w14:paraId="4A4C3B27">
            <w:pPr>
              <w:widowControl w:val="0"/>
              <w:adjustRightInd/>
              <w:spacing w:line="340" w:lineRule="exact"/>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pacing w:val="-6"/>
                <w:sz w:val="21"/>
                <w:szCs w:val="21"/>
                <w:highlight w:val="none"/>
              </w:rPr>
              <w:t>须具有</w:t>
            </w:r>
            <w:r>
              <w:rPr>
                <w:rFonts w:hint="eastAsia" w:asciiTheme="minorEastAsia" w:hAnsiTheme="minorEastAsia" w:eastAsiaTheme="minorEastAsia" w:cstheme="minorEastAsia"/>
                <w:b/>
                <w:bCs/>
                <w:color w:val="auto"/>
                <w:spacing w:val="-6"/>
                <w:sz w:val="21"/>
                <w:szCs w:val="21"/>
                <w:highlight w:val="none"/>
                <w:lang w:eastAsia="zh-CN"/>
              </w:rPr>
              <w:t>土建专业</w:t>
            </w:r>
            <w:r>
              <w:rPr>
                <w:rFonts w:hint="eastAsia" w:asciiTheme="minorEastAsia" w:hAnsiTheme="minorEastAsia" w:eastAsiaTheme="minorEastAsia" w:cstheme="minorEastAsia"/>
                <w:b/>
                <w:bCs/>
                <w:color w:val="auto"/>
                <w:spacing w:val="-6"/>
                <w:sz w:val="21"/>
                <w:szCs w:val="21"/>
                <w:highlight w:val="none"/>
              </w:rPr>
              <w:t>一级注册造价工程师资质证书</w:t>
            </w:r>
            <w:r>
              <w:rPr>
                <w:rFonts w:hint="eastAsia" w:asciiTheme="minorEastAsia" w:hAnsiTheme="minorEastAsia" w:eastAsiaTheme="minorEastAsia" w:cstheme="minorEastAsia"/>
                <w:b/>
                <w:bCs/>
                <w:color w:val="auto"/>
                <w:spacing w:val="-6"/>
                <w:sz w:val="21"/>
                <w:szCs w:val="21"/>
                <w:highlight w:val="none"/>
                <w:lang w:eastAsia="zh-CN"/>
              </w:rPr>
              <w:t>，要求自</w:t>
            </w:r>
            <w:r>
              <w:rPr>
                <w:rFonts w:hint="eastAsia" w:asciiTheme="minorEastAsia" w:hAnsiTheme="minorEastAsia" w:eastAsiaTheme="minorEastAsia" w:cstheme="minorEastAsia"/>
                <w:b/>
                <w:bCs/>
                <w:color w:val="auto"/>
                <w:spacing w:val="-6"/>
                <w:sz w:val="21"/>
                <w:szCs w:val="21"/>
                <w:highlight w:val="none"/>
                <w:lang w:val="en-US" w:eastAsia="zh-CN"/>
              </w:rPr>
              <w:t>2022年1月1日以来，承接</w:t>
            </w:r>
            <w:r>
              <w:rPr>
                <w:rFonts w:hint="eastAsia" w:asciiTheme="minorEastAsia" w:hAnsiTheme="minorEastAsia" w:eastAsiaTheme="minorEastAsia" w:cstheme="minorEastAsia"/>
                <w:b/>
                <w:bCs/>
                <w:color w:val="auto"/>
                <w:spacing w:val="-6"/>
                <w:sz w:val="21"/>
                <w:szCs w:val="21"/>
                <w:highlight w:val="none"/>
                <w:lang w:eastAsia="zh-CN"/>
              </w:rPr>
              <w:t>过（政府或国有投资项目）</w:t>
            </w:r>
            <w:r>
              <w:rPr>
                <w:rFonts w:hint="eastAsia" w:asciiTheme="minorEastAsia" w:hAnsiTheme="minorEastAsia" w:eastAsiaTheme="minorEastAsia" w:cstheme="minorEastAsia"/>
                <w:b/>
                <w:bCs/>
                <w:color w:val="auto"/>
                <w:spacing w:val="-6"/>
                <w:sz w:val="21"/>
                <w:szCs w:val="21"/>
                <w:highlight w:val="none"/>
                <w:lang w:val="en-US" w:eastAsia="zh-CN"/>
              </w:rPr>
              <w:t>新建或改建土建工程的</w:t>
            </w:r>
            <w:r>
              <w:rPr>
                <w:rFonts w:hint="eastAsia" w:asciiTheme="minorEastAsia" w:hAnsiTheme="minorEastAsia" w:eastAsiaTheme="minorEastAsia" w:cstheme="minorEastAsia"/>
                <w:b/>
                <w:bCs/>
                <w:color w:val="auto"/>
                <w:spacing w:val="-6"/>
                <w:sz w:val="21"/>
                <w:szCs w:val="21"/>
                <w:highlight w:val="none"/>
                <w:lang w:eastAsia="zh-CN"/>
              </w:rPr>
              <w:t>（施工阶段全过程工程造价控制（含跟踪审计、不含工程量清单及招标控制价编制）或</w:t>
            </w:r>
            <w:r>
              <w:rPr>
                <w:rFonts w:hint="eastAsia" w:asciiTheme="minorEastAsia" w:hAnsiTheme="minorEastAsia" w:eastAsiaTheme="minorEastAsia" w:cstheme="minorEastAsia"/>
                <w:b/>
                <w:bCs/>
                <w:color w:val="auto"/>
                <w:spacing w:val="-6"/>
                <w:sz w:val="21"/>
                <w:szCs w:val="21"/>
                <w:highlight w:val="none"/>
                <w:lang w:val="en-US" w:eastAsia="zh-CN"/>
              </w:rPr>
              <w:t>工程</w:t>
            </w:r>
            <w:r>
              <w:rPr>
                <w:rFonts w:hint="eastAsia" w:asciiTheme="minorEastAsia" w:hAnsiTheme="minorEastAsia" w:eastAsiaTheme="minorEastAsia" w:cstheme="minorEastAsia"/>
                <w:b/>
                <w:bCs/>
                <w:color w:val="auto"/>
                <w:spacing w:val="-6"/>
                <w:sz w:val="21"/>
                <w:szCs w:val="21"/>
                <w:highlight w:val="none"/>
                <w:lang w:eastAsia="zh-CN"/>
              </w:rPr>
              <w:t>结算审核）业务，并担任项目负责人。（投标文件中提供相关证明材料）。</w:t>
            </w:r>
          </w:p>
        </w:tc>
        <w:tc>
          <w:tcPr>
            <w:tcW w:w="845" w:type="dxa"/>
            <w:noWrap w:val="0"/>
            <w:vAlign w:val="center"/>
          </w:tcPr>
          <w:p w14:paraId="710492C8">
            <w:pPr>
              <w:widowControl w:val="0"/>
              <w:adjustRightInd/>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w:t>
            </w:r>
          </w:p>
        </w:tc>
      </w:tr>
      <w:tr w14:paraId="717A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09" w:type="dxa"/>
            <w:vMerge w:val="restart"/>
            <w:noWrap w:val="0"/>
            <w:vAlign w:val="center"/>
          </w:tcPr>
          <w:p w14:paraId="4D48D63B">
            <w:pPr>
              <w:widowControl/>
              <w:adjustRightInd/>
              <w:jc w:val="center"/>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bidi="ar"/>
              </w:rPr>
              <w:t>2</w:t>
            </w:r>
          </w:p>
        </w:tc>
        <w:tc>
          <w:tcPr>
            <w:tcW w:w="1741" w:type="dxa"/>
            <w:vMerge w:val="restart"/>
            <w:noWrap w:val="0"/>
            <w:vAlign w:val="center"/>
          </w:tcPr>
          <w:p w14:paraId="5FFE5A47">
            <w:pPr>
              <w:widowControl/>
              <w:adjustRightInd/>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项目</w:t>
            </w:r>
            <w:r>
              <w:rPr>
                <w:rFonts w:hint="eastAsia" w:asciiTheme="minorEastAsia" w:hAnsiTheme="minorEastAsia" w:eastAsiaTheme="minorEastAsia" w:cstheme="minorEastAsia"/>
                <w:b/>
                <w:bCs/>
                <w:color w:val="auto"/>
                <w:kern w:val="0"/>
                <w:sz w:val="21"/>
                <w:szCs w:val="21"/>
                <w:highlight w:val="none"/>
                <w:lang w:val="en-US" w:eastAsia="zh-CN" w:bidi="ar"/>
              </w:rPr>
              <w:t>作业</w:t>
            </w:r>
            <w:r>
              <w:rPr>
                <w:rFonts w:hint="eastAsia" w:asciiTheme="minorEastAsia" w:hAnsiTheme="minorEastAsia" w:eastAsiaTheme="minorEastAsia" w:cstheme="minorEastAsia"/>
                <w:b/>
                <w:bCs/>
                <w:color w:val="auto"/>
                <w:kern w:val="0"/>
                <w:sz w:val="21"/>
                <w:szCs w:val="21"/>
                <w:highlight w:val="none"/>
                <w:lang w:bidi="ar"/>
              </w:rPr>
              <w:t>人员</w:t>
            </w:r>
          </w:p>
        </w:tc>
        <w:tc>
          <w:tcPr>
            <w:tcW w:w="5105" w:type="dxa"/>
            <w:noWrap w:val="0"/>
            <w:vAlign w:val="center"/>
          </w:tcPr>
          <w:p w14:paraId="1D292807">
            <w:pPr>
              <w:widowControl/>
              <w:adjustRightInd/>
              <w:textAlignment w:val="center"/>
              <w:rPr>
                <w:rFonts w:hint="eastAsia" w:asciiTheme="minorEastAsia" w:hAnsiTheme="minorEastAsia" w:eastAsiaTheme="minorEastAsia" w:cstheme="minorEastAsia"/>
                <w:b/>
                <w:bCs/>
                <w:color w:val="auto"/>
                <w:spacing w:val="-6"/>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须具有</w:t>
            </w:r>
            <w:r>
              <w:rPr>
                <w:rFonts w:hint="eastAsia" w:asciiTheme="minorEastAsia" w:hAnsiTheme="minorEastAsia" w:eastAsiaTheme="minorEastAsia" w:cstheme="minorEastAsia"/>
                <w:b/>
                <w:bCs/>
                <w:color w:val="auto"/>
                <w:kern w:val="0"/>
                <w:sz w:val="21"/>
                <w:szCs w:val="21"/>
                <w:highlight w:val="none"/>
                <w:lang w:eastAsia="zh-CN" w:bidi="ar"/>
              </w:rPr>
              <w:t>土建专业</w:t>
            </w:r>
            <w:r>
              <w:rPr>
                <w:rFonts w:hint="eastAsia" w:asciiTheme="minorEastAsia" w:hAnsiTheme="minorEastAsia" w:eastAsiaTheme="minorEastAsia" w:cstheme="minorEastAsia"/>
                <w:b/>
                <w:bCs/>
                <w:color w:val="auto"/>
                <w:spacing w:val="-6"/>
                <w:sz w:val="21"/>
                <w:szCs w:val="21"/>
                <w:highlight w:val="none"/>
              </w:rPr>
              <w:t>一级注册造价工程师</w:t>
            </w:r>
            <w:r>
              <w:rPr>
                <w:rFonts w:hint="eastAsia" w:asciiTheme="minorEastAsia" w:hAnsiTheme="minorEastAsia" w:eastAsiaTheme="minorEastAsia" w:cstheme="minorEastAsia"/>
                <w:b/>
                <w:bCs/>
                <w:color w:val="auto"/>
                <w:kern w:val="0"/>
                <w:sz w:val="21"/>
                <w:szCs w:val="21"/>
                <w:highlight w:val="none"/>
                <w:lang w:bidi="ar"/>
              </w:rPr>
              <w:t>资质证书</w:t>
            </w:r>
            <w:r>
              <w:rPr>
                <w:rFonts w:hint="eastAsia" w:asciiTheme="minorEastAsia" w:hAnsiTheme="minorEastAsia" w:eastAsiaTheme="minorEastAsia" w:cstheme="minorEastAsia"/>
                <w:b/>
                <w:bCs/>
                <w:color w:val="auto"/>
                <w:kern w:val="0"/>
                <w:sz w:val="21"/>
                <w:szCs w:val="21"/>
                <w:highlight w:val="none"/>
                <w:lang w:eastAsia="zh-CN" w:bidi="ar"/>
              </w:rPr>
              <w:t>。</w:t>
            </w:r>
            <w:r>
              <w:rPr>
                <w:rFonts w:hint="eastAsia" w:asciiTheme="minorEastAsia" w:hAnsiTheme="minorEastAsia" w:eastAsiaTheme="minorEastAsia" w:cstheme="minorEastAsia"/>
                <w:b/>
                <w:bCs/>
                <w:color w:val="auto"/>
                <w:spacing w:val="-6"/>
                <w:sz w:val="21"/>
                <w:szCs w:val="21"/>
                <w:highlight w:val="none"/>
                <w:lang w:eastAsia="zh-CN"/>
              </w:rPr>
              <w:t>（投标文件中提供相关证明材料）</w:t>
            </w:r>
          </w:p>
        </w:tc>
        <w:tc>
          <w:tcPr>
            <w:tcW w:w="845" w:type="dxa"/>
            <w:noWrap w:val="0"/>
            <w:vAlign w:val="center"/>
          </w:tcPr>
          <w:p w14:paraId="4D85203A">
            <w:pPr>
              <w:widowControl/>
              <w:adjustRightInd/>
              <w:jc w:val="center"/>
              <w:textAlignment w:val="center"/>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lang w:val="en-US" w:eastAsia="zh-CN" w:bidi="ar"/>
              </w:rPr>
              <w:t>1</w:t>
            </w:r>
          </w:p>
        </w:tc>
      </w:tr>
      <w:tr w14:paraId="17751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09" w:type="dxa"/>
            <w:vMerge w:val="continue"/>
            <w:noWrap w:val="0"/>
            <w:vAlign w:val="center"/>
          </w:tcPr>
          <w:p w14:paraId="50B6543B">
            <w:pPr>
              <w:widowControl w:val="0"/>
              <w:adjustRightInd/>
              <w:jc w:val="center"/>
              <w:rPr>
                <w:rFonts w:hint="eastAsia" w:asciiTheme="minorEastAsia" w:hAnsiTheme="minorEastAsia" w:eastAsiaTheme="minorEastAsia" w:cstheme="minorEastAsia"/>
                <w:color w:val="auto"/>
                <w:sz w:val="21"/>
                <w:szCs w:val="21"/>
                <w:highlight w:val="none"/>
              </w:rPr>
            </w:pPr>
          </w:p>
        </w:tc>
        <w:tc>
          <w:tcPr>
            <w:tcW w:w="1741" w:type="dxa"/>
            <w:vMerge w:val="continue"/>
            <w:noWrap w:val="0"/>
            <w:vAlign w:val="center"/>
          </w:tcPr>
          <w:p w14:paraId="028206C6">
            <w:pPr>
              <w:widowControl/>
              <w:adjustRightInd/>
              <w:jc w:val="center"/>
              <w:textAlignment w:val="center"/>
              <w:rPr>
                <w:rFonts w:hint="eastAsia" w:asciiTheme="minorEastAsia" w:hAnsiTheme="minorEastAsia" w:eastAsiaTheme="minorEastAsia" w:cstheme="minorEastAsia"/>
                <w:b/>
                <w:bCs/>
                <w:color w:val="auto"/>
                <w:sz w:val="21"/>
                <w:szCs w:val="21"/>
                <w:highlight w:val="none"/>
              </w:rPr>
            </w:pPr>
          </w:p>
        </w:tc>
        <w:tc>
          <w:tcPr>
            <w:tcW w:w="5105" w:type="dxa"/>
            <w:noWrap w:val="0"/>
            <w:vAlign w:val="center"/>
          </w:tcPr>
          <w:p w14:paraId="37FE3B1D">
            <w:pPr>
              <w:widowControl/>
              <w:adjustRightInd/>
              <w:textAlignment w:val="center"/>
              <w:rPr>
                <w:rFonts w:hint="eastAsia" w:asciiTheme="minorEastAsia" w:hAnsiTheme="minorEastAsia" w:eastAsiaTheme="minorEastAsia" w:cstheme="minorEastAsia"/>
                <w:b/>
                <w:bCs/>
                <w:color w:val="auto"/>
                <w:spacing w:val="-6"/>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须具有安装</w:t>
            </w:r>
            <w:r>
              <w:rPr>
                <w:rFonts w:hint="eastAsia" w:asciiTheme="minorEastAsia" w:hAnsiTheme="minorEastAsia" w:eastAsiaTheme="minorEastAsia" w:cstheme="minorEastAsia"/>
                <w:b/>
                <w:bCs/>
                <w:color w:val="auto"/>
                <w:kern w:val="0"/>
                <w:sz w:val="21"/>
                <w:szCs w:val="21"/>
                <w:highlight w:val="none"/>
                <w:lang w:val="en-US" w:eastAsia="zh-CN" w:bidi="ar"/>
              </w:rPr>
              <w:t>专业</w:t>
            </w:r>
            <w:r>
              <w:rPr>
                <w:rFonts w:hint="eastAsia" w:asciiTheme="minorEastAsia" w:hAnsiTheme="minorEastAsia" w:eastAsiaTheme="minorEastAsia" w:cstheme="minorEastAsia"/>
                <w:b/>
                <w:bCs/>
                <w:color w:val="auto"/>
                <w:spacing w:val="-6"/>
                <w:sz w:val="21"/>
                <w:szCs w:val="21"/>
                <w:highlight w:val="none"/>
              </w:rPr>
              <w:t>一级注册造价工程师</w:t>
            </w:r>
            <w:r>
              <w:rPr>
                <w:rFonts w:hint="eastAsia" w:asciiTheme="minorEastAsia" w:hAnsiTheme="minorEastAsia" w:eastAsiaTheme="minorEastAsia" w:cstheme="minorEastAsia"/>
                <w:b/>
                <w:bCs/>
                <w:color w:val="auto"/>
                <w:kern w:val="0"/>
                <w:sz w:val="21"/>
                <w:szCs w:val="21"/>
                <w:highlight w:val="none"/>
                <w:lang w:bidi="ar"/>
              </w:rPr>
              <w:t>资质证书</w:t>
            </w:r>
            <w:r>
              <w:rPr>
                <w:rFonts w:hint="eastAsia" w:asciiTheme="minorEastAsia" w:hAnsiTheme="minorEastAsia" w:eastAsiaTheme="minorEastAsia" w:cstheme="minorEastAsia"/>
                <w:b/>
                <w:bCs/>
                <w:color w:val="auto"/>
                <w:kern w:val="0"/>
                <w:sz w:val="21"/>
                <w:szCs w:val="21"/>
                <w:highlight w:val="none"/>
                <w:lang w:eastAsia="zh-CN" w:bidi="ar"/>
              </w:rPr>
              <w:t>。</w:t>
            </w:r>
            <w:r>
              <w:rPr>
                <w:rFonts w:hint="eastAsia" w:asciiTheme="minorEastAsia" w:hAnsiTheme="minorEastAsia" w:eastAsiaTheme="minorEastAsia" w:cstheme="minorEastAsia"/>
                <w:b/>
                <w:bCs/>
                <w:color w:val="auto"/>
                <w:spacing w:val="-6"/>
                <w:sz w:val="21"/>
                <w:szCs w:val="21"/>
                <w:highlight w:val="none"/>
                <w:lang w:eastAsia="zh-CN"/>
              </w:rPr>
              <w:t>（投标文件中提供相关证明材料）</w:t>
            </w:r>
          </w:p>
        </w:tc>
        <w:tc>
          <w:tcPr>
            <w:tcW w:w="845" w:type="dxa"/>
            <w:noWrap w:val="0"/>
            <w:vAlign w:val="center"/>
          </w:tcPr>
          <w:p w14:paraId="2ED0D425">
            <w:pPr>
              <w:widowControl/>
              <w:adjustRightInd/>
              <w:jc w:val="center"/>
              <w:textAlignment w:val="center"/>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w:t>
            </w:r>
          </w:p>
        </w:tc>
      </w:tr>
      <w:tr w14:paraId="3767E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09" w:type="dxa"/>
            <w:noWrap w:val="0"/>
            <w:vAlign w:val="center"/>
          </w:tcPr>
          <w:p w14:paraId="31766EEA">
            <w:pPr>
              <w:widowControl w:val="0"/>
              <w:adjustRightInd/>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1741" w:type="dxa"/>
            <w:noWrap w:val="0"/>
            <w:vAlign w:val="center"/>
          </w:tcPr>
          <w:p w14:paraId="70CFC1FA">
            <w:pPr>
              <w:widowControl/>
              <w:adjustRightInd/>
              <w:jc w:val="center"/>
              <w:textAlignment w:val="center"/>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项目审定人员</w:t>
            </w:r>
          </w:p>
        </w:tc>
        <w:tc>
          <w:tcPr>
            <w:tcW w:w="5105" w:type="dxa"/>
            <w:noWrap w:val="0"/>
            <w:vAlign w:val="center"/>
          </w:tcPr>
          <w:p w14:paraId="533D5072">
            <w:pPr>
              <w:widowControl/>
              <w:adjustRightInd/>
              <w:textAlignment w:val="center"/>
              <w:rPr>
                <w:rFonts w:hint="eastAsia" w:asciiTheme="minorEastAsia" w:hAnsiTheme="minorEastAsia" w:eastAsiaTheme="minorEastAsia" w:cstheme="minorEastAsia"/>
                <w:b/>
                <w:bCs/>
                <w:color w:val="auto"/>
                <w:kern w:val="0"/>
                <w:sz w:val="21"/>
                <w:szCs w:val="21"/>
                <w:highlight w:val="none"/>
                <w:lang w:eastAsia="zh-CN" w:bidi="ar"/>
              </w:rPr>
            </w:pPr>
            <w:r>
              <w:rPr>
                <w:rFonts w:hint="eastAsia" w:asciiTheme="minorEastAsia" w:hAnsiTheme="minorEastAsia" w:eastAsiaTheme="minorEastAsia" w:cstheme="minorEastAsia"/>
                <w:b/>
                <w:bCs/>
                <w:sz w:val="21"/>
                <w:szCs w:val="21"/>
                <w:highlight w:val="none"/>
                <w:lang w:val="en-US" w:eastAsia="zh-CN" w:bidi="ar"/>
              </w:rPr>
              <w:t>须具有一级注册造价师资格和高级职称，且为单位技术负责人，审定人员不得兼负责人及作业人员。</w:t>
            </w:r>
            <w:r>
              <w:rPr>
                <w:rFonts w:hint="eastAsia" w:asciiTheme="minorEastAsia" w:hAnsiTheme="minorEastAsia" w:eastAsiaTheme="minorEastAsia" w:cstheme="minorEastAsia"/>
                <w:b/>
                <w:bCs/>
                <w:color w:val="auto"/>
                <w:spacing w:val="-6"/>
                <w:sz w:val="21"/>
                <w:szCs w:val="21"/>
                <w:highlight w:val="none"/>
                <w:lang w:eastAsia="zh-CN"/>
              </w:rPr>
              <w:t>（投标文件中提供相关证明材料，</w:t>
            </w:r>
            <w:r>
              <w:rPr>
                <w:rFonts w:hint="eastAsia" w:asciiTheme="minorEastAsia" w:hAnsiTheme="minorEastAsia" w:eastAsiaTheme="minorEastAsia" w:cstheme="minorEastAsia"/>
                <w:b/>
                <w:bCs/>
                <w:color w:val="auto"/>
                <w:spacing w:val="-6"/>
                <w:sz w:val="21"/>
                <w:szCs w:val="21"/>
                <w:highlight w:val="none"/>
                <w:lang w:val="en-US" w:eastAsia="zh-CN"/>
              </w:rPr>
              <w:t>须出具技术负责人委任书或相关证明</w:t>
            </w:r>
            <w:r>
              <w:rPr>
                <w:rFonts w:hint="eastAsia" w:asciiTheme="minorEastAsia" w:hAnsiTheme="minorEastAsia" w:eastAsiaTheme="minorEastAsia" w:cstheme="minorEastAsia"/>
                <w:b/>
                <w:bCs/>
                <w:color w:val="auto"/>
                <w:spacing w:val="-6"/>
                <w:sz w:val="21"/>
                <w:szCs w:val="21"/>
                <w:highlight w:val="none"/>
                <w:lang w:eastAsia="zh-CN"/>
              </w:rPr>
              <w:t>）</w:t>
            </w:r>
          </w:p>
        </w:tc>
        <w:tc>
          <w:tcPr>
            <w:tcW w:w="845" w:type="dxa"/>
            <w:noWrap w:val="0"/>
            <w:vAlign w:val="center"/>
          </w:tcPr>
          <w:p w14:paraId="1F48A4B3">
            <w:pPr>
              <w:widowControl/>
              <w:adjustRightInd/>
              <w:jc w:val="center"/>
              <w:textAlignment w:val="center"/>
              <w:rPr>
                <w:rFonts w:hint="eastAsia" w:asciiTheme="minorEastAsia" w:hAnsiTheme="minorEastAsia" w:eastAsiaTheme="minorEastAsia" w:cstheme="minorEastAsia"/>
                <w:b/>
                <w:bCs/>
                <w:color w:val="auto"/>
                <w:kern w:val="0"/>
                <w:sz w:val="21"/>
                <w:szCs w:val="21"/>
                <w:highlight w:val="none"/>
                <w:lang w:val="en-US" w:eastAsia="zh-CN" w:bidi="ar"/>
              </w:rPr>
            </w:pPr>
            <w:r>
              <w:rPr>
                <w:rFonts w:hint="eastAsia" w:asciiTheme="minorEastAsia" w:hAnsiTheme="minorEastAsia" w:eastAsiaTheme="minorEastAsia" w:cstheme="minorEastAsia"/>
                <w:b/>
                <w:bCs/>
                <w:color w:val="auto"/>
                <w:kern w:val="0"/>
                <w:sz w:val="21"/>
                <w:szCs w:val="21"/>
                <w:highlight w:val="none"/>
                <w:lang w:val="en-US" w:eastAsia="zh-CN" w:bidi="ar"/>
              </w:rPr>
              <w:t>1</w:t>
            </w:r>
          </w:p>
        </w:tc>
      </w:tr>
    </w:tbl>
    <w:p w14:paraId="240326BD">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（2）中标人应建立重现场、重档案的全过程跟踪审计服务方式。</w:t>
      </w:r>
    </w:p>
    <w:p w14:paraId="0804960E">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（3）中标人须于施工阶段派跟踪审计人员专人驻场（至少1人，该驻场人员要求具有中级工程师及以上技术职称），每周驻场时间不少于</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天，至少每周参加1次工地现场监理例会，并且在接到招标人通知后对工地所发生的变更项目进行现场核查和工程量的确认。如招标人有特殊要求，需及时参加工程会议，审核工程资料。</w:t>
      </w:r>
    </w:p>
    <w:p w14:paraId="083286F5">
      <w:pPr>
        <w:numPr>
          <w:ilvl w:val="0"/>
          <w:numId w:val="0"/>
        </w:num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（4）</w:t>
      </w:r>
      <w:r>
        <w:rPr>
          <w:rFonts w:hint="eastAsia" w:asciiTheme="minorEastAsia" w:hAnsiTheme="minorEastAsia" w:eastAsiaTheme="minorEastAsia" w:cstheme="minorEastAsia"/>
          <w:color w:val="auto"/>
          <w:szCs w:val="21"/>
          <w:highlight w:val="none"/>
        </w:rPr>
        <w:t>未经招标人同意不得更换成员名单。</w:t>
      </w:r>
    </w:p>
    <w:p w14:paraId="76A44FDB">
      <w:pPr>
        <w:numPr>
          <w:ilvl w:val="0"/>
          <w:numId w:val="0"/>
        </w:numPr>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1"/>
          <w:szCs w:val="21"/>
          <w:highlight w:val="none"/>
          <w:lang w:val="en-US" w:eastAsia="zh-CN" w:bidi="ar-SA"/>
        </w:rPr>
        <w:t>（5）投</w:t>
      </w:r>
      <w:r>
        <w:rPr>
          <w:rFonts w:hint="eastAsia" w:asciiTheme="minorEastAsia" w:hAnsiTheme="minorEastAsia" w:eastAsiaTheme="minorEastAsia" w:cstheme="minorEastAsia"/>
          <w:color w:val="auto"/>
          <w:szCs w:val="21"/>
          <w:highlight w:val="none"/>
        </w:rPr>
        <w:t>标人及其拟派的项目负责人不得有被相关行政部门限制在宁波行政区域内投标的违法行为记录，且在处罚有效期内。</w:t>
      </w:r>
    </w:p>
    <w:p w14:paraId="5CD25D13">
      <w:pPr>
        <w:spacing w:line="440" w:lineRule="exact"/>
        <w:ind w:firstLine="422" w:firstLineChars="200"/>
        <w:rPr>
          <w:rFonts w:hint="default" w:asciiTheme="minorEastAsia" w:hAnsiTheme="minorEastAsia" w:eastAsiaTheme="minorEastAsia" w:cstheme="minorEastAsia"/>
          <w:color w:val="auto"/>
          <w:szCs w:val="21"/>
          <w:highlight w:val="none"/>
          <w:u w:val="single"/>
          <w:lang w:val="en-US" w:eastAsia="zh-CN"/>
        </w:rPr>
      </w:pPr>
      <w:r>
        <w:rPr>
          <w:rFonts w:hint="eastAsia" w:asciiTheme="minorEastAsia" w:hAnsiTheme="minorEastAsia" w:eastAsiaTheme="minorEastAsia" w:cstheme="minorEastAsia"/>
          <w:b/>
          <w:bCs/>
          <w:color w:val="auto"/>
          <w:szCs w:val="21"/>
          <w:highlight w:val="none"/>
        </w:rPr>
        <w:t>注：</w:t>
      </w:r>
      <w:r>
        <w:rPr>
          <w:rFonts w:hint="eastAsia" w:asciiTheme="minorEastAsia" w:hAnsiTheme="minorEastAsia" w:eastAsiaTheme="minorEastAsia" w:cstheme="minorEastAsia"/>
          <w:b/>
          <w:bCs/>
          <w:color w:val="auto"/>
          <w:szCs w:val="21"/>
          <w:highlight w:val="none"/>
          <w:u w:val="single"/>
        </w:rPr>
        <w:t>请投标人在投标文件中提供上述人员的技术职称证书和执业资格证明文件复印件，以及投标人为上述人员缴纳的近开标日3个月任意一个月的有效社保证明复印件。若</w:t>
      </w:r>
      <w:r>
        <w:rPr>
          <w:rFonts w:hint="eastAsia" w:asciiTheme="minorEastAsia" w:hAnsiTheme="minorEastAsia" w:eastAsiaTheme="minorEastAsia" w:cstheme="minorEastAsia"/>
          <w:b/>
          <w:bCs/>
          <w:color w:val="auto"/>
          <w:szCs w:val="21"/>
          <w:highlight w:val="none"/>
          <w:u w:val="single"/>
          <w:lang w:eastAsia="zh-CN"/>
        </w:rPr>
        <w:t>投入</w:t>
      </w:r>
      <w:r>
        <w:rPr>
          <w:rFonts w:hint="eastAsia" w:asciiTheme="minorEastAsia" w:hAnsiTheme="minorEastAsia" w:eastAsiaTheme="minorEastAsia" w:cstheme="minorEastAsia"/>
          <w:b/>
          <w:bCs/>
          <w:color w:val="auto"/>
          <w:szCs w:val="21"/>
          <w:highlight w:val="none"/>
          <w:u w:val="single"/>
        </w:rPr>
        <w:t>人员已退休，无需提供社保证明材料，但需提供退休证明及返聘证明</w:t>
      </w:r>
      <w:r>
        <w:rPr>
          <w:rFonts w:hint="eastAsia" w:asciiTheme="minorEastAsia" w:hAnsiTheme="minorEastAsia" w:eastAsiaTheme="minorEastAsia" w:cstheme="minorEastAsia"/>
          <w:b/>
          <w:bCs/>
          <w:color w:val="auto"/>
          <w:szCs w:val="21"/>
          <w:highlight w:val="none"/>
          <w:u w:val="single"/>
          <w:lang w:eastAsia="zh-CN"/>
        </w:rPr>
        <w:t>，返聘时间不小于开标前三个月及以上，返聘人员的比例不得超总服务团队人数的</w:t>
      </w:r>
      <w:r>
        <w:rPr>
          <w:rFonts w:hint="eastAsia" w:asciiTheme="minorEastAsia" w:hAnsiTheme="minorEastAsia" w:eastAsiaTheme="minorEastAsia" w:cstheme="minorEastAsia"/>
          <w:b/>
          <w:bCs/>
          <w:color w:val="auto"/>
          <w:szCs w:val="21"/>
          <w:highlight w:val="none"/>
          <w:u w:val="single"/>
          <w:lang w:val="en-US" w:eastAsia="zh-CN"/>
        </w:rPr>
        <w:t>30%</w:t>
      </w:r>
      <w:r>
        <w:rPr>
          <w:rFonts w:hint="eastAsia" w:asciiTheme="minorEastAsia" w:hAnsiTheme="minorEastAsia" w:eastAsiaTheme="minorEastAsia" w:cstheme="minorEastAsia"/>
          <w:color w:val="auto"/>
          <w:szCs w:val="21"/>
          <w:highlight w:val="none"/>
          <w:u w:val="single"/>
          <w:lang w:val="en-US" w:eastAsia="zh-CN"/>
        </w:rPr>
        <w:t>。</w:t>
      </w:r>
    </w:p>
    <w:p w14:paraId="1CBFD228">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（四）付款方式</w:t>
      </w:r>
    </w:p>
    <w:p w14:paraId="06CED526">
      <w:pPr>
        <w:spacing w:line="44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（1）造价咨询费[含施工阶段全过程工程造价控制（含跟踪审计</w:t>
      </w:r>
      <w:r>
        <w:rPr>
          <w:rFonts w:hint="eastAsia" w:asciiTheme="minorEastAsia" w:hAnsiTheme="minorEastAsia" w:eastAsiaTheme="minorEastAsia" w:cstheme="minorEastAsia"/>
          <w:color w:val="auto"/>
          <w:szCs w:val="21"/>
          <w:highlight w:val="none"/>
          <w:lang w:eastAsia="zh-CN"/>
        </w:rPr>
        <w:t>、不含工程量清单及招标控制价编制</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和工程</w:t>
      </w:r>
      <w:r>
        <w:rPr>
          <w:rFonts w:hint="eastAsia" w:asciiTheme="minorEastAsia" w:hAnsiTheme="minorEastAsia" w:eastAsiaTheme="minorEastAsia" w:cstheme="minorEastAsia"/>
          <w:color w:val="auto"/>
          <w:szCs w:val="21"/>
          <w:highlight w:val="none"/>
        </w:rPr>
        <w:t>结算审核]的支付方式。</w:t>
      </w:r>
    </w:p>
    <w:tbl>
      <w:tblPr>
        <w:tblStyle w:val="21"/>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108" w:type="dxa"/>
          <w:bottom w:w="28" w:type="dxa"/>
          <w:right w:w="108" w:type="dxa"/>
        </w:tblCellMar>
      </w:tblPr>
      <w:tblGrid>
        <w:gridCol w:w="1994"/>
        <w:gridCol w:w="4145"/>
        <w:gridCol w:w="2825"/>
      </w:tblGrid>
      <w:tr w14:paraId="410FCE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397" w:hRule="atLeast"/>
        </w:trPr>
        <w:tc>
          <w:tcPr>
            <w:tcW w:w="1994" w:type="dxa"/>
            <w:vAlign w:val="center"/>
          </w:tcPr>
          <w:p w14:paraId="2AA1D6F8">
            <w:pPr>
              <w:spacing w:line="440" w:lineRule="exact"/>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服务类别</w:t>
            </w:r>
          </w:p>
        </w:tc>
        <w:tc>
          <w:tcPr>
            <w:tcW w:w="4145" w:type="dxa"/>
            <w:vAlign w:val="center"/>
          </w:tcPr>
          <w:p w14:paraId="47B7BC7F">
            <w:pPr>
              <w:spacing w:line="440" w:lineRule="exact"/>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支付时间</w:t>
            </w:r>
          </w:p>
        </w:tc>
        <w:tc>
          <w:tcPr>
            <w:tcW w:w="2825" w:type="dxa"/>
            <w:vAlign w:val="center"/>
          </w:tcPr>
          <w:p w14:paraId="3438F437">
            <w:pPr>
              <w:spacing w:line="440" w:lineRule="exact"/>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支付比例</w:t>
            </w:r>
          </w:p>
        </w:tc>
      </w:tr>
      <w:tr w14:paraId="157B38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397" w:hRule="atLeast"/>
        </w:trPr>
        <w:tc>
          <w:tcPr>
            <w:tcW w:w="1994" w:type="dxa"/>
            <w:vMerge w:val="restart"/>
            <w:vAlign w:val="center"/>
          </w:tcPr>
          <w:p w14:paraId="2BD6C49A">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施工阶段全过程工程造价咨询服务费支付方式</w:t>
            </w:r>
          </w:p>
        </w:tc>
        <w:tc>
          <w:tcPr>
            <w:tcW w:w="4145" w:type="dxa"/>
            <w:vAlign w:val="center"/>
          </w:tcPr>
          <w:p w14:paraId="3848C067">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第一次支付时间：</w:t>
            </w:r>
            <w:r>
              <w:rPr>
                <w:rFonts w:hint="eastAsia" w:asciiTheme="minorEastAsia" w:hAnsiTheme="minorEastAsia" w:eastAsiaTheme="minorEastAsia" w:cstheme="minorEastAsia"/>
                <w:color w:val="auto"/>
                <w:szCs w:val="21"/>
                <w:highlight w:val="none"/>
                <w:lang w:val="en-US" w:eastAsia="zh-CN"/>
              </w:rPr>
              <w:t>工程量累计完成达到30%时，由咨询人上报支付服务费申请并提供增值税专用发票，经委托人审核后30日内支付。</w:t>
            </w:r>
          </w:p>
        </w:tc>
        <w:tc>
          <w:tcPr>
            <w:tcW w:w="2825" w:type="dxa"/>
            <w:vAlign w:val="center"/>
          </w:tcPr>
          <w:p w14:paraId="5B0941A2">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招标人支付施工阶段全过程工程造价咨询服务费</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按施工中标价为基数计算</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0%。</w:t>
            </w:r>
          </w:p>
        </w:tc>
      </w:tr>
      <w:tr w14:paraId="31A328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397" w:hRule="atLeast"/>
        </w:trPr>
        <w:tc>
          <w:tcPr>
            <w:tcW w:w="1994" w:type="dxa"/>
            <w:vMerge w:val="continue"/>
            <w:vAlign w:val="center"/>
          </w:tcPr>
          <w:p w14:paraId="4948CA03">
            <w:pPr>
              <w:spacing w:line="440" w:lineRule="exact"/>
              <w:jc w:val="center"/>
              <w:rPr>
                <w:rFonts w:hint="eastAsia" w:asciiTheme="minorEastAsia" w:hAnsiTheme="minorEastAsia" w:eastAsiaTheme="minorEastAsia" w:cstheme="minorEastAsia"/>
                <w:color w:val="auto"/>
                <w:szCs w:val="21"/>
                <w:highlight w:val="none"/>
              </w:rPr>
            </w:pPr>
          </w:p>
        </w:tc>
        <w:tc>
          <w:tcPr>
            <w:tcW w:w="4145" w:type="dxa"/>
            <w:vAlign w:val="center"/>
          </w:tcPr>
          <w:p w14:paraId="399A4654">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第二次支付时间：工程量</w:t>
            </w:r>
            <w:r>
              <w:rPr>
                <w:rFonts w:hint="eastAsia" w:asciiTheme="minorEastAsia" w:hAnsiTheme="minorEastAsia" w:eastAsiaTheme="minorEastAsia" w:cstheme="minorEastAsia"/>
                <w:color w:val="auto"/>
                <w:szCs w:val="21"/>
                <w:highlight w:val="none"/>
                <w:lang w:val="en-US" w:eastAsia="zh-CN"/>
              </w:rPr>
              <w:t>累计完成</w:t>
            </w:r>
            <w:r>
              <w:rPr>
                <w:rFonts w:hint="eastAsia" w:asciiTheme="minorEastAsia" w:hAnsiTheme="minorEastAsia" w:eastAsiaTheme="minorEastAsia" w:cstheme="minorEastAsia"/>
                <w:color w:val="auto"/>
                <w:szCs w:val="21"/>
                <w:highlight w:val="none"/>
              </w:rPr>
              <w:t>达到50%时</w:t>
            </w:r>
            <w:r>
              <w:rPr>
                <w:rFonts w:hint="eastAsia" w:asciiTheme="minorEastAsia" w:hAnsiTheme="minorEastAsia" w:eastAsiaTheme="minorEastAsia" w:cstheme="minorEastAsia"/>
                <w:color w:val="auto"/>
                <w:szCs w:val="21"/>
                <w:highlight w:val="none"/>
                <w:lang w:val="en-US" w:eastAsia="zh-CN"/>
              </w:rPr>
              <w:t>，由咨询人上报支付服务费申请并提供增值税专用发票，经委托人审核后30日内支付。</w:t>
            </w:r>
          </w:p>
        </w:tc>
        <w:tc>
          <w:tcPr>
            <w:tcW w:w="2825" w:type="dxa"/>
            <w:vAlign w:val="center"/>
          </w:tcPr>
          <w:p w14:paraId="430E6807">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招标人支付施工阶段全过程工程造价咨询服务费</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按施工中标价为基数计算</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的20%。</w:t>
            </w:r>
          </w:p>
        </w:tc>
      </w:tr>
      <w:tr w14:paraId="6E841B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397" w:hRule="atLeast"/>
        </w:trPr>
        <w:tc>
          <w:tcPr>
            <w:tcW w:w="1994" w:type="dxa"/>
            <w:vMerge w:val="continue"/>
            <w:vAlign w:val="center"/>
          </w:tcPr>
          <w:p w14:paraId="307FD190">
            <w:pPr>
              <w:spacing w:line="440" w:lineRule="exact"/>
              <w:jc w:val="center"/>
              <w:rPr>
                <w:rFonts w:hint="eastAsia" w:asciiTheme="minorEastAsia" w:hAnsiTheme="minorEastAsia" w:eastAsiaTheme="minorEastAsia" w:cstheme="minorEastAsia"/>
                <w:color w:val="auto"/>
                <w:szCs w:val="21"/>
                <w:highlight w:val="none"/>
              </w:rPr>
            </w:pPr>
          </w:p>
        </w:tc>
        <w:tc>
          <w:tcPr>
            <w:tcW w:w="4145" w:type="dxa"/>
            <w:vAlign w:val="center"/>
          </w:tcPr>
          <w:p w14:paraId="6D7FC08F">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第三次支付时间：工程</w:t>
            </w:r>
            <w:r>
              <w:rPr>
                <w:rFonts w:hint="eastAsia" w:asciiTheme="minorEastAsia" w:hAnsiTheme="minorEastAsia" w:eastAsiaTheme="minorEastAsia" w:cstheme="minorEastAsia"/>
                <w:color w:val="auto"/>
                <w:szCs w:val="21"/>
                <w:highlight w:val="none"/>
                <w:lang w:val="en-US" w:eastAsia="zh-CN"/>
              </w:rPr>
              <w:t>竣工</w:t>
            </w:r>
            <w:r>
              <w:rPr>
                <w:rFonts w:hint="eastAsia" w:asciiTheme="minorEastAsia" w:hAnsiTheme="minorEastAsia" w:eastAsiaTheme="minorEastAsia" w:cstheme="minorEastAsia"/>
                <w:color w:val="auto"/>
                <w:szCs w:val="21"/>
                <w:highlight w:val="none"/>
              </w:rPr>
              <w:t>验收合格后</w:t>
            </w:r>
            <w:r>
              <w:rPr>
                <w:rFonts w:hint="eastAsia" w:asciiTheme="minorEastAsia" w:hAnsiTheme="minorEastAsia" w:eastAsiaTheme="minorEastAsia" w:cstheme="minorEastAsia"/>
                <w:color w:val="auto"/>
                <w:szCs w:val="21"/>
                <w:highlight w:val="none"/>
                <w:lang w:val="en-US" w:eastAsia="zh-CN"/>
              </w:rPr>
              <w:t>，由咨询人上报支付服务费申请并提供增值税专用发票，经委托人审核后30日内支付。</w:t>
            </w:r>
          </w:p>
        </w:tc>
        <w:tc>
          <w:tcPr>
            <w:tcW w:w="2825" w:type="dxa"/>
            <w:vAlign w:val="center"/>
          </w:tcPr>
          <w:p w14:paraId="78C450B4">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招标人支付</w:t>
            </w:r>
            <w:r>
              <w:rPr>
                <w:rFonts w:hint="eastAsia" w:asciiTheme="minorEastAsia" w:hAnsiTheme="minorEastAsia" w:eastAsiaTheme="minorEastAsia" w:cstheme="minorEastAsia"/>
                <w:color w:val="auto"/>
                <w:szCs w:val="21"/>
                <w:highlight w:val="none"/>
                <w:lang w:val="en-US" w:eastAsia="zh-CN"/>
              </w:rPr>
              <w:t>至</w:t>
            </w:r>
            <w:r>
              <w:rPr>
                <w:rFonts w:hint="eastAsia" w:asciiTheme="minorEastAsia" w:hAnsiTheme="minorEastAsia" w:eastAsiaTheme="minorEastAsia" w:cstheme="minorEastAsia"/>
                <w:color w:val="auto"/>
                <w:szCs w:val="21"/>
                <w:highlight w:val="none"/>
              </w:rPr>
              <w:t>施工阶段全过程工程造价咨询服务费</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按施工中标价为基数计算</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0%。</w:t>
            </w:r>
          </w:p>
        </w:tc>
      </w:tr>
      <w:tr w14:paraId="632005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397" w:hRule="atLeast"/>
        </w:trPr>
        <w:tc>
          <w:tcPr>
            <w:tcW w:w="1994" w:type="dxa"/>
            <w:vMerge w:val="continue"/>
            <w:vAlign w:val="center"/>
          </w:tcPr>
          <w:p w14:paraId="11F97A01">
            <w:pPr>
              <w:spacing w:line="440" w:lineRule="exact"/>
              <w:jc w:val="center"/>
              <w:rPr>
                <w:rFonts w:hint="eastAsia" w:asciiTheme="minorEastAsia" w:hAnsiTheme="minorEastAsia" w:eastAsiaTheme="minorEastAsia" w:cstheme="minorEastAsia"/>
                <w:color w:val="auto"/>
                <w:szCs w:val="21"/>
                <w:highlight w:val="none"/>
              </w:rPr>
            </w:pPr>
          </w:p>
        </w:tc>
        <w:tc>
          <w:tcPr>
            <w:tcW w:w="4145" w:type="dxa"/>
            <w:vAlign w:val="center"/>
          </w:tcPr>
          <w:p w14:paraId="09F89871">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末次支付时间：整个工程竣工结算经</w:t>
            </w:r>
            <w:r>
              <w:rPr>
                <w:rFonts w:hint="eastAsia" w:asciiTheme="minorEastAsia" w:hAnsiTheme="minorEastAsia" w:eastAsiaTheme="minorEastAsia" w:cstheme="minorEastAsia"/>
                <w:color w:val="auto"/>
                <w:szCs w:val="21"/>
                <w:highlight w:val="none"/>
                <w:lang w:val="en-US" w:eastAsia="zh-CN"/>
              </w:rPr>
              <w:t>评审中心</w:t>
            </w:r>
            <w:r>
              <w:rPr>
                <w:rFonts w:hint="eastAsia" w:asciiTheme="minorEastAsia" w:hAnsiTheme="minorEastAsia" w:eastAsiaTheme="minorEastAsia" w:cstheme="minorEastAsia"/>
                <w:color w:val="auto"/>
                <w:szCs w:val="21"/>
                <w:highlight w:val="none"/>
              </w:rPr>
              <w:t>二审</w:t>
            </w:r>
            <w:r>
              <w:rPr>
                <w:rFonts w:hint="eastAsia" w:asciiTheme="minorEastAsia" w:hAnsiTheme="minorEastAsia" w:eastAsiaTheme="minorEastAsia" w:cstheme="minorEastAsia"/>
                <w:color w:val="auto"/>
                <w:szCs w:val="21"/>
                <w:highlight w:val="none"/>
                <w:lang w:val="en-US" w:eastAsia="zh-CN"/>
              </w:rPr>
              <w:t>提交正式审核报告且完成结算备案后，由咨询人上报支付服务费申请并提供增值税专用发票，经委托人审核后30日内支付。</w:t>
            </w:r>
          </w:p>
        </w:tc>
        <w:tc>
          <w:tcPr>
            <w:tcW w:w="2825" w:type="dxa"/>
            <w:vAlign w:val="center"/>
          </w:tcPr>
          <w:p w14:paraId="5EAFE39E">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招标人付清最终施工阶段全过程工程造价咨询服务费的余款。</w:t>
            </w:r>
          </w:p>
        </w:tc>
      </w:tr>
      <w:tr w14:paraId="2F6EA6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397" w:hRule="atLeast"/>
        </w:trPr>
        <w:tc>
          <w:tcPr>
            <w:tcW w:w="1994" w:type="dxa"/>
            <w:vMerge w:val="restart"/>
            <w:vAlign w:val="center"/>
          </w:tcPr>
          <w:p w14:paraId="2545D342">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结算审核费支付方式</w:t>
            </w:r>
          </w:p>
        </w:tc>
        <w:tc>
          <w:tcPr>
            <w:tcW w:w="4145" w:type="dxa"/>
            <w:vAlign w:val="center"/>
          </w:tcPr>
          <w:p w14:paraId="07F334CB">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第一次支付时间：</w:t>
            </w:r>
          </w:p>
          <w:p w14:paraId="4F81E18E">
            <w:pPr>
              <w:spacing w:line="440" w:lineRule="exact"/>
              <w:ind w:firstLine="0" w:firstLineChars="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结算一审</w:t>
            </w:r>
            <w:r>
              <w:rPr>
                <w:rFonts w:hint="eastAsia" w:asciiTheme="minorEastAsia" w:hAnsiTheme="minorEastAsia" w:eastAsiaTheme="minorEastAsia" w:cstheme="minorEastAsia"/>
                <w:color w:val="auto"/>
                <w:szCs w:val="21"/>
                <w:highlight w:val="none"/>
              </w:rPr>
              <w:t>出具</w:t>
            </w:r>
            <w:r>
              <w:rPr>
                <w:rFonts w:hint="eastAsia" w:asciiTheme="minorEastAsia" w:hAnsiTheme="minorEastAsia" w:eastAsiaTheme="minorEastAsia" w:cstheme="minorEastAsia"/>
                <w:color w:val="auto"/>
                <w:szCs w:val="21"/>
                <w:highlight w:val="none"/>
                <w:lang w:val="en-US" w:eastAsia="zh-CN"/>
              </w:rPr>
              <w:t>正式</w:t>
            </w:r>
            <w:r>
              <w:rPr>
                <w:rFonts w:hint="eastAsia" w:asciiTheme="minorEastAsia" w:hAnsiTheme="minorEastAsia" w:eastAsiaTheme="minorEastAsia" w:cstheme="minorEastAsia"/>
                <w:color w:val="auto"/>
                <w:szCs w:val="21"/>
                <w:highlight w:val="none"/>
              </w:rPr>
              <w:t>结算审核报告后</w:t>
            </w:r>
            <w:r>
              <w:rPr>
                <w:rFonts w:hint="eastAsia" w:asciiTheme="minorEastAsia" w:hAnsiTheme="minorEastAsia" w:eastAsiaTheme="minorEastAsia" w:cstheme="minorEastAsia"/>
                <w:color w:val="auto"/>
                <w:szCs w:val="21"/>
                <w:highlight w:val="none"/>
                <w:lang w:val="en-US" w:eastAsia="zh-CN"/>
              </w:rPr>
              <w:t>，由咨询人上报支付服务费申请并提供增值税专用发票，经委托人审核后30日内支付。</w:t>
            </w:r>
          </w:p>
        </w:tc>
        <w:tc>
          <w:tcPr>
            <w:tcW w:w="2825" w:type="dxa"/>
            <w:vAlign w:val="center"/>
          </w:tcPr>
          <w:p w14:paraId="4D84A5C9">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招标人</w:t>
            </w:r>
            <w:r>
              <w:rPr>
                <w:rFonts w:hint="eastAsia" w:asciiTheme="minorEastAsia" w:hAnsiTheme="minorEastAsia" w:eastAsiaTheme="minorEastAsia" w:cstheme="minorEastAsia"/>
                <w:color w:val="auto"/>
                <w:szCs w:val="21"/>
                <w:highlight w:val="none"/>
                <w:lang w:val="en-US" w:eastAsia="zh-CN"/>
              </w:rPr>
              <w:t>支付结算审核费用（按结算一审金额计算）的80%。</w:t>
            </w:r>
          </w:p>
        </w:tc>
      </w:tr>
      <w:tr w14:paraId="41148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397" w:hRule="atLeast"/>
        </w:trPr>
        <w:tc>
          <w:tcPr>
            <w:tcW w:w="1994" w:type="dxa"/>
            <w:vMerge w:val="continue"/>
            <w:vAlign w:val="center"/>
          </w:tcPr>
          <w:p w14:paraId="7C2A4BCE">
            <w:pPr>
              <w:spacing w:line="440" w:lineRule="exact"/>
              <w:jc w:val="left"/>
              <w:rPr>
                <w:rFonts w:hint="eastAsia" w:asciiTheme="minorEastAsia" w:hAnsiTheme="minorEastAsia" w:eastAsiaTheme="minorEastAsia" w:cstheme="minorEastAsia"/>
                <w:color w:val="auto"/>
                <w:szCs w:val="21"/>
                <w:highlight w:val="none"/>
              </w:rPr>
            </w:pPr>
          </w:p>
        </w:tc>
        <w:tc>
          <w:tcPr>
            <w:tcW w:w="4145" w:type="dxa"/>
            <w:vAlign w:val="center"/>
          </w:tcPr>
          <w:p w14:paraId="106048B8">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末次支付时间：</w:t>
            </w:r>
          </w:p>
          <w:p w14:paraId="60C3AA75">
            <w:pPr>
              <w:spacing w:line="440" w:lineRule="exact"/>
              <w:ind w:firstLine="0" w:firstLineChars="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整个工程竣工结算经</w:t>
            </w:r>
            <w:r>
              <w:rPr>
                <w:rFonts w:hint="eastAsia" w:asciiTheme="minorEastAsia" w:hAnsiTheme="minorEastAsia" w:eastAsiaTheme="minorEastAsia" w:cstheme="minorEastAsia"/>
                <w:color w:val="auto"/>
                <w:szCs w:val="21"/>
                <w:highlight w:val="none"/>
                <w:lang w:val="en-US" w:eastAsia="zh-CN"/>
              </w:rPr>
              <w:t>评审中心</w:t>
            </w:r>
            <w:r>
              <w:rPr>
                <w:rFonts w:hint="eastAsia" w:asciiTheme="minorEastAsia" w:hAnsiTheme="minorEastAsia" w:eastAsiaTheme="minorEastAsia" w:cstheme="minorEastAsia"/>
                <w:color w:val="auto"/>
                <w:szCs w:val="21"/>
                <w:highlight w:val="none"/>
              </w:rPr>
              <w:t>二审</w:t>
            </w:r>
            <w:r>
              <w:rPr>
                <w:rFonts w:hint="eastAsia" w:asciiTheme="minorEastAsia" w:hAnsiTheme="minorEastAsia" w:eastAsiaTheme="minorEastAsia" w:cstheme="minorEastAsia"/>
                <w:color w:val="auto"/>
                <w:szCs w:val="21"/>
                <w:highlight w:val="none"/>
                <w:lang w:val="en-US" w:eastAsia="zh-CN"/>
              </w:rPr>
              <w:t>提交正式审核报告且完成结算备案后，由咨询人上报支付服务费申请并提供增值税专用发票，经委托人审核后30日内支付。</w:t>
            </w:r>
          </w:p>
        </w:tc>
        <w:tc>
          <w:tcPr>
            <w:tcW w:w="2825" w:type="dxa"/>
            <w:vAlign w:val="center"/>
          </w:tcPr>
          <w:p w14:paraId="23EF4E4B">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招标人付清最终结算审核费的余款。</w:t>
            </w:r>
          </w:p>
        </w:tc>
      </w:tr>
    </w:tbl>
    <w:p w14:paraId="6A7CEA04">
      <w:pPr>
        <w:spacing w:line="440" w:lineRule="exac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三、其他要求</w:t>
      </w:r>
    </w:p>
    <w:p w14:paraId="3D5693E1">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1.中标人必须遵守国家、省、市和宁海县的各项法律法规，必须遵守各级政府职能部门及协会的各项有关规定。</w:t>
      </w:r>
    </w:p>
    <w:p w14:paraId="0255F193">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中标人应按照国家和省市有关规定，在法律法规授权范围内从事工程招标代理服务及造价咨询服务活动，并严格遵循独立、客观、公正、诚实信用的原则，不得损害社会公共利益和他人的合法权益。为招标人提供服务时，应调配所有资源，从项目前期准备、项目进度、投资、质量、人员投入等各个环节，确保工程招标代理服务及工程造价咨询服务工作的顺利完成，在约定的时间内完成服务事项。</w:t>
      </w:r>
    </w:p>
    <w:p w14:paraId="115D7062">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3.中标人应廉洁自律、诚实信用，不得向招标人进行商业贿赂或提供不正当利益，自觉接受有关行政监督部门依法实施的监督。</w:t>
      </w:r>
    </w:p>
    <w:bookmarkEnd w:id="3"/>
    <w:p w14:paraId="2FF98080">
      <w:pPr>
        <w:rPr>
          <w:rStyle w:val="106"/>
          <w:rFonts w:hint="eastAsia" w:asciiTheme="minorEastAsia" w:hAnsiTheme="minorEastAsia" w:eastAsiaTheme="minorEastAsia" w:cstheme="minorEastAsia"/>
          <w:color w:val="auto"/>
          <w:sz w:val="28"/>
          <w:szCs w:val="28"/>
          <w:highlight w:val="none"/>
        </w:rPr>
      </w:pPr>
      <w:bookmarkStart w:id="7" w:name="_Toc9633"/>
      <w:r>
        <w:rPr>
          <w:rStyle w:val="106"/>
          <w:rFonts w:hint="eastAsia" w:asciiTheme="minorEastAsia" w:hAnsiTheme="minorEastAsia" w:eastAsiaTheme="minorEastAsia" w:cstheme="minorEastAsia"/>
          <w:color w:val="auto"/>
          <w:sz w:val="28"/>
          <w:szCs w:val="28"/>
          <w:highlight w:val="none"/>
        </w:rPr>
        <w:br w:type="page"/>
      </w:r>
    </w:p>
    <w:p w14:paraId="030355B5">
      <w:pPr>
        <w:pStyle w:val="31"/>
        <w:spacing w:before="0" w:after="0" w:line="360" w:lineRule="auto"/>
        <w:outlineLvl w:val="0"/>
        <w:rPr>
          <w:rStyle w:val="106"/>
          <w:rFonts w:hint="eastAsia" w:asciiTheme="minorEastAsia" w:hAnsiTheme="minorEastAsia" w:eastAsiaTheme="minorEastAsia" w:cstheme="minorEastAsia"/>
          <w:color w:val="auto"/>
          <w:sz w:val="28"/>
          <w:szCs w:val="28"/>
          <w:highlight w:val="none"/>
        </w:rPr>
      </w:pPr>
      <w:r>
        <w:rPr>
          <w:rStyle w:val="106"/>
          <w:rFonts w:hint="eastAsia" w:asciiTheme="minorEastAsia" w:hAnsiTheme="minorEastAsia" w:eastAsiaTheme="minorEastAsia" w:cstheme="minorEastAsia"/>
          <w:color w:val="auto"/>
          <w:sz w:val="28"/>
          <w:szCs w:val="28"/>
          <w:highlight w:val="none"/>
        </w:rPr>
        <w:t>第三章  投标人须知</w:t>
      </w:r>
      <w:bookmarkEnd w:id="7"/>
    </w:p>
    <w:p w14:paraId="6AD77D37">
      <w:pPr>
        <w:spacing w:line="440" w:lineRule="exact"/>
        <w:jc w:val="center"/>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前附表</w:t>
      </w:r>
    </w:p>
    <w:tbl>
      <w:tblPr>
        <w:tblStyle w:val="21"/>
        <w:tblW w:w="9071"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50"/>
        <w:gridCol w:w="8221"/>
      </w:tblGrid>
      <w:tr w14:paraId="22F43CC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vAlign w:val="center"/>
          </w:tcPr>
          <w:p w14:paraId="32EF3B00">
            <w:pPr>
              <w:spacing w:line="440" w:lineRule="exact"/>
              <w:jc w:val="center"/>
              <w:rPr>
                <w:rStyle w:val="106"/>
                <w:rFonts w:hint="eastAsia" w:asciiTheme="minorEastAsia" w:hAnsiTheme="minorEastAsia" w:eastAsiaTheme="minorEastAsia" w:cstheme="minorEastAsia"/>
                <w:b/>
                <w:bCs/>
                <w:color w:val="auto"/>
                <w:szCs w:val="21"/>
                <w:highlight w:val="none"/>
              </w:rPr>
            </w:pPr>
            <w:bookmarkStart w:id="8" w:name="_Hlk111973515"/>
            <w:r>
              <w:rPr>
                <w:rStyle w:val="106"/>
                <w:rFonts w:hint="eastAsia" w:asciiTheme="minorEastAsia" w:hAnsiTheme="minorEastAsia" w:eastAsiaTheme="minorEastAsia" w:cstheme="minorEastAsia"/>
                <w:b/>
                <w:bCs/>
                <w:color w:val="auto"/>
                <w:szCs w:val="21"/>
                <w:highlight w:val="none"/>
              </w:rPr>
              <w:t>序号</w:t>
            </w:r>
          </w:p>
        </w:tc>
        <w:tc>
          <w:tcPr>
            <w:tcW w:w="8221" w:type="dxa"/>
            <w:tcBorders>
              <w:top w:val="single" w:color="000000" w:sz="4" w:space="0"/>
              <w:left w:val="single" w:color="000000" w:sz="4" w:space="0"/>
              <w:bottom w:val="single" w:color="000000" w:sz="4" w:space="0"/>
              <w:right w:val="single" w:color="000000" w:sz="4" w:space="0"/>
            </w:tcBorders>
            <w:vAlign w:val="center"/>
          </w:tcPr>
          <w:p w14:paraId="38D9799D">
            <w:pPr>
              <w:spacing w:line="440" w:lineRule="exact"/>
              <w:jc w:val="center"/>
              <w:rPr>
                <w:rStyle w:val="106"/>
                <w:rFonts w:hint="eastAsia" w:asciiTheme="minorEastAsia" w:hAnsiTheme="minorEastAsia" w:eastAsiaTheme="minorEastAsia" w:cstheme="minorEastAsia"/>
                <w:b/>
                <w:bCs/>
                <w:color w:val="auto"/>
                <w:szCs w:val="21"/>
                <w:highlight w:val="none"/>
              </w:rPr>
            </w:pPr>
            <w:r>
              <w:rPr>
                <w:rStyle w:val="106"/>
                <w:rFonts w:hint="eastAsia" w:asciiTheme="minorEastAsia" w:hAnsiTheme="minorEastAsia" w:eastAsiaTheme="minorEastAsia" w:cstheme="minorEastAsia"/>
                <w:b/>
                <w:bCs/>
                <w:color w:val="auto"/>
                <w:szCs w:val="21"/>
                <w:highlight w:val="none"/>
              </w:rPr>
              <w:t>内容、要求</w:t>
            </w:r>
          </w:p>
        </w:tc>
      </w:tr>
      <w:tr w14:paraId="7B84C2D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vAlign w:val="center"/>
          </w:tcPr>
          <w:p w14:paraId="3842A902">
            <w:pPr>
              <w:spacing w:line="440" w:lineRule="exact"/>
              <w:jc w:val="center"/>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1</w:t>
            </w:r>
          </w:p>
        </w:tc>
        <w:tc>
          <w:tcPr>
            <w:tcW w:w="8221" w:type="dxa"/>
            <w:tcBorders>
              <w:top w:val="single" w:color="000000" w:sz="4" w:space="0"/>
              <w:left w:val="single" w:color="000000" w:sz="4" w:space="0"/>
              <w:bottom w:val="single" w:color="000000" w:sz="4" w:space="0"/>
              <w:right w:val="single" w:color="000000" w:sz="4" w:space="0"/>
            </w:tcBorders>
            <w:vAlign w:val="center"/>
          </w:tcPr>
          <w:p w14:paraId="62E502DE">
            <w:pPr>
              <w:spacing w:line="440" w:lineRule="exac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项目名称：</w:t>
            </w:r>
            <w:r>
              <w:rPr>
                <w:rStyle w:val="106"/>
                <w:rFonts w:hint="eastAsia" w:asciiTheme="minorEastAsia" w:hAnsiTheme="minorEastAsia" w:eastAsiaTheme="minorEastAsia" w:cstheme="minorEastAsia"/>
                <w:color w:val="auto"/>
                <w:szCs w:val="21"/>
                <w:highlight w:val="none"/>
                <w:lang w:eastAsia="zh-CN"/>
              </w:rPr>
              <w:t>宁东新城前横孵化园及配套基础设施提升工程项目-前横片科技孵化园工程</w:t>
            </w:r>
            <w:r>
              <w:rPr>
                <w:rStyle w:val="106"/>
                <w:rFonts w:hint="eastAsia" w:asciiTheme="minorEastAsia" w:hAnsiTheme="minorEastAsia" w:eastAsiaTheme="minorEastAsia" w:cstheme="minorEastAsia"/>
                <w:color w:val="auto"/>
                <w:szCs w:val="21"/>
                <w:highlight w:val="none"/>
              </w:rPr>
              <w:t>招标代理及造价咨询服务项目</w:t>
            </w:r>
          </w:p>
        </w:tc>
      </w:tr>
      <w:tr w14:paraId="610BDB7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55" w:hRule="atLeast"/>
        </w:trPr>
        <w:tc>
          <w:tcPr>
            <w:tcW w:w="850" w:type="dxa"/>
            <w:tcBorders>
              <w:top w:val="single" w:color="000000" w:sz="4" w:space="0"/>
              <w:left w:val="single" w:color="000000" w:sz="4" w:space="0"/>
              <w:bottom w:val="single" w:color="000000" w:sz="4" w:space="0"/>
              <w:right w:val="single" w:color="000000" w:sz="4" w:space="0"/>
            </w:tcBorders>
            <w:vAlign w:val="center"/>
          </w:tcPr>
          <w:p w14:paraId="54E8F7AC">
            <w:pPr>
              <w:spacing w:line="440" w:lineRule="exact"/>
              <w:jc w:val="center"/>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★2</w:t>
            </w:r>
          </w:p>
        </w:tc>
        <w:tc>
          <w:tcPr>
            <w:tcW w:w="8221" w:type="dxa"/>
            <w:tcBorders>
              <w:top w:val="single" w:color="000000" w:sz="4" w:space="0"/>
              <w:left w:val="single" w:color="000000" w:sz="4" w:space="0"/>
              <w:bottom w:val="single" w:color="000000" w:sz="4" w:space="0"/>
              <w:right w:val="single" w:color="000000" w:sz="4" w:space="0"/>
            </w:tcBorders>
            <w:vAlign w:val="center"/>
          </w:tcPr>
          <w:p w14:paraId="0F934756">
            <w:pPr>
              <w:spacing w:line="440" w:lineRule="exact"/>
              <w:ind w:firstLine="422" w:firstLineChars="200"/>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b/>
                <w:bCs/>
                <w:color w:val="auto"/>
                <w:szCs w:val="21"/>
                <w:highlight w:val="none"/>
              </w:rPr>
              <w:t>2.1投标报价及费用：各投标人应按要求报出本标项的投标下浮率。</w:t>
            </w:r>
          </w:p>
          <w:p w14:paraId="1946C239">
            <w:pPr>
              <w:spacing w:line="440" w:lineRule="exact"/>
              <w:ind w:firstLine="422"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2.1.1 标项一</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招标代理</w:t>
            </w:r>
            <w:r>
              <w:rPr>
                <w:rFonts w:hint="eastAsia" w:asciiTheme="minorEastAsia" w:hAnsiTheme="minorEastAsia" w:eastAsiaTheme="minorEastAsia" w:cstheme="minorEastAsia"/>
                <w:color w:val="auto"/>
                <w:szCs w:val="21"/>
                <w:highlight w:val="none"/>
                <w:lang w:val="en-US" w:eastAsia="zh-CN"/>
              </w:rPr>
              <w:t>和</w:t>
            </w:r>
            <w:r>
              <w:rPr>
                <w:rFonts w:hint="eastAsia" w:asciiTheme="minorEastAsia" w:hAnsiTheme="minorEastAsia" w:eastAsiaTheme="minorEastAsia" w:cstheme="minorEastAsia"/>
                <w:color w:val="auto"/>
                <w:szCs w:val="21"/>
                <w:highlight w:val="none"/>
                <w:lang w:eastAsia="zh-CN"/>
              </w:rPr>
              <w:t>工程量清单及招标控制价编制</w:t>
            </w:r>
            <w:r>
              <w:rPr>
                <w:rFonts w:hint="eastAsia" w:asciiTheme="minorEastAsia" w:hAnsiTheme="minorEastAsia" w:eastAsiaTheme="minorEastAsia" w:cstheme="minorEastAsia"/>
                <w:color w:val="auto"/>
                <w:szCs w:val="21"/>
                <w:highlight w:val="none"/>
                <w:lang w:val="en-US" w:eastAsia="zh-CN"/>
              </w:rPr>
              <w:t>。</w:t>
            </w:r>
          </w:p>
          <w:p w14:paraId="4797BAEB">
            <w:pPr>
              <w:spacing w:line="440" w:lineRule="exact"/>
              <w:ind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招标代理和工程量清单及招标控制价编制服务费的统一投标下浮率为</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lang w:val="en-US" w:eastAsia="zh-CN"/>
              </w:rPr>
              <w:t xml:space="preserve"> %（报价≥0，且要求整数）。</w:t>
            </w:r>
          </w:p>
          <w:p w14:paraId="3C0ED629">
            <w:pPr>
              <w:spacing w:line="44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eastAsia="zh-CN"/>
              </w:rPr>
              <w:t>其中</w:t>
            </w:r>
            <w:r>
              <w:rPr>
                <w:rFonts w:hint="eastAsia" w:asciiTheme="minorEastAsia" w:hAnsiTheme="minorEastAsia" w:eastAsiaTheme="minorEastAsia" w:cstheme="minorEastAsia"/>
                <w:color w:val="auto"/>
                <w:szCs w:val="21"/>
                <w:highlight w:val="none"/>
                <w:lang w:val="en-US" w:eastAsia="zh-CN"/>
              </w:rPr>
              <w:t>招标代理费：以暂估</w:t>
            </w:r>
            <w:r>
              <w:rPr>
                <w:rFonts w:hint="eastAsia" w:asciiTheme="minorEastAsia" w:hAnsiTheme="minorEastAsia" w:eastAsiaTheme="minorEastAsia" w:cstheme="minorEastAsia"/>
                <w:color w:val="auto"/>
                <w:szCs w:val="21"/>
                <w:highlight w:val="none"/>
                <w:lang w:val="zh-CN"/>
              </w:rPr>
              <w:t>工程建安费</w:t>
            </w:r>
            <w:r>
              <w:rPr>
                <w:rFonts w:hint="eastAsia" w:asciiTheme="minorEastAsia" w:hAnsiTheme="minorEastAsia" w:eastAsiaTheme="minorEastAsia" w:cstheme="minorEastAsia"/>
                <w:color w:val="auto"/>
                <w:szCs w:val="21"/>
                <w:highlight w:val="none"/>
                <w:lang w:val="en-US" w:eastAsia="zh-CN"/>
              </w:rPr>
              <w:t>7.6亿元作为计费基数，招标代理服务标准收费56.95万元，最高限价28.48万元，招标代理服务费最高限价按照“关于印发《宁波市招标(采购)代理服务收费指导意见》的通知”</w:t>
            </w:r>
            <w:r>
              <w:rPr>
                <w:rFonts w:hint="eastAsia" w:ascii="宋体" w:hAnsi="宋体" w:eastAsia="宋体" w:cs="宋体"/>
                <w:color w:val="auto"/>
                <w:highlight w:val="none"/>
              </w:rPr>
              <w:t>文件</w:t>
            </w:r>
            <w:r>
              <w:rPr>
                <w:rFonts w:hint="eastAsia" w:ascii="宋体" w:hAnsi="宋体" w:cs="宋体"/>
                <w:color w:val="auto"/>
                <w:highlight w:val="none"/>
                <w:lang w:val="en-US" w:eastAsia="zh-CN"/>
              </w:rPr>
              <w:t>规定</w:t>
            </w:r>
            <w:r>
              <w:rPr>
                <w:rFonts w:hint="eastAsia" w:asciiTheme="minorEastAsia" w:hAnsiTheme="minorEastAsia" w:eastAsiaTheme="minorEastAsia" w:cstheme="minorEastAsia"/>
                <w:color w:val="auto"/>
                <w:szCs w:val="21"/>
                <w:highlight w:val="none"/>
                <w:lang w:val="en-US" w:eastAsia="zh-CN"/>
              </w:rPr>
              <w:t>的工程招标收费标准下浮50%计取。</w:t>
            </w:r>
          </w:p>
          <w:p w14:paraId="2E3FA39D">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最终招标代理费以代理项目的施工中标价为计费基数，按照“关于印发《宁波市招标(采购)代理服务收费指导意见》的通知”</w:t>
            </w:r>
            <w:r>
              <w:rPr>
                <w:rFonts w:hint="eastAsia" w:ascii="宋体" w:hAnsi="宋体" w:eastAsia="宋体" w:cs="宋体"/>
                <w:color w:val="auto"/>
                <w:highlight w:val="none"/>
              </w:rPr>
              <w:t>文件</w:t>
            </w:r>
            <w:r>
              <w:rPr>
                <w:rFonts w:hint="eastAsia" w:ascii="宋体" w:hAnsi="宋体" w:cs="宋体"/>
                <w:color w:val="auto"/>
                <w:highlight w:val="none"/>
                <w:lang w:val="en-US" w:eastAsia="zh-CN"/>
              </w:rPr>
              <w:t>规定</w:t>
            </w:r>
            <w:r>
              <w:rPr>
                <w:rFonts w:hint="eastAsia" w:asciiTheme="minorEastAsia" w:hAnsiTheme="minorEastAsia" w:eastAsiaTheme="minorEastAsia" w:cstheme="minorEastAsia"/>
                <w:color w:val="auto"/>
                <w:szCs w:val="21"/>
                <w:highlight w:val="none"/>
                <w:lang w:val="en-US" w:eastAsia="zh-CN"/>
              </w:rPr>
              <w:t>的工程招标收费标准×（1-50%-中标下浮率）计取。【招标代理费含施工招标服务费、监理招标服务费及评标专家费（包括评审报酬、交通费、餐费、住宿费、保险费等）、文件费、公告费等有关本项目的费用】。</w:t>
            </w:r>
          </w:p>
          <w:p w14:paraId="006F349E">
            <w:pPr>
              <w:spacing w:line="44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其中工程量清单及招标控制价编制费：以暂估</w:t>
            </w:r>
            <w:r>
              <w:rPr>
                <w:rFonts w:hint="eastAsia" w:asciiTheme="minorEastAsia" w:hAnsiTheme="minorEastAsia" w:eastAsiaTheme="minorEastAsia" w:cstheme="minorEastAsia"/>
                <w:color w:val="auto"/>
                <w:szCs w:val="21"/>
                <w:highlight w:val="none"/>
                <w:lang w:val="zh-CN"/>
              </w:rPr>
              <w:t>工程建安费</w:t>
            </w:r>
            <w:r>
              <w:rPr>
                <w:rFonts w:hint="eastAsia" w:asciiTheme="minorEastAsia" w:hAnsiTheme="minorEastAsia" w:eastAsiaTheme="minorEastAsia" w:cstheme="minorEastAsia"/>
                <w:color w:val="auto"/>
                <w:szCs w:val="21"/>
                <w:highlight w:val="none"/>
                <w:lang w:val="en-US" w:eastAsia="zh-CN"/>
              </w:rPr>
              <w:t>7.6亿元作为计费基数，</w:t>
            </w:r>
            <w:r>
              <w:rPr>
                <w:rFonts w:hint="eastAsia" w:asciiTheme="minorEastAsia" w:hAnsiTheme="minorEastAsia" w:eastAsiaTheme="minorEastAsia" w:cstheme="minorEastAsia"/>
                <w:color w:val="auto"/>
                <w:szCs w:val="21"/>
                <w:highlight w:val="none"/>
                <w:lang w:eastAsia="zh-CN"/>
              </w:rPr>
              <w:t>工程量清单及招标控制价编制</w:t>
            </w:r>
            <w:r>
              <w:rPr>
                <w:rFonts w:hint="eastAsia" w:asciiTheme="minorEastAsia" w:hAnsiTheme="minorEastAsia" w:eastAsiaTheme="minorEastAsia" w:cstheme="minorEastAsia"/>
                <w:color w:val="auto"/>
                <w:szCs w:val="21"/>
                <w:highlight w:val="none"/>
                <w:lang w:val="en-US" w:eastAsia="zh-CN"/>
              </w:rPr>
              <w:t>标准收费142.38万元，最高限价89.70万元，</w:t>
            </w:r>
            <w:r>
              <w:rPr>
                <w:rFonts w:hint="eastAsia" w:asciiTheme="minorEastAsia" w:hAnsiTheme="minorEastAsia" w:eastAsiaTheme="minorEastAsia" w:cstheme="minorEastAsia"/>
                <w:color w:val="auto"/>
                <w:szCs w:val="21"/>
                <w:highlight w:val="none"/>
                <w:lang w:eastAsia="zh-CN"/>
              </w:rPr>
              <w:t>工程量清单及招标控制价编制</w:t>
            </w:r>
            <w:r>
              <w:rPr>
                <w:rFonts w:hint="eastAsia" w:asciiTheme="minorEastAsia" w:hAnsiTheme="minorEastAsia" w:eastAsiaTheme="minorEastAsia" w:cstheme="minorEastAsia"/>
                <w:color w:val="auto"/>
                <w:szCs w:val="21"/>
                <w:highlight w:val="none"/>
                <w:lang w:val="en-US" w:eastAsia="zh-CN"/>
              </w:rPr>
              <w:t>费最高限价按照《浙江省物价局关于进一步完善工程造价咨询服务收费的通知》（浙价服〔2009〕84 号）</w:t>
            </w:r>
            <w:r>
              <w:rPr>
                <w:rFonts w:hint="eastAsia" w:ascii="宋体" w:hAnsi="宋体" w:eastAsia="宋体" w:cs="宋体"/>
                <w:color w:val="auto"/>
                <w:highlight w:val="none"/>
              </w:rPr>
              <w:t>文件</w:t>
            </w:r>
            <w:r>
              <w:rPr>
                <w:rFonts w:hint="eastAsia" w:asciiTheme="minorEastAsia" w:hAnsiTheme="minorEastAsia" w:eastAsiaTheme="minorEastAsia" w:cstheme="minorEastAsia"/>
                <w:color w:val="auto"/>
                <w:szCs w:val="21"/>
                <w:highlight w:val="none"/>
                <w:lang w:val="en-US" w:eastAsia="zh-CN"/>
              </w:rPr>
              <w:t>规定的收费标准下浮37%计取。</w:t>
            </w:r>
          </w:p>
          <w:p w14:paraId="1F6B3D1A">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    最终</w:t>
            </w:r>
            <w:r>
              <w:rPr>
                <w:rFonts w:hint="eastAsia" w:asciiTheme="minorEastAsia" w:hAnsiTheme="minorEastAsia" w:eastAsiaTheme="minorEastAsia" w:cstheme="minorEastAsia"/>
                <w:color w:val="auto"/>
                <w:szCs w:val="21"/>
                <w:highlight w:val="none"/>
                <w:lang w:eastAsia="zh-CN"/>
              </w:rPr>
              <w:t>工程量清单及招标控制价编制</w:t>
            </w:r>
            <w:r>
              <w:rPr>
                <w:rFonts w:hint="eastAsia" w:asciiTheme="minorEastAsia" w:hAnsiTheme="minorEastAsia" w:eastAsiaTheme="minorEastAsia" w:cstheme="minorEastAsia"/>
                <w:color w:val="auto"/>
                <w:szCs w:val="21"/>
                <w:highlight w:val="none"/>
                <w:lang w:val="en-US" w:eastAsia="zh-CN"/>
              </w:rPr>
              <w:t>费以招标控制价为基数，按照《浙江省物价局关于进一步完善工程造价咨询服务收费的通知》（浙价服〔2009〕84 号）</w:t>
            </w:r>
            <w:r>
              <w:rPr>
                <w:rFonts w:hint="eastAsia" w:ascii="宋体" w:hAnsi="宋体" w:eastAsia="宋体" w:cs="宋体"/>
                <w:color w:val="auto"/>
                <w:highlight w:val="none"/>
              </w:rPr>
              <w:t>文件</w:t>
            </w:r>
            <w:r>
              <w:rPr>
                <w:rFonts w:hint="eastAsia" w:asciiTheme="minorEastAsia" w:hAnsiTheme="minorEastAsia" w:eastAsiaTheme="minorEastAsia" w:cstheme="minorEastAsia"/>
                <w:color w:val="auto"/>
                <w:szCs w:val="21"/>
                <w:highlight w:val="none"/>
                <w:lang w:val="en-US" w:eastAsia="zh-CN"/>
              </w:rPr>
              <w:t>规定的收费标准×（1-37%-中标下浮率）。</w:t>
            </w:r>
          </w:p>
          <w:p w14:paraId="6CEA5072">
            <w:pPr>
              <w:spacing w:line="440" w:lineRule="exact"/>
              <w:ind w:firstLine="422"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b/>
                <w:bCs/>
                <w:color w:val="auto"/>
                <w:szCs w:val="21"/>
                <w:highlight w:val="none"/>
              </w:rPr>
              <w:t>2.1.2 标项二</w:t>
            </w:r>
            <w:r>
              <w:rPr>
                <w:rFonts w:hint="eastAsia" w:asciiTheme="minorEastAsia" w:hAnsiTheme="minorEastAsia" w:eastAsiaTheme="minorEastAsia" w:cstheme="minorEastAsia"/>
                <w:color w:val="auto"/>
                <w:szCs w:val="21"/>
                <w:highlight w:val="none"/>
              </w:rPr>
              <w:t>：施工阶段全过程工程造价控制（含跟踪审计</w:t>
            </w:r>
            <w:r>
              <w:rPr>
                <w:rFonts w:hint="eastAsia" w:asciiTheme="minorEastAsia" w:hAnsiTheme="minorEastAsia" w:eastAsiaTheme="minorEastAsia" w:cstheme="minorEastAsia"/>
                <w:color w:val="auto"/>
                <w:szCs w:val="21"/>
                <w:highlight w:val="none"/>
                <w:lang w:eastAsia="zh-CN"/>
              </w:rPr>
              <w:t>、不含工程量清单及招标控制价编制</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和</w:t>
            </w:r>
            <w:r>
              <w:rPr>
                <w:rFonts w:hint="eastAsia" w:asciiTheme="minorEastAsia" w:hAnsiTheme="minorEastAsia" w:eastAsiaTheme="minorEastAsia" w:cstheme="minorEastAsia"/>
                <w:color w:val="auto"/>
                <w:szCs w:val="21"/>
                <w:highlight w:val="none"/>
              </w:rPr>
              <w:t>工程结算审核</w:t>
            </w:r>
            <w:r>
              <w:rPr>
                <w:rFonts w:hint="eastAsia" w:asciiTheme="minorEastAsia" w:hAnsiTheme="minorEastAsia" w:eastAsiaTheme="minorEastAsia" w:cstheme="minorEastAsia"/>
                <w:color w:val="auto"/>
                <w:szCs w:val="21"/>
                <w:highlight w:val="none"/>
                <w:lang w:eastAsia="zh-CN"/>
              </w:rPr>
              <w:t>。</w:t>
            </w:r>
          </w:p>
          <w:p w14:paraId="1D6C9CB5">
            <w:pPr>
              <w:spacing w:line="44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施工阶段全过程工程造价控制（含跟踪审计</w:t>
            </w:r>
            <w:r>
              <w:rPr>
                <w:rFonts w:hint="eastAsia" w:asciiTheme="minorEastAsia" w:hAnsiTheme="minorEastAsia" w:eastAsiaTheme="minorEastAsia" w:cstheme="minorEastAsia"/>
                <w:color w:val="auto"/>
                <w:szCs w:val="21"/>
                <w:highlight w:val="none"/>
                <w:lang w:eastAsia="zh-CN"/>
              </w:rPr>
              <w:t>、不含工程量清单及招标控制价编制</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费和工程结算审核费的统一</w:t>
            </w:r>
            <w:r>
              <w:rPr>
                <w:rFonts w:hint="eastAsia" w:asciiTheme="minorEastAsia" w:hAnsiTheme="minorEastAsia" w:eastAsiaTheme="minorEastAsia" w:cstheme="minorEastAsia"/>
                <w:color w:val="auto"/>
                <w:szCs w:val="21"/>
                <w:highlight w:val="none"/>
              </w:rPr>
              <w:t>投标下浮率为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w:t>
            </w:r>
            <w:r>
              <w:rPr>
                <w:rFonts w:hint="eastAsia" w:asciiTheme="minorEastAsia" w:hAnsiTheme="minorEastAsia" w:eastAsiaTheme="minorEastAsia" w:cstheme="minorEastAsia"/>
                <w:color w:val="auto"/>
                <w:szCs w:val="21"/>
                <w:highlight w:val="none"/>
              </w:rPr>
              <w:t>（报价≥0，且要求整数）。</w:t>
            </w:r>
          </w:p>
          <w:p w14:paraId="58F580EE">
            <w:pPr>
              <w:spacing w:line="44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其中跟踪审计费：以暂估</w:t>
            </w:r>
            <w:r>
              <w:rPr>
                <w:rFonts w:hint="eastAsia" w:asciiTheme="minorEastAsia" w:hAnsiTheme="minorEastAsia" w:eastAsiaTheme="minorEastAsia" w:cstheme="minorEastAsia"/>
                <w:color w:val="auto"/>
                <w:szCs w:val="21"/>
                <w:highlight w:val="none"/>
                <w:lang w:val="zh-CN"/>
              </w:rPr>
              <w:t>工程建安费</w:t>
            </w:r>
            <w:r>
              <w:rPr>
                <w:rFonts w:hint="eastAsia" w:asciiTheme="minorEastAsia" w:hAnsiTheme="minorEastAsia" w:eastAsiaTheme="minorEastAsia" w:cstheme="minorEastAsia"/>
                <w:color w:val="auto"/>
                <w:szCs w:val="21"/>
                <w:highlight w:val="none"/>
                <w:lang w:val="en-US" w:eastAsia="zh-CN"/>
              </w:rPr>
              <w:t>7.6亿元作为计费基数，</w:t>
            </w:r>
            <w:r>
              <w:rPr>
                <w:rFonts w:hint="eastAsia" w:asciiTheme="minorEastAsia" w:hAnsiTheme="minorEastAsia" w:eastAsiaTheme="minorEastAsia" w:cstheme="minorEastAsia"/>
                <w:color w:val="auto"/>
                <w:szCs w:val="21"/>
                <w:highlight w:val="none"/>
              </w:rPr>
              <w:t>施工阶段全过程工程造价控制（含跟踪审计</w:t>
            </w:r>
            <w:r>
              <w:rPr>
                <w:rFonts w:hint="eastAsia" w:asciiTheme="minorEastAsia" w:hAnsiTheme="minorEastAsia" w:eastAsiaTheme="minorEastAsia" w:cstheme="minorEastAsia"/>
                <w:color w:val="auto"/>
                <w:szCs w:val="21"/>
                <w:highlight w:val="none"/>
                <w:lang w:eastAsia="zh-CN"/>
              </w:rPr>
              <w:t>、不含工程量清单及招标控制价编制</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服务标准收费258.22万元，最高限价142.02万元。</w:t>
            </w:r>
            <w:r>
              <w:rPr>
                <w:rFonts w:hint="eastAsia" w:asciiTheme="minorEastAsia" w:hAnsiTheme="minorEastAsia" w:eastAsiaTheme="minorEastAsia" w:cstheme="minorEastAsia"/>
                <w:color w:val="auto"/>
                <w:szCs w:val="21"/>
                <w:highlight w:val="none"/>
              </w:rPr>
              <w:t>施工阶段全过程工程造价控制（含跟踪审计</w:t>
            </w:r>
            <w:r>
              <w:rPr>
                <w:rFonts w:hint="eastAsia" w:asciiTheme="minorEastAsia" w:hAnsiTheme="minorEastAsia" w:eastAsiaTheme="minorEastAsia" w:cstheme="minorEastAsia"/>
                <w:color w:val="auto"/>
                <w:szCs w:val="21"/>
                <w:highlight w:val="none"/>
                <w:lang w:eastAsia="zh-CN"/>
              </w:rPr>
              <w:t>、不含工程量清单及招标控制价编制</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费最高限价按照《浙江省物价局关于进一步完善工程造价咨询服务收费的通知》（浙价服〔2009〕84 号）</w:t>
            </w:r>
            <w:r>
              <w:rPr>
                <w:rFonts w:hint="eastAsia" w:ascii="宋体" w:hAnsi="宋体" w:eastAsia="宋体" w:cs="宋体"/>
                <w:color w:val="auto"/>
                <w:highlight w:val="none"/>
              </w:rPr>
              <w:t>文件</w:t>
            </w:r>
            <w:r>
              <w:rPr>
                <w:rFonts w:hint="eastAsia" w:asciiTheme="minorEastAsia" w:hAnsiTheme="minorEastAsia" w:eastAsiaTheme="minorEastAsia" w:cstheme="minorEastAsia"/>
                <w:color w:val="auto"/>
                <w:szCs w:val="21"/>
                <w:highlight w:val="none"/>
                <w:lang w:val="en-US" w:eastAsia="zh-CN"/>
              </w:rPr>
              <w:t>规定的收费标准下浮45%计取。</w:t>
            </w:r>
          </w:p>
          <w:p w14:paraId="0CE5ACE8">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最终</w:t>
            </w:r>
            <w:r>
              <w:rPr>
                <w:rFonts w:hint="eastAsia" w:asciiTheme="minorEastAsia" w:hAnsiTheme="minorEastAsia" w:eastAsiaTheme="minorEastAsia" w:cstheme="minorEastAsia"/>
                <w:color w:val="auto"/>
                <w:szCs w:val="21"/>
                <w:highlight w:val="none"/>
              </w:rPr>
              <w:t>施工阶段全过程工程造价控制（含跟踪审计</w:t>
            </w:r>
            <w:r>
              <w:rPr>
                <w:rFonts w:hint="eastAsia" w:asciiTheme="minorEastAsia" w:hAnsiTheme="minorEastAsia" w:eastAsiaTheme="minorEastAsia" w:cstheme="minorEastAsia"/>
                <w:color w:val="auto"/>
                <w:szCs w:val="21"/>
                <w:highlight w:val="none"/>
                <w:lang w:eastAsia="zh-CN"/>
              </w:rPr>
              <w:t>、不含工程量清单及招标控制价编制</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服务费按宁海县政府投资项目评审中心审定的结算工程费用为计算基数，按照《浙江省物价局关于进一步完善工程造价咨询服务收费的通知》（浙价服〔2009〕84 号）</w:t>
            </w:r>
            <w:r>
              <w:rPr>
                <w:rFonts w:hint="eastAsia" w:ascii="宋体" w:hAnsi="宋体" w:eastAsia="宋体" w:cs="宋体"/>
                <w:color w:val="auto"/>
                <w:highlight w:val="none"/>
              </w:rPr>
              <w:t>文件</w:t>
            </w:r>
            <w:r>
              <w:rPr>
                <w:rFonts w:hint="eastAsia" w:asciiTheme="minorEastAsia" w:hAnsiTheme="minorEastAsia" w:eastAsiaTheme="minorEastAsia" w:cstheme="minorEastAsia"/>
                <w:color w:val="auto"/>
                <w:szCs w:val="21"/>
                <w:highlight w:val="none"/>
                <w:lang w:val="en-US" w:eastAsia="zh-CN"/>
              </w:rPr>
              <w:t>规定的收费标准</w:t>
            </w: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45%-</w:t>
            </w:r>
            <w:r>
              <w:rPr>
                <w:rFonts w:hint="eastAsia" w:asciiTheme="minorEastAsia" w:hAnsiTheme="minorEastAsia" w:eastAsiaTheme="minorEastAsia" w:cstheme="minorEastAsia"/>
                <w:color w:val="auto"/>
                <w:szCs w:val="21"/>
                <w:highlight w:val="none"/>
              </w:rPr>
              <w:t>中标下浮率）。</w:t>
            </w:r>
          </w:p>
          <w:p w14:paraId="5F2DB8C5">
            <w:pPr>
              <w:spacing w:line="44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其中结算审核费：以暂估</w:t>
            </w:r>
            <w:r>
              <w:rPr>
                <w:rFonts w:hint="eastAsia" w:asciiTheme="minorEastAsia" w:hAnsiTheme="minorEastAsia" w:eastAsiaTheme="minorEastAsia" w:cstheme="minorEastAsia"/>
                <w:color w:val="auto"/>
                <w:szCs w:val="21"/>
                <w:highlight w:val="none"/>
                <w:lang w:val="zh-CN"/>
              </w:rPr>
              <w:t>工程建安费</w:t>
            </w:r>
            <w:r>
              <w:rPr>
                <w:rFonts w:hint="eastAsia" w:asciiTheme="minorEastAsia" w:hAnsiTheme="minorEastAsia" w:eastAsiaTheme="minorEastAsia" w:cstheme="minorEastAsia"/>
                <w:color w:val="auto"/>
                <w:szCs w:val="21"/>
                <w:highlight w:val="none"/>
                <w:lang w:val="en-US" w:eastAsia="zh-CN"/>
              </w:rPr>
              <w:t>7.6亿元作为计费基数，</w:t>
            </w:r>
            <w:r>
              <w:rPr>
                <w:rFonts w:hint="eastAsia" w:asciiTheme="minorEastAsia" w:hAnsiTheme="minorEastAsia" w:eastAsiaTheme="minorEastAsia" w:cstheme="minorEastAsia"/>
                <w:color w:val="auto"/>
                <w:szCs w:val="21"/>
                <w:highlight w:val="none"/>
                <w:lang w:eastAsia="zh-CN"/>
              </w:rPr>
              <w:t>工程结算审核</w:t>
            </w:r>
            <w:r>
              <w:rPr>
                <w:rFonts w:hint="eastAsia" w:asciiTheme="minorEastAsia" w:hAnsiTheme="minorEastAsia" w:eastAsiaTheme="minorEastAsia" w:cstheme="minorEastAsia"/>
                <w:color w:val="auto"/>
                <w:szCs w:val="21"/>
                <w:highlight w:val="none"/>
                <w:lang w:val="en-US" w:eastAsia="zh-CN"/>
              </w:rPr>
              <w:t>服务标准收费81.58万元，最高限价44.87万元。</w:t>
            </w:r>
            <w:r>
              <w:rPr>
                <w:rFonts w:hint="eastAsia" w:asciiTheme="minorEastAsia" w:hAnsiTheme="minorEastAsia" w:eastAsiaTheme="minorEastAsia" w:cstheme="minorEastAsia"/>
                <w:color w:val="auto"/>
                <w:szCs w:val="21"/>
                <w:highlight w:val="none"/>
                <w:lang w:eastAsia="zh-CN"/>
              </w:rPr>
              <w:t>工程结算审核</w:t>
            </w:r>
            <w:r>
              <w:rPr>
                <w:rFonts w:hint="eastAsia" w:asciiTheme="minorEastAsia" w:hAnsiTheme="minorEastAsia" w:eastAsiaTheme="minorEastAsia" w:cstheme="minorEastAsia"/>
                <w:color w:val="auto"/>
                <w:szCs w:val="21"/>
                <w:highlight w:val="none"/>
                <w:lang w:val="en-US" w:eastAsia="zh-CN"/>
              </w:rPr>
              <w:t>服务费最高限价按照《浙江省物价局关于进一步完善工程造价咨询服务收费的通知》（浙价服〔2009〕84 号）</w:t>
            </w:r>
            <w:r>
              <w:rPr>
                <w:rFonts w:hint="eastAsia" w:ascii="宋体" w:hAnsi="宋体" w:eastAsia="宋体" w:cs="宋体"/>
                <w:color w:val="auto"/>
                <w:highlight w:val="none"/>
              </w:rPr>
              <w:t>文件</w:t>
            </w:r>
            <w:r>
              <w:rPr>
                <w:rFonts w:hint="eastAsia" w:asciiTheme="minorEastAsia" w:hAnsiTheme="minorEastAsia" w:eastAsiaTheme="minorEastAsia" w:cstheme="minorEastAsia"/>
                <w:color w:val="auto"/>
                <w:szCs w:val="21"/>
                <w:highlight w:val="none"/>
                <w:lang w:val="en-US" w:eastAsia="zh-CN"/>
              </w:rPr>
              <w:t>规定的收费标准下浮45%收费。</w:t>
            </w:r>
          </w:p>
          <w:p w14:paraId="6D15D38B">
            <w:pPr>
              <w:numPr>
                <w:ilvl w:val="-1"/>
                <w:numId w:val="0"/>
              </w:num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最终</w:t>
            </w:r>
            <w:r>
              <w:rPr>
                <w:rFonts w:hint="eastAsia" w:asciiTheme="minorEastAsia" w:hAnsiTheme="minorEastAsia" w:eastAsiaTheme="minorEastAsia" w:cstheme="minorEastAsia"/>
                <w:color w:val="auto"/>
                <w:szCs w:val="21"/>
                <w:highlight w:val="none"/>
                <w:lang w:eastAsia="zh-CN"/>
              </w:rPr>
              <w:t>工程结算审核</w:t>
            </w:r>
            <w:r>
              <w:rPr>
                <w:rFonts w:hint="eastAsia" w:asciiTheme="minorEastAsia" w:hAnsiTheme="minorEastAsia" w:eastAsiaTheme="minorEastAsia" w:cstheme="minorEastAsia"/>
                <w:color w:val="auto"/>
                <w:szCs w:val="21"/>
                <w:highlight w:val="none"/>
                <w:lang w:val="en-US" w:eastAsia="zh-CN"/>
              </w:rPr>
              <w:t>服务</w:t>
            </w:r>
            <w:r>
              <w:rPr>
                <w:rFonts w:hint="eastAsia" w:asciiTheme="minorEastAsia" w:hAnsiTheme="minorEastAsia" w:eastAsiaTheme="minorEastAsia" w:cstheme="minorEastAsia"/>
                <w:color w:val="auto"/>
                <w:szCs w:val="21"/>
                <w:highlight w:val="none"/>
                <w:lang w:eastAsia="zh-CN"/>
              </w:rPr>
              <w:t>费</w:t>
            </w:r>
            <w:r>
              <w:rPr>
                <w:rFonts w:hint="eastAsia" w:asciiTheme="minorEastAsia" w:hAnsiTheme="minorEastAsia" w:eastAsiaTheme="minorEastAsia" w:cstheme="minorEastAsia"/>
                <w:color w:val="auto"/>
                <w:szCs w:val="21"/>
                <w:highlight w:val="none"/>
                <w:lang w:val="en-US" w:eastAsia="zh-CN"/>
              </w:rPr>
              <w:t>按宁海县政府投资项目评审中心审定的结算工程费用为计算基数，按照《浙江省物价局关于进一步完善工程造价咨询服务收费的通知》（浙价服〔2009〕84 号）</w:t>
            </w:r>
            <w:r>
              <w:rPr>
                <w:rFonts w:hint="eastAsia" w:ascii="宋体" w:hAnsi="宋体" w:eastAsia="宋体" w:cs="宋体"/>
                <w:color w:val="auto"/>
                <w:highlight w:val="none"/>
              </w:rPr>
              <w:t>文件</w:t>
            </w:r>
            <w:r>
              <w:rPr>
                <w:rFonts w:hint="eastAsia" w:asciiTheme="minorEastAsia" w:hAnsiTheme="minorEastAsia" w:eastAsiaTheme="minorEastAsia" w:cstheme="minorEastAsia"/>
                <w:color w:val="auto"/>
                <w:szCs w:val="21"/>
                <w:highlight w:val="none"/>
                <w:lang w:val="en-US" w:eastAsia="zh-CN"/>
              </w:rPr>
              <w:t>规定的收费标准</w:t>
            </w: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45%-</w:t>
            </w:r>
            <w:r>
              <w:rPr>
                <w:rFonts w:hint="eastAsia" w:asciiTheme="minorEastAsia" w:hAnsiTheme="minorEastAsia" w:eastAsiaTheme="minorEastAsia" w:cstheme="minorEastAsia"/>
                <w:color w:val="auto"/>
                <w:szCs w:val="21"/>
                <w:highlight w:val="none"/>
              </w:rPr>
              <w:t>中标下浮率）。</w:t>
            </w:r>
          </w:p>
          <w:p w14:paraId="5CF5F59E">
            <w:pPr>
              <w:numPr>
                <w:ilvl w:val="-1"/>
                <w:numId w:val="0"/>
              </w:num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注：</w:t>
            </w:r>
            <w:r>
              <w:rPr>
                <w:rFonts w:hint="eastAsia" w:asciiTheme="minorEastAsia" w:hAnsiTheme="minorEastAsia" w:eastAsiaTheme="minorEastAsia" w:cstheme="minorEastAsia"/>
                <w:color w:val="auto"/>
                <w:szCs w:val="21"/>
                <w:highlight w:val="none"/>
              </w:rPr>
              <w:t>工程竣工结算审计核减（增）追加费，按核减（增）额超过送审造价5%的幅度以外的核减（增）额为基数计算，</w:t>
            </w:r>
            <w:r>
              <w:rPr>
                <w:rFonts w:hint="eastAsia" w:asciiTheme="minorEastAsia" w:hAnsiTheme="minorEastAsia" w:eastAsiaTheme="minorEastAsia" w:cstheme="minorEastAsia"/>
                <w:color w:val="auto"/>
                <w:szCs w:val="21"/>
                <w:highlight w:val="none"/>
                <w:lang w:val="en-US" w:eastAsia="zh-CN"/>
              </w:rPr>
              <w:t>按浙价服〔2009〕84 号的“工程结算审核追加费用”标准向施工单位收取，在结算报告出具前一次性付清。若施工单位不支付，咨询人可委托委托人在工程款项中予以代扣。</w:t>
            </w:r>
          </w:p>
          <w:p w14:paraId="3BB428B1">
            <w:pPr>
              <w:numPr>
                <w:ilvl w:val="-1"/>
                <w:numId w:val="0"/>
              </w:num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2.2合同履约期间，</w:t>
            </w:r>
            <w:r>
              <w:rPr>
                <w:rFonts w:hint="eastAsia" w:asciiTheme="minorEastAsia" w:hAnsiTheme="minorEastAsia" w:eastAsiaTheme="minorEastAsia" w:cstheme="minorEastAsia"/>
                <w:color w:val="auto"/>
                <w:szCs w:val="21"/>
                <w:highlight w:val="none"/>
                <w:lang w:eastAsia="zh-CN"/>
              </w:rPr>
              <w:t>每个标项只有一个下浮率，</w:t>
            </w:r>
            <w:r>
              <w:rPr>
                <w:rFonts w:hint="eastAsia" w:asciiTheme="minorEastAsia" w:hAnsiTheme="minorEastAsia" w:eastAsiaTheme="minorEastAsia" w:cstheme="minorEastAsia"/>
                <w:color w:val="auto"/>
                <w:szCs w:val="21"/>
                <w:highlight w:val="none"/>
              </w:rPr>
              <w:t>中标下浮率保持固定不变；如工期发生延误的，其他费用一律不予补偿。</w:t>
            </w:r>
          </w:p>
          <w:p w14:paraId="7B223D69">
            <w:pPr>
              <w:spacing w:line="440" w:lineRule="exact"/>
              <w:ind w:firstLine="420" w:firstLineChars="200"/>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2.3不论投标结果如何，投标人均应自行承担所有与投标有关的全部费用。</w:t>
            </w:r>
          </w:p>
          <w:p w14:paraId="56620599">
            <w:pPr>
              <w:spacing w:line="440" w:lineRule="exact"/>
              <w:rPr>
                <w:rStyle w:val="106"/>
                <w:rFonts w:hint="eastAsia" w:asciiTheme="minorEastAsia" w:hAnsiTheme="minorEastAsia" w:eastAsiaTheme="minorEastAsia" w:cstheme="minorEastAsia"/>
                <w:b/>
                <w:color w:val="auto"/>
                <w:szCs w:val="21"/>
                <w:highlight w:val="none"/>
                <w:lang w:val="en-US" w:eastAsia="zh-CN"/>
              </w:rPr>
            </w:pPr>
            <w:r>
              <w:rPr>
                <w:rStyle w:val="106"/>
                <w:rFonts w:hint="eastAsia" w:asciiTheme="minorEastAsia" w:hAnsiTheme="minorEastAsia" w:eastAsiaTheme="minorEastAsia" w:cstheme="minorEastAsia"/>
                <w:b/>
                <w:color w:val="auto"/>
                <w:szCs w:val="21"/>
                <w:highlight w:val="none"/>
                <w:lang w:val="en-US" w:eastAsia="zh-CN"/>
              </w:rPr>
              <w:t>2.2本项目招标代理服务费：</w:t>
            </w:r>
          </w:p>
          <w:p w14:paraId="7FC74CD4">
            <w:pPr>
              <w:spacing w:line="440" w:lineRule="exact"/>
              <w:rPr>
                <w:rStyle w:val="106"/>
                <w:rFonts w:hint="default" w:asciiTheme="minorEastAsia" w:hAnsiTheme="minorEastAsia" w:eastAsiaTheme="minorEastAsia" w:cstheme="minorEastAsia"/>
                <w:b/>
                <w:color w:val="auto"/>
                <w:szCs w:val="21"/>
                <w:highlight w:val="none"/>
                <w:lang w:val="en-US" w:eastAsia="zh-CN"/>
              </w:rPr>
            </w:pPr>
            <w:r>
              <w:rPr>
                <w:rStyle w:val="106"/>
                <w:rFonts w:hint="eastAsia" w:asciiTheme="minorEastAsia" w:hAnsiTheme="minorEastAsia" w:eastAsiaTheme="minorEastAsia" w:cstheme="minorEastAsia"/>
                <w:b/>
                <w:color w:val="auto"/>
                <w:szCs w:val="21"/>
                <w:highlight w:val="none"/>
                <w:lang w:val="en-US" w:eastAsia="zh-CN"/>
              </w:rPr>
              <w:t>按照“关于印发《宁波市招标(采购)代理服务收费指导意见》的通知”文件规定的服务招标收费标准向中标人收取。</w:t>
            </w:r>
          </w:p>
          <w:p w14:paraId="3817C7EB">
            <w:pPr>
              <w:spacing w:line="440" w:lineRule="exact"/>
              <w:rPr>
                <w:rStyle w:val="106"/>
                <w:rFonts w:hint="eastAsia" w:asciiTheme="minorEastAsia" w:hAnsiTheme="minorEastAsia" w:eastAsiaTheme="minorEastAsia" w:cstheme="minorEastAsia"/>
                <w:b/>
                <w:color w:val="auto"/>
                <w:szCs w:val="21"/>
                <w:highlight w:val="none"/>
              </w:rPr>
            </w:pPr>
            <w:r>
              <w:rPr>
                <w:rStyle w:val="106"/>
                <w:rFonts w:hint="eastAsia" w:asciiTheme="minorEastAsia" w:hAnsiTheme="minorEastAsia" w:eastAsiaTheme="minorEastAsia" w:cstheme="minorEastAsia"/>
                <w:b/>
                <w:color w:val="auto"/>
                <w:szCs w:val="21"/>
                <w:highlight w:val="none"/>
              </w:rPr>
              <w:t>招标代理服务费的款项汇入的账号：</w:t>
            </w:r>
          </w:p>
          <w:p w14:paraId="4B4399E7">
            <w:pPr>
              <w:spacing w:line="440" w:lineRule="exac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开户银行：宁波银行股份有限公司鄞州中心区支行</w:t>
            </w:r>
          </w:p>
          <w:p w14:paraId="252FA869">
            <w:pPr>
              <w:spacing w:line="440" w:lineRule="exac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账    号：30010122001229488</w:t>
            </w:r>
          </w:p>
          <w:p w14:paraId="29224E11">
            <w:pPr>
              <w:spacing w:line="440" w:lineRule="exac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户    名：浙江中基正采管理咨询有限公司</w:t>
            </w:r>
          </w:p>
        </w:tc>
      </w:tr>
      <w:tr w14:paraId="1F5ABC8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5" w:hRule="atLeast"/>
        </w:trPr>
        <w:tc>
          <w:tcPr>
            <w:tcW w:w="850" w:type="dxa"/>
            <w:tcBorders>
              <w:top w:val="single" w:color="000000" w:sz="4" w:space="0"/>
              <w:left w:val="single" w:color="000000" w:sz="4" w:space="0"/>
              <w:bottom w:val="single" w:color="000000" w:sz="4" w:space="0"/>
              <w:right w:val="single" w:color="000000" w:sz="4" w:space="0"/>
            </w:tcBorders>
            <w:vAlign w:val="center"/>
          </w:tcPr>
          <w:p w14:paraId="603A734F">
            <w:pPr>
              <w:spacing w:line="440" w:lineRule="exact"/>
              <w:jc w:val="center"/>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3</w:t>
            </w:r>
          </w:p>
        </w:tc>
        <w:tc>
          <w:tcPr>
            <w:tcW w:w="8221" w:type="dxa"/>
            <w:tcBorders>
              <w:top w:val="single" w:color="000000" w:sz="4" w:space="0"/>
              <w:left w:val="single" w:color="000000" w:sz="4" w:space="0"/>
              <w:bottom w:val="single" w:color="000000" w:sz="4" w:space="0"/>
              <w:right w:val="single" w:color="000000" w:sz="4" w:space="0"/>
            </w:tcBorders>
            <w:vAlign w:val="center"/>
          </w:tcPr>
          <w:p w14:paraId="3014AA51">
            <w:pPr>
              <w:spacing w:line="440" w:lineRule="exac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答疑与澄清：招标人对招标文件进行必要的澄清或者修改的，在发布公开招标公告的网站上发布更正公告。澄清或者修改的内容可能影响投标文件编制的，更正公告在投标截止时间至少15日前发出；不足15日的，顺延提交投标文件截止时间。</w:t>
            </w:r>
          </w:p>
          <w:p w14:paraId="7C720C67">
            <w:pPr>
              <w:spacing w:line="440" w:lineRule="exac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招标人或招标代理机构不专门组织答疑；如有答疑，答疑内容是招标文件的组成部分，并将以公告形式发布于浙江政府采购网、宁波政府采购网、宁波市公共资源交易电子服务系统（宁海）、浙江中基正采管理咨询有限公司网站，请投标人自行查看。</w:t>
            </w:r>
          </w:p>
        </w:tc>
      </w:tr>
      <w:tr w14:paraId="7AB1DDC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20" w:hRule="atLeast"/>
        </w:trPr>
        <w:tc>
          <w:tcPr>
            <w:tcW w:w="850" w:type="dxa"/>
            <w:tcBorders>
              <w:top w:val="single" w:color="000000" w:sz="4" w:space="0"/>
              <w:left w:val="single" w:color="000000" w:sz="4" w:space="0"/>
              <w:bottom w:val="single" w:color="000000" w:sz="4" w:space="0"/>
              <w:right w:val="single" w:color="000000" w:sz="4" w:space="0"/>
            </w:tcBorders>
            <w:vAlign w:val="center"/>
          </w:tcPr>
          <w:p w14:paraId="42F6BB76">
            <w:pPr>
              <w:spacing w:line="440" w:lineRule="exact"/>
              <w:jc w:val="center"/>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4</w:t>
            </w:r>
          </w:p>
        </w:tc>
        <w:tc>
          <w:tcPr>
            <w:tcW w:w="8221" w:type="dxa"/>
            <w:tcBorders>
              <w:top w:val="single" w:color="000000" w:sz="4" w:space="0"/>
              <w:left w:val="single" w:color="000000" w:sz="4" w:space="0"/>
              <w:bottom w:val="single" w:color="000000" w:sz="4" w:space="0"/>
              <w:right w:val="single" w:color="000000" w:sz="4" w:space="0"/>
            </w:tcBorders>
            <w:vAlign w:val="center"/>
          </w:tcPr>
          <w:p w14:paraId="6BD7D704">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投标文件组成：</w:t>
            </w:r>
          </w:p>
          <w:p w14:paraId="35F3AB6D">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★（1）上传到乐采云的电子投标文件1份；按要求上传。</w:t>
            </w:r>
          </w:p>
          <w:p w14:paraId="66D283AC">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（2）以U盘存储的电子备份投标文件1份。</w:t>
            </w:r>
          </w:p>
          <w:p w14:paraId="1F514915">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注：电子备份投标文件不作实质性要求，是否提交由投标人自行决定</w:t>
            </w:r>
            <w:r>
              <w:rPr>
                <w:rFonts w:hint="eastAsia" w:asciiTheme="minorEastAsia" w:hAnsiTheme="minorEastAsia" w:eastAsiaTheme="minorEastAsia" w:cstheme="minorEastAsia"/>
                <w:color w:val="auto"/>
                <w:szCs w:val="21"/>
                <w:highlight w:val="none"/>
              </w:rPr>
              <w:t>。</w:t>
            </w:r>
          </w:p>
        </w:tc>
      </w:tr>
      <w:tr w14:paraId="55C9A93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vAlign w:val="center"/>
          </w:tcPr>
          <w:p w14:paraId="1052BE63">
            <w:pPr>
              <w:spacing w:line="440" w:lineRule="exact"/>
              <w:jc w:val="center"/>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★5</w:t>
            </w:r>
          </w:p>
        </w:tc>
        <w:tc>
          <w:tcPr>
            <w:tcW w:w="8221" w:type="dxa"/>
            <w:tcBorders>
              <w:top w:val="single" w:color="000000" w:sz="4" w:space="0"/>
              <w:left w:val="single" w:color="000000" w:sz="4" w:space="0"/>
              <w:bottom w:val="single" w:color="000000" w:sz="4" w:space="0"/>
              <w:right w:val="single" w:color="000000" w:sz="4" w:space="0"/>
            </w:tcBorders>
            <w:vAlign w:val="center"/>
          </w:tcPr>
          <w:p w14:paraId="670D5B7C">
            <w:pPr>
              <w:spacing w:line="440" w:lineRule="exac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投标截止时间及地点：见《第一章  公开招标公告》</w:t>
            </w:r>
          </w:p>
        </w:tc>
      </w:tr>
      <w:tr w14:paraId="3685735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vAlign w:val="center"/>
          </w:tcPr>
          <w:p w14:paraId="554EDDF6">
            <w:pPr>
              <w:spacing w:line="440" w:lineRule="exact"/>
              <w:jc w:val="center"/>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★6</w:t>
            </w:r>
          </w:p>
        </w:tc>
        <w:tc>
          <w:tcPr>
            <w:tcW w:w="8221" w:type="dxa"/>
            <w:tcBorders>
              <w:top w:val="single" w:color="000000" w:sz="4" w:space="0"/>
              <w:left w:val="single" w:color="000000" w:sz="4" w:space="0"/>
              <w:bottom w:val="single" w:color="000000" w:sz="4" w:space="0"/>
              <w:right w:val="single" w:color="000000" w:sz="4" w:space="0"/>
            </w:tcBorders>
            <w:vAlign w:val="center"/>
          </w:tcPr>
          <w:p w14:paraId="2EA0EF61">
            <w:pPr>
              <w:spacing w:line="440" w:lineRule="exac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开标时间及地点：见《第一章  公开招标公告》</w:t>
            </w:r>
          </w:p>
        </w:tc>
      </w:tr>
      <w:tr w14:paraId="3FC9F08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vAlign w:val="center"/>
          </w:tcPr>
          <w:p w14:paraId="350AFAF7">
            <w:pPr>
              <w:spacing w:line="440" w:lineRule="exact"/>
              <w:jc w:val="center"/>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7</w:t>
            </w:r>
          </w:p>
        </w:tc>
        <w:tc>
          <w:tcPr>
            <w:tcW w:w="8221" w:type="dxa"/>
            <w:tcBorders>
              <w:top w:val="single" w:color="000000" w:sz="4" w:space="0"/>
              <w:left w:val="single" w:color="000000" w:sz="4" w:space="0"/>
              <w:bottom w:val="single" w:color="000000" w:sz="4" w:space="0"/>
              <w:right w:val="single" w:color="000000" w:sz="4" w:space="0"/>
            </w:tcBorders>
            <w:vAlign w:val="center"/>
          </w:tcPr>
          <w:p w14:paraId="71CB4DC6">
            <w:pPr>
              <w:spacing w:line="440" w:lineRule="exac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评标办法及评分标准：见《第四章  评标办法及评分标准》</w:t>
            </w:r>
          </w:p>
        </w:tc>
      </w:tr>
      <w:tr w14:paraId="738C5EF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45" w:hRule="atLeast"/>
        </w:trPr>
        <w:tc>
          <w:tcPr>
            <w:tcW w:w="850" w:type="dxa"/>
            <w:tcBorders>
              <w:top w:val="single" w:color="000000" w:sz="4" w:space="0"/>
              <w:left w:val="single" w:color="000000" w:sz="4" w:space="0"/>
              <w:bottom w:val="single" w:color="000000" w:sz="4" w:space="0"/>
              <w:right w:val="single" w:color="000000" w:sz="4" w:space="0"/>
            </w:tcBorders>
            <w:vAlign w:val="center"/>
          </w:tcPr>
          <w:p w14:paraId="4C10A5E6">
            <w:pPr>
              <w:spacing w:line="440" w:lineRule="exact"/>
              <w:jc w:val="center"/>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8</w:t>
            </w:r>
          </w:p>
        </w:tc>
        <w:tc>
          <w:tcPr>
            <w:tcW w:w="8221" w:type="dxa"/>
            <w:tcBorders>
              <w:top w:val="single" w:color="000000" w:sz="4" w:space="0"/>
              <w:left w:val="single" w:color="000000" w:sz="4" w:space="0"/>
              <w:bottom w:val="single" w:color="000000" w:sz="4" w:space="0"/>
              <w:right w:val="single" w:color="000000" w:sz="4" w:space="0"/>
            </w:tcBorders>
            <w:vAlign w:val="center"/>
          </w:tcPr>
          <w:p w14:paraId="785573B2">
            <w:pPr>
              <w:spacing w:line="440" w:lineRule="exac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评标结果公示：评标结束后，经招标人确认，中标结果公示于浙江政府采购网、宁波政府采购网、</w:t>
            </w:r>
            <w:r>
              <w:rPr>
                <w:rStyle w:val="106"/>
                <w:rFonts w:hint="eastAsia" w:asciiTheme="minorEastAsia" w:hAnsiTheme="minorEastAsia" w:eastAsiaTheme="minorEastAsia" w:cstheme="minorEastAsia"/>
                <w:bCs/>
                <w:color w:val="auto"/>
                <w:szCs w:val="21"/>
                <w:highlight w:val="none"/>
              </w:rPr>
              <w:t>浙江中基正采管理咨询有限公司</w:t>
            </w:r>
            <w:r>
              <w:rPr>
                <w:rStyle w:val="106"/>
                <w:rFonts w:hint="eastAsia" w:asciiTheme="minorEastAsia" w:hAnsiTheme="minorEastAsia" w:eastAsiaTheme="minorEastAsia" w:cstheme="minorEastAsia"/>
                <w:bCs/>
                <w:color w:val="auto"/>
                <w:szCs w:val="21"/>
                <w:highlight w:val="none"/>
                <w:lang w:val="en-US" w:eastAsia="zh-CN"/>
              </w:rPr>
              <w:t>等</w:t>
            </w:r>
            <w:r>
              <w:rPr>
                <w:rStyle w:val="106"/>
                <w:rFonts w:hint="eastAsia" w:asciiTheme="minorEastAsia" w:hAnsiTheme="minorEastAsia" w:eastAsiaTheme="minorEastAsia" w:cstheme="minorEastAsia"/>
                <w:bCs/>
                <w:color w:val="auto"/>
                <w:szCs w:val="21"/>
                <w:highlight w:val="none"/>
              </w:rPr>
              <w:t>网站。</w:t>
            </w:r>
          </w:p>
        </w:tc>
      </w:tr>
      <w:tr w14:paraId="4C986DE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vAlign w:val="center"/>
          </w:tcPr>
          <w:p w14:paraId="39C18E11">
            <w:pPr>
              <w:spacing w:line="440" w:lineRule="exact"/>
              <w:jc w:val="center"/>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9</w:t>
            </w:r>
          </w:p>
        </w:tc>
        <w:tc>
          <w:tcPr>
            <w:tcW w:w="8221" w:type="dxa"/>
            <w:tcBorders>
              <w:top w:val="single" w:color="000000" w:sz="4" w:space="0"/>
              <w:left w:val="single" w:color="000000" w:sz="4" w:space="0"/>
              <w:bottom w:val="single" w:color="000000" w:sz="4" w:space="0"/>
              <w:right w:val="single" w:color="000000" w:sz="4" w:space="0"/>
            </w:tcBorders>
            <w:vAlign w:val="center"/>
          </w:tcPr>
          <w:p w14:paraId="62A4C2F4">
            <w:pPr>
              <w:spacing w:line="440" w:lineRule="exac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签订合同时间：中标通知书发出后30日内。</w:t>
            </w:r>
          </w:p>
        </w:tc>
      </w:tr>
      <w:tr w14:paraId="5A426A6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vAlign w:val="center"/>
          </w:tcPr>
          <w:p w14:paraId="1CCC6294">
            <w:pPr>
              <w:spacing w:line="440" w:lineRule="exact"/>
              <w:jc w:val="center"/>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10</w:t>
            </w:r>
          </w:p>
        </w:tc>
        <w:tc>
          <w:tcPr>
            <w:tcW w:w="8221" w:type="dxa"/>
            <w:tcBorders>
              <w:top w:val="single" w:color="000000" w:sz="4" w:space="0"/>
              <w:left w:val="single" w:color="000000" w:sz="4" w:space="0"/>
              <w:bottom w:val="single" w:color="000000" w:sz="4" w:space="0"/>
              <w:right w:val="single" w:color="000000" w:sz="4" w:space="0"/>
            </w:tcBorders>
            <w:vAlign w:val="center"/>
          </w:tcPr>
          <w:p w14:paraId="1585C419">
            <w:pPr>
              <w:spacing w:line="440" w:lineRule="exact"/>
              <w:rPr>
                <w:rStyle w:val="106"/>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履约保证金：本项目不采用。</w:t>
            </w:r>
          </w:p>
        </w:tc>
      </w:tr>
      <w:tr w14:paraId="57C7427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vAlign w:val="center"/>
          </w:tcPr>
          <w:p w14:paraId="0409E320">
            <w:pPr>
              <w:spacing w:line="440" w:lineRule="exact"/>
              <w:jc w:val="center"/>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11</w:t>
            </w:r>
          </w:p>
        </w:tc>
        <w:tc>
          <w:tcPr>
            <w:tcW w:w="8221" w:type="dxa"/>
            <w:tcBorders>
              <w:top w:val="single" w:color="000000" w:sz="4" w:space="0"/>
              <w:left w:val="single" w:color="000000" w:sz="4" w:space="0"/>
              <w:bottom w:val="single" w:color="000000" w:sz="4" w:space="0"/>
              <w:right w:val="single" w:color="000000" w:sz="4" w:space="0"/>
            </w:tcBorders>
            <w:vAlign w:val="center"/>
          </w:tcPr>
          <w:p w14:paraId="00394B8B">
            <w:pPr>
              <w:spacing w:line="440" w:lineRule="exac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采购资金来源：国有企业自筹。</w:t>
            </w:r>
          </w:p>
        </w:tc>
      </w:tr>
      <w:tr w14:paraId="0A31291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vAlign w:val="center"/>
          </w:tcPr>
          <w:p w14:paraId="7A67D10F">
            <w:pPr>
              <w:spacing w:line="440" w:lineRule="exact"/>
              <w:jc w:val="center"/>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12</w:t>
            </w:r>
          </w:p>
        </w:tc>
        <w:tc>
          <w:tcPr>
            <w:tcW w:w="8221" w:type="dxa"/>
            <w:tcBorders>
              <w:top w:val="single" w:color="000000" w:sz="4" w:space="0"/>
              <w:left w:val="single" w:color="000000" w:sz="4" w:space="0"/>
              <w:bottom w:val="single" w:color="000000" w:sz="4" w:space="0"/>
              <w:right w:val="single" w:color="000000" w:sz="4" w:space="0"/>
            </w:tcBorders>
            <w:vAlign w:val="center"/>
          </w:tcPr>
          <w:p w14:paraId="2B9D2466">
            <w:pPr>
              <w:spacing w:line="440" w:lineRule="exac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付款方式：自行支付。</w:t>
            </w:r>
          </w:p>
        </w:tc>
      </w:tr>
      <w:tr w14:paraId="2CE92CA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vAlign w:val="center"/>
          </w:tcPr>
          <w:p w14:paraId="05444119">
            <w:pPr>
              <w:spacing w:line="440" w:lineRule="exact"/>
              <w:jc w:val="center"/>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★13</w:t>
            </w:r>
          </w:p>
        </w:tc>
        <w:tc>
          <w:tcPr>
            <w:tcW w:w="8221" w:type="dxa"/>
            <w:tcBorders>
              <w:top w:val="single" w:color="000000" w:sz="4" w:space="0"/>
              <w:left w:val="single" w:color="000000" w:sz="4" w:space="0"/>
              <w:bottom w:val="single" w:color="000000" w:sz="4" w:space="0"/>
              <w:right w:val="single" w:color="000000" w:sz="4" w:space="0"/>
            </w:tcBorders>
            <w:vAlign w:val="center"/>
          </w:tcPr>
          <w:p w14:paraId="6CEDCC29">
            <w:pPr>
              <w:spacing w:line="440" w:lineRule="exac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投标文件有效期：自投标截止日起90天。</w:t>
            </w:r>
          </w:p>
        </w:tc>
      </w:tr>
      <w:tr w14:paraId="4CC4A6A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vAlign w:val="center"/>
          </w:tcPr>
          <w:p w14:paraId="0D2D08CA">
            <w:pPr>
              <w:spacing w:line="440" w:lineRule="exact"/>
              <w:jc w:val="center"/>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14</w:t>
            </w:r>
          </w:p>
        </w:tc>
        <w:tc>
          <w:tcPr>
            <w:tcW w:w="8221" w:type="dxa"/>
            <w:tcBorders>
              <w:top w:val="single" w:color="000000" w:sz="4" w:space="0"/>
              <w:left w:val="single" w:color="000000" w:sz="4" w:space="0"/>
              <w:bottom w:val="single" w:color="000000" w:sz="4" w:space="0"/>
              <w:right w:val="single" w:color="000000" w:sz="4" w:space="0"/>
            </w:tcBorders>
            <w:vAlign w:val="center"/>
          </w:tcPr>
          <w:p w14:paraId="09A0B4B1">
            <w:pPr>
              <w:spacing w:line="440" w:lineRule="exac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解释：本招标文件的解释权属于招标人和招标代理机构。</w:t>
            </w:r>
          </w:p>
        </w:tc>
      </w:tr>
      <w:bookmarkEnd w:id="8"/>
    </w:tbl>
    <w:p w14:paraId="4D39FF63">
      <w:pPr>
        <w:spacing w:line="400" w:lineRule="exact"/>
        <w:rPr>
          <w:rStyle w:val="106"/>
          <w:rFonts w:hint="eastAsia" w:asciiTheme="minorEastAsia" w:hAnsiTheme="minorEastAsia" w:eastAsiaTheme="minorEastAsia" w:cstheme="minorEastAsia"/>
          <w:color w:val="auto"/>
          <w:highlight w:val="none"/>
        </w:rPr>
      </w:pPr>
    </w:p>
    <w:p w14:paraId="434B7386">
      <w:pPr>
        <w:pStyle w:val="41"/>
        <w:snapToGrid w:val="0"/>
        <w:spacing w:before="0" w:after="0"/>
        <w:rPr>
          <w:rStyle w:val="106"/>
          <w:rFonts w:hint="eastAsia" w:asciiTheme="minorEastAsia" w:hAnsiTheme="minorEastAsia" w:eastAsiaTheme="minorEastAsia" w:cstheme="minorEastAsia"/>
          <w:color w:val="auto"/>
          <w:highlight w:val="none"/>
        </w:rPr>
      </w:pPr>
      <w:r>
        <w:rPr>
          <w:rStyle w:val="106"/>
          <w:rFonts w:hint="eastAsia" w:asciiTheme="minorEastAsia" w:hAnsiTheme="minorEastAsia" w:eastAsiaTheme="minorEastAsia" w:cstheme="minorEastAsia"/>
          <w:color w:val="auto"/>
          <w:highlight w:val="none"/>
        </w:rPr>
        <w:br w:type="page"/>
      </w:r>
    </w:p>
    <w:p w14:paraId="3B128A79">
      <w:pPr>
        <w:pStyle w:val="41"/>
        <w:snapToGrid w:val="0"/>
        <w:spacing w:before="0" w:after="0" w:line="440" w:lineRule="exact"/>
        <w:rPr>
          <w:rStyle w:val="106"/>
          <w:rFonts w:hint="eastAsia" w:asciiTheme="minorEastAsia" w:hAnsiTheme="minorEastAsia" w:eastAsiaTheme="minorEastAsia" w:cstheme="minorEastAsia"/>
          <w:b/>
          <w:color w:val="auto"/>
          <w:sz w:val="21"/>
          <w:szCs w:val="21"/>
          <w:highlight w:val="none"/>
        </w:rPr>
      </w:pPr>
      <w:r>
        <w:rPr>
          <w:rStyle w:val="106"/>
          <w:rFonts w:hint="eastAsia" w:asciiTheme="minorEastAsia" w:hAnsiTheme="minorEastAsia" w:eastAsiaTheme="minorEastAsia" w:cstheme="minorEastAsia"/>
          <w:b/>
          <w:color w:val="auto"/>
          <w:sz w:val="21"/>
          <w:szCs w:val="21"/>
          <w:highlight w:val="none"/>
        </w:rPr>
        <w:t>一、总  则</w:t>
      </w:r>
    </w:p>
    <w:p w14:paraId="137F787D">
      <w:pPr>
        <w:snapToGrid w:val="0"/>
        <w:spacing w:line="440" w:lineRule="exact"/>
        <w:ind w:firstLine="422" w:firstLineChars="200"/>
        <w:jc w:val="left"/>
        <w:rPr>
          <w:rStyle w:val="106"/>
          <w:rFonts w:hint="eastAsia" w:asciiTheme="minorEastAsia" w:hAnsiTheme="minorEastAsia" w:eastAsiaTheme="minorEastAsia" w:cstheme="minorEastAsia"/>
          <w:b/>
          <w:color w:val="auto"/>
          <w:szCs w:val="21"/>
          <w:highlight w:val="none"/>
        </w:rPr>
      </w:pPr>
      <w:r>
        <w:rPr>
          <w:rStyle w:val="106"/>
          <w:rFonts w:hint="eastAsia" w:asciiTheme="minorEastAsia" w:hAnsiTheme="minorEastAsia" w:eastAsiaTheme="minorEastAsia" w:cstheme="minorEastAsia"/>
          <w:b/>
          <w:color w:val="auto"/>
          <w:szCs w:val="21"/>
          <w:highlight w:val="none"/>
        </w:rPr>
        <w:t>（一） 适用范围</w:t>
      </w:r>
    </w:p>
    <w:p w14:paraId="40D17049">
      <w:pPr>
        <w:snapToGrid w:val="0"/>
        <w:spacing w:line="440" w:lineRule="exact"/>
        <w:ind w:firstLine="420" w:firstLineChars="200"/>
        <w:jc w:val="lef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本招标文件适用于本项目的招标、投标、评标、定标、验收、合同履约、付款等行为（法律、法规另有规定的，从其规定）。</w:t>
      </w:r>
    </w:p>
    <w:p w14:paraId="5920D51D">
      <w:pPr>
        <w:snapToGrid w:val="0"/>
        <w:spacing w:line="440" w:lineRule="exact"/>
        <w:ind w:firstLine="422" w:firstLineChars="200"/>
        <w:jc w:val="left"/>
        <w:rPr>
          <w:rStyle w:val="106"/>
          <w:rFonts w:hint="eastAsia" w:asciiTheme="minorEastAsia" w:hAnsiTheme="minorEastAsia" w:eastAsiaTheme="minorEastAsia" w:cstheme="minorEastAsia"/>
          <w:b/>
          <w:color w:val="auto"/>
          <w:szCs w:val="21"/>
          <w:highlight w:val="none"/>
        </w:rPr>
      </w:pPr>
      <w:r>
        <w:rPr>
          <w:rStyle w:val="106"/>
          <w:rFonts w:hint="eastAsia" w:asciiTheme="minorEastAsia" w:hAnsiTheme="minorEastAsia" w:eastAsiaTheme="minorEastAsia" w:cstheme="minorEastAsia"/>
          <w:b/>
          <w:color w:val="auto"/>
          <w:szCs w:val="21"/>
          <w:highlight w:val="none"/>
        </w:rPr>
        <w:t>（二）定义</w:t>
      </w:r>
    </w:p>
    <w:p w14:paraId="24BA71C2">
      <w:pPr>
        <w:snapToGrid w:val="0"/>
        <w:spacing w:line="440" w:lineRule="exact"/>
        <w:ind w:firstLine="420" w:firstLineChars="200"/>
        <w:jc w:val="lef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1.“招标人”系指宁海县科建开发投资有限公司，“招标代理机构”系指浙江中基正采管理咨询有限公司。</w:t>
      </w:r>
    </w:p>
    <w:p w14:paraId="1EE983ED">
      <w:pPr>
        <w:snapToGrid w:val="0"/>
        <w:spacing w:line="440" w:lineRule="exact"/>
        <w:ind w:firstLine="420" w:firstLineChars="200"/>
        <w:jc w:val="lef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2.“投标人”系指向招标人提交投标文件的单位或个人。</w:t>
      </w:r>
    </w:p>
    <w:p w14:paraId="435F7A8F">
      <w:pPr>
        <w:snapToGrid w:val="0"/>
        <w:spacing w:line="440" w:lineRule="exact"/>
        <w:ind w:firstLine="420" w:firstLineChars="200"/>
        <w:jc w:val="lef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3.“服务”系指招标文件规定投标人须承担的</w:t>
      </w:r>
      <w:r>
        <w:rPr>
          <w:rStyle w:val="106"/>
          <w:rFonts w:hint="eastAsia" w:asciiTheme="minorEastAsia" w:hAnsiTheme="minorEastAsia" w:eastAsiaTheme="minorEastAsia" w:cstheme="minorEastAsia"/>
          <w:color w:val="auto"/>
          <w:szCs w:val="21"/>
          <w:highlight w:val="none"/>
          <w:lang w:eastAsia="zh-CN"/>
        </w:rPr>
        <w:t>宁东新城前横孵化园及配套基础设施提升工程项目-前横片科技孵化园工程</w:t>
      </w:r>
      <w:r>
        <w:rPr>
          <w:rStyle w:val="106"/>
          <w:rFonts w:hint="eastAsia" w:asciiTheme="minorEastAsia" w:hAnsiTheme="minorEastAsia" w:eastAsiaTheme="minorEastAsia" w:cstheme="minorEastAsia"/>
          <w:color w:val="auto"/>
          <w:szCs w:val="21"/>
          <w:highlight w:val="none"/>
        </w:rPr>
        <w:t>招标代理及造价咨询服务及其他伴随服务。</w:t>
      </w:r>
    </w:p>
    <w:p w14:paraId="3F789A72">
      <w:pPr>
        <w:snapToGrid w:val="0"/>
        <w:spacing w:line="440" w:lineRule="exact"/>
        <w:ind w:firstLine="420" w:firstLineChars="200"/>
        <w:jc w:val="lef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4.“项目”系指“</w:t>
      </w:r>
      <w:r>
        <w:rPr>
          <w:rStyle w:val="106"/>
          <w:rFonts w:hint="eastAsia" w:asciiTheme="minorEastAsia" w:hAnsiTheme="minorEastAsia" w:eastAsiaTheme="minorEastAsia" w:cstheme="minorEastAsia"/>
          <w:color w:val="auto"/>
          <w:szCs w:val="21"/>
          <w:highlight w:val="none"/>
          <w:lang w:eastAsia="zh-CN"/>
        </w:rPr>
        <w:t>宁东新城前横孵化园及配套基础设施提升工程项目-前横片科技孵化园工程</w:t>
      </w:r>
      <w:r>
        <w:rPr>
          <w:rStyle w:val="106"/>
          <w:rFonts w:hint="eastAsia" w:asciiTheme="minorEastAsia" w:hAnsiTheme="minorEastAsia" w:eastAsiaTheme="minorEastAsia" w:cstheme="minorEastAsia"/>
          <w:color w:val="auto"/>
          <w:szCs w:val="21"/>
          <w:highlight w:val="none"/>
        </w:rPr>
        <w:t>招标代理及造价咨询服务项目”。</w:t>
      </w:r>
    </w:p>
    <w:p w14:paraId="715BB5DF">
      <w:pPr>
        <w:snapToGrid w:val="0"/>
        <w:spacing w:line="440" w:lineRule="exact"/>
        <w:ind w:firstLine="420" w:firstLineChars="200"/>
        <w:jc w:val="lef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5.“书面形式”包括信函、传真、电报等。</w:t>
      </w:r>
    </w:p>
    <w:p w14:paraId="37FD2345">
      <w:pPr>
        <w:snapToGrid w:val="0"/>
        <w:spacing w:line="440" w:lineRule="exact"/>
        <w:ind w:firstLine="420" w:firstLineChars="200"/>
        <w:jc w:val="lef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6.“★”系指实质性要求条款，投标人的投标对任何带“★”号的商务和技术条款的偏离和未作实质性响应都将直接导致废标。</w:t>
      </w:r>
    </w:p>
    <w:p w14:paraId="49091391">
      <w:pPr>
        <w:snapToGrid w:val="0"/>
        <w:spacing w:line="440" w:lineRule="exact"/>
        <w:ind w:firstLine="422" w:firstLineChars="200"/>
        <w:jc w:val="left"/>
        <w:rPr>
          <w:rStyle w:val="106"/>
          <w:rFonts w:hint="eastAsia" w:asciiTheme="minorEastAsia" w:hAnsiTheme="minorEastAsia" w:eastAsiaTheme="minorEastAsia" w:cstheme="minorEastAsia"/>
          <w:b/>
          <w:color w:val="auto"/>
          <w:szCs w:val="21"/>
          <w:highlight w:val="none"/>
        </w:rPr>
      </w:pPr>
      <w:r>
        <w:rPr>
          <w:rStyle w:val="106"/>
          <w:rFonts w:hint="eastAsia" w:asciiTheme="minorEastAsia" w:hAnsiTheme="minorEastAsia" w:eastAsiaTheme="minorEastAsia" w:cstheme="minorEastAsia"/>
          <w:b/>
          <w:color w:val="auto"/>
          <w:szCs w:val="21"/>
          <w:highlight w:val="none"/>
        </w:rPr>
        <w:t>（三）招标方式</w:t>
      </w:r>
    </w:p>
    <w:p w14:paraId="00F3D81E">
      <w:pPr>
        <w:snapToGrid w:val="0"/>
        <w:spacing w:line="440" w:lineRule="exact"/>
        <w:ind w:firstLine="420" w:firstLineChars="200"/>
        <w:jc w:val="lef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本次招标采用公开招标方式进行。</w:t>
      </w:r>
    </w:p>
    <w:p w14:paraId="2216C067">
      <w:pPr>
        <w:snapToGrid w:val="0"/>
        <w:spacing w:line="440" w:lineRule="exact"/>
        <w:ind w:firstLine="422" w:firstLineChars="200"/>
        <w:jc w:val="left"/>
        <w:rPr>
          <w:rStyle w:val="106"/>
          <w:rFonts w:hint="eastAsia" w:asciiTheme="minorEastAsia" w:hAnsiTheme="minorEastAsia" w:eastAsiaTheme="minorEastAsia" w:cstheme="minorEastAsia"/>
          <w:b/>
          <w:color w:val="auto"/>
          <w:szCs w:val="21"/>
          <w:highlight w:val="none"/>
        </w:rPr>
      </w:pPr>
      <w:r>
        <w:rPr>
          <w:rStyle w:val="106"/>
          <w:rFonts w:hint="eastAsia" w:asciiTheme="minorEastAsia" w:hAnsiTheme="minorEastAsia" w:eastAsiaTheme="minorEastAsia" w:cstheme="minorEastAsia"/>
          <w:b/>
          <w:color w:val="auto"/>
          <w:szCs w:val="21"/>
          <w:highlight w:val="none"/>
        </w:rPr>
        <w:t>（四）投标委托</w:t>
      </w:r>
    </w:p>
    <w:p w14:paraId="6D65EBE2">
      <w:pPr>
        <w:snapToGrid w:val="0"/>
        <w:spacing w:line="440" w:lineRule="exact"/>
        <w:ind w:firstLine="420" w:firstLineChars="200"/>
        <w:jc w:val="lef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投标人代表为法定代表人的，投标文件中提供法定代表人身份证正反面；</w:t>
      </w:r>
    </w:p>
    <w:p w14:paraId="700F312A">
      <w:pPr>
        <w:snapToGrid w:val="0"/>
        <w:spacing w:line="440" w:lineRule="exact"/>
        <w:ind w:firstLine="420" w:firstLineChars="200"/>
        <w:jc w:val="lef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投标人代表不是法定代表人，须在投标文件中提供由法定代表人出具的授权委托书（格式见第六章  投标文件格式）。</w:t>
      </w:r>
    </w:p>
    <w:p w14:paraId="49A06BC4">
      <w:pPr>
        <w:snapToGrid w:val="0"/>
        <w:spacing w:line="440" w:lineRule="exact"/>
        <w:ind w:firstLine="422" w:firstLineChars="200"/>
        <w:jc w:val="left"/>
        <w:rPr>
          <w:rStyle w:val="106"/>
          <w:rFonts w:hint="eastAsia" w:asciiTheme="minorEastAsia" w:hAnsiTheme="minorEastAsia" w:eastAsiaTheme="minorEastAsia" w:cstheme="minorEastAsia"/>
          <w:b/>
          <w:color w:val="auto"/>
          <w:szCs w:val="21"/>
          <w:highlight w:val="none"/>
        </w:rPr>
      </w:pPr>
      <w:r>
        <w:rPr>
          <w:rStyle w:val="106"/>
          <w:rFonts w:hint="eastAsia" w:asciiTheme="minorEastAsia" w:hAnsiTheme="minorEastAsia" w:eastAsiaTheme="minorEastAsia" w:cstheme="minorEastAsia"/>
          <w:b/>
          <w:color w:val="auto"/>
          <w:szCs w:val="21"/>
          <w:highlight w:val="none"/>
        </w:rPr>
        <w:t>（五）投标费用</w:t>
      </w:r>
    </w:p>
    <w:p w14:paraId="5410C6CC">
      <w:pPr>
        <w:snapToGrid w:val="0"/>
        <w:spacing w:line="440" w:lineRule="exact"/>
        <w:ind w:firstLine="420" w:firstLineChars="200"/>
        <w:jc w:val="lef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不论投标结果如何，投标人均应自行承担所有与投标有关的全部费用（招标文件有其他规定除外）。</w:t>
      </w:r>
    </w:p>
    <w:p w14:paraId="168C6F61">
      <w:pPr>
        <w:snapToGrid w:val="0"/>
        <w:spacing w:line="440" w:lineRule="exact"/>
        <w:ind w:firstLine="422" w:firstLineChars="200"/>
        <w:jc w:val="left"/>
        <w:rPr>
          <w:rStyle w:val="106"/>
          <w:rFonts w:hint="eastAsia" w:asciiTheme="minorEastAsia" w:hAnsiTheme="minorEastAsia" w:eastAsiaTheme="minorEastAsia" w:cstheme="minorEastAsia"/>
          <w:b/>
          <w:color w:val="auto"/>
          <w:szCs w:val="21"/>
          <w:highlight w:val="none"/>
        </w:rPr>
      </w:pPr>
      <w:r>
        <w:rPr>
          <w:rStyle w:val="106"/>
          <w:rFonts w:hint="eastAsia" w:asciiTheme="minorEastAsia" w:hAnsiTheme="minorEastAsia" w:eastAsiaTheme="minorEastAsia" w:cstheme="minorEastAsia"/>
          <w:b/>
          <w:color w:val="auto"/>
          <w:szCs w:val="21"/>
          <w:highlight w:val="none"/>
        </w:rPr>
        <w:t>（六）联合体投标</w:t>
      </w:r>
    </w:p>
    <w:p w14:paraId="71EA8689">
      <w:pPr>
        <w:snapToGrid w:val="0"/>
        <w:spacing w:line="440" w:lineRule="exact"/>
        <w:ind w:firstLine="420" w:firstLineChars="200"/>
        <w:jc w:val="lef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本项目不接受联合体投标。</w:t>
      </w:r>
    </w:p>
    <w:p w14:paraId="7BACE13A">
      <w:pPr>
        <w:snapToGrid w:val="0"/>
        <w:spacing w:line="440" w:lineRule="exact"/>
        <w:ind w:firstLine="422" w:firstLineChars="200"/>
        <w:rPr>
          <w:rStyle w:val="106"/>
          <w:rFonts w:hint="eastAsia" w:asciiTheme="minorEastAsia" w:hAnsiTheme="minorEastAsia" w:eastAsiaTheme="minorEastAsia" w:cstheme="minorEastAsia"/>
          <w:b/>
          <w:color w:val="auto"/>
          <w:kern w:val="0"/>
          <w:szCs w:val="21"/>
          <w:highlight w:val="none"/>
        </w:rPr>
      </w:pPr>
      <w:r>
        <w:rPr>
          <w:rStyle w:val="106"/>
          <w:rFonts w:hint="eastAsia" w:asciiTheme="minorEastAsia" w:hAnsiTheme="minorEastAsia" w:eastAsiaTheme="minorEastAsia" w:cstheme="minorEastAsia"/>
          <w:b/>
          <w:color w:val="auto"/>
          <w:szCs w:val="21"/>
          <w:highlight w:val="none"/>
        </w:rPr>
        <w:t>（七）</w:t>
      </w:r>
      <w:r>
        <w:rPr>
          <w:rStyle w:val="106"/>
          <w:rFonts w:hint="eastAsia" w:asciiTheme="minorEastAsia" w:hAnsiTheme="minorEastAsia" w:eastAsiaTheme="minorEastAsia" w:cstheme="minorEastAsia"/>
          <w:b/>
          <w:color w:val="auto"/>
          <w:kern w:val="0"/>
          <w:szCs w:val="21"/>
          <w:highlight w:val="none"/>
        </w:rPr>
        <w:t>转包与分包</w:t>
      </w:r>
    </w:p>
    <w:p w14:paraId="52A9105A">
      <w:pPr>
        <w:snapToGrid w:val="0"/>
        <w:spacing w:line="440" w:lineRule="exact"/>
        <w:ind w:firstLine="420" w:firstLineChars="200"/>
        <w:rPr>
          <w:rStyle w:val="106"/>
          <w:rFonts w:hint="eastAsia" w:asciiTheme="minorEastAsia" w:hAnsiTheme="minorEastAsia" w:eastAsiaTheme="minorEastAsia" w:cstheme="minorEastAsia"/>
          <w:b/>
          <w:color w:val="auto"/>
          <w:kern w:val="0"/>
          <w:szCs w:val="21"/>
          <w:highlight w:val="none"/>
        </w:rPr>
      </w:pPr>
      <w:r>
        <w:rPr>
          <w:rStyle w:val="106"/>
          <w:rFonts w:hint="eastAsia" w:asciiTheme="minorEastAsia" w:hAnsiTheme="minorEastAsia" w:eastAsiaTheme="minorEastAsia" w:cstheme="minorEastAsia"/>
          <w:color w:val="auto"/>
          <w:kern w:val="0"/>
          <w:szCs w:val="21"/>
          <w:highlight w:val="none"/>
        </w:rPr>
        <w:t>★本项目不允许转包；未经招标人允许，不得分包。</w:t>
      </w:r>
    </w:p>
    <w:p w14:paraId="399A7DC8">
      <w:pPr>
        <w:snapToGrid w:val="0"/>
        <w:spacing w:line="440" w:lineRule="exact"/>
        <w:ind w:firstLine="422" w:firstLineChars="200"/>
        <w:jc w:val="left"/>
        <w:rPr>
          <w:rStyle w:val="106"/>
          <w:rFonts w:hint="eastAsia" w:asciiTheme="minorEastAsia" w:hAnsiTheme="minorEastAsia" w:eastAsiaTheme="minorEastAsia" w:cstheme="minorEastAsia"/>
          <w:b/>
          <w:color w:val="auto"/>
          <w:szCs w:val="21"/>
          <w:highlight w:val="none"/>
        </w:rPr>
      </w:pPr>
      <w:r>
        <w:rPr>
          <w:rStyle w:val="106"/>
          <w:rFonts w:hint="eastAsia" w:asciiTheme="minorEastAsia" w:hAnsiTheme="minorEastAsia" w:eastAsiaTheme="minorEastAsia" w:cstheme="minorEastAsia"/>
          <w:b/>
          <w:color w:val="auto"/>
          <w:szCs w:val="21"/>
          <w:highlight w:val="none"/>
        </w:rPr>
        <w:t>（八）特别说明</w:t>
      </w:r>
    </w:p>
    <w:p w14:paraId="4C77847D">
      <w:pPr>
        <w:snapToGrid w:val="0"/>
        <w:spacing w:line="440" w:lineRule="exact"/>
        <w:ind w:firstLine="420" w:firstLineChars="200"/>
        <w:jc w:val="lef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★1.投标人应仔细阅读招标文件的所有内容，按照招标文件的要求提交投标文件，并对所提供的全部资料的真实性承担法律责任。</w:t>
      </w:r>
    </w:p>
    <w:p w14:paraId="27D9181E">
      <w:pPr>
        <w:snapToGrid w:val="0"/>
        <w:spacing w:line="440" w:lineRule="exact"/>
        <w:ind w:firstLine="420" w:firstLineChars="200"/>
        <w:jc w:val="lef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2.投标人在投标活动中提供任何虚假材料，其投标无效，并报监管部门查处；中标后发现的，中标人须依照《中华人民共和国消费者权益保护法》第55条之规定赔偿招标人，且民事赔偿并不免除违法投标人的行政与刑事责任。</w:t>
      </w:r>
    </w:p>
    <w:p w14:paraId="427F9451">
      <w:pPr>
        <w:pStyle w:val="41"/>
        <w:snapToGrid w:val="0"/>
        <w:spacing w:before="0" w:after="0" w:line="440" w:lineRule="exact"/>
        <w:ind w:firstLine="422" w:firstLineChars="200"/>
        <w:rPr>
          <w:rStyle w:val="106"/>
          <w:rFonts w:hint="eastAsia" w:asciiTheme="minorEastAsia" w:hAnsiTheme="minorEastAsia" w:eastAsiaTheme="minorEastAsia" w:cstheme="minorEastAsia"/>
          <w:b/>
          <w:bCs/>
          <w:color w:val="auto"/>
          <w:sz w:val="21"/>
          <w:szCs w:val="21"/>
          <w:highlight w:val="none"/>
        </w:rPr>
      </w:pPr>
      <w:r>
        <w:rPr>
          <w:rStyle w:val="106"/>
          <w:rFonts w:hint="eastAsia" w:asciiTheme="minorEastAsia" w:hAnsiTheme="minorEastAsia" w:eastAsiaTheme="minorEastAsia" w:cstheme="minorEastAsia"/>
          <w:b/>
          <w:bCs/>
          <w:color w:val="auto"/>
          <w:sz w:val="21"/>
          <w:szCs w:val="21"/>
          <w:highlight w:val="none"/>
        </w:rPr>
        <w:t>（九）异议和投诉</w:t>
      </w:r>
    </w:p>
    <w:p w14:paraId="4FC334F0">
      <w:pPr>
        <w:snapToGrid w:val="0"/>
        <w:spacing w:line="440" w:lineRule="exact"/>
        <w:ind w:firstLine="420" w:firstLineChars="200"/>
        <w:jc w:val="lef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1.潜在投标人或者其他利害关系人对招标文件有异议的，应当在投标截止时间10日前提出。招标人应当自收到异议之日起3日内作出答复；作出答复前，应当暂停招标投标活动。</w:t>
      </w:r>
    </w:p>
    <w:p w14:paraId="6BFF3CB4">
      <w:pPr>
        <w:snapToGrid w:val="0"/>
        <w:spacing w:line="440" w:lineRule="exact"/>
        <w:ind w:firstLine="420" w:firstLineChars="200"/>
        <w:jc w:val="lef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2.投标人对开标有异议的，应当在开标现场提出，招标人应当当场作出答复，并制作记录。</w:t>
      </w:r>
    </w:p>
    <w:p w14:paraId="716FB449">
      <w:pPr>
        <w:snapToGrid w:val="0"/>
        <w:spacing w:line="440" w:lineRule="exact"/>
        <w:ind w:firstLine="420" w:firstLineChars="200"/>
        <w:jc w:val="lef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3.投标人或其他利害关系人对评标结果有异议的，应当在中标候选人公示期间提出。招标人应当自收到异议之日起3日内作出答复。</w:t>
      </w:r>
    </w:p>
    <w:p w14:paraId="511C981B">
      <w:pPr>
        <w:snapToGrid w:val="0"/>
        <w:spacing w:line="440" w:lineRule="exact"/>
        <w:ind w:firstLine="420" w:firstLineChars="200"/>
        <w:jc w:val="lef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4.投标人或者其他利害关系人认为招标投标活动不符合法律、行政法规规定的，可以自知道或者应当知道之日起10日内向有关行政监督部门投诉。投诉应当有明确的请求和必要的证明材料。</w:t>
      </w:r>
    </w:p>
    <w:p w14:paraId="60511AE5">
      <w:pPr>
        <w:snapToGrid w:val="0"/>
        <w:spacing w:line="440" w:lineRule="exact"/>
        <w:ind w:firstLine="420" w:firstLineChars="200"/>
        <w:jc w:val="lef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就上述1-3条规定事项投诉的，应当先向招标人提出异议，异议答复期间不计算在前款规定的期限内。</w:t>
      </w:r>
    </w:p>
    <w:p w14:paraId="37A33070">
      <w:pPr>
        <w:pStyle w:val="41"/>
        <w:snapToGrid w:val="0"/>
        <w:spacing w:before="0" w:after="0" w:line="440" w:lineRule="exact"/>
        <w:rPr>
          <w:rStyle w:val="106"/>
          <w:rFonts w:hint="eastAsia" w:asciiTheme="minorEastAsia" w:hAnsiTheme="minorEastAsia" w:eastAsiaTheme="minorEastAsia" w:cstheme="minorEastAsia"/>
          <w:b/>
          <w:color w:val="auto"/>
          <w:sz w:val="21"/>
          <w:szCs w:val="21"/>
          <w:highlight w:val="none"/>
        </w:rPr>
      </w:pPr>
      <w:r>
        <w:rPr>
          <w:rStyle w:val="106"/>
          <w:rFonts w:hint="eastAsia" w:asciiTheme="minorEastAsia" w:hAnsiTheme="minorEastAsia" w:eastAsiaTheme="minorEastAsia" w:cstheme="minorEastAsia"/>
          <w:b/>
          <w:color w:val="auto"/>
          <w:sz w:val="21"/>
          <w:szCs w:val="21"/>
          <w:highlight w:val="none"/>
        </w:rPr>
        <w:t>二、招标文件</w:t>
      </w:r>
    </w:p>
    <w:p w14:paraId="7CEFDF08">
      <w:pPr>
        <w:snapToGrid w:val="0"/>
        <w:spacing w:line="440" w:lineRule="exact"/>
        <w:ind w:firstLine="422" w:firstLineChars="200"/>
        <w:jc w:val="left"/>
        <w:rPr>
          <w:rStyle w:val="106"/>
          <w:rFonts w:hint="eastAsia" w:asciiTheme="minorEastAsia" w:hAnsiTheme="minorEastAsia" w:eastAsiaTheme="minorEastAsia" w:cstheme="minorEastAsia"/>
          <w:b/>
          <w:color w:val="auto"/>
          <w:szCs w:val="21"/>
          <w:highlight w:val="none"/>
        </w:rPr>
      </w:pPr>
      <w:r>
        <w:rPr>
          <w:rStyle w:val="106"/>
          <w:rFonts w:hint="eastAsia" w:asciiTheme="minorEastAsia" w:hAnsiTheme="minorEastAsia" w:eastAsiaTheme="minorEastAsia" w:cstheme="minorEastAsia"/>
          <w:b/>
          <w:color w:val="auto"/>
          <w:szCs w:val="21"/>
          <w:highlight w:val="none"/>
        </w:rPr>
        <w:t>（一）招标文件的构成。本招标文件由以下部份组成：</w:t>
      </w:r>
    </w:p>
    <w:p w14:paraId="54A2F002">
      <w:pPr>
        <w:snapToGrid w:val="0"/>
        <w:spacing w:line="440" w:lineRule="exact"/>
        <w:ind w:firstLine="420" w:firstLineChars="200"/>
        <w:jc w:val="lef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1.公开招标公告</w:t>
      </w:r>
    </w:p>
    <w:p w14:paraId="6605D51E">
      <w:pPr>
        <w:snapToGrid w:val="0"/>
        <w:spacing w:line="440" w:lineRule="exact"/>
        <w:ind w:firstLine="420" w:firstLineChars="200"/>
        <w:jc w:val="lef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2.招标需求</w:t>
      </w:r>
    </w:p>
    <w:p w14:paraId="28B0A379">
      <w:pPr>
        <w:snapToGrid w:val="0"/>
        <w:spacing w:line="440" w:lineRule="exact"/>
        <w:ind w:firstLine="420" w:firstLineChars="200"/>
        <w:jc w:val="lef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3.投标人须知</w:t>
      </w:r>
    </w:p>
    <w:p w14:paraId="36DAC662">
      <w:pPr>
        <w:snapToGrid w:val="0"/>
        <w:spacing w:line="440" w:lineRule="exact"/>
        <w:ind w:firstLine="420" w:firstLineChars="200"/>
        <w:jc w:val="lef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4.评标办法及标准</w:t>
      </w:r>
    </w:p>
    <w:p w14:paraId="232FA98C">
      <w:pPr>
        <w:snapToGrid w:val="0"/>
        <w:spacing w:line="440" w:lineRule="exact"/>
        <w:ind w:firstLine="420" w:firstLineChars="200"/>
        <w:jc w:val="lef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5.合同主要条款</w:t>
      </w:r>
    </w:p>
    <w:p w14:paraId="3A60615C">
      <w:pPr>
        <w:snapToGrid w:val="0"/>
        <w:spacing w:line="440" w:lineRule="exact"/>
        <w:ind w:firstLine="420" w:firstLineChars="200"/>
        <w:jc w:val="lef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6.投标文件格式</w:t>
      </w:r>
    </w:p>
    <w:p w14:paraId="32FA872F">
      <w:pPr>
        <w:snapToGrid w:val="0"/>
        <w:spacing w:line="440" w:lineRule="exact"/>
        <w:ind w:firstLine="420" w:firstLineChars="200"/>
        <w:jc w:val="lef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7.本项目招标文件的澄清、答复、修改、补充的内容</w:t>
      </w:r>
    </w:p>
    <w:p w14:paraId="0291B87F">
      <w:pPr>
        <w:snapToGrid w:val="0"/>
        <w:spacing w:line="440" w:lineRule="exact"/>
        <w:ind w:firstLine="422" w:firstLineChars="200"/>
        <w:jc w:val="left"/>
        <w:rPr>
          <w:rStyle w:val="106"/>
          <w:rFonts w:hint="eastAsia" w:asciiTheme="minorEastAsia" w:hAnsiTheme="minorEastAsia" w:eastAsiaTheme="minorEastAsia" w:cstheme="minorEastAsia"/>
          <w:b/>
          <w:color w:val="auto"/>
          <w:szCs w:val="21"/>
          <w:highlight w:val="none"/>
        </w:rPr>
      </w:pPr>
      <w:r>
        <w:rPr>
          <w:rStyle w:val="106"/>
          <w:rFonts w:hint="eastAsia" w:asciiTheme="minorEastAsia" w:hAnsiTheme="minorEastAsia" w:eastAsiaTheme="minorEastAsia" w:cstheme="minorEastAsia"/>
          <w:b/>
          <w:color w:val="auto"/>
          <w:szCs w:val="21"/>
          <w:highlight w:val="none"/>
        </w:rPr>
        <w:t>（二）投标人的风险</w:t>
      </w:r>
    </w:p>
    <w:p w14:paraId="54905C03">
      <w:pPr>
        <w:pStyle w:val="43"/>
        <w:spacing w:line="440" w:lineRule="exact"/>
        <w:ind w:firstLine="420"/>
        <w:rPr>
          <w:rStyle w:val="106"/>
          <w:rFonts w:hint="eastAsia" w:asciiTheme="minorEastAsia" w:hAnsiTheme="minorEastAsia" w:eastAsiaTheme="minorEastAsia" w:cstheme="minorEastAsia"/>
          <w:color w:val="auto"/>
          <w:sz w:val="21"/>
          <w:szCs w:val="21"/>
          <w:highlight w:val="none"/>
        </w:rPr>
      </w:pPr>
      <w:r>
        <w:rPr>
          <w:rStyle w:val="106"/>
          <w:rFonts w:hint="eastAsia" w:asciiTheme="minorEastAsia" w:hAnsiTheme="minorEastAsia" w:eastAsiaTheme="minorEastAsia" w:cstheme="minorEastAsia"/>
          <w:color w:val="auto"/>
          <w:sz w:val="21"/>
          <w:szCs w:val="21"/>
          <w:highlight w:val="none"/>
        </w:rPr>
        <w:t>投标人没有按照招标文件要求提供全部资料，或者投标人没有对招标文件在各方面作出实质性响应是投标人的风险，并可能导致其投标被拒绝。</w:t>
      </w:r>
    </w:p>
    <w:p w14:paraId="6E2F521A">
      <w:pPr>
        <w:pStyle w:val="53"/>
        <w:snapToGrid w:val="0"/>
        <w:spacing w:after="0" w:line="440" w:lineRule="exact"/>
        <w:ind w:left="0" w:firstLine="422" w:firstLineChars="200"/>
        <w:rPr>
          <w:rStyle w:val="106"/>
          <w:rFonts w:hint="eastAsia" w:asciiTheme="minorEastAsia" w:hAnsiTheme="minorEastAsia" w:eastAsiaTheme="minorEastAsia" w:cstheme="minorEastAsia"/>
          <w:b/>
          <w:color w:val="auto"/>
          <w:sz w:val="21"/>
          <w:szCs w:val="21"/>
          <w:highlight w:val="none"/>
        </w:rPr>
      </w:pPr>
      <w:r>
        <w:rPr>
          <w:rStyle w:val="106"/>
          <w:rFonts w:hint="eastAsia" w:asciiTheme="minorEastAsia" w:hAnsiTheme="minorEastAsia" w:eastAsiaTheme="minorEastAsia" w:cstheme="minorEastAsia"/>
          <w:b/>
          <w:color w:val="auto"/>
          <w:sz w:val="21"/>
          <w:szCs w:val="21"/>
          <w:highlight w:val="none"/>
        </w:rPr>
        <w:t xml:space="preserve">（三）招标文件的澄清与修改 </w:t>
      </w:r>
    </w:p>
    <w:p w14:paraId="3B5696E2">
      <w:pPr>
        <w:pStyle w:val="43"/>
        <w:spacing w:line="440" w:lineRule="exact"/>
        <w:ind w:firstLine="420"/>
        <w:rPr>
          <w:rStyle w:val="106"/>
          <w:rFonts w:hint="eastAsia" w:asciiTheme="minorEastAsia" w:hAnsiTheme="minorEastAsia" w:eastAsiaTheme="minorEastAsia" w:cstheme="minorEastAsia"/>
          <w:color w:val="auto"/>
          <w:sz w:val="21"/>
          <w:szCs w:val="21"/>
          <w:highlight w:val="none"/>
        </w:rPr>
      </w:pPr>
      <w:r>
        <w:rPr>
          <w:rStyle w:val="106"/>
          <w:rFonts w:hint="eastAsia" w:asciiTheme="minorEastAsia" w:hAnsiTheme="minorEastAsia" w:eastAsiaTheme="minorEastAsia" w:cstheme="minorEastAsia"/>
          <w:color w:val="auto"/>
          <w:sz w:val="21"/>
          <w:szCs w:val="21"/>
          <w:highlight w:val="none"/>
        </w:rPr>
        <w:t>1.招标人对招标文件进行必要的澄清或者修改的，在发布公开招标公告的网站上发布更正公告。澄清或者修改的内容可能影响投标文件编制的，更正公告在投标截止时间至少15日前发出；不足15日的，顺延提交投标文件截止时间。</w:t>
      </w:r>
    </w:p>
    <w:p w14:paraId="4648CC12">
      <w:pPr>
        <w:pStyle w:val="43"/>
        <w:spacing w:line="440" w:lineRule="exact"/>
        <w:ind w:firstLine="420"/>
        <w:rPr>
          <w:rStyle w:val="106"/>
          <w:rFonts w:hint="eastAsia" w:asciiTheme="minorEastAsia" w:hAnsiTheme="minorEastAsia" w:eastAsiaTheme="minorEastAsia" w:cstheme="minorEastAsia"/>
          <w:color w:val="auto"/>
          <w:sz w:val="21"/>
          <w:szCs w:val="21"/>
          <w:highlight w:val="none"/>
        </w:rPr>
      </w:pPr>
      <w:r>
        <w:rPr>
          <w:rStyle w:val="106"/>
          <w:rFonts w:hint="eastAsia" w:asciiTheme="minorEastAsia" w:hAnsiTheme="minorEastAsia" w:eastAsiaTheme="minorEastAsia" w:cstheme="minorEastAsia"/>
          <w:color w:val="auto"/>
          <w:sz w:val="21"/>
          <w:szCs w:val="21"/>
          <w:highlight w:val="none"/>
        </w:rPr>
        <w:t>2.更正公告为招标文件的组成部分，一经在网站发布，视同已通知所有招标文件的收受人，不再采用其它方式传达相关信息，若因未能及时了解到上述网站上发布的相关信息而导致的一切后果自行承担。</w:t>
      </w:r>
    </w:p>
    <w:p w14:paraId="2C82D290">
      <w:pPr>
        <w:pStyle w:val="43"/>
        <w:spacing w:line="440" w:lineRule="exact"/>
        <w:ind w:firstLine="420"/>
        <w:rPr>
          <w:rStyle w:val="106"/>
          <w:rFonts w:hint="eastAsia" w:asciiTheme="minorEastAsia" w:hAnsiTheme="minorEastAsia" w:eastAsiaTheme="minorEastAsia" w:cstheme="minorEastAsia"/>
          <w:color w:val="auto"/>
          <w:sz w:val="21"/>
          <w:szCs w:val="21"/>
          <w:highlight w:val="none"/>
        </w:rPr>
      </w:pPr>
      <w:r>
        <w:rPr>
          <w:rStyle w:val="106"/>
          <w:rFonts w:hint="eastAsia" w:asciiTheme="minorEastAsia" w:hAnsiTheme="minorEastAsia" w:eastAsiaTheme="minorEastAsia" w:cstheme="minorEastAsia"/>
          <w:color w:val="auto"/>
          <w:sz w:val="21"/>
          <w:szCs w:val="21"/>
          <w:highlight w:val="none"/>
        </w:rPr>
        <w:t>3.如更正公告有重新发布招标文件的，投标人应下载最新发布的招标文件制作投标文件。</w:t>
      </w:r>
    </w:p>
    <w:p w14:paraId="518CB1A2">
      <w:pPr>
        <w:pStyle w:val="43"/>
        <w:spacing w:line="440" w:lineRule="exact"/>
        <w:ind w:firstLine="420"/>
        <w:rPr>
          <w:rStyle w:val="106"/>
          <w:rFonts w:hint="eastAsia" w:asciiTheme="minorEastAsia" w:hAnsiTheme="minorEastAsia" w:eastAsiaTheme="minorEastAsia" w:cstheme="minorEastAsia"/>
          <w:color w:val="auto"/>
          <w:sz w:val="21"/>
          <w:szCs w:val="21"/>
          <w:highlight w:val="none"/>
        </w:rPr>
      </w:pPr>
      <w:r>
        <w:rPr>
          <w:rStyle w:val="106"/>
          <w:rFonts w:hint="eastAsia" w:asciiTheme="minorEastAsia" w:hAnsiTheme="minorEastAsia" w:eastAsiaTheme="minorEastAsia" w:cstheme="minorEastAsia"/>
          <w:color w:val="auto"/>
          <w:sz w:val="21"/>
          <w:szCs w:val="21"/>
          <w:highlight w:val="none"/>
        </w:rPr>
        <w:t>4.投标人应认真阅读本招标文件，发现其中有误或有不合理要求的，投标人必须在开标前10天以书面形式要求招标人或招标代理机构澄清。投标人在规定的时间内未对招标文件提出疑问、异议或要求澄清的，将视其为无异议。对招标文件中描述有歧义或前后不一致的地方，评标委员会有权进行评判，但对同一条款的评判应适用于每个投标人。</w:t>
      </w:r>
    </w:p>
    <w:p w14:paraId="0FE852B2">
      <w:pPr>
        <w:pStyle w:val="43"/>
        <w:spacing w:line="440" w:lineRule="exact"/>
        <w:ind w:firstLine="0" w:firstLineChars="0"/>
        <w:rPr>
          <w:rStyle w:val="106"/>
          <w:rFonts w:hint="eastAsia" w:asciiTheme="minorEastAsia" w:hAnsiTheme="minorEastAsia" w:eastAsiaTheme="minorEastAsia" w:cstheme="minorEastAsia"/>
          <w:b/>
          <w:color w:val="auto"/>
          <w:sz w:val="21"/>
          <w:szCs w:val="21"/>
          <w:highlight w:val="none"/>
        </w:rPr>
      </w:pPr>
      <w:r>
        <w:rPr>
          <w:rStyle w:val="106"/>
          <w:rFonts w:hint="eastAsia" w:asciiTheme="minorEastAsia" w:hAnsiTheme="minorEastAsia" w:eastAsiaTheme="minorEastAsia" w:cstheme="minorEastAsia"/>
          <w:b/>
          <w:color w:val="auto"/>
          <w:sz w:val="21"/>
          <w:szCs w:val="21"/>
          <w:highlight w:val="none"/>
        </w:rPr>
        <w:t>三、投标文件的编制</w:t>
      </w:r>
    </w:p>
    <w:p w14:paraId="595E415E">
      <w:pPr>
        <w:spacing w:line="440" w:lineRule="exact"/>
        <w:ind w:firstLine="422" w:firstLineChars="200"/>
        <w:contextualSpacing/>
        <w:rPr>
          <w:rFonts w:hint="eastAsia" w:asciiTheme="minorEastAsia" w:hAnsiTheme="minorEastAsia" w:eastAsiaTheme="minorEastAsia" w:cstheme="minorEastAsia"/>
          <w:b/>
          <w:color w:val="auto"/>
          <w:szCs w:val="21"/>
          <w:highlight w:val="none"/>
        </w:rPr>
      </w:pPr>
      <w:bookmarkStart w:id="9" w:name="_Toc16622"/>
      <w:r>
        <w:rPr>
          <w:rFonts w:hint="eastAsia" w:asciiTheme="minorEastAsia" w:hAnsiTheme="minorEastAsia" w:eastAsiaTheme="minorEastAsia" w:cstheme="minorEastAsia"/>
          <w:b/>
          <w:color w:val="auto"/>
          <w:szCs w:val="21"/>
          <w:highlight w:val="none"/>
        </w:rPr>
        <w:t>（一）投标文件的形式和效力</w:t>
      </w:r>
    </w:p>
    <w:p w14:paraId="049DCFC2">
      <w:pPr>
        <w:spacing w:line="440" w:lineRule="exact"/>
        <w:ind w:firstLine="420" w:firstLineChars="20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1.投标文件分为“乐采云”提交（上传）的电子投标文件</w:t>
      </w:r>
      <w:r>
        <w:rPr>
          <w:rStyle w:val="106"/>
          <w:rFonts w:hint="eastAsia" w:asciiTheme="minorEastAsia" w:hAnsiTheme="minorEastAsia" w:eastAsiaTheme="minorEastAsia" w:cstheme="minorEastAsia"/>
          <w:color w:val="auto"/>
          <w:szCs w:val="21"/>
          <w:highlight w:val="none"/>
        </w:rPr>
        <w:t>和U盘存储的电子备份投标文件</w:t>
      </w:r>
      <w:r>
        <w:rPr>
          <w:rFonts w:hint="eastAsia" w:asciiTheme="minorEastAsia" w:hAnsiTheme="minorEastAsia" w:eastAsiaTheme="minorEastAsia" w:cstheme="minorEastAsia"/>
          <w:color w:val="auto"/>
          <w:szCs w:val="21"/>
          <w:highlight w:val="none"/>
        </w:rPr>
        <w:t>。</w:t>
      </w:r>
    </w:p>
    <w:p w14:paraId="21D8DCA1">
      <w:pPr>
        <w:spacing w:line="440" w:lineRule="exact"/>
        <w:ind w:firstLine="420" w:firstLineChars="20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2.“乐采云”提交（上传）的电子投标文件，按“乐采云”投标人项目采购-电子招投标操作指南及本招标文件要求制作、加密并提交（上传）。</w:t>
      </w:r>
    </w:p>
    <w:p w14:paraId="6A6E0250">
      <w:pPr>
        <w:spacing w:line="440" w:lineRule="exact"/>
        <w:ind w:firstLine="420" w:firstLineChars="20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3.以介质存储的数据电文形式的电子备份投标文件，须按“乐采云”投标人项目采购-电子招投标操作指南制作的备份文件。</w:t>
      </w:r>
    </w:p>
    <w:p w14:paraId="5B8BCD0B">
      <w:pPr>
        <w:spacing w:line="440" w:lineRule="exact"/>
        <w:ind w:firstLine="420" w:firstLineChars="20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4.投标文件的效力</w:t>
      </w:r>
    </w:p>
    <w:p w14:paraId="29345583">
      <w:pPr>
        <w:spacing w:line="440" w:lineRule="exact"/>
        <w:ind w:firstLine="420" w:firstLineChars="20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投标文件的启用，按先后顺位分别为“乐采云”提交（上传）的电子投标文件、以介质存储的数据电文形式的电子备份投标文件。在下一顺位的投标文件启用时，前一顺位的投标文件自动失效。</w:t>
      </w:r>
    </w:p>
    <w:p w14:paraId="4A15DDDA">
      <w:pPr>
        <w:spacing w:line="440" w:lineRule="exact"/>
        <w:ind w:firstLine="420" w:firstLineChars="200"/>
        <w:contextualSpacing/>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电子投标文件未按时解密，投标人提供了电子备份投标文件的，以电子备份投标文件作为依据，否则视为投标文件撤回。投标文件已按时解密的，电子备份投标文件自动失效。</w:t>
      </w:r>
    </w:p>
    <w:p w14:paraId="3C912F4B">
      <w:pPr>
        <w:snapToGrid w:val="0"/>
        <w:spacing w:line="440" w:lineRule="exact"/>
        <w:ind w:firstLine="422" w:firstLineChars="20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（二）投标文件的组成</w:t>
      </w:r>
      <w:bookmarkEnd w:id="9"/>
    </w:p>
    <w:p w14:paraId="7E1165FA">
      <w:pPr>
        <w:spacing w:line="440" w:lineRule="exact"/>
        <w:ind w:firstLine="420" w:firstLineChars="200"/>
        <w:contextualSpacing/>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投标文件由资信技术文件和报价文件组成[</w:t>
      </w:r>
      <w:r>
        <w:rPr>
          <w:rFonts w:hint="eastAsia" w:asciiTheme="minorEastAsia" w:hAnsiTheme="minorEastAsia" w:eastAsiaTheme="minorEastAsia" w:cstheme="minorEastAsia"/>
          <w:b/>
          <w:bCs/>
          <w:color w:val="auto"/>
          <w:szCs w:val="21"/>
          <w:highlight w:val="none"/>
        </w:rPr>
        <w:t>投标文件中所须加盖公章部分均采用CA签章</w:t>
      </w:r>
      <w:r>
        <w:rPr>
          <w:rFonts w:hint="eastAsia" w:asciiTheme="minorEastAsia" w:hAnsiTheme="minorEastAsia" w:eastAsiaTheme="minorEastAsia" w:cstheme="minorEastAsia"/>
          <w:color w:val="auto"/>
          <w:szCs w:val="21"/>
          <w:highlight w:val="none"/>
        </w:rPr>
        <w:t>]。</w:t>
      </w:r>
    </w:p>
    <w:p w14:paraId="54797C37">
      <w:pPr>
        <w:numPr>
          <w:ilvl w:val="0"/>
          <w:numId w:val="5"/>
        </w:numPr>
        <w:snapToGrid w:val="0"/>
        <w:spacing w:line="440" w:lineRule="exact"/>
        <w:ind w:firstLine="422" w:firstLineChars="200"/>
        <w:jc w:val="left"/>
        <w:rPr>
          <w:rStyle w:val="106"/>
          <w:rFonts w:hint="eastAsia" w:asciiTheme="minorEastAsia" w:hAnsiTheme="minorEastAsia" w:eastAsiaTheme="minorEastAsia" w:cstheme="minorEastAsia"/>
          <w:b/>
          <w:bCs/>
          <w:color w:val="auto"/>
          <w:szCs w:val="21"/>
          <w:highlight w:val="none"/>
        </w:rPr>
      </w:pPr>
      <w:r>
        <w:rPr>
          <w:rStyle w:val="106"/>
          <w:rFonts w:hint="eastAsia" w:asciiTheme="minorEastAsia" w:hAnsiTheme="minorEastAsia" w:eastAsiaTheme="minorEastAsia" w:cstheme="minorEastAsia"/>
          <w:b/>
          <w:bCs/>
          <w:color w:val="auto"/>
          <w:szCs w:val="21"/>
          <w:highlight w:val="none"/>
        </w:rPr>
        <w:t>报价文件：</w:t>
      </w:r>
    </w:p>
    <w:p w14:paraId="06C06BE5">
      <w:pPr>
        <w:numPr>
          <w:ilvl w:val="0"/>
          <w:numId w:val="6"/>
        </w:numPr>
        <w:snapToGrid w:val="0"/>
        <w:spacing w:line="440" w:lineRule="exact"/>
        <w:ind w:firstLine="420" w:firstLineChars="200"/>
        <w:jc w:val="lef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开标一览表</w:t>
      </w:r>
      <w:r>
        <w:rPr>
          <w:rFonts w:hint="eastAsia" w:asciiTheme="minorEastAsia" w:hAnsiTheme="minorEastAsia" w:eastAsiaTheme="minorEastAsia" w:cstheme="minorEastAsia"/>
          <w:color w:val="auto"/>
          <w:szCs w:val="21"/>
          <w:highlight w:val="none"/>
        </w:rPr>
        <w:t>（格式附后）</w:t>
      </w:r>
      <w:r>
        <w:rPr>
          <w:rStyle w:val="106"/>
          <w:rFonts w:hint="eastAsia" w:asciiTheme="minorEastAsia" w:hAnsiTheme="minorEastAsia" w:eastAsiaTheme="minorEastAsia" w:cstheme="minorEastAsia"/>
          <w:color w:val="auto"/>
          <w:szCs w:val="21"/>
          <w:highlight w:val="none"/>
        </w:rPr>
        <w:t>；</w:t>
      </w:r>
    </w:p>
    <w:p w14:paraId="6D2B6AE4">
      <w:pPr>
        <w:numPr>
          <w:ilvl w:val="0"/>
          <w:numId w:val="6"/>
        </w:numPr>
        <w:snapToGrid w:val="0"/>
        <w:spacing w:line="440" w:lineRule="exact"/>
        <w:ind w:firstLine="420" w:firstLineChars="200"/>
        <w:jc w:val="lef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投标人针对报价需要说明的其他文件和说明</w:t>
      </w:r>
      <w:r>
        <w:rPr>
          <w:rFonts w:hint="eastAsia" w:asciiTheme="minorEastAsia" w:hAnsiTheme="minorEastAsia" w:eastAsiaTheme="minorEastAsia" w:cstheme="minorEastAsia"/>
          <w:color w:val="auto"/>
          <w:szCs w:val="21"/>
          <w:highlight w:val="none"/>
        </w:rPr>
        <w:t>（如有格式自拟）</w:t>
      </w:r>
      <w:r>
        <w:rPr>
          <w:rStyle w:val="106"/>
          <w:rFonts w:hint="eastAsia" w:asciiTheme="minorEastAsia" w:hAnsiTheme="minorEastAsia" w:eastAsiaTheme="minorEastAsia" w:cstheme="minorEastAsia"/>
          <w:color w:val="auto"/>
          <w:szCs w:val="21"/>
          <w:highlight w:val="none"/>
        </w:rPr>
        <w:t>。</w:t>
      </w:r>
    </w:p>
    <w:p w14:paraId="00A923AD">
      <w:pPr>
        <w:numPr>
          <w:ilvl w:val="0"/>
          <w:numId w:val="7"/>
        </w:numPr>
        <w:snapToGrid w:val="0"/>
        <w:spacing w:line="440" w:lineRule="exact"/>
        <w:ind w:left="208" w:leftChars="0" w:firstLine="422" w:firstLineChars="0"/>
        <w:jc w:val="left"/>
        <w:rPr>
          <w:rStyle w:val="106"/>
          <w:rFonts w:hint="eastAsia" w:asciiTheme="minorEastAsia" w:hAnsiTheme="minorEastAsia" w:eastAsiaTheme="minorEastAsia" w:cstheme="minorEastAsia"/>
          <w:b/>
          <w:color w:val="auto"/>
          <w:szCs w:val="21"/>
          <w:highlight w:val="none"/>
        </w:rPr>
      </w:pPr>
      <w:r>
        <w:rPr>
          <w:rStyle w:val="106"/>
          <w:rFonts w:hint="eastAsia" w:asciiTheme="minorEastAsia" w:hAnsiTheme="minorEastAsia" w:eastAsiaTheme="minorEastAsia" w:cstheme="minorEastAsia"/>
          <w:b/>
          <w:color w:val="auto"/>
          <w:szCs w:val="21"/>
          <w:highlight w:val="none"/>
        </w:rPr>
        <w:t>资信技术文件：</w:t>
      </w:r>
    </w:p>
    <w:p w14:paraId="78206329">
      <w:pPr>
        <w:snapToGrid w:val="0"/>
        <w:spacing w:line="440" w:lineRule="exact"/>
        <w:ind w:firstLine="422" w:firstLineChars="200"/>
        <w:jc w:val="left"/>
        <w:rPr>
          <w:rStyle w:val="106"/>
          <w:rFonts w:hint="eastAsia" w:asciiTheme="minorEastAsia" w:hAnsiTheme="minorEastAsia" w:eastAsiaTheme="minorEastAsia" w:cstheme="minorEastAsia"/>
          <w:b/>
          <w:color w:val="auto"/>
          <w:szCs w:val="21"/>
          <w:highlight w:val="none"/>
        </w:rPr>
      </w:pPr>
      <w:r>
        <w:rPr>
          <w:rStyle w:val="106"/>
          <w:rFonts w:hint="eastAsia" w:asciiTheme="minorEastAsia" w:hAnsiTheme="minorEastAsia" w:eastAsiaTheme="minorEastAsia" w:cstheme="minorEastAsia"/>
          <w:b/>
          <w:color w:val="auto"/>
          <w:szCs w:val="21"/>
          <w:highlight w:val="none"/>
        </w:rPr>
        <w:t>2.1资格证明文件：</w:t>
      </w:r>
    </w:p>
    <w:p w14:paraId="0E3B16AD">
      <w:pPr>
        <w:numPr>
          <w:ilvl w:val="0"/>
          <w:numId w:val="8"/>
        </w:numPr>
        <w:spacing w:line="440" w:lineRule="exact"/>
        <w:ind w:firstLine="420" w:firstLineChars="200"/>
        <w:jc w:val="left"/>
        <w:rPr>
          <w:rStyle w:val="106"/>
          <w:rFonts w:hint="eastAsia" w:asciiTheme="minorEastAsia" w:hAnsiTheme="minorEastAsia" w:eastAsiaTheme="minorEastAsia" w:cstheme="minorEastAsia"/>
          <w:bCs/>
          <w:color w:val="auto"/>
          <w:szCs w:val="21"/>
          <w:highlight w:val="none"/>
        </w:rPr>
      </w:pPr>
      <w:r>
        <w:rPr>
          <w:rStyle w:val="106"/>
          <w:rFonts w:hint="eastAsia" w:asciiTheme="minorEastAsia" w:hAnsiTheme="minorEastAsia" w:eastAsiaTheme="minorEastAsia" w:cstheme="minorEastAsia"/>
          <w:bCs/>
          <w:color w:val="auto"/>
          <w:szCs w:val="21"/>
          <w:highlight w:val="none"/>
        </w:rPr>
        <w:t>有效的企业法人营业执照（或事业法人登记证）、其他组织（个体工商户）的营业执照、民办非企业单位登记证书复印件（加盖公章）；</w:t>
      </w:r>
    </w:p>
    <w:p w14:paraId="342C25D8">
      <w:pPr>
        <w:numPr>
          <w:ilvl w:val="0"/>
          <w:numId w:val="8"/>
        </w:numPr>
        <w:spacing w:line="440" w:lineRule="exact"/>
        <w:ind w:firstLine="420" w:firstLineChars="200"/>
        <w:jc w:val="left"/>
        <w:rPr>
          <w:rStyle w:val="106"/>
          <w:rFonts w:hint="eastAsia" w:asciiTheme="minorEastAsia" w:hAnsiTheme="minorEastAsia" w:eastAsiaTheme="minorEastAsia" w:cstheme="minorEastAsia"/>
          <w:bCs/>
          <w:color w:val="auto"/>
          <w:szCs w:val="21"/>
          <w:highlight w:val="none"/>
        </w:rPr>
      </w:pPr>
      <w:r>
        <w:rPr>
          <w:rStyle w:val="106"/>
          <w:rFonts w:hint="eastAsia" w:asciiTheme="minorEastAsia" w:hAnsiTheme="minorEastAsia" w:eastAsiaTheme="minorEastAsia" w:cstheme="minorEastAsia"/>
          <w:bCs/>
          <w:color w:val="auto"/>
          <w:szCs w:val="21"/>
          <w:highlight w:val="none"/>
        </w:rPr>
        <w:t>书面声明（格式附后）。</w:t>
      </w:r>
    </w:p>
    <w:p w14:paraId="36F10929">
      <w:pPr>
        <w:snapToGrid w:val="0"/>
        <w:spacing w:line="440" w:lineRule="exact"/>
        <w:ind w:firstLine="422" w:firstLineChars="200"/>
        <w:jc w:val="lef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b/>
          <w:color w:val="auto"/>
          <w:szCs w:val="21"/>
          <w:highlight w:val="none"/>
        </w:rPr>
        <w:t>2.2资信技术文件：</w:t>
      </w:r>
    </w:p>
    <w:p w14:paraId="67A727EC">
      <w:pPr>
        <w:numPr>
          <w:ilvl w:val="0"/>
          <w:numId w:val="9"/>
        </w:numPr>
        <w:tabs>
          <w:tab w:val="left" w:pos="0"/>
        </w:tabs>
        <w:spacing w:line="440" w:lineRule="exact"/>
        <w:ind w:firstLineChars="200"/>
        <w:jc w:val="lef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评分索引表（格式附后）；</w:t>
      </w:r>
    </w:p>
    <w:p w14:paraId="3B7E5FD2">
      <w:pPr>
        <w:numPr>
          <w:ilvl w:val="0"/>
          <w:numId w:val="9"/>
        </w:numPr>
        <w:tabs>
          <w:tab w:val="left" w:pos="0"/>
        </w:tabs>
        <w:spacing w:line="440" w:lineRule="exact"/>
        <w:ind w:firstLineChars="200"/>
        <w:jc w:val="lef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投标函</w:t>
      </w:r>
      <w:r>
        <w:rPr>
          <w:rFonts w:hint="eastAsia" w:asciiTheme="minorEastAsia" w:hAnsiTheme="minorEastAsia" w:eastAsiaTheme="minorEastAsia" w:cstheme="minorEastAsia"/>
          <w:color w:val="auto"/>
          <w:szCs w:val="21"/>
          <w:highlight w:val="none"/>
        </w:rPr>
        <w:t>（格式附后）</w:t>
      </w:r>
      <w:r>
        <w:rPr>
          <w:rStyle w:val="106"/>
          <w:rFonts w:hint="eastAsia" w:asciiTheme="minorEastAsia" w:hAnsiTheme="minorEastAsia" w:eastAsiaTheme="minorEastAsia" w:cstheme="minorEastAsia"/>
          <w:color w:val="auto"/>
          <w:szCs w:val="21"/>
          <w:highlight w:val="none"/>
        </w:rPr>
        <w:t>；</w:t>
      </w:r>
    </w:p>
    <w:p w14:paraId="2B322BBC">
      <w:pPr>
        <w:numPr>
          <w:ilvl w:val="0"/>
          <w:numId w:val="9"/>
        </w:numPr>
        <w:tabs>
          <w:tab w:val="left" w:pos="0"/>
        </w:tabs>
        <w:spacing w:line="440" w:lineRule="exact"/>
        <w:ind w:firstLineChars="200"/>
        <w:jc w:val="lef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投标声明书</w:t>
      </w:r>
      <w:r>
        <w:rPr>
          <w:rFonts w:hint="eastAsia" w:asciiTheme="minorEastAsia" w:hAnsiTheme="minorEastAsia" w:eastAsiaTheme="minorEastAsia" w:cstheme="minorEastAsia"/>
          <w:color w:val="auto"/>
          <w:szCs w:val="21"/>
          <w:highlight w:val="none"/>
        </w:rPr>
        <w:t>（格式附后）</w:t>
      </w:r>
      <w:r>
        <w:rPr>
          <w:rStyle w:val="106"/>
          <w:rFonts w:hint="eastAsia" w:asciiTheme="minorEastAsia" w:hAnsiTheme="minorEastAsia" w:eastAsiaTheme="minorEastAsia" w:cstheme="minorEastAsia"/>
          <w:color w:val="auto"/>
          <w:szCs w:val="21"/>
          <w:highlight w:val="none"/>
        </w:rPr>
        <w:t>；</w:t>
      </w:r>
    </w:p>
    <w:p w14:paraId="51860306">
      <w:pPr>
        <w:numPr>
          <w:ilvl w:val="0"/>
          <w:numId w:val="9"/>
        </w:numPr>
        <w:tabs>
          <w:tab w:val="left" w:pos="0"/>
        </w:tabs>
        <w:spacing w:line="440" w:lineRule="exact"/>
        <w:ind w:firstLineChars="200"/>
        <w:jc w:val="lef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如法定代表人参加投标的，提供法定代表人身份证明书（格式附后）、法定代表人的身份证复印件（正反两面）；</w:t>
      </w:r>
    </w:p>
    <w:p w14:paraId="531A3524">
      <w:pPr>
        <w:tabs>
          <w:tab w:val="left" w:pos="0"/>
        </w:tabs>
        <w:spacing w:line="440" w:lineRule="exact"/>
        <w:ind w:firstLine="420" w:firstLineChars="200"/>
        <w:jc w:val="left"/>
        <w:rPr>
          <w:rStyle w:val="106"/>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如授权代表参加投标的，提供法定代表人授权委托书</w:t>
      </w:r>
      <w:r>
        <w:rPr>
          <w:rStyle w:val="106"/>
          <w:rFonts w:hint="eastAsia" w:asciiTheme="minorEastAsia" w:hAnsiTheme="minorEastAsia" w:eastAsiaTheme="minorEastAsia" w:cstheme="minorEastAsia"/>
          <w:color w:val="auto"/>
          <w:szCs w:val="21"/>
          <w:highlight w:val="none"/>
        </w:rPr>
        <w:t>（格式附后）</w:t>
      </w:r>
      <w:r>
        <w:rPr>
          <w:rFonts w:hint="eastAsia" w:asciiTheme="minorEastAsia" w:hAnsiTheme="minorEastAsia" w:eastAsiaTheme="minorEastAsia" w:cstheme="minorEastAsia"/>
          <w:color w:val="auto"/>
          <w:szCs w:val="21"/>
          <w:highlight w:val="none"/>
        </w:rPr>
        <w:t>和被授权代表身份证复印件（投标人的代表若为非法定代表人的，必须提交法定代表人授权书原件）</w:t>
      </w:r>
      <w:r>
        <w:rPr>
          <w:rFonts w:hint="eastAsia" w:asciiTheme="minorEastAsia" w:hAnsiTheme="minorEastAsia" w:eastAsiaTheme="minorEastAsia" w:cstheme="minorEastAsia"/>
          <w:bCs/>
          <w:color w:val="auto"/>
          <w:szCs w:val="21"/>
          <w:highlight w:val="none"/>
        </w:rPr>
        <w:t>；</w:t>
      </w:r>
    </w:p>
    <w:p w14:paraId="210AB868">
      <w:pPr>
        <w:numPr>
          <w:ilvl w:val="0"/>
          <w:numId w:val="9"/>
        </w:numPr>
        <w:tabs>
          <w:tab w:val="left" w:pos="0"/>
        </w:tabs>
        <w:spacing w:line="440" w:lineRule="exact"/>
        <w:ind w:firstLineChars="200"/>
        <w:jc w:val="lef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商务需求偏离表（格式附后）；</w:t>
      </w:r>
    </w:p>
    <w:p w14:paraId="4AC0048E">
      <w:pPr>
        <w:numPr>
          <w:ilvl w:val="0"/>
          <w:numId w:val="9"/>
        </w:numPr>
        <w:tabs>
          <w:tab w:val="left" w:pos="0"/>
        </w:tabs>
        <w:spacing w:line="440" w:lineRule="exact"/>
        <w:ind w:firstLineChars="200"/>
        <w:jc w:val="lef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招标需求偏离表（格式附后）；</w:t>
      </w:r>
    </w:p>
    <w:p w14:paraId="580A1885">
      <w:pPr>
        <w:numPr>
          <w:ilvl w:val="0"/>
          <w:numId w:val="9"/>
        </w:numPr>
        <w:tabs>
          <w:tab w:val="left" w:pos="0"/>
        </w:tabs>
        <w:spacing w:line="440" w:lineRule="exact"/>
        <w:ind w:firstLineChars="200"/>
        <w:jc w:val="lef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lang w:val="en-US" w:eastAsia="zh-CN"/>
        </w:rPr>
        <w:t>投标人根据</w:t>
      </w:r>
      <w:r>
        <w:rPr>
          <w:rStyle w:val="106"/>
          <w:rFonts w:hint="eastAsia" w:asciiTheme="minorEastAsia" w:hAnsiTheme="minorEastAsia" w:eastAsiaTheme="minorEastAsia" w:cstheme="minorEastAsia"/>
          <w:color w:val="auto"/>
          <w:szCs w:val="21"/>
          <w:highlight w:val="none"/>
        </w:rPr>
        <w:t>第四章  评标办法及评分标准</w:t>
      </w:r>
      <w:r>
        <w:rPr>
          <w:rStyle w:val="106"/>
          <w:rFonts w:hint="eastAsia" w:asciiTheme="minorEastAsia" w:hAnsiTheme="minorEastAsia" w:eastAsiaTheme="minorEastAsia" w:cstheme="minorEastAsia"/>
          <w:color w:val="auto"/>
          <w:szCs w:val="21"/>
          <w:highlight w:val="none"/>
          <w:lang w:val="en-US" w:eastAsia="zh-CN"/>
        </w:rPr>
        <w:t>提供的相关方案或证明文件（格式自拟）</w:t>
      </w:r>
      <w:r>
        <w:rPr>
          <w:rStyle w:val="106"/>
          <w:rFonts w:hint="eastAsia" w:asciiTheme="minorEastAsia" w:hAnsiTheme="minorEastAsia" w:eastAsiaTheme="minorEastAsia" w:cstheme="minorEastAsia"/>
          <w:color w:val="auto"/>
          <w:szCs w:val="21"/>
          <w:highlight w:val="none"/>
        </w:rPr>
        <w:t>；</w:t>
      </w:r>
    </w:p>
    <w:p w14:paraId="2B699FBA">
      <w:pPr>
        <w:numPr>
          <w:ilvl w:val="0"/>
          <w:numId w:val="9"/>
        </w:numPr>
        <w:tabs>
          <w:tab w:val="left" w:pos="0"/>
        </w:tabs>
        <w:spacing w:line="440" w:lineRule="exact"/>
        <w:ind w:firstLineChars="200"/>
        <w:jc w:val="lef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项目拟投入人员（格式附后）；</w:t>
      </w:r>
    </w:p>
    <w:p w14:paraId="11D2BD18">
      <w:pPr>
        <w:numPr>
          <w:ilvl w:val="0"/>
          <w:numId w:val="9"/>
        </w:numPr>
        <w:tabs>
          <w:tab w:val="left" w:pos="0"/>
        </w:tabs>
        <w:spacing w:line="440" w:lineRule="exact"/>
        <w:ind w:firstLineChars="200"/>
        <w:jc w:val="left"/>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招标文件规定的或投标人认为需要提交的其他商务、技术资料。</w:t>
      </w:r>
    </w:p>
    <w:p w14:paraId="05687386">
      <w:pPr>
        <w:snapToGrid w:val="0"/>
        <w:spacing w:line="440" w:lineRule="exact"/>
        <w:ind w:firstLine="422" w:firstLineChars="200"/>
        <w:jc w:val="left"/>
        <w:rPr>
          <w:rStyle w:val="106"/>
          <w:rFonts w:hint="eastAsia" w:asciiTheme="minorEastAsia" w:hAnsiTheme="minorEastAsia" w:eastAsiaTheme="minorEastAsia" w:cstheme="minorEastAsia"/>
          <w:b/>
          <w:color w:val="auto"/>
          <w:szCs w:val="21"/>
          <w:highlight w:val="none"/>
        </w:rPr>
      </w:pPr>
      <w:r>
        <w:rPr>
          <w:rStyle w:val="106"/>
          <w:rFonts w:hint="eastAsia" w:asciiTheme="minorEastAsia" w:hAnsiTheme="minorEastAsia" w:eastAsiaTheme="minorEastAsia" w:cstheme="minorEastAsia"/>
          <w:b/>
          <w:color w:val="auto"/>
          <w:szCs w:val="21"/>
          <w:highlight w:val="none"/>
        </w:rPr>
        <w:t>★注：资信技术文件中不得出现报价，否则作无效标处理。</w:t>
      </w:r>
    </w:p>
    <w:p w14:paraId="7B40DEE3">
      <w:pPr>
        <w:snapToGrid w:val="0"/>
        <w:spacing w:line="440" w:lineRule="exact"/>
        <w:ind w:firstLine="422" w:firstLineChars="200"/>
        <w:jc w:val="left"/>
        <w:rPr>
          <w:rStyle w:val="106"/>
          <w:rFonts w:hint="eastAsia" w:asciiTheme="minorEastAsia" w:hAnsiTheme="minorEastAsia" w:eastAsiaTheme="minorEastAsia" w:cstheme="minorEastAsia"/>
          <w:b/>
          <w:color w:val="auto"/>
          <w:szCs w:val="21"/>
          <w:highlight w:val="none"/>
        </w:rPr>
      </w:pPr>
      <w:r>
        <w:rPr>
          <w:rStyle w:val="106"/>
          <w:rFonts w:hint="eastAsia" w:asciiTheme="minorEastAsia" w:hAnsiTheme="minorEastAsia" w:eastAsiaTheme="minorEastAsia" w:cstheme="minorEastAsia"/>
          <w:b/>
          <w:color w:val="auto"/>
          <w:szCs w:val="21"/>
          <w:highlight w:val="none"/>
        </w:rPr>
        <w:t>（三）投标文件的语言及计量</w:t>
      </w:r>
    </w:p>
    <w:p w14:paraId="4DD23C15">
      <w:pPr>
        <w:snapToGrid w:val="0"/>
        <w:spacing w:line="440" w:lineRule="exact"/>
        <w:ind w:firstLine="422" w:firstLineChars="200"/>
        <w:jc w:val="left"/>
        <w:rPr>
          <w:rStyle w:val="106"/>
          <w:rFonts w:hint="eastAsia" w:asciiTheme="minorEastAsia" w:hAnsiTheme="minorEastAsia" w:eastAsiaTheme="minorEastAsia" w:cstheme="minorEastAsia"/>
          <w:b/>
          <w:color w:val="auto"/>
          <w:szCs w:val="21"/>
          <w:highlight w:val="none"/>
        </w:rPr>
      </w:pPr>
      <w:r>
        <w:rPr>
          <w:rStyle w:val="106"/>
          <w:rFonts w:hint="eastAsia" w:asciiTheme="minorEastAsia" w:hAnsiTheme="minorEastAsia" w:eastAsiaTheme="minorEastAsia" w:cstheme="minorEastAsia"/>
          <w:b/>
          <w:color w:val="auto"/>
          <w:szCs w:val="21"/>
          <w:highlight w:val="none"/>
        </w:rPr>
        <w:t>★1.投标文件以及投标人与招标人就有关投标事宜的所有来往函电，均应以中文汉语书写。除签名、盖章、专用名称等特殊情形外，以中文汉语以外的文字表述的投标文件视同未提供。</w:t>
      </w:r>
    </w:p>
    <w:p w14:paraId="1462C990">
      <w:pPr>
        <w:snapToGrid w:val="0"/>
        <w:spacing w:line="440" w:lineRule="exact"/>
        <w:ind w:firstLine="422" w:firstLineChars="200"/>
        <w:jc w:val="left"/>
        <w:rPr>
          <w:rStyle w:val="106"/>
          <w:rFonts w:hint="eastAsia" w:asciiTheme="minorEastAsia" w:hAnsiTheme="minorEastAsia" w:eastAsiaTheme="minorEastAsia" w:cstheme="minorEastAsia"/>
          <w:b/>
          <w:color w:val="auto"/>
          <w:szCs w:val="21"/>
          <w:highlight w:val="none"/>
        </w:rPr>
      </w:pPr>
      <w:r>
        <w:rPr>
          <w:rStyle w:val="106"/>
          <w:rFonts w:hint="eastAsia" w:asciiTheme="minorEastAsia" w:hAnsiTheme="minorEastAsia" w:eastAsiaTheme="minorEastAsia" w:cstheme="minorEastAsia"/>
          <w:b/>
          <w:color w:val="auto"/>
          <w:szCs w:val="21"/>
          <w:highlight w:val="none"/>
        </w:rPr>
        <w:t>★2.投标计量单位，招标文件已有明确规定的，使用招标文件规定的计量单位；招标文件没有规定的，应采用中华人民共和国法定计量单位（货币单位：人民币元），否则视同未响应。</w:t>
      </w:r>
    </w:p>
    <w:p w14:paraId="11D3F330">
      <w:pPr>
        <w:snapToGrid w:val="0"/>
        <w:spacing w:line="440" w:lineRule="exact"/>
        <w:ind w:firstLine="422" w:firstLineChars="200"/>
        <w:jc w:val="left"/>
        <w:rPr>
          <w:rStyle w:val="106"/>
          <w:rFonts w:hint="eastAsia" w:asciiTheme="minorEastAsia" w:hAnsiTheme="minorEastAsia" w:eastAsiaTheme="minorEastAsia" w:cstheme="minorEastAsia"/>
          <w:b/>
          <w:color w:val="auto"/>
          <w:szCs w:val="21"/>
          <w:highlight w:val="none"/>
        </w:rPr>
      </w:pPr>
      <w:r>
        <w:rPr>
          <w:rStyle w:val="106"/>
          <w:rFonts w:hint="eastAsia" w:asciiTheme="minorEastAsia" w:hAnsiTheme="minorEastAsia" w:eastAsiaTheme="minorEastAsia" w:cstheme="minorEastAsia"/>
          <w:b/>
          <w:color w:val="auto"/>
          <w:szCs w:val="21"/>
          <w:highlight w:val="none"/>
        </w:rPr>
        <w:t>（四）投标报价</w:t>
      </w:r>
    </w:p>
    <w:p w14:paraId="65CF251B">
      <w:pPr>
        <w:pStyle w:val="41"/>
        <w:snapToGrid w:val="0"/>
        <w:spacing w:before="0" w:after="0" w:line="440" w:lineRule="exact"/>
        <w:ind w:firstLine="420" w:firstLineChars="200"/>
        <w:jc w:val="left"/>
        <w:rPr>
          <w:rStyle w:val="106"/>
          <w:rFonts w:hint="eastAsia" w:asciiTheme="minorEastAsia" w:hAnsiTheme="minorEastAsia" w:eastAsiaTheme="minorEastAsia" w:cstheme="minorEastAsia"/>
          <w:color w:val="auto"/>
          <w:sz w:val="21"/>
          <w:szCs w:val="21"/>
          <w:highlight w:val="none"/>
        </w:rPr>
      </w:pPr>
      <w:r>
        <w:rPr>
          <w:rStyle w:val="106"/>
          <w:rFonts w:hint="eastAsia" w:asciiTheme="minorEastAsia" w:hAnsiTheme="minorEastAsia" w:eastAsiaTheme="minorEastAsia" w:cstheme="minorEastAsia"/>
          <w:color w:val="auto"/>
          <w:sz w:val="21"/>
          <w:szCs w:val="21"/>
          <w:highlight w:val="none"/>
        </w:rPr>
        <w:t>1.投标报价应按招标文件中相关附表格式填写。</w:t>
      </w:r>
    </w:p>
    <w:p w14:paraId="57ACB576">
      <w:pPr>
        <w:pStyle w:val="41"/>
        <w:snapToGrid w:val="0"/>
        <w:spacing w:before="0" w:after="0" w:line="440" w:lineRule="exact"/>
        <w:ind w:firstLine="420" w:firstLineChars="200"/>
        <w:jc w:val="left"/>
        <w:rPr>
          <w:rStyle w:val="106"/>
          <w:rFonts w:hint="eastAsia" w:asciiTheme="minorEastAsia" w:hAnsiTheme="minorEastAsia" w:eastAsiaTheme="minorEastAsia" w:cstheme="minorEastAsia"/>
          <w:color w:val="auto"/>
          <w:sz w:val="21"/>
          <w:szCs w:val="21"/>
          <w:highlight w:val="none"/>
        </w:rPr>
      </w:pPr>
      <w:r>
        <w:rPr>
          <w:rStyle w:val="106"/>
          <w:rFonts w:hint="eastAsia" w:asciiTheme="minorEastAsia" w:hAnsiTheme="minorEastAsia" w:eastAsiaTheme="minorEastAsia" w:cstheme="minorEastAsia"/>
          <w:color w:val="auto"/>
          <w:sz w:val="21"/>
          <w:szCs w:val="21"/>
          <w:highlight w:val="none"/>
        </w:rPr>
        <w:t>★2.投标报价是履行合同的最终价格，应包括与投标有关的所有费用。</w:t>
      </w:r>
    </w:p>
    <w:p w14:paraId="0EABEC8A">
      <w:pPr>
        <w:pStyle w:val="41"/>
        <w:snapToGrid w:val="0"/>
        <w:spacing w:before="0" w:after="0" w:line="440" w:lineRule="exact"/>
        <w:ind w:firstLine="420" w:firstLineChars="200"/>
        <w:jc w:val="left"/>
        <w:rPr>
          <w:rStyle w:val="106"/>
          <w:rFonts w:hint="eastAsia" w:asciiTheme="minorEastAsia" w:hAnsiTheme="minorEastAsia" w:eastAsiaTheme="minorEastAsia" w:cstheme="minorEastAsia"/>
          <w:color w:val="auto"/>
          <w:sz w:val="21"/>
          <w:szCs w:val="21"/>
          <w:highlight w:val="none"/>
        </w:rPr>
      </w:pPr>
      <w:r>
        <w:rPr>
          <w:rStyle w:val="106"/>
          <w:rFonts w:hint="eastAsia" w:asciiTheme="minorEastAsia" w:hAnsiTheme="minorEastAsia" w:eastAsiaTheme="minorEastAsia" w:cstheme="minorEastAsia"/>
          <w:color w:val="auto"/>
          <w:sz w:val="21"/>
          <w:szCs w:val="21"/>
          <w:highlight w:val="none"/>
        </w:rPr>
        <w:t>★3.投标文件只允许有一个报价，有选择的或有条件的报价将不予接受。</w:t>
      </w:r>
    </w:p>
    <w:p w14:paraId="6AA9B1BF">
      <w:pPr>
        <w:pStyle w:val="41"/>
        <w:snapToGrid w:val="0"/>
        <w:spacing w:before="0" w:after="0" w:line="440" w:lineRule="exact"/>
        <w:ind w:firstLine="420" w:firstLineChars="200"/>
        <w:jc w:val="left"/>
        <w:rPr>
          <w:rStyle w:val="106"/>
          <w:rFonts w:hint="eastAsia" w:asciiTheme="minorEastAsia" w:hAnsiTheme="minorEastAsia" w:eastAsiaTheme="minorEastAsia" w:cstheme="minorEastAsia"/>
          <w:color w:val="auto"/>
          <w:sz w:val="21"/>
          <w:szCs w:val="21"/>
          <w:highlight w:val="none"/>
        </w:rPr>
      </w:pPr>
      <w:r>
        <w:rPr>
          <w:rStyle w:val="106"/>
          <w:rFonts w:hint="eastAsia" w:asciiTheme="minorEastAsia" w:hAnsiTheme="minorEastAsia" w:eastAsiaTheme="minorEastAsia" w:cstheme="minorEastAsia"/>
          <w:color w:val="auto"/>
          <w:sz w:val="21"/>
          <w:szCs w:val="21"/>
          <w:highlight w:val="none"/>
        </w:rPr>
        <w:t>4.电子交易平台客户端里开标一览表录入的投标报价和优惠率与扫描上传的报价文件不一致的，以扫描上传的报价文件为准。</w:t>
      </w:r>
    </w:p>
    <w:p w14:paraId="5679B1B4">
      <w:pPr>
        <w:pStyle w:val="53"/>
        <w:snapToGrid w:val="0"/>
        <w:spacing w:after="0" w:line="440" w:lineRule="exact"/>
        <w:ind w:left="0" w:firstLine="422" w:firstLineChars="200"/>
        <w:rPr>
          <w:rStyle w:val="106"/>
          <w:rFonts w:hint="eastAsia" w:asciiTheme="minorEastAsia" w:hAnsiTheme="minorEastAsia" w:eastAsiaTheme="minorEastAsia" w:cstheme="minorEastAsia"/>
          <w:b/>
          <w:color w:val="auto"/>
          <w:sz w:val="21"/>
          <w:szCs w:val="21"/>
          <w:highlight w:val="none"/>
        </w:rPr>
      </w:pPr>
      <w:r>
        <w:rPr>
          <w:rStyle w:val="106"/>
          <w:rFonts w:hint="eastAsia" w:asciiTheme="minorEastAsia" w:hAnsiTheme="minorEastAsia" w:eastAsiaTheme="minorEastAsia" w:cstheme="minorEastAsia"/>
          <w:b/>
          <w:color w:val="auto"/>
          <w:sz w:val="21"/>
          <w:szCs w:val="21"/>
          <w:highlight w:val="none"/>
        </w:rPr>
        <w:t>（五）投标文件的有效期</w:t>
      </w:r>
    </w:p>
    <w:p w14:paraId="3AB741DA">
      <w:pPr>
        <w:pStyle w:val="53"/>
        <w:snapToGrid w:val="0"/>
        <w:spacing w:after="0" w:line="440" w:lineRule="exact"/>
        <w:ind w:left="0" w:firstLine="422" w:firstLineChars="200"/>
        <w:rPr>
          <w:rStyle w:val="106"/>
          <w:rFonts w:hint="eastAsia" w:asciiTheme="minorEastAsia" w:hAnsiTheme="minorEastAsia" w:eastAsiaTheme="minorEastAsia" w:cstheme="minorEastAsia"/>
          <w:b/>
          <w:color w:val="auto"/>
          <w:sz w:val="21"/>
          <w:szCs w:val="21"/>
          <w:highlight w:val="none"/>
        </w:rPr>
      </w:pPr>
      <w:r>
        <w:rPr>
          <w:rStyle w:val="106"/>
          <w:rFonts w:hint="eastAsia" w:asciiTheme="minorEastAsia" w:hAnsiTheme="minorEastAsia" w:eastAsiaTheme="minorEastAsia" w:cstheme="minorEastAsia"/>
          <w:b/>
          <w:color w:val="auto"/>
          <w:sz w:val="21"/>
          <w:szCs w:val="21"/>
          <w:highlight w:val="none"/>
        </w:rPr>
        <w:t>★1.自投标截止日起</w:t>
      </w:r>
      <w:r>
        <w:rPr>
          <w:rStyle w:val="106"/>
          <w:rFonts w:hint="eastAsia" w:asciiTheme="minorEastAsia" w:hAnsiTheme="minorEastAsia" w:eastAsiaTheme="minorEastAsia" w:cstheme="minorEastAsia"/>
          <w:b/>
          <w:color w:val="auto"/>
          <w:sz w:val="21"/>
          <w:szCs w:val="21"/>
          <w:highlight w:val="none"/>
          <w:u w:val="single"/>
        </w:rPr>
        <w:t xml:space="preserve">90 </w:t>
      </w:r>
      <w:r>
        <w:rPr>
          <w:rStyle w:val="106"/>
          <w:rFonts w:hint="eastAsia" w:asciiTheme="minorEastAsia" w:hAnsiTheme="minorEastAsia" w:eastAsiaTheme="minorEastAsia" w:cstheme="minorEastAsia"/>
          <w:b/>
          <w:color w:val="auto"/>
          <w:sz w:val="21"/>
          <w:szCs w:val="21"/>
          <w:highlight w:val="none"/>
        </w:rPr>
        <w:t>天投标文件应保持有效。有效期不足的投标文件将被拒绝。</w:t>
      </w:r>
    </w:p>
    <w:p w14:paraId="2A108878">
      <w:pPr>
        <w:pStyle w:val="53"/>
        <w:snapToGrid w:val="0"/>
        <w:spacing w:after="0" w:line="440" w:lineRule="exact"/>
        <w:ind w:left="0" w:firstLine="420" w:firstLineChars="200"/>
        <w:rPr>
          <w:rStyle w:val="106"/>
          <w:rFonts w:hint="eastAsia" w:asciiTheme="minorEastAsia" w:hAnsiTheme="minorEastAsia" w:eastAsiaTheme="minorEastAsia" w:cstheme="minorEastAsia"/>
          <w:color w:val="auto"/>
          <w:sz w:val="21"/>
          <w:szCs w:val="21"/>
          <w:highlight w:val="none"/>
        </w:rPr>
      </w:pPr>
      <w:r>
        <w:rPr>
          <w:rStyle w:val="106"/>
          <w:rFonts w:hint="eastAsia" w:asciiTheme="minorEastAsia" w:hAnsiTheme="minorEastAsia" w:eastAsiaTheme="minorEastAsia" w:cstheme="minorEastAsia"/>
          <w:color w:val="auto"/>
          <w:sz w:val="21"/>
          <w:szCs w:val="21"/>
          <w:highlight w:val="none"/>
        </w:rPr>
        <w:t>2.在特殊情况下，招标人可与投标人协商延长投标文件的有效期，这种要求和答复均以书面形式进行。</w:t>
      </w:r>
    </w:p>
    <w:p w14:paraId="20F18C6E">
      <w:pPr>
        <w:snapToGrid w:val="0"/>
        <w:spacing w:line="440" w:lineRule="exact"/>
        <w:ind w:firstLine="420" w:firstLineChars="200"/>
        <w:jc w:val="left"/>
        <w:rPr>
          <w:rStyle w:val="106"/>
          <w:rFonts w:hint="eastAsia" w:asciiTheme="minorEastAsia" w:hAnsiTheme="minorEastAsia" w:eastAsiaTheme="minorEastAsia" w:cstheme="minorEastAsia"/>
          <w:b/>
          <w:color w:val="auto"/>
          <w:szCs w:val="21"/>
          <w:highlight w:val="none"/>
        </w:rPr>
      </w:pPr>
      <w:r>
        <w:rPr>
          <w:rStyle w:val="106"/>
          <w:rFonts w:hint="eastAsia" w:asciiTheme="minorEastAsia" w:hAnsiTheme="minorEastAsia" w:eastAsiaTheme="minorEastAsia" w:cstheme="minorEastAsia"/>
          <w:color w:val="auto"/>
          <w:szCs w:val="21"/>
          <w:highlight w:val="none"/>
        </w:rPr>
        <w:t>3.投标人可拒绝接受延期要求。同意延长有效期的投标人不能修改投标文件。</w:t>
      </w:r>
      <w:r>
        <w:rPr>
          <w:rStyle w:val="106"/>
          <w:rFonts w:hint="eastAsia" w:asciiTheme="minorEastAsia" w:hAnsiTheme="minorEastAsia" w:eastAsiaTheme="minorEastAsia" w:cstheme="minorEastAsia"/>
          <w:b/>
          <w:color w:val="auto"/>
          <w:szCs w:val="21"/>
          <w:highlight w:val="none"/>
        </w:rPr>
        <w:t xml:space="preserve"> </w:t>
      </w:r>
    </w:p>
    <w:p w14:paraId="244B91C0">
      <w:pPr>
        <w:snapToGrid w:val="0"/>
        <w:spacing w:line="440" w:lineRule="exact"/>
        <w:ind w:firstLine="420" w:firstLineChars="200"/>
        <w:jc w:val="left"/>
        <w:rPr>
          <w:rStyle w:val="106"/>
          <w:rFonts w:hint="eastAsia" w:asciiTheme="minorEastAsia" w:hAnsiTheme="minorEastAsia" w:eastAsiaTheme="minorEastAsia" w:cstheme="minorEastAsia"/>
          <w:b/>
          <w:color w:val="auto"/>
          <w:szCs w:val="21"/>
          <w:highlight w:val="none"/>
        </w:rPr>
      </w:pPr>
      <w:r>
        <w:rPr>
          <w:rStyle w:val="106"/>
          <w:rFonts w:hint="eastAsia" w:asciiTheme="minorEastAsia" w:hAnsiTheme="minorEastAsia" w:eastAsiaTheme="minorEastAsia" w:cstheme="minorEastAsia"/>
          <w:color w:val="auto"/>
          <w:szCs w:val="21"/>
          <w:highlight w:val="none"/>
        </w:rPr>
        <w:t>4.投标人的投标文件自开标之日起至合同履行完毕止均应保持有效。</w:t>
      </w:r>
    </w:p>
    <w:p w14:paraId="6E14D26D">
      <w:pPr>
        <w:pStyle w:val="53"/>
        <w:snapToGrid w:val="0"/>
        <w:spacing w:after="0" w:line="440" w:lineRule="exact"/>
        <w:ind w:left="0" w:firstLine="422" w:firstLineChars="200"/>
        <w:rPr>
          <w:rStyle w:val="106"/>
          <w:rFonts w:hint="eastAsia" w:asciiTheme="minorEastAsia" w:hAnsiTheme="minorEastAsia" w:eastAsiaTheme="minorEastAsia" w:cstheme="minorEastAsia"/>
          <w:b/>
          <w:color w:val="auto"/>
          <w:sz w:val="21"/>
          <w:szCs w:val="21"/>
          <w:highlight w:val="none"/>
        </w:rPr>
      </w:pPr>
      <w:r>
        <w:rPr>
          <w:rStyle w:val="106"/>
          <w:rFonts w:hint="eastAsia" w:asciiTheme="minorEastAsia" w:hAnsiTheme="minorEastAsia" w:eastAsiaTheme="minorEastAsia" w:cstheme="minorEastAsia"/>
          <w:b/>
          <w:color w:val="auto"/>
          <w:sz w:val="21"/>
          <w:szCs w:val="21"/>
          <w:highlight w:val="none"/>
        </w:rPr>
        <w:t>（六）投标文件的签署和份数</w:t>
      </w:r>
    </w:p>
    <w:p w14:paraId="445A8615">
      <w:pPr>
        <w:pStyle w:val="53"/>
        <w:snapToGrid w:val="0"/>
        <w:spacing w:after="0" w:line="440" w:lineRule="exact"/>
        <w:ind w:left="0" w:firstLine="420" w:firstLineChars="200"/>
        <w:rPr>
          <w:rStyle w:val="106"/>
          <w:rFonts w:hint="eastAsia" w:asciiTheme="minorEastAsia" w:hAnsiTheme="minorEastAsia" w:eastAsiaTheme="minorEastAsia" w:cstheme="minorEastAsia"/>
          <w:color w:val="auto"/>
          <w:sz w:val="21"/>
          <w:szCs w:val="21"/>
          <w:highlight w:val="none"/>
        </w:rPr>
      </w:pPr>
      <w:r>
        <w:rPr>
          <w:rStyle w:val="106"/>
          <w:rFonts w:hint="eastAsia" w:asciiTheme="minorEastAsia" w:hAnsiTheme="minorEastAsia" w:eastAsiaTheme="minorEastAsia" w:cstheme="minorEastAsia"/>
          <w:color w:val="auto"/>
          <w:sz w:val="21"/>
          <w:szCs w:val="21"/>
          <w:highlight w:val="none"/>
        </w:rPr>
        <w:t>1.投标人应按本招标文件规定的格式和顺序编制投标文件并标注页码，投标文件内容不完整、编排混乱导致投标文件被误读、漏读或者查找不到相关内容的，是投标人的责任。</w:t>
      </w:r>
    </w:p>
    <w:p w14:paraId="24827805">
      <w:pPr>
        <w:pStyle w:val="53"/>
        <w:snapToGrid w:val="0"/>
        <w:spacing w:after="0" w:line="440" w:lineRule="exact"/>
        <w:ind w:left="0" w:firstLine="422" w:firstLineChars="200"/>
        <w:rPr>
          <w:rStyle w:val="106"/>
          <w:rFonts w:hint="eastAsia" w:asciiTheme="minorEastAsia" w:hAnsiTheme="minorEastAsia" w:eastAsiaTheme="minorEastAsia" w:cstheme="minorEastAsia"/>
          <w:b/>
          <w:bCs/>
          <w:color w:val="auto"/>
          <w:sz w:val="21"/>
          <w:szCs w:val="21"/>
          <w:highlight w:val="none"/>
        </w:rPr>
      </w:pPr>
      <w:r>
        <w:rPr>
          <w:rStyle w:val="106"/>
          <w:rFonts w:hint="eastAsia" w:asciiTheme="minorEastAsia" w:hAnsiTheme="minorEastAsia" w:eastAsiaTheme="minorEastAsia" w:cstheme="minorEastAsia"/>
          <w:b/>
          <w:bCs/>
          <w:color w:val="auto"/>
          <w:sz w:val="21"/>
          <w:szCs w:val="21"/>
          <w:highlight w:val="none"/>
        </w:rPr>
        <w:t>2.“乐采云”提交（上传）的电子投标文件部分：投标人应根据“乐采云”投标人项目采购-电子招投标操作指南及本招标文件规定的格式和顺序编制电子投标文件并进行关联定位。</w:t>
      </w:r>
    </w:p>
    <w:p w14:paraId="6E01D385">
      <w:pPr>
        <w:pStyle w:val="53"/>
        <w:snapToGrid w:val="0"/>
        <w:spacing w:after="0" w:line="440" w:lineRule="exact"/>
        <w:ind w:left="0" w:firstLine="422" w:firstLineChars="200"/>
        <w:rPr>
          <w:rStyle w:val="106"/>
          <w:rFonts w:hint="eastAsia" w:asciiTheme="minorEastAsia" w:hAnsiTheme="minorEastAsia" w:eastAsiaTheme="minorEastAsia" w:cstheme="minorEastAsia"/>
          <w:b/>
          <w:bCs/>
          <w:color w:val="auto"/>
          <w:sz w:val="21"/>
          <w:szCs w:val="21"/>
          <w:highlight w:val="none"/>
        </w:rPr>
      </w:pPr>
      <w:r>
        <w:rPr>
          <w:rStyle w:val="106"/>
          <w:rFonts w:hint="eastAsia" w:asciiTheme="minorEastAsia" w:hAnsiTheme="minorEastAsia" w:eastAsiaTheme="minorEastAsia" w:cstheme="minorEastAsia"/>
          <w:b/>
          <w:bCs/>
          <w:color w:val="auto"/>
          <w:sz w:val="21"/>
          <w:szCs w:val="21"/>
          <w:highlight w:val="none"/>
        </w:rPr>
        <w:t>以介质存储的数据电文形式的电子备份投标文件部分：须按“乐采云”投标人项目采购-电子招投标操作指南制作的备份文件（电子备份投标文件后缀格式为“.bfbs”）。以U盘形式存储，并单独密封递交。</w:t>
      </w:r>
    </w:p>
    <w:p w14:paraId="2E81F558">
      <w:pPr>
        <w:pStyle w:val="53"/>
        <w:snapToGrid w:val="0"/>
        <w:spacing w:after="0" w:line="440" w:lineRule="exact"/>
        <w:ind w:left="0" w:firstLine="422" w:firstLineChars="200"/>
        <w:rPr>
          <w:rStyle w:val="106"/>
          <w:rFonts w:hint="eastAsia" w:asciiTheme="minorEastAsia" w:hAnsiTheme="minorEastAsia" w:eastAsiaTheme="minorEastAsia" w:cstheme="minorEastAsia"/>
          <w:color w:val="auto"/>
          <w:sz w:val="21"/>
          <w:szCs w:val="21"/>
          <w:highlight w:val="none"/>
          <w:lang w:eastAsia="zh-CN"/>
        </w:rPr>
      </w:pPr>
      <w:r>
        <w:rPr>
          <w:rStyle w:val="106"/>
          <w:rFonts w:hint="eastAsia" w:asciiTheme="minorEastAsia" w:hAnsiTheme="minorEastAsia" w:eastAsiaTheme="minorEastAsia" w:cstheme="minorEastAsia"/>
          <w:b/>
          <w:bCs/>
          <w:color w:val="auto"/>
          <w:sz w:val="21"/>
          <w:szCs w:val="21"/>
          <w:highlight w:val="none"/>
        </w:rPr>
        <w:t>电子备份投标文件递交要求：以U盘形式提供的电子备份投标文件1份（不作实质性要求）。</w:t>
      </w:r>
    </w:p>
    <w:p w14:paraId="11AE9228">
      <w:pPr>
        <w:pStyle w:val="53"/>
        <w:snapToGrid w:val="0"/>
        <w:spacing w:after="0" w:line="440" w:lineRule="exact"/>
        <w:ind w:left="0" w:firstLine="420" w:firstLineChars="200"/>
        <w:rPr>
          <w:rStyle w:val="106"/>
          <w:rFonts w:hint="eastAsia" w:asciiTheme="minorEastAsia" w:hAnsiTheme="minorEastAsia" w:eastAsiaTheme="minorEastAsia" w:cstheme="minorEastAsia"/>
          <w:color w:val="auto"/>
          <w:sz w:val="21"/>
          <w:szCs w:val="21"/>
          <w:highlight w:val="none"/>
        </w:rPr>
      </w:pPr>
      <w:r>
        <w:rPr>
          <w:rStyle w:val="106"/>
          <w:rFonts w:hint="eastAsia" w:asciiTheme="minorEastAsia" w:hAnsiTheme="minorEastAsia" w:eastAsiaTheme="minorEastAsia" w:cstheme="minorEastAsia"/>
          <w:color w:val="auto"/>
          <w:sz w:val="21"/>
          <w:szCs w:val="21"/>
          <w:highlight w:val="none"/>
        </w:rPr>
        <w:t>3.投标文件须由投标人在规定位置盖章并由法定代表人或法定代表人的授权委托人签署，投标人应写全称。</w:t>
      </w:r>
    </w:p>
    <w:p w14:paraId="433FF69A">
      <w:pPr>
        <w:pStyle w:val="53"/>
        <w:snapToGrid w:val="0"/>
        <w:spacing w:after="0" w:line="440" w:lineRule="exact"/>
        <w:ind w:left="0" w:firstLine="420" w:firstLineChars="200"/>
        <w:rPr>
          <w:rStyle w:val="106"/>
          <w:rFonts w:hint="eastAsia" w:asciiTheme="minorEastAsia" w:hAnsiTheme="minorEastAsia" w:eastAsiaTheme="minorEastAsia" w:cstheme="minorEastAsia"/>
          <w:color w:val="auto"/>
          <w:sz w:val="21"/>
          <w:szCs w:val="21"/>
          <w:highlight w:val="none"/>
        </w:rPr>
      </w:pPr>
      <w:r>
        <w:rPr>
          <w:rStyle w:val="106"/>
          <w:rFonts w:hint="eastAsia" w:asciiTheme="minorEastAsia" w:hAnsiTheme="minorEastAsia" w:eastAsiaTheme="minorEastAsia" w:cstheme="minorEastAsia"/>
          <w:color w:val="auto"/>
          <w:sz w:val="21"/>
          <w:szCs w:val="21"/>
          <w:highlight w:val="none"/>
        </w:rPr>
        <w:t>4.投标文件不得涂改，若有修改错漏处，须加盖单位公章及法定代表人或授权委托人签字或盖章。投标文件因字迹潦草或表达不清所引起的后果由投标人负责。</w:t>
      </w:r>
    </w:p>
    <w:p w14:paraId="04D95B9F">
      <w:pPr>
        <w:pStyle w:val="53"/>
        <w:snapToGrid w:val="0"/>
        <w:spacing w:after="0" w:line="440" w:lineRule="exact"/>
        <w:ind w:left="0" w:firstLine="420" w:firstLineChars="200"/>
        <w:rPr>
          <w:rStyle w:val="106"/>
          <w:rFonts w:hint="eastAsia" w:asciiTheme="minorEastAsia" w:hAnsiTheme="minorEastAsia" w:eastAsiaTheme="minorEastAsia" w:cstheme="minorEastAsia"/>
          <w:color w:val="auto"/>
          <w:sz w:val="21"/>
          <w:szCs w:val="21"/>
          <w:highlight w:val="none"/>
        </w:rPr>
      </w:pPr>
      <w:r>
        <w:rPr>
          <w:rStyle w:val="106"/>
          <w:rFonts w:hint="eastAsia" w:asciiTheme="minorEastAsia" w:hAnsiTheme="minorEastAsia" w:eastAsiaTheme="minorEastAsia" w:cstheme="minorEastAsia"/>
          <w:color w:val="auto"/>
          <w:sz w:val="21"/>
          <w:szCs w:val="21"/>
          <w:highlight w:val="none"/>
        </w:rPr>
        <w:t>5.投标人递交的企业宣传册、产品宣传册不属于投标文件有效组成资料的不作为评审依</w:t>
      </w:r>
      <w:r>
        <w:rPr>
          <w:rFonts w:hint="eastAsia" w:asciiTheme="minorEastAsia" w:hAnsiTheme="minorEastAsia" w:eastAsiaTheme="minorEastAsia" w:cstheme="minorEastAsia"/>
          <w:color w:val="auto"/>
          <w:sz w:val="21"/>
          <w:szCs w:val="21"/>
          <w:highlight w:val="none"/>
        </w:rPr>
        <w:t>据。</w:t>
      </w:r>
    </w:p>
    <w:p w14:paraId="53210C12">
      <w:pPr>
        <w:pStyle w:val="53"/>
        <w:snapToGrid w:val="0"/>
        <w:spacing w:after="0" w:line="440" w:lineRule="exact"/>
        <w:ind w:left="0" w:firstLine="422" w:firstLineChars="200"/>
        <w:rPr>
          <w:rStyle w:val="106"/>
          <w:rFonts w:hint="eastAsia" w:asciiTheme="minorEastAsia" w:hAnsiTheme="minorEastAsia" w:eastAsiaTheme="minorEastAsia" w:cstheme="minorEastAsia"/>
          <w:b/>
          <w:color w:val="auto"/>
          <w:sz w:val="21"/>
          <w:szCs w:val="21"/>
          <w:highlight w:val="none"/>
        </w:rPr>
      </w:pPr>
      <w:r>
        <w:rPr>
          <w:rStyle w:val="106"/>
          <w:rFonts w:hint="eastAsia" w:asciiTheme="minorEastAsia" w:hAnsiTheme="minorEastAsia" w:eastAsiaTheme="minorEastAsia" w:cstheme="minorEastAsia"/>
          <w:b/>
          <w:color w:val="auto"/>
          <w:sz w:val="21"/>
          <w:szCs w:val="21"/>
          <w:highlight w:val="none"/>
        </w:rPr>
        <w:t>（七）投标文件的包装、递交、修改和撤回</w:t>
      </w:r>
    </w:p>
    <w:p w14:paraId="50780A69">
      <w:pPr>
        <w:pStyle w:val="53"/>
        <w:snapToGrid w:val="0"/>
        <w:spacing w:after="0" w:line="440" w:lineRule="exact"/>
        <w:ind w:left="0" w:firstLine="420" w:firstLineChars="200"/>
        <w:rPr>
          <w:rStyle w:val="106"/>
          <w:rFonts w:hint="eastAsia" w:asciiTheme="minorEastAsia" w:hAnsiTheme="minorEastAsia" w:eastAsiaTheme="minorEastAsia" w:cstheme="minorEastAsia"/>
          <w:bCs/>
          <w:color w:val="auto"/>
          <w:sz w:val="21"/>
          <w:szCs w:val="21"/>
          <w:highlight w:val="none"/>
        </w:rPr>
      </w:pPr>
      <w:r>
        <w:rPr>
          <w:rStyle w:val="106"/>
          <w:rFonts w:hint="eastAsia" w:asciiTheme="minorEastAsia" w:hAnsiTheme="minorEastAsia" w:eastAsiaTheme="minorEastAsia" w:cstheme="minorEastAsia"/>
          <w:bCs/>
          <w:color w:val="auto"/>
          <w:sz w:val="21"/>
          <w:szCs w:val="21"/>
          <w:highlight w:val="none"/>
        </w:rPr>
        <w:t>1.投标人应将电子备份投标文件密封，外包装封面上应注明投标人名称、投标人地址、项目名称、项目编号、投标文件名称（电子备份投标文件），并加盖投标人公章。</w:t>
      </w:r>
    </w:p>
    <w:p w14:paraId="220F7CB3">
      <w:pPr>
        <w:pStyle w:val="53"/>
        <w:snapToGrid w:val="0"/>
        <w:spacing w:after="0" w:line="440" w:lineRule="exact"/>
        <w:ind w:left="0" w:firstLine="420" w:firstLineChars="200"/>
        <w:rPr>
          <w:rStyle w:val="106"/>
          <w:rFonts w:hint="eastAsia" w:asciiTheme="minorEastAsia" w:hAnsiTheme="minorEastAsia" w:eastAsiaTheme="minorEastAsia" w:cstheme="minorEastAsia"/>
          <w:bCs/>
          <w:color w:val="auto"/>
          <w:sz w:val="21"/>
          <w:szCs w:val="21"/>
          <w:highlight w:val="none"/>
        </w:rPr>
      </w:pPr>
      <w:r>
        <w:rPr>
          <w:rStyle w:val="106"/>
          <w:rFonts w:hint="eastAsia" w:asciiTheme="minorEastAsia" w:hAnsiTheme="minorEastAsia" w:eastAsiaTheme="minorEastAsia" w:cstheme="minorEastAsia"/>
          <w:bCs/>
          <w:color w:val="auto"/>
          <w:sz w:val="21"/>
          <w:szCs w:val="21"/>
          <w:highlight w:val="none"/>
        </w:rPr>
        <w:t>2.未按规定密封或标记的投标文件将被拒绝，由此造成投标文件被误投或提前拆封的风险由投标人承担。</w:t>
      </w:r>
    </w:p>
    <w:p w14:paraId="0ECDA73E">
      <w:pPr>
        <w:pStyle w:val="53"/>
        <w:snapToGrid w:val="0"/>
        <w:spacing w:after="0" w:line="440" w:lineRule="exact"/>
        <w:ind w:left="0" w:firstLine="420" w:firstLineChars="200"/>
        <w:rPr>
          <w:rStyle w:val="106"/>
          <w:rFonts w:hint="eastAsia" w:asciiTheme="minorEastAsia" w:hAnsiTheme="minorEastAsia" w:eastAsiaTheme="minorEastAsia" w:cstheme="minorEastAsia"/>
          <w:bCs/>
          <w:color w:val="auto"/>
          <w:sz w:val="21"/>
          <w:szCs w:val="21"/>
          <w:highlight w:val="none"/>
        </w:rPr>
      </w:pPr>
      <w:r>
        <w:rPr>
          <w:rStyle w:val="106"/>
          <w:rFonts w:hint="eastAsia" w:asciiTheme="minorEastAsia" w:hAnsiTheme="minorEastAsia" w:eastAsiaTheme="minorEastAsia" w:cstheme="minorEastAsia"/>
          <w:bCs/>
          <w:color w:val="auto"/>
          <w:sz w:val="21"/>
          <w:szCs w:val="21"/>
          <w:highlight w:val="none"/>
        </w:rPr>
        <w:t>3.投标人在提交（上传）截止时间之前，可以对已提交的投标文件进行修改或撤回；提交（上传）截止时间后，投标人不得撤回、修改投标文件。修改后重新提交（上传）的投标文件应当按本招标文件的要求签署、盖章和密封。</w:t>
      </w:r>
    </w:p>
    <w:p w14:paraId="3EE08B0E">
      <w:pPr>
        <w:pStyle w:val="53"/>
        <w:snapToGrid w:val="0"/>
        <w:spacing w:after="0" w:line="440" w:lineRule="exact"/>
        <w:ind w:left="0" w:firstLine="422" w:firstLineChars="200"/>
        <w:rPr>
          <w:rStyle w:val="106"/>
          <w:rFonts w:hint="eastAsia" w:asciiTheme="minorEastAsia" w:hAnsiTheme="minorEastAsia" w:eastAsiaTheme="minorEastAsia" w:cstheme="minorEastAsia"/>
          <w:b/>
          <w:color w:val="auto"/>
          <w:sz w:val="21"/>
          <w:szCs w:val="21"/>
          <w:highlight w:val="none"/>
        </w:rPr>
      </w:pPr>
      <w:r>
        <w:rPr>
          <w:rStyle w:val="106"/>
          <w:rFonts w:hint="eastAsia" w:asciiTheme="minorEastAsia" w:hAnsiTheme="minorEastAsia" w:eastAsiaTheme="minorEastAsia" w:cstheme="minorEastAsia"/>
          <w:b/>
          <w:color w:val="auto"/>
          <w:sz w:val="21"/>
          <w:szCs w:val="21"/>
          <w:highlight w:val="none"/>
        </w:rPr>
        <w:t>（八）投标无效的情形</w:t>
      </w:r>
    </w:p>
    <w:p w14:paraId="2352DE5B">
      <w:pPr>
        <w:pStyle w:val="61"/>
        <w:snapToGrid w:val="0"/>
        <w:spacing w:line="440" w:lineRule="exact"/>
        <w:ind w:firstLine="404" w:firstLineChars="200"/>
        <w:rPr>
          <w:rStyle w:val="106"/>
          <w:rFonts w:hint="eastAsia" w:asciiTheme="minorEastAsia" w:hAnsiTheme="minorEastAsia" w:eastAsiaTheme="minorEastAsia" w:cstheme="minorEastAsia"/>
          <w:color w:val="auto"/>
          <w:sz w:val="21"/>
          <w:szCs w:val="21"/>
          <w:highlight w:val="none"/>
        </w:rPr>
      </w:pPr>
      <w:r>
        <w:rPr>
          <w:rStyle w:val="106"/>
          <w:rFonts w:hint="eastAsia" w:asciiTheme="minorEastAsia" w:hAnsiTheme="minorEastAsia" w:eastAsiaTheme="minorEastAsia" w:cstheme="minorEastAsia"/>
          <w:color w:val="auto"/>
          <w:sz w:val="21"/>
          <w:szCs w:val="21"/>
          <w:highlight w:val="none"/>
        </w:rPr>
        <w:t>实质上没有响应招标文件要求的投标将被视为无效投标。投标人不得通过修正或撤消不合要求的偏离或保留从而使其投标成为实质上响应的投标。</w:t>
      </w:r>
    </w:p>
    <w:p w14:paraId="47E75866">
      <w:pPr>
        <w:spacing w:line="440" w:lineRule="exact"/>
        <w:ind w:firstLine="422" w:firstLineChars="200"/>
        <w:jc w:val="left"/>
        <w:rPr>
          <w:rStyle w:val="106"/>
          <w:rFonts w:hint="eastAsia" w:asciiTheme="minorEastAsia" w:hAnsiTheme="minorEastAsia" w:eastAsiaTheme="minorEastAsia" w:cstheme="minorEastAsia"/>
          <w:b/>
          <w:bCs/>
          <w:color w:val="auto"/>
          <w:szCs w:val="21"/>
          <w:highlight w:val="none"/>
        </w:rPr>
      </w:pPr>
      <w:r>
        <w:rPr>
          <w:rStyle w:val="106"/>
          <w:rFonts w:hint="eastAsia" w:asciiTheme="minorEastAsia" w:hAnsiTheme="minorEastAsia" w:eastAsiaTheme="minorEastAsia" w:cstheme="minorEastAsia"/>
          <w:b/>
          <w:color w:val="auto"/>
          <w:szCs w:val="21"/>
          <w:highlight w:val="none"/>
        </w:rPr>
        <w:t>1.在资格审查时，不具备招标文件中规定的资格要求的，或者资格证明文件不全的，投标文件将被视为无效；</w:t>
      </w:r>
    </w:p>
    <w:p w14:paraId="140FCAC6">
      <w:pPr>
        <w:pStyle w:val="61"/>
        <w:snapToGrid w:val="0"/>
        <w:spacing w:line="440" w:lineRule="exact"/>
        <w:ind w:firstLine="406" w:firstLineChars="200"/>
        <w:rPr>
          <w:rStyle w:val="106"/>
          <w:rFonts w:hint="eastAsia" w:asciiTheme="minorEastAsia" w:hAnsiTheme="minorEastAsia" w:eastAsiaTheme="minorEastAsia" w:cstheme="minorEastAsia"/>
          <w:b/>
          <w:bCs/>
          <w:color w:val="auto"/>
          <w:sz w:val="21"/>
          <w:szCs w:val="21"/>
          <w:highlight w:val="none"/>
        </w:rPr>
      </w:pPr>
      <w:r>
        <w:rPr>
          <w:rStyle w:val="106"/>
          <w:rFonts w:hint="eastAsia" w:asciiTheme="minorEastAsia" w:hAnsiTheme="minorEastAsia" w:eastAsiaTheme="minorEastAsia" w:cstheme="minorEastAsia"/>
          <w:b/>
          <w:bCs/>
          <w:color w:val="auto"/>
          <w:sz w:val="21"/>
          <w:szCs w:val="21"/>
          <w:highlight w:val="none"/>
        </w:rPr>
        <w:t>2.在符合性审查和资信评审时，如发现下列情形之一的，投标文件将被视为无效：</w:t>
      </w:r>
    </w:p>
    <w:p w14:paraId="36CCB038">
      <w:pPr>
        <w:pStyle w:val="61"/>
        <w:snapToGrid w:val="0"/>
        <w:spacing w:line="440" w:lineRule="exact"/>
        <w:ind w:firstLine="404" w:firstLineChars="200"/>
        <w:rPr>
          <w:rStyle w:val="106"/>
          <w:rFonts w:hint="eastAsia" w:asciiTheme="minorEastAsia" w:hAnsiTheme="minorEastAsia" w:eastAsiaTheme="minorEastAsia" w:cstheme="minorEastAsia"/>
          <w:bCs/>
          <w:color w:val="auto"/>
          <w:sz w:val="21"/>
          <w:szCs w:val="21"/>
          <w:highlight w:val="none"/>
        </w:rPr>
      </w:pPr>
      <w:r>
        <w:rPr>
          <w:rStyle w:val="106"/>
          <w:rFonts w:hint="eastAsia" w:asciiTheme="minorEastAsia" w:hAnsiTheme="minorEastAsia" w:eastAsiaTheme="minorEastAsia" w:cstheme="minorEastAsia"/>
          <w:bCs/>
          <w:color w:val="auto"/>
          <w:sz w:val="21"/>
          <w:szCs w:val="21"/>
          <w:highlight w:val="none"/>
        </w:rPr>
        <w:t>（1）投标文件无法定代表人签字，或未提供法定代表人授权委托书、投标函、投标声明书或者填写项目不齐全的；</w:t>
      </w:r>
    </w:p>
    <w:p w14:paraId="35B52C85">
      <w:pPr>
        <w:pStyle w:val="61"/>
        <w:snapToGrid w:val="0"/>
        <w:spacing w:line="440" w:lineRule="exact"/>
        <w:ind w:firstLine="404" w:firstLineChars="200"/>
        <w:rPr>
          <w:rStyle w:val="106"/>
          <w:rFonts w:hint="eastAsia" w:asciiTheme="minorEastAsia" w:hAnsiTheme="minorEastAsia" w:eastAsiaTheme="minorEastAsia" w:cstheme="minorEastAsia"/>
          <w:bCs/>
          <w:color w:val="auto"/>
          <w:sz w:val="21"/>
          <w:szCs w:val="21"/>
          <w:highlight w:val="none"/>
        </w:rPr>
      </w:pPr>
      <w:r>
        <w:rPr>
          <w:rStyle w:val="106"/>
          <w:rFonts w:hint="eastAsia" w:asciiTheme="minorEastAsia" w:hAnsiTheme="minorEastAsia" w:eastAsiaTheme="minorEastAsia" w:cstheme="minorEastAsia"/>
          <w:bCs/>
          <w:color w:val="auto"/>
          <w:sz w:val="21"/>
          <w:szCs w:val="21"/>
          <w:highlight w:val="none"/>
        </w:rPr>
        <w:t>（2）投标文件格式不规范、项目不齐全或者内容虚假的；</w:t>
      </w:r>
    </w:p>
    <w:p w14:paraId="070FBD14">
      <w:pPr>
        <w:pStyle w:val="61"/>
        <w:snapToGrid w:val="0"/>
        <w:spacing w:line="440" w:lineRule="exact"/>
        <w:ind w:firstLine="404" w:firstLineChars="200"/>
        <w:rPr>
          <w:rStyle w:val="106"/>
          <w:rFonts w:hint="eastAsia" w:asciiTheme="minorEastAsia" w:hAnsiTheme="minorEastAsia" w:eastAsiaTheme="minorEastAsia" w:cstheme="minorEastAsia"/>
          <w:bCs/>
          <w:color w:val="auto"/>
          <w:sz w:val="21"/>
          <w:szCs w:val="21"/>
          <w:highlight w:val="none"/>
        </w:rPr>
      </w:pPr>
      <w:r>
        <w:rPr>
          <w:rStyle w:val="106"/>
          <w:rFonts w:hint="eastAsia" w:asciiTheme="minorEastAsia" w:hAnsiTheme="minorEastAsia" w:eastAsiaTheme="minorEastAsia" w:cstheme="minorEastAsia"/>
          <w:bCs/>
          <w:color w:val="auto"/>
          <w:sz w:val="21"/>
          <w:szCs w:val="21"/>
          <w:highlight w:val="none"/>
        </w:rPr>
        <w:t>（3）投标文件的实质性内容未使用中文表述、意思表述不明确、前后矛盾或者使用计量单位不符合招标文件要求的（经评标委员会认定并允许其当场更正的笔误除外）；</w:t>
      </w:r>
    </w:p>
    <w:p w14:paraId="2695D692">
      <w:pPr>
        <w:pStyle w:val="61"/>
        <w:snapToGrid w:val="0"/>
        <w:spacing w:line="440" w:lineRule="exact"/>
        <w:ind w:firstLine="404" w:firstLineChars="200"/>
        <w:rPr>
          <w:rStyle w:val="106"/>
          <w:rFonts w:hint="eastAsia" w:asciiTheme="minorEastAsia" w:hAnsiTheme="minorEastAsia" w:eastAsiaTheme="minorEastAsia" w:cstheme="minorEastAsia"/>
          <w:bCs/>
          <w:color w:val="auto"/>
          <w:sz w:val="21"/>
          <w:szCs w:val="21"/>
          <w:highlight w:val="none"/>
        </w:rPr>
      </w:pPr>
      <w:r>
        <w:rPr>
          <w:rStyle w:val="106"/>
          <w:rFonts w:hint="eastAsia" w:asciiTheme="minorEastAsia" w:hAnsiTheme="minorEastAsia" w:eastAsiaTheme="minorEastAsia" w:cstheme="minorEastAsia"/>
          <w:bCs/>
          <w:color w:val="auto"/>
          <w:sz w:val="21"/>
          <w:szCs w:val="21"/>
          <w:highlight w:val="none"/>
        </w:rPr>
        <w:t>（4）投标有效期不能满足招标文件要求的；</w:t>
      </w:r>
    </w:p>
    <w:p w14:paraId="76DFBEBF">
      <w:pPr>
        <w:pStyle w:val="61"/>
        <w:snapToGrid w:val="0"/>
        <w:spacing w:line="440" w:lineRule="exact"/>
        <w:ind w:firstLine="404" w:firstLineChars="200"/>
        <w:rPr>
          <w:rStyle w:val="106"/>
          <w:rFonts w:hint="eastAsia" w:asciiTheme="minorEastAsia" w:hAnsiTheme="minorEastAsia" w:eastAsiaTheme="minorEastAsia" w:cstheme="minorEastAsia"/>
          <w:bCs/>
          <w:color w:val="auto"/>
          <w:sz w:val="21"/>
          <w:szCs w:val="21"/>
          <w:highlight w:val="none"/>
        </w:rPr>
      </w:pPr>
      <w:r>
        <w:rPr>
          <w:rStyle w:val="106"/>
          <w:rFonts w:hint="eastAsia" w:asciiTheme="minorEastAsia" w:hAnsiTheme="minorEastAsia" w:eastAsiaTheme="minorEastAsia" w:cstheme="minorEastAsia"/>
          <w:bCs/>
          <w:color w:val="auto"/>
          <w:sz w:val="21"/>
          <w:szCs w:val="21"/>
          <w:highlight w:val="none"/>
        </w:rPr>
        <w:t>（5）未实质性响应招标文件要求，或者与招标文件中标“★”的商务条款发生实质性偏离的，或者投标文件有招标人不能接受的附加条件的；</w:t>
      </w:r>
    </w:p>
    <w:p w14:paraId="34C0ED40">
      <w:pPr>
        <w:pStyle w:val="61"/>
        <w:snapToGrid w:val="0"/>
        <w:spacing w:line="440" w:lineRule="exact"/>
        <w:ind w:firstLine="404" w:firstLineChars="200"/>
        <w:rPr>
          <w:rStyle w:val="106"/>
          <w:rFonts w:hint="eastAsia" w:asciiTheme="minorEastAsia" w:hAnsiTheme="minorEastAsia" w:eastAsiaTheme="minorEastAsia" w:cstheme="minorEastAsia"/>
          <w:bCs/>
          <w:color w:val="auto"/>
          <w:sz w:val="21"/>
          <w:szCs w:val="21"/>
          <w:highlight w:val="none"/>
        </w:rPr>
      </w:pPr>
      <w:r>
        <w:rPr>
          <w:rStyle w:val="106"/>
          <w:rFonts w:hint="eastAsia" w:asciiTheme="minorEastAsia" w:hAnsiTheme="minorEastAsia" w:eastAsiaTheme="minorEastAsia" w:cstheme="minorEastAsia"/>
          <w:bCs/>
          <w:color w:val="auto"/>
          <w:sz w:val="21"/>
          <w:szCs w:val="21"/>
          <w:highlight w:val="none"/>
        </w:rPr>
        <w:t>（6）超过投标截止时间送达的或未按规定地点送达的；</w:t>
      </w:r>
    </w:p>
    <w:p w14:paraId="244E3D5F">
      <w:pPr>
        <w:pStyle w:val="61"/>
        <w:snapToGrid w:val="0"/>
        <w:spacing w:line="440" w:lineRule="exact"/>
        <w:ind w:firstLine="404" w:firstLineChars="200"/>
        <w:rPr>
          <w:rStyle w:val="106"/>
          <w:rFonts w:hint="eastAsia" w:asciiTheme="minorEastAsia" w:hAnsiTheme="minorEastAsia" w:eastAsiaTheme="minorEastAsia" w:cstheme="minorEastAsia"/>
          <w:bCs/>
          <w:color w:val="auto"/>
          <w:sz w:val="21"/>
          <w:szCs w:val="21"/>
          <w:highlight w:val="none"/>
        </w:rPr>
      </w:pPr>
      <w:r>
        <w:rPr>
          <w:rStyle w:val="106"/>
          <w:rFonts w:hint="eastAsia" w:asciiTheme="minorEastAsia" w:hAnsiTheme="minorEastAsia" w:eastAsiaTheme="minorEastAsia" w:cstheme="minorEastAsia"/>
          <w:bCs/>
          <w:color w:val="auto"/>
          <w:sz w:val="21"/>
          <w:szCs w:val="21"/>
          <w:highlight w:val="none"/>
        </w:rPr>
        <w:t>（7）未按规定密封、签章的；</w:t>
      </w:r>
    </w:p>
    <w:p w14:paraId="6B553F0C">
      <w:pPr>
        <w:pStyle w:val="61"/>
        <w:snapToGrid w:val="0"/>
        <w:spacing w:line="440" w:lineRule="exact"/>
        <w:ind w:firstLine="404" w:firstLineChars="200"/>
        <w:rPr>
          <w:rStyle w:val="106"/>
          <w:rFonts w:hint="eastAsia" w:asciiTheme="minorEastAsia" w:hAnsiTheme="minorEastAsia" w:eastAsiaTheme="minorEastAsia" w:cstheme="minorEastAsia"/>
          <w:bCs/>
          <w:color w:val="auto"/>
          <w:sz w:val="21"/>
          <w:szCs w:val="21"/>
          <w:highlight w:val="none"/>
        </w:rPr>
      </w:pPr>
      <w:r>
        <w:rPr>
          <w:rStyle w:val="106"/>
          <w:rFonts w:hint="eastAsia" w:asciiTheme="minorEastAsia" w:hAnsiTheme="minorEastAsia" w:eastAsiaTheme="minorEastAsia" w:cstheme="minorEastAsia"/>
          <w:bCs/>
          <w:color w:val="auto"/>
          <w:sz w:val="21"/>
          <w:szCs w:val="21"/>
          <w:highlight w:val="none"/>
        </w:rPr>
        <w:t xml:space="preserve">（8）投标文件的关键内容字迹模糊、无法辨认的，或者投标文件中经修正的内容字迹模糊难以辩认或者修改处未按规定签名盖章的； </w:t>
      </w:r>
    </w:p>
    <w:p w14:paraId="3F495FAC">
      <w:pPr>
        <w:pStyle w:val="61"/>
        <w:snapToGrid w:val="0"/>
        <w:spacing w:line="440" w:lineRule="exact"/>
        <w:ind w:firstLine="404" w:firstLineChars="200"/>
        <w:rPr>
          <w:rStyle w:val="106"/>
          <w:rFonts w:hint="eastAsia" w:asciiTheme="minorEastAsia" w:hAnsiTheme="minorEastAsia" w:eastAsiaTheme="minorEastAsia" w:cstheme="minorEastAsia"/>
          <w:bCs/>
          <w:color w:val="auto"/>
          <w:sz w:val="21"/>
          <w:szCs w:val="21"/>
          <w:highlight w:val="none"/>
        </w:rPr>
      </w:pPr>
      <w:r>
        <w:rPr>
          <w:rStyle w:val="106"/>
          <w:rFonts w:hint="eastAsia" w:asciiTheme="minorEastAsia" w:hAnsiTheme="minorEastAsia" w:eastAsiaTheme="minorEastAsia" w:cstheme="minorEastAsia"/>
          <w:bCs/>
          <w:color w:val="auto"/>
          <w:sz w:val="21"/>
          <w:szCs w:val="21"/>
          <w:highlight w:val="none"/>
        </w:rPr>
        <w:t>（9）资信技术文件中出现投标报价的；</w:t>
      </w:r>
    </w:p>
    <w:p w14:paraId="54963B83">
      <w:pPr>
        <w:pStyle w:val="61"/>
        <w:snapToGrid w:val="0"/>
        <w:spacing w:line="440" w:lineRule="exact"/>
        <w:ind w:firstLine="406" w:firstLineChars="200"/>
        <w:rPr>
          <w:rStyle w:val="106"/>
          <w:rFonts w:hint="eastAsia" w:asciiTheme="minorEastAsia" w:hAnsiTheme="minorEastAsia" w:eastAsiaTheme="minorEastAsia" w:cstheme="minorEastAsia"/>
          <w:b/>
          <w:bCs/>
          <w:color w:val="auto"/>
          <w:sz w:val="21"/>
          <w:szCs w:val="21"/>
          <w:highlight w:val="none"/>
        </w:rPr>
      </w:pPr>
      <w:r>
        <w:rPr>
          <w:rStyle w:val="106"/>
          <w:rFonts w:hint="eastAsia" w:asciiTheme="minorEastAsia" w:hAnsiTheme="minorEastAsia" w:eastAsiaTheme="minorEastAsia" w:cstheme="minorEastAsia"/>
          <w:b/>
          <w:bCs/>
          <w:color w:val="auto"/>
          <w:sz w:val="21"/>
          <w:szCs w:val="21"/>
          <w:highlight w:val="none"/>
        </w:rPr>
        <w:t>3.在技术评审时，如发现下列情形之一的，投标文件将被视为无效：</w:t>
      </w:r>
    </w:p>
    <w:p w14:paraId="774FD541">
      <w:pPr>
        <w:pStyle w:val="61"/>
        <w:snapToGrid w:val="0"/>
        <w:spacing w:line="440" w:lineRule="exact"/>
        <w:ind w:firstLine="404" w:firstLineChars="200"/>
        <w:rPr>
          <w:rStyle w:val="106"/>
          <w:rFonts w:hint="eastAsia" w:asciiTheme="minorEastAsia" w:hAnsiTheme="minorEastAsia" w:eastAsiaTheme="minorEastAsia" w:cstheme="minorEastAsia"/>
          <w:bCs/>
          <w:color w:val="auto"/>
          <w:sz w:val="21"/>
          <w:szCs w:val="21"/>
          <w:highlight w:val="none"/>
        </w:rPr>
      </w:pPr>
      <w:r>
        <w:rPr>
          <w:rStyle w:val="106"/>
          <w:rFonts w:hint="eastAsia" w:asciiTheme="minorEastAsia" w:hAnsiTheme="minorEastAsia" w:eastAsiaTheme="minorEastAsia" w:cstheme="minorEastAsia"/>
          <w:bCs/>
          <w:color w:val="auto"/>
          <w:sz w:val="21"/>
          <w:szCs w:val="21"/>
          <w:highlight w:val="none"/>
        </w:rPr>
        <w:t>（1）投标文件标明的响应或偏离与事实不符或虚假投标的；</w:t>
      </w:r>
    </w:p>
    <w:p w14:paraId="1C6DD185">
      <w:pPr>
        <w:pStyle w:val="61"/>
        <w:snapToGrid w:val="0"/>
        <w:spacing w:line="440" w:lineRule="exact"/>
        <w:ind w:firstLine="404" w:firstLineChars="200"/>
        <w:rPr>
          <w:rStyle w:val="106"/>
          <w:rFonts w:hint="eastAsia" w:asciiTheme="minorEastAsia" w:hAnsiTheme="minorEastAsia" w:eastAsiaTheme="minorEastAsia" w:cstheme="minorEastAsia"/>
          <w:bCs/>
          <w:color w:val="auto"/>
          <w:sz w:val="21"/>
          <w:szCs w:val="21"/>
          <w:highlight w:val="none"/>
        </w:rPr>
      </w:pPr>
      <w:r>
        <w:rPr>
          <w:rStyle w:val="106"/>
          <w:rFonts w:hint="eastAsia" w:asciiTheme="minorEastAsia" w:hAnsiTheme="minorEastAsia" w:eastAsiaTheme="minorEastAsia" w:cstheme="minorEastAsia"/>
          <w:bCs/>
          <w:color w:val="auto"/>
          <w:sz w:val="21"/>
          <w:szCs w:val="21"/>
          <w:highlight w:val="none"/>
        </w:rPr>
        <w:t>（2）明显不符合招标文件要求的，或者“采购需求响应”扣分超过该项满分值（不含）的，或者与招标文件中标“★”的技术条款发生实质性偏离的；</w:t>
      </w:r>
    </w:p>
    <w:p w14:paraId="72C30D9B">
      <w:pPr>
        <w:pStyle w:val="61"/>
        <w:snapToGrid w:val="0"/>
        <w:spacing w:line="440" w:lineRule="exact"/>
        <w:ind w:firstLine="404" w:firstLineChars="200"/>
        <w:rPr>
          <w:rStyle w:val="106"/>
          <w:rFonts w:hint="eastAsia" w:asciiTheme="minorEastAsia" w:hAnsiTheme="minorEastAsia" w:eastAsiaTheme="minorEastAsia" w:cstheme="minorEastAsia"/>
          <w:bCs/>
          <w:color w:val="auto"/>
          <w:sz w:val="21"/>
          <w:szCs w:val="21"/>
          <w:highlight w:val="none"/>
        </w:rPr>
      </w:pPr>
      <w:r>
        <w:rPr>
          <w:rStyle w:val="106"/>
          <w:rFonts w:hint="eastAsia" w:asciiTheme="minorEastAsia" w:hAnsiTheme="minorEastAsia" w:eastAsiaTheme="minorEastAsia" w:cstheme="minorEastAsia"/>
          <w:bCs/>
          <w:color w:val="auto"/>
          <w:sz w:val="21"/>
          <w:szCs w:val="21"/>
          <w:highlight w:val="none"/>
        </w:rPr>
        <w:t>（3）投标技术方案不明确，存在一个或一个以上备选（替代）投标方案的；</w:t>
      </w:r>
    </w:p>
    <w:p w14:paraId="6C6C0F6C">
      <w:pPr>
        <w:pStyle w:val="61"/>
        <w:snapToGrid w:val="0"/>
        <w:spacing w:line="440" w:lineRule="exact"/>
        <w:ind w:firstLine="406" w:firstLineChars="200"/>
        <w:rPr>
          <w:rStyle w:val="106"/>
          <w:rFonts w:hint="eastAsia" w:asciiTheme="minorEastAsia" w:hAnsiTheme="minorEastAsia" w:eastAsiaTheme="minorEastAsia" w:cstheme="minorEastAsia"/>
          <w:b/>
          <w:bCs/>
          <w:color w:val="auto"/>
          <w:sz w:val="21"/>
          <w:szCs w:val="21"/>
          <w:highlight w:val="none"/>
        </w:rPr>
      </w:pPr>
      <w:r>
        <w:rPr>
          <w:rStyle w:val="106"/>
          <w:rFonts w:hint="eastAsia" w:asciiTheme="minorEastAsia" w:hAnsiTheme="minorEastAsia" w:eastAsiaTheme="minorEastAsia" w:cstheme="minorEastAsia"/>
          <w:b/>
          <w:bCs/>
          <w:color w:val="auto"/>
          <w:sz w:val="21"/>
          <w:szCs w:val="21"/>
          <w:highlight w:val="none"/>
        </w:rPr>
        <w:t>4.在报价评审时，如发现下列情形之一的，投标文件将被视为无效：</w:t>
      </w:r>
    </w:p>
    <w:p w14:paraId="7BFF6829">
      <w:pPr>
        <w:pStyle w:val="61"/>
        <w:snapToGrid w:val="0"/>
        <w:spacing w:line="440" w:lineRule="exact"/>
        <w:ind w:firstLine="404" w:firstLineChars="200"/>
        <w:rPr>
          <w:rStyle w:val="106"/>
          <w:rFonts w:hint="eastAsia" w:asciiTheme="minorEastAsia" w:hAnsiTheme="minorEastAsia" w:eastAsiaTheme="minorEastAsia" w:cstheme="minorEastAsia"/>
          <w:bCs/>
          <w:color w:val="auto"/>
          <w:sz w:val="21"/>
          <w:szCs w:val="21"/>
          <w:highlight w:val="none"/>
        </w:rPr>
      </w:pPr>
      <w:r>
        <w:rPr>
          <w:rStyle w:val="106"/>
          <w:rFonts w:hint="eastAsia" w:asciiTheme="minorEastAsia" w:hAnsiTheme="minorEastAsia" w:eastAsiaTheme="minorEastAsia" w:cstheme="minorEastAsia"/>
          <w:bCs/>
          <w:color w:val="auto"/>
          <w:sz w:val="21"/>
          <w:szCs w:val="21"/>
          <w:highlight w:val="none"/>
        </w:rPr>
        <w:t>（1）未采用投标文件要求的报价形式报价的，或投标报价超过最高限价的；</w:t>
      </w:r>
    </w:p>
    <w:p w14:paraId="0832AC56">
      <w:pPr>
        <w:pStyle w:val="61"/>
        <w:snapToGrid w:val="0"/>
        <w:spacing w:line="440" w:lineRule="exact"/>
        <w:ind w:firstLine="404" w:firstLineChars="200"/>
        <w:rPr>
          <w:rStyle w:val="106"/>
          <w:rFonts w:hint="eastAsia" w:asciiTheme="minorEastAsia" w:hAnsiTheme="minorEastAsia" w:eastAsiaTheme="minorEastAsia" w:cstheme="minorEastAsia"/>
          <w:bCs/>
          <w:color w:val="auto"/>
          <w:sz w:val="21"/>
          <w:szCs w:val="21"/>
          <w:highlight w:val="none"/>
        </w:rPr>
      </w:pPr>
      <w:r>
        <w:rPr>
          <w:rStyle w:val="106"/>
          <w:rFonts w:hint="eastAsia" w:asciiTheme="minorEastAsia" w:hAnsiTheme="minorEastAsia" w:eastAsiaTheme="minorEastAsia" w:cstheme="minorEastAsia"/>
          <w:bCs/>
          <w:color w:val="auto"/>
          <w:sz w:val="21"/>
          <w:szCs w:val="21"/>
          <w:highlight w:val="none"/>
        </w:rPr>
        <w:t>（2）投标报价具有选择性，或者开标价格与投标文件承诺的优惠（折扣）价格不一致的；</w:t>
      </w:r>
    </w:p>
    <w:p w14:paraId="6AC26FEC">
      <w:pPr>
        <w:pStyle w:val="61"/>
        <w:snapToGrid w:val="0"/>
        <w:spacing w:line="440" w:lineRule="exact"/>
        <w:ind w:firstLine="404" w:firstLineChars="200"/>
        <w:rPr>
          <w:rStyle w:val="106"/>
          <w:rFonts w:hint="eastAsia" w:asciiTheme="minorEastAsia" w:hAnsiTheme="minorEastAsia" w:eastAsiaTheme="minorEastAsia" w:cstheme="minorEastAsia"/>
          <w:b/>
          <w:bCs/>
          <w:color w:val="auto"/>
          <w:sz w:val="21"/>
          <w:szCs w:val="21"/>
          <w:highlight w:val="none"/>
        </w:rPr>
      </w:pPr>
      <w:r>
        <w:rPr>
          <w:rStyle w:val="106"/>
          <w:rFonts w:hint="eastAsia" w:asciiTheme="minorEastAsia" w:hAnsiTheme="minorEastAsia" w:eastAsiaTheme="minorEastAsia" w:cstheme="minorEastAsia"/>
          <w:bCs/>
          <w:color w:val="auto"/>
          <w:sz w:val="21"/>
          <w:szCs w:val="21"/>
          <w:highlight w:val="none"/>
        </w:rPr>
        <w:t>（3）评标委员会认为投标人的报价明显低于其他通过符合性审查投标人的报价，有可能影响产品质量或者不能诚信履约的，可要求其在评标现场合理的时间内提供书面说明，必要时提交相关证明材料；投标人不能证明其报价合理性的，评标委员会应当将其作为无效投标处理。</w:t>
      </w:r>
    </w:p>
    <w:p w14:paraId="70281AC7">
      <w:pPr>
        <w:pStyle w:val="61"/>
        <w:snapToGrid w:val="0"/>
        <w:spacing w:line="440" w:lineRule="exact"/>
        <w:ind w:firstLine="406" w:firstLineChars="200"/>
        <w:rPr>
          <w:rStyle w:val="106"/>
          <w:rFonts w:hint="eastAsia" w:asciiTheme="minorEastAsia" w:hAnsiTheme="minorEastAsia" w:eastAsiaTheme="minorEastAsia" w:cstheme="minorEastAsia"/>
          <w:b/>
          <w:bCs/>
          <w:color w:val="auto"/>
          <w:sz w:val="21"/>
          <w:szCs w:val="21"/>
          <w:highlight w:val="none"/>
        </w:rPr>
      </w:pPr>
      <w:r>
        <w:rPr>
          <w:rStyle w:val="106"/>
          <w:rFonts w:hint="eastAsia" w:asciiTheme="minorEastAsia" w:hAnsiTheme="minorEastAsia" w:eastAsiaTheme="minorEastAsia" w:cstheme="minorEastAsia"/>
          <w:b/>
          <w:bCs/>
          <w:color w:val="auto"/>
          <w:sz w:val="21"/>
          <w:szCs w:val="21"/>
          <w:highlight w:val="none"/>
        </w:rPr>
        <w:t>5.被拒绝的投标文件为无效。</w:t>
      </w:r>
    </w:p>
    <w:p w14:paraId="031D2B5E">
      <w:pPr>
        <w:pStyle w:val="53"/>
        <w:snapToGrid w:val="0"/>
        <w:spacing w:after="0" w:line="440" w:lineRule="exact"/>
        <w:ind w:left="0"/>
        <w:rPr>
          <w:rStyle w:val="106"/>
          <w:rFonts w:hint="eastAsia" w:asciiTheme="minorEastAsia" w:hAnsiTheme="minorEastAsia" w:eastAsiaTheme="minorEastAsia" w:cstheme="minorEastAsia"/>
          <w:b/>
          <w:color w:val="auto"/>
          <w:sz w:val="21"/>
          <w:szCs w:val="21"/>
          <w:highlight w:val="none"/>
        </w:rPr>
      </w:pPr>
      <w:r>
        <w:rPr>
          <w:rStyle w:val="106"/>
          <w:rFonts w:hint="eastAsia" w:asciiTheme="minorEastAsia" w:hAnsiTheme="minorEastAsia" w:eastAsiaTheme="minorEastAsia" w:cstheme="minorEastAsia"/>
          <w:b/>
          <w:color w:val="auto"/>
          <w:sz w:val="21"/>
          <w:szCs w:val="21"/>
          <w:highlight w:val="none"/>
        </w:rPr>
        <w:t>四、开标</w:t>
      </w:r>
    </w:p>
    <w:p w14:paraId="585D5D4E">
      <w:pPr>
        <w:pStyle w:val="53"/>
        <w:snapToGrid w:val="0"/>
        <w:spacing w:after="0" w:line="440" w:lineRule="exact"/>
        <w:ind w:left="0" w:firstLine="422" w:firstLineChars="200"/>
        <w:rPr>
          <w:rStyle w:val="106"/>
          <w:rFonts w:hint="eastAsia" w:asciiTheme="minorEastAsia" w:hAnsiTheme="minorEastAsia" w:eastAsiaTheme="minorEastAsia" w:cstheme="minorEastAsia"/>
          <w:b/>
          <w:color w:val="auto"/>
          <w:sz w:val="21"/>
          <w:szCs w:val="21"/>
          <w:highlight w:val="none"/>
        </w:rPr>
      </w:pPr>
      <w:r>
        <w:rPr>
          <w:rStyle w:val="106"/>
          <w:rFonts w:hint="eastAsia" w:asciiTheme="minorEastAsia" w:hAnsiTheme="minorEastAsia" w:eastAsiaTheme="minorEastAsia" w:cstheme="minorEastAsia"/>
          <w:b/>
          <w:color w:val="auto"/>
          <w:sz w:val="21"/>
          <w:szCs w:val="21"/>
          <w:highlight w:val="none"/>
        </w:rPr>
        <w:t>（一）开标准备</w:t>
      </w:r>
    </w:p>
    <w:p w14:paraId="1C0F161A">
      <w:pPr>
        <w:pStyle w:val="53"/>
        <w:snapToGrid w:val="0"/>
        <w:spacing w:after="0" w:line="440" w:lineRule="exact"/>
        <w:ind w:left="0" w:firstLine="420" w:firstLineChars="200"/>
        <w:rPr>
          <w:rStyle w:val="106"/>
          <w:rFonts w:hint="eastAsia" w:asciiTheme="minorEastAsia" w:hAnsiTheme="minorEastAsia" w:eastAsiaTheme="minorEastAsia" w:cstheme="minorEastAsia"/>
          <w:bCs/>
          <w:color w:val="auto"/>
          <w:sz w:val="21"/>
          <w:szCs w:val="21"/>
          <w:highlight w:val="none"/>
        </w:rPr>
      </w:pPr>
      <w:r>
        <w:rPr>
          <w:rStyle w:val="106"/>
          <w:rFonts w:hint="eastAsia" w:asciiTheme="minorEastAsia" w:hAnsiTheme="minorEastAsia" w:eastAsiaTheme="minorEastAsia" w:cstheme="minorEastAsia"/>
          <w:bCs/>
          <w:color w:val="auto"/>
          <w:sz w:val="21"/>
          <w:szCs w:val="21"/>
          <w:highlight w:val="none"/>
        </w:rPr>
        <w:t>招标代理机构将在规定的时间和地点进行开标，投标人的法定代表人或其授权代表可参加开标会并签到。投标人的法定代表人或其授权代表未按时签到的，视同放弃开标监督权利、认可开标结果。</w:t>
      </w:r>
    </w:p>
    <w:p w14:paraId="024D30EC">
      <w:pPr>
        <w:pStyle w:val="53"/>
        <w:snapToGrid w:val="0"/>
        <w:spacing w:after="0" w:line="440" w:lineRule="exact"/>
        <w:ind w:left="0" w:firstLine="422" w:firstLineChars="200"/>
        <w:rPr>
          <w:rStyle w:val="106"/>
          <w:rFonts w:hint="eastAsia" w:asciiTheme="minorEastAsia" w:hAnsiTheme="minorEastAsia" w:eastAsiaTheme="minorEastAsia" w:cstheme="minorEastAsia"/>
          <w:b/>
          <w:color w:val="auto"/>
          <w:sz w:val="21"/>
          <w:szCs w:val="21"/>
          <w:highlight w:val="none"/>
        </w:rPr>
      </w:pPr>
      <w:r>
        <w:rPr>
          <w:rStyle w:val="106"/>
          <w:rFonts w:hint="eastAsia" w:asciiTheme="minorEastAsia" w:hAnsiTheme="minorEastAsia" w:eastAsiaTheme="minorEastAsia" w:cstheme="minorEastAsia"/>
          <w:b/>
          <w:color w:val="auto"/>
          <w:sz w:val="21"/>
          <w:szCs w:val="21"/>
          <w:highlight w:val="none"/>
        </w:rPr>
        <w:t>（二）开标程序</w:t>
      </w:r>
    </w:p>
    <w:p w14:paraId="74535FBA">
      <w:pPr>
        <w:pStyle w:val="53"/>
        <w:snapToGrid w:val="0"/>
        <w:spacing w:after="0" w:line="440" w:lineRule="exact"/>
        <w:ind w:left="0" w:firstLine="420" w:firstLineChars="200"/>
        <w:rPr>
          <w:rStyle w:val="106"/>
          <w:rFonts w:hint="eastAsia" w:asciiTheme="minorEastAsia" w:hAnsiTheme="minorEastAsia" w:eastAsiaTheme="minorEastAsia" w:cstheme="minorEastAsia"/>
          <w:bCs/>
          <w:color w:val="auto"/>
          <w:sz w:val="21"/>
          <w:szCs w:val="21"/>
          <w:highlight w:val="none"/>
        </w:rPr>
      </w:pPr>
      <w:r>
        <w:rPr>
          <w:rStyle w:val="106"/>
          <w:rFonts w:hint="eastAsia" w:asciiTheme="minorEastAsia" w:hAnsiTheme="minorEastAsia" w:eastAsiaTheme="minorEastAsia" w:cstheme="minorEastAsia"/>
          <w:bCs/>
          <w:color w:val="auto"/>
          <w:sz w:val="21"/>
          <w:szCs w:val="21"/>
          <w:highlight w:val="none"/>
        </w:rPr>
        <w:t>1.电子招投标开标程序：</w:t>
      </w:r>
    </w:p>
    <w:p w14:paraId="3C2521DE">
      <w:pPr>
        <w:pStyle w:val="53"/>
        <w:snapToGrid w:val="0"/>
        <w:spacing w:after="0" w:line="440" w:lineRule="exact"/>
        <w:ind w:left="0" w:firstLine="420" w:firstLineChars="200"/>
        <w:rPr>
          <w:rStyle w:val="106"/>
          <w:rFonts w:hint="eastAsia" w:asciiTheme="minorEastAsia" w:hAnsiTheme="minorEastAsia" w:eastAsiaTheme="minorEastAsia" w:cstheme="minorEastAsia"/>
          <w:bCs/>
          <w:color w:val="auto"/>
          <w:sz w:val="21"/>
          <w:szCs w:val="21"/>
          <w:highlight w:val="none"/>
        </w:rPr>
      </w:pPr>
      <w:r>
        <w:rPr>
          <w:rStyle w:val="106"/>
          <w:rFonts w:hint="eastAsia" w:asciiTheme="minorEastAsia" w:hAnsiTheme="minorEastAsia" w:eastAsiaTheme="minorEastAsia" w:cstheme="minorEastAsia"/>
          <w:bCs/>
          <w:color w:val="auto"/>
          <w:sz w:val="21"/>
          <w:szCs w:val="21"/>
          <w:highlight w:val="none"/>
        </w:rPr>
        <w:t>第一阶段：</w:t>
      </w:r>
    </w:p>
    <w:p w14:paraId="0483E19A">
      <w:pPr>
        <w:pStyle w:val="53"/>
        <w:snapToGrid w:val="0"/>
        <w:spacing w:after="0" w:line="440" w:lineRule="exact"/>
        <w:ind w:left="0" w:firstLine="420" w:firstLineChars="200"/>
        <w:rPr>
          <w:rStyle w:val="106"/>
          <w:rFonts w:hint="eastAsia" w:asciiTheme="minorEastAsia" w:hAnsiTheme="minorEastAsia" w:eastAsiaTheme="minorEastAsia" w:cstheme="minorEastAsia"/>
          <w:bCs/>
          <w:color w:val="auto"/>
          <w:sz w:val="21"/>
          <w:szCs w:val="21"/>
          <w:highlight w:val="none"/>
        </w:rPr>
      </w:pPr>
      <w:r>
        <w:rPr>
          <w:rStyle w:val="106"/>
          <w:rFonts w:hint="eastAsia" w:asciiTheme="minorEastAsia" w:hAnsiTheme="minorEastAsia" w:eastAsiaTheme="minorEastAsia" w:cstheme="minorEastAsia"/>
          <w:bCs/>
          <w:color w:val="auto"/>
          <w:sz w:val="21"/>
          <w:szCs w:val="21"/>
          <w:highlight w:val="none"/>
        </w:rPr>
        <w:t>（1）投标截止时间后，投标人登录乐采云，用“项目采购-开标评标”功能对投标文件进行在线解密，在线解密投标文件时间为开标时间后30分钟内。</w:t>
      </w:r>
    </w:p>
    <w:p w14:paraId="2D1FDB73">
      <w:pPr>
        <w:pStyle w:val="53"/>
        <w:snapToGrid w:val="0"/>
        <w:spacing w:after="0" w:line="440" w:lineRule="exact"/>
        <w:ind w:left="0" w:firstLine="420" w:firstLineChars="200"/>
        <w:rPr>
          <w:rStyle w:val="106"/>
          <w:rFonts w:hint="eastAsia" w:asciiTheme="minorEastAsia" w:hAnsiTheme="minorEastAsia" w:eastAsiaTheme="minorEastAsia" w:cstheme="minorEastAsia"/>
          <w:bCs/>
          <w:color w:val="auto"/>
          <w:sz w:val="21"/>
          <w:szCs w:val="21"/>
          <w:highlight w:val="none"/>
        </w:rPr>
      </w:pPr>
      <w:r>
        <w:rPr>
          <w:rStyle w:val="106"/>
          <w:rFonts w:hint="eastAsia" w:asciiTheme="minorEastAsia" w:hAnsiTheme="minorEastAsia" w:eastAsiaTheme="minorEastAsia" w:cstheme="minorEastAsia"/>
          <w:bCs/>
          <w:color w:val="auto"/>
          <w:sz w:val="21"/>
          <w:szCs w:val="21"/>
          <w:highlight w:val="none"/>
        </w:rPr>
        <w:t>（2）在乐采云开启已解密投标人的所有投标文件，并做开标记录；</w:t>
      </w:r>
    </w:p>
    <w:p w14:paraId="34C04F3E">
      <w:pPr>
        <w:pStyle w:val="53"/>
        <w:snapToGrid w:val="0"/>
        <w:spacing w:after="0" w:line="440" w:lineRule="exact"/>
        <w:ind w:left="0" w:firstLine="420" w:firstLineChars="200"/>
        <w:rPr>
          <w:rStyle w:val="106"/>
          <w:rFonts w:hint="eastAsia" w:asciiTheme="minorEastAsia" w:hAnsiTheme="minorEastAsia" w:eastAsiaTheme="minorEastAsia" w:cstheme="minorEastAsia"/>
          <w:bCs/>
          <w:color w:val="auto"/>
          <w:sz w:val="21"/>
          <w:szCs w:val="21"/>
          <w:highlight w:val="none"/>
        </w:rPr>
      </w:pPr>
      <w:r>
        <w:rPr>
          <w:rStyle w:val="106"/>
          <w:rFonts w:hint="eastAsia" w:asciiTheme="minorEastAsia" w:hAnsiTheme="minorEastAsia" w:eastAsiaTheme="minorEastAsia" w:cstheme="minorEastAsia"/>
          <w:bCs/>
          <w:color w:val="auto"/>
          <w:sz w:val="21"/>
          <w:szCs w:val="21"/>
          <w:highlight w:val="none"/>
        </w:rPr>
        <w:t>（3）在乐采云宣告第一阶段评审无效投标人名单及理由；</w:t>
      </w:r>
    </w:p>
    <w:p w14:paraId="37F7763A">
      <w:pPr>
        <w:pStyle w:val="53"/>
        <w:snapToGrid w:val="0"/>
        <w:spacing w:after="0" w:line="440" w:lineRule="exact"/>
        <w:ind w:left="0" w:firstLine="420" w:firstLineChars="200"/>
        <w:rPr>
          <w:rStyle w:val="106"/>
          <w:rFonts w:hint="eastAsia" w:asciiTheme="minorEastAsia" w:hAnsiTheme="minorEastAsia" w:eastAsiaTheme="minorEastAsia" w:cstheme="minorEastAsia"/>
          <w:bCs/>
          <w:color w:val="auto"/>
          <w:sz w:val="21"/>
          <w:szCs w:val="21"/>
          <w:highlight w:val="none"/>
        </w:rPr>
      </w:pPr>
      <w:r>
        <w:rPr>
          <w:rStyle w:val="106"/>
          <w:rFonts w:hint="eastAsia" w:asciiTheme="minorEastAsia" w:hAnsiTheme="minorEastAsia" w:eastAsiaTheme="minorEastAsia" w:cstheme="minorEastAsia"/>
          <w:bCs/>
          <w:color w:val="auto"/>
          <w:sz w:val="21"/>
          <w:szCs w:val="21"/>
          <w:highlight w:val="none"/>
        </w:rPr>
        <w:t>（4）在乐采云公布评审结果。</w:t>
      </w:r>
    </w:p>
    <w:p w14:paraId="19D457BF">
      <w:pPr>
        <w:pStyle w:val="53"/>
        <w:snapToGrid w:val="0"/>
        <w:spacing w:after="0" w:line="440" w:lineRule="exact"/>
        <w:ind w:left="0" w:firstLine="420" w:firstLineChars="200"/>
        <w:rPr>
          <w:rStyle w:val="106"/>
          <w:rFonts w:hint="eastAsia" w:asciiTheme="minorEastAsia" w:hAnsiTheme="minorEastAsia" w:eastAsiaTheme="minorEastAsia" w:cstheme="minorEastAsia"/>
          <w:bCs/>
          <w:color w:val="auto"/>
          <w:sz w:val="21"/>
          <w:szCs w:val="21"/>
          <w:highlight w:val="none"/>
        </w:rPr>
      </w:pPr>
      <w:r>
        <w:rPr>
          <w:rStyle w:val="106"/>
          <w:rFonts w:hint="eastAsia" w:asciiTheme="minorEastAsia" w:hAnsiTheme="minorEastAsia" w:eastAsiaTheme="minorEastAsia" w:cstheme="minorEastAsia"/>
          <w:bCs/>
          <w:color w:val="auto"/>
          <w:sz w:val="21"/>
          <w:szCs w:val="21"/>
          <w:highlight w:val="none"/>
        </w:rPr>
        <w:t>（5）开标会议结束。</w:t>
      </w:r>
    </w:p>
    <w:p w14:paraId="445043D7">
      <w:pPr>
        <w:pStyle w:val="53"/>
        <w:snapToGrid w:val="0"/>
        <w:spacing w:after="0" w:line="440" w:lineRule="exact"/>
        <w:ind w:left="0" w:firstLine="420" w:firstLineChars="200"/>
        <w:rPr>
          <w:rStyle w:val="106"/>
          <w:rFonts w:hint="eastAsia" w:asciiTheme="minorEastAsia" w:hAnsiTheme="minorEastAsia" w:eastAsiaTheme="minorEastAsia" w:cstheme="minorEastAsia"/>
          <w:bCs/>
          <w:color w:val="auto"/>
          <w:sz w:val="21"/>
          <w:szCs w:val="21"/>
          <w:highlight w:val="none"/>
        </w:rPr>
      </w:pPr>
      <w:r>
        <w:rPr>
          <w:rStyle w:val="106"/>
          <w:rFonts w:hint="eastAsia" w:asciiTheme="minorEastAsia" w:hAnsiTheme="minorEastAsia" w:eastAsiaTheme="minorEastAsia" w:cstheme="minorEastAsia"/>
          <w:bCs/>
          <w:color w:val="auto"/>
          <w:sz w:val="21"/>
          <w:szCs w:val="21"/>
          <w:highlight w:val="none"/>
        </w:rPr>
        <w:t>2.特别说明：乐采云如对电子化开标及评审程序有调整的，按调整后的程序操作。</w:t>
      </w:r>
    </w:p>
    <w:p w14:paraId="726786AF">
      <w:pPr>
        <w:pStyle w:val="53"/>
        <w:snapToGrid w:val="0"/>
        <w:spacing w:after="0" w:line="440" w:lineRule="exact"/>
        <w:ind w:left="0" w:firstLine="420" w:firstLineChars="200"/>
        <w:rPr>
          <w:rStyle w:val="106"/>
          <w:rFonts w:hint="eastAsia" w:asciiTheme="minorEastAsia" w:hAnsiTheme="minorEastAsia" w:eastAsiaTheme="minorEastAsia" w:cstheme="minorEastAsia"/>
          <w:bCs/>
          <w:color w:val="auto"/>
          <w:sz w:val="21"/>
          <w:szCs w:val="21"/>
          <w:highlight w:val="none"/>
        </w:rPr>
      </w:pPr>
      <w:r>
        <w:rPr>
          <w:rStyle w:val="106"/>
          <w:rFonts w:hint="eastAsia" w:asciiTheme="minorEastAsia" w:hAnsiTheme="minorEastAsia" w:eastAsiaTheme="minorEastAsia" w:cstheme="minorEastAsia"/>
          <w:bCs/>
          <w:color w:val="auto"/>
          <w:sz w:val="21"/>
          <w:szCs w:val="21"/>
          <w:highlight w:val="none"/>
        </w:rPr>
        <w:t>本项目原则上采用“乐采云”电子招投标开标程序，但有下情形之一的，按以下情况处理：</w:t>
      </w:r>
    </w:p>
    <w:p w14:paraId="64824286">
      <w:pPr>
        <w:pStyle w:val="53"/>
        <w:snapToGrid w:val="0"/>
        <w:spacing w:after="0" w:line="440" w:lineRule="exact"/>
        <w:ind w:left="0" w:firstLine="420" w:firstLineChars="200"/>
        <w:rPr>
          <w:rStyle w:val="106"/>
          <w:rFonts w:hint="eastAsia" w:asciiTheme="minorEastAsia" w:hAnsiTheme="minorEastAsia" w:eastAsiaTheme="minorEastAsia" w:cstheme="minorEastAsia"/>
          <w:bCs/>
          <w:color w:val="auto"/>
          <w:sz w:val="21"/>
          <w:szCs w:val="21"/>
          <w:highlight w:val="none"/>
        </w:rPr>
      </w:pPr>
      <w:r>
        <w:rPr>
          <w:rStyle w:val="106"/>
          <w:rFonts w:hint="eastAsia" w:asciiTheme="minorEastAsia" w:hAnsiTheme="minorEastAsia" w:eastAsiaTheme="minorEastAsia" w:cstheme="minorEastAsia"/>
          <w:bCs/>
          <w:color w:val="auto"/>
          <w:sz w:val="21"/>
          <w:szCs w:val="21"/>
          <w:highlight w:val="none"/>
        </w:rPr>
        <w:t>（1）若有投标人在规定时间内无法解密或解密失败，招标代理机构将开启该投标人递交的以U盘存储的电子备份投标文件，上传至“乐采云”项目采购模块，以完成开标，电子备份投标文件自动失效。</w:t>
      </w:r>
    </w:p>
    <w:p w14:paraId="5A613B2D">
      <w:pPr>
        <w:pStyle w:val="53"/>
        <w:snapToGrid w:val="0"/>
        <w:spacing w:after="0" w:line="440" w:lineRule="exact"/>
        <w:ind w:left="0" w:firstLine="420" w:firstLineChars="200"/>
        <w:rPr>
          <w:rStyle w:val="106"/>
          <w:rFonts w:hint="eastAsia" w:asciiTheme="minorEastAsia" w:hAnsiTheme="minorEastAsia" w:eastAsiaTheme="minorEastAsia" w:cstheme="minorEastAsia"/>
          <w:bCs/>
          <w:color w:val="auto"/>
          <w:sz w:val="21"/>
          <w:szCs w:val="21"/>
          <w:highlight w:val="none"/>
        </w:rPr>
      </w:pPr>
      <w:r>
        <w:rPr>
          <w:rStyle w:val="106"/>
          <w:rFonts w:hint="eastAsia" w:asciiTheme="minorEastAsia" w:hAnsiTheme="minorEastAsia" w:eastAsiaTheme="minorEastAsia" w:cstheme="minorEastAsia"/>
          <w:bCs/>
          <w:color w:val="auto"/>
          <w:sz w:val="21"/>
          <w:szCs w:val="21"/>
          <w:highlight w:val="none"/>
        </w:rPr>
        <w:t>（2）采购过程中出现以下情形，导致电子交易平台无法正常运行，或者无法保证电子交易的公平、公正和安全时，招标人（或招标代理机构）可中止电子交易活动：</w:t>
      </w:r>
    </w:p>
    <w:p w14:paraId="4F6408FD">
      <w:pPr>
        <w:pStyle w:val="53"/>
        <w:snapToGrid w:val="0"/>
        <w:spacing w:after="0" w:line="440" w:lineRule="exact"/>
        <w:ind w:left="0" w:firstLine="420" w:firstLineChars="200"/>
        <w:rPr>
          <w:rStyle w:val="106"/>
          <w:rFonts w:hint="eastAsia" w:asciiTheme="minorEastAsia" w:hAnsiTheme="minorEastAsia" w:eastAsiaTheme="minorEastAsia" w:cstheme="minorEastAsia"/>
          <w:bCs/>
          <w:color w:val="auto"/>
          <w:sz w:val="21"/>
          <w:szCs w:val="21"/>
          <w:highlight w:val="none"/>
        </w:rPr>
      </w:pPr>
      <w:r>
        <w:rPr>
          <w:rStyle w:val="106"/>
          <w:rFonts w:hint="eastAsia" w:asciiTheme="minorEastAsia" w:hAnsiTheme="minorEastAsia" w:eastAsiaTheme="minorEastAsia" w:cstheme="minorEastAsia"/>
          <w:bCs/>
          <w:color w:val="auto"/>
          <w:sz w:val="21"/>
          <w:szCs w:val="21"/>
          <w:highlight w:val="none"/>
        </w:rPr>
        <w:t xml:space="preserve">①电子交易平台发生故障而无法登录访问的； </w:t>
      </w:r>
    </w:p>
    <w:p w14:paraId="264298D9">
      <w:pPr>
        <w:pStyle w:val="53"/>
        <w:snapToGrid w:val="0"/>
        <w:spacing w:after="0" w:line="440" w:lineRule="exact"/>
        <w:ind w:left="0" w:firstLine="420" w:firstLineChars="200"/>
        <w:rPr>
          <w:rStyle w:val="106"/>
          <w:rFonts w:hint="eastAsia" w:asciiTheme="minorEastAsia" w:hAnsiTheme="minorEastAsia" w:eastAsiaTheme="minorEastAsia" w:cstheme="minorEastAsia"/>
          <w:bCs/>
          <w:color w:val="auto"/>
          <w:sz w:val="21"/>
          <w:szCs w:val="21"/>
          <w:highlight w:val="none"/>
        </w:rPr>
      </w:pPr>
      <w:r>
        <w:rPr>
          <w:rStyle w:val="106"/>
          <w:rFonts w:hint="eastAsia" w:asciiTheme="minorEastAsia" w:hAnsiTheme="minorEastAsia" w:eastAsiaTheme="minorEastAsia" w:cstheme="minorEastAsia"/>
          <w:bCs/>
          <w:color w:val="auto"/>
          <w:sz w:val="21"/>
          <w:szCs w:val="21"/>
          <w:highlight w:val="none"/>
        </w:rPr>
        <w:t>②电子交易平台应用或数据库出现错误，不能进行正常操作的；</w:t>
      </w:r>
    </w:p>
    <w:p w14:paraId="73C76E00">
      <w:pPr>
        <w:pStyle w:val="53"/>
        <w:snapToGrid w:val="0"/>
        <w:spacing w:after="0" w:line="440" w:lineRule="exact"/>
        <w:ind w:left="0" w:firstLine="420" w:firstLineChars="200"/>
        <w:rPr>
          <w:rStyle w:val="106"/>
          <w:rFonts w:hint="eastAsia" w:asciiTheme="minorEastAsia" w:hAnsiTheme="minorEastAsia" w:eastAsiaTheme="minorEastAsia" w:cstheme="minorEastAsia"/>
          <w:bCs/>
          <w:color w:val="auto"/>
          <w:sz w:val="21"/>
          <w:szCs w:val="21"/>
          <w:highlight w:val="none"/>
        </w:rPr>
      </w:pPr>
      <w:r>
        <w:rPr>
          <w:rStyle w:val="106"/>
          <w:rFonts w:hint="eastAsia" w:asciiTheme="minorEastAsia" w:hAnsiTheme="minorEastAsia" w:eastAsiaTheme="minorEastAsia" w:cstheme="minorEastAsia"/>
          <w:bCs/>
          <w:color w:val="auto"/>
          <w:sz w:val="21"/>
          <w:szCs w:val="21"/>
          <w:highlight w:val="none"/>
        </w:rPr>
        <w:t>③电子交易平台发现严重安全漏洞，有潜在泄密危险的；</w:t>
      </w:r>
    </w:p>
    <w:p w14:paraId="2CC54D7E">
      <w:pPr>
        <w:pStyle w:val="53"/>
        <w:snapToGrid w:val="0"/>
        <w:spacing w:after="0" w:line="440" w:lineRule="exact"/>
        <w:ind w:left="0" w:firstLine="420" w:firstLineChars="200"/>
        <w:rPr>
          <w:rStyle w:val="106"/>
          <w:rFonts w:hint="eastAsia" w:asciiTheme="minorEastAsia" w:hAnsiTheme="minorEastAsia" w:eastAsiaTheme="minorEastAsia" w:cstheme="minorEastAsia"/>
          <w:bCs/>
          <w:color w:val="auto"/>
          <w:sz w:val="21"/>
          <w:szCs w:val="21"/>
          <w:highlight w:val="none"/>
        </w:rPr>
      </w:pPr>
      <w:r>
        <w:rPr>
          <w:rStyle w:val="106"/>
          <w:rFonts w:hint="eastAsia" w:asciiTheme="minorEastAsia" w:hAnsiTheme="minorEastAsia" w:eastAsiaTheme="minorEastAsia" w:cstheme="minorEastAsia"/>
          <w:bCs/>
          <w:color w:val="auto"/>
          <w:sz w:val="21"/>
          <w:szCs w:val="21"/>
          <w:highlight w:val="none"/>
        </w:rPr>
        <w:t xml:space="preserve">④病毒发作导致不能进行正常操作的； </w:t>
      </w:r>
    </w:p>
    <w:p w14:paraId="6AADC2A1">
      <w:pPr>
        <w:pStyle w:val="53"/>
        <w:snapToGrid w:val="0"/>
        <w:spacing w:after="0" w:line="440" w:lineRule="exact"/>
        <w:ind w:left="0" w:firstLine="420" w:firstLineChars="200"/>
        <w:rPr>
          <w:rStyle w:val="106"/>
          <w:rFonts w:hint="eastAsia" w:asciiTheme="minorEastAsia" w:hAnsiTheme="minorEastAsia" w:eastAsiaTheme="minorEastAsia" w:cstheme="minorEastAsia"/>
          <w:bCs/>
          <w:color w:val="auto"/>
          <w:sz w:val="21"/>
          <w:szCs w:val="21"/>
          <w:highlight w:val="none"/>
        </w:rPr>
      </w:pPr>
      <w:r>
        <w:rPr>
          <w:rStyle w:val="106"/>
          <w:rFonts w:hint="eastAsia" w:asciiTheme="minorEastAsia" w:hAnsiTheme="minorEastAsia" w:eastAsiaTheme="minorEastAsia" w:cstheme="minorEastAsia"/>
          <w:bCs/>
          <w:color w:val="auto"/>
          <w:sz w:val="21"/>
          <w:szCs w:val="21"/>
          <w:highlight w:val="none"/>
        </w:rPr>
        <w:t>⑤其他无法保证电子交易的公平、公正和安全的情况。</w:t>
      </w:r>
    </w:p>
    <w:p w14:paraId="32DE1C81">
      <w:pPr>
        <w:pStyle w:val="53"/>
        <w:snapToGrid w:val="0"/>
        <w:spacing w:after="0" w:line="440" w:lineRule="exact"/>
        <w:ind w:left="0" w:firstLine="420" w:firstLineChars="200"/>
        <w:rPr>
          <w:rStyle w:val="106"/>
          <w:rFonts w:hint="eastAsia" w:asciiTheme="minorEastAsia" w:hAnsiTheme="minorEastAsia" w:eastAsiaTheme="minorEastAsia" w:cstheme="minorEastAsia"/>
          <w:bCs/>
          <w:color w:val="auto"/>
          <w:sz w:val="21"/>
          <w:szCs w:val="21"/>
          <w:highlight w:val="none"/>
        </w:rPr>
      </w:pPr>
      <w:r>
        <w:rPr>
          <w:rStyle w:val="106"/>
          <w:rFonts w:hint="eastAsia" w:asciiTheme="minorEastAsia" w:hAnsiTheme="minorEastAsia" w:eastAsiaTheme="minorEastAsia" w:cstheme="minorEastAsia"/>
          <w:bCs/>
          <w:color w:val="auto"/>
          <w:sz w:val="21"/>
          <w:szCs w:val="21"/>
          <w:highlight w:val="none"/>
        </w:rPr>
        <w:t>出现前款规定情形，不影响采购公平、公正性的，招标人（或招标代理机构）可以待上述情形消除后继续组织电子交易活动。</w:t>
      </w:r>
    </w:p>
    <w:p w14:paraId="45A0C1B1">
      <w:pPr>
        <w:pStyle w:val="53"/>
        <w:snapToGrid w:val="0"/>
        <w:spacing w:after="0" w:line="440" w:lineRule="exact"/>
        <w:ind w:left="0" w:firstLine="420" w:firstLineChars="200"/>
        <w:rPr>
          <w:rStyle w:val="106"/>
          <w:rFonts w:hint="eastAsia" w:asciiTheme="minorEastAsia" w:hAnsiTheme="minorEastAsia" w:eastAsiaTheme="minorEastAsia" w:cstheme="minorEastAsia"/>
          <w:bCs/>
          <w:color w:val="auto"/>
          <w:sz w:val="21"/>
          <w:szCs w:val="21"/>
          <w:highlight w:val="none"/>
        </w:rPr>
      </w:pPr>
      <w:r>
        <w:rPr>
          <w:rStyle w:val="106"/>
          <w:rFonts w:hint="eastAsia" w:asciiTheme="minorEastAsia" w:hAnsiTheme="minorEastAsia" w:eastAsiaTheme="minorEastAsia" w:cstheme="minorEastAsia"/>
          <w:bCs/>
          <w:color w:val="auto"/>
          <w:sz w:val="21"/>
          <w:szCs w:val="21"/>
          <w:highlight w:val="none"/>
        </w:rPr>
        <w:t>（3）未开启的电子备份投标文件不予以退还。</w:t>
      </w:r>
    </w:p>
    <w:p w14:paraId="5447D771">
      <w:pPr>
        <w:pStyle w:val="53"/>
        <w:snapToGrid w:val="0"/>
        <w:spacing w:after="0" w:line="440" w:lineRule="exact"/>
        <w:ind w:left="0"/>
        <w:rPr>
          <w:rStyle w:val="106"/>
          <w:rFonts w:hint="eastAsia" w:asciiTheme="minorEastAsia" w:hAnsiTheme="minorEastAsia" w:eastAsiaTheme="minorEastAsia" w:cstheme="minorEastAsia"/>
          <w:b/>
          <w:color w:val="auto"/>
          <w:sz w:val="21"/>
          <w:szCs w:val="21"/>
          <w:highlight w:val="none"/>
        </w:rPr>
      </w:pPr>
      <w:r>
        <w:rPr>
          <w:rStyle w:val="106"/>
          <w:rFonts w:hint="eastAsia" w:asciiTheme="minorEastAsia" w:hAnsiTheme="minorEastAsia" w:eastAsiaTheme="minorEastAsia" w:cstheme="minorEastAsia"/>
          <w:b/>
          <w:color w:val="auto"/>
          <w:sz w:val="21"/>
          <w:szCs w:val="21"/>
          <w:highlight w:val="none"/>
        </w:rPr>
        <w:t>五、评标</w:t>
      </w:r>
    </w:p>
    <w:p w14:paraId="3326BB29">
      <w:pPr>
        <w:pStyle w:val="41"/>
        <w:snapToGrid w:val="0"/>
        <w:spacing w:before="0" w:after="0" w:line="440" w:lineRule="exact"/>
        <w:ind w:firstLine="422" w:firstLineChars="200"/>
        <w:rPr>
          <w:rStyle w:val="106"/>
          <w:rFonts w:hint="eastAsia" w:asciiTheme="minorEastAsia" w:hAnsiTheme="minorEastAsia" w:eastAsiaTheme="minorEastAsia" w:cstheme="minorEastAsia"/>
          <w:b/>
          <w:color w:val="auto"/>
          <w:sz w:val="21"/>
          <w:szCs w:val="21"/>
          <w:highlight w:val="none"/>
        </w:rPr>
      </w:pPr>
      <w:r>
        <w:rPr>
          <w:rStyle w:val="106"/>
          <w:rFonts w:hint="eastAsia" w:asciiTheme="minorEastAsia" w:hAnsiTheme="minorEastAsia" w:eastAsiaTheme="minorEastAsia" w:cstheme="minorEastAsia"/>
          <w:b/>
          <w:color w:val="auto"/>
          <w:sz w:val="21"/>
          <w:szCs w:val="21"/>
          <w:highlight w:val="none"/>
        </w:rPr>
        <w:t>（一）组建评标委员会</w:t>
      </w:r>
    </w:p>
    <w:p w14:paraId="1DBC7378">
      <w:pPr>
        <w:pStyle w:val="41"/>
        <w:snapToGrid w:val="0"/>
        <w:spacing w:before="0" w:after="0" w:line="440" w:lineRule="exact"/>
        <w:ind w:firstLine="420" w:firstLineChars="200"/>
        <w:rPr>
          <w:rStyle w:val="106"/>
          <w:rFonts w:hint="eastAsia" w:asciiTheme="minorEastAsia" w:hAnsiTheme="minorEastAsia" w:eastAsiaTheme="minorEastAsia" w:cstheme="minorEastAsia"/>
          <w:color w:val="auto"/>
          <w:sz w:val="21"/>
          <w:szCs w:val="21"/>
          <w:highlight w:val="none"/>
        </w:rPr>
      </w:pPr>
      <w:r>
        <w:rPr>
          <w:rStyle w:val="106"/>
          <w:rFonts w:hint="eastAsia" w:asciiTheme="minorEastAsia" w:hAnsiTheme="minorEastAsia" w:eastAsiaTheme="minorEastAsia" w:cstheme="minorEastAsia"/>
          <w:color w:val="auto"/>
          <w:sz w:val="21"/>
          <w:szCs w:val="21"/>
          <w:highlight w:val="none"/>
        </w:rPr>
        <w:t>本项目评标委员会依法组建。</w:t>
      </w:r>
    </w:p>
    <w:p w14:paraId="617F7EF8">
      <w:pPr>
        <w:pStyle w:val="41"/>
        <w:snapToGrid w:val="0"/>
        <w:spacing w:before="0" w:after="0" w:line="440" w:lineRule="exact"/>
        <w:ind w:firstLine="422" w:firstLineChars="200"/>
        <w:rPr>
          <w:rStyle w:val="106"/>
          <w:rFonts w:hint="eastAsia" w:asciiTheme="minorEastAsia" w:hAnsiTheme="minorEastAsia" w:eastAsiaTheme="minorEastAsia" w:cstheme="minorEastAsia"/>
          <w:b/>
          <w:color w:val="auto"/>
          <w:sz w:val="21"/>
          <w:szCs w:val="21"/>
          <w:highlight w:val="none"/>
        </w:rPr>
      </w:pPr>
      <w:r>
        <w:rPr>
          <w:rStyle w:val="106"/>
          <w:rFonts w:hint="eastAsia" w:asciiTheme="minorEastAsia" w:hAnsiTheme="minorEastAsia" w:eastAsiaTheme="minorEastAsia" w:cstheme="minorEastAsia"/>
          <w:b/>
          <w:color w:val="auto"/>
          <w:sz w:val="21"/>
          <w:szCs w:val="21"/>
          <w:highlight w:val="none"/>
        </w:rPr>
        <w:t>（二）评标的方式</w:t>
      </w:r>
    </w:p>
    <w:p w14:paraId="119CCE78">
      <w:pPr>
        <w:pStyle w:val="41"/>
        <w:snapToGrid w:val="0"/>
        <w:spacing w:before="0" w:after="0" w:line="440" w:lineRule="exact"/>
        <w:ind w:firstLine="420" w:firstLineChars="200"/>
        <w:rPr>
          <w:rStyle w:val="106"/>
          <w:rFonts w:hint="eastAsia" w:asciiTheme="minorEastAsia" w:hAnsiTheme="minorEastAsia" w:eastAsiaTheme="minorEastAsia" w:cstheme="minorEastAsia"/>
          <w:color w:val="auto"/>
          <w:sz w:val="21"/>
          <w:szCs w:val="21"/>
          <w:highlight w:val="none"/>
        </w:rPr>
      </w:pPr>
      <w:r>
        <w:rPr>
          <w:rStyle w:val="106"/>
          <w:rFonts w:hint="eastAsia" w:asciiTheme="minorEastAsia" w:hAnsiTheme="minorEastAsia" w:eastAsiaTheme="minorEastAsia" w:cstheme="minorEastAsia"/>
          <w:color w:val="auto"/>
          <w:sz w:val="21"/>
          <w:szCs w:val="21"/>
          <w:highlight w:val="none"/>
        </w:rPr>
        <w:t>本项目采用不公开方式评标，评标的依据为招标文件和投标文件。</w:t>
      </w:r>
    </w:p>
    <w:p w14:paraId="6D8492B6">
      <w:pPr>
        <w:pStyle w:val="41"/>
        <w:snapToGrid w:val="0"/>
        <w:spacing w:before="0" w:after="0" w:line="440" w:lineRule="exact"/>
        <w:ind w:firstLine="422" w:firstLineChars="200"/>
        <w:rPr>
          <w:rStyle w:val="106"/>
          <w:rFonts w:hint="eastAsia" w:asciiTheme="minorEastAsia" w:hAnsiTheme="minorEastAsia" w:eastAsiaTheme="minorEastAsia" w:cstheme="minorEastAsia"/>
          <w:b/>
          <w:color w:val="auto"/>
          <w:sz w:val="21"/>
          <w:szCs w:val="21"/>
          <w:highlight w:val="none"/>
        </w:rPr>
      </w:pPr>
      <w:r>
        <w:rPr>
          <w:rStyle w:val="106"/>
          <w:rFonts w:hint="eastAsia" w:asciiTheme="minorEastAsia" w:hAnsiTheme="minorEastAsia" w:eastAsiaTheme="minorEastAsia" w:cstheme="minorEastAsia"/>
          <w:b/>
          <w:color w:val="auto"/>
          <w:sz w:val="21"/>
          <w:szCs w:val="21"/>
          <w:highlight w:val="none"/>
        </w:rPr>
        <w:t>（三）</w:t>
      </w:r>
      <w:r>
        <w:rPr>
          <w:rStyle w:val="106"/>
          <w:rFonts w:hint="eastAsia" w:asciiTheme="minorEastAsia" w:hAnsiTheme="minorEastAsia" w:eastAsiaTheme="minorEastAsia" w:cstheme="minorEastAsia"/>
          <w:b/>
          <w:bCs/>
          <w:color w:val="auto"/>
          <w:sz w:val="21"/>
          <w:szCs w:val="21"/>
          <w:highlight w:val="none"/>
        </w:rPr>
        <w:t>评标程序</w:t>
      </w:r>
    </w:p>
    <w:p w14:paraId="4F384324">
      <w:pPr>
        <w:spacing w:line="440" w:lineRule="exact"/>
        <w:ind w:firstLine="422" w:firstLineChars="200"/>
        <w:contextualSpacing/>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1.形式审查</w:t>
      </w:r>
    </w:p>
    <w:p w14:paraId="2465359D">
      <w:pPr>
        <w:spacing w:line="440" w:lineRule="exact"/>
        <w:ind w:firstLine="420" w:firstLineChars="200"/>
        <w:contextualSpacing/>
        <w:rPr>
          <w:rFonts w:hint="eastAsia" w:asciiTheme="minorEastAsia" w:hAnsiTheme="minorEastAsia" w:eastAsiaTheme="minorEastAsia" w:cstheme="minorEastAsia"/>
          <w:bCs/>
          <w:color w:val="auto"/>
          <w:szCs w:val="21"/>
          <w:highlight w:val="none"/>
          <w:shd w:val="clear" w:color="auto" w:fill="FFFFFF"/>
        </w:rPr>
      </w:pPr>
      <w:r>
        <w:rPr>
          <w:rFonts w:hint="eastAsia" w:asciiTheme="minorEastAsia" w:hAnsiTheme="minorEastAsia" w:eastAsiaTheme="minorEastAsia" w:cstheme="minorEastAsia"/>
          <w:color w:val="auto"/>
          <w:szCs w:val="21"/>
          <w:highlight w:val="none"/>
        </w:rPr>
        <w:t>资格性检查。</w:t>
      </w:r>
      <w:r>
        <w:rPr>
          <w:rFonts w:hint="eastAsia" w:asciiTheme="minorEastAsia" w:hAnsiTheme="minorEastAsia" w:eastAsiaTheme="minorEastAsia" w:cstheme="minorEastAsia"/>
          <w:bCs/>
          <w:color w:val="auto"/>
          <w:szCs w:val="21"/>
          <w:highlight w:val="none"/>
          <w:shd w:val="clear" w:color="auto" w:fill="FFFFFF"/>
        </w:rPr>
        <w:t>评标委员会对投标人的资格进行审查。依据法律法规和招标文件的规定，对投标文件中的资格证明进行审查，以确定投标人是否具备投标资格。</w:t>
      </w:r>
    </w:p>
    <w:tbl>
      <w:tblPr>
        <w:tblStyle w:val="21"/>
        <w:tblW w:w="91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584"/>
      </w:tblGrid>
      <w:tr w14:paraId="66176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14:paraId="7C4F7196">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审查类别</w:t>
            </w:r>
          </w:p>
        </w:tc>
        <w:tc>
          <w:tcPr>
            <w:tcW w:w="7584" w:type="dxa"/>
          </w:tcPr>
          <w:p w14:paraId="53EA22D9">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审查内容</w:t>
            </w:r>
          </w:p>
        </w:tc>
      </w:tr>
      <w:tr w14:paraId="120C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restart"/>
            <w:vAlign w:val="center"/>
          </w:tcPr>
          <w:p w14:paraId="5740B1C3">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资格条件审查</w:t>
            </w:r>
          </w:p>
        </w:tc>
        <w:tc>
          <w:tcPr>
            <w:tcW w:w="7584" w:type="dxa"/>
          </w:tcPr>
          <w:p w14:paraId="73F8D5B3">
            <w:pPr>
              <w:snapToGrid w:val="0"/>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基本要求：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tc>
      </w:tr>
      <w:tr w14:paraId="09ED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71AB2FC9">
            <w:pPr>
              <w:spacing w:line="440" w:lineRule="exact"/>
              <w:ind w:firstLine="420" w:firstLineChars="200"/>
              <w:rPr>
                <w:rFonts w:hint="eastAsia" w:asciiTheme="minorEastAsia" w:hAnsiTheme="minorEastAsia" w:eastAsiaTheme="minorEastAsia" w:cstheme="minorEastAsia"/>
                <w:color w:val="auto"/>
                <w:szCs w:val="21"/>
                <w:highlight w:val="none"/>
              </w:rPr>
            </w:pPr>
          </w:p>
        </w:tc>
        <w:tc>
          <w:tcPr>
            <w:tcW w:w="7584" w:type="dxa"/>
          </w:tcPr>
          <w:p w14:paraId="1A537102">
            <w:pPr>
              <w:snapToGrid w:val="0"/>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投标人未被列入信用中国网站(www.creditchina.gov.cn)“记录失信被执行人或重大税收违法失信主体”记录名单（以招标代理机构于投标截止日当天在信用中国网站查询结果为准，如相关失信记录已失效，投标人需提供相关证明资料）。</w:t>
            </w:r>
          </w:p>
        </w:tc>
      </w:tr>
      <w:tr w14:paraId="6427F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1E90A901">
            <w:pPr>
              <w:spacing w:line="440" w:lineRule="exact"/>
              <w:ind w:firstLine="420" w:firstLineChars="200"/>
              <w:rPr>
                <w:rFonts w:hint="eastAsia" w:asciiTheme="minorEastAsia" w:hAnsiTheme="minorEastAsia" w:eastAsiaTheme="minorEastAsia" w:cstheme="minorEastAsia"/>
                <w:color w:val="auto"/>
                <w:szCs w:val="21"/>
                <w:highlight w:val="none"/>
              </w:rPr>
            </w:pPr>
          </w:p>
        </w:tc>
        <w:tc>
          <w:tcPr>
            <w:tcW w:w="7584" w:type="dxa"/>
          </w:tcPr>
          <w:p w14:paraId="1237B617">
            <w:pPr>
              <w:snapToGrid w:val="0"/>
              <w:spacing w:line="44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tc>
      </w:tr>
      <w:tr w14:paraId="6E62F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0FFD2509">
            <w:pPr>
              <w:spacing w:line="440" w:lineRule="exact"/>
              <w:ind w:firstLine="420" w:firstLineChars="200"/>
              <w:rPr>
                <w:rFonts w:hint="eastAsia" w:asciiTheme="minorEastAsia" w:hAnsiTheme="minorEastAsia" w:eastAsiaTheme="minorEastAsia" w:cstheme="minorEastAsia"/>
                <w:color w:val="auto"/>
                <w:szCs w:val="21"/>
                <w:highlight w:val="none"/>
              </w:rPr>
            </w:pPr>
          </w:p>
        </w:tc>
        <w:tc>
          <w:tcPr>
            <w:tcW w:w="7584" w:type="dxa"/>
          </w:tcPr>
          <w:p w14:paraId="277720B6">
            <w:pPr>
              <w:snapToGrid w:val="0"/>
              <w:spacing w:line="44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本项目不接受联合体投标，本次招标采用资格后审。</w:t>
            </w:r>
          </w:p>
        </w:tc>
      </w:tr>
    </w:tbl>
    <w:p w14:paraId="61C78D89">
      <w:pPr>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符合性检查。评标委员会依据招标文件的规定，从投标文件的有效性、完整性和对招标文件的响应程度进行审查，以确定是否对招标文件的实质性要求作出响应。</w:t>
      </w:r>
    </w:p>
    <w:tbl>
      <w:tblPr>
        <w:tblStyle w:val="21"/>
        <w:tblW w:w="91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573"/>
      </w:tblGrid>
      <w:tr w14:paraId="3F36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tcPr>
          <w:p w14:paraId="571C3BCA">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审查类别</w:t>
            </w:r>
          </w:p>
        </w:tc>
        <w:tc>
          <w:tcPr>
            <w:tcW w:w="7573" w:type="dxa"/>
          </w:tcPr>
          <w:p w14:paraId="3B90A014">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审查内容</w:t>
            </w:r>
          </w:p>
        </w:tc>
      </w:tr>
      <w:tr w14:paraId="43AFC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32" w:type="dxa"/>
            <w:vMerge w:val="restart"/>
            <w:vAlign w:val="center"/>
          </w:tcPr>
          <w:p w14:paraId="06509997">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符合性审查</w:t>
            </w:r>
          </w:p>
        </w:tc>
        <w:tc>
          <w:tcPr>
            <w:tcW w:w="7573" w:type="dxa"/>
            <w:vAlign w:val="center"/>
          </w:tcPr>
          <w:p w14:paraId="2C96B29D">
            <w:pPr>
              <w:tabs>
                <w:tab w:val="left" w:pos="612"/>
              </w:tabs>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投标函、投标声明书已提交并符合招标文件要求的。</w:t>
            </w:r>
          </w:p>
        </w:tc>
      </w:tr>
      <w:tr w14:paraId="5A770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1BAF4297">
            <w:pPr>
              <w:spacing w:line="440" w:lineRule="exact"/>
              <w:ind w:firstLine="420" w:firstLineChars="200"/>
              <w:rPr>
                <w:rFonts w:hint="eastAsia" w:asciiTheme="minorEastAsia" w:hAnsiTheme="minorEastAsia" w:eastAsiaTheme="minorEastAsia" w:cstheme="minorEastAsia"/>
                <w:color w:val="auto"/>
                <w:szCs w:val="21"/>
                <w:highlight w:val="none"/>
              </w:rPr>
            </w:pPr>
          </w:p>
        </w:tc>
        <w:tc>
          <w:tcPr>
            <w:tcW w:w="7573" w:type="dxa"/>
            <w:vAlign w:val="center"/>
          </w:tcPr>
          <w:p w14:paraId="515F1F89">
            <w:pPr>
              <w:tabs>
                <w:tab w:val="left" w:pos="612"/>
              </w:tabs>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按照招标文件规定要求签署、盖章且投标文件有法定代表人</w:t>
            </w:r>
            <w:r>
              <w:rPr>
                <w:rFonts w:hint="eastAsia" w:asciiTheme="minorEastAsia" w:hAnsiTheme="minorEastAsia" w:eastAsiaTheme="minorEastAsia" w:cstheme="minorEastAsia"/>
                <w:color w:val="auto"/>
                <w:szCs w:val="21"/>
                <w:highlight w:val="none"/>
                <w:lang w:eastAsia="zh-TW"/>
              </w:rPr>
              <w:t>签署本人姓名（或印盖本人姓名章）</w:t>
            </w:r>
            <w:r>
              <w:rPr>
                <w:rFonts w:hint="eastAsia" w:asciiTheme="minorEastAsia" w:hAnsiTheme="minorEastAsia" w:eastAsiaTheme="minorEastAsia" w:cstheme="minorEastAsia"/>
                <w:color w:val="auto"/>
                <w:szCs w:val="21"/>
                <w:highlight w:val="none"/>
              </w:rPr>
              <w:t>，或</w:t>
            </w:r>
            <w:r>
              <w:rPr>
                <w:rFonts w:hint="eastAsia" w:asciiTheme="minorEastAsia" w:hAnsiTheme="minorEastAsia" w:eastAsiaTheme="minorEastAsia" w:cstheme="minorEastAsia"/>
                <w:color w:val="auto"/>
                <w:szCs w:val="21"/>
                <w:highlight w:val="none"/>
                <w:lang w:eastAsia="zh-TW"/>
              </w:rPr>
              <w:t>签署</w:t>
            </w:r>
            <w:r>
              <w:rPr>
                <w:rFonts w:hint="eastAsia" w:asciiTheme="minorEastAsia" w:hAnsiTheme="minorEastAsia" w:eastAsiaTheme="minorEastAsia" w:cstheme="minorEastAsia"/>
                <w:color w:val="auto"/>
                <w:szCs w:val="21"/>
                <w:highlight w:val="none"/>
              </w:rPr>
              <w:t>人有法定代表人有效授权书的。</w:t>
            </w:r>
          </w:p>
        </w:tc>
      </w:tr>
      <w:tr w14:paraId="68B1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712CDCC8">
            <w:pPr>
              <w:spacing w:line="440" w:lineRule="exact"/>
              <w:ind w:firstLine="420" w:firstLineChars="200"/>
              <w:rPr>
                <w:rFonts w:hint="eastAsia" w:asciiTheme="minorEastAsia" w:hAnsiTheme="minorEastAsia" w:eastAsiaTheme="minorEastAsia" w:cstheme="minorEastAsia"/>
                <w:color w:val="auto"/>
                <w:szCs w:val="21"/>
                <w:highlight w:val="none"/>
              </w:rPr>
            </w:pPr>
          </w:p>
        </w:tc>
        <w:tc>
          <w:tcPr>
            <w:tcW w:w="7573" w:type="dxa"/>
            <w:vAlign w:val="center"/>
          </w:tcPr>
          <w:p w14:paraId="4BA8E692">
            <w:pPr>
              <w:tabs>
                <w:tab w:val="left" w:pos="612"/>
              </w:tabs>
              <w:spacing w:line="440" w:lineRule="exac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投标文件完全满足招标文件的实质性条款（即标注★号条款）无负偏离的。</w:t>
            </w:r>
          </w:p>
        </w:tc>
      </w:tr>
      <w:tr w14:paraId="2EAD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4AD5BA1C">
            <w:pPr>
              <w:spacing w:line="440" w:lineRule="exact"/>
              <w:ind w:firstLine="420" w:firstLineChars="200"/>
              <w:rPr>
                <w:rFonts w:hint="eastAsia" w:asciiTheme="minorEastAsia" w:hAnsiTheme="minorEastAsia" w:eastAsiaTheme="minorEastAsia" w:cstheme="minorEastAsia"/>
                <w:color w:val="auto"/>
                <w:szCs w:val="21"/>
                <w:highlight w:val="none"/>
              </w:rPr>
            </w:pPr>
          </w:p>
        </w:tc>
        <w:tc>
          <w:tcPr>
            <w:tcW w:w="7573" w:type="dxa"/>
            <w:vAlign w:val="center"/>
          </w:tcPr>
          <w:p w14:paraId="3D2233B3">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投标文件没有招标文件中规定的其它无效投标条款的。</w:t>
            </w:r>
          </w:p>
        </w:tc>
      </w:tr>
      <w:tr w14:paraId="6A401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56758B0B">
            <w:pPr>
              <w:spacing w:line="440" w:lineRule="exact"/>
              <w:ind w:firstLine="420" w:firstLineChars="200"/>
              <w:rPr>
                <w:rFonts w:hint="eastAsia" w:asciiTheme="minorEastAsia" w:hAnsiTheme="minorEastAsia" w:eastAsiaTheme="minorEastAsia" w:cstheme="minorEastAsia"/>
                <w:color w:val="auto"/>
                <w:szCs w:val="21"/>
                <w:highlight w:val="none"/>
              </w:rPr>
            </w:pPr>
          </w:p>
        </w:tc>
        <w:tc>
          <w:tcPr>
            <w:tcW w:w="7573" w:type="dxa"/>
            <w:vAlign w:val="center"/>
          </w:tcPr>
          <w:p w14:paraId="2339F77C">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按有关法律、法规、规章不属于投标无效的。</w:t>
            </w:r>
          </w:p>
        </w:tc>
      </w:tr>
    </w:tbl>
    <w:p w14:paraId="27C1CBD8">
      <w:pPr>
        <w:spacing w:line="440" w:lineRule="exact"/>
        <w:ind w:firstLine="422" w:firstLineChars="200"/>
        <w:contextualSpacing/>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2.实质审查与比较</w:t>
      </w:r>
    </w:p>
    <w:p w14:paraId="1B377721">
      <w:pPr>
        <w:spacing w:line="440" w:lineRule="exact"/>
        <w:ind w:firstLine="420" w:firstLineChars="20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（1）评标委员会审查投标文件的实质性内容是否符合招标文件的实质性要求。</w:t>
      </w:r>
    </w:p>
    <w:p w14:paraId="18DD768C">
      <w:pPr>
        <w:spacing w:line="440" w:lineRule="exact"/>
        <w:ind w:firstLine="420" w:firstLineChars="20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（2）评标委员会将根据投标人的投标文件进行审查、核对，如有疑问，将对投标人进行询标，投标人要向评标委员会澄清有关问题，并最终以书面形式进行答复。</w:t>
      </w:r>
    </w:p>
    <w:p w14:paraId="0CE1084B">
      <w:pPr>
        <w:spacing w:line="440" w:lineRule="exact"/>
        <w:ind w:firstLine="420" w:firstLineChars="20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投标人代表未到场或者拒绝澄清或者澄清的内容改变了投标文件的实质性内容的，评标委员会有权对该投标文件作出不利于投标人的评判。</w:t>
      </w:r>
    </w:p>
    <w:p w14:paraId="796A0214">
      <w:pPr>
        <w:spacing w:line="440" w:lineRule="exact"/>
        <w:ind w:firstLine="420" w:firstLineChars="20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（3）各投标人的资信技术得分为所有评标委员会的有效评分的算术平均数，由指定专人进行计算复核。</w:t>
      </w:r>
    </w:p>
    <w:p w14:paraId="280AFEE4">
      <w:pPr>
        <w:spacing w:line="440" w:lineRule="exact"/>
        <w:ind w:firstLine="420" w:firstLineChars="20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（4）招标代理机构工作人员协助评标委员会根据本项目的评分标准计算各投标人的报价得分。</w:t>
      </w:r>
    </w:p>
    <w:p w14:paraId="5DB351F8">
      <w:pPr>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（5）评标委员会完成评标后，评标委员会对各部分得分汇总，计算出本项目最终得分。评标委员会按评标原则推荐中标候选人同时起草评审报告。</w:t>
      </w:r>
    </w:p>
    <w:p w14:paraId="26D83CD8">
      <w:pPr>
        <w:snapToGrid w:val="0"/>
        <w:spacing w:line="440" w:lineRule="exact"/>
        <w:ind w:firstLine="422" w:firstLineChars="200"/>
        <w:rPr>
          <w:rStyle w:val="106"/>
          <w:rFonts w:hint="eastAsia" w:asciiTheme="minorEastAsia" w:hAnsiTheme="minorEastAsia" w:eastAsiaTheme="minorEastAsia" w:cstheme="minorEastAsia"/>
          <w:b/>
          <w:color w:val="auto"/>
          <w:szCs w:val="21"/>
          <w:highlight w:val="none"/>
        </w:rPr>
      </w:pPr>
      <w:r>
        <w:rPr>
          <w:rStyle w:val="106"/>
          <w:rFonts w:hint="eastAsia" w:asciiTheme="minorEastAsia" w:hAnsiTheme="minorEastAsia" w:eastAsiaTheme="minorEastAsia" w:cstheme="minorEastAsia"/>
          <w:b/>
          <w:color w:val="auto"/>
          <w:szCs w:val="21"/>
          <w:highlight w:val="none"/>
        </w:rPr>
        <w:t>（四）澄清问题的形式</w:t>
      </w:r>
    </w:p>
    <w:p w14:paraId="7EC8F4C9">
      <w:pPr>
        <w:snapToGrid w:val="0"/>
        <w:spacing w:line="440" w:lineRule="exact"/>
        <w:ind w:firstLine="420" w:firstLineChars="200"/>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5E8DA1E0">
      <w:pPr>
        <w:snapToGrid w:val="0"/>
        <w:spacing w:line="440" w:lineRule="exact"/>
        <w:ind w:firstLine="422" w:firstLineChars="200"/>
        <w:rPr>
          <w:rStyle w:val="106"/>
          <w:rFonts w:hint="eastAsia" w:asciiTheme="minorEastAsia" w:hAnsiTheme="minorEastAsia" w:eastAsiaTheme="minorEastAsia" w:cstheme="minorEastAsia"/>
          <w:b/>
          <w:color w:val="auto"/>
          <w:szCs w:val="21"/>
          <w:highlight w:val="none"/>
        </w:rPr>
      </w:pPr>
      <w:r>
        <w:rPr>
          <w:rStyle w:val="106"/>
          <w:rFonts w:hint="eastAsia" w:asciiTheme="minorEastAsia" w:hAnsiTheme="minorEastAsia" w:eastAsiaTheme="minorEastAsia" w:cstheme="minorEastAsia"/>
          <w:b/>
          <w:color w:val="auto"/>
          <w:szCs w:val="21"/>
          <w:highlight w:val="none"/>
        </w:rPr>
        <w:t>（五）错误修正</w:t>
      </w:r>
    </w:p>
    <w:p w14:paraId="17085A25">
      <w:pPr>
        <w:snapToGrid w:val="0"/>
        <w:spacing w:line="440" w:lineRule="exact"/>
        <w:ind w:firstLine="420" w:firstLineChars="200"/>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投标文件如果出现计算或表达上的错误，修正错误的原则如下：</w:t>
      </w:r>
    </w:p>
    <w:p w14:paraId="71D1E247">
      <w:pPr>
        <w:snapToGrid w:val="0"/>
        <w:spacing w:line="440" w:lineRule="exact"/>
        <w:ind w:firstLine="420" w:firstLineChars="200"/>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1.投标文件中开标一览表（报价表）内容与投标文件中相应内容不一致的，以开标一览表（报价表）为准；</w:t>
      </w:r>
    </w:p>
    <w:p w14:paraId="1EC8531F">
      <w:pPr>
        <w:snapToGrid w:val="0"/>
        <w:spacing w:line="440" w:lineRule="exact"/>
        <w:ind w:firstLine="420" w:firstLineChars="200"/>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2.大写金额和小写金额不一致的，以大写金额为准；</w:t>
      </w:r>
    </w:p>
    <w:p w14:paraId="1E6F5A9C">
      <w:pPr>
        <w:snapToGrid w:val="0"/>
        <w:spacing w:line="440" w:lineRule="exact"/>
        <w:ind w:firstLine="420" w:firstLineChars="200"/>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3.单价金额小数点或者百分比有明显错位的，以开标一览表的总价为准，并修改单价；</w:t>
      </w:r>
    </w:p>
    <w:p w14:paraId="17AFD616">
      <w:pPr>
        <w:snapToGrid w:val="0"/>
        <w:spacing w:line="440" w:lineRule="exact"/>
        <w:ind w:firstLine="420" w:firstLineChars="200"/>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4.总价金额与按单价汇总金额不一致的，以单价金额计算结果为准。</w:t>
      </w:r>
    </w:p>
    <w:p w14:paraId="13723B11">
      <w:pPr>
        <w:pStyle w:val="41"/>
        <w:snapToGrid w:val="0"/>
        <w:spacing w:before="0" w:after="0" w:line="440" w:lineRule="exact"/>
        <w:ind w:firstLine="420" w:firstLineChars="200"/>
        <w:rPr>
          <w:rStyle w:val="106"/>
          <w:rFonts w:hint="eastAsia" w:asciiTheme="minorEastAsia" w:hAnsiTheme="minorEastAsia" w:eastAsiaTheme="minorEastAsia" w:cstheme="minorEastAsia"/>
          <w:b/>
          <w:bCs/>
          <w:color w:val="auto"/>
          <w:sz w:val="21"/>
          <w:szCs w:val="21"/>
          <w:highlight w:val="none"/>
        </w:rPr>
      </w:pPr>
      <w:r>
        <w:rPr>
          <w:rStyle w:val="106"/>
          <w:rFonts w:hint="eastAsia" w:asciiTheme="minorEastAsia" w:hAnsiTheme="minorEastAsia" w:eastAsiaTheme="minorEastAsia" w:cstheme="minorEastAsia"/>
          <w:color w:val="auto"/>
          <w:sz w:val="21"/>
          <w:szCs w:val="21"/>
          <w:highlight w:val="none"/>
        </w:rPr>
        <w:t>同时出现两种以上不一致的，按照前款规定的顺序修正。</w:t>
      </w:r>
      <w:r>
        <w:rPr>
          <w:rStyle w:val="106"/>
          <w:rFonts w:hint="eastAsia" w:asciiTheme="minorEastAsia" w:hAnsiTheme="minorEastAsia" w:eastAsiaTheme="minorEastAsia" w:cstheme="minorEastAsia"/>
          <w:b/>
          <w:color w:val="auto"/>
          <w:sz w:val="21"/>
          <w:szCs w:val="21"/>
          <w:highlight w:val="none"/>
        </w:rPr>
        <w:t>按上述修正错误的原</w:t>
      </w:r>
      <w:r>
        <w:rPr>
          <w:rStyle w:val="106"/>
          <w:rFonts w:hint="eastAsia" w:asciiTheme="minorEastAsia" w:hAnsiTheme="minorEastAsia" w:eastAsiaTheme="minorEastAsia" w:cstheme="minorEastAsia"/>
          <w:b/>
          <w:bCs/>
          <w:color w:val="auto"/>
          <w:sz w:val="21"/>
          <w:szCs w:val="21"/>
          <w:highlight w:val="none"/>
        </w:rPr>
        <w:t>则及方法调整或修正投标文件的投标报价，投标人同意并签字确认后，调整后的投标报价对投标人具有约束作用。如果投标人不接受修正后的报价，则其投标将作为无效投标处理。</w:t>
      </w:r>
    </w:p>
    <w:p w14:paraId="3CB1FB31">
      <w:pPr>
        <w:pStyle w:val="41"/>
        <w:tabs>
          <w:tab w:val="right" w:pos="630"/>
        </w:tabs>
        <w:snapToGrid w:val="0"/>
        <w:spacing w:before="0" w:after="0" w:line="440" w:lineRule="exact"/>
        <w:ind w:firstLine="422" w:firstLineChars="200"/>
        <w:rPr>
          <w:rStyle w:val="106"/>
          <w:rFonts w:hint="eastAsia" w:asciiTheme="minorEastAsia" w:hAnsiTheme="minorEastAsia" w:eastAsiaTheme="minorEastAsia" w:cstheme="minorEastAsia"/>
          <w:b/>
          <w:color w:val="auto"/>
          <w:sz w:val="21"/>
          <w:szCs w:val="21"/>
          <w:highlight w:val="none"/>
        </w:rPr>
      </w:pPr>
      <w:r>
        <w:rPr>
          <w:rStyle w:val="106"/>
          <w:rFonts w:hint="eastAsia" w:asciiTheme="minorEastAsia" w:hAnsiTheme="minorEastAsia" w:eastAsiaTheme="minorEastAsia" w:cstheme="minorEastAsia"/>
          <w:b/>
          <w:color w:val="auto"/>
          <w:sz w:val="21"/>
          <w:szCs w:val="21"/>
          <w:highlight w:val="none"/>
        </w:rPr>
        <w:t>（六）评标原则和评标办法</w:t>
      </w:r>
    </w:p>
    <w:p w14:paraId="3087ECF8">
      <w:pPr>
        <w:pStyle w:val="41"/>
        <w:snapToGrid w:val="0"/>
        <w:spacing w:before="0" w:after="0" w:line="440" w:lineRule="exact"/>
        <w:ind w:firstLine="420" w:firstLineChars="200"/>
        <w:rPr>
          <w:rStyle w:val="106"/>
          <w:rFonts w:hint="eastAsia" w:asciiTheme="minorEastAsia" w:hAnsiTheme="minorEastAsia" w:eastAsiaTheme="minorEastAsia" w:cstheme="minorEastAsia"/>
          <w:color w:val="auto"/>
          <w:sz w:val="21"/>
          <w:szCs w:val="21"/>
          <w:highlight w:val="none"/>
        </w:rPr>
      </w:pPr>
      <w:r>
        <w:rPr>
          <w:rStyle w:val="106"/>
          <w:rFonts w:hint="eastAsia" w:asciiTheme="minorEastAsia" w:hAnsiTheme="minorEastAsia" w:eastAsiaTheme="minorEastAsia" w:cstheme="minorEastAsia"/>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6F1759F">
      <w:pPr>
        <w:pStyle w:val="41"/>
        <w:snapToGrid w:val="0"/>
        <w:spacing w:before="0" w:after="0" w:line="440" w:lineRule="exact"/>
        <w:ind w:firstLine="420" w:firstLineChars="200"/>
        <w:rPr>
          <w:rStyle w:val="106"/>
          <w:rFonts w:hint="eastAsia" w:asciiTheme="minorEastAsia" w:hAnsiTheme="minorEastAsia" w:eastAsiaTheme="minorEastAsia" w:cstheme="minorEastAsia"/>
          <w:color w:val="auto"/>
          <w:sz w:val="21"/>
          <w:szCs w:val="21"/>
          <w:highlight w:val="none"/>
        </w:rPr>
      </w:pPr>
      <w:r>
        <w:rPr>
          <w:rStyle w:val="106"/>
          <w:rFonts w:hint="eastAsia" w:asciiTheme="minorEastAsia" w:hAnsiTheme="minorEastAsia" w:eastAsiaTheme="minorEastAsia" w:cstheme="minorEastAsia"/>
          <w:color w:val="auto"/>
          <w:sz w:val="21"/>
          <w:szCs w:val="21"/>
          <w:highlight w:val="none"/>
        </w:rPr>
        <w:t>2.评标办法。本项目评标办法是</w:t>
      </w:r>
      <w:r>
        <w:rPr>
          <w:rStyle w:val="106"/>
          <w:rFonts w:hint="eastAsia" w:asciiTheme="minorEastAsia" w:hAnsiTheme="minorEastAsia" w:eastAsiaTheme="minorEastAsia" w:cstheme="minorEastAsia"/>
          <w:b/>
          <w:color w:val="auto"/>
          <w:sz w:val="21"/>
          <w:szCs w:val="21"/>
          <w:highlight w:val="none"/>
          <w:u w:val="single"/>
        </w:rPr>
        <w:t xml:space="preserve"> 综合评分法</w:t>
      </w:r>
      <w:r>
        <w:rPr>
          <w:rStyle w:val="106"/>
          <w:rFonts w:hint="eastAsia" w:asciiTheme="minorEastAsia" w:hAnsiTheme="minorEastAsia" w:eastAsiaTheme="minorEastAsia" w:cstheme="minorEastAsia"/>
          <w:color w:val="auto"/>
          <w:sz w:val="21"/>
          <w:szCs w:val="21"/>
          <w:highlight w:val="none"/>
          <w:u w:val="single"/>
        </w:rPr>
        <w:t xml:space="preserve"> </w:t>
      </w:r>
      <w:r>
        <w:rPr>
          <w:rStyle w:val="106"/>
          <w:rFonts w:hint="eastAsia" w:asciiTheme="minorEastAsia" w:hAnsiTheme="minorEastAsia" w:eastAsiaTheme="minorEastAsia" w:cstheme="minorEastAsia"/>
          <w:color w:val="auto"/>
          <w:sz w:val="21"/>
          <w:szCs w:val="21"/>
          <w:highlight w:val="none"/>
        </w:rPr>
        <w:t>，具体评标内容及评分标准等详见《第四章：评标办法及评分标准》。</w:t>
      </w:r>
    </w:p>
    <w:p w14:paraId="14D6C57D">
      <w:pPr>
        <w:pStyle w:val="41"/>
        <w:snapToGrid w:val="0"/>
        <w:spacing w:before="0" w:after="0" w:line="440" w:lineRule="exact"/>
        <w:rPr>
          <w:rStyle w:val="106"/>
          <w:rFonts w:hint="eastAsia" w:asciiTheme="minorEastAsia" w:hAnsiTheme="minorEastAsia" w:eastAsiaTheme="minorEastAsia" w:cstheme="minorEastAsia"/>
          <w:b/>
          <w:color w:val="auto"/>
          <w:sz w:val="21"/>
          <w:szCs w:val="21"/>
          <w:highlight w:val="none"/>
        </w:rPr>
      </w:pPr>
      <w:r>
        <w:rPr>
          <w:rStyle w:val="106"/>
          <w:rFonts w:hint="eastAsia" w:asciiTheme="minorEastAsia" w:hAnsiTheme="minorEastAsia" w:eastAsiaTheme="minorEastAsia" w:cstheme="minorEastAsia"/>
          <w:b/>
          <w:color w:val="auto"/>
          <w:sz w:val="21"/>
          <w:szCs w:val="21"/>
          <w:highlight w:val="none"/>
        </w:rPr>
        <w:t>六、定标</w:t>
      </w:r>
    </w:p>
    <w:p w14:paraId="4CAE1DFB">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1.确定投标人。评标完成后，评标委员会应当向招标人提交书面评标报告和中标候选人名单，招标人不得在评标委员会推荐的中标候选人以外确定中标候选人。</w:t>
      </w:r>
    </w:p>
    <w:p w14:paraId="5A6154D1">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2.招标人应当自收到评标报告之日起3日内公示中标候选人，公示期为3个自然日。</w:t>
      </w:r>
    </w:p>
    <w:p w14:paraId="62CF9880">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3.公示期满无异议，推荐中标候选人即被确定为中标人，并签发中标通知书。</w:t>
      </w:r>
    </w:p>
    <w:p w14:paraId="415E5CF7">
      <w:pPr>
        <w:spacing w:line="440" w:lineRule="exact"/>
        <w:rPr>
          <w:rStyle w:val="106"/>
          <w:rFonts w:hint="eastAsia" w:asciiTheme="minorEastAsia" w:hAnsiTheme="minorEastAsia" w:eastAsiaTheme="minorEastAsia" w:cstheme="minorEastAsia"/>
          <w:b/>
          <w:color w:val="auto"/>
          <w:szCs w:val="21"/>
          <w:highlight w:val="none"/>
        </w:rPr>
      </w:pPr>
      <w:r>
        <w:rPr>
          <w:rStyle w:val="106"/>
          <w:rFonts w:hint="eastAsia" w:asciiTheme="minorEastAsia" w:hAnsiTheme="minorEastAsia" w:eastAsiaTheme="minorEastAsia" w:cstheme="minorEastAsia"/>
          <w:b/>
          <w:color w:val="auto"/>
          <w:szCs w:val="21"/>
          <w:highlight w:val="none"/>
        </w:rPr>
        <w:t>七、评标过程的监控与保密</w:t>
      </w:r>
    </w:p>
    <w:p w14:paraId="6C78A178">
      <w:pPr>
        <w:spacing w:line="440" w:lineRule="exact"/>
        <w:ind w:firstLine="420" w:firstLineChars="200"/>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1.本项目评标过程实行全程录音、录像监控，投标人在评标过程中所进行的试图影响评标结果的不公正活动，可能导致其投标被拒绝。</w:t>
      </w:r>
    </w:p>
    <w:p w14:paraId="16F117B3">
      <w:pPr>
        <w:spacing w:line="440" w:lineRule="exact"/>
        <w:ind w:firstLine="420" w:firstLineChars="200"/>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2.开标后到中标通知书发出之前，所有涉及评标委员会名单以及对投标文件的澄清、评价、比较等情况，评标委员会成员、招标人和招标代理机构的有关人员均不得向投标人或其他无关人员透露。</w:t>
      </w:r>
    </w:p>
    <w:p w14:paraId="7B30B374">
      <w:pPr>
        <w:pStyle w:val="41"/>
        <w:snapToGrid w:val="0"/>
        <w:spacing w:before="0" w:after="0" w:line="440" w:lineRule="exact"/>
        <w:rPr>
          <w:rStyle w:val="106"/>
          <w:rFonts w:hint="eastAsia" w:asciiTheme="minorEastAsia" w:hAnsiTheme="minorEastAsia" w:eastAsiaTheme="minorEastAsia" w:cstheme="minorEastAsia"/>
          <w:b/>
          <w:color w:val="auto"/>
          <w:sz w:val="21"/>
          <w:szCs w:val="21"/>
          <w:highlight w:val="none"/>
        </w:rPr>
      </w:pPr>
      <w:r>
        <w:rPr>
          <w:rStyle w:val="106"/>
          <w:rFonts w:hint="eastAsia" w:asciiTheme="minorEastAsia" w:hAnsiTheme="minorEastAsia" w:eastAsiaTheme="minorEastAsia" w:cstheme="minorEastAsia"/>
          <w:b/>
          <w:color w:val="auto"/>
          <w:sz w:val="21"/>
          <w:szCs w:val="21"/>
          <w:highlight w:val="none"/>
        </w:rPr>
        <w:t>八、合同授予</w:t>
      </w:r>
    </w:p>
    <w:p w14:paraId="19818E6B">
      <w:pPr>
        <w:snapToGrid w:val="0"/>
        <w:spacing w:line="440" w:lineRule="exact"/>
        <w:ind w:firstLine="422" w:firstLineChars="200"/>
        <w:rPr>
          <w:rStyle w:val="106"/>
          <w:rFonts w:hint="eastAsia" w:asciiTheme="minorEastAsia" w:hAnsiTheme="minorEastAsia" w:eastAsiaTheme="minorEastAsia" w:cstheme="minorEastAsia"/>
          <w:b/>
          <w:color w:val="auto"/>
          <w:szCs w:val="21"/>
          <w:highlight w:val="none"/>
        </w:rPr>
      </w:pPr>
      <w:r>
        <w:rPr>
          <w:rStyle w:val="106"/>
          <w:rFonts w:hint="eastAsia" w:asciiTheme="minorEastAsia" w:hAnsiTheme="minorEastAsia" w:eastAsiaTheme="minorEastAsia" w:cstheme="minorEastAsia"/>
          <w:b/>
          <w:color w:val="auto"/>
          <w:szCs w:val="21"/>
          <w:highlight w:val="none"/>
        </w:rPr>
        <w:t>（一）签订合同</w:t>
      </w:r>
    </w:p>
    <w:p w14:paraId="41D71C9F">
      <w:pPr>
        <w:snapToGrid w:val="0"/>
        <w:spacing w:line="440" w:lineRule="exact"/>
        <w:ind w:firstLine="420" w:firstLineChars="200"/>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1.招标人与投标人应当在《中标通知书》发出之日起</w:t>
      </w:r>
      <w:r>
        <w:rPr>
          <w:rStyle w:val="106"/>
          <w:rFonts w:hint="eastAsia" w:asciiTheme="minorEastAsia" w:hAnsiTheme="minorEastAsia" w:eastAsiaTheme="minorEastAsia" w:cstheme="minorEastAsia"/>
          <w:b/>
          <w:color w:val="auto"/>
          <w:szCs w:val="21"/>
          <w:highlight w:val="none"/>
          <w:u w:val="single"/>
        </w:rPr>
        <w:t>30</w:t>
      </w:r>
      <w:r>
        <w:rPr>
          <w:rStyle w:val="106"/>
          <w:rFonts w:hint="eastAsia" w:asciiTheme="minorEastAsia" w:hAnsiTheme="minorEastAsia" w:eastAsiaTheme="minorEastAsia" w:cstheme="minorEastAsia"/>
          <w:color w:val="auto"/>
          <w:szCs w:val="21"/>
          <w:highlight w:val="none"/>
        </w:rPr>
        <w:t>日内签订采购合同。同时，招标代理机构对合同内容进行审查，如发现与采购结果和投标承诺内容不一致的，应予以纠正。</w:t>
      </w:r>
    </w:p>
    <w:p w14:paraId="203EFD9D">
      <w:pPr>
        <w:snapToGrid w:val="0"/>
        <w:spacing w:line="440" w:lineRule="exact"/>
        <w:ind w:firstLine="420" w:firstLineChars="200"/>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2.投标人拖延、拒签合同的，将被取消中标资格。</w:t>
      </w:r>
    </w:p>
    <w:p w14:paraId="03261CC4">
      <w:pPr>
        <w:snapToGrid w:val="0"/>
        <w:spacing w:line="440" w:lineRule="exact"/>
        <w:ind w:firstLine="420" w:firstLineChars="200"/>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3.投标人拒绝与招标人签订合同或其他违规情形的，招标人可以重新采购。</w:t>
      </w:r>
    </w:p>
    <w:p w14:paraId="3A5E8F1A">
      <w:pPr>
        <w:snapToGrid w:val="0"/>
        <w:spacing w:line="440" w:lineRule="exact"/>
        <w:ind w:firstLine="422" w:firstLineChars="200"/>
        <w:rPr>
          <w:rStyle w:val="106"/>
          <w:rFonts w:hint="eastAsia" w:asciiTheme="minorEastAsia" w:hAnsiTheme="minorEastAsia" w:eastAsiaTheme="minorEastAsia" w:cstheme="minorEastAsia"/>
          <w:b/>
          <w:color w:val="auto"/>
          <w:szCs w:val="21"/>
          <w:highlight w:val="none"/>
        </w:rPr>
      </w:pPr>
      <w:r>
        <w:rPr>
          <w:rStyle w:val="106"/>
          <w:rFonts w:hint="eastAsia" w:asciiTheme="minorEastAsia" w:hAnsiTheme="minorEastAsia" w:eastAsiaTheme="minorEastAsia" w:cstheme="minorEastAsia"/>
          <w:b/>
          <w:color w:val="auto"/>
          <w:szCs w:val="21"/>
          <w:highlight w:val="none"/>
        </w:rPr>
        <w:t>（二）履约保证金</w:t>
      </w:r>
    </w:p>
    <w:p w14:paraId="71B739B9">
      <w:pPr>
        <w:pStyle w:val="41"/>
        <w:snapToGrid w:val="0"/>
        <w:spacing w:before="0" w:after="0" w:line="440" w:lineRule="exact"/>
        <w:ind w:firstLine="420" w:firstLineChars="200"/>
        <w:rPr>
          <w:rStyle w:val="106"/>
          <w:rFonts w:hint="eastAsia" w:asciiTheme="minorEastAsia" w:hAnsiTheme="minorEastAsia" w:eastAsiaTheme="minorEastAsia" w:cstheme="minorEastAsia"/>
          <w:color w:val="auto"/>
          <w:sz w:val="21"/>
          <w:szCs w:val="21"/>
          <w:highlight w:val="none"/>
        </w:rPr>
      </w:pPr>
      <w:r>
        <w:rPr>
          <w:rStyle w:val="106"/>
          <w:rFonts w:hint="eastAsia" w:asciiTheme="minorEastAsia" w:hAnsiTheme="minorEastAsia" w:eastAsiaTheme="minorEastAsia" w:cstheme="minorEastAsia"/>
          <w:color w:val="auto"/>
          <w:sz w:val="21"/>
          <w:szCs w:val="21"/>
          <w:highlight w:val="none"/>
        </w:rPr>
        <w:t>1.签订合同前，投标人应按招标文件确定的履约保证金的金额，向招标人交纳履约保证金。</w:t>
      </w:r>
    </w:p>
    <w:p w14:paraId="5BC30C33">
      <w:pPr>
        <w:pStyle w:val="41"/>
        <w:snapToGrid w:val="0"/>
        <w:spacing w:before="0" w:after="0" w:line="440" w:lineRule="exact"/>
        <w:ind w:firstLine="420" w:firstLineChars="200"/>
        <w:rPr>
          <w:rStyle w:val="106"/>
          <w:rFonts w:hint="eastAsia" w:asciiTheme="minorEastAsia" w:hAnsiTheme="minorEastAsia" w:eastAsiaTheme="minorEastAsia" w:cstheme="minorEastAsia"/>
          <w:color w:val="auto"/>
          <w:sz w:val="21"/>
          <w:szCs w:val="21"/>
          <w:highlight w:val="none"/>
        </w:rPr>
      </w:pPr>
      <w:r>
        <w:rPr>
          <w:rStyle w:val="106"/>
          <w:rFonts w:hint="eastAsia" w:asciiTheme="minorEastAsia" w:hAnsiTheme="minorEastAsia" w:eastAsiaTheme="minorEastAsia" w:cstheme="minorEastAsia"/>
          <w:color w:val="auto"/>
          <w:sz w:val="21"/>
          <w:szCs w:val="21"/>
          <w:highlight w:val="none"/>
        </w:rPr>
        <w:t>2.签订合同后，如投标人不按双方合同约定履约，则没收其全部履约保证金，履约保证金不足以赔偿损失的，按实际损失赔偿。</w:t>
      </w:r>
    </w:p>
    <w:p w14:paraId="600839BC">
      <w:pPr>
        <w:spacing w:line="440" w:lineRule="exact"/>
        <w:jc w:val="left"/>
        <w:rPr>
          <w:rStyle w:val="106"/>
          <w:rFonts w:hint="eastAsia" w:asciiTheme="minorEastAsia" w:hAnsiTheme="minorEastAsia" w:eastAsiaTheme="minorEastAsia" w:cstheme="minorEastAsia"/>
          <w:b/>
          <w:color w:val="auto"/>
          <w:szCs w:val="21"/>
          <w:highlight w:val="none"/>
        </w:rPr>
      </w:pPr>
      <w:r>
        <w:rPr>
          <w:rStyle w:val="106"/>
          <w:rFonts w:hint="eastAsia" w:asciiTheme="minorEastAsia" w:hAnsiTheme="minorEastAsia" w:eastAsiaTheme="minorEastAsia" w:cstheme="minorEastAsia"/>
          <w:b/>
          <w:color w:val="auto"/>
          <w:szCs w:val="21"/>
          <w:highlight w:val="none"/>
        </w:rPr>
        <w:t>九、履约验收</w:t>
      </w:r>
    </w:p>
    <w:p w14:paraId="0EEA3E02">
      <w:pPr>
        <w:pStyle w:val="41"/>
        <w:snapToGrid w:val="0"/>
        <w:spacing w:before="0" w:after="0" w:line="440" w:lineRule="exact"/>
        <w:ind w:firstLine="420" w:firstLineChars="200"/>
        <w:rPr>
          <w:rStyle w:val="106"/>
          <w:rFonts w:hint="eastAsia" w:asciiTheme="minorEastAsia" w:hAnsiTheme="minorEastAsia" w:eastAsiaTheme="minorEastAsia" w:cstheme="minorEastAsia"/>
          <w:color w:val="auto"/>
          <w:sz w:val="21"/>
          <w:szCs w:val="21"/>
          <w:highlight w:val="none"/>
        </w:rPr>
      </w:pPr>
      <w:r>
        <w:rPr>
          <w:rStyle w:val="106"/>
          <w:rFonts w:hint="eastAsia" w:asciiTheme="minorEastAsia" w:hAnsiTheme="minorEastAsia" w:eastAsiaTheme="minorEastAsia" w:cstheme="minorEastAsia"/>
          <w:color w:val="auto"/>
          <w:sz w:val="21"/>
          <w:szCs w:val="21"/>
          <w:highlight w:val="none"/>
        </w:rPr>
        <w:t>招标人负责对投标人的履约行为进行验收，验收标准为本项目的招标文件以及投标人的投标文件。政府向社会公众提供的公共服务项目，验收时应当邀请服务对象参与并出具意见，验收结果应当向社会公告。</w:t>
      </w:r>
    </w:p>
    <w:p w14:paraId="7823159E">
      <w:pPr>
        <w:spacing w:line="440" w:lineRule="exact"/>
        <w:ind w:firstLine="420" w:firstLineChars="200"/>
        <w:jc w:val="left"/>
        <w:rPr>
          <w:rStyle w:val="106"/>
          <w:rFonts w:hint="eastAsia" w:asciiTheme="minorEastAsia" w:hAnsiTheme="minorEastAsia" w:eastAsiaTheme="minorEastAsia" w:cstheme="minorEastAsia"/>
          <w:color w:val="auto"/>
          <w:szCs w:val="21"/>
          <w:highlight w:val="none"/>
        </w:rPr>
      </w:pPr>
    </w:p>
    <w:p w14:paraId="793B1748">
      <w:pPr>
        <w:pStyle w:val="31"/>
        <w:rPr>
          <w:rStyle w:val="106"/>
          <w:rFonts w:hint="eastAsia" w:asciiTheme="minorEastAsia" w:hAnsiTheme="minorEastAsia" w:eastAsiaTheme="minorEastAsia" w:cstheme="minorEastAsia"/>
          <w:color w:val="auto"/>
          <w:sz w:val="21"/>
          <w:szCs w:val="21"/>
          <w:highlight w:val="none"/>
        </w:rPr>
      </w:pPr>
      <w:r>
        <w:rPr>
          <w:rStyle w:val="106"/>
          <w:rFonts w:hint="eastAsia" w:asciiTheme="minorEastAsia" w:hAnsiTheme="minorEastAsia" w:eastAsiaTheme="minorEastAsia" w:cstheme="minorEastAsia"/>
          <w:color w:val="auto"/>
          <w:sz w:val="21"/>
          <w:szCs w:val="21"/>
          <w:highlight w:val="none"/>
        </w:rPr>
        <w:br w:type="page"/>
      </w:r>
    </w:p>
    <w:p w14:paraId="2799A177">
      <w:pPr>
        <w:pStyle w:val="31"/>
        <w:spacing w:before="0" w:after="0" w:line="360" w:lineRule="auto"/>
        <w:outlineLvl w:val="0"/>
        <w:rPr>
          <w:rStyle w:val="106"/>
          <w:rFonts w:hint="eastAsia" w:asciiTheme="minorEastAsia" w:hAnsiTheme="minorEastAsia" w:eastAsiaTheme="minorEastAsia" w:cstheme="minorEastAsia"/>
          <w:color w:val="auto"/>
          <w:sz w:val="28"/>
          <w:szCs w:val="28"/>
          <w:highlight w:val="none"/>
        </w:rPr>
      </w:pPr>
      <w:bookmarkStart w:id="10" w:name="_Toc30545"/>
      <w:r>
        <w:rPr>
          <w:rStyle w:val="106"/>
          <w:rFonts w:hint="eastAsia" w:asciiTheme="minorEastAsia" w:hAnsiTheme="minorEastAsia" w:eastAsiaTheme="minorEastAsia" w:cstheme="minorEastAsia"/>
          <w:color w:val="auto"/>
          <w:sz w:val="28"/>
          <w:szCs w:val="28"/>
          <w:highlight w:val="none"/>
        </w:rPr>
        <w:t>第四章  评标办法及评分标准</w:t>
      </w:r>
      <w:bookmarkEnd w:id="10"/>
    </w:p>
    <w:p w14:paraId="2780D46F">
      <w:pPr>
        <w:pStyle w:val="60"/>
        <w:spacing w:line="440" w:lineRule="exact"/>
        <w:ind w:firstLine="626" w:firstLineChars="297"/>
        <w:rPr>
          <w:rStyle w:val="106"/>
          <w:rFonts w:hint="eastAsia" w:asciiTheme="minorEastAsia" w:hAnsiTheme="minorEastAsia" w:eastAsiaTheme="minorEastAsia" w:cstheme="minorEastAsia"/>
          <w:color w:val="auto"/>
          <w:sz w:val="21"/>
          <w:szCs w:val="21"/>
          <w:highlight w:val="none"/>
        </w:rPr>
      </w:pPr>
      <w:r>
        <w:rPr>
          <w:rStyle w:val="106"/>
          <w:rFonts w:hint="eastAsia" w:asciiTheme="minorEastAsia" w:hAnsiTheme="minorEastAsia" w:eastAsiaTheme="minorEastAsia" w:cstheme="minorEastAsia"/>
          <w:color w:val="auto"/>
          <w:sz w:val="21"/>
          <w:szCs w:val="21"/>
          <w:highlight w:val="none"/>
        </w:rPr>
        <w:t>本办法严格遵照《中华人民共和国招标投标法》、《中华人民共和国招标投标法实施条例》等规定，</w:t>
      </w:r>
      <w:r>
        <w:rPr>
          <w:rStyle w:val="106"/>
          <w:rFonts w:hint="eastAsia" w:asciiTheme="minorEastAsia" w:hAnsiTheme="minorEastAsia" w:eastAsiaTheme="minorEastAsia" w:cstheme="minorEastAsia"/>
          <w:color w:val="auto"/>
          <w:sz w:val="21"/>
          <w:szCs w:val="21"/>
          <w:highlight w:val="none"/>
          <w:lang w:eastAsia="zh-CN"/>
        </w:rPr>
        <w:t>按照</w:t>
      </w:r>
      <w:r>
        <w:rPr>
          <w:rStyle w:val="106"/>
          <w:rFonts w:hint="eastAsia" w:asciiTheme="minorEastAsia" w:hAnsiTheme="minorEastAsia" w:eastAsiaTheme="minorEastAsia" w:cstheme="minorEastAsia"/>
          <w:color w:val="auto"/>
          <w:sz w:val="21"/>
          <w:szCs w:val="21"/>
          <w:highlight w:val="none"/>
        </w:rPr>
        <w:t>项目所在地政府有关政府采购规定和项目的实际情况制定。</w:t>
      </w:r>
    </w:p>
    <w:p w14:paraId="04B55101">
      <w:pPr>
        <w:spacing w:line="440" w:lineRule="exact"/>
        <w:rPr>
          <w:rStyle w:val="106"/>
          <w:rFonts w:hint="eastAsia" w:asciiTheme="minorEastAsia" w:hAnsiTheme="minorEastAsia" w:eastAsiaTheme="minorEastAsia" w:cstheme="minorEastAsia"/>
          <w:b/>
          <w:bCs/>
          <w:color w:val="auto"/>
          <w:szCs w:val="21"/>
          <w:highlight w:val="none"/>
        </w:rPr>
      </w:pPr>
      <w:r>
        <w:rPr>
          <w:rStyle w:val="106"/>
          <w:rFonts w:hint="eastAsia" w:asciiTheme="minorEastAsia" w:hAnsiTheme="minorEastAsia" w:eastAsiaTheme="minorEastAsia" w:cstheme="minorEastAsia"/>
          <w:b/>
          <w:bCs/>
          <w:color w:val="auto"/>
          <w:szCs w:val="21"/>
          <w:highlight w:val="none"/>
        </w:rPr>
        <w:t>一、总则</w:t>
      </w:r>
    </w:p>
    <w:p w14:paraId="449301F3">
      <w:pPr>
        <w:spacing w:line="440" w:lineRule="exact"/>
        <w:ind w:firstLine="420" w:firstLineChars="200"/>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招标活动遵循公平、公正、科学、择优的原则依法进行，招标活动及当事人接受依法实施的监督。本次招标采用综合评分法。</w:t>
      </w:r>
    </w:p>
    <w:p w14:paraId="77D9EC0D">
      <w:pPr>
        <w:spacing w:line="440" w:lineRule="exact"/>
        <w:rPr>
          <w:rStyle w:val="106"/>
          <w:rFonts w:hint="eastAsia" w:asciiTheme="minorEastAsia" w:hAnsiTheme="minorEastAsia" w:eastAsiaTheme="minorEastAsia" w:cstheme="minorEastAsia"/>
          <w:b/>
          <w:bCs/>
          <w:color w:val="auto"/>
          <w:szCs w:val="21"/>
          <w:highlight w:val="none"/>
        </w:rPr>
      </w:pPr>
      <w:r>
        <w:rPr>
          <w:rStyle w:val="106"/>
          <w:rFonts w:hint="eastAsia" w:asciiTheme="minorEastAsia" w:hAnsiTheme="minorEastAsia" w:eastAsiaTheme="minorEastAsia" w:cstheme="minorEastAsia"/>
          <w:b/>
          <w:bCs/>
          <w:color w:val="auto"/>
          <w:szCs w:val="21"/>
          <w:highlight w:val="none"/>
        </w:rPr>
        <w:t>二、评标组织</w:t>
      </w:r>
    </w:p>
    <w:p w14:paraId="67F43E30">
      <w:pPr>
        <w:spacing w:line="440" w:lineRule="exact"/>
        <w:ind w:firstLine="420" w:firstLineChars="200"/>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评标委员会：招标人和招标代理机构根据采购项目的内容特点按照规定组建评标委员会。评标委员会由招标人、技术、经济方面专家等有关人员组成。</w:t>
      </w:r>
    </w:p>
    <w:p w14:paraId="50C9879E">
      <w:pPr>
        <w:spacing w:line="440" w:lineRule="exact"/>
        <w:rPr>
          <w:rStyle w:val="106"/>
          <w:rFonts w:hint="eastAsia" w:asciiTheme="minorEastAsia" w:hAnsiTheme="minorEastAsia" w:eastAsiaTheme="minorEastAsia" w:cstheme="minorEastAsia"/>
          <w:b/>
          <w:bCs/>
          <w:color w:val="auto"/>
          <w:szCs w:val="21"/>
          <w:highlight w:val="none"/>
        </w:rPr>
      </w:pPr>
      <w:r>
        <w:rPr>
          <w:rStyle w:val="106"/>
          <w:rFonts w:hint="eastAsia" w:asciiTheme="minorEastAsia" w:hAnsiTheme="minorEastAsia" w:eastAsiaTheme="minorEastAsia" w:cstheme="minorEastAsia"/>
          <w:b/>
          <w:bCs/>
          <w:color w:val="auto"/>
          <w:szCs w:val="21"/>
          <w:highlight w:val="none"/>
        </w:rPr>
        <w:t>三、评标程序</w:t>
      </w:r>
    </w:p>
    <w:p w14:paraId="3C26F7B5">
      <w:pPr>
        <w:spacing w:line="440" w:lineRule="exact"/>
        <w:ind w:firstLine="420" w:firstLineChars="200"/>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1.招标代理机构按招标文件规定的时间、地点组织进行开标。</w:t>
      </w:r>
    </w:p>
    <w:p w14:paraId="04B249E4">
      <w:pPr>
        <w:spacing w:line="440" w:lineRule="exact"/>
        <w:ind w:firstLine="420" w:firstLineChars="200"/>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2.招标代理机构首先开启各投标人的投标文件，公布各投标人名称、投标内容、投标价格等以及招标代理机构认为合适的其他内容，并做开标记录。评标委员会对投标文件进行评审。</w:t>
      </w:r>
    </w:p>
    <w:p w14:paraId="5676A7C4">
      <w:pPr>
        <w:spacing w:line="440" w:lineRule="exact"/>
        <w:ind w:firstLine="420" w:firstLineChars="200"/>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3.根据有效投标人的资信技术得分和价格分得分计算各投标人的总得分（总得分保留小数点后二位）。</w:t>
      </w:r>
    </w:p>
    <w:p w14:paraId="0BF605FA">
      <w:pPr>
        <w:spacing w:line="440" w:lineRule="exact"/>
        <w:ind w:firstLine="420" w:firstLineChars="200"/>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4.按照评标办法得分，评标委员会推荐中标候选人，最后在公开招标公告发布的网站上公布中标结果。</w:t>
      </w:r>
    </w:p>
    <w:p w14:paraId="3DF1ABFD">
      <w:pPr>
        <w:spacing w:line="440" w:lineRule="exact"/>
        <w:rPr>
          <w:rStyle w:val="106"/>
          <w:rFonts w:hint="eastAsia" w:asciiTheme="minorEastAsia" w:hAnsiTheme="minorEastAsia" w:eastAsiaTheme="minorEastAsia" w:cstheme="minorEastAsia"/>
          <w:b/>
          <w:bCs/>
          <w:color w:val="auto"/>
          <w:szCs w:val="21"/>
          <w:highlight w:val="none"/>
        </w:rPr>
      </w:pPr>
      <w:r>
        <w:rPr>
          <w:rStyle w:val="106"/>
          <w:rFonts w:hint="eastAsia" w:asciiTheme="minorEastAsia" w:hAnsiTheme="minorEastAsia" w:eastAsiaTheme="minorEastAsia" w:cstheme="minorEastAsia"/>
          <w:b/>
          <w:bCs/>
          <w:color w:val="auto"/>
          <w:szCs w:val="21"/>
          <w:highlight w:val="none"/>
        </w:rPr>
        <w:t>四、评标过程</w:t>
      </w:r>
    </w:p>
    <w:p w14:paraId="1746E892">
      <w:pPr>
        <w:pStyle w:val="60"/>
        <w:spacing w:line="440" w:lineRule="exact"/>
        <w:ind w:firstLine="422" w:firstLineChars="200"/>
        <w:rPr>
          <w:rStyle w:val="106"/>
          <w:rFonts w:hint="eastAsia" w:asciiTheme="minorEastAsia" w:hAnsiTheme="minorEastAsia" w:eastAsiaTheme="minorEastAsia" w:cstheme="minorEastAsia"/>
          <w:color w:val="auto"/>
          <w:sz w:val="21"/>
          <w:szCs w:val="21"/>
          <w:highlight w:val="none"/>
        </w:rPr>
      </w:pPr>
      <w:r>
        <w:rPr>
          <w:rStyle w:val="106"/>
          <w:rFonts w:hint="eastAsia" w:asciiTheme="minorEastAsia" w:hAnsiTheme="minorEastAsia" w:eastAsiaTheme="minorEastAsia" w:cstheme="minorEastAsia"/>
          <w:color w:val="auto"/>
          <w:sz w:val="21"/>
          <w:szCs w:val="21"/>
          <w:highlight w:val="none"/>
        </w:rPr>
        <w:t>1.资格审查</w:t>
      </w:r>
    </w:p>
    <w:p w14:paraId="42EB30B2">
      <w:pPr>
        <w:pStyle w:val="60"/>
        <w:spacing w:line="440" w:lineRule="exact"/>
        <w:ind w:firstLine="422" w:firstLineChars="200"/>
        <w:rPr>
          <w:rStyle w:val="106"/>
          <w:rFonts w:hint="eastAsia" w:asciiTheme="minorEastAsia" w:hAnsiTheme="minorEastAsia" w:eastAsiaTheme="minorEastAsia" w:cstheme="minorEastAsia"/>
          <w:color w:val="auto"/>
          <w:sz w:val="21"/>
          <w:szCs w:val="21"/>
          <w:highlight w:val="none"/>
        </w:rPr>
      </w:pPr>
      <w:r>
        <w:rPr>
          <w:rStyle w:val="106"/>
          <w:rFonts w:hint="eastAsia" w:asciiTheme="minorEastAsia" w:hAnsiTheme="minorEastAsia" w:eastAsiaTheme="minorEastAsia" w:cstheme="minorEastAsia"/>
          <w:color w:val="auto"/>
          <w:sz w:val="21"/>
          <w:szCs w:val="21"/>
          <w:highlight w:val="none"/>
        </w:rPr>
        <w:t>评标委员会对投标人的资格进行审查。依据法律法规和招标文件的规定，对投标文件中的资格证明进行审查，以确定投标人是否具备投标资格。</w:t>
      </w:r>
    </w:p>
    <w:p w14:paraId="1E263134">
      <w:pPr>
        <w:pStyle w:val="60"/>
        <w:spacing w:line="440" w:lineRule="exact"/>
        <w:ind w:firstLine="422" w:firstLineChars="200"/>
        <w:rPr>
          <w:rStyle w:val="106"/>
          <w:rFonts w:hint="eastAsia" w:asciiTheme="minorEastAsia" w:hAnsiTheme="minorEastAsia" w:eastAsiaTheme="minorEastAsia" w:cstheme="minorEastAsia"/>
          <w:color w:val="auto"/>
          <w:sz w:val="21"/>
          <w:szCs w:val="21"/>
          <w:highlight w:val="none"/>
        </w:rPr>
      </w:pPr>
      <w:r>
        <w:rPr>
          <w:rStyle w:val="106"/>
          <w:rFonts w:hint="eastAsia" w:asciiTheme="minorEastAsia" w:hAnsiTheme="minorEastAsia" w:eastAsiaTheme="minorEastAsia" w:cstheme="minorEastAsia"/>
          <w:color w:val="auto"/>
          <w:sz w:val="21"/>
          <w:szCs w:val="21"/>
          <w:highlight w:val="none"/>
        </w:rPr>
        <w:t>2.符合性审查</w:t>
      </w:r>
    </w:p>
    <w:p w14:paraId="46E40826">
      <w:pPr>
        <w:spacing w:line="440" w:lineRule="exact"/>
        <w:ind w:firstLine="420" w:firstLineChars="200"/>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依据招标文件的规定，从投标人投标文件的有效性、完整性和对招标文件的响应程度进行审查，以确定是否对招标文件的实质性要求作出响应。</w:t>
      </w:r>
    </w:p>
    <w:p w14:paraId="766FE4BF">
      <w:pPr>
        <w:pStyle w:val="60"/>
        <w:tabs>
          <w:tab w:val="left" w:pos="0"/>
        </w:tabs>
        <w:spacing w:line="440" w:lineRule="exact"/>
        <w:ind w:firstLine="0" w:firstLineChars="0"/>
        <w:rPr>
          <w:rStyle w:val="106"/>
          <w:rFonts w:hint="eastAsia" w:asciiTheme="minorEastAsia" w:hAnsiTheme="minorEastAsia" w:eastAsiaTheme="minorEastAsia" w:cstheme="minorEastAsia"/>
          <w:color w:val="auto"/>
          <w:sz w:val="21"/>
          <w:szCs w:val="21"/>
          <w:highlight w:val="none"/>
        </w:rPr>
      </w:pPr>
      <w:r>
        <w:rPr>
          <w:rStyle w:val="106"/>
          <w:rFonts w:hint="eastAsia" w:asciiTheme="minorEastAsia" w:hAnsiTheme="minorEastAsia" w:eastAsiaTheme="minorEastAsia" w:cstheme="minorEastAsia"/>
          <w:color w:val="auto"/>
          <w:sz w:val="21"/>
          <w:szCs w:val="21"/>
          <w:highlight w:val="none"/>
        </w:rPr>
        <w:t>3.澄清问题</w:t>
      </w:r>
    </w:p>
    <w:p w14:paraId="378D5997">
      <w:pPr>
        <w:pStyle w:val="60"/>
        <w:spacing w:line="440" w:lineRule="exact"/>
        <w:ind w:firstLine="540" w:firstLineChars="0"/>
        <w:rPr>
          <w:rStyle w:val="106"/>
          <w:rFonts w:hint="eastAsia" w:asciiTheme="minorEastAsia" w:hAnsiTheme="minorEastAsia" w:eastAsiaTheme="minorEastAsia" w:cstheme="minorEastAsia"/>
          <w:color w:val="auto"/>
          <w:sz w:val="21"/>
          <w:szCs w:val="21"/>
          <w:highlight w:val="none"/>
        </w:rPr>
      </w:pPr>
      <w:r>
        <w:rPr>
          <w:rStyle w:val="106"/>
          <w:rFonts w:hint="eastAsia" w:asciiTheme="minorEastAsia" w:hAnsiTheme="minorEastAsia" w:eastAsiaTheme="minorEastAsia" w:cstheme="minorEastAsia"/>
          <w:color w:val="auto"/>
          <w:sz w:val="21"/>
          <w:szCs w:val="21"/>
          <w:highlight w:val="none"/>
        </w:rPr>
        <w:t>对于投标文件中含义不明确、同类问题表述不一致或者有明显文字和计算错误的内容，评标委员会可要求投标人以书面形式作出必要的澄清、说明或者补正。</w:t>
      </w:r>
    </w:p>
    <w:p w14:paraId="1E72B58B">
      <w:pPr>
        <w:pStyle w:val="60"/>
        <w:spacing w:line="440" w:lineRule="exact"/>
        <w:ind w:firstLine="422" w:firstLineChars="200"/>
        <w:rPr>
          <w:rStyle w:val="106"/>
          <w:rFonts w:hint="eastAsia" w:asciiTheme="minorEastAsia" w:hAnsiTheme="minorEastAsia" w:eastAsiaTheme="minorEastAsia" w:cstheme="minorEastAsia"/>
          <w:color w:val="auto"/>
          <w:sz w:val="21"/>
          <w:szCs w:val="21"/>
          <w:highlight w:val="none"/>
        </w:rPr>
      </w:pPr>
      <w:r>
        <w:rPr>
          <w:rStyle w:val="106"/>
          <w:rFonts w:hint="eastAsia" w:asciiTheme="minorEastAsia" w:hAnsiTheme="minorEastAsia" w:eastAsiaTheme="minorEastAsia" w:cstheme="minorEastAsia"/>
          <w:color w:val="auto"/>
          <w:sz w:val="21"/>
          <w:szCs w:val="21"/>
          <w:highlight w:val="none"/>
        </w:rPr>
        <w:t>投标人的澄清、说明或者补正应当采用书面形式，并加盖公章，或者由法定代表人或其授权代表签字确认，投标人的澄清、说明或者补正不得超出投标文件的范围或者改变投标文件的实质性内容。</w:t>
      </w:r>
    </w:p>
    <w:p w14:paraId="0403CAE0">
      <w:pPr>
        <w:pStyle w:val="60"/>
        <w:spacing w:line="440" w:lineRule="exact"/>
        <w:ind w:firstLine="474"/>
        <w:rPr>
          <w:rStyle w:val="106"/>
          <w:rFonts w:hint="eastAsia" w:asciiTheme="minorEastAsia" w:hAnsiTheme="minorEastAsia" w:eastAsiaTheme="minorEastAsia" w:cstheme="minorEastAsia"/>
          <w:color w:val="auto"/>
          <w:sz w:val="21"/>
          <w:szCs w:val="21"/>
          <w:highlight w:val="none"/>
        </w:rPr>
      </w:pPr>
      <w:r>
        <w:rPr>
          <w:rStyle w:val="106"/>
          <w:rFonts w:hint="eastAsia" w:asciiTheme="minorEastAsia" w:hAnsiTheme="minorEastAsia" w:eastAsiaTheme="minorEastAsia" w:cstheme="minorEastAsia"/>
          <w:color w:val="auto"/>
          <w:sz w:val="21"/>
          <w:szCs w:val="21"/>
          <w:highlight w:val="none"/>
        </w:rPr>
        <w:t>4.详细评审</w:t>
      </w:r>
    </w:p>
    <w:p w14:paraId="2D5A92D4">
      <w:pPr>
        <w:spacing w:line="440" w:lineRule="exact"/>
        <w:ind w:firstLine="420" w:firstLineChars="200"/>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评标委员会对初步评审合格的投标文件，依照本办法对投标文件作进一步评审、比较。评标委员会成员经过阅标、审标和询标，对各投标人进行打分。</w:t>
      </w:r>
    </w:p>
    <w:p w14:paraId="2ED2F668">
      <w:pPr>
        <w:spacing w:line="440" w:lineRule="exact"/>
        <w:ind w:firstLine="420" w:firstLineChars="200"/>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评标委员会打分参照本章 五、评分标准。资信技术分由各评标委员会成员打分，根据投标人的投标文件及相关澄清文件，进行独立打分。价格分由评标委员会统一核算。评标委员会打分采用记名方式，取所有评标委员会汇总得分的算术平均分（小数点后保留二位小数）。</w:t>
      </w:r>
    </w:p>
    <w:p w14:paraId="07C3983D">
      <w:pPr>
        <w:spacing w:line="440" w:lineRule="exact"/>
        <w:ind w:firstLine="420" w:firstLineChars="200"/>
        <w:rPr>
          <w:rStyle w:val="106"/>
          <w:rFonts w:hint="eastAsia" w:asciiTheme="minorEastAsia" w:hAnsiTheme="minorEastAsia" w:eastAsiaTheme="minorEastAsia" w:cstheme="minorEastAsia"/>
          <w:bCs/>
          <w:color w:val="auto"/>
          <w:szCs w:val="21"/>
          <w:highlight w:val="none"/>
        </w:rPr>
      </w:pPr>
      <w:r>
        <w:rPr>
          <w:rStyle w:val="106"/>
          <w:rFonts w:hint="eastAsia" w:asciiTheme="minorEastAsia" w:hAnsiTheme="minorEastAsia" w:eastAsiaTheme="minorEastAsia" w:cstheme="minorEastAsia"/>
          <w:bCs/>
          <w:color w:val="auto"/>
          <w:szCs w:val="21"/>
          <w:highlight w:val="none"/>
        </w:rPr>
        <w:t>注：（1）评标委员会对拟认定为投标文件无效的，应组织相关投标人代表进行陈述、澄清或申辩；</w:t>
      </w:r>
    </w:p>
    <w:p w14:paraId="60E5E2BC">
      <w:pPr>
        <w:spacing w:line="440" w:lineRule="exact"/>
        <w:ind w:firstLine="420" w:firstLineChars="200"/>
        <w:rPr>
          <w:rStyle w:val="106"/>
          <w:rFonts w:hint="eastAsia" w:asciiTheme="minorEastAsia" w:hAnsiTheme="minorEastAsia" w:eastAsiaTheme="minorEastAsia" w:cstheme="minorEastAsia"/>
          <w:bCs/>
          <w:color w:val="auto"/>
          <w:szCs w:val="21"/>
          <w:highlight w:val="none"/>
        </w:rPr>
      </w:pPr>
      <w:r>
        <w:rPr>
          <w:rStyle w:val="106"/>
          <w:rFonts w:hint="eastAsia" w:asciiTheme="minorEastAsia" w:hAnsiTheme="minorEastAsia" w:eastAsiaTheme="minorEastAsia" w:cstheme="minorEastAsia"/>
          <w:bCs/>
          <w:color w:val="auto"/>
          <w:szCs w:val="21"/>
          <w:highlight w:val="none"/>
        </w:rPr>
        <w:t>（2）招标代理机构可协助评标委员会主任评标委员会对打分结果进行校对、核对并汇总统计；对明显畸高、畸低的评分（其总评分偏离平均分30%以上的），评标委员会主任评标委员会应提醒相关评标委员会成员进行复核或书面说明理由，评标委员会成员拒绝说明的，由现场监督员据实记录；评标委员会成员的评审、修改记录应保留原件，随项目其他资料一并存档。</w:t>
      </w:r>
    </w:p>
    <w:p w14:paraId="7F77863C">
      <w:pPr>
        <w:pStyle w:val="60"/>
        <w:spacing w:line="440" w:lineRule="exact"/>
        <w:ind w:firstLine="474"/>
        <w:rPr>
          <w:rStyle w:val="106"/>
          <w:rFonts w:hint="eastAsia" w:asciiTheme="minorEastAsia" w:hAnsiTheme="minorEastAsia" w:eastAsiaTheme="minorEastAsia" w:cstheme="minorEastAsia"/>
          <w:color w:val="auto"/>
          <w:sz w:val="21"/>
          <w:szCs w:val="21"/>
          <w:highlight w:val="none"/>
        </w:rPr>
      </w:pPr>
      <w:r>
        <w:rPr>
          <w:rStyle w:val="106"/>
          <w:rFonts w:hint="eastAsia" w:asciiTheme="minorEastAsia" w:hAnsiTheme="minorEastAsia" w:eastAsiaTheme="minorEastAsia" w:cstheme="minorEastAsia"/>
          <w:color w:val="auto"/>
          <w:sz w:val="21"/>
          <w:szCs w:val="21"/>
          <w:highlight w:val="none"/>
        </w:rPr>
        <w:t>5.中标原则</w:t>
      </w:r>
    </w:p>
    <w:p w14:paraId="32C467CD">
      <w:pPr>
        <w:spacing w:line="440" w:lineRule="exact"/>
        <w:ind w:firstLine="422" w:firstLineChars="200"/>
        <w:rPr>
          <w:rStyle w:val="106"/>
          <w:rFonts w:hint="eastAsia" w:asciiTheme="minorEastAsia" w:hAnsiTheme="minorEastAsia" w:eastAsiaTheme="minorEastAsia" w:cstheme="minorEastAsia"/>
          <w:b/>
          <w:color w:val="auto"/>
          <w:szCs w:val="21"/>
          <w:highlight w:val="none"/>
        </w:rPr>
      </w:pPr>
      <w:r>
        <w:rPr>
          <w:rStyle w:val="106"/>
          <w:rFonts w:hint="eastAsia" w:asciiTheme="minorEastAsia" w:hAnsiTheme="minorEastAsia" w:eastAsiaTheme="minorEastAsia" w:cstheme="minorEastAsia"/>
          <w:b/>
          <w:color w:val="auto"/>
          <w:szCs w:val="21"/>
          <w:highlight w:val="none"/>
        </w:rPr>
        <w:t>评标委员会根据各投标人的最后得分（资信技术分与价格分之和）由高到低排定顺序，如投标人综合得分相同的则报价低者优先，报价也相同的，则由招标人抽签决定。具体推荐原则如下：</w:t>
      </w:r>
    </w:p>
    <w:p w14:paraId="19F941DA">
      <w:pPr>
        <w:spacing w:line="440" w:lineRule="exact"/>
        <w:ind w:firstLine="422" w:firstLineChars="200"/>
        <w:rPr>
          <w:rStyle w:val="106"/>
          <w:rFonts w:hint="eastAsia" w:asciiTheme="minorEastAsia" w:hAnsiTheme="minorEastAsia" w:eastAsiaTheme="minorEastAsia" w:cstheme="minorEastAsia"/>
          <w:b/>
          <w:color w:val="auto"/>
          <w:szCs w:val="21"/>
          <w:highlight w:val="none"/>
        </w:rPr>
      </w:pPr>
      <w:r>
        <w:rPr>
          <w:rStyle w:val="106"/>
          <w:rFonts w:hint="eastAsia" w:asciiTheme="minorEastAsia" w:hAnsiTheme="minorEastAsia" w:eastAsiaTheme="minorEastAsia" w:cstheme="minorEastAsia"/>
          <w:b/>
          <w:color w:val="auto"/>
          <w:szCs w:val="21"/>
          <w:highlight w:val="none"/>
        </w:rPr>
        <w:t>（1）推荐综合得分最高的投标人为中标候选人。</w:t>
      </w:r>
    </w:p>
    <w:p w14:paraId="301CA69A">
      <w:pPr>
        <w:spacing w:line="440" w:lineRule="exact"/>
        <w:ind w:firstLine="422" w:firstLineChars="200"/>
        <w:rPr>
          <w:rStyle w:val="106"/>
          <w:rFonts w:hint="eastAsia" w:asciiTheme="minorEastAsia" w:hAnsiTheme="minorEastAsia" w:eastAsiaTheme="minorEastAsia" w:cstheme="minorEastAsia"/>
          <w:b/>
          <w:color w:val="auto"/>
          <w:szCs w:val="21"/>
          <w:highlight w:val="none"/>
        </w:rPr>
      </w:pPr>
      <w:r>
        <w:rPr>
          <w:rStyle w:val="106"/>
          <w:rFonts w:hint="eastAsia" w:asciiTheme="minorEastAsia" w:hAnsiTheme="minorEastAsia" w:eastAsiaTheme="minorEastAsia" w:cstheme="minorEastAsia"/>
          <w:b/>
          <w:color w:val="auto"/>
          <w:szCs w:val="21"/>
          <w:highlight w:val="none"/>
        </w:rPr>
        <w:t>（2）如评标过程中出现本招标文件未尽事宜，则由评标委员会讨论决定。</w:t>
      </w:r>
    </w:p>
    <w:p w14:paraId="14466CE7">
      <w:pPr>
        <w:pStyle w:val="60"/>
        <w:spacing w:line="440" w:lineRule="exact"/>
        <w:ind w:firstLine="474"/>
        <w:rPr>
          <w:rStyle w:val="106"/>
          <w:rFonts w:hint="eastAsia" w:asciiTheme="minorEastAsia" w:hAnsiTheme="minorEastAsia" w:eastAsiaTheme="minorEastAsia" w:cstheme="minorEastAsia"/>
          <w:color w:val="auto"/>
          <w:sz w:val="21"/>
          <w:szCs w:val="21"/>
          <w:highlight w:val="none"/>
        </w:rPr>
      </w:pPr>
      <w:r>
        <w:rPr>
          <w:rStyle w:val="106"/>
          <w:rFonts w:hint="eastAsia" w:asciiTheme="minorEastAsia" w:hAnsiTheme="minorEastAsia" w:eastAsiaTheme="minorEastAsia" w:cstheme="minorEastAsia"/>
          <w:color w:val="auto"/>
          <w:sz w:val="21"/>
          <w:szCs w:val="21"/>
          <w:highlight w:val="none"/>
        </w:rPr>
        <w:t>6.中标结果</w:t>
      </w:r>
    </w:p>
    <w:p w14:paraId="3BCC1B4D">
      <w:pPr>
        <w:tabs>
          <w:tab w:val="right" w:pos="585"/>
        </w:tabs>
        <w:spacing w:line="440" w:lineRule="exact"/>
        <w:ind w:firstLine="420" w:firstLineChars="200"/>
        <w:rPr>
          <w:rStyle w:val="106"/>
          <w:rFonts w:hint="eastAsia" w:asciiTheme="minorEastAsia" w:hAnsiTheme="minorEastAsia" w:eastAsiaTheme="minorEastAsia" w:cstheme="minorEastAsia"/>
          <w:color w:val="auto"/>
          <w:szCs w:val="21"/>
          <w:highlight w:val="none"/>
        </w:rPr>
      </w:pPr>
      <w:r>
        <w:rPr>
          <w:rStyle w:val="106"/>
          <w:rFonts w:hint="eastAsia" w:asciiTheme="minorEastAsia" w:hAnsiTheme="minorEastAsia" w:eastAsiaTheme="minorEastAsia" w:cstheme="minorEastAsia"/>
          <w:color w:val="auto"/>
          <w:szCs w:val="21"/>
          <w:highlight w:val="none"/>
        </w:rPr>
        <w:t>招标代理机构将招标人确认的中标结果在指定媒体上公示，并向投标人发出中标通知书。</w:t>
      </w:r>
    </w:p>
    <w:p w14:paraId="55AD2916">
      <w:pPr>
        <w:spacing w:line="440" w:lineRule="exact"/>
        <w:rPr>
          <w:rStyle w:val="106"/>
          <w:rFonts w:hint="eastAsia" w:asciiTheme="minorEastAsia" w:hAnsiTheme="minorEastAsia" w:eastAsiaTheme="minorEastAsia" w:cstheme="minorEastAsia"/>
          <w:b/>
          <w:color w:val="auto"/>
          <w:szCs w:val="21"/>
          <w:highlight w:val="none"/>
        </w:rPr>
      </w:pPr>
      <w:r>
        <w:rPr>
          <w:rStyle w:val="106"/>
          <w:rFonts w:hint="eastAsia" w:asciiTheme="minorEastAsia" w:hAnsiTheme="minorEastAsia" w:eastAsiaTheme="minorEastAsia" w:cstheme="minorEastAsia"/>
          <w:b/>
          <w:color w:val="auto"/>
          <w:szCs w:val="21"/>
          <w:highlight w:val="none"/>
        </w:rPr>
        <w:t>五、评分标准</w:t>
      </w:r>
    </w:p>
    <w:p w14:paraId="51DD2E54">
      <w:pPr>
        <w:pStyle w:val="4"/>
        <w:rPr>
          <w:rFonts w:hint="eastAsia" w:asciiTheme="minorEastAsia" w:hAnsiTheme="minorEastAsia" w:eastAsiaTheme="minorEastAsia" w:cstheme="minorEastAsia"/>
          <w:b/>
          <w:bCs/>
          <w:color w:val="auto"/>
          <w:highlight w:val="none"/>
          <w:lang w:eastAsia="zh-CN"/>
        </w:rPr>
      </w:pPr>
      <w:r>
        <w:rPr>
          <w:rFonts w:hint="eastAsia" w:asciiTheme="minorEastAsia" w:hAnsiTheme="minorEastAsia" w:eastAsiaTheme="minorEastAsia" w:cstheme="minorEastAsia"/>
          <w:b/>
          <w:bCs/>
          <w:color w:val="auto"/>
          <w:highlight w:val="none"/>
        </w:rPr>
        <w:t>标项一：</w:t>
      </w:r>
      <w:r>
        <w:rPr>
          <w:rFonts w:hint="eastAsia" w:asciiTheme="minorEastAsia" w:hAnsiTheme="minorEastAsia" w:eastAsiaTheme="minorEastAsia" w:cstheme="minorEastAsia"/>
          <w:b/>
          <w:bCs/>
          <w:color w:val="auto"/>
          <w:highlight w:val="none"/>
          <w:lang w:eastAsia="zh-CN"/>
        </w:rPr>
        <w:t>招标代理和工程量清单及招标控制价编制</w:t>
      </w:r>
    </w:p>
    <w:tbl>
      <w:tblPr>
        <w:tblStyle w:val="21"/>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785"/>
        <w:gridCol w:w="5977"/>
        <w:gridCol w:w="705"/>
      </w:tblGrid>
      <w:tr w14:paraId="0C07E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68" w:type="dxa"/>
            <w:shd w:val="clear" w:color="auto" w:fill="auto"/>
          </w:tcPr>
          <w:p w14:paraId="18FEF09F">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785" w:type="dxa"/>
            <w:shd w:val="clear" w:color="auto" w:fill="auto"/>
          </w:tcPr>
          <w:p w14:paraId="7EC83AA1">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评分项目</w:t>
            </w:r>
          </w:p>
        </w:tc>
        <w:tc>
          <w:tcPr>
            <w:tcW w:w="5977" w:type="dxa"/>
            <w:shd w:val="clear" w:color="auto" w:fill="auto"/>
          </w:tcPr>
          <w:p w14:paraId="2E879BD3">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评审细则</w:t>
            </w:r>
          </w:p>
        </w:tc>
        <w:tc>
          <w:tcPr>
            <w:tcW w:w="705" w:type="dxa"/>
            <w:shd w:val="clear" w:color="auto" w:fill="auto"/>
            <w:vAlign w:val="center"/>
          </w:tcPr>
          <w:p w14:paraId="215CE37F">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分值</w:t>
            </w:r>
          </w:p>
        </w:tc>
      </w:tr>
      <w:tr w14:paraId="634F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restart"/>
            <w:shd w:val="clear" w:color="auto" w:fill="auto"/>
            <w:vAlign w:val="center"/>
          </w:tcPr>
          <w:p w14:paraId="4B1A7AA0">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785" w:type="dxa"/>
            <w:vMerge w:val="restart"/>
            <w:shd w:val="clear" w:color="auto" w:fill="auto"/>
            <w:vAlign w:val="center"/>
          </w:tcPr>
          <w:p w14:paraId="1AF7B605">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工作思路</w:t>
            </w:r>
          </w:p>
          <w:p w14:paraId="3AF93506">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（15分）</w:t>
            </w:r>
          </w:p>
        </w:tc>
        <w:tc>
          <w:tcPr>
            <w:tcW w:w="5977" w:type="dxa"/>
            <w:shd w:val="clear" w:color="auto" w:fill="auto"/>
          </w:tcPr>
          <w:p w14:paraId="13D2723F">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（1）招标代理实施方案（5分）</w:t>
            </w:r>
          </w:p>
          <w:p w14:paraId="39DB42BD">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根据投标人提供的招标代理流程、程序、思路是否清晰，质量和进度控制措施等进行综合评议，0-5分。</w:t>
            </w:r>
          </w:p>
        </w:tc>
        <w:tc>
          <w:tcPr>
            <w:tcW w:w="705" w:type="dxa"/>
            <w:shd w:val="clear" w:color="auto" w:fill="auto"/>
            <w:vAlign w:val="center"/>
          </w:tcPr>
          <w:p w14:paraId="37E2FC70">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r>
      <w:tr w14:paraId="7364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shd w:val="clear" w:color="auto" w:fill="auto"/>
            <w:vAlign w:val="center"/>
          </w:tcPr>
          <w:p w14:paraId="09F05A2E">
            <w:pPr>
              <w:spacing w:line="440" w:lineRule="exact"/>
              <w:jc w:val="center"/>
              <w:rPr>
                <w:rFonts w:hint="eastAsia" w:asciiTheme="minorEastAsia" w:hAnsiTheme="minorEastAsia" w:eastAsiaTheme="minorEastAsia" w:cstheme="minorEastAsia"/>
                <w:color w:val="auto"/>
                <w:szCs w:val="21"/>
                <w:highlight w:val="none"/>
              </w:rPr>
            </w:pPr>
          </w:p>
        </w:tc>
        <w:tc>
          <w:tcPr>
            <w:tcW w:w="1785" w:type="dxa"/>
            <w:vMerge w:val="continue"/>
            <w:shd w:val="clear" w:color="auto" w:fill="auto"/>
            <w:vAlign w:val="center"/>
          </w:tcPr>
          <w:p w14:paraId="65D181E4">
            <w:pPr>
              <w:spacing w:line="440" w:lineRule="exact"/>
              <w:jc w:val="center"/>
              <w:rPr>
                <w:rFonts w:hint="eastAsia" w:asciiTheme="minorEastAsia" w:hAnsiTheme="minorEastAsia" w:eastAsiaTheme="minorEastAsia" w:cstheme="minorEastAsia"/>
                <w:color w:val="auto"/>
                <w:szCs w:val="21"/>
                <w:highlight w:val="none"/>
              </w:rPr>
            </w:pPr>
          </w:p>
        </w:tc>
        <w:tc>
          <w:tcPr>
            <w:tcW w:w="5977" w:type="dxa"/>
            <w:shd w:val="clear" w:color="auto" w:fill="auto"/>
          </w:tcPr>
          <w:p w14:paraId="0C222A5C">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（2）工程量清单及招标控制价编制实施方案（5分）</w:t>
            </w:r>
          </w:p>
          <w:p w14:paraId="4B424560">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主要评审实施方案的完整性，工程量清单及招标控制价编制的范围和内容，思路是否清晰，质量、进度控制措施及管理目标的针对性，工作流程的科学性等进行综合评议，0-5分。</w:t>
            </w:r>
          </w:p>
        </w:tc>
        <w:tc>
          <w:tcPr>
            <w:tcW w:w="705" w:type="dxa"/>
            <w:shd w:val="clear" w:color="auto" w:fill="auto"/>
            <w:vAlign w:val="center"/>
          </w:tcPr>
          <w:p w14:paraId="4CDB6AF0">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r>
      <w:tr w14:paraId="2903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shd w:val="clear" w:color="auto" w:fill="auto"/>
            <w:vAlign w:val="center"/>
          </w:tcPr>
          <w:p w14:paraId="18956EA5">
            <w:pPr>
              <w:spacing w:line="440" w:lineRule="exact"/>
              <w:jc w:val="center"/>
              <w:rPr>
                <w:rFonts w:hint="eastAsia" w:asciiTheme="minorEastAsia" w:hAnsiTheme="minorEastAsia" w:eastAsiaTheme="minorEastAsia" w:cstheme="minorEastAsia"/>
                <w:color w:val="auto"/>
                <w:szCs w:val="21"/>
                <w:highlight w:val="none"/>
              </w:rPr>
            </w:pPr>
          </w:p>
        </w:tc>
        <w:tc>
          <w:tcPr>
            <w:tcW w:w="1785" w:type="dxa"/>
            <w:vMerge w:val="continue"/>
            <w:shd w:val="clear" w:color="auto" w:fill="auto"/>
            <w:vAlign w:val="center"/>
          </w:tcPr>
          <w:p w14:paraId="58FD9127">
            <w:pPr>
              <w:spacing w:line="440" w:lineRule="exact"/>
              <w:jc w:val="center"/>
              <w:rPr>
                <w:rFonts w:hint="eastAsia" w:asciiTheme="minorEastAsia" w:hAnsiTheme="minorEastAsia" w:eastAsiaTheme="minorEastAsia" w:cstheme="minorEastAsia"/>
                <w:color w:val="auto"/>
                <w:szCs w:val="21"/>
                <w:highlight w:val="none"/>
              </w:rPr>
            </w:pPr>
          </w:p>
        </w:tc>
        <w:tc>
          <w:tcPr>
            <w:tcW w:w="5977" w:type="dxa"/>
            <w:shd w:val="clear" w:color="auto" w:fill="auto"/>
          </w:tcPr>
          <w:p w14:paraId="034B20A9">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（3）对招标项目的理解和总体规划操作思路（5分）</w:t>
            </w:r>
          </w:p>
          <w:p w14:paraId="77E435BA">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根据投标人对本项目（招标代理、工程量清单及招标控制价编制）的特点、重点、难点等方面是否理解正确、认识全面进行酌情打分，0-5分。</w:t>
            </w:r>
          </w:p>
        </w:tc>
        <w:tc>
          <w:tcPr>
            <w:tcW w:w="705" w:type="dxa"/>
            <w:shd w:val="clear" w:color="auto" w:fill="auto"/>
            <w:vAlign w:val="center"/>
          </w:tcPr>
          <w:p w14:paraId="51E4B16C">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r>
      <w:tr w14:paraId="53098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68" w:type="dxa"/>
            <w:vMerge w:val="restart"/>
            <w:shd w:val="clear" w:color="auto" w:fill="auto"/>
            <w:vAlign w:val="center"/>
          </w:tcPr>
          <w:p w14:paraId="741514E9">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785" w:type="dxa"/>
            <w:vMerge w:val="restart"/>
            <w:shd w:val="clear" w:color="auto" w:fill="auto"/>
            <w:vAlign w:val="center"/>
          </w:tcPr>
          <w:p w14:paraId="75588A54">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服务高效、成果准确、执业廉洁</w:t>
            </w:r>
          </w:p>
          <w:p w14:paraId="3655A466">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（9分）</w:t>
            </w:r>
          </w:p>
        </w:tc>
        <w:tc>
          <w:tcPr>
            <w:tcW w:w="5977" w:type="dxa"/>
            <w:shd w:val="clear" w:color="auto" w:fill="auto"/>
          </w:tcPr>
          <w:p w14:paraId="58F7231F">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（1）保证服务高效具体措施是否有针对性、是否科学合理、是否全面等，0-3分</w:t>
            </w:r>
          </w:p>
        </w:tc>
        <w:tc>
          <w:tcPr>
            <w:tcW w:w="705" w:type="dxa"/>
            <w:shd w:val="clear" w:color="auto" w:fill="auto"/>
            <w:vAlign w:val="center"/>
          </w:tcPr>
          <w:p w14:paraId="70EA263E">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r>
      <w:tr w14:paraId="1338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668" w:type="dxa"/>
            <w:vMerge w:val="continue"/>
            <w:shd w:val="clear" w:color="auto" w:fill="auto"/>
            <w:vAlign w:val="center"/>
          </w:tcPr>
          <w:p w14:paraId="01EECF27">
            <w:pPr>
              <w:spacing w:line="440" w:lineRule="exact"/>
              <w:jc w:val="center"/>
              <w:rPr>
                <w:rFonts w:hint="eastAsia" w:asciiTheme="minorEastAsia" w:hAnsiTheme="minorEastAsia" w:eastAsiaTheme="minorEastAsia" w:cstheme="minorEastAsia"/>
                <w:color w:val="auto"/>
                <w:szCs w:val="21"/>
                <w:highlight w:val="none"/>
              </w:rPr>
            </w:pPr>
          </w:p>
        </w:tc>
        <w:tc>
          <w:tcPr>
            <w:tcW w:w="1785" w:type="dxa"/>
            <w:vMerge w:val="continue"/>
            <w:shd w:val="clear" w:color="auto" w:fill="auto"/>
            <w:vAlign w:val="center"/>
          </w:tcPr>
          <w:p w14:paraId="1ECBF79A">
            <w:pPr>
              <w:spacing w:line="440" w:lineRule="exact"/>
              <w:jc w:val="center"/>
              <w:rPr>
                <w:rFonts w:hint="eastAsia" w:asciiTheme="minorEastAsia" w:hAnsiTheme="minorEastAsia" w:eastAsiaTheme="minorEastAsia" w:cstheme="minorEastAsia"/>
                <w:color w:val="auto"/>
                <w:szCs w:val="21"/>
                <w:highlight w:val="none"/>
              </w:rPr>
            </w:pPr>
          </w:p>
        </w:tc>
        <w:tc>
          <w:tcPr>
            <w:tcW w:w="5977" w:type="dxa"/>
            <w:shd w:val="clear" w:color="auto" w:fill="auto"/>
          </w:tcPr>
          <w:p w14:paraId="6E729CB7">
            <w:pPr>
              <w:spacing w:line="440" w:lineRule="exact"/>
              <w:jc w:val="left"/>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rPr>
              <w:t>（2）成果的具体措施是否有针对性、是否科学合理、是否全面等，0-3分</w:t>
            </w:r>
          </w:p>
        </w:tc>
        <w:tc>
          <w:tcPr>
            <w:tcW w:w="705" w:type="dxa"/>
            <w:shd w:val="clear" w:color="auto" w:fill="auto"/>
            <w:vAlign w:val="center"/>
          </w:tcPr>
          <w:p w14:paraId="0F796D4F">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r>
      <w:tr w14:paraId="5D4C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68" w:type="dxa"/>
            <w:vMerge w:val="continue"/>
            <w:shd w:val="clear" w:color="auto" w:fill="auto"/>
            <w:vAlign w:val="center"/>
          </w:tcPr>
          <w:p w14:paraId="22F362FA">
            <w:pPr>
              <w:spacing w:line="440" w:lineRule="exact"/>
              <w:jc w:val="center"/>
              <w:rPr>
                <w:rFonts w:hint="eastAsia" w:asciiTheme="minorEastAsia" w:hAnsiTheme="minorEastAsia" w:eastAsiaTheme="minorEastAsia" w:cstheme="minorEastAsia"/>
                <w:color w:val="auto"/>
                <w:szCs w:val="21"/>
                <w:highlight w:val="none"/>
              </w:rPr>
            </w:pPr>
          </w:p>
        </w:tc>
        <w:tc>
          <w:tcPr>
            <w:tcW w:w="1785" w:type="dxa"/>
            <w:vMerge w:val="continue"/>
            <w:shd w:val="clear" w:color="auto" w:fill="auto"/>
            <w:vAlign w:val="center"/>
          </w:tcPr>
          <w:p w14:paraId="6FB8FB1C">
            <w:pPr>
              <w:spacing w:line="440" w:lineRule="exact"/>
              <w:jc w:val="center"/>
              <w:rPr>
                <w:rFonts w:hint="eastAsia" w:asciiTheme="minorEastAsia" w:hAnsiTheme="minorEastAsia" w:eastAsiaTheme="minorEastAsia" w:cstheme="minorEastAsia"/>
                <w:color w:val="auto"/>
                <w:szCs w:val="21"/>
                <w:highlight w:val="none"/>
              </w:rPr>
            </w:pPr>
          </w:p>
        </w:tc>
        <w:tc>
          <w:tcPr>
            <w:tcW w:w="5977" w:type="dxa"/>
            <w:shd w:val="clear" w:color="auto" w:fill="auto"/>
          </w:tcPr>
          <w:p w14:paraId="1AC23A9D">
            <w:pPr>
              <w:spacing w:line="440" w:lineRule="exact"/>
              <w:jc w:val="left"/>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rPr>
              <w:t>（3）执业廉洁的具体措施是否有针对性、是否科学合理、是否全面等，0-3分</w:t>
            </w:r>
          </w:p>
        </w:tc>
        <w:tc>
          <w:tcPr>
            <w:tcW w:w="705" w:type="dxa"/>
            <w:shd w:val="clear" w:color="auto" w:fill="auto"/>
            <w:vAlign w:val="center"/>
          </w:tcPr>
          <w:p w14:paraId="4B40FC7D">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r>
      <w:tr w14:paraId="2923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shd w:val="clear" w:color="auto" w:fill="auto"/>
            <w:vAlign w:val="center"/>
          </w:tcPr>
          <w:p w14:paraId="27C3DA28">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785" w:type="dxa"/>
            <w:shd w:val="clear" w:color="auto" w:fill="auto"/>
            <w:vAlign w:val="center"/>
          </w:tcPr>
          <w:p w14:paraId="2EFCC506">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服务的便捷性（6分）</w:t>
            </w:r>
          </w:p>
        </w:tc>
        <w:tc>
          <w:tcPr>
            <w:tcW w:w="5977" w:type="dxa"/>
            <w:shd w:val="clear" w:color="auto" w:fill="auto"/>
          </w:tcPr>
          <w:p w14:paraId="0EC059B8">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根据投标人提供服务的便捷性进行评议，项目所在地服务机构设置情况、服务响应时间、所在地服务人员到场时间等，进行综合评价，0-6分。</w:t>
            </w:r>
          </w:p>
        </w:tc>
        <w:tc>
          <w:tcPr>
            <w:tcW w:w="705" w:type="dxa"/>
            <w:shd w:val="clear" w:color="auto" w:fill="auto"/>
            <w:vAlign w:val="center"/>
          </w:tcPr>
          <w:p w14:paraId="57F478F1">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p>
        </w:tc>
      </w:tr>
      <w:tr w14:paraId="169D5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668" w:type="dxa"/>
            <w:shd w:val="clear" w:color="auto" w:fill="auto"/>
            <w:vAlign w:val="center"/>
          </w:tcPr>
          <w:p w14:paraId="5203BD8F">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1785" w:type="dxa"/>
            <w:shd w:val="clear" w:color="auto" w:fill="auto"/>
            <w:vAlign w:val="center"/>
          </w:tcPr>
          <w:p w14:paraId="2DCD79A1">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合理化建议</w:t>
            </w:r>
          </w:p>
          <w:p w14:paraId="13420F5D">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（5分）</w:t>
            </w:r>
          </w:p>
        </w:tc>
        <w:tc>
          <w:tcPr>
            <w:tcW w:w="5977" w:type="dxa"/>
            <w:shd w:val="clear" w:color="auto" w:fill="auto"/>
          </w:tcPr>
          <w:p w14:paraId="471290B5">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根据投标人提出的合理化建议，是否体现出对本项目各方面有充分了解和具备潜在的对招标人有利的实施措施内容进行综合评议，0-5分。</w:t>
            </w:r>
          </w:p>
        </w:tc>
        <w:tc>
          <w:tcPr>
            <w:tcW w:w="705" w:type="dxa"/>
            <w:shd w:val="clear" w:color="auto" w:fill="auto"/>
            <w:vAlign w:val="center"/>
          </w:tcPr>
          <w:p w14:paraId="146B1E6C">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r>
      <w:tr w14:paraId="3A26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restart"/>
            <w:shd w:val="clear" w:color="auto" w:fill="auto"/>
            <w:vAlign w:val="center"/>
          </w:tcPr>
          <w:p w14:paraId="319AD225">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1785" w:type="dxa"/>
            <w:vMerge w:val="restart"/>
            <w:shd w:val="clear" w:color="auto" w:fill="auto"/>
            <w:vAlign w:val="center"/>
          </w:tcPr>
          <w:p w14:paraId="6D68335A">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业绩（4分）</w:t>
            </w:r>
          </w:p>
        </w:tc>
        <w:tc>
          <w:tcPr>
            <w:tcW w:w="5977" w:type="dxa"/>
            <w:shd w:val="clear" w:color="auto" w:fill="auto"/>
          </w:tcPr>
          <w:p w14:paraId="4EC7B601">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（1）招标代理业绩：202</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年1月1日以来（以合同签订时间为准）投标人承接过</w:t>
            </w:r>
            <w:r>
              <w:rPr>
                <w:rFonts w:hint="eastAsia" w:asciiTheme="minorEastAsia" w:hAnsiTheme="minorEastAsia" w:eastAsiaTheme="minorEastAsia" w:cstheme="minorEastAsia"/>
                <w:color w:val="auto"/>
                <w:szCs w:val="21"/>
                <w:highlight w:val="none"/>
                <w:lang w:eastAsia="zh-CN"/>
              </w:rPr>
              <w:t>土建</w:t>
            </w:r>
            <w:r>
              <w:rPr>
                <w:rFonts w:hint="eastAsia" w:asciiTheme="minorEastAsia" w:hAnsiTheme="minorEastAsia" w:eastAsiaTheme="minorEastAsia" w:cstheme="minorEastAsia"/>
                <w:color w:val="auto"/>
                <w:szCs w:val="21"/>
                <w:highlight w:val="none"/>
              </w:rPr>
              <w:t>工程项目（指政府或国有投资项目）的招标代理服务，且</w:t>
            </w:r>
            <w:r>
              <w:rPr>
                <w:rFonts w:hint="eastAsia" w:asciiTheme="minorEastAsia" w:hAnsiTheme="minorEastAsia" w:eastAsiaTheme="minorEastAsia" w:cstheme="minorEastAsia"/>
                <w:color w:val="auto"/>
                <w:szCs w:val="21"/>
                <w:highlight w:val="none"/>
                <w:lang w:eastAsia="zh-CN"/>
              </w:rPr>
              <w:t>土建单项合同建安工程造价</w:t>
            </w:r>
            <w:r>
              <w:rPr>
                <w:rFonts w:hint="eastAsia" w:asciiTheme="minorEastAsia" w:hAnsiTheme="minorEastAsia" w:eastAsiaTheme="minorEastAsia" w:cstheme="minorEastAsia"/>
                <w:color w:val="auto"/>
                <w:szCs w:val="21"/>
                <w:highlight w:val="none"/>
              </w:rPr>
              <w:t>为20000万元及以上的得2分。</w:t>
            </w:r>
          </w:p>
          <w:p w14:paraId="7A86C5E1">
            <w:pPr>
              <w:spacing w:line="440" w:lineRule="exact"/>
              <w:jc w:val="left"/>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rPr>
              <w:t>提供招标代理合同复印件和发改立项批复（或备案表）复印件证明，证明资料内无法体现</w:t>
            </w:r>
            <w:r>
              <w:rPr>
                <w:rFonts w:hint="eastAsia" w:asciiTheme="minorEastAsia" w:hAnsiTheme="minorEastAsia" w:eastAsiaTheme="minorEastAsia" w:cstheme="minorEastAsia"/>
                <w:color w:val="auto"/>
                <w:szCs w:val="21"/>
                <w:highlight w:val="none"/>
                <w:lang w:eastAsia="zh-CN"/>
              </w:rPr>
              <w:t>单项合同建安工程造价</w:t>
            </w:r>
            <w:r>
              <w:rPr>
                <w:rFonts w:hint="eastAsia" w:asciiTheme="minorEastAsia" w:hAnsiTheme="minorEastAsia" w:eastAsiaTheme="minorEastAsia" w:cstheme="minorEastAsia"/>
                <w:color w:val="auto"/>
                <w:szCs w:val="21"/>
                <w:highlight w:val="none"/>
              </w:rPr>
              <w:t>金额的或无法体现招标代理服务内容等上述评审要素的，需提供建设单位出具的证明。</w:t>
            </w:r>
          </w:p>
        </w:tc>
        <w:tc>
          <w:tcPr>
            <w:tcW w:w="705" w:type="dxa"/>
            <w:shd w:val="clear" w:color="auto" w:fill="auto"/>
            <w:vAlign w:val="center"/>
          </w:tcPr>
          <w:p w14:paraId="31429E10">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r>
      <w:tr w14:paraId="1C35C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shd w:val="clear" w:color="auto" w:fill="auto"/>
            <w:vAlign w:val="center"/>
          </w:tcPr>
          <w:p w14:paraId="64C31825">
            <w:pPr>
              <w:spacing w:line="440" w:lineRule="exact"/>
              <w:jc w:val="center"/>
              <w:rPr>
                <w:rFonts w:hint="eastAsia" w:asciiTheme="minorEastAsia" w:hAnsiTheme="minorEastAsia" w:eastAsiaTheme="minorEastAsia" w:cstheme="minorEastAsia"/>
                <w:color w:val="auto"/>
                <w:szCs w:val="21"/>
                <w:highlight w:val="none"/>
              </w:rPr>
            </w:pPr>
          </w:p>
        </w:tc>
        <w:tc>
          <w:tcPr>
            <w:tcW w:w="1785" w:type="dxa"/>
            <w:vMerge w:val="continue"/>
            <w:shd w:val="clear" w:color="auto" w:fill="auto"/>
            <w:vAlign w:val="center"/>
          </w:tcPr>
          <w:p w14:paraId="237E3F82">
            <w:pPr>
              <w:spacing w:line="440" w:lineRule="exact"/>
              <w:jc w:val="center"/>
              <w:rPr>
                <w:rFonts w:hint="eastAsia" w:asciiTheme="minorEastAsia" w:hAnsiTheme="minorEastAsia" w:eastAsiaTheme="minorEastAsia" w:cstheme="minorEastAsia"/>
                <w:color w:val="auto"/>
                <w:szCs w:val="21"/>
                <w:highlight w:val="none"/>
              </w:rPr>
            </w:pPr>
          </w:p>
        </w:tc>
        <w:tc>
          <w:tcPr>
            <w:tcW w:w="5977" w:type="dxa"/>
            <w:shd w:val="clear" w:color="auto" w:fill="auto"/>
          </w:tcPr>
          <w:p w14:paraId="5631BED8">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（2）造价咨询业绩：202</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年1月1日以来（以合同签订时间为准）投标人承接过</w:t>
            </w:r>
            <w:r>
              <w:rPr>
                <w:rFonts w:hint="eastAsia" w:asciiTheme="minorEastAsia" w:hAnsiTheme="minorEastAsia" w:eastAsiaTheme="minorEastAsia" w:cstheme="minorEastAsia"/>
                <w:color w:val="auto"/>
                <w:szCs w:val="21"/>
                <w:highlight w:val="none"/>
                <w:lang w:eastAsia="zh-CN"/>
              </w:rPr>
              <w:t>土建</w:t>
            </w:r>
            <w:r>
              <w:rPr>
                <w:rFonts w:hint="eastAsia" w:asciiTheme="minorEastAsia" w:hAnsiTheme="minorEastAsia" w:eastAsiaTheme="minorEastAsia" w:cstheme="minorEastAsia"/>
                <w:color w:val="auto"/>
                <w:szCs w:val="21"/>
                <w:highlight w:val="none"/>
              </w:rPr>
              <w:t>工程项目（指政府或国有投资项目）的工程量清单及招标控制价编制服务，且</w:t>
            </w:r>
            <w:r>
              <w:rPr>
                <w:rFonts w:hint="eastAsia" w:asciiTheme="minorEastAsia" w:hAnsiTheme="minorEastAsia" w:eastAsiaTheme="minorEastAsia" w:cstheme="minorEastAsia"/>
                <w:color w:val="auto"/>
                <w:szCs w:val="21"/>
                <w:highlight w:val="none"/>
                <w:lang w:eastAsia="zh-CN"/>
              </w:rPr>
              <w:t>土建单项合同建安工程造价</w:t>
            </w:r>
            <w:r>
              <w:rPr>
                <w:rFonts w:hint="eastAsia" w:asciiTheme="minorEastAsia" w:hAnsiTheme="minorEastAsia" w:eastAsiaTheme="minorEastAsia" w:cstheme="minorEastAsia"/>
                <w:color w:val="auto"/>
                <w:szCs w:val="21"/>
                <w:highlight w:val="none"/>
              </w:rPr>
              <w:t>为20000万元及以上的得2分。</w:t>
            </w:r>
          </w:p>
          <w:p w14:paraId="3C633AFA">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提供造价咨询合同复印件及发改立项批复（或备案表），合同内无法体现咨询额等上述评审要素的，需提供建设单位出具的证明。</w:t>
            </w:r>
          </w:p>
        </w:tc>
        <w:tc>
          <w:tcPr>
            <w:tcW w:w="705" w:type="dxa"/>
            <w:shd w:val="clear" w:color="auto" w:fill="auto"/>
            <w:vAlign w:val="center"/>
          </w:tcPr>
          <w:p w14:paraId="0CF2991F">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r>
      <w:tr w14:paraId="330C9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shd w:val="clear" w:color="auto" w:fill="auto"/>
            <w:vAlign w:val="center"/>
          </w:tcPr>
          <w:p w14:paraId="77F46235">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p>
        </w:tc>
        <w:tc>
          <w:tcPr>
            <w:tcW w:w="1785" w:type="dxa"/>
            <w:shd w:val="clear" w:color="auto" w:fill="auto"/>
            <w:vAlign w:val="center"/>
          </w:tcPr>
          <w:p w14:paraId="63C392A6">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工程量清单及招标控制价编制负责人能力（2分）</w:t>
            </w:r>
          </w:p>
        </w:tc>
        <w:tc>
          <w:tcPr>
            <w:tcW w:w="5977" w:type="dxa"/>
            <w:shd w:val="clear" w:color="auto" w:fill="auto"/>
            <w:vAlign w:val="center"/>
          </w:tcPr>
          <w:p w14:paraId="0D30D8BB">
            <w:pPr>
              <w:spacing w:line="440" w:lineRule="exact"/>
              <w:rPr>
                <w:rFonts w:hint="eastAsia" w:asciiTheme="minorEastAsia" w:hAnsiTheme="minorEastAsia" w:eastAsiaTheme="minorEastAsia" w:cstheme="minorEastAsia"/>
                <w:color w:val="auto"/>
                <w:szCs w:val="21"/>
                <w:highlight w:val="none"/>
                <w:lang w:val="en-US" w:eastAsia="zh-CN" w:bidi="ar"/>
              </w:rPr>
            </w:pPr>
            <w:r>
              <w:rPr>
                <w:rFonts w:hint="eastAsia" w:asciiTheme="minorEastAsia" w:hAnsiTheme="minorEastAsia" w:eastAsiaTheme="minorEastAsia" w:cstheme="minorEastAsia"/>
                <w:color w:val="auto"/>
                <w:szCs w:val="21"/>
                <w:highlight w:val="none"/>
                <w:lang w:val="en-US" w:eastAsia="zh-CN" w:bidi="ar"/>
              </w:rPr>
              <w:t>项目负责人具备人社部门颁发的高级工程师或以上职称的，得2分。需提供投标单位为其缴纳的开标前近三个月中任意一个月的社保证明及职称证书加盖公章。未提供或提供不全的不得分。若投入人员已退休，无需提供社保证明材料，但需提供退休证明及返聘证明。</w:t>
            </w:r>
          </w:p>
        </w:tc>
        <w:tc>
          <w:tcPr>
            <w:tcW w:w="705" w:type="dxa"/>
            <w:shd w:val="clear" w:color="auto" w:fill="auto"/>
            <w:vAlign w:val="center"/>
          </w:tcPr>
          <w:p w14:paraId="53886F19">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r>
      <w:tr w14:paraId="66F40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shd w:val="clear" w:color="auto" w:fill="auto"/>
            <w:vAlign w:val="center"/>
          </w:tcPr>
          <w:p w14:paraId="30241C64">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w:t>
            </w:r>
          </w:p>
        </w:tc>
        <w:tc>
          <w:tcPr>
            <w:tcW w:w="1785" w:type="dxa"/>
            <w:shd w:val="clear" w:color="auto" w:fill="auto"/>
            <w:vAlign w:val="center"/>
          </w:tcPr>
          <w:p w14:paraId="3B942A1C">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招标代理负责人能力（2分）</w:t>
            </w:r>
          </w:p>
        </w:tc>
        <w:tc>
          <w:tcPr>
            <w:tcW w:w="5977" w:type="dxa"/>
            <w:shd w:val="clear" w:color="auto" w:fill="auto"/>
            <w:vAlign w:val="center"/>
          </w:tcPr>
          <w:p w14:paraId="0C43CA10">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具有高级工程师及以上技术职称的得2分。</w:t>
            </w:r>
          </w:p>
          <w:p w14:paraId="33BFE65D">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工程量清单及招标控制价编制负责人与招标代理负责人不可以互相兼任。</w:t>
            </w:r>
          </w:p>
          <w:p w14:paraId="7FB1B73D">
            <w:pPr>
              <w:spacing w:line="440" w:lineRule="exact"/>
              <w:jc w:val="both"/>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rPr>
              <w:t>开标时提供职称证书和开标前近三个月任意一个月社保证明复印件加盖公章（其中社保证明若是通过浙江政务网下载，可提供打印件）。若</w:t>
            </w:r>
            <w:r>
              <w:rPr>
                <w:rFonts w:hint="eastAsia" w:asciiTheme="minorEastAsia" w:hAnsiTheme="minorEastAsia" w:eastAsiaTheme="minorEastAsia" w:cstheme="minorEastAsia"/>
                <w:color w:val="auto"/>
                <w:szCs w:val="21"/>
                <w:highlight w:val="none"/>
                <w:lang w:eastAsia="zh-CN"/>
              </w:rPr>
              <w:t>投入</w:t>
            </w:r>
            <w:r>
              <w:rPr>
                <w:rFonts w:hint="eastAsia" w:asciiTheme="minorEastAsia" w:hAnsiTheme="minorEastAsia" w:eastAsiaTheme="minorEastAsia" w:cstheme="minorEastAsia"/>
                <w:color w:val="auto"/>
                <w:szCs w:val="21"/>
                <w:highlight w:val="none"/>
              </w:rPr>
              <w:t>人员已退休，无需提供社保证明材料，但需提供退休证明及返聘证明。</w:t>
            </w:r>
          </w:p>
        </w:tc>
        <w:tc>
          <w:tcPr>
            <w:tcW w:w="705" w:type="dxa"/>
            <w:shd w:val="clear" w:color="auto" w:fill="auto"/>
            <w:vAlign w:val="center"/>
          </w:tcPr>
          <w:p w14:paraId="585791C2">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r>
      <w:tr w14:paraId="0150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2" w:hRule="atLeast"/>
        </w:trPr>
        <w:tc>
          <w:tcPr>
            <w:tcW w:w="668" w:type="dxa"/>
            <w:shd w:val="clear" w:color="auto" w:fill="auto"/>
            <w:vAlign w:val="center"/>
          </w:tcPr>
          <w:p w14:paraId="46B2D5EB">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w:t>
            </w:r>
          </w:p>
        </w:tc>
        <w:tc>
          <w:tcPr>
            <w:tcW w:w="1785" w:type="dxa"/>
            <w:shd w:val="clear" w:color="auto" w:fill="auto"/>
            <w:vAlign w:val="center"/>
          </w:tcPr>
          <w:p w14:paraId="2F3AC144">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其他拟投入人员（4分）</w:t>
            </w:r>
          </w:p>
        </w:tc>
        <w:tc>
          <w:tcPr>
            <w:tcW w:w="5977" w:type="dxa"/>
            <w:shd w:val="clear" w:color="auto" w:fill="auto"/>
          </w:tcPr>
          <w:p w14:paraId="6B466D40">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满足本项目招标需求的基础上，拟配置的其他项目组成员具备注册造价工程师或一级注册造价工程师执业资格的，每另行增加1人得1分，最高得2分；配置的项目组成员具有高级及以上技术职称的，每人得1分，最高得2分。本项最高得 4 分，1 人多证的允许累计计分。</w:t>
            </w:r>
          </w:p>
          <w:p w14:paraId="1B464665">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开标时提供相关人员证书和开标前近三个月任意一个月复印件加盖公章（其中社保证明若是通过浙江政务网下载，可提供打印件）。若</w:t>
            </w:r>
            <w:r>
              <w:rPr>
                <w:rFonts w:hint="eastAsia" w:asciiTheme="minorEastAsia" w:hAnsiTheme="minorEastAsia" w:eastAsiaTheme="minorEastAsia" w:cstheme="minorEastAsia"/>
                <w:color w:val="auto"/>
                <w:szCs w:val="21"/>
                <w:highlight w:val="none"/>
                <w:lang w:eastAsia="zh-CN"/>
              </w:rPr>
              <w:t>投入</w:t>
            </w:r>
            <w:r>
              <w:rPr>
                <w:rFonts w:hint="eastAsia" w:asciiTheme="minorEastAsia" w:hAnsiTheme="minorEastAsia" w:eastAsiaTheme="minorEastAsia" w:cstheme="minorEastAsia"/>
                <w:color w:val="auto"/>
                <w:szCs w:val="21"/>
                <w:highlight w:val="none"/>
              </w:rPr>
              <w:t>人员已退休，无需提供社保证明材料，但需提供退休证明及返聘证明。</w:t>
            </w:r>
          </w:p>
        </w:tc>
        <w:tc>
          <w:tcPr>
            <w:tcW w:w="705" w:type="dxa"/>
            <w:shd w:val="clear" w:color="auto" w:fill="auto"/>
            <w:vAlign w:val="center"/>
          </w:tcPr>
          <w:p w14:paraId="67FCD5D2">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r>
      <w:tr w14:paraId="2DE9F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shd w:val="clear" w:color="auto" w:fill="auto"/>
            <w:vAlign w:val="center"/>
          </w:tcPr>
          <w:p w14:paraId="10CBC821">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w:t>
            </w:r>
          </w:p>
        </w:tc>
        <w:tc>
          <w:tcPr>
            <w:tcW w:w="1785" w:type="dxa"/>
            <w:shd w:val="clear" w:color="auto" w:fill="auto"/>
            <w:vAlign w:val="center"/>
          </w:tcPr>
          <w:p w14:paraId="0A13DD6B">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投标人的信用能力等级（5分）</w:t>
            </w:r>
          </w:p>
        </w:tc>
        <w:tc>
          <w:tcPr>
            <w:tcW w:w="5977" w:type="dxa"/>
            <w:shd w:val="clear" w:color="auto" w:fill="auto"/>
          </w:tcPr>
          <w:p w14:paraId="74F38F3B">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在开标当月荣获省级及以上造价管理部门工程造价咨询企业信用能力动态评价AAA级及以上的得5分，AA级的得3分，A级的得1分。投标文件中须提供省级及以上造价信息网中网址查询截图，具体信用能力动态评价等级以开标后招标代理现场查询结果为准。</w:t>
            </w:r>
          </w:p>
        </w:tc>
        <w:tc>
          <w:tcPr>
            <w:tcW w:w="705" w:type="dxa"/>
            <w:shd w:val="clear" w:color="auto" w:fill="auto"/>
            <w:vAlign w:val="center"/>
          </w:tcPr>
          <w:p w14:paraId="18816907">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r>
      <w:tr w14:paraId="21BD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shd w:val="clear" w:color="auto" w:fill="auto"/>
            <w:vAlign w:val="center"/>
          </w:tcPr>
          <w:p w14:paraId="39B98355">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c>
          <w:tcPr>
            <w:tcW w:w="1785" w:type="dxa"/>
            <w:shd w:val="clear" w:color="auto" w:fill="auto"/>
            <w:vAlign w:val="center"/>
          </w:tcPr>
          <w:p w14:paraId="579E6D1D">
            <w:pPr>
              <w:spacing w:line="44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专业评价</w:t>
            </w:r>
          </w:p>
          <w:p w14:paraId="5229F8CD">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（5分）</w:t>
            </w:r>
          </w:p>
        </w:tc>
        <w:tc>
          <w:tcPr>
            <w:tcW w:w="5977" w:type="dxa"/>
            <w:shd w:val="clear" w:color="auto" w:fill="auto"/>
            <w:vAlign w:val="center"/>
          </w:tcPr>
          <w:p w14:paraId="67F26A07">
            <w:pPr>
              <w:spacing w:line="440" w:lineRule="exact"/>
              <w:jc w:val="left"/>
              <w:rPr>
                <w:szCs w:val="21"/>
                <w:highlight w:val="none"/>
              </w:rPr>
            </w:pPr>
            <w:r>
              <w:rPr>
                <w:rFonts w:hint="eastAsia"/>
                <w:szCs w:val="21"/>
                <w:highlight w:val="none"/>
              </w:rPr>
              <w:t>202</w:t>
            </w:r>
            <w:r>
              <w:rPr>
                <w:rFonts w:hint="eastAsia"/>
                <w:szCs w:val="21"/>
                <w:highlight w:val="none"/>
                <w:lang w:val="en-US" w:eastAsia="zh-CN"/>
              </w:rPr>
              <w:t>2</w:t>
            </w:r>
            <w:r>
              <w:rPr>
                <w:rFonts w:hint="eastAsia"/>
                <w:szCs w:val="21"/>
                <w:highlight w:val="none"/>
              </w:rPr>
              <w:t>年1月1日以来（以证书的日期为准），投标人获得“省级及以上先进、优秀造价咨询企业”称号的得5分，获得“地市级先进、优秀造价咨询企业”称号的得3分，获得“区（县）级先进、优秀造价咨询企业”称号的得1分，其余不得分。投标人获得多个荣誉的，就高计取，不累加。</w:t>
            </w:r>
          </w:p>
          <w:p w14:paraId="5AB1120C">
            <w:pPr>
              <w:spacing w:line="440" w:lineRule="exact"/>
              <w:jc w:val="left"/>
              <w:rPr>
                <w:rFonts w:hint="eastAsia" w:asciiTheme="minorEastAsia" w:hAnsiTheme="minorEastAsia" w:eastAsiaTheme="minorEastAsia" w:cstheme="minorEastAsia"/>
                <w:color w:val="auto"/>
                <w:szCs w:val="21"/>
                <w:highlight w:val="none"/>
              </w:rPr>
            </w:pPr>
            <w:r>
              <w:rPr>
                <w:rFonts w:hint="eastAsia"/>
                <w:szCs w:val="21"/>
                <w:highlight w:val="none"/>
              </w:rPr>
              <w:t>注：投标文件中须提供上述有效证书</w:t>
            </w:r>
            <w:r>
              <w:rPr>
                <w:rFonts w:hint="eastAsia"/>
                <w:szCs w:val="21"/>
                <w:highlight w:val="none"/>
                <w:lang w:val="en-US" w:eastAsia="zh-CN"/>
              </w:rPr>
              <w:t>或文件</w:t>
            </w:r>
            <w:r>
              <w:rPr>
                <w:rFonts w:hint="eastAsia"/>
                <w:szCs w:val="21"/>
                <w:highlight w:val="none"/>
              </w:rPr>
              <w:t>的扫描件。</w:t>
            </w:r>
          </w:p>
        </w:tc>
        <w:tc>
          <w:tcPr>
            <w:tcW w:w="705" w:type="dxa"/>
            <w:shd w:val="clear" w:color="auto" w:fill="auto"/>
            <w:vAlign w:val="center"/>
          </w:tcPr>
          <w:p w14:paraId="286624BB">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r>
      <w:tr w14:paraId="74FB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Borders>
              <w:bottom w:val="single" w:color="auto" w:sz="4" w:space="0"/>
            </w:tcBorders>
            <w:shd w:val="clear" w:color="auto" w:fill="auto"/>
            <w:vAlign w:val="center"/>
          </w:tcPr>
          <w:p w14:paraId="5ADB0ECC">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w:t>
            </w:r>
          </w:p>
        </w:tc>
        <w:tc>
          <w:tcPr>
            <w:tcW w:w="1785" w:type="dxa"/>
            <w:tcBorders>
              <w:bottom w:val="single" w:color="auto" w:sz="4" w:space="0"/>
            </w:tcBorders>
            <w:shd w:val="clear" w:color="auto" w:fill="auto"/>
            <w:vAlign w:val="center"/>
          </w:tcPr>
          <w:p w14:paraId="262DC996">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体系证书</w:t>
            </w:r>
          </w:p>
          <w:p w14:paraId="615DD171">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（3分）</w:t>
            </w:r>
          </w:p>
        </w:tc>
        <w:tc>
          <w:tcPr>
            <w:tcW w:w="5977" w:type="dxa"/>
            <w:tcBorders>
              <w:bottom w:val="single" w:color="auto" w:sz="4" w:space="0"/>
            </w:tcBorders>
            <w:shd w:val="clear" w:color="auto" w:fill="auto"/>
          </w:tcPr>
          <w:p w14:paraId="5198BD62">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具有质量管理体系认证证书、环境管理体系认证证书和职业健康安全管理体系认证证书的每个得1分，最高得3分。以上认证证书覆盖范围必须包括招标代理、工程造价咨询服务，否则不予认可。</w:t>
            </w:r>
          </w:p>
        </w:tc>
        <w:tc>
          <w:tcPr>
            <w:tcW w:w="705" w:type="dxa"/>
            <w:shd w:val="clear" w:color="auto" w:fill="auto"/>
            <w:vAlign w:val="center"/>
          </w:tcPr>
          <w:p w14:paraId="657E7BCB">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r>
      <w:tr w14:paraId="7190F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7ABEF96E">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0ACEC561">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价格分（40分）</w:t>
            </w:r>
          </w:p>
        </w:tc>
        <w:tc>
          <w:tcPr>
            <w:tcW w:w="5977" w:type="dxa"/>
            <w:tcBorders>
              <w:top w:val="single" w:color="auto" w:sz="4" w:space="0"/>
              <w:left w:val="single" w:color="auto" w:sz="4" w:space="0"/>
              <w:bottom w:val="single" w:color="auto" w:sz="4" w:space="0"/>
              <w:right w:val="single" w:color="auto" w:sz="4" w:space="0"/>
            </w:tcBorders>
            <w:shd w:val="clear" w:color="auto" w:fill="auto"/>
          </w:tcPr>
          <w:p w14:paraId="1D808733">
            <w:pPr>
              <w:spacing w:line="40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w:t>
            </w:r>
            <w:r>
              <w:rPr>
                <w:rFonts w:hint="eastAsia" w:ascii="宋体" w:hAnsi="宋体" w:eastAsia="宋体" w:cs="宋体"/>
                <w:color w:val="auto"/>
                <w:highlight w:val="none"/>
              </w:rPr>
              <w:t>招标代理费费率：</w:t>
            </w:r>
            <w:r>
              <w:rPr>
                <w:rFonts w:hint="eastAsia" w:ascii="宋体" w:hAnsi="宋体" w:cs="宋体"/>
                <w:color w:val="auto"/>
                <w:highlight w:val="none"/>
                <w:lang w:val="en-US" w:eastAsia="zh-CN"/>
              </w:rPr>
              <w:t>按</w:t>
            </w:r>
            <w:r>
              <w:rPr>
                <w:rFonts w:hint="eastAsia" w:ascii="宋体" w:hAnsi="宋体" w:eastAsia="宋体" w:cs="宋体"/>
                <w:color w:val="auto"/>
                <w:highlight w:val="none"/>
                <w:lang w:val="en-US" w:eastAsia="zh-CN"/>
              </w:rPr>
              <w:t>照</w:t>
            </w:r>
            <w:r>
              <w:rPr>
                <w:rFonts w:hint="eastAsia" w:ascii="宋体" w:hAnsi="宋体" w:cs="宋体"/>
                <w:color w:val="auto"/>
                <w:highlight w:val="none"/>
                <w:lang w:val="en-US" w:eastAsia="zh-CN"/>
              </w:rPr>
              <w:t>“</w:t>
            </w:r>
            <w:r>
              <w:rPr>
                <w:rFonts w:hint="eastAsia" w:asciiTheme="minorEastAsia" w:hAnsiTheme="minorEastAsia" w:eastAsiaTheme="minorEastAsia" w:cstheme="minorEastAsia"/>
                <w:color w:val="auto"/>
                <w:szCs w:val="21"/>
                <w:highlight w:val="none"/>
                <w:lang w:val="en-US" w:eastAsia="zh-CN"/>
              </w:rPr>
              <w:t>关于印发《宁波市招标(采购)代理服务收费指导意见》的通知</w:t>
            </w:r>
            <w:r>
              <w:rPr>
                <w:rFonts w:hint="eastAsia" w:ascii="宋体" w:hAnsi="宋体" w:cs="宋体"/>
                <w:color w:val="auto"/>
                <w:highlight w:val="none"/>
                <w:lang w:val="en-US" w:eastAsia="zh-CN"/>
              </w:rPr>
              <w:t>”</w:t>
            </w:r>
            <w:r>
              <w:rPr>
                <w:rFonts w:hint="eastAsia" w:ascii="宋体" w:hAnsi="宋体" w:eastAsia="宋体" w:cs="宋体"/>
                <w:color w:val="auto"/>
                <w:highlight w:val="none"/>
              </w:rPr>
              <w:t>文件</w:t>
            </w:r>
            <w:r>
              <w:rPr>
                <w:rFonts w:hint="eastAsia" w:ascii="宋体" w:hAnsi="宋体" w:cs="宋体"/>
                <w:color w:val="auto"/>
                <w:highlight w:val="none"/>
                <w:lang w:val="en-US" w:eastAsia="zh-CN"/>
              </w:rPr>
              <w:t>规定</w:t>
            </w:r>
            <w:r>
              <w:rPr>
                <w:rFonts w:hint="eastAsia" w:asciiTheme="minorEastAsia" w:hAnsiTheme="minorEastAsia" w:eastAsiaTheme="minorEastAsia" w:cstheme="minorEastAsia"/>
                <w:color w:val="auto"/>
                <w:szCs w:val="21"/>
                <w:highlight w:val="none"/>
                <w:lang w:val="en-US" w:eastAsia="zh-CN"/>
              </w:rPr>
              <w:t>的工程招标收费标准下浮50%</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且</w:t>
            </w:r>
            <w:r>
              <w:rPr>
                <w:rFonts w:hint="eastAsia" w:asciiTheme="minorEastAsia" w:hAnsiTheme="minorEastAsia" w:eastAsiaTheme="minorEastAsia" w:cstheme="minorEastAsia"/>
                <w:color w:val="auto"/>
                <w:szCs w:val="21"/>
                <w:highlight w:val="none"/>
                <w:lang w:val="en-US" w:eastAsia="zh-CN"/>
              </w:rPr>
              <w:t>工程量清单及招标控制价编制费费率：按照《浙江省物价局关于进一步完善工程造价咨询服务收费的通知》（浙价服〔2009〕84 号）</w:t>
            </w:r>
            <w:r>
              <w:rPr>
                <w:rFonts w:hint="eastAsia" w:ascii="宋体" w:hAnsi="宋体" w:eastAsia="宋体" w:cs="宋体"/>
                <w:color w:val="auto"/>
                <w:highlight w:val="none"/>
              </w:rPr>
              <w:t>文件</w:t>
            </w:r>
            <w:r>
              <w:rPr>
                <w:rFonts w:hint="eastAsia" w:asciiTheme="minorEastAsia" w:hAnsiTheme="minorEastAsia" w:eastAsiaTheme="minorEastAsia" w:cstheme="minorEastAsia"/>
                <w:color w:val="auto"/>
                <w:szCs w:val="21"/>
                <w:highlight w:val="none"/>
                <w:lang w:val="en-US" w:eastAsia="zh-CN"/>
              </w:rPr>
              <w:t>规定的收费标准下浮37%的得基本分</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分，</w:t>
            </w:r>
            <w:r>
              <w:rPr>
                <w:rFonts w:hint="eastAsia" w:asciiTheme="minorEastAsia" w:hAnsiTheme="minorEastAsia" w:eastAsiaTheme="minorEastAsia" w:cstheme="minorEastAsia"/>
                <w:color w:val="auto"/>
                <w:szCs w:val="21"/>
                <w:highlight w:val="none"/>
              </w:rPr>
              <w:t>在此基础上之后</w:t>
            </w:r>
            <w:r>
              <w:rPr>
                <w:rFonts w:hint="eastAsia" w:asciiTheme="minorEastAsia" w:hAnsiTheme="minorEastAsia" w:eastAsiaTheme="minorEastAsia" w:cstheme="minorEastAsia"/>
                <w:color w:val="auto"/>
                <w:szCs w:val="21"/>
                <w:highlight w:val="none"/>
                <w:lang w:val="en-US" w:eastAsia="zh-CN"/>
              </w:rPr>
              <w:t>统一投标下浮率</w:t>
            </w:r>
            <w:r>
              <w:rPr>
                <w:rFonts w:hint="eastAsia" w:asciiTheme="minorEastAsia" w:hAnsiTheme="minorEastAsia" w:eastAsiaTheme="minorEastAsia" w:cstheme="minorEastAsia"/>
                <w:color w:val="auto"/>
                <w:szCs w:val="21"/>
                <w:highlight w:val="none"/>
              </w:rPr>
              <w:t>每下浮（增加值）1个百分点，加1分，限加10分。中间值采用内插法计算。</w:t>
            </w:r>
          </w:p>
          <w:p w14:paraId="6D92F313">
            <w:pPr>
              <w:spacing w:line="40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价格分=基本分30+统一投标下浮率×100×1。</w:t>
            </w:r>
          </w:p>
          <w:p w14:paraId="4BDF4233">
            <w:pPr>
              <w:spacing w:line="440" w:lineRule="exact"/>
              <w:jc w:val="left"/>
              <w:rPr>
                <w:rFonts w:hint="default" w:asciiTheme="minorEastAsia" w:hAnsiTheme="minorEastAsia" w:eastAsiaTheme="minorEastAsia" w:cstheme="minorEastAsia"/>
                <w:highlight w:val="none"/>
                <w:lang w:val="en-US" w:eastAsia="zh-CN"/>
              </w:rPr>
            </w:pPr>
          </w:p>
        </w:tc>
        <w:tc>
          <w:tcPr>
            <w:tcW w:w="705" w:type="dxa"/>
            <w:tcBorders>
              <w:left w:val="single" w:color="auto" w:sz="4" w:space="0"/>
            </w:tcBorders>
            <w:shd w:val="clear" w:color="auto" w:fill="auto"/>
            <w:vAlign w:val="center"/>
          </w:tcPr>
          <w:p w14:paraId="0DF11747">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0</w:t>
            </w:r>
          </w:p>
        </w:tc>
      </w:tr>
    </w:tbl>
    <w:p w14:paraId="0EBD7359">
      <w:pPr>
        <w:pStyle w:val="5"/>
        <w:rPr>
          <w:rFonts w:hint="eastAsia" w:asciiTheme="minorEastAsia" w:hAnsiTheme="minorEastAsia" w:eastAsiaTheme="minorEastAsia" w:cstheme="minorEastAsia"/>
          <w:color w:val="auto"/>
          <w:highlight w:val="none"/>
        </w:rPr>
      </w:pPr>
    </w:p>
    <w:p w14:paraId="3057A720">
      <w:pPr>
        <w:pStyle w:val="89"/>
        <w:spacing w:line="440" w:lineRule="exact"/>
        <w:ind w:firstLine="0" w:firstLineChars="0"/>
        <w:jc w:val="left"/>
        <w:rPr>
          <w:rStyle w:val="106"/>
          <w:rFonts w:hint="eastAsia" w:asciiTheme="minorEastAsia" w:hAnsiTheme="minorEastAsia" w:eastAsiaTheme="minorEastAsia" w:cstheme="minorEastAsia"/>
          <w:bCs/>
          <w:color w:val="auto"/>
          <w:szCs w:val="21"/>
          <w:highlight w:val="none"/>
        </w:rPr>
      </w:pPr>
      <w:r>
        <w:rPr>
          <w:rStyle w:val="106"/>
          <w:rFonts w:hint="eastAsia" w:asciiTheme="minorEastAsia" w:hAnsiTheme="minorEastAsia" w:eastAsiaTheme="minorEastAsia" w:cstheme="minorEastAsia"/>
          <w:bCs/>
          <w:color w:val="auto"/>
          <w:szCs w:val="21"/>
          <w:highlight w:val="none"/>
        </w:rPr>
        <w:t>注：1.小数点后保留两位数。2.各评标委员会成员自行按以上参考分值评分。3.重大事件由评标委员会集体讨论，根据少数服从多数的原则作出决定。</w:t>
      </w:r>
    </w:p>
    <w:p w14:paraId="35639049">
      <w:pPr>
        <w:pStyle w:val="89"/>
        <w:spacing w:line="440" w:lineRule="exact"/>
        <w:ind w:firstLine="0" w:firstLineChars="0"/>
        <w:rPr>
          <w:rStyle w:val="106"/>
          <w:rFonts w:hint="eastAsia" w:asciiTheme="minorEastAsia" w:hAnsiTheme="minorEastAsia" w:eastAsiaTheme="minorEastAsia" w:cstheme="minorEastAsia"/>
          <w:bCs/>
          <w:color w:val="auto"/>
          <w:szCs w:val="21"/>
          <w:highlight w:val="none"/>
        </w:rPr>
      </w:pPr>
    </w:p>
    <w:p w14:paraId="3282E745">
      <w:pPr>
        <w:pStyle w:val="89"/>
        <w:spacing w:line="440" w:lineRule="exact"/>
        <w:ind w:firstLine="0" w:firstLineChars="0"/>
        <w:rPr>
          <w:rStyle w:val="106"/>
          <w:rFonts w:hint="eastAsia" w:asciiTheme="minorEastAsia" w:hAnsiTheme="minorEastAsia" w:eastAsiaTheme="minorEastAsia" w:cstheme="minorEastAsia"/>
          <w:bCs/>
          <w:color w:val="auto"/>
          <w:szCs w:val="21"/>
          <w:highlight w:val="none"/>
        </w:rPr>
        <w:sectPr>
          <w:pgSz w:w="11906" w:h="16838"/>
          <w:pgMar w:top="1440" w:right="1440" w:bottom="1440" w:left="1610" w:header="851" w:footer="992" w:gutter="0"/>
          <w:cols w:space="720" w:num="1"/>
          <w:titlePg/>
          <w:docGrid w:type="lines" w:linePitch="312" w:charSpace="0"/>
        </w:sectPr>
      </w:pPr>
    </w:p>
    <w:p w14:paraId="44F56174">
      <w:pPr>
        <w:pStyle w:val="89"/>
        <w:spacing w:line="440" w:lineRule="exact"/>
        <w:ind w:firstLine="0" w:firstLineChars="0"/>
        <w:rPr>
          <w:rStyle w:val="106"/>
          <w:rFonts w:hint="eastAsia" w:asciiTheme="minorEastAsia" w:hAnsiTheme="minorEastAsia" w:eastAsiaTheme="minorEastAsia" w:cstheme="minorEastAsia"/>
          <w:b/>
          <w:bCs w:val="0"/>
          <w:color w:val="auto"/>
          <w:szCs w:val="21"/>
          <w:highlight w:val="none"/>
          <w:lang w:eastAsia="zh-CN"/>
        </w:rPr>
      </w:pPr>
      <w:r>
        <w:rPr>
          <w:rStyle w:val="106"/>
          <w:rFonts w:hint="eastAsia" w:asciiTheme="minorEastAsia" w:hAnsiTheme="minorEastAsia" w:eastAsiaTheme="minorEastAsia" w:cstheme="minorEastAsia"/>
          <w:b/>
          <w:bCs w:val="0"/>
          <w:color w:val="auto"/>
          <w:szCs w:val="21"/>
          <w:highlight w:val="none"/>
        </w:rPr>
        <w:t>标项二：施工阶段全过程工程造价控制</w:t>
      </w:r>
      <w:r>
        <w:rPr>
          <w:rStyle w:val="106"/>
          <w:rFonts w:hint="eastAsia" w:asciiTheme="minorEastAsia" w:hAnsiTheme="minorEastAsia" w:eastAsiaTheme="minorEastAsia" w:cstheme="minorEastAsia"/>
          <w:b/>
          <w:bCs w:val="0"/>
          <w:color w:val="auto"/>
          <w:szCs w:val="21"/>
          <w:highlight w:val="none"/>
          <w:lang w:val="en-US" w:eastAsia="zh-CN"/>
        </w:rPr>
        <w:t>和</w:t>
      </w:r>
      <w:r>
        <w:rPr>
          <w:rStyle w:val="106"/>
          <w:rFonts w:hint="eastAsia" w:asciiTheme="minorEastAsia" w:hAnsiTheme="minorEastAsia" w:eastAsiaTheme="minorEastAsia" w:cstheme="minorEastAsia"/>
          <w:b/>
          <w:bCs w:val="0"/>
          <w:color w:val="auto"/>
          <w:szCs w:val="21"/>
          <w:highlight w:val="none"/>
        </w:rPr>
        <w:t>工程结算审核</w:t>
      </w:r>
    </w:p>
    <w:tbl>
      <w:tblPr>
        <w:tblStyle w:val="21"/>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785"/>
        <w:gridCol w:w="5977"/>
        <w:gridCol w:w="705"/>
      </w:tblGrid>
      <w:tr w14:paraId="5FDF5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68" w:type="dxa"/>
            <w:shd w:val="clear" w:color="auto" w:fill="auto"/>
          </w:tcPr>
          <w:p w14:paraId="3FC917FC">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785" w:type="dxa"/>
            <w:shd w:val="clear" w:color="auto" w:fill="auto"/>
          </w:tcPr>
          <w:p w14:paraId="51540B11">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评分项目</w:t>
            </w:r>
          </w:p>
        </w:tc>
        <w:tc>
          <w:tcPr>
            <w:tcW w:w="5977" w:type="dxa"/>
            <w:shd w:val="clear" w:color="auto" w:fill="auto"/>
          </w:tcPr>
          <w:p w14:paraId="7FA0194E">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评审细则</w:t>
            </w:r>
          </w:p>
        </w:tc>
        <w:tc>
          <w:tcPr>
            <w:tcW w:w="705" w:type="dxa"/>
            <w:shd w:val="clear" w:color="auto" w:fill="auto"/>
            <w:vAlign w:val="center"/>
          </w:tcPr>
          <w:p w14:paraId="15303445">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分值</w:t>
            </w:r>
          </w:p>
        </w:tc>
      </w:tr>
      <w:tr w14:paraId="61E88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restart"/>
            <w:shd w:val="clear" w:color="auto" w:fill="auto"/>
            <w:vAlign w:val="center"/>
          </w:tcPr>
          <w:p w14:paraId="20D2BDAF">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785" w:type="dxa"/>
            <w:vMerge w:val="restart"/>
            <w:shd w:val="clear" w:color="auto" w:fill="auto"/>
            <w:vAlign w:val="center"/>
          </w:tcPr>
          <w:p w14:paraId="7E52872B">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工作思路</w:t>
            </w:r>
          </w:p>
          <w:p w14:paraId="7780FCE9">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（15分）</w:t>
            </w:r>
          </w:p>
        </w:tc>
        <w:tc>
          <w:tcPr>
            <w:tcW w:w="5977" w:type="dxa"/>
            <w:shd w:val="clear" w:color="auto" w:fill="auto"/>
          </w:tcPr>
          <w:p w14:paraId="286BB4F0">
            <w:pPr>
              <w:spacing w:line="440" w:lineRule="exact"/>
              <w:jc w:val="left"/>
              <w:rPr>
                <w:rFonts w:hint="eastAsia" w:asciiTheme="minorEastAsia" w:hAnsiTheme="minorEastAsia" w:eastAsiaTheme="minorEastAsia" w:cstheme="minorEastAsia"/>
                <w:color w:val="auto"/>
                <w:szCs w:val="21"/>
                <w:highlight w:val="none"/>
                <w:lang w:val="en-US"/>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根据投标人的</w:t>
            </w:r>
            <w:r>
              <w:rPr>
                <w:rFonts w:hint="eastAsia" w:asciiTheme="minorEastAsia" w:hAnsiTheme="minorEastAsia" w:eastAsiaTheme="minorEastAsia" w:cstheme="minorEastAsia"/>
                <w:color w:val="auto"/>
                <w:szCs w:val="21"/>
                <w:highlight w:val="none"/>
              </w:rPr>
              <w:t>施工阶段全过程工程造价控制（含跟踪审计、不含工程量清单及招标控制价编制）</w:t>
            </w:r>
            <w:r>
              <w:rPr>
                <w:rFonts w:hint="eastAsia" w:asciiTheme="minorEastAsia" w:hAnsiTheme="minorEastAsia" w:eastAsiaTheme="minorEastAsia" w:cstheme="minorEastAsia"/>
                <w:color w:val="auto"/>
                <w:szCs w:val="21"/>
                <w:highlight w:val="none"/>
                <w:lang w:val="en-US" w:eastAsia="zh-CN"/>
              </w:rPr>
              <w:t>实施方案进行评议，满分5分。</w:t>
            </w:r>
          </w:p>
        </w:tc>
        <w:tc>
          <w:tcPr>
            <w:tcW w:w="705" w:type="dxa"/>
            <w:shd w:val="clear" w:color="auto" w:fill="auto"/>
            <w:vAlign w:val="center"/>
          </w:tcPr>
          <w:p w14:paraId="38B7C92A">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r>
      <w:tr w14:paraId="0CE0A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shd w:val="clear" w:color="auto" w:fill="auto"/>
            <w:vAlign w:val="center"/>
          </w:tcPr>
          <w:p w14:paraId="3F13E518">
            <w:pPr>
              <w:spacing w:line="440" w:lineRule="exact"/>
              <w:jc w:val="center"/>
              <w:rPr>
                <w:rFonts w:hint="eastAsia" w:asciiTheme="minorEastAsia" w:hAnsiTheme="minorEastAsia" w:eastAsiaTheme="minorEastAsia" w:cstheme="minorEastAsia"/>
                <w:color w:val="auto"/>
                <w:szCs w:val="21"/>
                <w:highlight w:val="none"/>
              </w:rPr>
            </w:pPr>
          </w:p>
        </w:tc>
        <w:tc>
          <w:tcPr>
            <w:tcW w:w="1785" w:type="dxa"/>
            <w:vMerge w:val="continue"/>
            <w:shd w:val="clear" w:color="auto" w:fill="auto"/>
            <w:vAlign w:val="center"/>
          </w:tcPr>
          <w:p w14:paraId="7A7D559A">
            <w:pPr>
              <w:spacing w:line="440" w:lineRule="exact"/>
              <w:jc w:val="center"/>
              <w:rPr>
                <w:rFonts w:hint="eastAsia" w:asciiTheme="minorEastAsia" w:hAnsiTheme="minorEastAsia" w:eastAsiaTheme="minorEastAsia" w:cstheme="minorEastAsia"/>
                <w:color w:val="auto"/>
                <w:szCs w:val="21"/>
                <w:highlight w:val="none"/>
              </w:rPr>
            </w:pPr>
          </w:p>
        </w:tc>
        <w:tc>
          <w:tcPr>
            <w:tcW w:w="5977" w:type="dxa"/>
            <w:shd w:val="clear" w:color="auto" w:fill="auto"/>
          </w:tcPr>
          <w:p w14:paraId="1D3DC3A8">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（2）根据投标人的</w:t>
            </w:r>
            <w:r>
              <w:rPr>
                <w:rFonts w:hint="eastAsia" w:asciiTheme="minorEastAsia" w:hAnsiTheme="minorEastAsia" w:eastAsiaTheme="minorEastAsia" w:cstheme="minorEastAsia"/>
                <w:color w:val="auto"/>
                <w:szCs w:val="21"/>
                <w:highlight w:val="none"/>
                <w:lang w:val="en-US" w:eastAsia="zh-CN"/>
              </w:rPr>
              <w:t>工程</w:t>
            </w:r>
            <w:r>
              <w:rPr>
                <w:rFonts w:hint="eastAsia" w:asciiTheme="minorEastAsia" w:hAnsiTheme="minorEastAsia" w:eastAsiaTheme="minorEastAsia" w:cstheme="minorEastAsia"/>
                <w:color w:val="auto"/>
                <w:szCs w:val="21"/>
                <w:highlight w:val="none"/>
              </w:rPr>
              <w:t>结算审核方案，进行评议，满分5分。</w:t>
            </w:r>
          </w:p>
        </w:tc>
        <w:tc>
          <w:tcPr>
            <w:tcW w:w="705" w:type="dxa"/>
            <w:shd w:val="clear" w:color="auto" w:fill="auto"/>
            <w:vAlign w:val="center"/>
          </w:tcPr>
          <w:p w14:paraId="7A5FDB98">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r>
      <w:tr w14:paraId="0ED27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shd w:val="clear" w:color="auto" w:fill="auto"/>
            <w:vAlign w:val="center"/>
          </w:tcPr>
          <w:p w14:paraId="2591A215">
            <w:pPr>
              <w:spacing w:line="440" w:lineRule="exact"/>
              <w:jc w:val="center"/>
              <w:rPr>
                <w:rFonts w:hint="eastAsia" w:asciiTheme="minorEastAsia" w:hAnsiTheme="minorEastAsia" w:eastAsiaTheme="minorEastAsia" w:cstheme="minorEastAsia"/>
                <w:color w:val="auto"/>
                <w:szCs w:val="21"/>
                <w:highlight w:val="none"/>
              </w:rPr>
            </w:pPr>
          </w:p>
        </w:tc>
        <w:tc>
          <w:tcPr>
            <w:tcW w:w="1785" w:type="dxa"/>
            <w:vMerge w:val="continue"/>
            <w:shd w:val="clear" w:color="auto" w:fill="auto"/>
            <w:vAlign w:val="center"/>
          </w:tcPr>
          <w:p w14:paraId="2F5E6630">
            <w:pPr>
              <w:spacing w:line="440" w:lineRule="exact"/>
              <w:jc w:val="center"/>
              <w:rPr>
                <w:rFonts w:hint="eastAsia" w:asciiTheme="minorEastAsia" w:hAnsiTheme="minorEastAsia" w:eastAsiaTheme="minorEastAsia" w:cstheme="minorEastAsia"/>
                <w:color w:val="auto"/>
                <w:szCs w:val="21"/>
                <w:highlight w:val="none"/>
              </w:rPr>
            </w:pPr>
          </w:p>
        </w:tc>
        <w:tc>
          <w:tcPr>
            <w:tcW w:w="5977" w:type="dxa"/>
            <w:shd w:val="clear" w:color="auto" w:fill="auto"/>
          </w:tcPr>
          <w:p w14:paraId="053E698F">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（3）对招标项目的理解和总体规划操作思路（5分）</w:t>
            </w:r>
          </w:p>
          <w:p w14:paraId="0D024CEB">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根据投标人对本项目的特点、重点、难点等方面是否理解正确、认识全面进行酌情打分，0-5分。</w:t>
            </w:r>
          </w:p>
        </w:tc>
        <w:tc>
          <w:tcPr>
            <w:tcW w:w="705" w:type="dxa"/>
            <w:shd w:val="clear" w:color="auto" w:fill="auto"/>
            <w:vAlign w:val="center"/>
          </w:tcPr>
          <w:p w14:paraId="72F72AC4">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r>
      <w:tr w14:paraId="46D0C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68" w:type="dxa"/>
            <w:vMerge w:val="restart"/>
            <w:shd w:val="clear" w:color="auto" w:fill="auto"/>
            <w:vAlign w:val="center"/>
          </w:tcPr>
          <w:p w14:paraId="644A167B">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785" w:type="dxa"/>
            <w:vMerge w:val="restart"/>
            <w:shd w:val="clear" w:color="auto" w:fill="auto"/>
            <w:vAlign w:val="center"/>
          </w:tcPr>
          <w:p w14:paraId="34B460C9">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服务高效、成果准确、执业廉洁</w:t>
            </w:r>
          </w:p>
          <w:p w14:paraId="7562DB70">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rPr>
              <w:t>分）</w:t>
            </w:r>
          </w:p>
        </w:tc>
        <w:tc>
          <w:tcPr>
            <w:tcW w:w="5977" w:type="dxa"/>
            <w:shd w:val="clear" w:color="auto" w:fill="auto"/>
          </w:tcPr>
          <w:p w14:paraId="6D90A98B">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（1）保证服务高效具体措施是否有针对性、是否科学合理、是否全面等，0-</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w:t>
            </w:r>
          </w:p>
        </w:tc>
        <w:tc>
          <w:tcPr>
            <w:tcW w:w="705" w:type="dxa"/>
            <w:shd w:val="clear" w:color="auto" w:fill="auto"/>
            <w:vAlign w:val="center"/>
          </w:tcPr>
          <w:p w14:paraId="75F3D30F">
            <w:pPr>
              <w:spacing w:line="440" w:lineRule="exact"/>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3</w:t>
            </w:r>
          </w:p>
        </w:tc>
      </w:tr>
      <w:tr w14:paraId="56BBF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668" w:type="dxa"/>
            <w:vMerge w:val="continue"/>
            <w:shd w:val="clear" w:color="auto" w:fill="auto"/>
            <w:vAlign w:val="center"/>
          </w:tcPr>
          <w:p w14:paraId="1504431D">
            <w:pPr>
              <w:spacing w:line="440" w:lineRule="exact"/>
              <w:jc w:val="center"/>
              <w:rPr>
                <w:rFonts w:hint="eastAsia" w:asciiTheme="minorEastAsia" w:hAnsiTheme="minorEastAsia" w:eastAsiaTheme="minorEastAsia" w:cstheme="minorEastAsia"/>
                <w:color w:val="auto"/>
                <w:szCs w:val="21"/>
                <w:highlight w:val="none"/>
              </w:rPr>
            </w:pPr>
          </w:p>
        </w:tc>
        <w:tc>
          <w:tcPr>
            <w:tcW w:w="1785" w:type="dxa"/>
            <w:vMerge w:val="continue"/>
            <w:shd w:val="clear" w:color="auto" w:fill="auto"/>
            <w:vAlign w:val="center"/>
          </w:tcPr>
          <w:p w14:paraId="54AB79B7">
            <w:pPr>
              <w:spacing w:line="440" w:lineRule="exact"/>
              <w:jc w:val="center"/>
              <w:rPr>
                <w:rFonts w:hint="eastAsia" w:asciiTheme="minorEastAsia" w:hAnsiTheme="minorEastAsia" w:eastAsiaTheme="minorEastAsia" w:cstheme="minorEastAsia"/>
                <w:color w:val="auto"/>
                <w:szCs w:val="21"/>
                <w:highlight w:val="none"/>
              </w:rPr>
            </w:pPr>
          </w:p>
        </w:tc>
        <w:tc>
          <w:tcPr>
            <w:tcW w:w="5977" w:type="dxa"/>
            <w:shd w:val="clear" w:color="auto" w:fill="auto"/>
          </w:tcPr>
          <w:p w14:paraId="1A47FD7C">
            <w:pPr>
              <w:spacing w:line="440" w:lineRule="exact"/>
              <w:jc w:val="left"/>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rPr>
              <w:t>（2）成果的具体措施是否有针对性、是否科学合理、是否全面等，0-</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w:t>
            </w:r>
          </w:p>
        </w:tc>
        <w:tc>
          <w:tcPr>
            <w:tcW w:w="705" w:type="dxa"/>
            <w:shd w:val="clear" w:color="auto" w:fill="auto"/>
            <w:vAlign w:val="center"/>
          </w:tcPr>
          <w:p w14:paraId="23DF49F5">
            <w:pPr>
              <w:spacing w:line="440" w:lineRule="exact"/>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3</w:t>
            </w:r>
          </w:p>
        </w:tc>
      </w:tr>
      <w:tr w14:paraId="5A45B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68" w:type="dxa"/>
            <w:vMerge w:val="continue"/>
            <w:shd w:val="clear" w:color="auto" w:fill="auto"/>
            <w:vAlign w:val="center"/>
          </w:tcPr>
          <w:p w14:paraId="295F0FB6">
            <w:pPr>
              <w:spacing w:line="440" w:lineRule="exact"/>
              <w:jc w:val="center"/>
              <w:rPr>
                <w:rFonts w:hint="eastAsia" w:asciiTheme="minorEastAsia" w:hAnsiTheme="minorEastAsia" w:eastAsiaTheme="minorEastAsia" w:cstheme="minorEastAsia"/>
                <w:color w:val="auto"/>
                <w:szCs w:val="21"/>
                <w:highlight w:val="none"/>
              </w:rPr>
            </w:pPr>
          </w:p>
        </w:tc>
        <w:tc>
          <w:tcPr>
            <w:tcW w:w="1785" w:type="dxa"/>
            <w:vMerge w:val="continue"/>
            <w:shd w:val="clear" w:color="auto" w:fill="auto"/>
            <w:vAlign w:val="center"/>
          </w:tcPr>
          <w:p w14:paraId="7E13A1B0">
            <w:pPr>
              <w:spacing w:line="440" w:lineRule="exact"/>
              <w:jc w:val="center"/>
              <w:rPr>
                <w:rFonts w:hint="eastAsia" w:asciiTheme="minorEastAsia" w:hAnsiTheme="minorEastAsia" w:eastAsiaTheme="minorEastAsia" w:cstheme="minorEastAsia"/>
                <w:color w:val="auto"/>
                <w:szCs w:val="21"/>
                <w:highlight w:val="none"/>
              </w:rPr>
            </w:pPr>
          </w:p>
        </w:tc>
        <w:tc>
          <w:tcPr>
            <w:tcW w:w="5977" w:type="dxa"/>
            <w:shd w:val="clear" w:color="auto" w:fill="auto"/>
          </w:tcPr>
          <w:p w14:paraId="6D2B45F0">
            <w:pPr>
              <w:spacing w:line="440" w:lineRule="exact"/>
              <w:jc w:val="left"/>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rPr>
              <w:t>（3）执业廉洁的具体措施是否有针对性、是否科学合理、是否全面等，0-</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w:t>
            </w:r>
          </w:p>
        </w:tc>
        <w:tc>
          <w:tcPr>
            <w:tcW w:w="705" w:type="dxa"/>
            <w:shd w:val="clear" w:color="auto" w:fill="auto"/>
            <w:vAlign w:val="center"/>
          </w:tcPr>
          <w:p w14:paraId="1367B690">
            <w:pPr>
              <w:spacing w:line="440" w:lineRule="exact"/>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3</w:t>
            </w:r>
          </w:p>
        </w:tc>
      </w:tr>
      <w:tr w14:paraId="0C39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shd w:val="clear" w:color="auto" w:fill="auto"/>
            <w:vAlign w:val="center"/>
          </w:tcPr>
          <w:p w14:paraId="5A8ABBB5">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785" w:type="dxa"/>
            <w:shd w:val="clear" w:color="auto" w:fill="auto"/>
            <w:vAlign w:val="center"/>
          </w:tcPr>
          <w:p w14:paraId="2C6F41CE">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服务的便捷性（</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分）</w:t>
            </w:r>
          </w:p>
        </w:tc>
        <w:tc>
          <w:tcPr>
            <w:tcW w:w="5977" w:type="dxa"/>
            <w:shd w:val="clear" w:color="auto" w:fill="auto"/>
          </w:tcPr>
          <w:p w14:paraId="5EC541A2">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根据投标人提供服务的便捷性进行评议，项目所在地服务机构设置情况、服务响应时间、所在地服务人员到场时间等，进行综合评价，0-</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分。</w:t>
            </w:r>
          </w:p>
        </w:tc>
        <w:tc>
          <w:tcPr>
            <w:tcW w:w="705" w:type="dxa"/>
            <w:shd w:val="clear" w:color="auto" w:fill="auto"/>
            <w:vAlign w:val="center"/>
          </w:tcPr>
          <w:p w14:paraId="3CEF9629">
            <w:pPr>
              <w:spacing w:line="440" w:lineRule="exact"/>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8</w:t>
            </w:r>
          </w:p>
        </w:tc>
      </w:tr>
      <w:tr w14:paraId="7A89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668" w:type="dxa"/>
            <w:shd w:val="clear" w:color="auto" w:fill="auto"/>
            <w:vAlign w:val="center"/>
          </w:tcPr>
          <w:p w14:paraId="2619CAFD">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1785" w:type="dxa"/>
            <w:shd w:val="clear" w:color="auto" w:fill="auto"/>
            <w:vAlign w:val="center"/>
          </w:tcPr>
          <w:p w14:paraId="0B065306">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合理化建议</w:t>
            </w:r>
          </w:p>
          <w:p w14:paraId="1E31C676">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（5分）</w:t>
            </w:r>
          </w:p>
        </w:tc>
        <w:tc>
          <w:tcPr>
            <w:tcW w:w="5977" w:type="dxa"/>
            <w:shd w:val="clear" w:color="auto" w:fill="auto"/>
          </w:tcPr>
          <w:p w14:paraId="6897CF45">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根据投标人提出的合理化建议，是否体现出对本项目各方面有充分了解和具备潜在的对招标人有利的实施措施内容进行综合评议，0-5分。</w:t>
            </w:r>
          </w:p>
        </w:tc>
        <w:tc>
          <w:tcPr>
            <w:tcW w:w="705" w:type="dxa"/>
            <w:shd w:val="clear" w:color="auto" w:fill="auto"/>
            <w:vAlign w:val="center"/>
          </w:tcPr>
          <w:p w14:paraId="21867E17">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r>
      <w:tr w14:paraId="3AA2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restart"/>
            <w:shd w:val="clear" w:color="auto" w:fill="auto"/>
            <w:vAlign w:val="center"/>
          </w:tcPr>
          <w:p w14:paraId="4F135C27">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1785" w:type="dxa"/>
            <w:vMerge w:val="restart"/>
            <w:shd w:val="clear" w:color="auto" w:fill="auto"/>
            <w:vAlign w:val="center"/>
          </w:tcPr>
          <w:p w14:paraId="007DF879">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业绩（4分）</w:t>
            </w:r>
          </w:p>
        </w:tc>
        <w:tc>
          <w:tcPr>
            <w:tcW w:w="5977" w:type="dxa"/>
            <w:shd w:val="clear" w:color="auto" w:fill="auto"/>
          </w:tcPr>
          <w:p w14:paraId="2FC6A553">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（1）施工阶段全过程造价控制业绩：202</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年1月1日以来（以合同签订时间为准）投标人承接过</w:t>
            </w:r>
            <w:r>
              <w:rPr>
                <w:rFonts w:hint="eastAsia" w:asciiTheme="minorEastAsia" w:hAnsiTheme="minorEastAsia" w:eastAsiaTheme="minorEastAsia" w:cstheme="minorEastAsia"/>
                <w:color w:val="auto"/>
                <w:szCs w:val="21"/>
                <w:highlight w:val="none"/>
                <w:lang w:eastAsia="zh-CN"/>
              </w:rPr>
              <w:t>土建</w:t>
            </w:r>
            <w:r>
              <w:rPr>
                <w:rFonts w:hint="eastAsia" w:asciiTheme="minorEastAsia" w:hAnsiTheme="minorEastAsia" w:eastAsiaTheme="minorEastAsia" w:cstheme="minorEastAsia"/>
                <w:color w:val="auto"/>
                <w:szCs w:val="21"/>
                <w:highlight w:val="none"/>
              </w:rPr>
              <w:t>工程项目（指政府或国有投资项目）的施工阶段全过程造价控制服务，且</w:t>
            </w:r>
            <w:r>
              <w:rPr>
                <w:rFonts w:hint="eastAsia" w:asciiTheme="minorEastAsia" w:hAnsiTheme="minorEastAsia" w:eastAsiaTheme="minorEastAsia" w:cstheme="minorEastAsia"/>
                <w:color w:val="auto"/>
                <w:szCs w:val="21"/>
                <w:highlight w:val="none"/>
                <w:lang w:eastAsia="zh-CN"/>
              </w:rPr>
              <w:t>土建单项合同建安工程造价</w:t>
            </w:r>
            <w:r>
              <w:rPr>
                <w:rFonts w:hint="eastAsia" w:asciiTheme="minorEastAsia" w:hAnsiTheme="minorEastAsia" w:eastAsiaTheme="minorEastAsia" w:cstheme="minorEastAsia"/>
                <w:color w:val="auto"/>
                <w:szCs w:val="21"/>
                <w:highlight w:val="none"/>
              </w:rPr>
              <w:t>为20000万元及以上的得2分。</w:t>
            </w:r>
          </w:p>
          <w:p w14:paraId="3BDDC095">
            <w:pPr>
              <w:spacing w:line="440" w:lineRule="exact"/>
              <w:jc w:val="left"/>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rPr>
              <w:t>注：提供咨询合同复印件、中标通知书并加盖公章，业绩时间和工程费用以合同为准，未提供的不得分。</w:t>
            </w:r>
          </w:p>
        </w:tc>
        <w:tc>
          <w:tcPr>
            <w:tcW w:w="705" w:type="dxa"/>
            <w:shd w:val="clear" w:color="auto" w:fill="auto"/>
            <w:vAlign w:val="center"/>
          </w:tcPr>
          <w:p w14:paraId="31E80BAD">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r>
      <w:tr w14:paraId="31FD8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shd w:val="clear" w:color="auto" w:fill="auto"/>
            <w:vAlign w:val="center"/>
          </w:tcPr>
          <w:p w14:paraId="7FA2CFE1">
            <w:pPr>
              <w:spacing w:line="440" w:lineRule="exact"/>
              <w:jc w:val="center"/>
              <w:rPr>
                <w:rFonts w:hint="eastAsia" w:asciiTheme="minorEastAsia" w:hAnsiTheme="minorEastAsia" w:eastAsiaTheme="minorEastAsia" w:cstheme="minorEastAsia"/>
                <w:color w:val="auto"/>
                <w:szCs w:val="21"/>
                <w:highlight w:val="none"/>
              </w:rPr>
            </w:pPr>
          </w:p>
        </w:tc>
        <w:tc>
          <w:tcPr>
            <w:tcW w:w="1785" w:type="dxa"/>
            <w:vMerge w:val="continue"/>
            <w:shd w:val="clear" w:color="auto" w:fill="auto"/>
            <w:vAlign w:val="center"/>
          </w:tcPr>
          <w:p w14:paraId="40A21676">
            <w:pPr>
              <w:spacing w:line="440" w:lineRule="exact"/>
              <w:jc w:val="center"/>
              <w:rPr>
                <w:rFonts w:hint="eastAsia" w:asciiTheme="minorEastAsia" w:hAnsiTheme="minorEastAsia" w:eastAsiaTheme="minorEastAsia" w:cstheme="minorEastAsia"/>
                <w:color w:val="auto"/>
                <w:szCs w:val="21"/>
                <w:highlight w:val="none"/>
              </w:rPr>
            </w:pPr>
          </w:p>
        </w:tc>
        <w:tc>
          <w:tcPr>
            <w:tcW w:w="5977" w:type="dxa"/>
            <w:shd w:val="clear" w:color="auto" w:fill="auto"/>
          </w:tcPr>
          <w:p w14:paraId="2680A908">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（2）结算审核业绩：202</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年1月1日以来（以合同签订时间为准）投标人承接过</w:t>
            </w:r>
            <w:r>
              <w:rPr>
                <w:rFonts w:hint="eastAsia" w:asciiTheme="minorEastAsia" w:hAnsiTheme="minorEastAsia" w:eastAsiaTheme="minorEastAsia" w:cstheme="minorEastAsia"/>
                <w:color w:val="auto"/>
                <w:szCs w:val="21"/>
                <w:highlight w:val="none"/>
                <w:lang w:eastAsia="zh-CN"/>
              </w:rPr>
              <w:t>土建</w:t>
            </w:r>
            <w:r>
              <w:rPr>
                <w:rFonts w:hint="eastAsia" w:asciiTheme="minorEastAsia" w:hAnsiTheme="minorEastAsia" w:eastAsiaTheme="minorEastAsia" w:cstheme="minorEastAsia"/>
                <w:color w:val="auto"/>
                <w:szCs w:val="21"/>
                <w:highlight w:val="none"/>
              </w:rPr>
              <w:t>工程项目（指政府或国有投资项目）的</w:t>
            </w:r>
            <w:r>
              <w:rPr>
                <w:rFonts w:hint="eastAsia" w:asciiTheme="minorEastAsia" w:hAnsiTheme="minorEastAsia" w:eastAsiaTheme="minorEastAsia" w:cstheme="minorEastAsia"/>
                <w:color w:val="auto"/>
                <w:szCs w:val="21"/>
                <w:highlight w:val="none"/>
                <w:lang w:val="en-US" w:eastAsia="zh-CN"/>
              </w:rPr>
              <w:t>工程</w:t>
            </w:r>
            <w:r>
              <w:rPr>
                <w:rFonts w:hint="eastAsia" w:asciiTheme="minorEastAsia" w:hAnsiTheme="minorEastAsia" w:eastAsiaTheme="minorEastAsia" w:cstheme="minorEastAsia"/>
                <w:color w:val="auto"/>
                <w:szCs w:val="21"/>
                <w:highlight w:val="none"/>
              </w:rPr>
              <w:t>结算审核服务，且</w:t>
            </w:r>
            <w:r>
              <w:rPr>
                <w:rFonts w:hint="eastAsia" w:asciiTheme="minorEastAsia" w:hAnsiTheme="minorEastAsia" w:eastAsiaTheme="minorEastAsia" w:cstheme="minorEastAsia"/>
                <w:color w:val="auto"/>
                <w:szCs w:val="21"/>
                <w:highlight w:val="none"/>
                <w:lang w:eastAsia="zh-CN"/>
              </w:rPr>
              <w:t>土建单项合同建安工程造价</w:t>
            </w:r>
            <w:r>
              <w:rPr>
                <w:rFonts w:hint="eastAsia" w:asciiTheme="minorEastAsia" w:hAnsiTheme="minorEastAsia" w:eastAsiaTheme="minorEastAsia" w:cstheme="minorEastAsia"/>
                <w:color w:val="auto"/>
                <w:szCs w:val="21"/>
                <w:highlight w:val="none"/>
              </w:rPr>
              <w:t>为20000万元及以上的得2分。</w:t>
            </w:r>
          </w:p>
          <w:p w14:paraId="66221104">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注：提供咨询合同复印件、中标通知书并加盖公章，业绩时间和工程费用以合同为准，未提供的不得分。</w:t>
            </w:r>
          </w:p>
        </w:tc>
        <w:tc>
          <w:tcPr>
            <w:tcW w:w="705" w:type="dxa"/>
            <w:shd w:val="clear" w:color="auto" w:fill="auto"/>
            <w:vAlign w:val="center"/>
          </w:tcPr>
          <w:p w14:paraId="41FD17F6">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r>
      <w:tr w14:paraId="4A17B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shd w:val="clear" w:color="auto" w:fill="auto"/>
            <w:vAlign w:val="center"/>
          </w:tcPr>
          <w:p w14:paraId="7D6FE976">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p>
        </w:tc>
        <w:tc>
          <w:tcPr>
            <w:tcW w:w="1785" w:type="dxa"/>
            <w:shd w:val="clear" w:color="auto" w:fill="auto"/>
            <w:vAlign w:val="center"/>
          </w:tcPr>
          <w:p w14:paraId="405EB0F2">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项目</w:t>
            </w:r>
            <w:r>
              <w:rPr>
                <w:rFonts w:hint="eastAsia" w:asciiTheme="minorEastAsia" w:hAnsiTheme="minorEastAsia" w:eastAsiaTheme="minorEastAsia" w:cstheme="minorEastAsia"/>
                <w:color w:val="auto"/>
                <w:szCs w:val="21"/>
                <w:highlight w:val="none"/>
              </w:rPr>
              <w:t>负责人能力（2分）</w:t>
            </w:r>
          </w:p>
        </w:tc>
        <w:tc>
          <w:tcPr>
            <w:tcW w:w="5977" w:type="dxa"/>
            <w:shd w:val="clear" w:color="auto" w:fill="auto"/>
            <w:vAlign w:val="center"/>
          </w:tcPr>
          <w:p w14:paraId="6CC44308">
            <w:pPr>
              <w:numPr>
                <w:ilvl w:val="-1"/>
                <w:numId w:val="0"/>
              </w:numPr>
              <w:spacing w:line="440" w:lineRule="exact"/>
              <w:rPr>
                <w:rFonts w:hint="eastAsia" w:asciiTheme="minorEastAsia" w:hAnsiTheme="minorEastAsia" w:eastAsiaTheme="minorEastAsia" w:cstheme="minorEastAsia"/>
                <w:color w:val="auto"/>
                <w:szCs w:val="21"/>
                <w:highlight w:val="none"/>
                <w:lang w:val="en-US" w:eastAsia="zh-CN" w:bidi="ar"/>
              </w:rPr>
            </w:pPr>
            <w:r>
              <w:rPr>
                <w:rFonts w:hint="eastAsia" w:asciiTheme="minorEastAsia" w:hAnsiTheme="minorEastAsia" w:eastAsiaTheme="minorEastAsia" w:cstheme="minorEastAsia"/>
                <w:color w:val="auto"/>
                <w:szCs w:val="21"/>
                <w:highlight w:val="none"/>
                <w:lang w:val="en-US" w:eastAsia="zh-CN" w:bidi="ar"/>
              </w:rPr>
              <w:t>项目负责人具备人社部门颁发的高级工程师或以上职称的，得2分。需提供供应商为其缴纳的开标前近三个月中任意一个月的社保证明及职称证书加盖公章。未提供或提供不全的不得分。若投入人员已退休，无需提供社保证明材料，但需提供退休证明及返聘证明。</w:t>
            </w:r>
          </w:p>
        </w:tc>
        <w:tc>
          <w:tcPr>
            <w:tcW w:w="705" w:type="dxa"/>
            <w:shd w:val="clear" w:color="auto" w:fill="auto"/>
            <w:vAlign w:val="center"/>
          </w:tcPr>
          <w:p w14:paraId="587A2533">
            <w:pPr>
              <w:spacing w:line="440" w:lineRule="exact"/>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2</w:t>
            </w:r>
          </w:p>
        </w:tc>
      </w:tr>
      <w:tr w14:paraId="67EF3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8" w:type="dxa"/>
            <w:shd w:val="clear" w:color="auto" w:fill="auto"/>
            <w:vAlign w:val="center"/>
          </w:tcPr>
          <w:p w14:paraId="2A0B2FC6">
            <w:pPr>
              <w:spacing w:line="440" w:lineRule="exact"/>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7</w:t>
            </w:r>
          </w:p>
        </w:tc>
        <w:tc>
          <w:tcPr>
            <w:tcW w:w="1785" w:type="dxa"/>
            <w:shd w:val="clear" w:color="auto" w:fill="auto"/>
            <w:vAlign w:val="center"/>
          </w:tcPr>
          <w:p w14:paraId="539BA057">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其他拟投入人员（</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分）</w:t>
            </w:r>
          </w:p>
        </w:tc>
        <w:tc>
          <w:tcPr>
            <w:tcW w:w="5977" w:type="dxa"/>
            <w:shd w:val="clear" w:color="auto" w:fill="auto"/>
          </w:tcPr>
          <w:p w14:paraId="5EFA89A7">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满足本项目招标需求的基础上，拟配置的其他项目组成员具备注册造价工程师或一级注册造价工程师执业资格的，每另行增加1人得1分，最高得2分；配置的项目组成员具有高级及以上技术职称的，每人得1分，最高得2分。本项最高得 4 分，1 人多证的允许累计计分。</w:t>
            </w:r>
          </w:p>
          <w:p w14:paraId="0BC4C254">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开标时提供相关人员证书和开标前近三个月任意一个月复印件加盖公章（其中社保证明若是通过浙江政务网下载，可提供打印件）。若</w:t>
            </w:r>
            <w:r>
              <w:rPr>
                <w:rFonts w:hint="eastAsia" w:asciiTheme="minorEastAsia" w:hAnsiTheme="minorEastAsia" w:eastAsiaTheme="minorEastAsia" w:cstheme="minorEastAsia"/>
                <w:color w:val="auto"/>
                <w:szCs w:val="21"/>
                <w:highlight w:val="none"/>
                <w:lang w:eastAsia="zh-CN"/>
              </w:rPr>
              <w:t>投入</w:t>
            </w:r>
            <w:r>
              <w:rPr>
                <w:rFonts w:hint="eastAsia" w:asciiTheme="minorEastAsia" w:hAnsiTheme="minorEastAsia" w:eastAsiaTheme="minorEastAsia" w:cstheme="minorEastAsia"/>
                <w:color w:val="auto"/>
                <w:szCs w:val="21"/>
                <w:highlight w:val="none"/>
              </w:rPr>
              <w:t>人员已退休，无需提供社保证明材料，但需提供退休证明及返聘证明。</w:t>
            </w:r>
          </w:p>
        </w:tc>
        <w:tc>
          <w:tcPr>
            <w:tcW w:w="705" w:type="dxa"/>
            <w:shd w:val="clear" w:color="auto" w:fill="auto"/>
            <w:vAlign w:val="center"/>
          </w:tcPr>
          <w:p w14:paraId="7D8DACC6">
            <w:pPr>
              <w:spacing w:line="440" w:lineRule="exact"/>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4</w:t>
            </w:r>
          </w:p>
        </w:tc>
      </w:tr>
      <w:tr w14:paraId="7C264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shd w:val="clear" w:color="auto" w:fill="auto"/>
            <w:vAlign w:val="center"/>
          </w:tcPr>
          <w:p w14:paraId="2970C794">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w:t>
            </w:r>
          </w:p>
        </w:tc>
        <w:tc>
          <w:tcPr>
            <w:tcW w:w="1785" w:type="dxa"/>
            <w:shd w:val="clear" w:color="auto" w:fill="auto"/>
            <w:vAlign w:val="center"/>
          </w:tcPr>
          <w:p w14:paraId="576332CE">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投标人的信用能力等级（5分）</w:t>
            </w:r>
          </w:p>
        </w:tc>
        <w:tc>
          <w:tcPr>
            <w:tcW w:w="5977" w:type="dxa"/>
            <w:shd w:val="clear" w:color="auto" w:fill="auto"/>
          </w:tcPr>
          <w:p w14:paraId="649DC2C4">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在开标当月荣获省级及以上造价管理部门工程造价咨询企业信用能力动态评价AAA级及以上的得5分，AA级的得3分，A级的得1分。投标文件中须提供省级及以上造价信息网中网址查询截图，具体信用能力动态评价等级以开标后招标代理现场查询结果为准。</w:t>
            </w:r>
          </w:p>
        </w:tc>
        <w:tc>
          <w:tcPr>
            <w:tcW w:w="705" w:type="dxa"/>
            <w:shd w:val="clear" w:color="auto" w:fill="auto"/>
            <w:vAlign w:val="center"/>
          </w:tcPr>
          <w:p w14:paraId="1F955BA9">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r>
      <w:tr w14:paraId="7F146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shd w:val="clear" w:color="auto" w:fill="auto"/>
            <w:vAlign w:val="center"/>
          </w:tcPr>
          <w:p w14:paraId="40A9454D">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c>
          <w:tcPr>
            <w:tcW w:w="1785" w:type="dxa"/>
            <w:shd w:val="clear" w:color="auto" w:fill="auto"/>
            <w:vAlign w:val="center"/>
          </w:tcPr>
          <w:p w14:paraId="17A20AF7">
            <w:pPr>
              <w:spacing w:line="44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专业评价</w:t>
            </w:r>
          </w:p>
          <w:p w14:paraId="7B8C57A0">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（5分）</w:t>
            </w:r>
          </w:p>
        </w:tc>
        <w:tc>
          <w:tcPr>
            <w:tcW w:w="5977" w:type="dxa"/>
            <w:shd w:val="clear" w:color="auto" w:fill="auto"/>
            <w:vAlign w:val="center"/>
          </w:tcPr>
          <w:p w14:paraId="7759580B">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202</w:t>
            </w:r>
            <w:r>
              <w:rPr>
                <w:rFonts w:hint="eastAsia" w:asciiTheme="minorEastAsia" w:hAnsiTheme="minorEastAsia" w:eastAsiaTheme="minorEastAsia" w:cstheme="minorEastAsia"/>
                <w:color w:val="auto"/>
                <w:szCs w:val="21"/>
                <w:highlight w:val="none"/>
                <w:lang w:eastAsia="zh-CN"/>
              </w:rPr>
              <w:t>2</w:t>
            </w:r>
            <w:r>
              <w:rPr>
                <w:rFonts w:hint="eastAsia" w:asciiTheme="minorEastAsia" w:hAnsiTheme="minorEastAsia" w:eastAsiaTheme="minorEastAsia" w:cstheme="minorEastAsia"/>
                <w:color w:val="auto"/>
                <w:szCs w:val="21"/>
                <w:highlight w:val="none"/>
              </w:rPr>
              <w:t>年1月1日以来（以证书的日期为准），投标人获得“省级及以上先进、优秀造价咨询企业”称号的得5分，获得“地市级先进、优秀造价咨询企业”称号的得3分，获得“区（县）级先进、优秀造价咨询企业”称号的得1分，其余不得分。投标人获得多个荣誉的，就高计取，不累加。</w:t>
            </w:r>
          </w:p>
          <w:p w14:paraId="4CB793C3">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注：投标文件中须提供上述有效证书</w:t>
            </w:r>
            <w:r>
              <w:rPr>
                <w:rFonts w:hint="eastAsia"/>
                <w:szCs w:val="21"/>
                <w:highlight w:val="none"/>
                <w:lang w:val="en-US" w:eastAsia="zh-CN"/>
              </w:rPr>
              <w:t>或文件</w:t>
            </w:r>
            <w:r>
              <w:rPr>
                <w:rFonts w:hint="eastAsia" w:asciiTheme="minorEastAsia" w:hAnsiTheme="minorEastAsia" w:eastAsiaTheme="minorEastAsia" w:cstheme="minorEastAsia"/>
                <w:color w:val="auto"/>
                <w:szCs w:val="21"/>
                <w:highlight w:val="none"/>
              </w:rPr>
              <w:t>的扫描件。</w:t>
            </w:r>
          </w:p>
        </w:tc>
        <w:tc>
          <w:tcPr>
            <w:tcW w:w="705" w:type="dxa"/>
            <w:shd w:val="clear" w:color="auto" w:fill="auto"/>
            <w:vAlign w:val="center"/>
          </w:tcPr>
          <w:p w14:paraId="7ECF4AC9">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r>
      <w:tr w14:paraId="467F4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Borders>
              <w:bottom w:val="single" w:color="auto" w:sz="4" w:space="0"/>
            </w:tcBorders>
            <w:shd w:val="clear" w:color="auto" w:fill="auto"/>
            <w:vAlign w:val="center"/>
          </w:tcPr>
          <w:p w14:paraId="415D311A">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w:t>
            </w:r>
          </w:p>
        </w:tc>
        <w:tc>
          <w:tcPr>
            <w:tcW w:w="1785" w:type="dxa"/>
            <w:tcBorders>
              <w:bottom w:val="single" w:color="auto" w:sz="4" w:space="0"/>
            </w:tcBorders>
            <w:shd w:val="clear" w:color="auto" w:fill="auto"/>
            <w:vAlign w:val="center"/>
          </w:tcPr>
          <w:p w14:paraId="5715E8F5">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体系证书</w:t>
            </w:r>
          </w:p>
          <w:p w14:paraId="1ABE3B13">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（3分）</w:t>
            </w:r>
          </w:p>
        </w:tc>
        <w:tc>
          <w:tcPr>
            <w:tcW w:w="5977" w:type="dxa"/>
            <w:tcBorders>
              <w:bottom w:val="single" w:color="auto" w:sz="4" w:space="0"/>
            </w:tcBorders>
            <w:shd w:val="clear" w:color="auto" w:fill="auto"/>
          </w:tcPr>
          <w:p w14:paraId="2FCC0879">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具有质量管理体系认证证书、环境管理体系认证证书和职业健康安全管理体系认证证书的每个得1分，最高得3分。以上认证证书覆盖范围必须包括工程造价咨询服务，否则不予认可。</w:t>
            </w:r>
          </w:p>
        </w:tc>
        <w:tc>
          <w:tcPr>
            <w:tcW w:w="705" w:type="dxa"/>
            <w:shd w:val="clear" w:color="auto" w:fill="auto"/>
            <w:vAlign w:val="center"/>
          </w:tcPr>
          <w:p w14:paraId="0CCA220A">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r>
      <w:tr w14:paraId="0D42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3547A800">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0C37AF1">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价格分（40分）</w:t>
            </w:r>
          </w:p>
        </w:tc>
        <w:tc>
          <w:tcPr>
            <w:tcW w:w="5977" w:type="dxa"/>
            <w:tcBorders>
              <w:top w:val="single" w:color="auto" w:sz="4" w:space="0"/>
              <w:left w:val="single" w:color="auto" w:sz="4" w:space="0"/>
              <w:bottom w:val="single" w:color="auto" w:sz="4" w:space="0"/>
              <w:right w:val="single" w:color="auto" w:sz="4" w:space="0"/>
            </w:tcBorders>
            <w:shd w:val="clear" w:color="auto" w:fill="auto"/>
          </w:tcPr>
          <w:p w14:paraId="652512BD">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跟踪审计费及结算审核费费率：按照《浙江省物价局关于进一步完善工程造价咨询服务收费的通知》（浙价服〔2009〕84 号）文件规定的收费标准下浮45%的得基本分3</w:t>
            </w:r>
            <w:r>
              <w:rPr>
                <w:rFonts w:hint="eastAsia" w:asciiTheme="minorEastAsia" w:hAnsiTheme="minorEastAsia" w:eastAsiaTheme="minorEastAsia" w:cstheme="minorEastAsia"/>
                <w:color w:val="auto"/>
                <w:szCs w:val="21"/>
                <w:highlight w:val="none"/>
              </w:rPr>
              <w:t>0分，在此基础上之后</w:t>
            </w:r>
            <w:r>
              <w:rPr>
                <w:rFonts w:hint="eastAsia" w:asciiTheme="minorEastAsia" w:hAnsiTheme="minorEastAsia" w:eastAsiaTheme="minorEastAsia" w:cstheme="minorEastAsia"/>
                <w:color w:val="auto"/>
                <w:szCs w:val="21"/>
                <w:highlight w:val="none"/>
                <w:lang w:val="en-US" w:eastAsia="zh-CN"/>
              </w:rPr>
              <w:t>统一投标下浮率</w:t>
            </w:r>
            <w:r>
              <w:rPr>
                <w:rFonts w:hint="eastAsia" w:asciiTheme="minorEastAsia" w:hAnsiTheme="minorEastAsia" w:eastAsiaTheme="minorEastAsia" w:cstheme="minorEastAsia"/>
                <w:color w:val="auto"/>
                <w:szCs w:val="21"/>
                <w:highlight w:val="none"/>
              </w:rPr>
              <w:t>每下浮（增加值）1个百分点，加1分，限加10分。中间值采用内插法计算。</w:t>
            </w:r>
          </w:p>
          <w:p w14:paraId="2C5D31F7">
            <w:pPr>
              <w:spacing w:line="440" w:lineRule="exac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auto"/>
                <w:szCs w:val="21"/>
                <w:highlight w:val="none"/>
                <w:lang w:val="en-US" w:eastAsia="zh-CN"/>
              </w:rPr>
              <w:t>价格分=基本分30+统一投标下浮率×100×1。</w:t>
            </w:r>
          </w:p>
        </w:tc>
        <w:tc>
          <w:tcPr>
            <w:tcW w:w="705" w:type="dxa"/>
            <w:tcBorders>
              <w:left w:val="single" w:color="auto" w:sz="4" w:space="0"/>
            </w:tcBorders>
            <w:shd w:val="clear" w:color="auto" w:fill="auto"/>
            <w:vAlign w:val="center"/>
          </w:tcPr>
          <w:p w14:paraId="582FBDBD">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0</w:t>
            </w:r>
          </w:p>
        </w:tc>
      </w:tr>
    </w:tbl>
    <w:p w14:paraId="2096FB1F">
      <w:pPr>
        <w:pStyle w:val="89"/>
        <w:spacing w:line="440" w:lineRule="exact"/>
        <w:ind w:firstLine="0" w:firstLineChars="0"/>
        <w:rPr>
          <w:rStyle w:val="106"/>
          <w:rFonts w:hint="eastAsia" w:asciiTheme="minorEastAsia" w:hAnsiTheme="minorEastAsia" w:eastAsiaTheme="minorEastAsia" w:cstheme="minorEastAsia"/>
          <w:color w:val="auto"/>
          <w:szCs w:val="21"/>
          <w:highlight w:val="none"/>
        </w:rPr>
      </w:pPr>
    </w:p>
    <w:p w14:paraId="5D3AB80F">
      <w:pPr>
        <w:pStyle w:val="89"/>
        <w:spacing w:line="440" w:lineRule="exact"/>
        <w:ind w:firstLine="0" w:firstLineChars="0"/>
        <w:jc w:val="left"/>
        <w:rPr>
          <w:rStyle w:val="106"/>
          <w:rFonts w:hint="eastAsia" w:asciiTheme="minorEastAsia" w:hAnsiTheme="minorEastAsia" w:eastAsiaTheme="minorEastAsia" w:cstheme="minorEastAsia"/>
          <w:bCs/>
          <w:color w:val="auto"/>
          <w:szCs w:val="21"/>
          <w:highlight w:val="none"/>
        </w:rPr>
        <w:sectPr>
          <w:pgSz w:w="11906" w:h="16838"/>
          <w:pgMar w:top="1440" w:right="1800" w:bottom="1440" w:left="1380" w:header="851" w:footer="992" w:gutter="0"/>
          <w:cols w:space="720" w:num="1"/>
          <w:docGrid w:linePitch="312" w:charSpace="0"/>
        </w:sectPr>
      </w:pPr>
      <w:r>
        <w:rPr>
          <w:rStyle w:val="106"/>
          <w:rFonts w:hint="eastAsia" w:asciiTheme="minorEastAsia" w:hAnsiTheme="minorEastAsia" w:eastAsiaTheme="minorEastAsia" w:cstheme="minorEastAsia"/>
          <w:bCs/>
          <w:color w:val="auto"/>
          <w:szCs w:val="21"/>
          <w:highlight w:val="none"/>
        </w:rPr>
        <w:t>注：1.小数点后保留两位数。2.各评标委员会成员自行按以上参考分值评分。3.重大事件由评标委员会集体讨论，根据少数服从多数的原则作出决定。</w:t>
      </w:r>
      <w:bookmarkStart w:id="11" w:name="_Toc19820"/>
    </w:p>
    <w:p w14:paraId="1DED4C91">
      <w:pPr>
        <w:pStyle w:val="89"/>
        <w:spacing w:line="440" w:lineRule="exact"/>
        <w:ind w:firstLine="0" w:firstLineChars="0"/>
        <w:jc w:val="left"/>
        <w:rPr>
          <w:rStyle w:val="106"/>
          <w:rFonts w:hint="eastAsia" w:asciiTheme="minorEastAsia" w:hAnsiTheme="minorEastAsia" w:eastAsiaTheme="minorEastAsia" w:cstheme="minorEastAsia"/>
          <w:bCs/>
          <w:color w:val="auto"/>
          <w:szCs w:val="21"/>
          <w:highlight w:val="none"/>
        </w:rPr>
      </w:pPr>
    </w:p>
    <w:p w14:paraId="1A04364C">
      <w:pPr>
        <w:pStyle w:val="31"/>
        <w:spacing w:before="0" w:after="0" w:line="360" w:lineRule="auto"/>
        <w:outlineLvl w:val="0"/>
        <w:rPr>
          <w:rStyle w:val="106"/>
          <w:rFonts w:hint="eastAsia" w:asciiTheme="minorEastAsia" w:hAnsiTheme="minorEastAsia" w:eastAsiaTheme="minorEastAsia" w:cstheme="minorEastAsia"/>
          <w:color w:val="auto"/>
          <w:sz w:val="28"/>
          <w:szCs w:val="28"/>
          <w:highlight w:val="none"/>
        </w:rPr>
      </w:pPr>
      <w:r>
        <w:rPr>
          <w:rStyle w:val="106"/>
          <w:rFonts w:hint="eastAsia" w:asciiTheme="minorEastAsia" w:hAnsiTheme="minorEastAsia" w:eastAsiaTheme="minorEastAsia" w:cstheme="minorEastAsia"/>
          <w:color w:val="auto"/>
          <w:sz w:val="28"/>
          <w:szCs w:val="28"/>
          <w:highlight w:val="none"/>
        </w:rPr>
        <w:t xml:space="preserve">第五章  </w:t>
      </w:r>
      <w:bookmarkEnd w:id="11"/>
      <w:r>
        <w:rPr>
          <w:rStyle w:val="106"/>
          <w:rFonts w:hint="eastAsia" w:asciiTheme="minorEastAsia" w:hAnsiTheme="minorEastAsia" w:eastAsiaTheme="minorEastAsia" w:cstheme="minorEastAsia"/>
          <w:color w:val="auto"/>
          <w:sz w:val="28"/>
          <w:szCs w:val="28"/>
          <w:highlight w:val="none"/>
        </w:rPr>
        <w:t>合同主要条款</w:t>
      </w:r>
    </w:p>
    <w:p w14:paraId="0CAE5B10">
      <w:pPr>
        <w:pStyle w:val="4"/>
        <w:snapToGrid w:val="0"/>
        <w:spacing w:after="0" w:line="440" w:lineRule="exact"/>
        <w:rPr>
          <w:rFonts w:hint="eastAsia" w:asciiTheme="minorEastAsia" w:hAnsiTheme="minorEastAsia" w:eastAsiaTheme="minorEastAsia" w:cstheme="minorEastAsia"/>
          <w:b/>
          <w:bCs/>
          <w:color w:val="auto"/>
          <w:szCs w:val="21"/>
          <w:highlight w:val="none"/>
          <w:lang w:eastAsia="zh-CN"/>
        </w:rPr>
      </w:pPr>
      <w:r>
        <w:rPr>
          <w:rFonts w:hint="eastAsia" w:asciiTheme="minorEastAsia" w:hAnsiTheme="minorEastAsia" w:eastAsiaTheme="minorEastAsia" w:cstheme="minorEastAsia"/>
          <w:b/>
          <w:bCs/>
          <w:color w:val="auto"/>
          <w:szCs w:val="21"/>
          <w:highlight w:val="none"/>
        </w:rPr>
        <w:t>一、招标代理</w:t>
      </w:r>
      <w:r>
        <w:rPr>
          <w:rFonts w:hint="eastAsia" w:asciiTheme="minorEastAsia" w:hAnsiTheme="minorEastAsia" w:eastAsiaTheme="minorEastAsia" w:cstheme="minorEastAsia"/>
          <w:b/>
          <w:bCs/>
          <w:color w:val="auto"/>
          <w:szCs w:val="21"/>
          <w:highlight w:val="none"/>
          <w:lang w:eastAsia="zh-CN"/>
        </w:rPr>
        <w:t>和</w:t>
      </w:r>
      <w:r>
        <w:rPr>
          <w:rFonts w:hint="eastAsia" w:asciiTheme="minorEastAsia" w:hAnsiTheme="minorEastAsia" w:eastAsiaTheme="minorEastAsia" w:cstheme="minorEastAsia"/>
          <w:b/>
          <w:bCs/>
          <w:color w:val="auto"/>
          <w:szCs w:val="21"/>
          <w:highlight w:val="none"/>
        </w:rPr>
        <w:t>工程量清单及招标控制价编制委托合同</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lang w:val="en-US" w:eastAsia="zh-CN"/>
        </w:rPr>
        <w:t>适用于标项一</w:t>
      </w:r>
      <w:r>
        <w:rPr>
          <w:rFonts w:hint="eastAsia" w:asciiTheme="minorEastAsia" w:hAnsiTheme="minorEastAsia" w:eastAsiaTheme="minorEastAsia" w:cstheme="minorEastAsia"/>
          <w:b/>
          <w:bCs/>
          <w:color w:val="auto"/>
          <w:szCs w:val="21"/>
          <w:highlight w:val="none"/>
          <w:lang w:eastAsia="zh-CN"/>
        </w:rPr>
        <w:t>）</w:t>
      </w:r>
    </w:p>
    <w:p w14:paraId="7D18BC39">
      <w:pPr>
        <w:spacing w:line="440" w:lineRule="exact"/>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具体以实际签订为准</w:t>
      </w:r>
    </w:p>
    <w:p w14:paraId="16A9DB28">
      <w:pPr>
        <w:spacing w:line="400" w:lineRule="exact"/>
        <w:jc w:val="left"/>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GF-2005-0215</w:t>
      </w:r>
    </w:p>
    <w:p w14:paraId="7F080844">
      <w:pPr>
        <w:spacing w:line="400" w:lineRule="exact"/>
        <w:jc w:val="left"/>
        <w:rPr>
          <w:rFonts w:hint="eastAsia" w:asciiTheme="minorEastAsia" w:hAnsiTheme="minorEastAsia" w:eastAsiaTheme="minorEastAsia" w:cstheme="minorEastAsia"/>
          <w:b/>
          <w:bCs/>
          <w:color w:val="auto"/>
          <w:highlight w:val="none"/>
        </w:rPr>
      </w:pPr>
    </w:p>
    <w:p w14:paraId="1AA4E659">
      <w:pPr>
        <w:spacing w:line="400" w:lineRule="exact"/>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 </w:t>
      </w:r>
    </w:p>
    <w:p w14:paraId="4B4222CD">
      <w:pPr>
        <w:keepNext w:val="0"/>
        <w:keepLines w:val="0"/>
        <w:widowControl/>
        <w:suppressLineNumbers w:val="0"/>
        <w:jc w:val="center"/>
        <w:rPr>
          <w:rFonts w:hint="eastAsia" w:asciiTheme="minorEastAsia" w:hAnsiTheme="minorEastAsia" w:eastAsiaTheme="minorEastAsia" w:cstheme="minorEastAsia"/>
          <w:b/>
          <w:bCs/>
          <w:color w:val="auto"/>
          <w:sz w:val="72"/>
          <w:highlight w:val="none"/>
        </w:rPr>
      </w:pPr>
      <w:r>
        <w:rPr>
          <w:rFonts w:hint="eastAsia" w:asciiTheme="minorEastAsia" w:hAnsiTheme="minorEastAsia" w:eastAsiaTheme="minorEastAsia" w:cstheme="minorEastAsia"/>
          <w:b/>
          <w:bCs/>
          <w:color w:val="auto"/>
          <w:sz w:val="72"/>
          <w:highlight w:val="none"/>
        </w:rPr>
        <w:t>建设工程招标代理合同</w:t>
      </w:r>
    </w:p>
    <w:p w14:paraId="29E660B6">
      <w:pPr>
        <w:keepNext w:val="0"/>
        <w:keepLines w:val="0"/>
        <w:widowControl/>
        <w:suppressLineNumbers w:val="0"/>
        <w:jc w:val="left"/>
        <w:rPr>
          <w:rFonts w:hint="eastAsia" w:asciiTheme="minorEastAsia" w:hAnsiTheme="minorEastAsia" w:eastAsiaTheme="minorEastAsia" w:cstheme="minorEastAsia"/>
          <w:color w:val="auto"/>
          <w:highlight w:val="none"/>
        </w:rPr>
      </w:pPr>
    </w:p>
    <w:p w14:paraId="6961960F">
      <w:pPr>
        <w:pStyle w:val="29"/>
        <w:rPr>
          <w:rFonts w:hint="eastAsia" w:asciiTheme="minorEastAsia" w:hAnsiTheme="minorEastAsia" w:eastAsiaTheme="minorEastAsia" w:cstheme="minorEastAsia"/>
          <w:color w:val="auto"/>
          <w:highlight w:val="none"/>
        </w:rPr>
      </w:pPr>
    </w:p>
    <w:p w14:paraId="6446F619">
      <w:pPr>
        <w:spacing w:line="400" w:lineRule="exact"/>
        <w:ind w:firstLine="240"/>
        <w:rPr>
          <w:rFonts w:hint="eastAsia" w:asciiTheme="minorEastAsia" w:hAnsiTheme="minorEastAsia" w:eastAsiaTheme="minorEastAsia" w:cstheme="minorEastAsia"/>
          <w:b/>
          <w:bCs/>
          <w:color w:val="auto"/>
          <w:sz w:val="72"/>
          <w:highlight w:val="none"/>
        </w:rPr>
      </w:pPr>
    </w:p>
    <w:p w14:paraId="25DFDD18">
      <w:pPr>
        <w:spacing w:line="400" w:lineRule="exact"/>
        <w:rPr>
          <w:rFonts w:hint="eastAsia" w:asciiTheme="minorEastAsia" w:hAnsiTheme="minorEastAsia" w:eastAsiaTheme="minorEastAsia" w:cstheme="minorEastAsia"/>
          <w:b/>
          <w:bCs/>
          <w:color w:val="auto"/>
          <w:highlight w:val="none"/>
        </w:rPr>
      </w:pPr>
    </w:p>
    <w:p w14:paraId="0C218710">
      <w:pPr>
        <w:spacing w:line="400" w:lineRule="exact"/>
        <w:rPr>
          <w:rFonts w:hint="eastAsia" w:asciiTheme="minorEastAsia" w:hAnsiTheme="minorEastAsia" w:eastAsiaTheme="minorEastAsia" w:cstheme="minorEastAsia"/>
          <w:b/>
          <w:bCs/>
          <w:color w:val="auto"/>
          <w:highlight w:val="none"/>
        </w:rPr>
      </w:pPr>
    </w:p>
    <w:p w14:paraId="12BE4340">
      <w:pPr>
        <w:spacing w:line="400" w:lineRule="exact"/>
        <w:ind w:firstLine="24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   </w:t>
      </w:r>
    </w:p>
    <w:p w14:paraId="2B04A02D">
      <w:pPr>
        <w:spacing w:line="400" w:lineRule="exact"/>
        <w:ind w:firstLine="24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 </w:t>
      </w:r>
    </w:p>
    <w:p w14:paraId="4B6B1E3A">
      <w:pPr>
        <w:spacing w:line="400" w:lineRule="exact"/>
        <w:ind w:firstLine="24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 </w:t>
      </w:r>
    </w:p>
    <w:p w14:paraId="0FD54FD5">
      <w:pPr>
        <w:keepNext w:val="0"/>
        <w:keepLines w:val="0"/>
        <w:pageBreakBefore w:val="0"/>
        <w:widowControl w:val="0"/>
        <w:kinsoku/>
        <w:wordWrap/>
        <w:overflowPunct/>
        <w:topLinePunct w:val="0"/>
        <w:autoSpaceDE/>
        <w:autoSpaceDN/>
        <w:bidi w:val="0"/>
        <w:adjustRightInd/>
        <w:snapToGrid/>
        <w:spacing w:line="720" w:lineRule="exact"/>
        <w:ind w:firstLine="1205" w:firstLineChars="400"/>
        <w:jc w:val="left"/>
        <w:textAlignment w:val="auto"/>
        <w:rPr>
          <w:rFonts w:hint="eastAsia" w:asciiTheme="minorEastAsia" w:hAnsiTheme="minorEastAsia" w:eastAsiaTheme="minorEastAsia" w:cstheme="minorEastAsia"/>
          <w:b/>
          <w:bCs/>
          <w:color w:val="auto"/>
          <w:sz w:val="30"/>
          <w:szCs w:val="30"/>
          <w:highlight w:val="none"/>
          <w:u w:val="none"/>
        </w:rPr>
      </w:pPr>
      <w:r>
        <w:rPr>
          <w:rFonts w:hint="eastAsia" w:asciiTheme="minorEastAsia" w:hAnsiTheme="minorEastAsia" w:eastAsiaTheme="minorEastAsia" w:cstheme="minorEastAsia"/>
          <w:b/>
          <w:bCs/>
          <w:color w:val="auto"/>
          <w:sz w:val="30"/>
          <w:szCs w:val="30"/>
          <w:highlight w:val="none"/>
        </w:rPr>
        <w:t>工程名称：</w:t>
      </w:r>
      <w:r>
        <w:rPr>
          <w:rFonts w:hint="eastAsia" w:asciiTheme="minorEastAsia" w:hAnsiTheme="minorEastAsia" w:eastAsiaTheme="minorEastAsia" w:cstheme="minorEastAsia"/>
          <w:b/>
          <w:bCs/>
          <w:color w:val="auto"/>
          <w:sz w:val="30"/>
          <w:szCs w:val="30"/>
          <w:highlight w:val="none"/>
          <w:u w:val="single"/>
        </w:rPr>
        <w:t xml:space="preserve">                         </w:t>
      </w:r>
      <w:r>
        <w:rPr>
          <w:rFonts w:hint="eastAsia" w:asciiTheme="minorEastAsia" w:hAnsiTheme="minorEastAsia" w:eastAsiaTheme="minorEastAsia" w:cstheme="minorEastAsia"/>
          <w:b/>
          <w:bCs/>
          <w:color w:val="auto"/>
          <w:sz w:val="30"/>
          <w:szCs w:val="30"/>
          <w:highlight w:val="none"/>
          <w:u w:val="none"/>
        </w:rPr>
        <w:t xml:space="preserve">            </w:t>
      </w:r>
    </w:p>
    <w:p w14:paraId="50E0C13E">
      <w:pPr>
        <w:keepNext w:val="0"/>
        <w:keepLines w:val="0"/>
        <w:pageBreakBefore w:val="0"/>
        <w:widowControl w:val="0"/>
        <w:kinsoku/>
        <w:wordWrap/>
        <w:overflowPunct/>
        <w:topLinePunct w:val="0"/>
        <w:autoSpaceDE/>
        <w:autoSpaceDN/>
        <w:bidi w:val="0"/>
        <w:adjustRightInd/>
        <w:snapToGrid/>
        <w:spacing w:line="720" w:lineRule="exact"/>
        <w:ind w:firstLine="1205" w:firstLineChars="400"/>
        <w:jc w:val="left"/>
        <w:textAlignment w:val="auto"/>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委 托 人：</w:t>
      </w:r>
      <w:r>
        <w:rPr>
          <w:rFonts w:hint="eastAsia" w:asciiTheme="minorEastAsia" w:hAnsiTheme="minorEastAsia" w:eastAsiaTheme="minorEastAsia" w:cstheme="minorEastAsia"/>
          <w:b/>
          <w:bCs/>
          <w:color w:val="auto"/>
          <w:sz w:val="30"/>
          <w:szCs w:val="30"/>
          <w:highlight w:val="none"/>
          <w:u w:val="single"/>
        </w:rPr>
        <w:t xml:space="preserve">                         </w:t>
      </w:r>
      <w:r>
        <w:rPr>
          <w:rFonts w:hint="eastAsia" w:asciiTheme="minorEastAsia" w:hAnsiTheme="minorEastAsia" w:eastAsiaTheme="minorEastAsia" w:cstheme="minorEastAsia"/>
          <w:b/>
          <w:bCs/>
          <w:color w:val="auto"/>
          <w:sz w:val="30"/>
          <w:szCs w:val="30"/>
          <w:highlight w:val="none"/>
          <w:u w:val="none"/>
        </w:rPr>
        <w:t xml:space="preserve">            </w:t>
      </w:r>
    </w:p>
    <w:p w14:paraId="4CE14633">
      <w:pPr>
        <w:keepNext w:val="0"/>
        <w:keepLines w:val="0"/>
        <w:pageBreakBefore w:val="0"/>
        <w:widowControl w:val="0"/>
        <w:kinsoku/>
        <w:wordWrap/>
        <w:overflowPunct/>
        <w:topLinePunct w:val="0"/>
        <w:autoSpaceDE/>
        <w:autoSpaceDN/>
        <w:bidi w:val="0"/>
        <w:adjustRightInd/>
        <w:snapToGrid/>
        <w:spacing w:line="720" w:lineRule="exact"/>
        <w:ind w:firstLine="1205" w:firstLineChars="400"/>
        <w:jc w:val="left"/>
        <w:textAlignment w:val="auto"/>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受 托 人：</w:t>
      </w:r>
      <w:r>
        <w:rPr>
          <w:rFonts w:hint="eastAsia" w:asciiTheme="minorEastAsia" w:hAnsiTheme="minorEastAsia" w:eastAsiaTheme="minorEastAsia" w:cstheme="minorEastAsia"/>
          <w:b/>
          <w:bCs/>
          <w:color w:val="auto"/>
          <w:sz w:val="30"/>
          <w:szCs w:val="30"/>
          <w:highlight w:val="none"/>
          <w:u w:val="single"/>
        </w:rPr>
        <w:t xml:space="preserve">                         </w:t>
      </w:r>
      <w:r>
        <w:rPr>
          <w:rFonts w:hint="eastAsia" w:asciiTheme="minorEastAsia" w:hAnsiTheme="minorEastAsia" w:eastAsiaTheme="minorEastAsia" w:cstheme="minorEastAsia"/>
          <w:b/>
          <w:bCs/>
          <w:color w:val="auto"/>
          <w:sz w:val="30"/>
          <w:szCs w:val="30"/>
          <w:highlight w:val="none"/>
          <w:u w:val="none"/>
        </w:rPr>
        <w:t xml:space="preserve">            </w:t>
      </w:r>
    </w:p>
    <w:p w14:paraId="629D8E0B">
      <w:pPr>
        <w:spacing w:line="360" w:lineRule="auto"/>
        <w:ind w:firstLine="240"/>
        <w:rPr>
          <w:rFonts w:hint="eastAsia" w:asciiTheme="minorEastAsia" w:hAnsiTheme="minorEastAsia" w:eastAsiaTheme="minorEastAsia" w:cstheme="minorEastAsia"/>
          <w:b/>
          <w:bCs/>
          <w:color w:val="auto"/>
          <w:sz w:val="32"/>
          <w:highlight w:val="none"/>
        </w:rPr>
      </w:pPr>
    </w:p>
    <w:p w14:paraId="68AD6168">
      <w:pPr>
        <w:pStyle w:val="30"/>
        <w:rPr>
          <w:rFonts w:hint="eastAsia" w:asciiTheme="minorEastAsia" w:hAnsiTheme="minorEastAsia" w:eastAsiaTheme="minorEastAsia" w:cstheme="minorEastAsia"/>
          <w:b/>
          <w:bCs/>
          <w:color w:val="auto"/>
          <w:sz w:val="32"/>
          <w:highlight w:val="none"/>
        </w:rPr>
      </w:pPr>
    </w:p>
    <w:p w14:paraId="42FD23D0">
      <w:pPr>
        <w:rPr>
          <w:rFonts w:hint="eastAsia" w:asciiTheme="minorEastAsia" w:hAnsiTheme="minorEastAsia" w:eastAsiaTheme="minorEastAsia" w:cstheme="minorEastAsia"/>
          <w:color w:val="auto"/>
          <w:highlight w:val="none"/>
        </w:rPr>
      </w:pPr>
    </w:p>
    <w:p w14:paraId="7245F80C">
      <w:pPr>
        <w:spacing w:line="360" w:lineRule="auto"/>
        <w:ind w:firstLine="240"/>
        <w:rPr>
          <w:rFonts w:hint="eastAsia" w:asciiTheme="minorEastAsia" w:hAnsiTheme="minorEastAsia" w:eastAsiaTheme="minorEastAsia" w:cstheme="minorEastAsia"/>
          <w:b/>
          <w:bCs/>
          <w:color w:val="auto"/>
          <w:sz w:val="32"/>
          <w:highlight w:val="none"/>
        </w:rPr>
      </w:pPr>
      <w:r>
        <w:rPr>
          <w:rFonts w:hint="eastAsia" w:asciiTheme="minorEastAsia" w:hAnsiTheme="minorEastAsia" w:eastAsiaTheme="minorEastAsia" w:cstheme="minorEastAsia"/>
          <w:b/>
          <w:bCs/>
          <w:color w:val="auto"/>
          <w:sz w:val="32"/>
          <w:highlight w:val="none"/>
        </w:rPr>
        <w:t> </w:t>
      </w:r>
    </w:p>
    <w:p w14:paraId="546F42D1">
      <w:pPr>
        <w:spacing w:line="360" w:lineRule="auto"/>
        <w:ind w:firstLine="240"/>
        <w:rPr>
          <w:rFonts w:hint="eastAsia" w:asciiTheme="minorEastAsia" w:hAnsiTheme="minorEastAsia" w:eastAsiaTheme="minorEastAsia" w:cstheme="minorEastAsia"/>
          <w:b/>
          <w:bCs/>
          <w:color w:val="auto"/>
          <w:sz w:val="32"/>
          <w:highlight w:val="none"/>
        </w:rPr>
      </w:pPr>
      <w:r>
        <w:rPr>
          <w:rFonts w:hint="eastAsia" w:asciiTheme="minorEastAsia" w:hAnsiTheme="minorEastAsia" w:eastAsiaTheme="minorEastAsia" w:cstheme="minorEastAsia"/>
          <w:b/>
          <w:bCs/>
          <w:color w:val="auto"/>
          <w:sz w:val="32"/>
          <w:highlight w:val="none"/>
        </w:rPr>
        <w:t> </w:t>
      </w:r>
    </w:p>
    <w:p w14:paraId="6CD00163">
      <w:pPr>
        <w:spacing w:line="360" w:lineRule="exact"/>
        <w:ind w:firstLine="2880"/>
        <w:rPr>
          <w:rFonts w:hint="eastAsia" w:asciiTheme="minorEastAsia" w:hAnsiTheme="minorEastAsia" w:eastAsiaTheme="minorEastAsia" w:cstheme="minorEastAsia"/>
          <w:b/>
          <w:bCs/>
          <w:color w:val="auto"/>
          <w:sz w:val="32"/>
          <w:highlight w:val="none"/>
        </w:rPr>
      </w:pPr>
      <w:r>
        <w:rPr>
          <w:rFonts w:hint="eastAsia" w:asciiTheme="minorEastAsia" w:hAnsiTheme="minorEastAsia" w:eastAsiaTheme="minorEastAsia" w:cstheme="minorEastAsia"/>
          <w:b/>
          <w:bCs/>
          <w:color w:val="auto"/>
          <w:sz w:val="32"/>
          <w:highlight w:val="none"/>
        </w:rPr>
        <w:t>中华人民共和国建设部</w:t>
      </w:r>
    </w:p>
    <w:p w14:paraId="0B797234">
      <w:pPr>
        <w:spacing w:line="360" w:lineRule="exact"/>
        <w:ind w:firstLine="6444" w:firstLineChars="2006"/>
        <w:rPr>
          <w:rFonts w:hint="eastAsia" w:asciiTheme="minorEastAsia" w:hAnsiTheme="minorEastAsia" w:eastAsiaTheme="minorEastAsia" w:cstheme="minorEastAsia"/>
          <w:b/>
          <w:bCs/>
          <w:color w:val="auto"/>
          <w:sz w:val="32"/>
          <w:highlight w:val="none"/>
        </w:rPr>
      </w:pPr>
      <w:r>
        <w:rPr>
          <w:rFonts w:hint="eastAsia" w:asciiTheme="minorEastAsia" w:hAnsiTheme="minorEastAsia" w:eastAsiaTheme="minorEastAsia" w:cstheme="minorEastAsia"/>
          <w:b/>
          <w:bCs/>
          <w:color w:val="auto"/>
          <w:sz w:val="32"/>
          <w:highlight w:val="none"/>
        </w:rPr>
        <w:t>制定</w:t>
      </w:r>
    </w:p>
    <w:p w14:paraId="4E09F547">
      <w:pPr>
        <w:spacing w:line="360" w:lineRule="exact"/>
        <w:ind w:firstLine="2880"/>
        <w:rPr>
          <w:rFonts w:hint="eastAsia" w:asciiTheme="minorEastAsia" w:hAnsiTheme="minorEastAsia" w:eastAsiaTheme="minorEastAsia" w:cstheme="minorEastAsia"/>
          <w:b/>
          <w:bCs/>
          <w:color w:val="auto"/>
          <w:sz w:val="32"/>
          <w:highlight w:val="none"/>
        </w:rPr>
      </w:pPr>
      <w:r>
        <w:rPr>
          <w:rFonts w:hint="eastAsia" w:asciiTheme="minorEastAsia" w:hAnsiTheme="minorEastAsia" w:eastAsiaTheme="minorEastAsia" w:cstheme="minorEastAsia"/>
          <w:b/>
          <w:bCs/>
          <w:color w:val="auto"/>
          <w:sz w:val="32"/>
          <w:highlight w:val="none"/>
        </w:rPr>
        <w:t xml:space="preserve">国家工商行政管理总局  </w:t>
      </w:r>
    </w:p>
    <w:p w14:paraId="78C031ED">
      <w:pPr>
        <w:pStyle w:val="29"/>
        <w:rPr>
          <w:rFonts w:hint="eastAsia" w:asciiTheme="minorEastAsia" w:hAnsiTheme="minorEastAsia" w:eastAsiaTheme="minorEastAsia" w:cstheme="minorEastAsia"/>
          <w:highlight w:val="none"/>
        </w:rPr>
      </w:pPr>
    </w:p>
    <w:p w14:paraId="1EA1CC67">
      <w:pPr>
        <w:spacing w:line="400" w:lineRule="exact"/>
        <w:jc w:val="center"/>
        <w:rPr>
          <w:rFonts w:hint="eastAsia" w:asciiTheme="minorEastAsia" w:hAnsiTheme="minorEastAsia" w:eastAsiaTheme="minorEastAsia" w:cstheme="minorEastAsia"/>
          <w:b/>
          <w:bCs/>
          <w:color w:val="auto"/>
          <w:sz w:val="44"/>
          <w:highlight w:val="none"/>
        </w:rPr>
      </w:pPr>
    </w:p>
    <w:p w14:paraId="09991B60">
      <w:pPr>
        <w:pStyle w:val="2"/>
        <w:widowControl/>
        <w:spacing w:before="0" w:after="0" w:line="360" w:lineRule="auto"/>
        <w:jc w:val="center"/>
        <w:rPr>
          <w:rFonts w:hint="eastAsia" w:asciiTheme="minorEastAsia" w:hAnsiTheme="minorEastAsia" w:eastAsiaTheme="minorEastAsia" w:cstheme="minorEastAsia"/>
          <w:color w:val="auto"/>
          <w:sz w:val="36"/>
          <w:szCs w:val="52"/>
          <w:highlight w:val="none"/>
        </w:rPr>
      </w:pPr>
      <w:r>
        <w:rPr>
          <w:rFonts w:hint="eastAsia" w:asciiTheme="minorEastAsia" w:hAnsiTheme="minorEastAsia" w:eastAsiaTheme="minorEastAsia" w:cstheme="minorEastAsia"/>
          <w:color w:val="auto"/>
          <w:sz w:val="36"/>
          <w:szCs w:val="52"/>
          <w:highlight w:val="none"/>
        </w:rPr>
        <w:t>工程建设项目招标代理协议书</w:t>
      </w:r>
    </w:p>
    <w:p w14:paraId="7FA4BFF5">
      <w:pPr>
        <w:spacing w:line="400" w:lineRule="exact"/>
        <w:ind w:firstLine="422" w:firstLineChars="20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b/>
          <w:bCs/>
          <w:color w:val="auto"/>
          <w:highlight w:val="none"/>
        </w:rPr>
        <w:t>委托人：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szCs w:val="21"/>
          <w:highlight w:val="none"/>
          <w:u w:val="single"/>
        </w:rPr>
        <w:t>宁海县科建开发投资有限公司</w:t>
      </w:r>
      <w:r>
        <w:rPr>
          <w:rFonts w:hint="eastAsia" w:asciiTheme="minorEastAsia" w:hAnsiTheme="minorEastAsia" w:eastAsiaTheme="minorEastAsia" w:cstheme="minorEastAsia"/>
          <w:color w:val="auto"/>
          <w:highlight w:val="none"/>
          <w:u w:val="single"/>
        </w:rPr>
        <w:t xml:space="preserve">         </w:t>
      </w:r>
    </w:p>
    <w:p w14:paraId="25B2EB60">
      <w:pPr>
        <w:spacing w:line="440" w:lineRule="exact"/>
        <w:ind w:firstLine="422" w:firstLineChars="200"/>
        <w:rPr>
          <w:rFonts w:hint="eastAsia" w:asciiTheme="minorEastAsia" w:hAnsiTheme="minorEastAsia" w:eastAsiaTheme="minorEastAsia" w:cstheme="minorEastAsia"/>
          <w:color w:val="auto"/>
          <w:kern w:val="0"/>
          <w:szCs w:val="28"/>
          <w:highlight w:val="none"/>
          <w:u w:val="single"/>
        </w:rPr>
      </w:pPr>
      <w:r>
        <w:rPr>
          <w:rFonts w:hint="eastAsia" w:asciiTheme="minorEastAsia" w:hAnsiTheme="minorEastAsia" w:eastAsiaTheme="minorEastAsia" w:cstheme="minorEastAsia"/>
          <w:b/>
          <w:bCs/>
          <w:color w:val="auto"/>
          <w:highlight w:val="none"/>
        </w:rPr>
        <w:t>受托人：</w:t>
      </w:r>
      <w:r>
        <w:rPr>
          <w:rFonts w:hint="eastAsia" w:asciiTheme="minorEastAsia" w:hAnsiTheme="minorEastAsia" w:eastAsiaTheme="minorEastAsia" w:cstheme="minorEastAsia"/>
          <w:color w:val="auto"/>
          <w:kern w:val="0"/>
          <w:szCs w:val="28"/>
          <w:highlight w:val="none"/>
          <w:u w:val="single"/>
        </w:rPr>
        <w:t xml:space="preserve">                                     </w:t>
      </w:r>
    </w:p>
    <w:p w14:paraId="05CA36DD">
      <w:pPr>
        <w:spacing w:line="44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highlight w:val="none"/>
        </w:rPr>
        <w:t>依照《中华人民共和国民法典》、 《中华人民共和国招标投标法》及国家的有关法律、行政法规，遵循平等、自愿、公平和诚实信用的原则，双方就</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宁东新城前横孵化园及配套基础设施提升工程项目-前横片科技孵化园工程招标代理和工程量清单及招标控制价编制工</w:t>
      </w:r>
      <w:r>
        <w:rPr>
          <w:rFonts w:hint="eastAsia" w:asciiTheme="minorEastAsia" w:hAnsiTheme="minorEastAsia" w:eastAsiaTheme="minorEastAsia" w:cstheme="minorEastAsia"/>
          <w:color w:val="auto"/>
          <w:highlight w:val="none"/>
          <w:u w:val="single"/>
        </w:rPr>
        <w:t>程</w:t>
      </w:r>
      <w:r>
        <w:rPr>
          <w:rFonts w:hint="eastAsia" w:asciiTheme="minorEastAsia" w:hAnsiTheme="minorEastAsia" w:eastAsiaTheme="minorEastAsia" w:cstheme="minorEastAsia"/>
          <w:color w:val="auto"/>
          <w:highlight w:val="none"/>
        </w:rPr>
        <w:t>招标代理事项协商一致，订立本合同。</w:t>
      </w:r>
    </w:p>
    <w:p w14:paraId="20CF75CF">
      <w:pPr>
        <w:spacing w:line="440" w:lineRule="exact"/>
        <w:ind w:firstLine="42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一、工程概况</w:t>
      </w:r>
    </w:p>
    <w:p w14:paraId="6A6D7706">
      <w:pPr>
        <w:spacing w:line="440" w:lineRule="exact"/>
        <w:ind w:firstLine="420" w:firstLineChars="20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工程名称：</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宁东新城前横孵化园及配套基础设施提升工程项目-前横片科技孵化园工程招标代理和工程量清单及招标控制价编制</w:t>
      </w:r>
      <w:r>
        <w:rPr>
          <w:rFonts w:hint="eastAsia" w:asciiTheme="minorEastAsia" w:hAnsiTheme="minorEastAsia" w:eastAsiaTheme="minorEastAsia" w:cstheme="minorEastAsia"/>
          <w:color w:val="auto"/>
          <w:highlight w:val="none"/>
          <w:u w:val="single"/>
        </w:rPr>
        <w:t xml:space="preserve"> </w:t>
      </w:r>
    </w:p>
    <w:p w14:paraId="692CF55A">
      <w:pPr>
        <w:spacing w:line="440" w:lineRule="exact"/>
        <w:ind w:firstLine="420" w:firstLineChars="20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地    点：</w:t>
      </w:r>
      <w:r>
        <w:rPr>
          <w:rFonts w:hint="eastAsia" w:asciiTheme="minorEastAsia" w:hAnsiTheme="minorEastAsia" w:eastAsiaTheme="minorEastAsia" w:cstheme="minorEastAsia"/>
          <w:color w:val="auto"/>
          <w:highlight w:val="none"/>
          <w:u w:val="single"/>
        </w:rPr>
        <w:t xml:space="preserve">                  </w:t>
      </w:r>
    </w:p>
    <w:p w14:paraId="630AA1E1">
      <w:pPr>
        <w:spacing w:line="440" w:lineRule="exact"/>
        <w:ind w:firstLine="420" w:firstLineChars="200"/>
        <w:rPr>
          <w:rFonts w:hint="eastAsia" w:asciiTheme="minorEastAsia" w:hAnsiTheme="minorEastAsia" w:eastAsiaTheme="minorEastAsia" w:cstheme="minorEastAsia"/>
          <w:color w:val="auto"/>
          <w:kern w:val="0"/>
          <w:szCs w:val="28"/>
          <w:highlight w:val="none"/>
          <w:u w:val="single"/>
        </w:rPr>
      </w:pPr>
      <w:r>
        <w:rPr>
          <w:rFonts w:hint="eastAsia" w:asciiTheme="minorEastAsia" w:hAnsiTheme="minorEastAsia" w:eastAsiaTheme="minorEastAsia" w:cstheme="minorEastAsia"/>
          <w:color w:val="auto"/>
          <w:highlight w:val="none"/>
        </w:rPr>
        <w:t>规    模：</w:t>
      </w:r>
      <w:r>
        <w:rPr>
          <w:rFonts w:hint="eastAsia" w:asciiTheme="minorEastAsia" w:hAnsiTheme="minorEastAsia" w:eastAsiaTheme="minorEastAsia" w:cstheme="minorEastAsia"/>
          <w:color w:val="auto"/>
          <w:kern w:val="0"/>
          <w:szCs w:val="28"/>
          <w:highlight w:val="none"/>
          <w:u w:val="single"/>
        </w:rPr>
        <w:t xml:space="preserve">     /         </w:t>
      </w:r>
    </w:p>
    <w:p w14:paraId="38C5A086">
      <w:pPr>
        <w:spacing w:line="440" w:lineRule="exact"/>
        <w:ind w:firstLine="420" w:firstLineChars="20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招标</w:t>
      </w:r>
      <w:r>
        <w:rPr>
          <w:rFonts w:hint="eastAsia" w:asciiTheme="minorEastAsia" w:hAnsiTheme="minorEastAsia" w:eastAsiaTheme="minorEastAsia" w:cstheme="minorEastAsia"/>
          <w:color w:val="auto"/>
          <w:highlight w:val="none"/>
          <w:lang w:val="en-US" w:eastAsia="zh-CN"/>
        </w:rPr>
        <w:t>内容</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u w:val="single"/>
        </w:rPr>
        <w:t xml:space="preserve">                                                             </w:t>
      </w:r>
    </w:p>
    <w:p w14:paraId="29496726">
      <w:pPr>
        <w:spacing w:line="440" w:lineRule="exact"/>
        <w:ind w:firstLine="420" w:firstLineChars="200"/>
        <w:rPr>
          <w:rFonts w:hint="eastAsia" w:asciiTheme="minorEastAsia" w:hAnsiTheme="minorEastAsia" w:eastAsiaTheme="minorEastAsia" w:cstheme="minorEastAsia"/>
          <w:color w:val="auto"/>
          <w:kern w:val="0"/>
          <w:szCs w:val="28"/>
          <w:highlight w:val="none"/>
          <w:u w:val="single"/>
        </w:rPr>
      </w:pPr>
      <w:r>
        <w:rPr>
          <w:rFonts w:hint="eastAsia" w:asciiTheme="minorEastAsia" w:hAnsiTheme="minorEastAsia" w:eastAsiaTheme="minorEastAsia" w:cstheme="minorEastAsia"/>
          <w:color w:val="auto"/>
          <w:highlight w:val="none"/>
        </w:rPr>
        <w:t>总投资额：</w:t>
      </w:r>
      <w:r>
        <w:rPr>
          <w:rFonts w:hint="eastAsia" w:asciiTheme="minorEastAsia" w:hAnsiTheme="minorEastAsia" w:eastAsiaTheme="minorEastAsia" w:cstheme="minorEastAsia"/>
          <w:color w:val="auto"/>
          <w:kern w:val="0"/>
          <w:szCs w:val="28"/>
          <w:highlight w:val="none"/>
          <w:u w:val="single"/>
        </w:rPr>
        <w:t xml:space="preserve">                </w:t>
      </w:r>
    </w:p>
    <w:p w14:paraId="224CD0C3">
      <w:pPr>
        <w:numPr>
          <w:ilvl w:val="0"/>
          <w:numId w:val="10"/>
        </w:numPr>
        <w:spacing w:line="440" w:lineRule="exact"/>
        <w:ind w:firstLine="422" w:firstLineChars="200"/>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rPr>
        <w:t>委托</w:t>
      </w:r>
      <w:r>
        <w:rPr>
          <w:rFonts w:hint="eastAsia" w:asciiTheme="minorEastAsia" w:hAnsiTheme="minorEastAsia" w:eastAsiaTheme="minorEastAsia" w:cstheme="minorEastAsia"/>
          <w:b/>
          <w:bCs/>
          <w:color w:val="auto"/>
          <w:highlight w:val="none"/>
          <w:lang w:val="en-US" w:eastAsia="zh-CN"/>
        </w:rPr>
        <w:t>范围</w:t>
      </w:r>
    </w:p>
    <w:p w14:paraId="121D8768">
      <w:pPr>
        <w:numPr>
          <w:ilvl w:val="0"/>
          <w:numId w:val="0"/>
        </w:numPr>
        <w:spacing w:line="440" w:lineRule="exact"/>
        <w:ind w:firstLine="420" w:firstLineChars="200"/>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b w:val="0"/>
          <w:bCs w:val="0"/>
          <w:color w:val="auto"/>
          <w:highlight w:val="none"/>
          <w:lang w:val="en-US" w:eastAsia="zh-CN"/>
        </w:rPr>
        <w:t>委托人</w:t>
      </w:r>
      <w:r>
        <w:rPr>
          <w:rFonts w:hint="eastAsia" w:asciiTheme="minorEastAsia" w:hAnsiTheme="minorEastAsia" w:eastAsiaTheme="minorEastAsia" w:cstheme="minorEastAsia"/>
          <w:b w:val="0"/>
          <w:bCs w:val="0"/>
          <w:color w:val="auto"/>
          <w:highlight w:val="none"/>
        </w:rPr>
        <w:t>委托受托人为</w:t>
      </w:r>
      <w:r>
        <w:rPr>
          <w:rFonts w:hint="eastAsia" w:asciiTheme="minorEastAsia" w:hAnsiTheme="minorEastAsia" w:eastAsiaTheme="minorEastAsia" w:cstheme="minorEastAsia"/>
          <w:color w:val="auto"/>
          <w:highlight w:val="none"/>
          <w:u w:val="single"/>
          <w:lang w:val="en-US" w:eastAsia="zh-CN"/>
        </w:rPr>
        <w:t>宁东新城前横孵化园及配套基础设施提升工程项目-前横片科技孵化园工程招标代理和工程量清单及招标控制价编制</w:t>
      </w:r>
      <w:r>
        <w:rPr>
          <w:rFonts w:hint="eastAsia" w:asciiTheme="minorEastAsia" w:hAnsiTheme="minorEastAsia" w:eastAsiaTheme="minorEastAsia" w:cstheme="minorEastAsia"/>
          <w:color w:val="auto"/>
          <w:highlight w:val="none"/>
        </w:rPr>
        <w:t>项目的招标代理机构，承担本工程的</w:t>
      </w:r>
      <w:r>
        <w:rPr>
          <w:rFonts w:hint="eastAsia" w:asciiTheme="minorEastAsia" w:hAnsiTheme="minorEastAsia" w:eastAsiaTheme="minorEastAsia" w:cstheme="minorEastAsia"/>
          <w:color w:val="auto"/>
          <w:highlight w:val="none"/>
          <w:u w:val="single"/>
        </w:rPr>
        <w:t xml:space="preserve">             招标代理</w:t>
      </w:r>
      <w:r>
        <w:rPr>
          <w:rFonts w:hint="eastAsia" w:asciiTheme="minorEastAsia" w:hAnsiTheme="minorEastAsia" w:eastAsiaTheme="minorEastAsia" w:cstheme="minorEastAsia"/>
          <w:color w:val="auto"/>
          <w:highlight w:val="none"/>
          <w:u w:val="single"/>
          <w:lang w:val="en-US" w:eastAsia="zh-CN"/>
        </w:rPr>
        <w:t>和工程量清单及招标控制价编制</w:t>
      </w:r>
      <w:r>
        <w:rPr>
          <w:rFonts w:hint="eastAsia" w:asciiTheme="minorEastAsia" w:hAnsiTheme="minorEastAsia" w:eastAsiaTheme="minorEastAsia" w:cstheme="minorEastAsia"/>
          <w:color w:val="auto"/>
          <w:highlight w:val="none"/>
        </w:rPr>
        <w:t>工作。</w:t>
      </w:r>
    </w:p>
    <w:p w14:paraId="36576D43">
      <w:pPr>
        <w:spacing w:line="440" w:lineRule="exact"/>
        <w:ind w:firstLine="422"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三、</w:t>
      </w:r>
      <w:r>
        <w:rPr>
          <w:rFonts w:hint="eastAsia" w:asciiTheme="minorEastAsia" w:hAnsiTheme="minorEastAsia" w:eastAsiaTheme="minorEastAsia" w:cstheme="minorEastAsia"/>
          <w:b/>
          <w:bCs/>
          <w:color w:val="auto"/>
          <w:highlight w:val="none"/>
          <w:lang w:val="en-US" w:eastAsia="zh-CN"/>
        </w:rPr>
        <w:t>签约</w:t>
      </w:r>
      <w:r>
        <w:rPr>
          <w:rFonts w:hint="eastAsia" w:asciiTheme="minorEastAsia" w:hAnsiTheme="minorEastAsia" w:eastAsiaTheme="minorEastAsia" w:cstheme="minorEastAsia"/>
          <w:b/>
          <w:bCs/>
          <w:color w:val="auto"/>
          <w:highlight w:val="none"/>
        </w:rPr>
        <w:t>合同价款</w:t>
      </w:r>
    </w:p>
    <w:p w14:paraId="149280CB">
      <w:pPr>
        <w:pStyle w:val="4"/>
        <w:snapToGrid w:val="0"/>
        <w:spacing w:after="0" w:line="440" w:lineRule="exact"/>
        <w:ind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1.签约</w:t>
      </w:r>
      <w:r>
        <w:rPr>
          <w:rFonts w:hint="eastAsia" w:asciiTheme="minorEastAsia" w:hAnsiTheme="minorEastAsia" w:eastAsiaTheme="minorEastAsia" w:cstheme="minorEastAsia"/>
          <w:color w:val="auto"/>
          <w:szCs w:val="21"/>
          <w:highlight w:val="none"/>
        </w:rPr>
        <w:t>合同价款：暂定人民币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，此价格为含税价。</w:t>
      </w:r>
    </w:p>
    <w:p w14:paraId="2F95B945">
      <w:pPr>
        <w:pStyle w:val="4"/>
        <w:snapToGrid w:val="0"/>
        <w:spacing w:after="0" w:line="440" w:lineRule="exact"/>
        <w:ind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中标下浮率为：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437EE10A">
      <w:pPr>
        <w:pStyle w:val="4"/>
        <w:snapToGrid w:val="0"/>
        <w:spacing w:after="0"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计取方式：</w:t>
      </w:r>
      <w:r>
        <w:rPr>
          <w:rFonts w:hint="eastAsia" w:asciiTheme="minorEastAsia" w:hAnsiTheme="minorEastAsia" w:eastAsiaTheme="minorEastAsia" w:cstheme="minorEastAsia"/>
          <w:color w:val="auto"/>
          <w:szCs w:val="21"/>
          <w:highlight w:val="none"/>
          <w:lang w:val="en-US" w:eastAsia="zh-CN"/>
        </w:rPr>
        <w:t>招标代理服务费：最终以代理项目的施工中标价为计费基数，按照“关于印发《宁波市招标(采购)代理服务收费指导意见》的通知”文件规定的工程招标收费标准×（1-50%-中标下浮率）计取。【招标代理费含施工招标服务费、监理招标服务费及评标专家费（包括评审报酬、交通费、餐费、住宿费、保险费等）、文件费、公告费等有关本项目的全部费用】。</w:t>
      </w:r>
    </w:p>
    <w:p w14:paraId="3B56D6C7">
      <w:pPr>
        <w:pStyle w:val="4"/>
        <w:snapToGrid w:val="0"/>
        <w:spacing w:after="0"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lang w:eastAsia="zh-CN"/>
        </w:rPr>
        <w:t>工程量清单及招标控制价编制</w:t>
      </w:r>
      <w:r>
        <w:rPr>
          <w:rFonts w:hint="eastAsia" w:asciiTheme="minorEastAsia" w:hAnsiTheme="minorEastAsia" w:eastAsiaTheme="minorEastAsia" w:cstheme="minorEastAsia"/>
          <w:color w:val="auto"/>
          <w:szCs w:val="21"/>
          <w:highlight w:val="none"/>
          <w:lang w:val="en-US" w:eastAsia="zh-CN"/>
        </w:rPr>
        <w:t>费：最终以招标控制价为基数，按照《浙江省物价局关于进一步完善工程造价咨询服务收费的通知》（浙价服〔2009〕84 号）文件规定的收费标准×（1-37%-中标下浮率）。</w:t>
      </w:r>
    </w:p>
    <w:p w14:paraId="48F91A08">
      <w:pPr>
        <w:spacing w:line="440" w:lineRule="exact"/>
        <w:ind w:firstLine="42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四、组成本合同的文件</w:t>
      </w:r>
      <w:r>
        <w:rPr>
          <w:rFonts w:hint="eastAsia" w:asciiTheme="minorEastAsia" w:hAnsiTheme="minorEastAsia" w:eastAsiaTheme="minorEastAsia" w:cstheme="minorEastAsia"/>
          <w:color w:val="auto"/>
          <w:highlight w:val="none"/>
        </w:rPr>
        <w:t>：</w:t>
      </w:r>
    </w:p>
    <w:p w14:paraId="3E19627A">
      <w:pPr>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1、中标通知书或委托书（如果有）；</w:t>
      </w:r>
    </w:p>
    <w:p w14:paraId="352BF928">
      <w:pPr>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投标函及投标函附录或造价咨询服务建议书（如果有）；</w:t>
      </w:r>
    </w:p>
    <w:p w14:paraId="04B6E748">
      <w:pPr>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、本合同协议书；</w:t>
      </w:r>
    </w:p>
    <w:p w14:paraId="6F3BD6C6">
      <w:pPr>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、本合同专用条款；</w:t>
      </w:r>
    </w:p>
    <w:p w14:paraId="69124399">
      <w:pPr>
        <w:spacing w:line="440" w:lineRule="exact"/>
        <w:ind w:firstLine="420" w:firstLineChars="20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、本合同通用条款</w:t>
      </w:r>
      <w:r>
        <w:rPr>
          <w:rFonts w:hint="eastAsia" w:asciiTheme="minorEastAsia" w:hAnsiTheme="minorEastAsia" w:eastAsiaTheme="minorEastAsia" w:cstheme="minorEastAsia"/>
          <w:color w:val="auto"/>
          <w:highlight w:val="none"/>
          <w:lang w:eastAsia="zh-CN"/>
        </w:rPr>
        <w:t>；</w:t>
      </w:r>
    </w:p>
    <w:p w14:paraId="2719E5BD">
      <w:pPr>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本合同履行过程中双方以书面形式签署的补充和修正文件。</w:t>
      </w:r>
    </w:p>
    <w:p w14:paraId="5CDA5749">
      <w:pPr>
        <w:spacing w:line="440" w:lineRule="exact"/>
        <w:ind w:firstLine="422"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五、本协议书中的有关词语定义与本合同第一部分《通用条款》中分别赋予它们的定义相同。</w:t>
      </w:r>
    </w:p>
    <w:p w14:paraId="481853DC">
      <w:pPr>
        <w:spacing w:line="440" w:lineRule="exact"/>
        <w:ind w:firstLine="422"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六、受托人向委托人承诺，按照本合同的约定，承担本合同专用条款中约定范围内的代理业务。</w:t>
      </w:r>
    </w:p>
    <w:p w14:paraId="40F004B3">
      <w:pPr>
        <w:spacing w:line="440" w:lineRule="exact"/>
        <w:ind w:firstLine="422"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七、委托人向受托人承诺，按照本合同的约定，确保代理报酬的支付。</w:t>
      </w:r>
    </w:p>
    <w:p w14:paraId="5C892843">
      <w:pPr>
        <w:spacing w:line="440" w:lineRule="exact"/>
        <w:ind w:firstLine="422"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八、合同订立</w:t>
      </w:r>
    </w:p>
    <w:p w14:paraId="2DD1F9B6">
      <w:pPr>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合同订立时间：</w:t>
      </w:r>
      <w:r>
        <w:rPr>
          <w:rFonts w:hint="eastAsia" w:asciiTheme="minorEastAsia" w:hAnsiTheme="minorEastAsia" w:eastAsiaTheme="minorEastAsia" w:cstheme="minorEastAsia"/>
          <w:color w:val="auto"/>
          <w:highlight w:val="none"/>
          <w:u w:val="single"/>
        </w:rPr>
        <w:t xml:space="preserve">  2025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w:t>
      </w:r>
    </w:p>
    <w:p w14:paraId="3987D624">
      <w:pPr>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合同订立地点：</w:t>
      </w:r>
      <w:r>
        <w:rPr>
          <w:rFonts w:hint="eastAsia" w:asciiTheme="minorEastAsia" w:hAnsiTheme="minorEastAsia" w:eastAsiaTheme="minorEastAsia" w:cstheme="minorEastAsia"/>
          <w:color w:val="auto"/>
          <w:highlight w:val="none"/>
          <w:u w:val="single"/>
        </w:rPr>
        <w:t xml:space="preserve">宁海县科建开发投资有限公司   </w:t>
      </w:r>
    </w:p>
    <w:p w14:paraId="4C9DC4A3">
      <w:pPr>
        <w:spacing w:line="440" w:lineRule="exact"/>
        <w:ind w:firstLine="422"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九、合同生效</w:t>
      </w:r>
    </w:p>
    <w:p w14:paraId="23726A4E">
      <w:pPr>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本合同双方约定</w:t>
      </w:r>
      <w:r>
        <w:rPr>
          <w:rFonts w:hint="eastAsia" w:asciiTheme="minorEastAsia" w:hAnsiTheme="minorEastAsia" w:eastAsiaTheme="minorEastAsia" w:cstheme="minorEastAsia"/>
          <w:color w:val="auto"/>
          <w:highlight w:val="none"/>
          <w:u w:val="single"/>
        </w:rPr>
        <w:t>加盖双方单位印章、经法定代表人或授权委托人签字</w:t>
      </w:r>
      <w:r>
        <w:rPr>
          <w:rFonts w:hint="eastAsia" w:asciiTheme="minorEastAsia" w:hAnsiTheme="minorEastAsia" w:eastAsiaTheme="minorEastAsia" w:cstheme="minorEastAsia"/>
          <w:color w:val="auto"/>
          <w:highlight w:val="none"/>
        </w:rPr>
        <w:t>后生效。</w:t>
      </w:r>
    </w:p>
    <w:p w14:paraId="0AE846BF">
      <w:pPr>
        <w:pStyle w:val="17"/>
        <w:widowControl/>
        <w:adjustRightInd w:val="0"/>
        <w:snapToGrid w:val="0"/>
        <w:spacing w:before="0" w:after="0" w:line="440" w:lineRule="exact"/>
        <w:ind w:firstLine="422" w:firstLineChars="200"/>
        <w:jc w:val="left"/>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十、合同份数</w:t>
      </w:r>
    </w:p>
    <w:p w14:paraId="41669A48">
      <w:pPr>
        <w:pStyle w:val="145"/>
        <w:adjustRightInd w:val="0"/>
        <w:snapToGrid w:val="0"/>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本合同一式</w:t>
      </w:r>
      <w:r>
        <w:rPr>
          <w:rFonts w:hint="eastAsia" w:asciiTheme="minorEastAsia" w:hAnsiTheme="minorEastAsia" w:eastAsiaTheme="minorEastAsia" w:cstheme="minorEastAsia"/>
          <w:color w:val="auto"/>
          <w:highlight w:val="none"/>
          <w:u w:val="single"/>
        </w:rPr>
        <w:t>肆</w:t>
      </w:r>
      <w:r>
        <w:rPr>
          <w:rFonts w:hint="eastAsia" w:asciiTheme="minorEastAsia" w:hAnsiTheme="minorEastAsia" w:eastAsiaTheme="minorEastAsia" w:cstheme="minorEastAsia"/>
          <w:color w:val="auto"/>
          <w:highlight w:val="none"/>
        </w:rPr>
        <w:t>份，具有同等法律效力，其中委托人执</w:t>
      </w:r>
      <w:r>
        <w:rPr>
          <w:rFonts w:hint="eastAsia" w:asciiTheme="minorEastAsia" w:hAnsiTheme="minorEastAsia" w:eastAsiaTheme="minorEastAsia" w:cstheme="minorEastAsia"/>
          <w:color w:val="auto"/>
          <w:highlight w:val="none"/>
          <w:u w:val="single"/>
        </w:rPr>
        <w:t>贰</w:t>
      </w:r>
      <w:r>
        <w:rPr>
          <w:rFonts w:hint="eastAsia" w:asciiTheme="minorEastAsia" w:hAnsiTheme="minorEastAsia" w:eastAsiaTheme="minorEastAsia" w:cstheme="minorEastAsia"/>
          <w:color w:val="auto"/>
          <w:highlight w:val="none"/>
        </w:rPr>
        <w:t>份，咨询人执</w:t>
      </w:r>
      <w:r>
        <w:rPr>
          <w:rFonts w:hint="eastAsia" w:asciiTheme="minorEastAsia" w:hAnsiTheme="minorEastAsia" w:eastAsiaTheme="minorEastAsia" w:cstheme="minorEastAsia"/>
          <w:color w:val="auto"/>
          <w:highlight w:val="none"/>
          <w:u w:val="single"/>
        </w:rPr>
        <w:t>贰</w:t>
      </w:r>
      <w:r>
        <w:rPr>
          <w:rFonts w:hint="eastAsia" w:asciiTheme="minorEastAsia" w:hAnsiTheme="minorEastAsia" w:eastAsiaTheme="minorEastAsia" w:cstheme="minorEastAsia"/>
          <w:color w:val="auto"/>
          <w:highlight w:val="none"/>
        </w:rPr>
        <w:t>份。</w:t>
      </w:r>
    </w:p>
    <w:p w14:paraId="7CA4CCBE">
      <w:pPr>
        <w:pStyle w:val="29"/>
        <w:rPr>
          <w:rFonts w:hint="eastAsia" w:asciiTheme="minorEastAsia" w:hAnsiTheme="minorEastAsia" w:eastAsiaTheme="minorEastAsia" w:cstheme="minorEastAsia"/>
          <w:highlight w:val="none"/>
        </w:rPr>
      </w:pPr>
    </w:p>
    <w:p w14:paraId="14BC78E7">
      <w:pPr>
        <w:spacing w:line="440" w:lineRule="exact"/>
        <w:ind w:firstLine="420" w:firstLineChars="200"/>
        <w:rPr>
          <w:rFonts w:hint="eastAsia" w:asciiTheme="minorEastAsia" w:hAnsiTheme="minorEastAsia" w:eastAsiaTheme="minorEastAsia" w:cstheme="minorEastAsia"/>
          <w:color w:val="auto"/>
          <w:highlight w:val="none"/>
        </w:rPr>
      </w:pPr>
    </w:p>
    <w:p w14:paraId="29B82880">
      <w:pPr>
        <w:spacing w:line="440" w:lineRule="exact"/>
        <w:ind w:firstLine="420" w:firstLineChars="200"/>
        <w:rPr>
          <w:rFonts w:hint="eastAsia" w:asciiTheme="minorEastAsia" w:hAnsiTheme="minorEastAsia" w:eastAsiaTheme="minorEastAsia" w:cstheme="minorEastAsia"/>
          <w:color w:val="auto"/>
          <w:highlight w:val="none"/>
        </w:rPr>
      </w:pPr>
    </w:p>
    <w:p w14:paraId="35D8330E">
      <w:pPr>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委托人（盖章）：                      受托人（盖章）：</w:t>
      </w:r>
    </w:p>
    <w:p w14:paraId="28C7D944">
      <w:pPr>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法定代表人（签字或盖章）：            法定代表人（签字或盖章）：</w:t>
      </w:r>
    </w:p>
    <w:p w14:paraId="4C3F6B8E">
      <w:pPr>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授权代理人（签字或盖章）：            授权代理人（签字或盖章）：</w:t>
      </w:r>
    </w:p>
    <w:p w14:paraId="5E8B2B63">
      <w:pPr>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单位地址：                            单位地址：</w:t>
      </w:r>
    </w:p>
    <w:p w14:paraId="1E780D66">
      <w:pPr>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邮政编码：                            邮政编码：</w:t>
      </w:r>
    </w:p>
    <w:p w14:paraId="57BB87F0">
      <w:pPr>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联系电话：                            联系电话：</w:t>
      </w:r>
    </w:p>
    <w:p w14:paraId="40B32358">
      <w:pPr>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传    真：                            传    真：</w:t>
      </w:r>
    </w:p>
    <w:p w14:paraId="73AD2815">
      <w:pPr>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电子信箱：                            电子信箱： </w:t>
      </w:r>
    </w:p>
    <w:p w14:paraId="5DCE29A7">
      <w:pPr>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开户银行：                            开户银行： </w:t>
      </w:r>
    </w:p>
    <w:p w14:paraId="634734D5">
      <w:pPr>
        <w:spacing w:line="440" w:lineRule="exact"/>
        <w:ind w:firstLine="420"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highlight w:val="none"/>
        </w:rPr>
        <w:t>帐    号：                            帐    号：</w:t>
      </w:r>
    </w:p>
    <w:p w14:paraId="3F991E9D">
      <w:pPr>
        <w:spacing w:line="540" w:lineRule="exact"/>
        <w:rPr>
          <w:rFonts w:hint="eastAsia" w:asciiTheme="minorEastAsia" w:hAnsiTheme="minorEastAsia" w:eastAsiaTheme="minorEastAsia" w:cstheme="minorEastAsia"/>
          <w:b/>
          <w:bCs/>
          <w:color w:val="auto"/>
          <w:highlight w:val="none"/>
        </w:rPr>
      </w:pPr>
    </w:p>
    <w:p w14:paraId="4B19E9E8">
      <w:pPr>
        <w:spacing w:line="540" w:lineRule="exact"/>
        <w:jc w:val="center"/>
        <w:rPr>
          <w:rFonts w:hint="eastAsia" w:asciiTheme="minorEastAsia" w:hAnsiTheme="minorEastAsia" w:eastAsiaTheme="minorEastAsia" w:cstheme="minorEastAsia"/>
          <w:b/>
          <w:bCs/>
          <w:color w:val="auto"/>
          <w:sz w:val="44"/>
          <w:highlight w:val="none"/>
        </w:rPr>
      </w:pPr>
    </w:p>
    <w:p w14:paraId="358F8026">
      <w:pPr>
        <w:spacing w:line="540" w:lineRule="exact"/>
        <w:jc w:val="center"/>
        <w:rPr>
          <w:rFonts w:hint="eastAsia" w:asciiTheme="minorEastAsia" w:hAnsiTheme="minorEastAsia" w:eastAsiaTheme="minorEastAsia" w:cstheme="minorEastAsia"/>
          <w:b/>
          <w:bCs/>
          <w:color w:val="auto"/>
          <w:sz w:val="44"/>
          <w:highlight w:val="none"/>
        </w:rPr>
      </w:pPr>
    </w:p>
    <w:p w14:paraId="081293D1">
      <w:pPr>
        <w:spacing w:line="540" w:lineRule="exact"/>
        <w:jc w:val="center"/>
        <w:rPr>
          <w:rFonts w:hint="eastAsia" w:asciiTheme="minorEastAsia" w:hAnsiTheme="minorEastAsia" w:eastAsiaTheme="minorEastAsia" w:cstheme="minorEastAsia"/>
          <w:b/>
          <w:bCs/>
          <w:color w:val="auto"/>
          <w:sz w:val="44"/>
          <w:highlight w:val="none"/>
        </w:rPr>
      </w:pPr>
    </w:p>
    <w:p w14:paraId="7F78DBE7">
      <w:pPr>
        <w:pStyle w:val="19"/>
        <w:ind w:firstLine="210"/>
        <w:rPr>
          <w:rFonts w:hint="eastAsia" w:asciiTheme="minorEastAsia" w:hAnsiTheme="minorEastAsia" w:eastAsiaTheme="minorEastAsia" w:cstheme="minorEastAsia"/>
          <w:color w:val="auto"/>
          <w:highlight w:val="none"/>
        </w:rPr>
      </w:pPr>
    </w:p>
    <w:p w14:paraId="6E7DC556">
      <w:pPr>
        <w:pStyle w:val="19"/>
        <w:ind w:firstLine="210"/>
        <w:rPr>
          <w:rFonts w:hint="eastAsia" w:asciiTheme="minorEastAsia" w:hAnsiTheme="minorEastAsia" w:eastAsiaTheme="minorEastAsia" w:cstheme="minorEastAsia"/>
          <w:color w:val="auto"/>
          <w:highlight w:val="none"/>
        </w:rPr>
      </w:pPr>
    </w:p>
    <w:p w14:paraId="6BB972CE">
      <w:pPr>
        <w:pStyle w:val="2"/>
        <w:widowControl/>
        <w:spacing w:before="0" w:after="0" w:line="360" w:lineRule="auto"/>
        <w:jc w:val="center"/>
        <w:rPr>
          <w:rFonts w:hint="eastAsia" w:asciiTheme="minorEastAsia" w:hAnsiTheme="minorEastAsia" w:eastAsiaTheme="minorEastAsia" w:cstheme="minorEastAsia"/>
          <w:b/>
          <w:bCs/>
          <w:color w:val="auto"/>
          <w:sz w:val="36"/>
          <w:szCs w:val="52"/>
          <w:highlight w:val="none"/>
        </w:rPr>
      </w:pPr>
      <w:r>
        <w:rPr>
          <w:rFonts w:hint="eastAsia" w:asciiTheme="minorEastAsia" w:hAnsiTheme="minorEastAsia" w:eastAsiaTheme="minorEastAsia" w:cstheme="minorEastAsia"/>
          <w:b/>
          <w:bCs/>
          <w:color w:val="auto"/>
          <w:sz w:val="36"/>
          <w:szCs w:val="52"/>
          <w:highlight w:val="none"/>
        </w:rPr>
        <w:t>第一部分    通用条款</w:t>
      </w:r>
    </w:p>
    <w:p w14:paraId="228B5BAA">
      <w:pPr>
        <w:widowControl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见《工程建设项目招标代理合同》（GF-2005-0215）第一部分 通用条款</w:t>
      </w:r>
    </w:p>
    <w:p w14:paraId="56953DCC">
      <w:pPr>
        <w:widowControl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工程</w:t>
      </w:r>
      <w:r>
        <w:rPr>
          <w:rFonts w:hint="eastAsia" w:asciiTheme="minorEastAsia" w:hAnsiTheme="minorEastAsia" w:eastAsiaTheme="minorEastAsia" w:cstheme="minorEastAsia"/>
          <w:color w:val="auto"/>
          <w:szCs w:val="21"/>
          <w:highlight w:val="none"/>
        </w:rPr>
        <w:t>建设工程造价咨询合同》（GF-20</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5-021</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）第一部分 通用条款</w:t>
      </w:r>
      <w:r>
        <w:rPr>
          <w:rFonts w:hint="eastAsia" w:asciiTheme="minorEastAsia" w:hAnsiTheme="minorEastAsia" w:eastAsiaTheme="minorEastAsia" w:cstheme="minorEastAsia"/>
          <w:color w:val="auto"/>
          <w:szCs w:val="21"/>
          <w:highlight w:val="none"/>
          <w:lang w:eastAsia="zh-CN"/>
        </w:rPr>
        <w:t>。</w:t>
      </w:r>
    </w:p>
    <w:p w14:paraId="586F95C9">
      <w:pPr>
        <w:spacing w:line="540" w:lineRule="exact"/>
        <w:jc w:val="center"/>
        <w:rPr>
          <w:rFonts w:hint="eastAsia" w:asciiTheme="minorEastAsia" w:hAnsiTheme="minorEastAsia" w:eastAsiaTheme="minorEastAsia" w:cstheme="minorEastAsia"/>
          <w:b/>
          <w:bCs/>
          <w:color w:val="auto"/>
          <w:sz w:val="40"/>
          <w:szCs w:val="22"/>
          <w:highlight w:val="none"/>
          <w:lang w:val="zh-CN"/>
        </w:rPr>
      </w:pPr>
    </w:p>
    <w:p w14:paraId="55F8368A">
      <w:pPr>
        <w:widowControl w:val="0"/>
        <w:spacing w:line="500" w:lineRule="exact"/>
        <w:jc w:val="center"/>
        <w:rPr>
          <w:rFonts w:hint="eastAsia" w:asciiTheme="minorEastAsia" w:hAnsiTheme="minorEastAsia" w:eastAsiaTheme="minorEastAsia" w:cstheme="minorEastAsia"/>
          <w:b/>
          <w:bCs/>
          <w:color w:val="auto"/>
          <w:sz w:val="36"/>
          <w:szCs w:val="21"/>
          <w:highlight w:val="none"/>
          <w:lang w:val="zh-CN"/>
        </w:rPr>
      </w:pPr>
      <w:r>
        <w:rPr>
          <w:rFonts w:hint="eastAsia" w:asciiTheme="minorEastAsia" w:hAnsiTheme="minorEastAsia" w:eastAsiaTheme="minorEastAsia" w:cstheme="minorEastAsia"/>
          <w:b/>
          <w:bCs/>
          <w:color w:val="auto"/>
          <w:sz w:val="36"/>
          <w:szCs w:val="21"/>
          <w:highlight w:val="none"/>
          <w:lang w:val="zh-CN"/>
        </w:rPr>
        <w:t>第二部分   专用条款</w:t>
      </w:r>
    </w:p>
    <w:p w14:paraId="391A5644">
      <w:pPr>
        <w:widowControl w:val="0"/>
        <w:adjustRightInd w:val="0"/>
        <w:spacing w:line="440" w:lineRule="exact"/>
        <w:ind w:firstLine="211" w:firstLineChars="100"/>
        <w:jc w:val="both"/>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一、词语定义和适用法律</w:t>
      </w:r>
    </w:p>
    <w:p w14:paraId="4154023F">
      <w:pPr>
        <w:widowControl w:val="0"/>
        <w:adjustRightInd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zh-CN"/>
        </w:rPr>
        <w:t>合同文件及解释顺序</w:t>
      </w:r>
    </w:p>
    <w:p w14:paraId="5793492B">
      <w:pPr>
        <w:widowControl w:val="0"/>
        <w:adjustRightInd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lang w:val="zh-CN"/>
        </w:rPr>
        <w:t>.1 合同文件及解释顺序</w:t>
      </w:r>
    </w:p>
    <w:p w14:paraId="57A9D81C">
      <w:pPr>
        <w:widowControl w:val="0"/>
        <w:adjustRightInd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u w:val="single"/>
        </w:rPr>
        <w:t>（1）本合同协议书；（2）本合同专用条款；（3）本合同通用条款；（4）标准、规范及有关技术文本；（5）其他合同文本。</w:t>
      </w:r>
    </w:p>
    <w:p w14:paraId="3699A258">
      <w:pPr>
        <w:widowControl w:val="0"/>
        <w:adjustRightInd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zh-CN"/>
        </w:rPr>
        <w:t>语言文字和适用法律</w:t>
      </w:r>
    </w:p>
    <w:p w14:paraId="51323E6A">
      <w:pPr>
        <w:widowControl w:val="0"/>
        <w:adjustRightInd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lang w:val="zh-CN"/>
        </w:rPr>
        <w:t>.1 语言文字</w:t>
      </w:r>
    </w:p>
    <w:p w14:paraId="301315CD">
      <w:pPr>
        <w:widowControl w:val="0"/>
        <w:adjustRightInd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本合同采用的文字为：</w:t>
      </w:r>
      <w:r>
        <w:rPr>
          <w:rFonts w:hint="eastAsia" w:asciiTheme="minorEastAsia" w:hAnsiTheme="minorEastAsia" w:eastAsiaTheme="minorEastAsia" w:cstheme="minorEastAsia"/>
          <w:color w:val="auto"/>
          <w:szCs w:val="21"/>
          <w:highlight w:val="none"/>
          <w:u w:val="single"/>
          <w:lang w:val="zh-CN"/>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lang w:val="zh-CN"/>
        </w:rPr>
        <w:t xml:space="preserve">汉字    </w:t>
      </w:r>
    </w:p>
    <w:p w14:paraId="4B4026A4">
      <w:pPr>
        <w:widowControl w:val="0"/>
        <w:adjustRightInd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lang w:val="zh-CN"/>
        </w:rPr>
        <w:t>.2 本合同需要明示的法律、行政法规：</w:t>
      </w:r>
      <w:r>
        <w:rPr>
          <w:rFonts w:hint="eastAsia" w:asciiTheme="minorEastAsia" w:hAnsiTheme="minorEastAsia" w:eastAsiaTheme="minorEastAsia" w:cstheme="minorEastAsia"/>
          <w:color w:val="auto"/>
          <w:szCs w:val="21"/>
          <w:highlight w:val="none"/>
          <w:u w:val="single"/>
          <w:lang w:val="zh-CN"/>
        </w:rPr>
        <w:t xml:space="preserve"> 《中华人民共和国民法典》、《中华人民共和国招标投标法》及国家的有关法律、行政法规。      </w:t>
      </w:r>
    </w:p>
    <w:p w14:paraId="4085423B">
      <w:pPr>
        <w:widowControl w:val="0"/>
        <w:adjustRightInd w:val="0"/>
        <w:spacing w:line="440" w:lineRule="exact"/>
        <w:ind w:firstLine="422" w:firstLineChars="200"/>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二、双方一般权利和义务</w:t>
      </w:r>
    </w:p>
    <w:p w14:paraId="286463B1">
      <w:pPr>
        <w:numPr>
          <w:ilvl w:val="0"/>
          <w:numId w:val="0"/>
        </w:numPr>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eastAsia="zh-CN"/>
        </w:rPr>
        <w:t>1</w:t>
      </w:r>
      <w:r>
        <w:rPr>
          <w:rFonts w:hint="eastAsia" w:asciiTheme="minorEastAsia" w:hAnsiTheme="minorEastAsia" w:eastAsiaTheme="minorEastAsia" w:cstheme="minorEastAsia"/>
          <w:color w:val="auto"/>
          <w:szCs w:val="21"/>
          <w:highlight w:val="none"/>
          <w:lang w:val="zh-CN"/>
        </w:rPr>
        <w:t>、委托人的义务</w:t>
      </w:r>
    </w:p>
    <w:p w14:paraId="26835B97">
      <w:pPr>
        <w:numPr>
          <w:ilvl w:val="0"/>
          <w:numId w:val="0"/>
        </w:numPr>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eastAsia="zh-CN"/>
        </w:rPr>
        <w:t>1</w:t>
      </w:r>
      <w:r>
        <w:rPr>
          <w:rFonts w:hint="eastAsia" w:asciiTheme="minorEastAsia" w:hAnsiTheme="minorEastAsia" w:eastAsiaTheme="minorEastAsia" w:cstheme="minorEastAsia"/>
          <w:color w:val="auto"/>
          <w:szCs w:val="21"/>
          <w:highlight w:val="none"/>
          <w:lang w:val="zh-CN"/>
        </w:rPr>
        <w:t>.1 委托招标代理工作的具体范围和内容：</w:t>
      </w:r>
    </w:p>
    <w:p w14:paraId="7F34E52B">
      <w:pPr>
        <w:numPr>
          <w:ilvl w:val="0"/>
          <w:numId w:val="0"/>
        </w:numPr>
        <w:spacing w:line="440" w:lineRule="exact"/>
        <w:ind w:firstLine="420" w:firstLineChars="200"/>
        <w:rPr>
          <w:rFonts w:hint="eastAsia" w:asciiTheme="minorEastAsia" w:hAnsiTheme="minorEastAsia" w:eastAsiaTheme="minorEastAsia" w:cstheme="minorEastAsia"/>
          <w:color w:val="auto"/>
          <w:szCs w:val="21"/>
          <w:highlight w:val="none"/>
          <w:lang w:val="zh-CN" w:eastAsia="zh-CN"/>
        </w:rPr>
      </w:pPr>
      <w:r>
        <w:rPr>
          <w:rFonts w:hint="eastAsia" w:asciiTheme="minorEastAsia" w:hAnsiTheme="minorEastAsia" w:eastAsiaTheme="minorEastAsia" w:cstheme="minorEastAsia"/>
          <w:color w:val="auto"/>
          <w:szCs w:val="21"/>
          <w:highlight w:val="none"/>
          <w:lang w:val="zh-CN" w:eastAsia="zh-CN"/>
        </w:rPr>
        <w:t>1.1.1招标代理主要服务内容（包括但不限于如下内容）：</w:t>
      </w:r>
    </w:p>
    <w:p w14:paraId="010C4B2B">
      <w:pPr>
        <w:numPr>
          <w:ilvl w:val="0"/>
          <w:numId w:val="0"/>
        </w:numPr>
        <w:spacing w:line="440" w:lineRule="exact"/>
        <w:ind w:firstLine="420" w:firstLineChars="200"/>
        <w:rPr>
          <w:rFonts w:hint="eastAsia" w:asciiTheme="minorEastAsia" w:hAnsiTheme="minorEastAsia" w:eastAsiaTheme="minorEastAsia" w:cstheme="minorEastAsia"/>
          <w:color w:val="auto"/>
          <w:szCs w:val="21"/>
          <w:highlight w:val="none"/>
          <w:lang w:val="zh-CN" w:eastAsia="zh-CN"/>
        </w:rPr>
      </w:pPr>
      <w:r>
        <w:rPr>
          <w:rFonts w:hint="eastAsia" w:asciiTheme="minorEastAsia" w:hAnsiTheme="minorEastAsia" w:eastAsiaTheme="minorEastAsia" w:cstheme="minorEastAsia"/>
          <w:color w:val="auto"/>
          <w:szCs w:val="21"/>
          <w:highlight w:val="none"/>
          <w:lang w:val="zh-CN" w:eastAsia="zh-CN"/>
        </w:rPr>
        <w:t>（1）项目涉及的所有项目的前期咨询、拟订招标方案、建设项目的具体范围、拟招标的组织形式、拟采用的招标方式，上述内容确定后，还应包括制定招标项目的作业计划，计划内容包括招标流程、工作进度安排、项目特点分析和解决预案等。</w:t>
      </w:r>
    </w:p>
    <w:p w14:paraId="6472C943">
      <w:pPr>
        <w:numPr>
          <w:ilvl w:val="0"/>
          <w:numId w:val="0"/>
        </w:numPr>
        <w:spacing w:line="440" w:lineRule="exact"/>
        <w:ind w:firstLine="420" w:firstLineChars="200"/>
        <w:rPr>
          <w:rFonts w:hint="eastAsia" w:asciiTheme="minorEastAsia" w:hAnsiTheme="minorEastAsia" w:eastAsiaTheme="minorEastAsia" w:cstheme="minorEastAsia"/>
          <w:color w:val="auto"/>
          <w:szCs w:val="21"/>
          <w:highlight w:val="none"/>
          <w:lang w:val="zh-CN" w:eastAsia="zh-CN"/>
        </w:rPr>
      </w:pPr>
      <w:r>
        <w:rPr>
          <w:rFonts w:hint="eastAsia" w:asciiTheme="minorEastAsia" w:hAnsiTheme="minorEastAsia" w:eastAsiaTheme="minorEastAsia" w:cstheme="minorEastAsia"/>
          <w:color w:val="auto"/>
          <w:szCs w:val="21"/>
          <w:highlight w:val="none"/>
          <w:lang w:val="zh-CN" w:eastAsia="zh-CN"/>
        </w:rPr>
        <w:t>（2）起草招标公告、编制招标文件（包括资格预审文件）。</w:t>
      </w:r>
    </w:p>
    <w:p w14:paraId="0DA43A6E">
      <w:pPr>
        <w:numPr>
          <w:ilvl w:val="0"/>
          <w:numId w:val="0"/>
        </w:numPr>
        <w:spacing w:line="440" w:lineRule="exact"/>
        <w:ind w:firstLine="420" w:firstLineChars="200"/>
        <w:rPr>
          <w:rFonts w:hint="eastAsia" w:asciiTheme="minorEastAsia" w:hAnsiTheme="minorEastAsia" w:eastAsiaTheme="minorEastAsia" w:cstheme="minorEastAsia"/>
          <w:color w:val="auto"/>
          <w:szCs w:val="21"/>
          <w:highlight w:val="none"/>
          <w:lang w:val="zh-CN" w:eastAsia="zh-CN"/>
        </w:rPr>
      </w:pPr>
      <w:r>
        <w:rPr>
          <w:rFonts w:hint="eastAsia" w:asciiTheme="minorEastAsia" w:hAnsiTheme="minorEastAsia" w:eastAsiaTheme="minorEastAsia" w:cstheme="minorEastAsia"/>
          <w:color w:val="auto"/>
          <w:szCs w:val="21"/>
          <w:highlight w:val="none"/>
          <w:lang w:val="zh-CN" w:eastAsia="zh-CN"/>
        </w:rPr>
        <w:t>（3）向招投标监督管理部门提出招标申请，审查投标人资格，发布招标公告、资格预审文件和招标文件发出后，招标代理人还要负责有关澄清和修改等工作。</w:t>
      </w:r>
    </w:p>
    <w:p w14:paraId="32399320">
      <w:pPr>
        <w:numPr>
          <w:ilvl w:val="0"/>
          <w:numId w:val="0"/>
        </w:numPr>
        <w:spacing w:line="440" w:lineRule="exact"/>
        <w:ind w:firstLine="420" w:firstLineChars="200"/>
        <w:rPr>
          <w:rFonts w:hint="eastAsia" w:asciiTheme="minorEastAsia" w:hAnsiTheme="minorEastAsia" w:eastAsiaTheme="minorEastAsia" w:cstheme="minorEastAsia"/>
          <w:color w:val="auto"/>
          <w:szCs w:val="21"/>
          <w:highlight w:val="none"/>
          <w:lang w:val="zh-CN" w:eastAsia="zh-CN"/>
        </w:rPr>
      </w:pPr>
      <w:r>
        <w:rPr>
          <w:rFonts w:hint="eastAsia" w:asciiTheme="minorEastAsia" w:hAnsiTheme="minorEastAsia" w:eastAsiaTheme="minorEastAsia" w:cstheme="minorEastAsia"/>
          <w:color w:val="auto"/>
          <w:szCs w:val="21"/>
          <w:highlight w:val="none"/>
          <w:lang w:val="zh-CN" w:eastAsia="zh-CN"/>
        </w:rPr>
        <w:t>（4）组织投标人踏勘现场和答疑，整理答疑纪要。</w:t>
      </w:r>
    </w:p>
    <w:p w14:paraId="5FE9EB1B">
      <w:pPr>
        <w:numPr>
          <w:ilvl w:val="0"/>
          <w:numId w:val="0"/>
        </w:numPr>
        <w:spacing w:line="440" w:lineRule="exact"/>
        <w:ind w:firstLine="420" w:firstLineChars="200"/>
        <w:rPr>
          <w:rFonts w:hint="eastAsia" w:asciiTheme="minorEastAsia" w:hAnsiTheme="minorEastAsia" w:eastAsiaTheme="minorEastAsia" w:cstheme="minorEastAsia"/>
          <w:color w:val="auto"/>
          <w:szCs w:val="21"/>
          <w:highlight w:val="none"/>
          <w:lang w:val="zh-CN" w:eastAsia="zh-CN"/>
        </w:rPr>
      </w:pPr>
      <w:r>
        <w:rPr>
          <w:rFonts w:hint="eastAsia" w:asciiTheme="minorEastAsia" w:hAnsiTheme="minorEastAsia" w:eastAsiaTheme="minorEastAsia" w:cstheme="minorEastAsia"/>
          <w:color w:val="auto"/>
          <w:szCs w:val="21"/>
          <w:highlight w:val="none"/>
          <w:lang w:val="zh-CN" w:eastAsia="zh-CN"/>
        </w:rPr>
        <w:t>（5）依法组建评标委员会、审查投标人资格、组织开标、评标和定标。</w:t>
      </w:r>
    </w:p>
    <w:p w14:paraId="3F12183E">
      <w:pPr>
        <w:numPr>
          <w:ilvl w:val="0"/>
          <w:numId w:val="0"/>
        </w:numPr>
        <w:spacing w:line="440" w:lineRule="exact"/>
        <w:ind w:firstLine="420" w:firstLineChars="200"/>
        <w:rPr>
          <w:rFonts w:hint="eastAsia" w:asciiTheme="minorEastAsia" w:hAnsiTheme="minorEastAsia" w:eastAsiaTheme="minorEastAsia" w:cstheme="minorEastAsia"/>
          <w:color w:val="auto"/>
          <w:szCs w:val="21"/>
          <w:highlight w:val="none"/>
          <w:lang w:val="zh-CN" w:eastAsia="zh-CN"/>
        </w:rPr>
      </w:pPr>
      <w:r>
        <w:rPr>
          <w:rFonts w:hint="eastAsia" w:asciiTheme="minorEastAsia" w:hAnsiTheme="minorEastAsia" w:eastAsiaTheme="minorEastAsia" w:cstheme="minorEastAsia"/>
          <w:color w:val="auto"/>
          <w:szCs w:val="21"/>
          <w:highlight w:val="none"/>
          <w:lang w:val="zh-CN" w:eastAsia="zh-CN"/>
        </w:rPr>
        <w:t>（6）提交招投标书面情况报告及相关材料。</w:t>
      </w:r>
    </w:p>
    <w:p w14:paraId="2C4F69E2">
      <w:pPr>
        <w:numPr>
          <w:ilvl w:val="0"/>
          <w:numId w:val="0"/>
        </w:numPr>
        <w:spacing w:line="440" w:lineRule="exact"/>
        <w:ind w:firstLine="420" w:firstLineChars="200"/>
        <w:rPr>
          <w:rFonts w:hint="eastAsia" w:asciiTheme="minorEastAsia" w:hAnsiTheme="minorEastAsia" w:eastAsiaTheme="minorEastAsia" w:cstheme="minorEastAsia"/>
          <w:color w:val="auto"/>
          <w:szCs w:val="21"/>
          <w:highlight w:val="none"/>
          <w:lang w:val="zh-CN" w:eastAsia="zh-CN"/>
        </w:rPr>
      </w:pPr>
      <w:r>
        <w:rPr>
          <w:rFonts w:hint="eastAsia" w:asciiTheme="minorEastAsia" w:hAnsiTheme="minorEastAsia" w:eastAsiaTheme="minorEastAsia" w:cstheme="minorEastAsia"/>
          <w:color w:val="auto"/>
          <w:szCs w:val="21"/>
          <w:highlight w:val="none"/>
          <w:lang w:val="zh-CN" w:eastAsia="zh-CN"/>
        </w:rPr>
        <w:t>（7）向中标人发出中标通知书，向未中标的投标人发出中标结果通知书、办理招标的备案手续和有关事项的公示手续、草拟合同协助工程合同的签订、协调合同的签订和备案。</w:t>
      </w:r>
    </w:p>
    <w:p w14:paraId="1E0796B3">
      <w:pPr>
        <w:numPr>
          <w:ilvl w:val="0"/>
          <w:numId w:val="0"/>
        </w:numPr>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eastAsia="zh-CN"/>
        </w:rPr>
        <w:t>（8）整理招标全过程资料等招标有关的其他事项。</w:t>
      </w:r>
      <w:r>
        <w:rPr>
          <w:rFonts w:hint="eastAsia" w:asciiTheme="minorEastAsia" w:hAnsiTheme="minorEastAsia" w:eastAsiaTheme="minorEastAsia" w:cstheme="minorEastAsia"/>
          <w:color w:val="auto"/>
          <w:szCs w:val="21"/>
          <w:highlight w:val="none"/>
          <w:lang w:val="zh-CN"/>
        </w:rPr>
        <w:t xml:space="preserve"> </w:t>
      </w:r>
    </w:p>
    <w:p w14:paraId="77898FA3">
      <w:pPr>
        <w:spacing w:line="44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1.1.2预算编制主要服务内容（包括但不限于如下内容）：</w:t>
      </w:r>
    </w:p>
    <w:p w14:paraId="53511FA6">
      <w:pPr>
        <w:spacing w:line="44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（1）收到招标人提供的图纸后，在招标人规定的时间内完成预算编制任务；</w:t>
      </w:r>
    </w:p>
    <w:p w14:paraId="4B5FD86E">
      <w:pPr>
        <w:spacing w:line="440" w:lineRule="exact"/>
        <w:ind w:firstLine="420" w:firstLineChars="200"/>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 xml:space="preserve">（2）协助配合好预算审核工作，并且确保总误差率控制在±5%之内。 </w:t>
      </w:r>
    </w:p>
    <w:p w14:paraId="3122013E">
      <w:pPr>
        <w:widowControl w:val="0"/>
        <w:adjustRightIn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委托人应按约定的时间和要求完成下列工作：</w:t>
      </w:r>
    </w:p>
    <w:p w14:paraId="36DE9D74">
      <w:pPr>
        <w:widowControl w:val="0"/>
        <w:adjustRightIn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zh-CN"/>
        </w:rPr>
        <w:t>（1）向受托人提供本工程招标代理业务应具备的相关工作前期资料（如立项批准手续、规划许可、报建证等）及资金落实情况资料的时间：</w:t>
      </w:r>
      <w:r>
        <w:rPr>
          <w:rFonts w:hint="eastAsia" w:asciiTheme="minorEastAsia" w:hAnsiTheme="minorEastAsia" w:eastAsiaTheme="minorEastAsia" w:cstheme="minorEastAsia"/>
          <w:color w:val="auto"/>
          <w:szCs w:val="21"/>
          <w:highlight w:val="none"/>
          <w:u w:val="single"/>
          <w:lang w:val="zh-CN"/>
        </w:rPr>
        <w:t>签订代理合同后10个工作日内</w:t>
      </w:r>
    </w:p>
    <w:p w14:paraId="4C1A38A9">
      <w:pPr>
        <w:widowControl w:val="0"/>
        <w:adjustRightInd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（2）向受托人提供完全代理招标业务所需的全部资料的时间：</w:t>
      </w:r>
      <w:r>
        <w:rPr>
          <w:rFonts w:hint="eastAsia" w:asciiTheme="minorEastAsia" w:hAnsiTheme="minorEastAsia" w:eastAsiaTheme="minorEastAsia" w:cstheme="minorEastAsia"/>
          <w:color w:val="auto"/>
          <w:szCs w:val="21"/>
          <w:highlight w:val="none"/>
          <w:u w:val="single"/>
          <w:lang w:val="zh-CN"/>
        </w:rPr>
        <w:t xml:space="preserve">签订代理合同后10个工作日内   </w:t>
      </w:r>
    </w:p>
    <w:p w14:paraId="7D91070D">
      <w:pPr>
        <w:widowControl w:val="0"/>
        <w:adjustRightInd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（3）向受托人提供保证招标工作顺利完成的条件：</w:t>
      </w:r>
    </w:p>
    <w:p w14:paraId="2CB5D38B">
      <w:pPr>
        <w:widowControl w:val="0"/>
        <w:adjustRightInd w:val="0"/>
        <w:spacing w:line="440" w:lineRule="exact"/>
        <w:ind w:firstLine="420" w:firstLineChars="200"/>
        <w:rPr>
          <w:rFonts w:hint="eastAsia" w:asciiTheme="minorEastAsia" w:hAnsiTheme="minorEastAsia" w:eastAsiaTheme="minorEastAsia" w:cstheme="minorEastAsia"/>
          <w:color w:val="auto"/>
          <w:szCs w:val="21"/>
          <w:highlight w:val="none"/>
          <w:u w:val="single"/>
          <w:vertAlign w:val="subscript"/>
        </w:rPr>
      </w:pPr>
      <w:r>
        <w:rPr>
          <w:rFonts w:hint="eastAsia" w:asciiTheme="minorEastAsia" w:hAnsiTheme="minorEastAsia" w:eastAsiaTheme="minorEastAsia" w:cstheme="minorEastAsia"/>
          <w:color w:val="auto"/>
          <w:szCs w:val="21"/>
          <w:highlight w:val="none"/>
          <w:u w:val="single"/>
          <w:lang w:val="zh-CN"/>
        </w:rPr>
        <w:t>①前期资料（如立项批准手续、规划许可、报建证等）齐全；②资金落实到位；③遵守法律、法规和有关政策文化。</w:t>
      </w:r>
    </w:p>
    <w:p w14:paraId="7624F498">
      <w:pPr>
        <w:widowControl w:val="0"/>
        <w:adjustRightInd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（4）指定的与受托人联系的人员</w:t>
      </w:r>
    </w:p>
    <w:p w14:paraId="140BA01B">
      <w:pPr>
        <w:widowControl w:val="0"/>
        <w:adjustRightInd w:val="0"/>
        <w:spacing w:line="440" w:lineRule="exact"/>
        <w:ind w:firstLine="420" w:firstLineChars="200"/>
        <w:rPr>
          <w:rFonts w:hint="eastAsia" w:asciiTheme="minorEastAsia" w:hAnsiTheme="minorEastAsia" w:eastAsiaTheme="minorEastAsia" w:cstheme="minorEastAsia"/>
          <w:color w:val="auto"/>
          <w:szCs w:val="21"/>
          <w:highlight w:val="none"/>
          <w:u w:val="single"/>
          <w:lang w:val="zh-CN"/>
        </w:rPr>
      </w:pPr>
      <w:r>
        <w:rPr>
          <w:rFonts w:hint="eastAsia" w:asciiTheme="minorEastAsia" w:hAnsiTheme="minorEastAsia" w:eastAsiaTheme="minorEastAsia" w:cstheme="minorEastAsia"/>
          <w:color w:val="auto"/>
          <w:szCs w:val="21"/>
          <w:highlight w:val="none"/>
          <w:lang w:val="zh-CN"/>
        </w:rPr>
        <w:t>姓名：</w:t>
      </w:r>
      <w:r>
        <w:rPr>
          <w:rFonts w:hint="eastAsia" w:asciiTheme="minorEastAsia" w:hAnsiTheme="minorEastAsia" w:eastAsiaTheme="minorEastAsia" w:cstheme="minorEastAsia"/>
          <w:color w:val="auto"/>
          <w:szCs w:val="21"/>
          <w:highlight w:val="none"/>
          <w:u w:val="single"/>
          <w:lang w:val="zh-CN"/>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zh-CN"/>
        </w:rPr>
        <w:t xml:space="preserve">    </w:t>
      </w:r>
    </w:p>
    <w:p w14:paraId="7297771C">
      <w:pPr>
        <w:widowControl w:val="0"/>
        <w:adjustRightInd w:val="0"/>
        <w:spacing w:line="440" w:lineRule="exact"/>
        <w:ind w:firstLine="420" w:firstLineChars="200"/>
        <w:rPr>
          <w:rFonts w:hint="eastAsia" w:asciiTheme="minorEastAsia" w:hAnsiTheme="minorEastAsia" w:eastAsiaTheme="minorEastAsia" w:cstheme="minorEastAsia"/>
          <w:color w:val="auto"/>
          <w:szCs w:val="21"/>
          <w:highlight w:val="none"/>
          <w:u w:val="single"/>
          <w:lang w:val="zh-CN"/>
        </w:rPr>
      </w:pPr>
      <w:r>
        <w:rPr>
          <w:rFonts w:hint="eastAsia" w:asciiTheme="minorEastAsia" w:hAnsiTheme="minorEastAsia" w:eastAsiaTheme="minorEastAsia" w:cstheme="minorEastAsia"/>
          <w:color w:val="auto"/>
          <w:szCs w:val="21"/>
          <w:highlight w:val="none"/>
          <w:lang w:val="zh-CN"/>
        </w:rPr>
        <w:t xml:space="preserve">职务： </w:t>
      </w:r>
      <w:r>
        <w:rPr>
          <w:rFonts w:hint="eastAsia" w:asciiTheme="minorEastAsia" w:hAnsiTheme="minorEastAsia" w:eastAsiaTheme="minorEastAsia" w:cstheme="minorEastAsia"/>
          <w:color w:val="auto"/>
          <w:szCs w:val="21"/>
          <w:highlight w:val="none"/>
          <w:u w:val="single"/>
          <w:lang w:val="zh-CN"/>
        </w:rPr>
        <w:t xml:space="preserve">                    </w:t>
      </w:r>
    </w:p>
    <w:p w14:paraId="35966661">
      <w:pPr>
        <w:widowControl w:val="0"/>
        <w:adjustRightInd w:val="0"/>
        <w:spacing w:line="440" w:lineRule="exact"/>
        <w:ind w:firstLine="420" w:firstLineChars="200"/>
        <w:rPr>
          <w:rFonts w:hint="eastAsia" w:asciiTheme="minorEastAsia" w:hAnsiTheme="minorEastAsia" w:eastAsiaTheme="minorEastAsia" w:cstheme="minorEastAsia"/>
          <w:color w:val="auto"/>
          <w:szCs w:val="21"/>
          <w:highlight w:val="none"/>
          <w:u w:val="single"/>
          <w:lang w:val="zh-CN"/>
        </w:rPr>
      </w:pPr>
      <w:r>
        <w:rPr>
          <w:rFonts w:hint="eastAsia" w:asciiTheme="minorEastAsia" w:hAnsiTheme="minorEastAsia" w:eastAsiaTheme="minorEastAsia" w:cstheme="minorEastAsia"/>
          <w:color w:val="auto"/>
          <w:szCs w:val="21"/>
          <w:highlight w:val="none"/>
          <w:lang w:val="zh-CN"/>
        </w:rPr>
        <w:t xml:space="preserve">职称： </w:t>
      </w:r>
      <w:r>
        <w:rPr>
          <w:rFonts w:hint="eastAsia" w:asciiTheme="minorEastAsia" w:hAnsiTheme="minorEastAsia" w:eastAsiaTheme="minorEastAsia" w:cstheme="minorEastAsia"/>
          <w:color w:val="auto"/>
          <w:szCs w:val="21"/>
          <w:highlight w:val="none"/>
          <w:u w:val="single"/>
          <w:lang w:val="zh-CN"/>
        </w:rPr>
        <w:t xml:space="preserve">                    </w:t>
      </w:r>
    </w:p>
    <w:p w14:paraId="65889C9B">
      <w:pPr>
        <w:widowControl w:val="0"/>
        <w:adjustRightInd w:val="0"/>
        <w:spacing w:line="440" w:lineRule="exact"/>
        <w:ind w:firstLine="420" w:firstLineChars="200"/>
        <w:rPr>
          <w:rFonts w:hint="eastAsia" w:asciiTheme="minorEastAsia" w:hAnsiTheme="minorEastAsia" w:eastAsiaTheme="minorEastAsia" w:cstheme="minorEastAsia"/>
          <w:color w:val="auto"/>
          <w:szCs w:val="21"/>
          <w:highlight w:val="none"/>
          <w:u w:val="single"/>
          <w:lang w:val="zh-CN"/>
        </w:rPr>
      </w:pPr>
      <w:r>
        <w:rPr>
          <w:rFonts w:hint="eastAsia" w:asciiTheme="minorEastAsia" w:hAnsiTheme="minorEastAsia" w:eastAsiaTheme="minorEastAsia" w:cstheme="minorEastAsia"/>
          <w:color w:val="auto"/>
          <w:szCs w:val="21"/>
          <w:highlight w:val="none"/>
          <w:lang w:val="zh-CN"/>
        </w:rPr>
        <w:t>电话：</w:t>
      </w:r>
      <w:r>
        <w:rPr>
          <w:rFonts w:hint="eastAsia" w:asciiTheme="minorEastAsia" w:hAnsiTheme="minorEastAsia" w:eastAsiaTheme="minorEastAsia" w:cstheme="minorEastAsia"/>
          <w:color w:val="auto"/>
          <w:szCs w:val="21"/>
          <w:highlight w:val="none"/>
          <w:u w:val="single"/>
          <w:lang w:val="zh-CN"/>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zh-CN"/>
        </w:rPr>
        <w:t xml:space="preserve">    </w:t>
      </w:r>
    </w:p>
    <w:p w14:paraId="09202913">
      <w:pPr>
        <w:widowControl w:val="0"/>
        <w:adjustRightInd w:val="0"/>
        <w:spacing w:line="440" w:lineRule="exact"/>
        <w:ind w:left="420" w:leftChars="200"/>
        <w:rPr>
          <w:rFonts w:hint="eastAsia" w:asciiTheme="minorEastAsia" w:hAnsiTheme="minorEastAsia" w:eastAsiaTheme="minorEastAsia" w:cstheme="minorEastAsia"/>
          <w:color w:val="auto"/>
          <w:szCs w:val="21"/>
          <w:highlight w:val="none"/>
          <w:u w:val="singl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）需要与第三方协调的工作：</w:t>
      </w:r>
      <w:r>
        <w:rPr>
          <w:rFonts w:hint="eastAsia" w:asciiTheme="minorEastAsia" w:hAnsiTheme="minorEastAsia" w:eastAsiaTheme="minorEastAsia" w:cstheme="minorEastAsia"/>
          <w:color w:val="auto"/>
          <w:szCs w:val="21"/>
          <w:highlight w:val="none"/>
          <w:u w:val="single"/>
          <w:lang w:val="zh-CN"/>
        </w:rPr>
        <w:t>根据需要，作好与第三方的协调工作</w:t>
      </w:r>
      <w:r>
        <w:rPr>
          <w:rFonts w:hint="eastAsia" w:asciiTheme="minorEastAsia" w:hAnsiTheme="minorEastAsia" w:eastAsiaTheme="minorEastAsia" w:cstheme="minorEastAsia"/>
          <w:color w:val="auto"/>
          <w:szCs w:val="21"/>
          <w:highlight w:val="none"/>
          <w:u w:val="single"/>
          <w:lang w:val="en-US" w:eastAsia="zh-CN"/>
        </w:rPr>
        <w:t>.</w:t>
      </w:r>
      <w:r>
        <w:rPr>
          <w:rFonts w:hint="eastAsia" w:asciiTheme="minorEastAsia" w:hAnsiTheme="minorEastAsia" w:eastAsiaTheme="minorEastAsia" w:cstheme="minorEastAsia"/>
          <w:color w:val="auto"/>
          <w:szCs w:val="21"/>
          <w:highlight w:val="none"/>
          <w:u w:val="single"/>
          <w:lang w:val="zh-CN"/>
        </w:rPr>
        <w:t xml:space="preserve">    </w:t>
      </w:r>
    </w:p>
    <w:p w14:paraId="431AEC39">
      <w:pPr>
        <w:widowControl w:val="0"/>
        <w:adjustRightInd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zh-CN" w:eastAsia="zh-CN"/>
        </w:rPr>
        <w:t>6</w:t>
      </w:r>
      <w:r>
        <w:rPr>
          <w:rFonts w:hint="eastAsia" w:asciiTheme="minorEastAsia" w:hAnsiTheme="minorEastAsia" w:eastAsiaTheme="minorEastAsia" w:cstheme="minorEastAsia"/>
          <w:color w:val="auto"/>
          <w:szCs w:val="21"/>
          <w:highlight w:val="none"/>
          <w:lang w:val="zh-CN"/>
        </w:rPr>
        <w:t xml:space="preserve">）应尽的其他义务： </w:t>
      </w:r>
      <w:r>
        <w:rPr>
          <w:rFonts w:hint="eastAsia" w:asciiTheme="minorEastAsia" w:hAnsiTheme="minorEastAsia" w:eastAsiaTheme="minorEastAsia" w:cstheme="minorEastAsia"/>
          <w:color w:val="auto"/>
          <w:szCs w:val="21"/>
          <w:highlight w:val="none"/>
          <w:u w:val="single"/>
          <w:lang w:val="zh-CN"/>
        </w:rPr>
        <w:t xml:space="preserve">                  /         </w:t>
      </w:r>
      <w:r>
        <w:rPr>
          <w:rFonts w:hint="eastAsia" w:asciiTheme="minorEastAsia" w:hAnsiTheme="minorEastAsia" w:eastAsiaTheme="minorEastAsia" w:cstheme="minorEastAsia"/>
          <w:color w:val="auto"/>
          <w:szCs w:val="21"/>
          <w:highlight w:val="none"/>
          <w:lang w:val="zh-CN"/>
        </w:rPr>
        <w:t xml:space="preserve">     </w:t>
      </w:r>
    </w:p>
    <w:p w14:paraId="68A18171">
      <w:pPr>
        <w:widowControl w:val="0"/>
        <w:adjustRightInd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eastAsia="zh-CN"/>
        </w:rPr>
        <w:t>3</w:t>
      </w:r>
      <w:r>
        <w:rPr>
          <w:rFonts w:hint="eastAsia" w:asciiTheme="minorEastAsia" w:hAnsiTheme="minorEastAsia" w:eastAsiaTheme="minorEastAsia" w:cstheme="minorEastAsia"/>
          <w:color w:val="auto"/>
          <w:szCs w:val="21"/>
          <w:highlight w:val="none"/>
          <w:lang w:val="zh-CN"/>
        </w:rPr>
        <w:t>、受托人的义务</w:t>
      </w:r>
    </w:p>
    <w:p w14:paraId="5D52CD9E">
      <w:pPr>
        <w:widowControl w:val="0"/>
        <w:adjustRightInd w:val="0"/>
        <w:spacing w:line="44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zh-CN" w:eastAsia="zh-CN"/>
        </w:rPr>
        <w:t>3</w:t>
      </w:r>
      <w:r>
        <w:rPr>
          <w:rFonts w:hint="eastAsia" w:asciiTheme="minorEastAsia" w:hAnsiTheme="minorEastAsia" w:eastAsiaTheme="minorEastAsia" w:cstheme="minorEastAsia"/>
          <w:color w:val="auto"/>
          <w:szCs w:val="21"/>
          <w:highlight w:val="none"/>
          <w:lang w:val="zh-CN"/>
        </w:rPr>
        <w:t>.1 招标代理</w:t>
      </w:r>
      <w:r>
        <w:rPr>
          <w:rFonts w:hint="eastAsia" w:asciiTheme="minorEastAsia" w:hAnsiTheme="minorEastAsia" w:eastAsiaTheme="minorEastAsia" w:cstheme="minorEastAsia"/>
          <w:color w:val="auto"/>
          <w:szCs w:val="21"/>
          <w:highlight w:val="none"/>
          <w:lang w:val="en-US" w:eastAsia="zh-CN"/>
        </w:rPr>
        <w:t>人员：</w:t>
      </w:r>
    </w:p>
    <w:tbl>
      <w:tblPr>
        <w:tblStyle w:val="21"/>
        <w:tblW w:w="8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41"/>
        <w:gridCol w:w="2784"/>
        <w:gridCol w:w="866"/>
        <w:gridCol w:w="955"/>
        <w:gridCol w:w="1179"/>
      </w:tblGrid>
      <w:tr w14:paraId="1C83F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9" w:type="dxa"/>
            <w:noWrap w:val="0"/>
            <w:vAlign w:val="center"/>
          </w:tcPr>
          <w:p w14:paraId="301231FF">
            <w:pPr>
              <w:widowControl w:val="0"/>
              <w:adjustRightInd/>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1741" w:type="dxa"/>
            <w:noWrap w:val="0"/>
            <w:vAlign w:val="center"/>
          </w:tcPr>
          <w:p w14:paraId="3C423927">
            <w:pPr>
              <w:widowControl w:val="0"/>
              <w:adjustRightInd/>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岗位</w:t>
            </w:r>
          </w:p>
        </w:tc>
        <w:tc>
          <w:tcPr>
            <w:tcW w:w="2784" w:type="dxa"/>
            <w:noWrap w:val="0"/>
            <w:vAlign w:val="center"/>
          </w:tcPr>
          <w:p w14:paraId="0FDF1727">
            <w:pPr>
              <w:widowControl w:val="0"/>
              <w:adjustRightInd/>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资格资历要求</w:t>
            </w:r>
          </w:p>
        </w:tc>
        <w:tc>
          <w:tcPr>
            <w:tcW w:w="866" w:type="dxa"/>
            <w:noWrap w:val="0"/>
            <w:vAlign w:val="center"/>
          </w:tcPr>
          <w:p w14:paraId="5413EB39">
            <w:pPr>
              <w:widowControl w:val="0"/>
              <w:adjustRightInd/>
              <w:jc w:val="center"/>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姓名</w:t>
            </w:r>
          </w:p>
        </w:tc>
        <w:tc>
          <w:tcPr>
            <w:tcW w:w="955" w:type="dxa"/>
            <w:noWrap w:val="0"/>
            <w:vAlign w:val="center"/>
          </w:tcPr>
          <w:p w14:paraId="0EBA8ADE">
            <w:pPr>
              <w:widowControl w:val="0"/>
              <w:adjustRightInd/>
              <w:jc w:val="center"/>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身份证</w:t>
            </w:r>
          </w:p>
        </w:tc>
        <w:tc>
          <w:tcPr>
            <w:tcW w:w="1179" w:type="dxa"/>
            <w:noWrap w:val="0"/>
            <w:vAlign w:val="center"/>
          </w:tcPr>
          <w:p w14:paraId="49711897">
            <w:pPr>
              <w:widowControl w:val="0"/>
              <w:adjustRightInd/>
              <w:jc w:val="center"/>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电话</w:t>
            </w:r>
          </w:p>
        </w:tc>
      </w:tr>
      <w:tr w14:paraId="7E4B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09" w:type="dxa"/>
            <w:noWrap w:val="0"/>
            <w:vAlign w:val="center"/>
          </w:tcPr>
          <w:p w14:paraId="54666F6A">
            <w:pPr>
              <w:widowControl w:val="0"/>
              <w:adjustRightInd/>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741" w:type="dxa"/>
            <w:noWrap w:val="0"/>
            <w:vAlign w:val="center"/>
          </w:tcPr>
          <w:p w14:paraId="50E5B41E">
            <w:pPr>
              <w:widowControl w:val="0"/>
              <w:adjustRightInd/>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项目负责人</w:t>
            </w:r>
          </w:p>
        </w:tc>
        <w:tc>
          <w:tcPr>
            <w:tcW w:w="2784" w:type="dxa"/>
            <w:noWrap w:val="0"/>
            <w:vAlign w:val="center"/>
          </w:tcPr>
          <w:p w14:paraId="2008AFD9">
            <w:pPr>
              <w:widowControl w:val="0"/>
              <w:adjustRightInd/>
              <w:spacing w:line="340" w:lineRule="exact"/>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pacing w:val="-6"/>
                <w:sz w:val="21"/>
                <w:szCs w:val="21"/>
                <w:highlight w:val="none"/>
              </w:rPr>
              <w:t>中级及以上技术职称（投标文件中提供相关证明材料）</w:t>
            </w:r>
          </w:p>
        </w:tc>
        <w:tc>
          <w:tcPr>
            <w:tcW w:w="866" w:type="dxa"/>
            <w:noWrap w:val="0"/>
            <w:vAlign w:val="center"/>
          </w:tcPr>
          <w:p w14:paraId="4F27018E">
            <w:pPr>
              <w:widowControl w:val="0"/>
              <w:adjustRightInd/>
              <w:jc w:val="center"/>
              <w:rPr>
                <w:rFonts w:hint="eastAsia" w:asciiTheme="minorEastAsia" w:hAnsiTheme="minorEastAsia" w:eastAsiaTheme="minorEastAsia" w:cstheme="minorEastAsia"/>
                <w:b/>
                <w:bCs/>
                <w:color w:val="auto"/>
                <w:sz w:val="21"/>
                <w:szCs w:val="21"/>
                <w:highlight w:val="none"/>
              </w:rPr>
            </w:pPr>
          </w:p>
        </w:tc>
        <w:tc>
          <w:tcPr>
            <w:tcW w:w="955" w:type="dxa"/>
            <w:noWrap w:val="0"/>
            <w:vAlign w:val="center"/>
          </w:tcPr>
          <w:p w14:paraId="04FB82D2">
            <w:pPr>
              <w:widowControl w:val="0"/>
              <w:adjustRightInd/>
              <w:jc w:val="center"/>
              <w:rPr>
                <w:rFonts w:hint="eastAsia" w:asciiTheme="minorEastAsia" w:hAnsiTheme="minorEastAsia" w:eastAsiaTheme="minorEastAsia" w:cstheme="minorEastAsia"/>
                <w:b/>
                <w:bCs/>
                <w:color w:val="auto"/>
                <w:sz w:val="21"/>
                <w:szCs w:val="21"/>
                <w:highlight w:val="none"/>
              </w:rPr>
            </w:pPr>
          </w:p>
        </w:tc>
        <w:tc>
          <w:tcPr>
            <w:tcW w:w="1179" w:type="dxa"/>
            <w:noWrap w:val="0"/>
            <w:vAlign w:val="center"/>
          </w:tcPr>
          <w:p w14:paraId="09ABB33D">
            <w:pPr>
              <w:widowControl w:val="0"/>
              <w:adjustRightInd/>
              <w:jc w:val="center"/>
              <w:rPr>
                <w:rFonts w:hint="eastAsia" w:asciiTheme="minorEastAsia" w:hAnsiTheme="minorEastAsia" w:eastAsiaTheme="minorEastAsia" w:cstheme="minorEastAsia"/>
                <w:b/>
                <w:bCs/>
                <w:color w:val="auto"/>
                <w:sz w:val="21"/>
                <w:szCs w:val="21"/>
                <w:highlight w:val="none"/>
              </w:rPr>
            </w:pPr>
          </w:p>
        </w:tc>
      </w:tr>
      <w:tr w14:paraId="34AB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09" w:type="dxa"/>
            <w:noWrap w:val="0"/>
            <w:vAlign w:val="center"/>
          </w:tcPr>
          <w:p w14:paraId="4F159BBC">
            <w:pPr>
              <w:widowControl/>
              <w:adjustRightInd/>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c>
          <w:tcPr>
            <w:tcW w:w="1741" w:type="dxa"/>
            <w:noWrap w:val="0"/>
            <w:vAlign w:val="center"/>
          </w:tcPr>
          <w:p w14:paraId="6E5D88A7">
            <w:pPr>
              <w:widowControl/>
              <w:adjustRightInd/>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招标代理服务人员小组</w:t>
            </w:r>
          </w:p>
        </w:tc>
        <w:tc>
          <w:tcPr>
            <w:tcW w:w="2784" w:type="dxa"/>
            <w:noWrap w:val="0"/>
            <w:vAlign w:val="center"/>
          </w:tcPr>
          <w:p w14:paraId="22EA194B">
            <w:pPr>
              <w:widowControl/>
              <w:adjustRightInd/>
              <w:textAlignment w:val="center"/>
              <w:rPr>
                <w:rFonts w:hint="eastAsia" w:asciiTheme="minorEastAsia" w:hAnsiTheme="minorEastAsia" w:eastAsiaTheme="minorEastAsia" w:cstheme="minorEastAsia"/>
                <w:b/>
                <w:bCs/>
                <w:color w:val="auto"/>
                <w:spacing w:val="-6"/>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具有中级及以上技术职称人员不少于1人</w:t>
            </w:r>
            <w:r>
              <w:rPr>
                <w:rFonts w:hint="eastAsia" w:asciiTheme="minorEastAsia" w:hAnsiTheme="minorEastAsia" w:eastAsiaTheme="minorEastAsia" w:cstheme="minorEastAsia"/>
                <w:b/>
                <w:bCs/>
                <w:color w:val="auto"/>
                <w:spacing w:val="-6"/>
                <w:sz w:val="21"/>
                <w:szCs w:val="21"/>
                <w:highlight w:val="none"/>
              </w:rPr>
              <w:t>（投标文件中提供相关证明材料）</w:t>
            </w:r>
          </w:p>
        </w:tc>
        <w:tc>
          <w:tcPr>
            <w:tcW w:w="866" w:type="dxa"/>
            <w:noWrap w:val="0"/>
            <w:vAlign w:val="center"/>
          </w:tcPr>
          <w:p w14:paraId="38CC411E">
            <w:pPr>
              <w:widowControl/>
              <w:adjustRightInd/>
              <w:jc w:val="center"/>
              <w:textAlignment w:val="center"/>
              <w:rPr>
                <w:rFonts w:hint="eastAsia" w:asciiTheme="minorEastAsia" w:hAnsiTheme="minorEastAsia" w:eastAsiaTheme="minorEastAsia" w:cstheme="minorEastAsia"/>
                <w:b/>
                <w:bCs/>
                <w:color w:val="auto"/>
                <w:kern w:val="0"/>
                <w:sz w:val="21"/>
                <w:szCs w:val="21"/>
                <w:highlight w:val="none"/>
                <w:lang w:val="en-US" w:eastAsia="zh-CN" w:bidi="ar"/>
              </w:rPr>
            </w:pPr>
          </w:p>
        </w:tc>
        <w:tc>
          <w:tcPr>
            <w:tcW w:w="955" w:type="dxa"/>
            <w:noWrap w:val="0"/>
            <w:vAlign w:val="center"/>
          </w:tcPr>
          <w:p w14:paraId="00D114AA">
            <w:pPr>
              <w:widowControl/>
              <w:adjustRightInd/>
              <w:jc w:val="center"/>
              <w:textAlignment w:val="center"/>
              <w:rPr>
                <w:rFonts w:hint="eastAsia" w:asciiTheme="minorEastAsia" w:hAnsiTheme="minorEastAsia" w:eastAsiaTheme="minorEastAsia" w:cstheme="minorEastAsia"/>
                <w:b/>
                <w:bCs/>
                <w:color w:val="auto"/>
                <w:kern w:val="0"/>
                <w:sz w:val="21"/>
                <w:szCs w:val="21"/>
                <w:highlight w:val="none"/>
                <w:lang w:val="en-US" w:eastAsia="zh-CN" w:bidi="ar"/>
              </w:rPr>
            </w:pPr>
          </w:p>
        </w:tc>
        <w:tc>
          <w:tcPr>
            <w:tcW w:w="1179" w:type="dxa"/>
            <w:noWrap w:val="0"/>
            <w:vAlign w:val="center"/>
          </w:tcPr>
          <w:p w14:paraId="1C135AA4">
            <w:pPr>
              <w:widowControl/>
              <w:adjustRightInd/>
              <w:jc w:val="center"/>
              <w:textAlignment w:val="center"/>
              <w:rPr>
                <w:rFonts w:hint="eastAsia" w:asciiTheme="minorEastAsia" w:hAnsiTheme="minorEastAsia" w:eastAsiaTheme="minorEastAsia" w:cstheme="minorEastAsia"/>
                <w:b/>
                <w:bCs/>
                <w:color w:val="auto"/>
                <w:kern w:val="0"/>
                <w:sz w:val="21"/>
                <w:szCs w:val="21"/>
                <w:highlight w:val="none"/>
                <w:lang w:val="en-US" w:eastAsia="zh-CN" w:bidi="ar"/>
              </w:rPr>
            </w:pPr>
          </w:p>
        </w:tc>
      </w:tr>
    </w:tbl>
    <w:p w14:paraId="5B8DC27F">
      <w:pPr>
        <w:widowControl w:val="0"/>
        <w:adjustRightInd w:val="0"/>
        <w:spacing w:line="440" w:lineRule="exact"/>
        <w:ind w:firstLine="420" w:firstLineChars="200"/>
        <w:rPr>
          <w:rFonts w:hint="eastAsia" w:asciiTheme="minorEastAsia" w:hAnsiTheme="minorEastAsia" w:eastAsiaTheme="minorEastAsia" w:cstheme="minorEastAsia"/>
          <w:color w:val="auto"/>
          <w:highlight w:val="none"/>
          <w:u w:val="none"/>
          <w:lang w:val="en-US" w:eastAsia="zh-CN"/>
        </w:rPr>
      </w:pPr>
      <w:r>
        <w:rPr>
          <w:rFonts w:hint="eastAsia" w:asciiTheme="minorEastAsia" w:hAnsiTheme="minorEastAsia" w:eastAsiaTheme="minorEastAsia" w:cstheme="minorEastAsia"/>
          <w:color w:val="auto"/>
          <w:szCs w:val="21"/>
          <w:highlight w:val="none"/>
          <w:lang w:val="zh-CN"/>
        </w:rPr>
        <w:t>3.2</w:t>
      </w:r>
      <w:r>
        <w:rPr>
          <w:rFonts w:hint="eastAsia" w:asciiTheme="minorEastAsia" w:hAnsiTheme="minorEastAsia" w:eastAsiaTheme="minorEastAsia" w:cstheme="minorEastAsia"/>
          <w:color w:val="auto"/>
          <w:szCs w:val="21"/>
          <w:highlight w:val="none"/>
          <w:u w:val="none"/>
          <w:lang w:val="zh-CN"/>
        </w:rPr>
        <w:t xml:space="preserve"> </w:t>
      </w:r>
      <w:r>
        <w:rPr>
          <w:rFonts w:hint="eastAsia" w:asciiTheme="minorEastAsia" w:hAnsiTheme="minorEastAsia" w:eastAsiaTheme="minorEastAsia" w:cstheme="minorEastAsia"/>
          <w:color w:val="auto"/>
          <w:highlight w:val="none"/>
          <w:u w:val="none"/>
          <w:lang w:val="en-US" w:eastAsia="zh-CN"/>
        </w:rPr>
        <w:t>工程量清单及招标控制价编制</w:t>
      </w:r>
      <w:r>
        <w:rPr>
          <w:rFonts w:hint="eastAsia" w:asciiTheme="minorEastAsia" w:hAnsiTheme="minorEastAsia" w:eastAsiaTheme="minorEastAsia" w:cstheme="minorEastAsia"/>
          <w:color w:val="auto"/>
          <w:szCs w:val="21"/>
          <w:highlight w:val="none"/>
          <w:lang w:val="en-US" w:eastAsia="zh-CN"/>
        </w:rPr>
        <w:t>人员：</w:t>
      </w:r>
    </w:p>
    <w:tbl>
      <w:tblPr>
        <w:tblStyle w:val="21"/>
        <w:tblW w:w="9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74"/>
        <w:gridCol w:w="3119"/>
        <w:gridCol w:w="993"/>
        <w:gridCol w:w="2251"/>
        <w:gridCol w:w="1008"/>
      </w:tblGrid>
      <w:tr w14:paraId="170FE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09" w:type="dxa"/>
            <w:noWrap w:val="0"/>
            <w:vAlign w:val="center"/>
          </w:tcPr>
          <w:p w14:paraId="4A8699E6">
            <w:pPr>
              <w:widowControl w:val="0"/>
              <w:adjustRightInd/>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1074" w:type="dxa"/>
            <w:noWrap w:val="0"/>
            <w:vAlign w:val="center"/>
          </w:tcPr>
          <w:p w14:paraId="48D5F9C0">
            <w:pPr>
              <w:widowControl w:val="0"/>
              <w:adjustRightInd/>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岗位</w:t>
            </w:r>
          </w:p>
        </w:tc>
        <w:tc>
          <w:tcPr>
            <w:tcW w:w="3119" w:type="dxa"/>
            <w:noWrap w:val="0"/>
            <w:vAlign w:val="center"/>
          </w:tcPr>
          <w:p w14:paraId="343036F6">
            <w:pPr>
              <w:widowControl w:val="0"/>
              <w:adjustRightInd/>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资格资历要求</w:t>
            </w:r>
          </w:p>
        </w:tc>
        <w:tc>
          <w:tcPr>
            <w:tcW w:w="993" w:type="dxa"/>
            <w:noWrap w:val="0"/>
            <w:vAlign w:val="center"/>
          </w:tcPr>
          <w:p w14:paraId="1ADA2C6E">
            <w:pPr>
              <w:widowControl w:val="0"/>
              <w:adjustRightInd/>
              <w:jc w:val="center"/>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val="en-US" w:eastAsia="zh-CN"/>
              </w:rPr>
              <w:t>姓名</w:t>
            </w:r>
          </w:p>
        </w:tc>
        <w:tc>
          <w:tcPr>
            <w:tcW w:w="2251" w:type="dxa"/>
            <w:noWrap w:val="0"/>
            <w:vAlign w:val="center"/>
          </w:tcPr>
          <w:p w14:paraId="482D2880">
            <w:pPr>
              <w:widowControl w:val="0"/>
              <w:adjustRightInd/>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身份证</w:t>
            </w:r>
          </w:p>
        </w:tc>
        <w:tc>
          <w:tcPr>
            <w:tcW w:w="1008" w:type="dxa"/>
            <w:noWrap w:val="0"/>
            <w:vAlign w:val="center"/>
          </w:tcPr>
          <w:p w14:paraId="5EB8AA5B">
            <w:pPr>
              <w:widowControl w:val="0"/>
              <w:adjustRightInd/>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电话</w:t>
            </w:r>
          </w:p>
        </w:tc>
      </w:tr>
      <w:tr w14:paraId="7843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09" w:type="dxa"/>
            <w:noWrap w:val="0"/>
            <w:vAlign w:val="center"/>
          </w:tcPr>
          <w:p w14:paraId="0F2FE242">
            <w:pPr>
              <w:widowControl w:val="0"/>
              <w:adjustRightInd/>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074" w:type="dxa"/>
            <w:noWrap w:val="0"/>
            <w:vAlign w:val="center"/>
          </w:tcPr>
          <w:p w14:paraId="48076DC9">
            <w:pPr>
              <w:widowControl w:val="0"/>
              <w:adjustRightInd/>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项目负责人</w:t>
            </w:r>
          </w:p>
        </w:tc>
        <w:tc>
          <w:tcPr>
            <w:tcW w:w="3119" w:type="dxa"/>
            <w:noWrap w:val="0"/>
            <w:vAlign w:val="center"/>
          </w:tcPr>
          <w:p w14:paraId="07A5D8E5">
            <w:pPr>
              <w:widowControl w:val="0"/>
              <w:adjustRightInd/>
              <w:spacing w:line="340" w:lineRule="exact"/>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pacing w:val="-6"/>
                <w:sz w:val="21"/>
                <w:szCs w:val="21"/>
                <w:highlight w:val="none"/>
              </w:rPr>
              <w:t>须具有</w:t>
            </w:r>
            <w:r>
              <w:rPr>
                <w:rFonts w:hint="eastAsia" w:asciiTheme="minorEastAsia" w:hAnsiTheme="minorEastAsia" w:eastAsiaTheme="minorEastAsia" w:cstheme="minorEastAsia"/>
                <w:b/>
                <w:bCs/>
                <w:color w:val="auto"/>
                <w:spacing w:val="-6"/>
                <w:sz w:val="21"/>
                <w:szCs w:val="21"/>
                <w:highlight w:val="none"/>
                <w:lang w:eastAsia="zh-CN"/>
              </w:rPr>
              <w:t>土建专业</w:t>
            </w:r>
            <w:r>
              <w:rPr>
                <w:rFonts w:hint="eastAsia" w:asciiTheme="minorEastAsia" w:hAnsiTheme="minorEastAsia" w:eastAsiaTheme="minorEastAsia" w:cstheme="minorEastAsia"/>
                <w:b/>
                <w:bCs/>
                <w:color w:val="auto"/>
                <w:spacing w:val="-6"/>
                <w:sz w:val="21"/>
                <w:szCs w:val="21"/>
                <w:highlight w:val="none"/>
              </w:rPr>
              <w:t>一级注册造价工程师资质证书</w:t>
            </w:r>
            <w:r>
              <w:rPr>
                <w:rFonts w:hint="eastAsia" w:asciiTheme="minorEastAsia" w:hAnsiTheme="minorEastAsia" w:eastAsiaTheme="minorEastAsia" w:cstheme="minorEastAsia"/>
                <w:b/>
                <w:bCs/>
                <w:color w:val="auto"/>
                <w:spacing w:val="-6"/>
                <w:sz w:val="21"/>
                <w:szCs w:val="21"/>
                <w:highlight w:val="none"/>
                <w:lang w:eastAsia="zh-CN"/>
              </w:rPr>
              <w:t>。要求自</w:t>
            </w:r>
            <w:r>
              <w:rPr>
                <w:rFonts w:hint="eastAsia" w:asciiTheme="minorEastAsia" w:hAnsiTheme="minorEastAsia" w:eastAsiaTheme="minorEastAsia" w:cstheme="minorEastAsia"/>
                <w:b/>
                <w:bCs/>
                <w:color w:val="auto"/>
                <w:spacing w:val="-6"/>
                <w:sz w:val="21"/>
                <w:szCs w:val="21"/>
                <w:highlight w:val="none"/>
                <w:lang w:val="en-US" w:eastAsia="zh-CN"/>
              </w:rPr>
              <w:t>2022年1月1日以来，</w:t>
            </w:r>
            <w:r>
              <w:rPr>
                <w:rFonts w:hint="eastAsia" w:asciiTheme="minorEastAsia" w:hAnsiTheme="minorEastAsia" w:eastAsiaTheme="minorEastAsia" w:cstheme="minorEastAsia"/>
                <w:b/>
                <w:bCs/>
                <w:color w:val="auto"/>
                <w:spacing w:val="-6"/>
                <w:sz w:val="21"/>
                <w:szCs w:val="21"/>
                <w:highlight w:val="none"/>
                <w:lang w:eastAsia="zh-CN"/>
              </w:rPr>
              <w:t>完成过（政府或国有投资项目）</w:t>
            </w:r>
            <w:r>
              <w:rPr>
                <w:rFonts w:hint="eastAsia" w:asciiTheme="minorEastAsia" w:hAnsiTheme="minorEastAsia" w:eastAsiaTheme="minorEastAsia" w:cstheme="minorEastAsia"/>
                <w:b/>
                <w:bCs/>
                <w:color w:val="auto"/>
                <w:spacing w:val="-6"/>
                <w:sz w:val="21"/>
                <w:szCs w:val="21"/>
                <w:highlight w:val="none"/>
                <w:lang w:val="en-US" w:eastAsia="zh-CN"/>
              </w:rPr>
              <w:t>新建或改建土建工程的</w:t>
            </w:r>
            <w:r>
              <w:rPr>
                <w:rFonts w:hint="eastAsia" w:asciiTheme="minorEastAsia" w:hAnsiTheme="minorEastAsia" w:eastAsiaTheme="minorEastAsia" w:cstheme="minorEastAsia"/>
                <w:b/>
                <w:bCs/>
                <w:color w:val="auto"/>
                <w:spacing w:val="-6"/>
                <w:sz w:val="21"/>
                <w:szCs w:val="21"/>
                <w:highlight w:val="none"/>
                <w:lang w:eastAsia="zh-CN"/>
              </w:rPr>
              <w:t>施工图预算（招标控制价或工程量清单预算）业务，并担任项目负责人。（投标文件中提供相关证明材料）</w:t>
            </w:r>
          </w:p>
        </w:tc>
        <w:tc>
          <w:tcPr>
            <w:tcW w:w="993" w:type="dxa"/>
            <w:noWrap w:val="0"/>
            <w:vAlign w:val="center"/>
          </w:tcPr>
          <w:p w14:paraId="5CDFED60">
            <w:pPr>
              <w:widowControl w:val="0"/>
              <w:adjustRightInd/>
              <w:jc w:val="center"/>
              <w:rPr>
                <w:rFonts w:hint="eastAsia" w:asciiTheme="minorEastAsia" w:hAnsiTheme="minorEastAsia" w:eastAsiaTheme="minorEastAsia" w:cstheme="minorEastAsia"/>
                <w:b/>
                <w:bCs/>
                <w:color w:val="auto"/>
                <w:sz w:val="21"/>
                <w:szCs w:val="21"/>
                <w:highlight w:val="none"/>
              </w:rPr>
            </w:pPr>
          </w:p>
        </w:tc>
        <w:tc>
          <w:tcPr>
            <w:tcW w:w="2251" w:type="dxa"/>
            <w:noWrap w:val="0"/>
            <w:vAlign w:val="center"/>
          </w:tcPr>
          <w:p w14:paraId="5E7A3C5A">
            <w:pPr>
              <w:widowControl w:val="0"/>
              <w:adjustRightInd/>
              <w:jc w:val="center"/>
              <w:rPr>
                <w:rFonts w:hint="eastAsia" w:asciiTheme="minorEastAsia" w:hAnsiTheme="minorEastAsia" w:eastAsiaTheme="minorEastAsia" w:cstheme="minorEastAsia"/>
                <w:b/>
                <w:bCs/>
                <w:color w:val="auto"/>
                <w:sz w:val="21"/>
                <w:szCs w:val="21"/>
                <w:highlight w:val="none"/>
              </w:rPr>
            </w:pPr>
          </w:p>
        </w:tc>
        <w:tc>
          <w:tcPr>
            <w:tcW w:w="1008" w:type="dxa"/>
            <w:noWrap w:val="0"/>
            <w:vAlign w:val="center"/>
          </w:tcPr>
          <w:p w14:paraId="0B042D7F">
            <w:pPr>
              <w:widowControl w:val="0"/>
              <w:adjustRightInd/>
              <w:jc w:val="center"/>
              <w:rPr>
                <w:rFonts w:hint="eastAsia" w:asciiTheme="minorEastAsia" w:hAnsiTheme="minorEastAsia" w:eastAsiaTheme="minorEastAsia" w:cstheme="minorEastAsia"/>
                <w:b/>
                <w:bCs/>
                <w:color w:val="auto"/>
                <w:sz w:val="21"/>
                <w:szCs w:val="21"/>
                <w:highlight w:val="none"/>
              </w:rPr>
            </w:pPr>
          </w:p>
        </w:tc>
      </w:tr>
      <w:tr w14:paraId="6085E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09" w:type="dxa"/>
            <w:vMerge w:val="restart"/>
            <w:noWrap w:val="0"/>
            <w:vAlign w:val="center"/>
          </w:tcPr>
          <w:p w14:paraId="33B08D4F">
            <w:pPr>
              <w:widowControl/>
              <w:adjustRightInd/>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c>
          <w:tcPr>
            <w:tcW w:w="1074" w:type="dxa"/>
            <w:vMerge w:val="restart"/>
            <w:noWrap w:val="0"/>
            <w:vAlign w:val="center"/>
          </w:tcPr>
          <w:p w14:paraId="484FA295">
            <w:pPr>
              <w:widowControl/>
              <w:adjustRightInd/>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项目</w:t>
            </w:r>
            <w:r>
              <w:rPr>
                <w:rFonts w:hint="eastAsia" w:asciiTheme="minorEastAsia" w:hAnsiTheme="minorEastAsia" w:eastAsiaTheme="minorEastAsia" w:cstheme="minorEastAsia"/>
                <w:b/>
                <w:bCs/>
                <w:color w:val="auto"/>
                <w:kern w:val="0"/>
                <w:sz w:val="21"/>
                <w:szCs w:val="21"/>
                <w:highlight w:val="none"/>
                <w:lang w:val="en-US" w:eastAsia="zh-CN" w:bidi="ar"/>
              </w:rPr>
              <w:t>作业</w:t>
            </w:r>
            <w:r>
              <w:rPr>
                <w:rFonts w:hint="eastAsia" w:asciiTheme="minorEastAsia" w:hAnsiTheme="minorEastAsia" w:eastAsiaTheme="minorEastAsia" w:cstheme="minorEastAsia"/>
                <w:b/>
                <w:bCs/>
                <w:color w:val="auto"/>
                <w:kern w:val="0"/>
                <w:sz w:val="21"/>
                <w:szCs w:val="21"/>
                <w:highlight w:val="none"/>
                <w:lang w:bidi="ar"/>
              </w:rPr>
              <w:t>人员</w:t>
            </w:r>
          </w:p>
        </w:tc>
        <w:tc>
          <w:tcPr>
            <w:tcW w:w="3119" w:type="dxa"/>
            <w:noWrap w:val="0"/>
            <w:vAlign w:val="center"/>
          </w:tcPr>
          <w:p w14:paraId="06CCDB23">
            <w:pPr>
              <w:widowControl/>
              <w:adjustRightInd/>
              <w:textAlignment w:val="center"/>
              <w:rPr>
                <w:rFonts w:hint="eastAsia" w:asciiTheme="minorEastAsia" w:hAnsiTheme="minorEastAsia" w:eastAsiaTheme="minorEastAsia" w:cstheme="minorEastAsia"/>
                <w:b/>
                <w:bCs/>
                <w:color w:val="auto"/>
                <w:spacing w:val="-6"/>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须具有</w:t>
            </w:r>
            <w:r>
              <w:rPr>
                <w:rFonts w:hint="eastAsia" w:asciiTheme="minorEastAsia" w:hAnsiTheme="minorEastAsia" w:eastAsiaTheme="minorEastAsia" w:cstheme="minorEastAsia"/>
                <w:b/>
                <w:bCs/>
                <w:color w:val="auto"/>
                <w:kern w:val="0"/>
                <w:sz w:val="21"/>
                <w:szCs w:val="21"/>
                <w:highlight w:val="none"/>
                <w:lang w:eastAsia="zh-CN" w:bidi="ar"/>
              </w:rPr>
              <w:t>土建专业</w:t>
            </w:r>
            <w:r>
              <w:rPr>
                <w:rFonts w:hint="eastAsia" w:asciiTheme="minorEastAsia" w:hAnsiTheme="minorEastAsia" w:eastAsiaTheme="minorEastAsia" w:cstheme="minorEastAsia"/>
                <w:b/>
                <w:bCs/>
                <w:color w:val="auto"/>
                <w:spacing w:val="-6"/>
                <w:sz w:val="21"/>
                <w:szCs w:val="21"/>
                <w:highlight w:val="none"/>
              </w:rPr>
              <w:t>一级注册造价工程师</w:t>
            </w:r>
            <w:r>
              <w:rPr>
                <w:rFonts w:hint="eastAsia" w:asciiTheme="minorEastAsia" w:hAnsiTheme="minorEastAsia" w:eastAsiaTheme="minorEastAsia" w:cstheme="minorEastAsia"/>
                <w:b/>
                <w:bCs/>
                <w:color w:val="auto"/>
                <w:kern w:val="0"/>
                <w:sz w:val="21"/>
                <w:szCs w:val="21"/>
                <w:highlight w:val="none"/>
                <w:lang w:bidi="ar"/>
              </w:rPr>
              <w:t>资质证书</w:t>
            </w:r>
            <w:r>
              <w:rPr>
                <w:rFonts w:hint="eastAsia" w:asciiTheme="minorEastAsia" w:hAnsiTheme="minorEastAsia" w:eastAsiaTheme="minorEastAsia" w:cstheme="minorEastAsia"/>
                <w:b/>
                <w:bCs/>
                <w:color w:val="auto"/>
                <w:kern w:val="0"/>
                <w:sz w:val="21"/>
                <w:szCs w:val="21"/>
                <w:highlight w:val="none"/>
                <w:lang w:eastAsia="zh-CN" w:bidi="ar"/>
              </w:rPr>
              <w:t>。</w:t>
            </w:r>
            <w:r>
              <w:rPr>
                <w:rFonts w:hint="eastAsia" w:asciiTheme="minorEastAsia" w:hAnsiTheme="minorEastAsia" w:eastAsiaTheme="minorEastAsia" w:cstheme="minorEastAsia"/>
                <w:b/>
                <w:bCs/>
                <w:color w:val="auto"/>
                <w:spacing w:val="-6"/>
                <w:sz w:val="21"/>
                <w:szCs w:val="21"/>
                <w:highlight w:val="none"/>
                <w:lang w:eastAsia="zh-CN"/>
              </w:rPr>
              <w:t>（投标文件中提供相关证明材料）</w:t>
            </w:r>
          </w:p>
        </w:tc>
        <w:tc>
          <w:tcPr>
            <w:tcW w:w="993" w:type="dxa"/>
            <w:noWrap w:val="0"/>
            <w:vAlign w:val="center"/>
          </w:tcPr>
          <w:p w14:paraId="37AF06DA">
            <w:pPr>
              <w:widowControl/>
              <w:adjustRightInd/>
              <w:jc w:val="center"/>
              <w:textAlignment w:val="center"/>
              <w:rPr>
                <w:rFonts w:hint="eastAsia" w:asciiTheme="minorEastAsia" w:hAnsiTheme="minorEastAsia" w:eastAsiaTheme="minorEastAsia" w:cstheme="minorEastAsia"/>
                <w:b/>
                <w:bCs/>
                <w:color w:val="auto"/>
                <w:sz w:val="21"/>
                <w:szCs w:val="21"/>
                <w:highlight w:val="none"/>
                <w:lang w:eastAsia="zh-CN"/>
              </w:rPr>
            </w:pPr>
          </w:p>
        </w:tc>
        <w:tc>
          <w:tcPr>
            <w:tcW w:w="2251" w:type="dxa"/>
            <w:noWrap w:val="0"/>
            <w:vAlign w:val="center"/>
          </w:tcPr>
          <w:p w14:paraId="43676EF9">
            <w:pPr>
              <w:widowControl/>
              <w:adjustRightInd/>
              <w:jc w:val="center"/>
              <w:textAlignment w:val="center"/>
              <w:rPr>
                <w:rFonts w:hint="eastAsia" w:asciiTheme="minorEastAsia" w:hAnsiTheme="minorEastAsia" w:eastAsiaTheme="minorEastAsia" w:cstheme="minorEastAsia"/>
                <w:b/>
                <w:bCs/>
                <w:color w:val="auto"/>
                <w:kern w:val="0"/>
                <w:sz w:val="21"/>
                <w:szCs w:val="21"/>
                <w:highlight w:val="none"/>
                <w:lang w:val="en-US" w:eastAsia="zh-CN" w:bidi="ar"/>
              </w:rPr>
            </w:pPr>
          </w:p>
        </w:tc>
        <w:tc>
          <w:tcPr>
            <w:tcW w:w="1008" w:type="dxa"/>
            <w:noWrap w:val="0"/>
            <w:vAlign w:val="center"/>
          </w:tcPr>
          <w:p w14:paraId="2D46AB2E">
            <w:pPr>
              <w:widowControl/>
              <w:adjustRightInd/>
              <w:jc w:val="center"/>
              <w:textAlignment w:val="center"/>
              <w:rPr>
                <w:rFonts w:hint="eastAsia" w:asciiTheme="minorEastAsia" w:hAnsiTheme="minorEastAsia" w:eastAsiaTheme="minorEastAsia" w:cstheme="minorEastAsia"/>
                <w:b/>
                <w:bCs/>
                <w:color w:val="auto"/>
                <w:kern w:val="0"/>
                <w:sz w:val="21"/>
                <w:szCs w:val="21"/>
                <w:highlight w:val="none"/>
                <w:lang w:val="en-US" w:eastAsia="zh-CN" w:bidi="ar"/>
              </w:rPr>
            </w:pPr>
          </w:p>
        </w:tc>
      </w:tr>
      <w:tr w14:paraId="75A6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09" w:type="dxa"/>
            <w:vMerge w:val="continue"/>
            <w:noWrap w:val="0"/>
            <w:vAlign w:val="center"/>
          </w:tcPr>
          <w:p w14:paraId="0F50DF3E">
            <w:pPr>
              <w:widowControl w:val="0"/>
              <w:adjustRightInd/>
              <w:jc w:val="center"/>
              <w:rPr>
                <w:rFonts w:hint="eastAsia" w:asciiTheme="minorEastAsia" w:hAnsiTheme="minorEastAsia" w:eastAsiaTheme="minorEastAsia" w:cstheme="minorEastAsia"/>
                <w:color w:val="auto"/>
                <w:sz w:val="21"/>
                <w:szCs w:val="21"/>
                <w:highlight w:val="none"/>
              </w:rPr>
            </w:pPr>
          </w:p>
        </w:tc>
        <w:tc>
          <w:tcPr>
            <w:tcW w:w="1074" w:type="dxa"/>
            <w:vMerge w:val="continue"/>
            <w:noWrap w:val="0"/>
            <w:vAlign w:val="center"/>
          </w:tcPr>
          <w:p w14:paraId="0FA96092">
            <w:pPr>
              <w:widowControl/>
              <w:adjustRightInd/>
              <w:jc w:val="center"/>
              <w:textAlignment w:val="center"/>
              <w:rPr>
                <w:rFonts w:hint="eastAsia" w:asciiTheme="minorEastAsia" w:hAnsiTheme="minorEastAsia" w:eastAsiaTheme="minorEastAsia" w:cstheme="minorEastAsia"/>
                <w:b/>
                <w:bCs/>
                <w:color w:val="auto"/>
                <w:sz w:val="21"/>
                <w:szCs w:val="21"/>
                <w:highlight w:val="none"/>
              </w:rPr>
            </w:pPr>
          </w:p>
        </w:tc>
        <w:tc>
          <w:tcPr>
            <w:tcW w:w="3119" w:type="dxa"/>
            <w:noWrap w:val="0"/>
            <w:vAlign w:val="center"/>
          </w:tcPr>
          <w:p w14:paraId="39250E83">
            <w:pPr>
              <w:widowControl/>
              <w:adjustRightInd/>
              <w:textAlignment w:val="center"/>
              <w:rPr>
                <w:rFonts w:hint="eastAsia" w:asciiTheme="minorEastAsia" w:hAnsiTheme="minorEastAsia" w:eastAsiaTheme="minorEastAsia" w:cstheme="minorEastAsia"/>
                <w:b/>
                <w:bCs/>
                <w:color w:val="auto"/>
                <w:spacing w:val="-6"/>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须具有</w:t>
            </w:r>
            <w:r>
              <w:rPr>
                <w:rFonts w:hint="eastAsia" w:asciiTheme="minorEastAsia" w:hAnsiTheme="minorEastAsia" w:eastAsiaTheme="minorEastAsia" w:cstheme="minorEastAsia"/>
                <w:b/>
                <w:bCs/>
                <w:color w:val="auto"/>
                <w:kern w:val="0"/>
                <w:sz w:val="21"/>
                <w:szCs w:val="21"/>
                <w:highlight w:val="none"/>
                <w:lang w:val="en-US" w:eastAsia="zh-CN" w:bidi="ar"/>
              </w:rPr>
              <w:t>安装</w:t>
            </w:r>
            <w:r>
              <w:rPr>
                <w:rFonts w:hint="eastAsia" w:asciiTheme="minorEastAsia" w:hAnsiTheme="minorEastAsia" w:eastAsiaTheme="minorEastAsia" w:cstheme="minorEastAsia"/>
                <w:b/>
                <w:bCs/>
                <w:color w:val="auto"/>
                <w:kern w:val="0"/>
                <w:sz w:val="21"/>
                <w:szCs w:val="21"/>
                <w:highlight w:val="none"/>
                <w:lang w:eastAsia="zh-CN" w:bidi="ar"/>
              </w:rPr>
              <w:t>专业</w:t>
            </w:r>
            <w:r>
              <w:rPr>
                <w:rFonts w:hint="eastAsia" w:asciiTheme="minorEastAsia" w:hAnsiTheme="minorEastAsia" w:eastAsiaTheme="minorEastAsia" w:cstheme="minorEastAsia"/>
                <w:b/>
                <w:bCs/>
                <w:color w:val="auto"/>
                <w:spacing w:val="-6"/>
                <w:sz w:val="21"/>
                <w:szCs w:val="21"/>
                <w:highlight w:val="none"/>
              </w:rPr>
              <w:t>一级注册造价工程师</w:t>
            </w:r>
            <w:r>
              <w:rPr>
                <w:rFonts w:hint="eastAsia" w:asciiTheme="minorEastAsia" w:hAnsiTheme="minorEastAsia" w:eastAsiaTheme="minorEastAsia" w:cstheme="minorEastAsia"/>
                <w:b/>
                <w:bCs/>
                <w:color w:val="auto"/>
                <w:kern w:val="0"/>
                <w:sz w:val="21"/>
                <w:szCs w:val="21"/>
                <w:highlight w:val="none"/>
                <w:lang w:bidi="ar"/>
              </w:rPr>
              <w:t>资质证书</w:t>
            </w:r>
            <w:r>
              <w:rPr>
                <w:rFonts w:hint="eastAsia" w:asciiTheme="minorEastAsia" w:hAnsiTheme="minorEastAsia" w:eastAsiaTheme="minorEastAsia" w:cstheme="minorEastAsia"/>
                <w:b/>
                <w:bCs/>
                <w:color w:val="auto"/>
                <w:kern w:val="0"/>
                <w:sz w:val="21"/>
                <w:szCs w:val="21"/>
                <w:highlight w:val="none"/>
                <w:lang w:eastAsia="zh-CN" w:bidi="ar"/>
              </w:rPr>
              <w:t>。</w:t>
            </w:r>
            <w:r>
              <w:rPr>
                <w:rFonts w:hint="eastAsia" w:asciiTheme="minorEastAsia" w:hAnsiTheme="minorEastAsia" w:eastAsiaTheme="minorEastAsia" w:cstheme="minorEastAsia"/>
                <w:b/>
                <w:bCs/>
                <w:color w:val="auto"/>
                <w:spacing w:val="-6"/>
                <w:sz w:val="21"/>
                <w:szCs w:val="21"/>
                <w:highlight w:val="none"/>
                <w:lang w:eastAsia="zh-CN"/>
              </w:rPr>
              <w:t>（投标文件中提供相关证明材料）</w:t>
            </w:r>
          </w:p>
        </w:tc>
        <w:tc>
          <w:tcPr>
            <w:tcW w:w="993" w:type="dxa"/>
            <w:noWrap w:val="0"/>
            <w:vAlign w:val="center"/>
          </w:tcPr>
          <w:p w14:paraId="192DBA6A">
            <w:pPr>
              <w:widowControl/>
              <w:adjustRightInd/>
              <w:jc w:val="center"/>
              <w:textAlignment w:val="center"/>
              <w:rPr>
                <w:rFonts w:hint="eastAsia" w:asciiTheme="minorEastAsia" w:hAnsiTheme="minorEastAsia" w:eastAsiaTheme="minorEastAsia" w:cstheme="minorEastAsia"/>
                <w:b/>
                <w:bCs/>
                <w:color w:val="auto"/>
                <w:sz w:val="21"/>
                <w:szCs w:val="21"/>
                <w:highlight w:val="none"/>
                <w:lang w:val="en-US" w:eastAsia="zh-CN"/>
              </w:rPr>
            </w:pPr>
          </w:p>
        </w:tc>
        <w:tc>
          <w:tcPr>
            <w:tcW w:w="2251" w:type="dxa"/>
            <w:noWrap w:val="0"/>
            <w:vAlign w:val="center"/>
          </w:tcPr>
          <w:p w14:paraId="0FD0EAB4">
            <w:pPr>
              <w:widowControl/>
              <w:adjustRightInd/>
              <w:jc w:val="center"/>
              <w:textAlignment w:val="center"/>
              <w:rPr>
                <w:rFonts w:hint="eastAsia" w:asciiTheme="minorEastAsia" w:hAnsiTheme="minorEastAsia" w:eastAsiaTheme="minorEastAsia" w:cstheme="minorEastAsia"/>
                <w:b/>
                <w:bCs/>
                <w:color w:val="auto"/>
                <w:sz w:val="21"/>
                <w:szCs w:val="21"/>
                <w:highlight w:val="none"/>
                <w:lang w:val="en-US" w:eastAsia="zh-CN"/>
              </w:rPr>
            </w:pPr>
          </w:p>
        </w:tc>
        <w:tc>
          <w:tcPr>
            <w:tcW w:w="1008" w:type="dxa"/>
            <w:noWrap w:val="0"/>
            <w:vAlign w:val="center"/>
          </w:tcPr>
          <w:p w14:paraId="0FA930EB">
            <w:pPr>
              <w:widowControl/>
              <w:adjustRightInd/>
              <w:jc w:val="center"/>
              <w:textAlignment w:val="center"/>
              <w:rPr>
                <w:rFonts w:hint="eastAsia" w:asciiTheme="minorEastAsia" w:hAnsiTheme="minorEastAsia" w:eastAsiaTheme="minorEastAsia" w:cstheme="minorEastAsia"/>
                <w:b/>
                <w:bCs/>
                <w:color w:val="auto"/>
                <w:sz w:val="21"/>
                <w:szCs w:val="21"/>
                <w:highlight w:val="none"/>
                <w:lang w:val="en-US" w:eastAsia="zh-CN"/>
              </w:rPr>
            </w:pPr>
          </w:p>
        </w:tc>
      </w:tr>
      <w:tr w14:paraId="656DD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09" w:type="dxa"/>
            <w:noWrap w:val="0"/>
            <w:vAlign w:val="center"/>
          </w:tcPr>
          <w:p w14:paraId="23F944B4">
            <w:pPr>
              <w:widowControl w:val="0"/>
              <w:adjustRightInd/>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1074" w:type="dxa"/>
            <w:noWrap w:val="0"/>
            <w:vAlign w:val="center"/>
          </w:tcPr>
          <w:p w14:paraId="6A5EE916">
            <w:pPr>
              <w:widowControl/>
              <w:adjustRightInd/>
              <w:jc w:val="center"/>
              <w:textAlignment w:val="center"/>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项目审定人员</w:t>
            </w:r>
          </w:p>
        </w:tc>
        <w:tc>
          <w:tcPr>
            <w:tcW w:w="3119" w:type="dxa"/>
            <w:noWrap w:val="0"/>
            <w:vAlign w:val="center"/>
          </w:tcPr>
          <w:p w14:paraId="55D7004A">
            <w:pPr>
              <w:widowControl/>
              <w:adjustRightInd/>
              <w:textAlignment w:val="center"/>
              <w:rPr>
                <w:rFonts w:hint="eastAsia" w:asciiTheme="minorEastAsia" w:hAnsiTheme="minorEastAsia" w:eastAsiaTheme="minorEastAsia" w:cstheme="minorEastAsia"/>
                <w:b/>
                <w:bCs/>
                <w:color w:val="auto"/>
                <w:kern w:val="0"/>
                <w:sz w:val="21"/>
                <w:szCs w:val="21"/>
                <w:highlight w:val="none"/>
                <w:lang w:eastAsia="zh-CN" w:bidi="ar"/>
              </w:rPr>
            </w:pPr>
            <w:r>
              <w:rPr>
                <w:rFonts w:hint="eastAsia" w:asciiTheme="minorEastAsia" w:hAnsiTheme="minorEastAsia" w:eastAsiaTheme="minorEastAsia" w:cstheme="minorEastAsia"/>
                <w:b/>
                <w:bCs/>
                <w:sz w:val="21"/>
                <w:szCs w:val="21"/>
                <w:highlight w:val="none"/>
                <w:lang w:val="en-US" w:eastAsia="zh-CN" w:bidi="ar"/>
              </w:rPr>
              <w:t>须具有一级注册造价师资格和高级职称，且为单位技术负责人，审定人员不得兼负责人及作业人员。</w:t>
            </w:r>
            <w:r>
              <w:rPr>
                <w:rFonts w:hint="eastAsia" w:asciiTheme="minorEastAsia" w:hAnsiTheme="minorEastAsia" w:eastAsiaTheme="minorEastAsia" w:cstheme="minorEastAsia"/>
                <w:b/>
                <w:bCs/>
                <w:color w:val="auto"/>
                <w:spacing w:val="-6"/>
                <w:sz w:val="21"/>
                <w:szCs w:val="21"/>
                <w:highlight w:val="none"/>
                <w:lang w:eastAsia="zh-CN"/>
              </w:rPr>
              <w:t>（投标文件中提供相关证明材料，</w:t>
            </w:r>
            <w:r>
              <w:rPr>
                <w:rFonts w:hint="eastAsia" w:asciiTheme="minorEastAsia" w:hAnsiTheme="minorEastAsia" w:eastAsiaTheme="minorEastAsia" w:cstheme="minorEastAsia"/>
                <w:b/>
                <w:bCs/>
                <w:color w:val="auto"/>
                <w:spacing w:val="-6"/>
                <w:sz w:val="21"/>
                <w:szCs w:val="21"/>
                <w:highlight w:val="none"/>
                <w:lang w:val="en-US" w:eastAsia="zh-CN"/>
              </w:rPr>
              <w:t>须出具技术负责人委任书或相关证明</w:t>
            </w:r>
            <w:r>
              <w:rPr>
                <w:rFonts w:hint="eastAsia" w:asciiTheme="minorEastAsia" w:hAnsiTheme="minorEastAsia" w:eastAsiaTheme="minorEastAsia" w:cstheme="minorEastAsia"/>
                <w:b/>
                <w:bCs/>
                <w:color w:val="auto"/>
                <w:spacing w:val="-6"/>
                <w:sz w:val="21"/>
                <w:szCs w:val="21"/>
                <w:highlight w:val="none"/>
                <w:lang w:eastAsia="zh-CN"/>
              </w:rPr>
              <w:t>）</w:t>
            </w:r>
          </w:p>
        </w:tc>
        <w:tc>
          <w:tcPr>
            <w:tcW w:w="993" w:type="dxa"/>
            <w:noWrap w:val="0"/>
            <w:vAlign w:val="center"/>
          </w:tcPr>
          <w:p w14:paraId="4016D1F5">
            <w:pPr>
              <w:widowControl/>
              <w:adjustRightInd/>
              <w:jc w:val="center"/>
              <w:textAlignment w:val="center"/>
              <w:rPr>
                <w:rFonts w:hint="eastAsia" w:asciiTheme="minorEastAsia" w:hAnsiTheme="minorEastAsia" w:eastAsiaTheme="minorEastAsia" w:cstheme="minorEastAsia"/>
                <w:b/>
                <w:bCs/>
                <w:color w:val="auto"/>
                <w:kern w:val="0"/>
                <w:sz w:val="21"/>
                <w:szCs w:val="21"/>
                <w:highlight w:val="none"/>
                <w:lang w:val="en-US" w:eastAsia="zh-CN" w:bidi="ar"/>
              </w:rPr>
            </w:pPr>
          </w:p>
        </w:tc>
        <w:tc>
          <w:tcPr>
            <w:tcW w:w="2251" w:type="dxa"/>
            <w:noWrap w:val="0"/>
            <w:vAlign w:val="center"/>
          </w:tcPr>
          <w:p w14:paraId="5DD162D5">
            <w:pPr>
              <w:widowControl/>
              <w:adjustRightInd/>
              <w:jc w:val="center"/>
              <w:textAlignment w:val="center"/>
              <w:rPr>
                <w:rFonts w:hint="eastAsia" w:asciiTheme="minorEastAsia" w:hAnsiTheme="minorEastAsia" w:eastAsiaTheme="minorEastAsia" w:cstheme="minorEastAsia"/>
                <w:b/>
                <w:bCs/>
                <w:color w:val="auto"/>
                <w:kern w:val="0"/>
                <w:sz w:val="21"/>
                <w:szCs w:val="21"/>
                <w:highlight w:val="none"/>
                <w:lang w:val="en-US" w:eastAsia="zh-CN" w:bidi="ar"/>
              </w:rPr>
            </w:pPr>
          </w:p>
        </w:tc>
        <w:tc>
          <w:tcPr>
            <w:tcW w:w="1008" w:type="dxa"/>
            <w:noWrap w:val="0"/>
            <w:vAlign w:val="center"/>
          </w:tcPr>
          <w:p w14:paraId="272DC543">
            <w:pPr>
              <w:widowControl/>
              <w:adjustRightInd/>
              <w:jc w:val="center"/>
              <w:textAlignment w:val="center"/>
              <w:rPr>
                <w:rFonts w:hint="eastAsia" w:asciiTheme="minorEastAsia" w:hAnsiTheme="minorEastAsia" w:eastAsiaTheme="minorEastAsia" w:cstheme="minorEastAsia"/>
                <w:b/>
                <w:bCs/>
                <w:color w:val="auto"/>
                <w:kern w:val="0"/>
                <w:sz w:val="21"/>
                <w:szCs w:val="21"/>
                <w:highlight w:val="none"/>
                <w:lang w:val="en-US" w:eastAsia="zh-CN" w:bidi="ar"/>
              </w:rPr>
            </w:pPr>
          </w:p>
        </w:tc>
      </w:tr>
    </w:tbl>
    <w:p w14:paraId="5BA3F408">
      <w:pPr>
        <w:widowControl w:val="0"/>
        <w:adjustRightInd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3.3 受托人应按约定的时间和要求完全下列工作：</w:t>
      </w:r>
    </w:p>
    <w:p w14:paraId="09A9D24B">
      <w:pPr>
        <w:widowControl w:val="0"/>
        <w:adjustRightInd w:val="0"/>
        <w:spacing w:line="440" w:lineRule="exact"/>
        <w:ind w:firstLine="440" w:firstLineChars="200"/>
        <w:rPr>
          <w:rFonts w:hint="eastAsia" w:asciiTheme="minorEastAsia" w:hAnsiTheme="minorEastAsia" w:eastAsiaTheme="minorEastAsia" w:cstheme="minorEastAsia"/>
          <w:color w:val="auto"/>
          <w:szCs w:val="21"/>
          <w:highlight w:val="none"/>
          <w:lang w:val="zh-CN" w:eastAsia="zh-CN"/>
        </w:rPr>
      </w:pPr>
      <w:r>
        <w:rPr>
          <w:rFonts w:hint="eastAsia" w:ascii="宋体" w:hAnsi="宋体" w:eastAsia="宋体" w:cs="宋体"/>
          <w:color w:val="auto"/>
          <w:sz w:val="22"/>
          <w:szCs w:val="22"/>
          <w:highlight w:val="none"/>
          <w:u w:val="none"/>
          <w:lang w:val="zh-CN"/>
        </w:rPr>
        <w:t>（1）</w:t>
      </w:r>
      <w:r>
        <w:rPr>
          <w:rFonts w:hint="eastAsia" w:asciiTheme="minorEastAsia" w:hAnsiTheme="minorEastAsia" w:eastAsiaTheme="minorEastAsia" w:cstheme="minorEastAsia"/>
          <w:color w:val="auto"/>
          <w:szCs w:val="21"/>
          <w:highlight w:val="none"/>
          <w:lang w:val="zh-CN"/>
        </w:rPr>
        <w:t>签订代理合同并收到图纸后</w:t>
      </w:r>
      <w:r>
        <w:rPr>
          <w:rFonts w:hint="eastAsia" w:asciiTheme="minorEastAsia" w:hAnsiTheme="minorEastAsia" w:eastAsiaTheme="minorEastAsia" w:cstheme="minorEastAsia"/>
          <w:color w:val="auto"/>
          <w:szCs w:val="21"/>
          <w:highlight w:val="none"/>
          <w:u w:val="single"/>
          <w:lang w:val="zh-CN" w:eastAsia="zh-CN"/>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lang w:val="zh-CN" w:eastAsia="zh-CN"/>
        </w:rPr>
        <w:t xml:space="preserve">    </w:t>
      </w:r>
      <w:r>
        <w:rPr>
          <w:rFonts w:hint="eastAsia" w:asciiTheme="minorEastAsia" w:hAnsiTheme="minorEastAsia" w:eastAsiaTheme="minorEastAsia" w:cstheme="minorEastAsia"/>
          <w:color w:val="auto"/>
          <w:szCs w:val="21"/>
          <w:highlight w:val="none"/>
          <w:lang w:val="zh-CN"/>
        </w:rPr>
        <w:t>个日内完成如下工作：</w:t>
      </w:r>
    </w:p>
    <w:p w14:paraId="536B7E1D">
      <w:pPr>
        <w:widowControl w:val="0"/>
        <w:adjustRightInd w:val="0"/>
        <w:spacing w:line="440" w:lineRule="exact"/>
        <w:ind w:firstLine="420" w:firstLineChars="200"/>
        <w:rPr>
          <w:rFonts w:hint="eastAsia" w:asciiTheme="minorEastAsia" w:hAnsiTheme="minorEastAsia" w:eastAsiaTheme="minorEastAsia" w:cstheme="minorEastAsia"/>
          <w:color w:val="auto"/>
          <w:szCs w:val="21"/>
          <w:highlight w:val="none"/>
          <w:lang w:val="zh-CN" w:eastAsia="zh-CN"/>
        </w:rPr>
      </w:pPr>
      <w:r>
        <w:rPr>
          <w:rFonts w:hint="eastAsia" w:asciiTheme="minorEastAsia" w:hAnsiTheme="minorEastAsia" w:eastAsiaTheme="minorEastAsia" w:cstheme="minorEastAsia"/>
          <w:color w:val="auto"/>
          <w:szCs w:val="21"/>
          <w:highlight w:val="none"/>
          <w:lang w:val="zh-CN" w:eastAsia="zh-CN"/>
        </w:rPr>
        <w:t>1、工程量清单及招标控制价编制报告；</w:t>
      </w:r>
    </w:p>
    <w:p w14:paraId="2B731985">
      <w:pPr>
        <w:widowControl w:val="0"/>
        <w:adjustRightInd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eastAsia="zh-CN"/>
        </w:rPr>
        <w:t>2</w:t>
      </w: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zh-CN" w:eastAsia="zh-CN"/>
        </w:rPr>
        <w:t>提供</w:t>
      </w:r>
      <w:r>
        <w:rPr>
          <w:rFonts w:hint="eastAsia" w:asciiTheme="minorEastAsia" w:hAnsiTheme="minorEastAsia" w:eastAsiaTheme="minorEastAsia" w:cstheme="minorEastAsia"/>
          <w:color w:val="auto"/>
          <w:szCs w:val="21"/>
          <w:highlight w:val="none"/>
          <w:lang w:val="en-US" w:eastAsia="zh-CN"/>
        </w:rPr>
        <w:t>报告书、计算稿、计价软件及EXCEL表、无价材料三方询价记录等</w:t>
      </w:r>
      <w:r>
        <w:rPr>
          <w:rFonts w:hint="eastAsia" w:asciiTheme="minorEastAsia" w:hAnsiTheme="minorEastAsia" w:eastAsiaTheme="minorEastAsia" w:cstheme="minorEastAsia"/>
          <w:color w:val="auto"/>
          <w:szCs w:val="21"/>
          <w:highlight w:val="none"/>
          <w:lang w:val="zh-CN"/>
        </w:rPr>
        <w:t>；</w:t>
      </w:r>
    </w:p>
    <w:p w14:paraId="33A4061B">
      <w:pPr>
        <w:widowControl w:val="0"/>
        <w:adjustRightInd w:val="0"/>
        <w:spacing w:line="440" w:lineRule="exact"/>
        <w:ind w:firstLine="420" w:firstLineChars="200"/>
        <w:rPr>
          <w:rFonts w:hint="eastAsia" w:asciiTheme="minorEastAsia" w:hAnsiTheme="minorEastAsia" w:eastAsiaTheme="minorEastAsia" w:cstheme="minorEastAsia"/>
          <w:color w:val="auto"/>
          <w:szCs w:val="21"/>
          <w:highlight w:val="none"/>
          <w:lang w:val="zh-CN" w:eastAsia="zh-CN"/>
        </w:rPr>
      </w:pPr>
      <w:r>
        <w:rPr>
          <w:rFonts w:hint="eastAsia" w:asciiTheme="minorEastAsia" w:hAnsiTheme="minorEastAsia" w:eastAsiaTheme="minorEastAsia" w:cstheme="minorEastAsia"/>
          <w:color w:val="auto"/>
          <w:szCs w:val="21"/>
          <w:highlight w:val="none"/>
          <w:lang w:val="zh-CN" w:eastAsia="zh-CN"/>
        </w:rPr>
        <w:t>（2）完成工程量清单及招标控制价编制或审核报告</w:t>
      </w:r>
      <w:r>
        <w:rPr>
          <w:rFonts w:hint="eastAsia" w:asciiTheme="minorEastAsia" w:hAnsiTheme="minorEastAsia" w:eastAsiaTheme="minorEastAsia" w:cstheme="minorEastAsia"/>
          <w:color w:val="auto"/>
          <w:szCs w:val="21"/>
          <w:highlight w:val="none"/>
          <w:lang w:val="zh-CN"/>
        </w:rPr>
        <w:t>后</w:t>
      </w:r>
      <w:r>
        <w:rPr>
          <w:rFonts w:hint="eastAsia" w:asciiTheme="minorEastAsia" w:hAnsiTheme="minorEastAsia" w:eastAsiaTheme="minorEastAsia" w:cstheme="minorEastAsia"/>
          <w:color w:val="auto"/>
          <w:szCs w:val="21"/>
          <w:highlight w:val="none"/>
          <w:u w:val="single"/>
          <w:lang w:val="zh-CN" w:eastAsia="zh-CN"/>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lang w:val="zh-CN" w:eastAsia="zh-CN"/>
        </w:rPr>
        <w:t xml:space="preserve">    </w:t>
      </w:r>
      <w:r>
        <w:rPr>
          <w:rFonts w:hint="eastAsia" w:asciiTheme="minorEastAsia" w:hAnsiTheme="minorEastAsia" w:eastAsiaTheme="minorEastAsia" w:cstheme="minorEastAsia"/>
          <w:color w:val="auto"/>
          <w:szCs w:val="21"/>
          <w:highlight w:val="none"/>
          <w:lang w:val="zh-CN"/>
        </w:rPr>
        <w:t>个日内完成如下工作：</w:t>
      </w:r>
    </w:p>
    <w:p w14:paraId="1470A581">
      <w:pPr>
        <w:widowControl w:val="0"/>
        <w:adjustRightInd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1、起草招标公告和招标文件；</w:t>
      </w:r>
    </w:p>
    <w:p w14:paraId="7B4FE4BC">
      <w:pPr>
        <w:widowControl w:val="0"/>
        <w:adjustRightInd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2、招标申请：①填写《招标项目备案登记表》；②预算书、招标公告、招标文件等；</w:t>
      </w:r>
    </w:p>
    <w:p w14:paraId="53B81D90">
      <w:pPr>
        <w:widowControl w:val="0"/>
        <w:adjustRightInd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3、招标公告和招标文件审查备案；</w:t>
      </w:r>
    </w:p>
    <w:p w14:paraId="03470EAE">
      <w:pPr>
        <w:widowControl w:val="0"/>
        <w:adjustRightInd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4、发布招标公告和招标文件；</w:t>
      </w:r>
    </w:p>
    <w:p w14:paraId="4C9B7077">
      <w:pPr>
        <w:widowControl w:val="0"/>
        <w:adjustRightInd w:val="0"/>
        <w:spacing w:line="440" w:lineRule="exact"/>
        <w:ind w:firstLine="420" w:firstLineChars="200"/>
        <w:rPr>
          <w:rFonts w:hint="eastAsia" w:asciiTheme="minorEastAsia" w:hAnsiTheme="minorEastAsia" w:eastAsiaTheme="minorEastAsia" w:cstheme="minorEastAsia"/>
          <w:color w:val="auto"/>
          <w:szCs w:val="21"/>
          <w:highlight w:val="none"/>
          <w:lang w:val="zh-CN" w:eastAsia="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zh-CN" w:eastAsia="zh-CN"/>
        </w:rPr>
        <w:t>3</w:t>
      </w:r>
      <w:r>
        <w:rPr>
          <w:rFonts w:hint="eastAsia" w:asciiTheme="minorEastAsia" w:hAnsiTheme="minorEastAsia" w:eastAsiaTheme="minorEastAsia" w:cstheme="minorEastAsia"/>
          <w:color w:val="auto"/>
          <w:szCs w:val="21"/>
          <w:highlight w:val="none"/>
          <w:lang w:val="zh-CN"/>
        </w:rPr>
        <w:t>）发布招标公告后</w:t>
      </w:r>
      <w:r>
        <w:rPr>
          <w:rFonts w:hint="eastAsia" w:asciiTheme="minorEastAsia" w:hAnsiTheme="minorEastAsia" w:eastAsiaTheme="minorEastAsia" w:cstheme="minorEastAsia"/>
          <w:color w:val="auto"/>
          <w:szCs w:val="21"/>
          <w:highlight w:val="none"/>
          <w:u w:val="single"/>
          <w:lang w:val="zh-CN" w:eastAsia="zh-CN"/>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lang w:val="zh-CN" w:eastAsia="zh-CN"/>
        </w:rPr>
        <w:t xml:space="preserve">     </w:t>
      </w:r>
      <w:r>
        <w:rPr>
          <w:rFonts w:hint="eastAsia" w:asciiTheme="minorEastAsia" w:hAnsiTheme="minorEastAsia" w:eastAsiaTheme="minorEastAsia" w:cstheme="minorEastAsia"/>
          <w:color w:val="auto"/>
          <w:szCs w:val="21"/>
          <w:highlight w:val="none"/>
          <w:lang w:val="zh-CN"/>
        </w:rPr>
        <w:t>个日内完成如下工作：</w:t>
      </w:r>
    </w:p>
    <w:p w14:paraId="67A958E6">
      <w:pPr>
        <w:widowControl w:val="0"/>
        <w:adjustRightInd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5、招标文件的答疑、澄清、修改等；</w:t>
      </w:r>
    </w:p>
    <w:p w14:paraId="23A06A76">
      <w:pPr>
        <w:widowControl w:val="0"/>
        <w:adjustRightInd w:val="0"/>
        <w:spacing w:line="440" w:lineRule="exact"/>
        <w:ind w:firstLine="420" w:firstLineChars="200"/>
        <w:rPr>
          <w:rFonts w:hint="eastAsia" w:asciiTheme="minorEastAsia" w:hAnsiTheme="minorEastAsia" w:eastAsiaTheme="minorEastAsia" w:cstheme="minorEastAsia"/>
          <w:color w:val="auto"/>
          <w:szCs w:val="21"/>
          <w:highlight w:val="none"/>
          <w:lang w:val="zh-CN" w:eastAsia="zh-CN"/>
        </w:rPr>
      </w:pPr>
      <w:r>
        <w:rPr>
          <w:rFonts w:hint="eastAsia" w:asciiTheme="minorEastAsia" w:hAnsiTheme="minorEastAsia" w:eastAsiaTheme="minorEastAsia" w:cstheme="minorEastAsia"/>
          <w:color w:val="auto"/>
          <w:szCs w:val="21"/>
          <w:highlight w:val="none"/>
          <w:lang w:val="zh-CN"/>
        </w:rPr>
        <w:t>6、组织开标</w:t>
      </w:r>
      <w:r>
        <w:rPr>
          <w:rFonts w:hint="eastAsia" w:asciiTheme="minorEastAsia" w:hAnsiTheme="minorEastAsia" w:eastAsiaTheme="minorEastAsia" w:cstheme="minorEastAsia"/>
          <w:color w:val="auto"/>
          <w:szCs w:val="21"/>
          <w:highlight w:val="none"/>
          <w:lang w:val="zh-CN" w:eastAsia="zh-CN"/>
        </w:rPr>
        <w:t>；</w:t>
      </w:r>
    </w:p>
    <w:p w14:paraId="12FF9E2F">
      <w:pPr>
        <w:widowControl w:val="0"/>
        <w:adjustRightInd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7、中标公示；</w:t>
      </w:r>
    </w:p>
    <w:p w14:paraId="6CAD90D4">
      <w:pPr>
        <w:widowControl w:val="0"/>
        <w:adjustRightInd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8、招投标情况书面报告备案；</w:t>
      </w:r>
    </w:p>
    <w:p w14:paraId="19D7A38A">
      <w:pPr>
        <w:widowControl w:val="0"/>
        <w:adjustRightInd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9、发中标通知书；</w:t>
      </w:r>
    </w:p>
    <w:p w14:paraId="54264D33">
      <w:pPr>
        <w:widowControl w:val="0"/>
        <w:adjustRightInd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10、草拟合同；</w:t>
      </w:r>
    </w:p>
    <w:p w14:paraId="7A3A4774">
      <w:pPr>
        <w:widowControl w:val="0"/>
        <w:adjustRightInd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11、整理全过程招标资料；</w:t>
      </w:r>
    </w:p>
    <w:p w14:paraId="5C8830CE">
      <w:pPr>
        <w:widowControl w:val="0"/>
        <w:adjustRightInd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12、负责招标有关未尽事宜。</w:t>
      </w:r>
    </w:p>
    <w:p w14:paraId="5DF4D32B">
      <w:pPr>
        <w:widowControl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3.4为招标人提供的为完成招标工作的相关咨询服务：</w:t>
      </w:r>
      <w:r>
        <w:rPr>
          <w:rFonts w:hint="eastAsia" w:asciiTheme="minorEastAsia" w:hAnsiTheme="minorEastAsia" w:eastAsiaTheme="minorEastAsia" w:cstheme="minorEastAsia"/>
          <w:color w:val="auto"/>
          <w:szCs w:val="21"/>
          <w:highlight w:val="none"/>
          <w:u w:val="single"/>
          <w:lang w:val="zh-CN"/>
        </w:rPr>
        <w:t xml:space="preserve">         /            。</w:t>
      </w:r>
      <w:r>
        <w:rPr>
          <w:rFonts w:hint="eastAsia" w:asciiTheme="minorEastAsia" w:hAnsiTheme="minorEastAsia" w:eastAsiaTheme="minorEastAsia" w:cstheme="minorEastAsia"/>
          <w:color w:val="auto"/>
          <w:szCs w:val="21"/>
          <w:highlight w:val="none"/>
          <w:lang w:val="zh-CN"/>
        </w:rPr>
        <w:t xml:space="preserve">                  </w:t>
      </w:r>
    </w:p>
    <w:p w14:paraId="515A9DB8">
      <w:pPr>
        <w:widowControl w:val="0"/>
        <w:spacing w:line="440" w:lineRule="exact"/>
        <w:ind w:firstLine="420" w:firstLineChars="200"/>
        <w:rPr>
          <w:rFonts w:hint="eastAsia" w:asciiTheme="minorEastAsia" w:hAnsiTheme="minorEastAsia" w:eastAsiaTheme="minorEastAsia" w:cstheme="minorEastAsia"/>
          <w:color w:val="auto"/>
          <w:szCs w:val="21"/>
          <w:highlight w:val="none"/>
          <w:u w:val="single"/>
          <w:lang w:val="zh-CN"/>
        </w:rPr>
      </w:pPr>
      <w:r>
        <w:rPr>
          <w:rFonts w:hint="eastAsia" w:asciiTheme="minorEastAsia" w:hAnsiTheme="minorEastAsia" w:eastAsiaTheme="minorEastAsia" w:cstheme="minorEastAsia"/>
          <w:color w:val="auto"/>
          <w:szCs w:val="21"/>
          <w:highlight w:val="none"/>
          <w:lang w:val="zh-CN"/>
        </w:rPr>
        <w:t>3.5承担招标代理业务过程中，应由受托人支付的费用：</w:t>
      </w:r>
      <w:r>
        <w:rPr>
          <w:rFonts w:hint="eastAsia" w:asciiTheme="minorEastAsia" w:hAnsiTheme="minorEastAsia" w:eastAsiaTheme="minorEastAsia" w:cstheme="minorEastAsia"/>
          <w:color w:val="auto"/>
          <w:szCs w:val="21"/>
          <w:highlight w:val="none"/>
          <w:u w:val="single"/>
          <w:lang w:val="zh-CN"/>
        </w:rPr>
        <w:t xml:space="preserve"> 专家评审费用（包括评审报酬、交通费、餐费、住宿费、保险费等）由受托人支付。 </w:t>
      </w:r>
    </w:p>
    <w:p w14:paraId="4B8288AC">
      <w:pPr>
        <w:widowControl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3.6应尽的其他义务： 按照招投标有关的法律法规执行。</w:t>
      </w:r>
    </w:p>
    <w:p w14:paraId="70166BE1">
      <w:pPr>
        <w:widowControl w:val="0"/>
        <w:spacing w:line="440" w:lineRule="exact"/>
        <w:ind w:firstLine="420" w:firstLineChars="200"/>
        <w:rPr>
          <w:rFonts w:hint="default" w:asciiTheme="minorEastAsia" w:hAnsiTheme="minorEastAsia" w:eastAsiaTheme="minorEastAsia" w:cstheme="minorEastAsia"/>
          <w:color w:val="auto"/>
          <w:szCs w:val="21"/>
          <w:highlight w:val="none"/>
          <w:u w:val="single"/>
          <w:lang w:val="en-US" w:eastAsia="zh-CN"/>
        </w:rPr>
      </w:pPr>
      <w:r>
        <w:rPr>
          <w:rFonts w:hint="eastAsia" w:asciiTheme="minorEastAsia" w:hAnsiTheme="minorEastAsia" w:eastAsiaTheme="minorEastAsia" w:cstheme="minorEastAsia"/>
          <w:color w:val="auto"/>
          <w:szCs w:val="21"/>
          <w:highlight w:val="none"/>
          <w:lang w:val="en-US" w:eastAsia="zh-CN"/>
        </w:rPr>
        <w:t xml:space="preserve">3.7受托人向委托人提供成果文件的名称、组成、时间、份数及质量标准： </w:t>
      </w:r>
      <w:r>
        <w:rPr>
          <w:rFonts w:hint="eastAsia" w:asciiTheme="minorEastAsia" w:hAnsiTheme="minorEastAsia" w:eastAsiaTheme="minorEastAsia" w:cstheme="minorEastAsia"/>
          <w:color w:val="auto"/>
          <w:szCs w:val="21"/>
          <w:highlight w:val="none"/>
          <w:u w:val="single"/>
          <w:lang w:val="en-US" w:eastAsia="zh-CN"/>
        </w:rPr>
        <w:t>招投标全过程资料肆套和壹份电子版（包括但不限于招标资料、投标资料、评标过程记录等）、伍份预算编制报告书和壹份电子版（包括但不限于报告书、计算稿、计价软件及EXCEL表、无价材料三方询价记录等）。</w:t>
      </w:r>
    </w:p>
    <w:p w14:paraId="319E002D">
      <w:pPr>
        <w:widowControl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4、委托人的权利</w:t>
      </w:r>
    </w:p>
    <w:p w14:paraId="7D31BBB4">
      <w:pPr>
        <w:widowControl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4.1 委托人拥有的权利：</w:t>
      </w:r>
      <w:r>
        <w:rPr>
          <w:rFonts w:hint="eastAsia" w:asciiTheme="minorEastAsia" w:hAnsiTheme="minorEastAsia" w:eastAsiaTheme="minorEastAsia" w:cstheme="minorEastAsia"/>
          <w:color w:val="auto"/>
          <w:szCs w:val="21"/>
          <w:highlight w:val="none"/>
          <w:u w:val="single"/>
          <w:lang w:val="zh-CN"/>
        </w:rPr>
        <w:t>要求受托人按委托人要求的期限完成委托人委托的工作。</w:t>
      </w:r>
    </w:p>
    <w:p w14:paraId="2ECDF965">
      <w:pPr>
        <w:widowControl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4.2 招标文件的著作权及其他相关知识产权：</w:t>
      </w:r>
      <w:r>
        <w:rPr>
          <w:rFonts w:hint="eastAsia" w:asciiTheme="minorEastAsia" w:hAnsiTheme="minorEastAsia" w:eastAsiaTheme="minorEastAsia" w:cstheme="minorEastAsia"/>
          <w:color w:val="auto"/>
          <w:szCs w:val="21"/>
          <w:highlight w:val="none"/>
          <w:u w:val="single"/>
          <w:lang w:val="zh-CN"/>
        </w:rPr>
        <w:t>归委托人所有。</w:t>
      </w:r>
    </w:p>
    <w:p w14:paraId="19B4A278">
      <w:pPr>
        <w:widowControl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 xml:space="preserve">4.3 委托人拥有的其他权利： </w:t>
      </w:r>
      <w:r>
        <w:rPr>
          <w:rFonts w:hint="eastAsia" w:asciiTheme="minorEastAsia" w:hAnsiTheme="minorEastAsia" w:eastAsiaTheme="minorEastAsia" w:cstheme="minorEastAsia"/>
          <w:color w:val="auto"/>
          <w:szCs w:val="21"/>
          <w:highlight w:val="none"/>
          <w:u w:val="single"/>
          <w:lang w:val="zh-CN"/>
        </w:rPr>
        <w:t>按合同约定支付和扣除代理服务费的权利。</w:t>
      </w:r>
      <w:r>
        <w:rPr>
          <w:rFonts w:hint="eastAsia" w:asciiTheme="minorEastAsia" w:hAnsiTheme="minorEastAsia" w:eastAsiaTheme="minorEastAsia" w:cstheme="minorEastAsia"/>
          <w:color w:val="auto"/>
          <w:szCs w:val="21"/>
          <w:highlight w:val="none"/>
          <w:lang w:val="zh-CN"/>
        </w:rPr>
        <w:t xml:space="preserve">                                    </w:t>
      </w:r>
    </w:p>
    <w:p w14:paraId="29EB6F55">
      <w:pPr>
        <w:widowControl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5、受托人的权利</w:t>
      </w:r>
    </w:p>
    <w:p w14:paraId="2534BBCC">
      <w:pPr>
        <w:widowControl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5.1 受托人拥有的权利：</w:t>
      </w:r>
      <w:r>
        <w:rPr>
          <w:rFonts w:hint="eastAsia" w:asciiTheme="minorEastAsia" w:hAnsiTheme="minorEastAsia" w:eastAsiaTheme="minorEastAsia" w:cstheme="minorEastAsia"/>
          <w:color w:val="auto"/>
          <w:szCs w:val="21"/>
          <w:highlight w:val="none"/>
          <w:u w:val="single"/>
          <w:lang w:val="zh-CN"/>
        </w:rPr>
        <w:t xml:space="preserve"> 在完成招标代理工作后收取招标代理（含预算编制）服务费</w:t>
      </w:r>
      <w:r>
        <w:rPr>
          <w:rFonts w:hint="eastAsia" w:asciiTheme="minorEastAsia" w:hAnsiTheme="minorEastAsia" w:eastAsiaTheme="minorEastAsia" w:cstheme="minorEastAsia"/>
          <w:color w:val="auto"/>
          <w:szCs w:val="21"/>
          <w:highlight w:val="none"/>
          <w:lang w:val="zh-CN"/>
        </w:rPr>
        <w:t xml:space="preserve">。                              </w:t>
      </w:r>
    </w:p>
    <w:p w14:paraId="51FBA7B0">
      <w:pPr>
        <w:widowControl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5.2 受托人拥有的其他权利：</w:t>
      </w:r>
      <w:r>
        <w:rPr>
          <w:rFonts w:hint="eastAsia" w:asciiTheme="minorEastAsia" w:hAnsiTheme="minorEastAsia" w:eastAsiaTheme="minorEastAsia" w:cstheme="minorEastAsia"/>
          <w:color w:val="auto"/>
          <w:szCs w:val="21"/>
          <w:highlight w:val="none"/>
          <w:u w:val="single"/>
          <w:lang w:val="zh-CN"/>
        </w:rPr>
        <w:t xml:space="preserve">                     /            </w:t>
      </w:r>
      <w:r>
        <w:rPr>
          <w:rFonts w:hint="eastAsia" w:asciiTheme="minorEastAsia" w:hAnsiTheme="minorEastAsia" w:eastAsiaTheme="minorEastAsia" w:cstheme="minorEastAsia"/>
          <w:color w:val="auto"/>
          <w:szCs w:val="21"/>
          <w:highlight w:val="none"/>
          <w:lang w:val="zh-CN"/>
        </w:rPr>
        <w:t xml:space="preserve">      </w:t>
      </w:r>
    </w:p>
    <w:p w14:paraId="3E98A6EE">
      <w:pPr>
        <w:widowControl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三、委托代理报酬及收取</w:t>
      </w:r>
    </w:p>
    <w:p w14:paraId="3D02E45D">
      <w:pPr>
        <w:widowControl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1、委托代理报酬</w:t>
      </w:r>
    </w:p>
    <w:p w14:paraId="197351F1">
      <w:pPr>
        <w:widowControl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1.1代理报酬的计算方法：见协议书。</w:t>
      </w:r>
    </w:p>
    <w:p w14:paraId="69EE078B">
      <w:pPr>
        <w:widowControl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代理报酬的币种：</w:t>
      </w:r>
      <w:r>
        <w:rPr>
          <w:rFonts w:hint="eastAsia" w:asciiTheme="minorEastAsia" w:hAnsiTheme="minorEastAsia" w:eastAsiaTheme="minorEastAsia" w:cstheme="minorEastAsia"/>
          <w:color w:val="auto"/>
          <w:szCs w:val="21"/>
          <w:highlight w:val="none"/>
          <w:u w:val="single"/>
          <w:lang w:val="zh-CN"/>
        </w:rPr>
        <w:t xml:space="preserve">人民币     </w:t>
      </w:r>
      <w:r>
        <w:rPr>
          <w:rFonts w:hint="eastAsia" w:asciiTheme="minorEastAsia" w:hAnsiTheme="minorEastAsia" w:eastAsiaTheme="minorEastAsia" w:cstheme="minorEastAsia"/>
          <w:color w:val="auto"/>
          <w:szCs w:val="21"/>
          <w:highlight w:val="none"/>
          <w:lang w:val="zh-CN"/>
        </w:rPr>
        <w:t>汇率：</w:t>
      </w:r>
      <w:r>
        <w:rPr>
          <w:rFonts w:hint="eastAsia" w:asciiTheme="minorEastAsia" w:hAnsiTheme="minorEastAsia" w:eastAsiaTheme="minorEastAsia" w:cstheme="minorEastAsia"/>
          <w:color w:val="auto"/>
          <w:szCs w:val="21"/>
          <w:highlight w:val="none"/>
          <w:u w:val="single"/>
          <w:lang w:val="zh-CN"/>
        </w:rPr>
        <w:t xml:space="preserve">        /     </w:t>
      </w:r>
      <w:r>
        <w:rPr>
          <w:rFonts w:hint="eastAsia" w:asciiTheme="minorEastAsia" w:hAnsiTheme="minorEastAsia" w:eastAsiaTheme="minorEastAsia" w:cstheme="minorEastAsia"/>
          <w:color w:val="auto"/>
          <w:szCs w:val="21"/>
          <w:highlight w:val="none"/>
          <w:lang w:val="zh-CN"/>
        </w:rPr>
        <w:t xml:space="preserve">    </w:t>
      </w:r>
    </w:p>
    <w:p w14:paraId="02F9A35C">
      <w:pPr>
        <w:widowControl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代理报酬的支付方式： 现金或支票</w:t>
      </w:r>
    </w:p>
    <w:p w14:paraId="014DC1C5">
      <w:pPr>
        <w:widowControl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代理报酬的支付时间：中标通知书发出后，委托人收到正式报告书及受托人开具的增值税专用发票后30日内一次付清。</w:t>
      </w:r>
    </w:p>
    <w:p w14:paraId="0F80595D">
      <w:pPr>
        <w:widowControl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2、委托代理报酬的收取</w:t>
      </w:r>
    </w:p>
    <w:p w14:paraId="60B26F40">
      <w:pPr>
        <w:widowControl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2.1 预计委托代理费用额度（比例）：</w:t>
      </w:r>
      <w:r>
        <w:rPr>
          <w:rFonts w:hint="eastAsia" w:asciiTheme="minorEastAsia" w:hAnsiTheme="minorEastAsia" w:eastAsiaTheme="minorEastAsia" w:cstheme="minorEastAsia"/>
          <w:color w:val="auto"/>
          <w:szCs w:val="21"/>
          <w:highlight w:val="none"/>
          <w:u w:val="single"/>
          <w:lang w:val="zh-CN"/>
        </w:rPr>
        <w:t xml:space="preserve">                /       </w:t>
      </w:r>
      <w:r>
        <w:rPr>
          <w:rFonts w:hint="eastAsia" w:asciiTheme="minorEastAsia" w:hAnsiTheme="minorEastAsia" w:eastAsiaTheme="minorEastAsia" w:cstheme="minorEastAsia"/>
          <w:color w:val="auto"/>
          <w:szCs w:val="21"/>
          <w:highlight w:val="none"/>
          <w:lang w:val="zh-CN"/>
        </w:rPr>
        <w:t xml:space="preserve">                   </w:t>
      </w:r>
    </w:p>
    <w:p w14:paraId="47A6F0FB">
      <w:pPr>
        <w:widowControl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2.2逾期支付时，银行贷款利率：</w:t>
      </w:r>
      <w:r>
        <w:rPr>
          <w:rFonts w:hint="eastAsia" w:asciiTheme="minorEastAsia" w:hAnsiTheme="minorEastAsia" w:eastAsiaTheme="minorEastAsia" w:cstheme="minorEastAsia"/>
          <w:color w:val="auto"/>
          <w:szCs w:val="21"/>
          <w:highlight w:val="none"/>
          <w:u w:val="single"/>
          <w:lang w:val="zh-CN"/>
        </w:rPr>
        <w:t xml:space="preserve">                  /         </w:t>
      </w:r>
      <w:r>
        <w:rPr>
          <w:rFonts w:hint="eastAsia" w:asciiTheme="minorEastAsia" w:hAnsiTheme="minorEastAsia" w:eastAsiaTheme="minorEastAsia" w:cstheme="minorEastAsia"/>
          <w:color w:val="auto"/>
          <w:szCs w:val="21"/>
          <w:highlight w:val="none"/>
          <w:lang w:val="zh-CN"/>
        </w:rPr>
        <w:t xml:space="preserve">                 </w:t>
      </w:r>
    </w:p>
    <w:p w14:paraId="62A53678">
      <w:pPr>
        <w:widowControl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2.3逾期支付时，应收取的利息：</w:t>
      </w:r>
      <w:r>
        <w:rPr>
          <w:rFonts w:hint="eastAsia" w:asciiTheme="minorEastAsia" w:hAnsiTheme="minorEastAsia" w:eastAsiaTheme="minorEastAsia" w:cstheme="minorEastAsia"/>
          <w:color w:val="auto"/>
          <w:szCs w:val="21"/>
          <w:highlight w:val="none"/>
          <w:u w:val="single"/>
          <w:lang w:val="zh-CN"/>
        </w:rPr>
        <w:t xml:space="preserve">               /          </w:t>
      </w:r>
      <w:r>
        <w:rPr>
          <w:rFonts w:hint="eastAsia" w:asciiTheme="minorEastAsia" w:hAnsiTheme="minorEastAsia" w:eastAsiaTheme="minorEastAsia" w:cstheme="minorEastAsia"/>
          <w:color w:val="auto"/>
          <w:szCs w:val="21"/>
          <w:highlight w:val="none"/>
          <w:lang w:val="zh-CN"/>
        </w:rPr>
        <w:t xml:space="preserve">                     </w:t>
      </w:r>
    </w:p>
    <w:p w14:paraId="5CAB22F9">
      <w:pPr>
        <w:widowControl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四、违约、索赔和争议</w:t>
      </w:r>
    </w:p>
    <w:p w14:paraId="54398F66">
      <w:pPr>
        <w:widowControl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1、违约</w:t>
      </w:r>
    </w:p>
    <w:p w14:paraId="005084C4">
      <w:pPr>
        <w:widowControl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 xml:space="preserve">1.1 本合同关于委托人违约的具体责任： </w:t>
      </w:r>
    </w:p>
    <w:p w14:paraId="3C0CCCC3">
      <w:pPr>
        <w:widowControl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 xml:space="preserve">（1）委托人未按照本合同通用条款第4.2－（3）款的约定，向受托人提供保证招标工作顺利完成的条件应承担的违约责任： </w:t>
      </w:r>
      <w:r>
        <w:rPr>
          <w:rFonts w:hint="eastAsia" w:asciiTheme="minorEastAsia" w:hAnsiTheme="minorEastAsia" w:eastAsiaTheme="minorEastAsia" w:cstheme="minorEastAsia"/>
          <w:color w:val="auto"/>
          <w:szCs w:val="21"/>
          <w:highlight w:val="none"/>
          <w:u w:val="single"/>
          <w:lang w:val="zh-CN"/>
        </w:rPr>
        <w:t xml:space="preserve">      委托人自行承担因违约造成的损失          。 </w:t>
      </w:r>
      <w:r>
        <w:rPr>
          <w:rFonts w:hint="eastAsia" w:asciiTheme="minorEastAsia" w:hAnsiTheme="minorEastAsia" w:eastAsiaTheme="minorEastAsia" w:cstheme="minorEastAsia"/>
          <w:color w:val="auto"/>
          <w:szCs w:val="21"/>
          <w:highlight w:val="none"/>
          <w:lang w:val="zh-CN"/>
        </w:rPr>
        <w:t xml:space="preserve">                      </w:t>
      </w:r>
    </w:p>
    <w:p w14:paraId="10D3EC86">
      <w:pPr>
        <w:widowControl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（2）委托人未按本合同通用条款第4.2－（6）款的约定，向受托人支付委托代理报酬应承担的违约责任：</w:t>
      </w:r>
      <w:r>
        <w:rPr>
          <w:rFonts w:hint="eastAsia" w:asciiTheme="minorEastAsia" w:hAnsiTheme="minorEastAsia" w:eastAsiaTheme="minorEastAsia" w:cstheme="minorEastAsia"/>
          <w:color w:val="auto"/>
          <w:szCs w:val="21"/>
          <w:highlight w:val="none"/>
          <w:u w:val="single"/>
          <w:lang w:val="zh-CN"/>
        </w:rPr>
        <w:t xml:space="preserve">  未按约定支付代理报酬的，应按银行利息支付，直至支付代理报酬</w:t>
      </w:r>
      <w:r>
        <w:rPr>
          <w:rFonts w:hint="eastAsia" w:asciiTheme="minorEastAsia" w:hAnsiTheme="minorEastAsia" w:eastAsiaTheme="minorEastAsia" w:cstheme="minorEastAsia"/>
          <w:color w:val="auto"/>
          <w:szCs w:val="21"/>
          <w:highlight w:val="none"/>
          <w:lang w:val="zh-CN"/>
        </w:rPr>
        <w:t xml:space="preserve">。           </w:t>
      </w:r>
    </w:p>
    <w:p w14:paraId="1EF19049">
      <w:pPr>
        <w:widowControl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（3）双方约定的委托人的其他违约责任：</w:t>
      </w:r>
      <w:r>
        <w:rPr>
          <w:rFonts w:hint="eastAsia" w:asciiTheme="minorEastAsia" w:hAnsiTheme="minorEastAsia" w:eastAsiaTheme="minorEastAsia" w:cstheme="minorEastAsia"/>
          <w:color w:val="auto"/>
          <w:szCs w:val="21"/>
          <w:highlight w:val="none"/>
          <w:u w:val="single"/>
          <w:lang w:val="zh-CN"/>
        </w:rPr>
        <w:t xml:space="preserve">               /        </w:t>
      </w:r>
      <w:r>
        <w:rPr>
          <w:rFonts w:hint="eastAsia" w:asciiTheme="minorEastAsia" w:hAnsiTheme="minorEastAsia" w:eastAsiaTheme="minorEastAsia" w:cstheme="minorEastAsia"/>
          <w:color w:val="auto"/>
          <w:szCs w:val="21"/>
          <w:highlight w:val="none"/>
          <w:lang w:val="zh-CN"/>
        </w:rPr>
        <w:t xml:space="preserve"> 。         </w:t>
      </w:r>
    </w:p>
    <w:p w14:paraId="665DC67A">
      <w:pPr>
        <w:widowControl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 xml:space="preserve">1.2 本合同关于受托人违约的具体责任： </w:t>
      </w:r>
    </w:p>
    <w:p w14:paraId="3AEB66B7">
      <w:pPr>
        <w:widowControl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（1）受托人未按照本合同通用条款第5.2－（2）款的约定，向委托人提供为完成招标工作的咨询服务应承担的责任或未按照本合同专用条款第3.3-（1）条约定的时间完成相关工作的责任：</w:t>
      </w:r>
      <w:r>
        <w:rPr>
          <w:rFonts w:hint="eastAsia" w:asciiTheme="minorEastAsia" w:hAnsiTheme="minorEastAsia" w:eastAsiaTheme="minorEastAsia" w:cstheme="minorEastAsia"/>
          <w:color w:val="auto"/>
          <w:szCs w:val="21"/>
          <w:highlight w:val="none"/>
          <w:u w:val="single"/>
          <w:lang w:val="zh-CN"/>
        </w:rPr>
        <w:t xml:space="preserve"> 受托人未能按时完成工作的，委托人有权按照</w:t>
      </w:r>
      <w:r>
        <w:rPr>
          <w:rFonts w:hint="eastAsia" w:asciiTheme="minorEastAsia" w:hAnsiTheme="minorEastAsia" w:eastAsiaTheme="minorEastAsia" w:cstheme="minorEastAsia"/>
          <w:color w:val="auto"/>
          <w:szCs w:val="21"/>
          <w:highlight w:val="none"/>
          <w:u w:val="single"/>
          <w:lang w:val="zh-CN" w:eastAsia="zh-CN"/>
        </w:rPr>
        <w:t>20</w:t>
      </w:r>
      <w:r>
        <w:rPr>
          <w:rFonts w:hint="eastAsia" w:asciiTheme="minorEastAsia" w:hAnsiTheme="minorEastAsia" w:eastAsiaTheme="minorEastAsia" w:cstheme="minorEastAsia"/>
          <w:color w:val="auto"/>
          <w:szCs w:val="21"/>
          <w:highlight w:val="none"/>
          <w:u w:val="single"/>
          <w:lang w:val="zh-CN"/>
        </w:rPr>
        <w:t>00元/天扣减报酬；委托人可以口头或书面方式通知受托人进行整改，受托人在接委托人通知后10日内仍未完成整改的，视为受托人违约，委托人有权单方面解除本合同，并不支付任何费用，受托人需退还委托人已支付的所有款项，并按合同金额的</w:t>
      </w:r>
      <w:r>
        <w:rPr>
          <w:rFonts w:hint="eastAsia" w:asciiTheme="minorEastAsia" w:hAnsiTheme="minorEastAsia" w:eastAsiaTheme="minorEastAsia" w:cstheme="minorEastAsia"/>
          <w:color w:val="auto"/>
          <w:szCs w:val="21"/>
          <w:highlight w:val="none"/>
          <w:u w:val="single"/>
          <w:lang w:val="en-US" w:eastAsia="zh-CN"/>
        </w:rPr>
        <w:t>3</w:t>
      </w:r>
      <w:r>
        <w:rPr>
          <w:rFonts w:hint="eastAsia" w:asciiTheme="minorEastAsia" w:hAnsiTheme="minorEastAsia" w:eastAsiaTheme="minorEastAsia" w:cstheme="minorEastAsia"/>
          <w:color w:val="auto"/>
          <w:szCs w:val="21"/>
          <w:highlight w:val="none"/>
          <w:u w:val="single"/>
          <w:lang w:val="zh-CN"/>
        </w:rPr>
        <w:t>0%向委托人支付违约金，违约金不足以弥补委托人损失的，受托人还应赔偿委托人由此造成的所有损失（包括但不限于延期造成的损失），委托人有权继续追偿</w:t>
      </w:r>
      <w:r>
        <w:rPr>
          <w:rFonts w:hint="eastAsia" w:asciiTheme="minorEastAsia" w:hAnsiTheme="minorEastAsia" w:eastAsiaTheme="minorEastAsia" w:cstheme="minorEastAsia"/>
          <w:color w:val="auto"/>
          <w:szCs w:val="21"/>
          <w:highlight w:val="none"/>
          <w:lang w:val="zh-CN"/>
        </w:rPr>
        <w:t xml:space="preserve">。  </w:t>
      </w:r>
    </w:p>
    <w:p w14:paraId="768D2CC2">
      <w:pPr>
        <w:widowControl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（2）受托人违反本合同通用条款第5.4款的约定，接受了与本合同工程建设项目有关的投标咨询业务应承担的违约责任：</w:t>
      </w:r>
      <w:r>
        <w:rPr>
          <w:rFonts w:hint="eastAsia" w:asciiTheme="minorEastAsia" w:hAnsiTheme="minorEastAsia" w:eastAsiaTheme="minorEastAsia" w:cstheme="minorEastAsia"/>
          <w:color w:val="auto"/>
          <w:szCs w:val="21"/>
          <w:highlight w:val="none"/>
          <w:u w:val="single"/>
          <w:lang w:val="zh-CN"/>
        </w:rPr>
        <w:t xml:space="preserve"> 委托人有权解除本合同，受托人应当全额返还已收取的费用，且支付合同金额</w:t>
      </w:r>
      <w:r>
        <w:rPr>
          <w:rFonts w:hint="eastAsia" w:asciiTheme="minorEastAsia" w:hAnsiTheme="minorEastAsia" w:eastAsiaTheme="minorEastAsia" w:cstheme="minorEastAsia"/>
          <w:color w:val="auto"/>
          <w:szCs w:val="21"/>
          <w:highlight w:val="none"/>
          <w:u w:val="single"/>
          <w:lang w:val="en-US" w:eastAsia="zh-CN"/>
        </w:rPr>
        <w:t>3</w:t>
      </w:r>
      <w:r>
        <w:rPr>
          <w:rFonts w:hint="eastAsia" w:asciiTheme="minorEastAsia" w:hAnsiTheme="minorEastAsia" w:eastAsiaTheme="minorEastAsia" w:cstheme="minorEastAsia"/>
          <w:color w:val="auto"/>
          <w:szCs w:val="21"/>
          <w:highlight w:val="none"/>
          <w:u w:val="single"/>
          <w:lang w:val="zh-CN"/>
        </w:rPr>
        <w:t>0%的违约金，不足以弥补委托人实际损失的，委托人有权继续追偿</w:t>
      </w:r>
      <w:r>
        <w:rPr>
          <w:rFonts w:hint="eastAsia" w:asciiTheme="minorEastAsia" w:hAnsiTheme="minorEastAsia" w:eastAsiaTheme="minorEastAsia" w:cstheme="minorEastAsia"/>
          <w:color w:val="auto"/>
          <w:szCs w:val="21"/>
          <w:highlight w:val="none"/>
          <w:lang w:val="zh-CN"/>
        </w:rPr>
        <w:t xml:space="preserve">。 </w:t>
      </w:r>
    </w:p>
    <w:p w14:paraId="33DC9799">
      <w:pPr>
        <w:widowControl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（3）受托人违反本合同通用条款第5.7款的约定，泄露了与本合同工程有关的任何不应泄露的招标资料和情况应承担的违约责任：</w:t>
      </w:r>
      <w:r>
        <w:rPr>
          <w:rFonts w:hint="eastAsia" w:asciiTheme="minorEastAsia" w:hAnsiTheme="minorEastAsia" w:eastAsiaTheme="minorEastAsia" w:cstheme="minorEastAsia"/>
          <w:color w:val="auto"/>
          <w:szCs w:val="21"/>
          <w:highlight w:val="none"/>
          <w:u w:val="single"/>
          <w:lang w:val="zh-CN"/>
        </w:rPr>
        <w:t>委托人有权解除本合同，受托人应当全额返还已收取的费用，且支付合同金额</w:t>
      </w:r>
      <w:r>
        <w:rPr>
          <w:rFonts w:hint="eastAsia" w:asciiTheme="minorEastAsia" w:hAnsiTheme="minorEastAsia" w:eastAsiaTheme="minorEastAsia" w:cstheme="minorEastAsia"/>
          <w:color w:val="auto"/>
          <w:szCs w:val="21"/>
          <w:highlight w:val="none"/>
          <w:u w:val="single"/>
          <w:lang w:val="en-US" w:eastAsia="zh-CN"/>
        </w:rPr>
        <w:t>3</w:t>
      </w:r>
      <w:r>
        <w:rPr>
          <w:rFonts w:hint="eastAsia" w:asciiTheme="minorEastAsia" w:hAnsiTheme="minorEastAsia" w:eastAsiaTheme="minorEastAsia" w:cstheme="minorEastAsia"/>
          <w:color w:val="auto"/>
          <w:szCs w:val="21"/>
          <w:highlight w:val="none"/>
          <w:u w:val="single"/>
          <w:lang w:val="zh-CN"/>
        </w:rPr>
        <w:t>0%的违约金，不足以弥补委托人实际损失的，委托人有权继续追偿</w:t>
      </w:r>
      <w:r>
        <w:rPr>
          <w:rFonts w:hint="eastAsia" w:asciiTheme="minorEastAsia" w:hAnsiTheme="minorEastAsia" w:eastAsiaTheme="minorEastAsia" w:cstheme="minorEastAsia"/>
          <w:color w:val="auto"/>
          <w:szCs w:val="21"/>
          <w:highlight w:val="none"/>
          <w:lang w:val="zh-CN"/>
        </w:rPr>
        <w:t xml:space="preserve">。 </w:t>
      </w:r>
    </w:p>
    <w:p w14:paraId="16B4C55E">
      <w:pPr>
        <w:widowControl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（4）双方约定的受托人的其他违约责任：</w:t>
      </w:r>
    </w:p>
    <w:p w14:paraId="164B742C">
      <w:pPr>
        <w:widowControl w:val="0"/>
        <w:spacing w:line="440" w:lineRule="exact"/>
        <w:ind w:firstLine="420" w:firstLineChars="200"/>
        <w:rPr>
          <w:rFonts w:hint="eastAsia" w:asciiTheme="minorEastAsia" w:hAnsiTheme="minorEastAsia" w:eastAsiaTheme="minorEastAsia" w:cstheme="minorEastAsia"/>
          <w:color w:val="auto"/>
          <w:szCs w:val="21"/>
          <w:highlight w:val="none"/>
          <w:u w:val="single"/>
          <w:lang w:val="zh-CN"/>
        </w:rPr>
      </w:pPr>
      <w:r>
        <w:rPr>
          <w:rFonts w:hint="eastAsia" w:asciiTheme="minorEastAsia" w:hAnsiTheme="minorEastAsia" w:eastAsiaTheme="minorEastAsia" w:cstheme="minorEastAsia"/>
          <w:color w:val="auto"/>
          <w:szCs w:val="21"/>
          <w:highlight w:val="none"/>
          <w:u w:val="single"/>
          <w:lang w:val="zh-CN"/>
        </w:rPr>
        <w:t>1）受托人</w:t>
      </w:r>
      <w:r>
        <w:rPr>
          <w:rFonts w:hint="eastAsia" w:asciiTheme="minorEastAsia" w:hAnsiTheme="minorEastAsia" w:eastAsiaTheme="minorEastAsia" w:cstheme="minorEastAsia"/>
          <w:color w:val="auto"/>
          <w:szCs w:val="21"/>
          <w:highlight w:val="none"/>
          <w:u w:val="single"/>
          <w:lang w:val="zh-CN" w:eastAsia="zh-CN"/>
        </w:rPr>
        <w:t>出具的工程量清单及招标控制价经预算审核单位审核后，总误差率≥5%以及存在较大幅度漏审漏项（占比超过5%以上）的，受托人须向委托人支付合同预算编制费用的30%，作为违约金。并按照《浙江省社会中介机构管理办法》、</w:t>
      </w:r>
      <w:r>
        <w:rPr>
          <w:rFonts w:hint="eastAsia" w:asciiTheme="minorEastAsia" w:hAnsiTheme="minorEastAsia" w:eastAsiaTheme="minorEastAsia" w:cstheme="minorEastAsia"/>
          <w:color w:val="auto"/>
          <w:szCs w:val="21"/>
          <w:highlight w:val="none"/>
          <w:u w:val="single"/>
          <w:lang w:val="zh-CN"/>
        </w:rPr>
        <w:t>《宁海县政府投资项目评审</w:t>
      </w:r>
      <w:r>
        <w:rPr>
          <w:rFonts w:hint="eastAsia" w:asciiTheme="minorEastAsia" w:hAnsiTheme="minorEastAsia" w:eastAsiaTheme="minorEastAsia" w:cstheme="minorEastAsia"/>
          <w:color w:val="auto"/>
          <w:szCs w:val="21"/>
          <w:highlight w:val="none"/>
          <w:u w:val="single"/>
          <w:lang w:val="zh-CN" w:eastAsia="zh-CN"/>
        </w:rPr>
        <w:t>中心协审工作考核办法</w:t>
      </w:r>
      <w:r>
        <w:rPr>
          <w:rFonts w:hint="eastAsia" w:asciiTheme="minorEastAsia" w:hAnsiTheme="minorEastAsia" w:eastAsiaTheme="minorEastAsia" w:cstheme="minorEastAsia"/>
          <w:color w:val="auto"/>
          <w:szCs w:val="21"/>
          <w:highlight w:val="none"/>
          <w:u w:val="single"/>
          <w:lang w:val="zh-CN"/>
        </w:rPr>
        <w:t>（试行）》（宁评审〔2024〕</w:t>
      </w:r>
      <w:r>
        <w:rPr>
          <w:rFonts w:hint="eastAsia" w:asciiTheme="minorEastAsia" w:hAnsiTheme="minorEastAsia" w:eastAsiaTheme="minorEastAsia" w:cstheme="minorEastAsia"/>
          <w:color w:val="auto"/>
          <w:szCs w:val="21"/>
          <w:highlight w:val="none"/>
          <w:u w:val="single"/>
          <w:lang w:val="zh-CN" w:eastAsia="zh-CN"/>
        </w:rPr>
        <w:t>4</w:t>
      </w:r>
      <w:r>
        <w:rPr>
          <w:rFonts w:hint="eastAsia" w:asciiTheme="minorEastAsia" w:hAnsiTheme="minorEastAsia" w:eastAsiaTheme="minorEastAsia" w:cstheme="minorEastAsia"/>
          <w:color w:val="auto"/>
          <w:szCs w:val="21"/>
          <w:highlight w:val="none"/>
          <w:u w:val="single"/>
          <w:lang w:val="zh-CN"/>
        </w:rPr>
        <w:t>号）、《宁海政府投资项目评审实施细则（试行）》（宁评审〔2024〕5号）</w:t>
      </w:r>
      <w:r>
        <w:rPr>
          <w:rFonts w:hint="eastAsia" w:asciiTheme="minorEastAsia" w:hAnsiTheme="minorEastAsia" w:eastAsiaTheme="minorEastAsia" w:cstheme="minorEastAsia"/>
          <w:color w:val="auto"/>
          <w:szCs w:val="21"/>
          <w:highlight w:val="none"/>
          <w:u w:val="single"/>
          <w:lang w:val="zh-CN" w:eastAsia="zh-CN"/>
        </w:rPr>
        <w:t>及其他有关规定予以评价处置。</w:t>
      </w:r>
    </w:p>
    <w:p w14:paraId="26096E3A">
      <w:pPr>
        <w:widowControl w:val="0"/>
        <w:spacing w:line="440" w:lineRule="exact"/>
        <w:ind w:firstLine="420" w:firstLineChars="200"/>
        <w:rPr>
          <w:rFonts w:hint="eastAsia" w:asciiTheme="minorEastAsia" w:hAnsiTheme="minorEastAsia" w:eastAsiaTheme="minorEastAsia" w:cstheme="minorEastAsia"/>
          <w:color w:val="auto"/>
          <w:szCs w:val="21"/>
          <w:highlight w:val="none"/>
          <w:u w:val="single"/>
          <w:lang w:val="zh-CN"/>
        </w:rPr>
      </w:pPr>
      <w:r>
        <w:rPr>
          <w:rFonts w:hint="eastAsia" w:asciiTheme="minorEastAsia" w:hAnsiTheme="minorEastAsia" w:eastAsiaTheme="minorEastAsia" w:cstheme="minorEastAsia"/>
          <w:color w:val="auto"/>
          <w:szCs w:val="21"/>
          <w:highlight w:val="none"/>
          <w:u w:val="single"/>
          <w:lang w:val="zh-CN"/>
        </w:rPr>
        <w:t>2）若配备人员中项目负责人未经委托方同意擅自更换的，则处违约金5000</w:t>
      </w:r>
      <w:r>
        <w:rPr>
          <w:rFonts w:hint="eastAsia" w:asciiTheme="minorEastAsia" w:hAnsiTheme="minorEastAsia" w:eastAsiaTheme="minorEastAsia" w:cstheme="minorEastAsia"/>
          <w:color w:val="auto"/>
          <w:szCs w:val="21"/>
          <w:highlight w:val="none"/>
          <w:u w:val="single"/>
          <w:lang w:val="en-US" w:eastAsia="zh-CN"/>
        </w:rPr>
        <w:t>0</w:t>
      </w:r>
      <w:r>
        <w:rPr>
          <w:rFonts w:hint="eastAsia" w:asciiTheme="minorEastAsia" w:hAnsiTheme="minorEastAsia" w:eastAsiaTheme="minorEastAsia" w:cstheme="minorEastAsia"/>
          <w:color w:val="auto"/>
          <w:szCs w:val="21"/>
          <w:highlight w:val="none"/>
          <w:u w:val="single"/>
          <w:lang w:val="zh-CN"/>
        </w:rPr>
        <w:t>元/人/次;其他配备人员未经委托方同意擅自更换的，则处违约金300</w:t>
      </w:r>
      <w:r>
        <w:rPr>
          <w:rFonts w:hint="eastAsia" w:asciiTheme="minorEastAsia" w:hAnsiTheme="minorEastAsia" w:eastAsiaTheme="minorEastAsia" w:cstheme="minorEastAsia"/>
          <w:color w:val="auto"/>
          <w:szCs w:val="21"/>
          <w:highlight w:val="none"/>
          <w:u w:val="single"/>
          <w:lang w:val="en-US" w:eastAsia="zh-CN"/>
        </w:rPr>
        <w:t>0</w:t>
      </w:r>
      <w:r>
        <w:rPr>
          <w:rFonts w:hint="eastAsia" w:asciiTheme="minorEastAsia" w:hAnsiTheme="minorEastAsia" w:eastAsiaTheme="minorEastAsia" w:cstheme="minorEastAsia"/>
          <w:color w:val="auto"/>
          <w:szCs w:val="21"/>
          <w:highlight w:val="none"/>
          <w:u w:val="single"/>
          <w:lang w:val="zh-CN"/>
        </w:rPr>
        <w:t>0元/人/次。</w:t>
      </w:r>
    </w:p>
    <w:p w14:paraId="708934FE">
      <w:pPr>
        <w:widowControl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 xml:space="preserve">（5）受托人未能严格按法律规定程序开展招标工作，导致招标程序或结果出现偏差，受托人应向委托人支付相当于代理报酬金额的违约金，造成的损失超过代理报酬金额的，受托人应就委托人的损失继续承担损失赔偿责任。第三方因此而向委托人索赔的，受托人应出面进行解决。 </w:t>
      </w:r>
    </w:p>
    <w:p w14:paraId="43C9B26D">
      <w:pPr>
        <w:widowControl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（6）本条所称受托人应对委托人损失的赔偿义务包含，直接损失、间接损失且包括委托人为维护自身权益所支付的诉讼费、仲裁费、律师费、保全费等全部费用。</w:t>
      </w:r>
    </w:p>
    <w:p w14:paraId="5F5CAC02">
      <w:pPr>
        <w:widowControl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2、争议</w:t>
      </w:r>
    </w:p>
    <w:p w14:paraId="53D0E27A">
      <w:pPr>
        <w:widowControl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2.1 双方约定，凡因执行本合同所发生的与本合同有关的一切争议，当和解或调解不成时，选择下列第</w:t>
      </w:r>
      <w:r>
        <w:rPr>
          <w:rFonts w:hint="eastAsia" w:asciiTheme="minorEastAsia" w:hAnsiTheme="minorEastAsia" w:eastAsiaTheme="minorEastAsia" w:cstheme="minorEastAsia"/>
          <w:color w:val="auto"/>
          <w:szCs w:val="21"/>
          <w:highlight w:val="none"/>
          <w:u w:val="single"/>
          <w:lang w:val="zh-CN"/>
        </w:rPr>
        <w:t xml:space="preserve">      ②     </w:t>
      </w:r>
      <w:r>
        <w:rPr>
          <w:rFonts w:hint="eastAsia" w:asciiTheme="minorEastAsia" w:hAnsiTheme="minorEastAsia" w:eastAsiaTheme="minorEastAsia" w:cstheme="minorEastAsia"/>
          <w:color w:val="auto"/>
          <w:szCs w:val="21"/>
          <w:highlight w:val="none"/>
          <w:lang w:val="zh-CN"/>
        </w:rPr>
        <w:t xml:space="preserve"> 种方式解决：</w:t>
      </w:r>
    </w:p>
    <w:p w14:paraId="515CB653">
      <w:pPr>
        <w:widowControl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 xml:space="preserve">①将争议提交 </w:t>
      </w:r>
      <w:r>
        <w:rPr>
          <w:rFonts w:hint="eastAsia" w:asciiTheme="minorEastAsia" w:hAnsiTheme="minorEastAsia" w:eastAsiaTheme="minorEastAsia" w:cstheme="minorEastAsia"/>
          <w:color w:val="auto"/>
          <w:szCs w:val="21"/>
          <w:highlight w:val="none"/>
          <w:u w:val="single"/>
          <w:lang w:val="zh-CN"/>
        </w:rPr>
        <w:t xml:space="preserve">      /         </w:t>
      </w:r>
      <w:r>
        <w:rPr>
          <w:rFonts w:hint="eastAsia" w:asciiTheme="minorEastAsia" w:hAnsiTheme="minorEastAsia" w:eastAsiaTheme="minorEastAsia" w:cstheme="minorEastAsia"/>
          <w:color w:val="auto"/>
          <w:szCs w:val="21"/>
          <w:highlight w:val="none"/>
          <w:lang w:val="zh-CN"/>
        </w:rPr>
        <w:t>仲裁委员会仲裁；</w:t>
      </w:r>
    </w:p>
    <w:p w14:paraId="2DAFECA6">
      <w:pPr>
        <w:widowControl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②依法向</w:t>
      </w:r>
      <w:r>
        <w:rPr>
          <w:rFonts w:hint="eastAsia" w:asciiTheme="minorEastAsia" w:hAnsiTheme="minorEastAsia" w:eastAsiaTheme="minorEastAsia" w:cstheme="minorEastAsia"/>
          <w:color w:val="auto"/>
          <w:szCs w:val="21"/>
          <w:highlight w:val="none"/>
          <w:u w:val="single"/>
          <w:lang w:val="zh-CN"/>
        </w:rPr>
        <w:t xml:space="preserve">     宁海县       </w:t>
      </w:r>
      <w:r>
        <w:rPr>
          <w:rFonts w:hint="eastAsia" w:asciiTheme="minorEastAsia" w:hAnsiTheme="minorEastAsia" w:eastAsiaTheme="minorEastAsia" w:cstheme="minorEastAsia"/>
          <w:color w:val="auto"/>
          <w:szCs w:val="21"/>
          <w:highlight w:val="none"/>
          <w:lang w:val="zh-CN"/>
        </w:rPr>
        <w:t>人民法院提起诉讼。</w:t>
      </w:r>
    </w:p>
    <w:p w14:paraId="0929DD06">
      <w:pPr>
        <w:widowControl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五、其他</w:t>
      </w:r>
    </w:p>
    <w:p w14:paraId="0E95BB47">
      <w:pPr>
        <w:widowControl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1、合同份数</w:t>
      </w:r>
    </w:p>
    <w:p w14:paraId="5679F92C">
      <w:pPr>
        <w:widowControl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1.1双方约定本合同共伍份，委托人贰份，受托人贰份，送县公共资源交管办一份备案。</w:t>
      </w:r>
    </w:p>
    <w:p w14:paraId="756CF728">
      <w:pPr>
        <w:widowControl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1.2本协议双方签字并加盖公章后，即行生效，招标代理工作完成，且中标通知书发出、招标人与中标人签署协议并结清代理服务费款项后终止，但受托人应履行的保密义务及档案保管义务不随本协议终止而终止，受托人仍应履行相关义务。</w:t>
      </w:r>
    </w:p>
    <w:p w14:paraId="322D92BB">
      <w:pPr>
        <w:widowControl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2、补充条款：</w:t>
      </w:r>
    </w:p>
    <w:p w14:paraId="31FF4338">
      <w:pPr>
        <w:widowControl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 xml:space="preserve">1、委托人有权另行委托本工程招标范围内的采购项目；      </w:t>
      </w:r>
    </w:p>
    <w:p w14:paraId="317C81DB">
      <w:pPr>
        <w:widowControl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2、受托人将任务转包给第三方的，委托人有权立即解除合同，所有损失由受托人承担，受托人需退还委托人已支付的所有款项，并按合同金额的</w:t>
      </w:r>
      <w:r>
        <w:rPr>
          <w:rFonts w:hint="eastAsia" w:asciiTheme="minorEastAsia" w:hAnsiTheme="minorEastAsia" w:eastAsiaTheme="minorEastAsia" w:cstheme="minorEastAsia"/>
          <w:color w:val="auto"/>
          <w:szCs w:val="21"/>
          <w:highlight w:val="none"/>
          <w:lang w:val="en-US" w:eastAsia="zh-CN"/>
        </w:rPr>
        <w:t>30</w:t>
      </w:r>
      <w:r>
        <w:rPr>
          <w:rFonts w:hint="eastAsia" w:asciiTheme="minorEastAsia" w:hAnsiTheme="minorEastAsia" w:eastAsiaTheme="minorEastAsia" w:cstheme="minorEastAsia"/>
          <w:color w:val="auto"/>
          <w:szCs w:val="21"/>
          <w:highlight w:val="none"/>
          <w:lang w:val="zh-CN"/>
        </w:rPr>
        <w:t xml:space="preserve">%向委托人支付违约金，违约金不足以弥补委托人损失的，受托人还应赔偿委托人由此造成的所有损失（包括但不限于延期造成的损失）。  </w:t>
      </w:r>
    </w:p>
    <w:p w14:paraId="35974C4B">
      <w:pPr>
        <w:widowControl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3、受托人不得向第三方泄露相关信息，不得泄露任何委托人提供的资料，保密期限为十年；项目结束后受托人应当根据委托人的要求将相关资料归还或销毁 。</w:t>
      </w:r>
    </w:p>
    <w:p w14:paraId="770BF206">
      <w:pPr>
        <w:widowControl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4、工程造价咨询成果文件应符合建设工程造价咨询成果文件质量标准 CECA/GC 7-2012及省、市、县对工程造价咨询成果文件等有关工程造价资料。</w:t>
      </w:r>
    </w:p>
    <w:p w14:paraId="46E3A135">
      <w:pPr>
        <w:widowControl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5、除不可抗力外，因非受托人原因导致本合同履行期限延长、内容增加时，附加工作酬金按下列方法确定：</w:t>
      </w:r>
      <w:r>
        <w:rPr>
          <w:rFonts w:hint="eastAsia" w:asciiTheme="minorEastAsia" w:hAnsiTheme="minorEastAsia" w:eastAsiaTheme="minorEastAsia" w:cstheme="minorEastAsia"/>
          <w:color w:val="auto"/>
          <w:szCs w:val="21"/>
          <w:highlight w:val="none"/>
          <w:u w:val="single"/>
          <w:lang w:val="zh-CN"/>
        </w:rPr>
        <w:t xml:space="preserve">   不予计算，受托人合同签订已考虑不利因素  </w:t>
      </w:r>
      <w:r>
        <w:rPr>
          <w:rFonts w:hint="eastAsia" w:asciiTheme="minorEastAsia" w:hAnsiTheme="minorEastAsia" w:eastAsiaTheme="minorEastAsia" w:cstheme="minorEastAsia"/>
          <w:color w:val="auto"/>
          <w:szCs w:val="21"/>
          <w:highlight w:val="none"/>
          <w:lang w:val="zh-CN"/>
        </w:rPr>
        <w:t xml:space="preserve"> 。</w:t>
      </w:r>
    </w:p>
    <w:p w14:paraId="1AAF43E3">
      <w:pPr>
        <w:widowControl w:val="0"/>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6、 因工程规模、服务范围及内容的变化等导致受托人的工作量增减时，服务酬金的调整方法：</w:t>
      </w:r>
      <w:r>
        <w:rPr>
          <w:rFonts w:hint="eastAsia" w:asciiTheme="minorEastAsia" w:hAnsiTheme="minorEastAsia" w:eastAsiaTheme="minorEastAsia" w:cstheme="minorEastAsia"/>
          <w:color w:val="auto"/>
          <w:szCs w:val="21"/>
          <w:highlight w:val="none"/>
          <w:u w:val="single"/>
          <w:lang w:val="zh-CN"/>
        </w:rPr>
        <w:t xml:space="preserve">      按约定计取方式结算        </w:t>
      </w:r>
      <w:r>
        <w:rPr>
          <w:rFonts w:hint="eastAsia" w:asciiTheme="minorEastAsia" w:hAnsiTheme="minorEastAsia" w:eastAsiaTheme="minorEastAsia" w:cstheme="minorEastAsia"/>
          <w:color w:val="auto"/>
          <w:szCs w:val="21"/>
          <w:highlight w:val="none"/>
          <w:lang w:val="zh-CN"/>
        </w:rPr>
        <w:t>。</w:t>
      </w:r>
    </w:p>
    <w:p w14:paraId="4F64CC39">
      <w:pPr>
        <w:pStyle w:val="19"/>
        <w:ind w:firstLine="210"/>
        <w:rPr>
          <w:rFonts w:hint="eastAsia" w:asciiTheme="minorEastAsia" w:hAnsiTheme="minorEastAsia" w:eastAsiaTheme="minorEastAsia" w:cstheme="minorEastAsia"/>
          <w:color w:val="auto"/>
          <w:highlight w:val="none"/>
        </w:rPr>
        <w:sectPr>
          <w:pgSz w:w="11906" w:h="16838"/>
          <w:pgMar w:top="1440" w:right="1800" w:bottom="1440" w:left="1380" w:header="851" w:footer="992" w:gutter="0"/>
          <w:cols w:space="720" w:num="1"/>
          <w:docGrid w:linePitch="312" w:charSpace="0"/>
        </w:sectPr>
      </w:pPr>
    </w:p>
    <w:p w14:paraId="64F71658">
      <w:pPr>
        <w:spacing w:line="440" w:lineRule="exac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二、施工阶段全过程工程造价控制（含跟踪审计</w:t>
      </w:r>
      <w:r>
        <w:rPr>
          <w:rFonts w:hint="eastAsia" w:asciiTheme="minorEastAsia" w:hAnsiTheme="minorEastAsia" w:eastAsiaTheme="minorEastAsia" w:cstheme="minorEastAsia"/>
          <w:b/>
          <w:bCs/>
          <w:color w:val="auto"/>
          <w:szCs w:val="21"/>
          <w:highlight w:val="none"/>
          <w:lang w:eastAsia="zh-CN"/>
        </w:rPr>
        <w:t>、不含工程量清单及招标控制价编制</w:t>
      </w:r>
      <w:r>
        <w:rPr>
          <w:rFonts w:hint="eastAsia" w:asciiTheme="minorEastAsia" w:hAnsiTheme="minorEastAsia" w:eastAsiaTheme="minorEastAsia" w:cstheme="minorEastAsia"/>
          <w:b/>
          <w:bCs/>
          <w:color w:val="auto"/>
          <w:szCs w:val="21"/>
          <w:highlight w:val="none"/>
        </w:rPr>
        <w:t>）、工程结算审核合同</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lang w:val="en-US" w:eastAsia="zh-CN"/>
        </w:rPr>
        <w:t>适用于标项二</w:t>
      </w:r>
      <w:r>
        <w:rPr>
          <w:rFonts w:hint="eastAsia" w:asciiTheme="minorEastAsia" w:hAnsiTheme="minorEastAsia" w:eastAsiaTheme="minorEastAsia" w:cstheme="minorEastAsia"/>
          <w:b/>
          <w:bCs/>
          <w:color w:val="auto"/>
          <w:szCs w:val="21"/>
          <w:highlight w:val="none"/>
          <w:lang w:eastAsia="zh-CN"/>
        </w:rPr>
        <w:t>）</w:t>
      </w:r>
    </w:p>
    <w:p w14:paraId="32EED0E9">
      <w:pPr>
        <w:spacing w:line="440" w:lineRule="exact"/>
        <w:jc w:val="center"/>
        <w:rPr>
          <w:rFonts w:hint="eastAsia" w:asciiTheme="minorEastAsia" w:hAnsiTheme="minorEastAsia" w:eastAsiaTheme="minorEastAsia" w:cstheme="minorEastAsia"/>
          <w:color w:val="auto"/>
          <w:szCs w:val="21"/>
          <w:highlight w:val="none"/>
          <w:lang w:eastAsia="zh-CN"/>
        </w:rPr>
      </w:pPr>
      <w:bookmarkStart w:id="12" w:name="_Toc21795"/>
      <w:r>
        <w:rPr>
          <w:rFonts w:hint="eastAsia" w:asciiTheme="minorEastAsia" w:hAnsiTheme="minorEastAsia" w:eastAsiaTheme="minorEastAsia" w:cstheme="minorEastAsia"/>
          <w:color w:val="auto"/>
          <w:szCs w:val="21"/>
          <w:highlight w:val="none"/>
          <w:lang w:eastAsia="zh-CN"/>
        </w:rPr>
        <w:t>具体以实际签订为准</w:t>
      </w:r>
    </w:p>
    <w:p w14:paraId="6B6697B4">
      <w:pPr>
        <w:rPr>
          <w:rFonts w:hint="eastAsia" w:asciiTheme="minorEastAsia" w:hAnsiTheme="minorEastAsia" w:eastAsiaTheme="minorEastAsia" w:cstheme="minorEastAsia"/>
          <w:b/>
          <w:color w:val="auto"/>
          <w:sz w:val="52"/>
          <w:szCs w:val="52"/>
          <w:highlight w:val="none"/>
        </w:rPr>
      </w:pPr>
      <w:r>
        <w:rPr>
          <w:rFonts w:hint="eastAsia" w:asciiTheme="minorEastAsia" w:hAnsiTheme="minorEastAsia" w:eastAsiaTheme="minorEastAsia" w:cstheme="minorEastAsia"/>
          <w:bCs/>
          <w:color w:val="auto"/>
          <w:sz w:val="30"/>
          <w:szCs w:val="30"/>
          <w:highlight w:val="none"/>
        </w:rPr>
        <w:t>GF—2015—0212</w:t>
      </w:r>
    </w:p>
    <w:p w14:paraId="5CABC73D">
      <w:pPr>
        <w:ind w:firstLine="5421" w:firstLineChars="1800"/>
        <w:rPr>
          <w:rFonts w:hint="eastAsia" w:asciiTheme="minorEastAsia" w:hAnsiTheme="minorEastAsia" w:eastAsiaTheme="minorEastAsia" w:cstheme="minorEastAsia"/>
          <w:color w:val="auto"/>
          <w:sz w:val="30"/>
          <w:szCs w:val="30"/>
          <w:highlight w:val="none"/>
          <w:u w:val="single"/>
        </w:rPr>
      </w:pPr>
      <w:r>
        <w:rPr>
          <w:rFonts w:hint="eastAsia" w:asciiTheme="minorEastAsia" w:hAnsiTheme="minorEastAsia" w:eastAsiaTheme="minorEastAsia" w:cstheme="minorEastAsia"/>
          <w:b/>
          <w:color w:val="auto"/>
          <w:sz w:val="30"/>
          <w:szCs w:val="30"/>
          <w:highlight w:val="none"/>
        </w:rPr>
        <w:t>合同编号：________</w:t>
      </w:r>
    </w:p>
    <w:p w14:paraId="4B0B3CF7">
      <w:pPr>
        <w:rPr>
          <w:rFonts w:hint="eastAsia" w:asciiTheme="minorEastAsia" w:hAnsiTheme="minorEastAsia" w:eastAsiaTheme="minorEastAsia" w:cstheme="minorEastAsia"/>
          <w:color w:val="auto"/>
          <w:highlight w:val="none"/>
        </w:rPr>
      </w:pPr>
    </w:p>
    <w:p w14:paraId="494750B2">
      <w:pPr>
        <w:rPr>
          <w:rFonts w:hint="eastAsia" w:asciiTheme="minorEastAsia" w:hAnsiTheme="minorEastAsia" w:eastAsiaTheme="minorEastAsia" w:cstheme="minorEastAsia"/>
          <w:color w:val="auto"/>
          <w:highlight w:val="none"/>
        </w:rPr>
      </w:pPr>
    </w:p>
    <w:p w14:paraId="10849ABF">
      <w:pPr>
        <w:rPr>
          <w:rFonts w:hint="eastAsia" w:asciiTheme="minorEastAsia" w:hAnsiTheme="minorEastAsia" w:eastAsiaTheme="minorEastAsia" w:cstheme="minorEastAsia"/>
          <w:color w:val="auto"/>
          <w:highlight w:val="none"/>
        </w:rPr>
      </w:pPr>
    </w:p>
    <w:p w14:paraId="0C7B5D7B">
      <w:pPr>
        <w:rPr>
          <w:rFonts w:hint="eastAsia" w:asciiTheme="minorEastAsia" w:hAnsiTheme="minorEastAsia" w:eastAsiaTheme="minorEastAsia" w:cstheme="minorEastAsia"/>
          <w:color w:val="auto"/>
          <w:highlight w:val="none"/>
        </w:rPr>
      </w:pPr>
    </w:p>
    <w:p w14:paraId="2F31449C">
      <w:pPr>
        <w:rPr>
          <w:rFonts w:hint="eastAsia" w:asciiTheme="minorEastAsia" w:hAnsiTheme="minorEastAsia" w:eastAsiaTheme="minorEastAsia" w:cstheme="minorEastAsia"/>
          <w:color w:val="auto"/>
          <w:highlight w:val="none"/>
        </w:rPr>
      </w:pPr>
    </w:p>
    <w:p w14:paraId="6912D8B8">
      <w:pPr>
        <w:rPr>
          <w:rFonts w:hint="eastAsia" w:asciiTheme="minorEastAsia" w:hAnsiTheme="minorEastAsia" w:eastAsiaTheme="minorEastAsia" w:cstheme="minorEastAsia"/>
          <w:color w:val="auto"/>
          <w:highlight w:val="none"/>
        </w:rPr>
      </w:pPr>
    </w:p>
    <w:p w14:paraId="5D812715">
      <w:pPr>
        <w:rPr>
          <w:rFonts w:hint="eastAsia" w:asciiTheme="minorEastAsia" w:hAnsiTheme="minorEastAsia" w:eastAsiaTheme="minorEastAsia" w:cstheme="minorEastAsia"/>
          <w:color w:val="auto"/>
          <w:highlight w:val="none"/>
        </w:rPr>
      </w:pPr>
    </w:p>
    <w:p w14:paraId="3B8AEE5B">
      <w:pPr>
        <w:spacing w:line="360" w:lineRule="auto"/>
        <w:jc w:val="center"/>
        <w:rPr>
          <w:rFonts w:hint="eastAsia" w:asciiTheme="minorEastAsia" w:hAnsiTheme="minorEastAsia" w:eastAsiaTheme="minorEastAsia" w:cstheme="minorEastAsia"/>
          <w:b/>
          <w:color w:val="auto"/>
          <w:sz w:val="56"/>
          <w:szCs w:val="56"/>
          <w:highlight w:val="none"/>
        </w:rPr>
      </w:pPr>
      <w:r>
        <w:rPr>
          <w:rFonts w:hint="eastAsia" w:asciiTheme="minorEastAsia" w:hAnsiTheme="minorEastAsia" w:eastAsiaTheme="minorEastAsia" w:cstheme="minorEastAsia"/>
          <w:b/>
          <w:color w:val="auto"/>
          <w:sz w:val="56"/>
          <w:szCs w:val="56"/>
          <w:highlight w:val="none"/>
        </w:rPr>
        <w:t>建设工程造价咨询合同</w:t>
      </w:r>
    </w:p>
    <w:p w14:paraId="741FFE21">
      <w:pPr>
        <w:spacing w:line="360" w:lineRule="auto"/>
        <w:jc w:val="center"/>
        <w:rPr>
          <w:rFonts w:hint="eastAsia" w:asciiTheme="minorEastAsia" w:hAnsiTheme="minorEastAsia" w:eastAsiaTheme="minorEastAsia" w:cstheme="minorEastAsia"/>
          <w:b/>
          <w:color w:val="auto"/>
          <w:sz w:val="52"/>
          <w:szCs w:val="52"/>
          <w:highlight w:val="none"/>
        </w:rPr>
      </w:pPr>
    </w:p>
    <w:p w14:paraId="4DFB425A">
      <w:pPr>
        <w:pStyle w:val="29"/>
        <w:rPr>
          <w:rFonts w:hint="eastAsia" w:asciiTheme="minorEastAsia" w:hAnsiTheme="minorEastAsia" w:eastAsiaTheme="minorEastAsia" w:cstheme="minorEastAsia"/>
          <w:b/>
          <w:color w:val="auto"/>
          <w:sz w:val="52"/>
          <w:szCs w:val="52"/>
          <w:highlight w:val="none"/>
        </w:rPr>
      </w:pPr>
    </w:p>
    <w:p w14:paraId="406B4DF0">
      <w:pPr>
        <w:widowControl w:val="0"/>
        <w:spacing w:line="720" w:lineRule="exact"/>
        <w:ind w:firstLine="1205" w:firstLineChars="400"/>
        <w:jc w:val="left"/>
        <w:rPr>
          <w:rFonts w:hint="eastAsia" w:asciiTheme="minorEastAsia" w:hAnsiTheme="minorEastAsia" w:eastAsiaTheme="minorEastAsia" w:cstheme="minorEastAsia"/>
          <w:b/>
          <w:bCs/>
          <w:color w:val="auto"/>
          <w:sz w:val="30"/>
          <w:szCs w:val="30"/>
          <w:highlight w:val="none"/>
          <w:u w:val="none"/>
        </w:rPr>
      </w:pPr>
      <w:r>
        <w:rPr>
          <w:rFonts w:hint="eastAsia" w:asciiTheme="minorEastAsia" w:hAnsiTheme="minorEastAsia" w:eastAsiaTheme="minorEastAsia" w:cstheme="minorEastAsia"/>
          <w:b/>
          <w:bCs/>
          <w:color w:val="auto"/>
          <w:sz w:val="30"/>
          <w:szCs w:val="30"/>
          <w:highlight w:val="none"/>
        </w:rPr>
        <w:t>工程名称：</w:t>
      </w:r>
      <w:r>
        <w:rPr>
          <w:rFonts w:hint="eastAsia" w:asciiTheme="minorEastAsia" w:hAnsiTheme="minorEastAsia" w:eastAsiaTheme="minorEastAsia" w:cstheme="minorEastAsia"/>
          <w:b/>
          <w:bCs/>
          <w:color w:val="auto"/>
          <w:sz w:val="30"/>
          <w:szCs w:val="30"/>
          <w:highlight w:val="none"/>
          <w:u w:val="single"/>
        </w:rPr>
        <w:t xml:space="preserve">                         </w:t>
      </w:r>
      <w:r>
        <w:rPr>
          <w:rFonts w:hint="eastAsia" w:asciiTheme="minorEastAsia" w:hAnsiTheme="minorEastAsia" w:eastAsiaTheme="minorEastAsia" w:cstheme="minorEastAsia"/>
          <w:b/>
          <w:bCs/>
          <w:color w:val="auto"/>
          <w:sz w:val="30"/>
          <w:szCs w:val="30"/>
          <w:highlight w:val="none"/>
          <w:u w:val="none"/>
        </w:rPr>
        <w:t xml:space="preserve">             </w:t>
      </w:r>
    </w:p>
    <w:p w14:paraId="45A496E2">
      <w:pPr>
        <w:widowControl w:val="0"/>
        <w:spacing w:line="720" w:lineRule="exact"/>
        <w:ind w:firstLine="1205" w:firstLineChars="400"/>
        <w:jc w:val="left"/>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委 托 人：</w:t>
      </w:r>
      <w:r>
        <w:rPr>
          <w:rFonts w:hint="eastAsia" w:asciiTheme="minorEastAsia" w:hAnsiTheme="minorEastAsia" w:eastAsiaTheme="minorEastAsia" w:cstheme="minorEastAsia"/>
          <w:b/>
          <w:bCs/>
          <w:color w:val="auto"/>
          <w:sz w:val="30"/>
          <w:szCs w:val="30"/>
          <w:highlight w:val="none"/>
          <w:u w:val="single"/>
        </w:rPr>
        <w:t xml:space="preserve">                         </w:t>
      </w:r>
      <w:r>
        <w:rPr>
          <w:rFonts w:hint="eastAsia" w:asciiTheme="minorEastAsia" w:hAnsiTheme="minorEastAsia" w:eastAsiaTheme="minorEastAsia" w:cstheme="minorEastAsia"/>
          <w:b/>
          <w:bCs/>
          <w:color w:val="auto"/>
          <w:sz w:val="30"/>
          <w:szCs w:val="30"/>
          <w:highlight w:val="none"/>
          <w:u w:val="none"/>
        </w:rPr>
        <w:t xml:space="preserve">            </w:t>
      </w:r>
    </w:p>
    <w:p w14:paraId="1CDE3556">
      <w:pPr>
        <w:widowControl w:val="0"/>
        <w:spacing w:line="720" w:lineRule="exact"/>
        <w:ind w:firstLine="1205" w:firstLineChars="400"/>
        <w:jc w:val="left"/>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咨</w:t>
      </w:r>
      <w:r>
        <w:rPr>
          <w:rFonts w:hint="eastAsia" w:asciiTheme="minorEastAsia" w:hAnsiTheme="minorEastAsia" w:eastAsiaTheme="minorEastAsia" w:cstheme="minorEastAsia"/>
          <w:b/>
          <w:bCs/>
          <w:color w:val="auto"/>
          <w:sz w:val="30"/>
          <w:szCs w:val="30"/>
          <w:highlight w:val="none"/>
          <w:lang w:val="en-US" w:eastAsia="zh-CN"/>
        </w:rPr>
        <w:t xml:space="preserve"> </w:t>
      </w:r>
      <w:r>
        <w:rPr>
          <w:rFonts w:hint="eastAsia" w:asciiTheme="minorEastAsia" w:hAnsiTheme="minorEastAsia" w:eastAsiaTheme="minorEastAsia" w:cstheme="minorEastAsia"/>
          <w:b/>
          <w:bCs/>
          <w:color w:val="auto"/>
          <w:sz w:val="30"/>
          <w:szCs w:val="30"/>
          <w:highlight w:val="none"/>
        </w:rPr>
        <w:t>询</w:t>
      </w:r>
      <w:r>
        <w:rPr>
          <w:rFonts w:hint="eastAsia" w:asciiTheme="minorEastAsia" w:hAnsiTheme="minorEastAsia" w:eastAsiaTheme="minorEastAsia" w:cstheme="minorEastAsia"/>
          <w:b/>
          <w:bCs/>
          <w:color w:val="auto"/>
          <w:sz w:val="30"/>
          <w:szCs w:val="30"/>
          <w:highlight w:val="none"/>
          <w:lang w:val="en-US" w:eastAsia="zh-CN"/>
        </w:rPr>
        <w:t xml:space="preserve"> </w:t>
      </w:r>
      <w:r>
        <w:rPr>
          <w:rFonts w:hint="eastAsia" w:asciiTheme="minorEastAsia" w:hAnsiTheme="minorEastAsia" w:eastAsiaTheme="minorEastAsia" w:cstheme="minorEastAsia"/>
          <w:b/>
          <w:bCs/>
          <w:color w:val="auto"/>
          <w:sz w:val="30"/>
          <w:szCs w:val="30"/>
          <w:highlight w:val="none"/>
        </w:rPr>
        <w:t>人：</w:t>
      </w:r>
      <w:r>
        <w:rPr>
          <w:rFonts w:hint="eastAsia" w:asciiTheme="minorEastAsia" w:hAnsiTheme="minorEastAsia" w:eastAsiaTheme="minorEastAsia" w:cstheme="minorEastAsia"/>
          <w:b/>
          <w:bCs/>
          <w:color w:val="auto"/>
          <w:sz w:val="30"/>
          <w:szCs w:val="30"/>
          <w:highlight w:val="none"/>
          <w:u w:val="single"/>
        </w:rPr>
        <w:t xml:space="preserve">                         </w:t>
      </w:r>
      <w:r>
        <w:rPr>
          <w:rFonts w:hint="eastAsia" w:asciiTheme="minorEastAsia" w:hAnsiTheme="minorEastAsia" w:eastAsiaTheme="minorEastAsia" w:cstheme="minorEastAsia"/>
          <w:b/>
          <w:bCs/>
          <w:color w:val="auto"/>
          <w:sz w:val="30"/>
          <w:szCs w:val="30"/>
          <w:highlight w:val="none"/>
          <w:u w:val="none"/>
        </w:rPr>
        <w:t xml:space="preserve">            </w:t>
      </w:r>
    </w:p>
    <w:p w14:paraId="34412F70">
      <w:pPr>
        <w:pStyle w:val="148"/>
        <w:jc w:val="center"/>
        <w:rPr>
          <w:rFonts w:hint="eastAsia" w:asciiTheme="minorEastAsia" w:hAnsiTheme="minorEastAsia" w:eastAsiaTheme="minorEastAsia" w:cstheme="minorEastAsia"/>
          <w:color w:val="auto"/>
          <w:highlight w:val="none"/>
        </w:rPr>
      </w:pPr>
    </w:p>
    <w:p w14:paraId="1D9BF6EA">
      <w:pPr>
        <w:pStyle w:val="148"/>
        <w:jc w:val="center"/>
        <w:rPr>
          <w:rFonts w:hint="eastAsia" w:asciiTheme="minorEastAsia" w:hAnsiTheme="minorEastAsia" w:eastAsiaTheme="minorEastAsia" w:cstheme="minorEastAsia"/>
          <w:color w:val="auto"/>
          <w:highlight w:val="none"/>
        </w:rPr>
      </w:pPr>
    </w:p>
    <w:p w14:paraId="76E719A1">
      <w:pPr>
        <w:pStyle w:val="148"/>
        <w:jc w:val="center"/>
        <w:rPr>
          <w:rFonts w:hint="eastAsia" w:asciiTheme="minorEastAsia" w:hAnsiTheme="minorEastAsia" w:eastAsiaTheme="minorEastAsia" w:cstheme="minorEastAsia"/>
          <w:color w:val="auto"/>
          <w:highlight w:val="none"/>
        </w:rPr>
      </w:pPr>
    </w:p>
    <w:p w14:paraId="12E6D2AD">
      <w:pPr>
        <w:pStyle w:val="148"/>
        <w:jc w:val="center"/>
        <w:rPr>
          <w:rFonts w:hint="eastAsia" w:asciiTheme="minorEastAsia" w:hAnsiTheme="minorEastAsia" w:eastAsiaTheme="minorEastAsia" w:cstheme="minorEastAsia"/>
          <w:color w:val="auto"/>
          <w:highlight w:val="none"/>
        </w:rPr>
      </w:pPr>
    </w:p>
    <w:p w14:paraId="365C3617">
      <w:pPr>
        <w:pStyle w:val="148"/>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4338320</wp:posOffset>
                </wp:positionH>
                <wp:positionV relativeFrom="paragraph">
                  <wp:posOffset>243840</wp:posOffset>
                </wp:positionV>
                <wp:extent cx="2239010" cy="3549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239010" cy="354965"/>
                        </a:xfrm>
                        <a:prstGeom prst="rect">
                          <a:avLst/>
                        </a:prstGeom>
                        <a:noFill/>
                        <a:ln w="0">
                          <a:noFill/>
                        </a:ln>
                      </wps:spPr>
                      <wps:txbx>
                        <w:txbxContent>
                          <w:p w14:paraId="74C71B0D">
                            <w:pPr>
                              <w:rPr>
                                <w:b/>
                                <w:sz w:val="32"/>
                                <w:szCs w:val="32"/>
                              </w:rPr>
                            </w:pPr>
                            <w:r>
                              <w:rPr>
                                <w:rFonts w:hint="eastAsia"/>
                                <w:b/>
                                <w:sz w:val="32"/>
                                <w:szCs w:val="32"/>
                              </w:rPr>
                              <w:t>制定</w:t>
                            </w:r>
                          </w:p>
                        </w:txbxContent>
                      </wps:txbx>
                      <wps:bodyPr upright="1">
                        <a:spAutoFit/>
                      </wps:bodyPr>
                    </wps:wsp>
                  </a:graphicData>
                </a:graphic>
              </wp:anchor>
            </w:drawing>
          </mc:Choice>
          <mc:Fallback>
            <w:pict>
              <v:shape id="_x0000_s1026" o:spid="_x0000_s1026" o:spt="202" type="#_x0000_t202" style="position:absolute;left:0pt;margin-left:341.6pt;margin-top:19.2pt;height:27.95pt;width:176.3pt;z-index:251659264;mso-width-relative:page;mso-height-relative:page;" filled="f" stroked="f" coordsize="21600,21600" o:gfxdata="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CUujYAAAACgEAAA8AAAAAAAAAAQAgAAAAIgAAAGRycy9kb3ducmV2LnhtbFBL&#10;AQIUABQAAAAIAIdO4kDNaXgPvQEAAG4DAAAOAAAAAAAAAAEAIAAAACcBAABkcnMvZTJvRG9jLnht&#10;bFBLBQYAAAAABgAGAFkBAABWBQAAAAA=&#10;">
                <v:fill on="f" focussize="0,0"/>
                <v:stroke on="f" weight="0pt"/>
                <v:imagedata o:title=""/>
                <o:lock v:ext="edit" aspectratio="f"/>
                <v:textbox style="mso-fit-shape-to-text:t;">
                  <w:txbxContent>
                    <w:p w14:paraId="74C71B0D">
                      <w:pPr>
                        <w:rPr>
                          <w:b/>
                          <w:sz w:val="32"/>
                          <w:szCs w:val="32"/>
                        </w:rPr>
                      </w:pPr>
                      <w:r>
                        <w:rPr>
                          <w:rFonts w:hint="eastAsia"/>
                          <w:b/>
                          <w:sz w:val="32"/>
                          <w:szCs w:val="32"/>
                        </w:rPr>
                        <w:t>制定</w:t>
                      </w:r>
                    </w:p>
                  </w:txbxContent>
                </v:textbox>
              </v:shape>
            </w:pict>
          </mc:Fallback>
        </mc:AlternateContent>
      </w:r>
      <w:r>
        <w:rPr>
          <w:rFonts w:hint="eastAsia" w:asciiTheme="minorEastAsia" w:hAnsiTheme="minorEastAsia" w:eastAsiaTheme="minorEastAsia" w:cstheme="minorEastAsia"/>
          <w:color w:val="auto"/>
          <w:sz w:val="32"/>
          <w:szCs w:val="32"/>
          <w:highlight w:val="none"/>
        </w:rPr>
        <w:t xml:space="preserve">                  住 房 和 城 乡 建 设 部</w:t>
      </w:r>
    </w:p>
    <w:p w14:paraId="26137F76">
      <w:pPr>
        <w:pStyle w:val="148"/>
        <w:ind w:firstLine="2409" w:firstLineChars="75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国家工商行政管理总局</w:t>
      </w:r>
    </w:p>
    <w:p w14:paraId="120E1514">
      <w:pPr>
        <w:pStyle w:val="2"/>
        <w:adjustRightInd/>
        <w:snapToGrid/>
        <w:spacing w:before="0" w:after="0" w:line="360" w:lineRule="auto"/>
        <w:rPr>
          <w:rFonts w:hint="eastAsia" w:asciiTheme="minorEastAsia" w:hAnsiTheme="minorEastAsia" w:eastAsiaTheme="minorEastAsia" w:cstheme="minorEastAsia"/>
          <w:color w:val="auto"/>
          <w:sz w:val="36"/>
          <w:szCs w:val="52"/>
          <w:highlight w:val="none"/>
        </w:rPr>
      </w:pPr>
      <w:bookmarkStart w:id="13" w:name="_Toc419045055"/>
      <w:bookmarkStart w:id="14" w:name="_Toc495869242"/>
      <w:r>
        <w:rPr>
          <w:rFonts w:hint="eastAsia" w:asciiTheme="minorEastAsia" w:hAnsiTheme="minorEastAsia" w:eastAsiaTheme="minorEastAsia" w:cstheme="minorEastAsia"/>
          <w:color w:val="auto"/>
          <w:sz w:val="36"/>
          <w:szCs w:val="52"/>
          <w:highlight w:val="none"/>
        </w:rPr>
        <w:t>第一部分　协议书</w:t>
      </w:r>
      <w:bookmarkEnd w:id="13"/>
      <w:bookmarkEnd w:id="14"/>
    </w:p>
    <w:p w14:paraId="0130DE88">
      <w:pPr>
        <w:spacing w:line="440" w:lineRule="exact"/>
        <w:ind w:firstLine="422" w:firstLineChars="200"/>
        <w:rPr>
          <w:rFonts w:hint="eastAsia" w:asciiTheme="minorEastAsia" w:hAnsiTheme="minorEastAsia" w:eastAsiaTheme="minorEastAsia" w:cstheme="minorEastAsia"/>
          <w:color w:val="auto"/>
          <w:szCs w:val="21"/>
          <w:highlight w:val="none"/>
          <w:u w:val="single"/>
        </w:rPr>
      </w:pPr>
      <w:bookmarkStart w:id="15" w:name="7"/>
      <w:r>
        <w:rPr>
          <w:rFonts w:hint="eastAsia" w:asciiTheme="minorEastAsia" w:hAnsiTheme="minorEastAsia" w:eastAsiaTheme="minorEastAsia" w:cstheme="minorEastAsia"/>
          <w:b/>
          <w:bCs/>
          <w:color w:val="auto"/>
          <w:szCs w:val="21"/>
          <w:highlight w:val="none"/>
        </w:rPr>
        <w:t>委托人（全称）：</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宁海县科建开发投资有限公司      </w:t>
      </w:r>
    </w:p>
    <w:p w14:paraId="6D1D6209">
      <w:pPr>
        <w:pStyle w:val="145"/>
        <w:spacing w:line="440" w:lineRule="exact"/>
        <w:ind w:firstLine="422" w:firstLineChars="20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b/>
          <w:bCs/>
          <w:color w:val="auto"/>
          <w:highlight w:val="none"/>
        </w:rPr>
        <w:t>咨询人（全称）：</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14:paraId="605A4CFD">
      <w:pPr>
        <w:pStyle w:val="145"/>
        <w:spacing w:line="44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根据《</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"javascript:SLC(21651,0)" </w:instrText>
      </w:r>
      <w:r>
        <w:rPr>
          <w:rFonts w:hint="eastAsia" w:asciiTheme="minorEastAsia" w:hAnsiTheme="minorEastAsia" w:eastAsiaTheme="minorEastAsia" w:cstheme="minorEastAsia"/>
          <w:color w:val="auto"/>
          <w:highlight w:val="none"/>
        </w:rPr>
        <w:fldChar w:fldCharType="separate"/>
      </w:r>
      <w:r>
        <w:rPr>
          <w:rStyle w:val="149"/>
          <w:rFonts w:hint="eastAsia" w:asciiTheme="minorEastAsia" w:hAnsiTheme="minorEastAsia" w:eastAsiaTheme="minorEastAsia" w:cstheme="minorEastAsia"/>
          <w:color w:val="auto"/>
          <w:highlight w:val="none"/>
        </w:rPr>
        <w:t>中华人民共和国</w:t>
      </w:r>
      <w:r>
        <w:rPr>
          <w:rFonts w:hint="eastAsia" w:asciiTheme="minorEastAsia" w:hAnsiTheme="minorEastAsia" w:eastAsiaTheme="minorEastAsia" w:cstheme="minorEastAsia"/>
          <w:color w:val="auto"/>
          <w:highlight w:val="none"/>
        </w:rPr>
        <w:t>民</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t>法典》及其他有关法律、法规，遵循平等、自愿、公平和诚实信用的原则，双方就下述建设工程委托造价咨询与其他服务事项协商一致，订立本合同。</w:t>
      </w:r>
    </w:p>
    <w:p w14:paraId="4C1D6481">
      <w:pPr>
        <w:spacing w:line="440" w:lineRule="exact"/>
        <w:ind w:firstLine="422" w:firstLineChars="200"/>
        <w:rPr>
          <w:rStyle w:val="142"/>
          <w:rFonts w:hint="eastAsia" w:asciiTheme="minorEastAsia" w:hAnsiTheme="minorEastAsia" w:eastAsiaTheme="minorEastAsia" w:cstheme="minorEastAsia"/>
          <w:color w:val="auto"/>
          <w:sz w:val="21"/>
          <w:szCs w:val="21"/>
          <w:highlight w:val="none"/>
        </w:rPr>
      </w:pPr>
      <w:bookmarkStart w:id="16" w:name="_Toc495869243"/>
      <w:bookmarkStart w:id="17" w:name="_Toc419045056"/>
      <w:r>
        <w:rPr>
          <w:rStyle w:val="142"/>
          <w:rFonts w:hint="eastAsia" w:asciiTheme="minorEastAsia" w:hAnsiTheme="minorEastAsia" w:eastAsiaTheme="minorEastAsia" w:cstheme="minorEastAsia"/>
          <w:color w:val="auto"/>
          <w:sz w:val="21"/>
          <w:szCs w:val="21"/>
          <w:highlight w:val="none"/>
        </w:rPr>
        <w:t>一、工程概况</w:t>
      </w:r>
      <w:bookmarkEnd w:id="16"/>
    </w:p>
    <w:p w14:paraId="36765B38">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1.工程名称：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2399B50B">
      <w:pPr>
        <w:spacing w:line="44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2.工程地点：</w:t>
      </w:r>
      <w:bookmarkEnd w:id="17"/>
      <w:r>
        <w:rPr>
          <w:rFonts w:hint="eastAsia" w:asciiTheme="minorEastAsia" w:hAnsiTheme="minorEastAsia" w:eastAsiaTheme="minorEastAsia" w:cstheme="minorEastAsia"/>
          <w:color w:val="auto"/>
          <w:szCs w:val="21"/>
          <w:highlight w:val="none"/>
          <w:u w:val="single"/>
        </w:rPr>
        <w:t xml:space="preserve">                         </w:t>
      </w:r>
    </w:p>
    <w:p w14:paraId="08BA2C38">
      <w:pPr>
        <w:pStyle w:val="145"/>
        <w:spacing w:line="440" w:lineRule="exact"/>
        <w:ind w:firstLine="420" w:firstLineChars="200"/>
        <w:jc w:val="left"/>
        <w:rPr>
          <w:rFonts w:hint="eastAsia" w:asciiTheme="minorEastAsia" w:hAnsiTheme="minorEastAsia" w:eastAsiaTheme="minorEastAsia" w:cstheme="minorEastAsia"/>
          <w:bCs/>
          <w:color w:val="auto"/>
          <w:highlight w:val="none"/>
          <w:u w:val="single"/>
        </w:rPr>
      </w:pPr>
      <w:r>
        <w:rPr>
          <w:rFonts w:hint="eastAsia" w:asciiTheme="minorEastAsia" w:hAnsiTheme="minorEastAsia" w:eastAsiaTheme="minorEastAsia" w:cstheme="minorEastAsia"/>
          <w:color w:val="auto"/>
          <w:highlight w:val="none"/>
        </w:rPr>
        <w:t>3.工程规模：</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bCs/>
          <w:color w:val="auto"/>
          <w:highlight w:val="none"/>
          <w:u w:val="single"/>
        </w:rPr>
        <w:t xml:space="preserve"> </w:t>
      </w:r>
    </w:p>
    <w:p w14:paraId="14BE7C50">
      <w:pPr>
        <w:pStyle w:val="145"/>
        <w:spacing w:line="44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4.投资金额：</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4F98A620">
      <w:pPr>
        <w:pStyle w:val="145"/>
        <w:spacing w:line="44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5.建设工期或周期：</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bookmarkEnd w:id="15"/>
    <w:p w14:paraId="54AD3B88">
      <w:pPr>
        <w:pStyle w:val="17"/>
        <w:widowControl/>
        <w:spacing w:before="0" w:after="0" w:line="440" w:lineRule="exact"/>
        <w:ind w:firstLine="422" w:firstLineChars="200"/>
        <w:jc w:val="left"/>
        <w:outlineLvl w:val="9"/>
        <w:rPr>
          <w:rFonts w:hint="eastAsia" w:asciiTheme="minorEastAsia" w:hAnsiTheme="minorEastAsia" w:eastAsiaTheme="minorEastAsia" w:cstheme="minorEastAsia"/>
          <w:color w:val="auto"/>
          <w:sz w:val="21"/>
          <w:szCs w:val="21"/>
          <w:highlight w:val="none"/>
        </w:rPr>
      </w:pPr>
      <w:bookmarkStart w:id="18" w:name="_Toc419045059"/>
      <w:bookmarkStart w:id="19" w:name="_Toc495869244"/>
      <w:r>
        <w:rPr>
          <w:rFonts w:hint="eastAsia" w:asciiTheme="minorEastAsia" w:hAnsiTheme="minorEastAsia" w:eastAsiaTheme="minorEastAsia" w:cstheme="minorEastAsia"/>
          <w:color w:val="auto"/>
          <w:sz w:val="21"/>
          <w:szCs w:val="21"/>
          <w:highlight w:val="none"/>
        </w:rPr>
        <w:t>二、服务范围及工作内容</w:t>
      </w:r>
      <w:bookmarkEnd w:id="18"/>
      <w:bookmarkEnd w:id="19"/>
    </w:p>
    <w:p w14:paraId="39613FCC">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双方约定的服务范围及工作内容：</w:t>
      </w:r>
      <w:r>
        <w:rPr>
          <w:rFonts w:hint="eastAsia" w:asciiTheme="minorEastAsia" w:hAnsiTheme="minorEastAsia" w:eastAsiaTheme="minorEastAsia" w:cstheme="minorEastAsia"/>
          <w:color w:val="auto"/>
          <w:szCs w:val="21"/>
          <w:highlight w:val="none"/>
          <w:u w:val="single"/>
        </w:rPr>
        <w:t xml:space="preserve"> 承担本工程的施工阶段全过程工程造价控制（含跟踪审计</w:t>
      </w:r>
      <w:r>
        <w:rPr>
          <w:rFonts w:hint="eastAsia" w:asciiTheme="minorEastAsia" w:hAnsiTheme="minorEastAsia" w:eastAsiaTheme="minorEastAsia" w:cstheme="minorEastAsia"/>
          <w:color w:val="auto"/>
          <w:szCs w:val="21"/>
          <w:highlight w:val="none"/>
          <w:u w:val="single"/>
          <w:lang w:eastAsia="zh-CN"/>
        </w:rPr>
        <w:t>、不含工程量清单及招标控制价编制</w:t>
      </w:r>
      <w:r>
        <w:rPr>
          <w:rFonts w:hint="eastAsia" w:asciiTheme="minorEastAsia" w:hAnsiTheme="minorEastAsia" w:eastAsiaTheme="minorEastAsia" w:cstheme="minorEastAsia"/>
          <w:color w:val="auto"/>
          <w:szCs w:val="21"/>
          <w:highlight w:val="none"/>
          <w:u w:val="single"/>
        </w:rPr>
        <w:t>）、工程结算审核工作</w:t>
      </w:r>
      <w:r>
        <w:rPr>
          <w:rFonts w:hint="eastAsia" w:asciiTheme="minorEastAsia" w:hAnsiTheme="minorEastAsia" w:eastAsiaTheme="minorEastAsia" w:cstheme="minorEastAsia"/>
          <w:color w:val="auto"/>
          <w:szCs w:val="21"/>
          <w:highlight w:val="none"/>
        </w:rPr>
        <w:t>。</w:t>
      </w:r>
      <w:bookmarkStart w:id="20" w:name="_Toc419045060"/>
      <w:bookmarkStart w:id="21" w:name="9"/>
      <w:r>
        <w:rPr>
          <w:rFonts w:hint="eastAsia" w:asciiTheme="minorEastAsia" w:hAnsiTheme="minorEastAsia" w:eastAsiaTheme="minorEastAsia" w:cstheme="minorEastAsia"/>
          <w:color w:val="auto"/>
          <w:szCs w:val="21"/>
          <w:highlight w:val="none"/>
          <w:lang w:val="en-US" w:eastAsia="zh-CN"/>
        </w:rPr>
        <w:t>服务内容具体如下</w:t>
      </w:r>
      <w:r>
        <w:rPr>
          <w:rFonts w:hint="eastAsia" w:asciiTheme="minorEastAsia" w:hAnsiTheme="minorEastAsia" w:eastAsiaTheme="minorEastAsia" w:cstheme="minorEastAsia"/>
          <w:color w:val="auto"/>
          <w:szCs w:val="21"/>
          <w:highlight w:val="none"/>
        </w:rPr>
        <w:t>：</w:t>
      </w:r>
    </w:p>
    <w:p w14:paraId="05DAEB61">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1.施工阶段全过程工程造价控制（含跟踪审计</w:t>
      </w:r>
      <w:r>
        <w:rPr>
          <w:rFonts w:hint="eastAsia" w:asciiTheme="minorEastAsia" w:hAnsiTheme="minorEastAsia" w:eastAsiaTheme="minorEastAsia" w:cstheme="minorEastAsia"/>
          <w:color w:val="auto"/>
          <w:szCs w:val="21"/>
          <w:highlight w:val="none"/>
          <w:lang w:eastAsia="zh-CN"/>
        </w:rPr>
        <w:t>、不含工程量清单及招标控制价编制</w:t>
      </w:r>
      <w:r>
        <w:rPr>
          <w:rFonts w:hint="eastAsia" w:asciiTheme="minorEastAsia" w:hAnsiTheme="minorEastAsia" w:eastAsiaTheme="minorEastAsia" w:cstheme="minorEastAsia"/>
          <w:color w:val="auto"/>
          <w:szCs w:val="21"/>
          <w:highlight w:val="none"/>
        </w:rPr>
        <w:t>）服务内容（包括但不限于如下内容）：</w:t>
      </w:r>
    </w:p>
    <w:p w14:paraId="211DE286">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（1）跟踪审计服务内容：</w:t>
      </w:r>
    </w:p>
    <w:p w14:paraId="40A5DF73">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①评审招标人项目造价管理、设计变更管理情况，参与并督促招标人建立和完善各种内部管理制度。</w:t>
      </w:r>
    </w:p>
    <w:p w14:paraId="2B48AD0A">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②施工阶段全过程工程造价控制</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包括施工过程中设计变更和工程签证等过程跟踪计量及造价审核，对工程设计、施工方案的经济合理性提出优化建议，参与建设单位工程例会以及项目协调会，对建设单位需报审的暂定价、专项方案、二次设计方案等造价进行审核，负责对施工单位报送的每期完成进度款月报表进行审核</w:t>
      </w:r>
      <w:r>
        <w:rPr>
          <w:rFonts w:hint="eastAsia" w:asciiTheme="minorEastAsia" w:hAnsiTheme="minorEastAsia" w:eastAsiaTheme="minorEastAsia" w:cstheme="minorEastAsia"/>
          <w:color w:val="auto"/>
          <w:szCs w:val="21"/>
          <w:highlight w:val="none"/>
          <w:lang w:eastAsia="zh-CN"/>
        </w:rPr>
        <w:t>，协助招标人进行前期及零星工程预、结算审核，协助招标人对上报结算初审资料（含设备采购）进行复核把关及完成招标人交办的其他涉及造价咨询的相关工作，出具报告并配合招标人完成其他相关工作</w:t>
      </w:r>
      <w:r>
        <w:rPr>
          <w:rFonts w:hint="eastAsia" w:asciiTheme="minorEastAsia" w:hAnsiTheme="minorEastAsia" w:eastAsiaTheme="minorEastAsia" w:cstheme="minorEastAsia"/>
          <w:color w:val="auto"/>
          <w:szCs w:val="21"/>
          <w:highlight w:val="none"/>
        </w:rPr>
        <w:t>。</w:t>
      </w:r>
    </w:p>
    <w:p w14:paraId="1318554D">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③派驻专业人员进驻工地现场，对工程造价与投资进行动态控制与监督。</w:t>
      </w:r>
    </w:p>
    <w:p w14:paraId="05F994A4">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④为招标人提供与造价控制相关的人工、材料、设备等造价信息和基本建设法律、法规、政策、制度方面的咨询服务，协助招标人处理工程造价纠纷、合同纠纷。</w:t>
      </w:r>
    </w:p>
    <w:p w14:paraId="44B942A9">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⑤承包人提出索赔时，根据合同和有关法律、法规，提供咨询意见，审核索赔费用。</w:t>
      </w:r>
    </w:p>
    <w:p w14:paraId="07E33636">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⑥招标人认为涉及项目建设和造价控制的其他工作。</w:t>
      </w:r>
    </w:p>
    <w:p w14:paraId="4A4A181F">
      <w:pPr>
        <w:spacing w:line="440" w:lineRule="exact"/>
        <w:ind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2.结算审核工作服务内容（包括但不限于如下内容）</w:t>
      </w:r>
      <w:r>
        <w:rPr>
          <w:rFonts w:hint="eastAsia" w:asciiTheme="minorEastAsia" w:hAnsiTheme="minorEastAsia" w:eastAsiaTheme="minorEastAsia" w:cstheme="minorEastAsia"/>
          <w:color w:val="auto"/>
          <w:szCs w:val="21"/>
          <w:highlight w:val="none"/>
          <w:lang w:eastAsia="zh-CN"/>
        </w:rPr>
        <w:t>：</w:t>
      </w:r>
    </w:p>
    <w:p w14:paraId="5EB4E6AE">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（1）根据工程合同相应的建设工程法律、法规、标准规范与工程计价依据、招投标文件、施工图纸、现场发生的各项有效证明、施工单位提交的送审结算书审核工程造价。</w:t>
      </w:r>
    </w:p>
    <w:p w14:paraId="3D3EC1E4">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（2）现场踏勘、计量复核。</w:t>
      </w:r>
    </w:p>
    <w:p w14:paraId="74765B6B">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（3）工程量、工程价格及各类项目费用进行审核确定。</w:t>
      </w:r>
    </w:p>
    <w:p w14:paraId="06B25737">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（4）组织召开工程造价审核相关的会议。</w:t>
      </w:r>
    </w:p>
    <w:p w14:paraId="0E29D1BB">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（5）钢筋及预埋件重量计算：按施工图纸、设计标准、施工操作规程、工程量计算规则和经批准的施工组织设计，计算钢筋及预埋件重量；提供完整和规范的钢筋翻样及预埋件重量明细表、汇总表。</w:t>
      </w:r>
    </w:p>
    <w:p w14:paraId="7DA81414">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（6）编制工程结算审核报告。</w:t>
      </w:r>
    </w:p>
    <w:p w14:paraId="0467CAEA">
      <w:pPr>
        <w:pStyle w:val="17"/>
        <w:widowControl/>
        <w:spacing w:before="0" w:after="0" w:line="440" w:lineRule="exact"/>
        <w:ind w:firstLine="422" w:firstLineChars="200"/>
        <w:jc w:val="left"/>
        <w:outlineLvl w:val="9"/>
        <w:rPr>
          <w:rFonts w:hint="eastAsia" w:asciiTheme="minorEastAsia" w:hAnsiTheme="minorEastAsia" w:eastAsiaTheme="minorEastAsia" w:cstheme="minorEastAsia"/>
          <w:color w:val="auto"/>
          <w:sz w:val="21"/>
          <w:szCs w:val="21"/>
          <w:highlight w:val="none"/>
        </w:rPr>
      </w:pPr>
      <w:bookmarkStart w:id="22" w:name="_Toc495869245"/>
      <w:r>
        <w:rPr>
          <w:rFonts w:hint="eastAsia" w:asciiTheme="minorEastAsia" w:hAnsiTheme="minorEastAsia" w:eastAsiaTheme="minorEastAsia" w:cstheme="minorEastAsia"/>
          <w:color w:val="auto"/>
          <w:sz w:val="21"/>
          <w:szCs w:val="21"/>
          <w:highlight w:val="none"/>
        </w:rPr>
        <w:t>三、服务期限</w:t>
      </w:r>
      <w:bookmarkEnd w:id="20"/>
      <w:bookmarkEnd w:id="22"/>
    </w:p>
    <w:bookmarkEnd w:id="21"/>
    <w:p w14:paraId="7CE1DBA4">
      <w:pPr>
        <w:pStyle w:val="145"/>
        <w:spacing w:line="440" w:lineRule="exact"/>
        <w:ind w:firstLine="420" w:firstLineChars="200"/>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本合同约定的建设工程造价咨询服务自</w:t>
      </w:r>
      <w:r>
        <w:rPr>
          <w:rFonts w:hint="eastAsia" w:asciiTheme="minorEastAsia" w:hAnsiTheme="minorEastAsia" w:eastAsiaTheme="minorEastAsia" w:cstheme="minorEastAsia"/>
          <w:color w:val="auto"/>
          <w:highlight w:val="none"/>
          <w:lang w:val="en-US" w:eastAsia="zh-CN"/>
        </w:rPr>
        <w:t>合同签订开始实施，至项目竣工结算完成（若有二审或政府审计的，至二审或政府审计完成）。结算审核工作在60天内完成初稿，120天内完成结算审核工作并提交正式报告。</w:t>
      </w:r>
    </w:p>
    <w:p w14:paraId="6F7ECA5C">
      <w:pPr>
        <w:pStyle w:val="17"/>
        <w:widowControl/>
        <w:spacing w:before="0" w:after="0" w:line="440" w:lineRule="exact"/>
        <w:ind w:firstLine="422" w:firstLineChars="200"/>
        <w:jc w:val="both"/>
        <w:outlineLvl w:val="9"/>
        <w:rPr>
          <w:rFonts w:hint="eastAsia" w:asciiTheme="minorEastAsia" w:hAnsiTheme="minorEastAsia" w:eastAsiaTheme="minorEastAsia" w:cstheme="minorEastAsia"/>
          <w:color w:val="auto"/>
          <w:sz w:val="21"/>
          <w:szCs w:val="21"/>
          <w:highlight w:val="none"/>
        </w:rPr>
      </w:pPr>
      <w:bookmarkStart w:id="23" w:name="_Toc419045061"/>
      <w:bookmarkStart w:id="24" w:name="_Toc495869246"/>
      <w:r>
        <w:rPr>
          <w:rFonts w:hint="eastAsia" w:asciiTheme="minorEastAsia" w:hAnsiTheme="minorEastAsia" w:eastAsiaTheme="minorEastAsia" w:cstheme="minorEastAsia"/>
          <w:color w:val="auto"/>
          <w:sz w:val="21"/>
          <w:szCs w:val="21"/>
          <w:highlight w:val="none"/>
        </w:rPr>
        <w:t>四、质量标准</w:t>
      </w:r>
      <w:bookmarkEnd w:id="23"/>
      <w:bookmarkEnd w:id="24"/>
    </w:p>
    <w:p w14:paraId="2FDB428A">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工程造价咨询成果文件应符合：</w:t>
      </w:r>
    </w:p>
    <w:p w14:paraId="2596B1A1">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建设工程造价咨询成果文件质量标准CECA/GC 7-2012</w:t>
      </w:r>
      <w:r>
        <w:rPr>
          <w:rFonts w:hint="eastAsia" w:asciiTheme="minorEastAsia" w:hAnsiTheme="minorEastAsia" w:eastAsiaTheme="minorEastAsia" w:cstheme="minorEastAsia"/>
          <w:color w:val="auto"/>
          <w:szCs w:val="21"/>
          <w:highlight w:val="none"/>
          <w:u w:val="single"/>
          <w:lang w:val="en-US" w:eastAsia="zh-CN"/>
        </w:rPr>
        <w:t>及省、市、县对工程造价咨询成果文件等有关工程造价资料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506C606B">
      <w:pPr>
        <w:pStyle w:val="17"/>
        <w:widowControl/>
        <w:spacing w:before="0" w:after="0" w:line="440" w:lineRule="exact"/>
        <w:ind w:firstLine="422" w:firstLineChars="200"/>
        <w:jc w:val="left"/>
        <w:outlineLvl w:val="9"/>
        <w:rPr>
          <w:rFonts w:hint="eastAsia" w:asciiTheme="minorEastAsia" w:hAnsiTheme="minorEastAsia" w:eastAsiaTheme="minorEastAsia" w:cstheme="minorEastAsia"/>
          <w:color w:val="auto"/>
          <w:sz w:val="21"/>
          <w:szCs w:val="21"/>
          <w:highlight w:val="none"/>
        </w:rPr>
      </w:pPr>
      <w:bookmarkStart w:id="25" w:name="_Toc495869247"/>
      <w:bookmarkStart w:id="26" w:name="_Toc419045062"/>
      <w:bookmarkStart w:id="27" w:name="12"/>
      <w:r>
        <w:rPr>
          <w:rFonts w:hint="eastAsia" w:asciiTheme="minorEastAsia" w:hAnsiTheme="minorEastAsia" w:eastAsiaTheme="minorEastAsia" w:cstheme="minorEastAsia"/>
          <w:color w:val="auto"/>
          <w:sz w:val="21"/>
          <w:szCs w:val="21"/>
          <w:highlight w:val="none"/>
        </w:rPr>
        <w:t>五、酬金或计取方式</w:t>
      </w:r>
    </w:p>
    <w:p w14:paraId="52942BF7">
      <w:pPr>
        <w:spacing w:line="432"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1.酬金：暂定人民币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，此价格为含税价。</w:t>
      </w:r>
    </w:p>
    <w:p w14:paraId="2B035B66">
      <w:pPr>
        <w:spacing w:line="432"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中标下浮率为：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 xml:space="preserve"> %。</w:t>
      </w:r>
    </w:p>
    <w:p w14:paraId="2D306E3C">
      <w:pPr>
        <w:numPr>
          <w:ilvl w:val="0"/>
          <w:numId w:val="0"/>
        </w:numPr>
        <w:tabs>
          <w:tab w:val="left" w:pos="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lang w:val="en-US" w:eastAsia="zh-CN"/>
        </w:rPr>
        <w:t>3.计取方</w:t>
      </w:r>
      <w:r>
        <w:rPr>
          <w:rFonts w:hint="eastAsia" w:asciiTheme="minorEastAsia" w:hAnsiTheme="minorEastAsia" w:eastAsiaTheme="minorEastAsia" w:cstheme="minorEastAsia"/>
          <w:color w:val="auto"/>
          <w:highlight w:val="none"/>
        </w:rPr>
        <w:t>式：</w:t>
      </w:r>
      <w:bookmarkEnd w:id="25"/>
      <w:bookmarkEnd w:id="26"/>
      <w:r>
        <w:rPr>
          <w:rFonts w:hint="eastAsia" w:asciiTheme="minorEastAsia" w:hAnsiTheme="minorEastAsia" w:eastAsiaTheme="minorEastAsia" w:cstheme="minorEastAsia"/>
          <w:color w:val="auto"/>
          <w:highlight w:val="none"/>
        </w:rPr>
        <w:t>施工阶段全过程工程造价控制（含跟踪审计</w:t>
      </w:r>
      <w:r>
        <w:rPr>
          <w:rFonts w:hint="eastAsia" w:asciiTheme="minorEastAsia" w:hAnsiTheme="minorEastAsia" w:eastAsiaTheme="minorEastAsia" w:cstheme="minorEastAsia"/>
          <w:color w:val="auto"/>
          <w:highlight w:val="none"/>
          <w:lang w:eastAsia="zh-CN"/>
        </w:rPr>
        <w:t>、不含工程量清单及招标控制价编制</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费：最终按宁海县政府投资项目评审中心审定的结算工程费用为计算基数，按照《浙江省物价局关于进一步完善工程造价咨询服务收费的通知》（浙价服〔2009〕84 号）</w:t>
      </w:r>
      <w:r>
        <w:rPr>
          <w:rFonts w:hint="eastAsia" w:asciiTheme="minorEastAsia" w:hAnsiTheme="minorEastAsia" w:eastAsiaTheme="minorEastAsia" w:cstheme="minorEastAsia"/>
          <w:color w:val="auto"/>
          <w:szCs w:val="21"/>
          <w:highlight w:val="none"/>
          <w:lang w:val="en-US" w:eastAsia="zh-CN"/>
        </w:rPr>
        <w:t>文件规定的</w:t>
      </w:r>
      <w:r>
        <w:rPr>
          <w:rFonts w:hint="eastAsia" w:asciiTheme="minorEastAsia" w:hAnsiTheme="minorEastAsia" w:eastAsiaTheme="minorEastAsia" w:cstheme="minorEastAsia"/>
          <w:color w:val="auto"/>
          <w:highlight w:val="none"/>
          <w:lang w:val="en-US" w:eastAsia="zh-CN"/>
        </w:rPr>
        <w:t>收费标准</w:t>
      </w: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val="en-US" w:eastAsia="zh-CN"/>
        </w:rPr>
        <w:t>45%-</w:t>
      </w:r>
      <w:r>
        <w:rPr>
          <w:rFonts w:hint="eastAsia" w:asciiTheme="minorEastAsia" w:hAnsiTheme="minorEastAsia" w:eastAsiaTheme="minorEastAsia" w:cstheme="minorEastAsia"/>
          <w:color w:val="auto"/>
          <w:highlight w:val="none"/>
        </w:rPr>
        <w:t>中标下浮率）。</w:t>
      </w:r>
    </w:p>
    <w:p w14:paraId="4C2F1DEF">
      <w:pPr>
        <w:numPr>
          <w:ilvl w:val="0"/>
          <w:numId w:val="0"/>
        </w:numPr>
        <w:tabs>
          <w:tab w:val="left" w:pos="0"/>
        </w:tabs>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 结算审核费：最终按宁海县政府投资项目评审中心审定的结算工程费用为计算基数，按照《浙江省物价局关于进一步完善工程造价咨询服务收费的通知》（浙价服〔2009〕84 号）</w:t>
      </w:r>
      <w:r>
        <w:rPr>
          <w:rFonts w:hint="eastAsia" w:asciiTheme="minorEastAsia" w:hAnsiTheme="minorEastAsia" w:eastAsiaTheme="minorEastAsia" w:cstheme="minorEastAsia"/>
          <w:color w:val="auto"/>
          <w:szCs w:val="21"/>
          <w:highlight w:val="none"/>
          <w:lang w:val="en-US" w:eastAsia="zh-CN"/>
        </w:rPr>
        <w:t>文件规定的</w:t>
      </w:r>
      <w:r>
        <w:rPr>
          <w:rFonts w:hint="eastAsia" w:asciiTheme="minorEastAsia" w:hAnsiTheme="minorEastAsia" w:eastAsiaTheme="minorEastAsia" w:cstheme="minorEastAsia"/>
          <w:color w:val="auto"/>
          <w:highlight w:val="none"/>
          <w:lang w:val="en-US" w:eastAsia="zh-CN"/>
        </w:rPr>
        <w:t>收费标准</w:t>
      </w: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val="en-US" w:eastAsia="zh-CN"/>
        </w:rPr>
        <w:t>45%-</w:t>
      </w:r>
      <w:r>
        <w:rPr>
          <w:rFonts w:hint="eastAsia" w:asciiTheme="minorEastAsia" w:hAnsiTheme="minorEastAsia" w:eastAsiaTheme="minorEastAsia" w:cstheme="minorEastAsia"/>
          <w:color w:val="auto"/>
          <w:highlight w:val="none"/>
        </w:rPr>
        <w:t>中标下浮率）。</w:t>
      </w:r>
    </w:p>
    <w:p w14:paraId="36BF9F4D">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lang w:val="en-US" w:eastAsia="zh-CN"/>
        </w:rPr>
        <w:t>注：</w:t>
      </w:r>
      <w:r>
        <w:rPr>
          <w:rFonts w:hint="eastAsia" w:asciiTheme="minorEastAsia" w:hAnsiTheme="minorEastAsia" w:eastAsiaTheme="minorEastAsia" w:cstheme="minorEastAsia"/>
          <w:color w:val="auto"/>
          <w:highlight w:val="none"/>
        </w:rPr>
        <w:t>工程竣工结算审计核减（增）追加费，按核减（增）额超过送审造价5%的幅度以外的核减（增）额为基数计算，</w:t>
      </w:r>
      <w:r>
        <w:rPr>
          <w:rFonts w:hint="eastAsia" w:asciiTheme="minorEastAsia" w:hAnsiTheme="minorEastAsia" w:eastAsiaTheme="minorEastAsia" w:cstheme="minorEastAsia"/>
          <w:color w:val="auto"/>
          <w:highlight w:val="none"/>
          <w:lang w:val="en-US" w:eastAsia="zh-CN"/>
        </w:rPr>
        <w:t>按浙价服〔2009〕84 号的“工程结算审核追加费用”标准向施工单位收取，在结算报告出具前一次性付清。若施工单位不支付，咨询人可委托委托人在工程款项支付中予以代扣。</w:t>
      </w:r>
    </w:p>
    <w:p w14:paraId="33647DC4">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合同履约期间，本项目的中标下浮率保持固定不变；如</w:t>
      </w:r>
      <w:r>
        <w:rPr>
          <w:rStyle w:val="106"/>
          <w:rFonts w:hint="eastAsia" w:asciiTheme="minorEastAsia" w:hAnsiTheme="minorEastAsia" w:eastAsiaTheme="minorEastAsia" w:cstheme="minorEastAsia"/>
          <w:color w:val="auto"/>
          <w:szCs w:val="21"/>
          <w:highlight w:val="none"/>
        </w:rPr>
        <w:t>工程的</w:t>
      </w:r>
      <w:r>
        <w:rPr>
          <w:rFonts w:hint="eastAsia" w:asciiTheme="minorEastAsia" w:hAnsiTheme="minorEastAsia" w:eastAsiaTheme="minorEastAsia" w:cstheme="minorEastAsia"/>
          <w:color w:val="auto"/>
          <w:szCs w:val="21"/>
          <w:highlight w:val="none"/>
        </w:rPr>
        <w:t>工期发生延误的，其他费用一律不予补偿。</w:t>
      </w:r>
    </w:p>
    <w:p w14:paraId="200E9510">
      <w:pPr>
        <w:pStyle w:val="145"/>
        <w:adjustRightInd w:val="0"/>
        <w:snapToGrid w:val="0"/>
        <w:spacing w:line="440" w:lineRule="exact"/>
        <w:ind w:firstLine="422" w:firstLineChars="200"/>
        <w:jc w:val="left"/>
        <w:rPr>
          <w:rStyle w:val="142"/>
          <w:rFonts w:hint="eastAsia" w:asciiTheme="minorEastAsia" w:hAnsiTheme="minorEastAsia" w:eastAsiaTheme="minorEastAsia" w:cstheme="minorEastAsia"/>
          <w:color w:val="auto"/>
          <w:sz w:val="21"/>
          <w:szCs w:val="21"/>
          <w:highlight w:val="none"/>
        </w:rPr>
      </w:pPr>
      <w:bookmarkStart w:id="28" w:name="_Toc495869248"/>
      <w:bookmarkStart w:id="29" w:name="_Toc419045058"/>
      <w:bookmarkStart w:id="30" w:name="_Toc20049"/>
      <w:r>
        <w:rPr>
          <w:rStyle w:val="142"/>
          <w:rFonts w:hint="eastAsia" w:asciiTheme="minorEastAsia" w:hAnsiTheme="minorEastAsia" w:eastAsiaTheme="minorEastAsia" w:cstheme="minorEastAsia"/>
          <w:color w:val="auto"/>
          <w:sz w:val="21"/>
          <w:szCs w:val="21"/>
          <w:highlight w:val="none"/>
        </w:rPr>
        <w:t>六、合同文件的构成</w:t>
      </w:r>
      <w:bookmarkEnd w:id="28"/>
      <w:bookmarkEnd w:id="29"/>
      <w:bookmarkEnd w:id="30"/>
    </w:p>
    <w:p w14:paraId="5E0CFB15">
      <w:pPr>
        <w:pStyle w:val="145"/>
        <w:adjustRightInd w:val="0"/>
        <w:snapToGrid w:val="0"/>
        <w:spacing w:line="44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本协议书与下列文件一起构成合同文件：</w:t>
      </w:r>
    </w:p>
    <w:p w14:paraId="03ABC961">
      <w:pPr>
        <w:pStyle w:val="145"/>
        <w:adjustRightInd w:val="0"/>
        <w:snapToGrid w:val="0"/>
        <w:spacing w:line="44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1、中标通知书或委托书（如果有）；</w:t>
      </w:r>
    </w:p>
    <w:p w14:paraId="3109A832">
      <w:pPr>
        <w:pStyle w:val="145"/>
        <w:adjustRightInd w:val="0"/>
        <w:snapToGrid w:val="0"/>
        <w:spacing w:line="44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投标函及投标函附录或造价咨询服务建议书（如果有）；</w:t>
      </w:r>
    </w:p>
    <w:p w14:paraId="75E7EDD8">
      <w:pPr>
        <w:pStyle w:val="145"/>
        <w:adjustRightInd w:val="0"/>
        <w:snapToGrid w:val="0"/>
        <w:spacing w:line="44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、本合同协议书；</w:t>
      </w:r>
    </w:p>
    <w:p w14:paraId="5B4AFDB8">
      <w:pPr>
        <w:pStyle w:val="145"/>
        <w:adjustRightInd w:val="0"/>
        <w:snapToGrid w:val="0"/>
        <w:spacing w:line="44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、本合同专用条款；</w:t>
      </w:r>
    </w:p>
    <w:p w14:paraId="48A0CF58">
      <w:pPr>
        <w:pStyle w:val="145"/>
        <w:adjustRightInd w:val="0"/>
        <w:snapToGrid w:val="0"/>
        <w:spacing w:line="440" w:lineRule="exact"/>
        <w:ind w:firstLine="420" w:firstLineChars="200"/>
        <w:jc w:val="lef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、本合同通用条款</w:t>
      </w:r>
      <w:r>
        <w:rPr>
          <w:rFonts w:hint="eastAsia" w:asciiTheme="minorEastAsia" w:hAnsiTheme="minorEastAsia" w:eastAsiaTheme="minorEastAsia" w:cstheme="minorEastAsia"/>
          <w:color w:val="auto"/>
          <w:highlight w:val="none"/>
          <w:lang w:eastAsia="zh-CN"/>
        </w:rPr>
        <w:t>；</w:t>
      </w:r>
    </w:p>
    <w:p w14:paraId="464AF1AE">
      <w:pPr>
        <w:pStyle w:val="145"/>
        <w:adjustRightInd w:val="0"/>
        <w:snapToGrid w:val="0"/>
        <w:spacing w:line="44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本合同履行过程中双方以书面形式签署的补充和修正文件。</w:t>
      </w:r>
    </w:p>
    <w:p w14:paraId="1F592EDF">
      <w:pPr>
        <w:pStyle w:val="145"/>
        <w:adjustRightInd w:val="0"/>
        <w:snapToGrid w:val="0"/>
        <w:spacing w:line="44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上述各项合同文件包括合同当事人就该项合同文件所作出的补充和修改，属于同一类内容的文件，应以最新签署的为准。</w:t>
      </w:r>
    </w:p>
    <w:p w14:paraId="59302D80">
      <w:pPr>
        <w:pStyle w:val="145"/>
        <w:jc w:val="left"/>
        <w:rPr>
          <w:rFonts w:hint="eastAsia" w:asciiTheme="minorEastAsia" w:hAnsiTheme="minorEastAsia" w:eastAsiaTheme="minorEastAsia" w:cstheme="minorEastAsia"/>
          <w:bCs/>
          <w:smallCaps/>
          <w:color w:val="auto"/>
          <w:szCs w:val="21"/>
          <w:highlight w:val="none"/>
        </w:rPr>
      </w:pPr>
      <w:r>
        <w:rPr>
          <w:rFonts w:hint="eastAsia" w:asciiTheme="minorEastAsia" w:hAnsiTheme="minorEastAsia" w:eastAsiaTheme="minorEastAsia" w:cstheme="minorEastAsia"/>
          <w:color w:val="auto"/>
          <w:highlight w:val="none"/>
        </w:rPr>
        <w:t>在合同订立及履行过程中形成的与合同有关的文件（包括补充协议）均构</w:t>
      </w:r>
      <w:r>
        <w:rPr>
          <w:rFonts w:hint="eastAsia" w:asciiTheme="minorEastAsia" w:hAnsiTheme="minorEastAsia" w:eastAsiaTheme="minorEastAsia" w:cstheme="minorEastAsia"/>
          <w:color w:val="auto"/>
          <w:szCs w:val="21"/>
          <w:highlight w:val="none"/>
        </w:rPr>
        <w:t>成合同文件的组成部分。</w:t>
      </w:r>
    </w:p>
    <w:p w14:paraId="04677033">
      <w:pPr>
        <w:pStyle w:val="17"/>
        <w:widowControl/>
        <w:adjustRightInd w:val="0"/>
        <w:snapToGrid w:val="0"/>
        <w:spacing w:before="0" w:after="0" w:line="440" w:lineRule="exact"/>
        <w:ind w:firstLine="422" w:firstLineChars="200"/>
        <w:jc w:val="left"/>
        <w:outlineLvl w:val="9"/>
        <w:rPr>
          <w:rStyle w:val="142"/>
          <w:rFonts w:hint="eastAsia" w:asciiTheme="minorEastAsia" w:hAnsiTheme="minorEastAsia" w:eastAsiaTheme="minorEastAsia" w:cstheme="minorEastAsia"/>
          <w:b/>
          <w:bCs w:val="0"/>
          <w:color w:val="auto"/>
          <w:sz w:val="21"/>
          <w:szCs w:val="21"/>
          <w:highlight w:val="none"/>
        </w:rPr>
      </w:pPr>
      <w:bookmarkStart w:id="31" w:name="_Toc419045057"/>
      <w:bookmarkStart w:id="32" w:name="_Toc495869249"/>
      <w:bookmarkStart w:id="33" w:name="_Toc18616"/>
      <w:r>
        <w:rPr>
          <w:rStyle w:val="142"/>
          <w:rFonts w:hint="eastAsia" w:asciiTheme="minorEastAsia" w:hAnsiTheme="minorEastAsia" w:eastAsiaTheme="minorEastAsia" w:cstheme="minorEastAsia"/>
          <w:b/>
          <w:bCs w:val="0"/>
          <w:color w:val="auto"/>
          <w:sz w:val="21"/>
          <w:szCs w:val="21"/>
          <w:highlight w:val="none"/>
        </w:rPr>
        <w:t>七、</w:t>
      </w:r>
      <w:bookmarkStart w:id="34" w:name="8"/>
      <w:r>
        <w:rPr>
          <w:rStyle w:val="142"/>
          <w:rFonts w:hint="eastAsia" w:asciiTheme="minorEastAsia" w:hAnsiTheme="minorEastAsia" w:eastAsiaTheme="minorEastAsia" w:cstheme="minorEastAsia"/>
          <w:b/>
          <w:bCs w:val="0"/>
          <w:color w:val="auto"/>
          <w:sz w:val="21"/>
          <w:szCs w:val="21"/>
          <w:highlight w:val="none"/>
        </w:rPr>
        <w:t>词语</w:t>
      </w:r>
      <w:bookmarkEnd w:id="31"/>
      <w:r>
        <w:rPr>
          <w:rStyle w:val="142"/>
          <w:rFonts w:hint="eastAsia" w:asciiTheme="minorEastAsia" w:hAnsiTheme="minorEastAsia" w:eastAsiaTheme="minorEastAsia" w:cstheme="minorEastAsia"/>
          <w:b/>
          <w:bCs w:val="0"/>
          <w:color w:val="auto"/>
          <w:sz w:val="21"/>
          <w:szCs w:val="21"/>
          <w:highlight w:val="none"/>
        </w:rPr>
        <w:t>定义</w:t>
      </w:r>
      <w:bookmarkEnd w:id="32"/>
      <w:bookmarkEnd w:id="33"/>
    </w:p>
    <w:p w14:paraId="7CF45773">
      <w:pPr>
        <w:adjustRightInd w:val="0"/>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协议书中相关词语的含义与通用条件中的定义与解释相同。</w:t>
      </w:r>
      <w:bookmarkEnd w:id="34"/>
    </w:p>
    <w:p w14:paraId="525B1536">
      <w:pPr>
        <w:pStyle w:val="17"/>
        <w:widowControl/>
        <w:adjustRightInd w:val="0"/>
        <w:snapToGrid w:val="0"/>
        <w:spacing w:before="0" w:after="0" w:line="440" w:lineRule="exact"/>
        <w:ind w:firstLine="422" w:firstLineChars="200"/>
        <w:jc w:val="left"/>
        <w:outlineLvl w:val="9"/>
        <w:rPr>
          <w:rFonts w:hint="eastAsia" w:asciiTheme="minorEastAsia" w:hAnsiTheme="minorEastAsia" w:eastAsiaTheme="minorEastAsia" w:cstheme="minorEastAsia"/>
          <w:color w:val="auto"/>
          <w:sz w:val="21"/>
          <w:szCs w:val="21"/>
          <w:highlight w:val="none"/>
        </w:rPr>
      </w:pPr>
      <w:bookmarkStart w:id="35" w:name="_Toc495869250"/>
      <w:bookmarkStart w:id="36" w:name="_Toc19563"/>
      <w:bookmarkStart w:id="37" w:name="_Toc419045063"/>
      <w:r>
        <w:rPr>
          <w:rFonts w:hint="eastAsia" w:asciiTheme="minorEastAsia" w:hAnsiTheme="minorEastAsia" w:eastAsiaTheme="minorEastAsia" w:cstheme="minorEastAsia"/>
          <w:color w:val="auto"/>
          <w:sz w:val="21"/>
          <w:szCs w:val="21"/>
          <w:highlight w:val="none"/>
        </w:rPr>
        <w:t>八、合同订立</w:t>
      </w:r>
      <w:bookmarkEnd w:id="35"/>
      <w:bookmarkEnd w:id="36"/>
      <w:bookmarkEnd w:id="37"/>
    </w:p>
    <w:p w14:paraId="0A9F3971">
      <w:pPr>
        <w:pStyle w:val="145"/>
        <w:adjustRightInd w:val="0"/>
        <w:snapToGrid w:val="0"/>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1.订立时间：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w:t>
      </w:r>
    </w:p>
    <w:p w14:paraId="066DDA92">
      <w:pPr>
        <w:pStyle w:val="145"/>
        <w:adjustRightInd w:val="0"/>
        <w:snapToGrid w:val="0"/>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2.订立地点：</w:t>
      </w:r>
      <w:r>
        <w:rPr>
          <w:rFonts w:hint="eastAsia" w:asciiTheme="minorEastAsia" w:hAnsiTheme="minorEastAsia" w:eastAsiaTheme="minorEastAsia" w:cstheme="minorEastAsia"/>
          <w:color w:val="auto"/>
          <w:highlight w:val="none"/>
          <w:u w:val="single"/>
        </w:rPr>
        <w:t xml:space="preserve">浙江宁海 </w:t>
      </w:r>
      <w:r>
        <w:rPr>
          <w:rFonts w:hint="eastAsia" w:asciiTheme="minorEastAsia" w:hAnsiTheme="minorEastAsia" w:eastAsiaTheme="minorEastAsia" w:cstheme="minorEastAsia"/>
          <w:color w:val="auto"/>
          <w:highlight w:val="none"/>
        </w:rPr>
        <w:t>。</w:t>
      </w:r>
    </w:p>
    <w:p w14:paraId="77222E67">
      <w:pPr>
        <w:pStyle w:val="17"/>
        <w:widowControl/>
        <w:adjustRightInd w:val="0"/>
        <w:snapToGrid w:val="0"/>
        <w:spacing w:before="0" w:after="0" w:line="440" w:lineRule="exact"/>
        <w:ind w:firstLine="422" w:firstLineChars="200"/>
        <w:jc w:val="left"/>
        <w:outlineLvl w:val="9"/>
        <w:rPr>
          <w:rFonts w:hint="eastAsia" w:asciiTheme="minorEastAsia" w:hAnsiTheme="minorEastAsia" w:eastAsiaTheme="minorEastAsia" w:cstheme="minorEastAsia"/>
          <w:color w:val="auto"/>
          <w:sz w:val="21"/>
          <w:szCs w:val="21"/>
          <w:highlight w:val="none"/>
        </w:rPr>
      </w:pPr>
      <w:bookmarkStart w:id="38" w:name="_Toc495869251"/>
      <w:bookmarkStart w:id="39" w:name="_Toc2188"/>
      <w:bookmarkStart w:id="40" w:name="_Toc419045064"/>
      <w:r>
        <w:rPr>
          <w:rFonts w:hint="eastAsia" w:asciiTheme="minorEastAsia" w:hAnsiTheme="minorEastAsia" w:eastAsiaTheme="minorEastAsia" w:cstheme="minorEastAsia"/>
          <w:color w:val="auto"/>
          <w:sz w:val="21"/>
          <w:szCs w:val="21"/>
          <w:highlight w:val="none"/>
        </w:rPr>
        <w:t>九、合同生效</w:t>
      </w:r>
      <w:bookmarkEnd w:id="38"/>
      <w:bookmarkEnd w:id="39"/>
      <w:bookmarkEnd w:id="40"/>
    </w:p>
    <w:p w14:paraId="194B41D2">
      <w:pPr>
        <w:pStyle w:val="145"/>
        <w:adjustRightInd w:val="0"/>
        <w:snapToGrid w:val="0"/>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本合同自</w:t>
      </w:r>
      <w:r>
        <w:rPr>
          <w:rFonts w:hint="eastAsia" w:asciiTheme="minorEastAsia" w:hAnsiTheme="minorEastAsia" w:eastAsiaTheme="minorEastAsia" w:cstheme="minorEastAsia"/>
          <w:color w:val="auto"/>
          <w:highlight w:val="none"/>
          <w:u w:val="single"/>
        </w:rPr>
        <w:t>合同签订之日起</w:t>
      </w:r>
      <w:r>
        <w:rPr>
          <w:rFonts w:hint="eastAsia" w:asciiTheme="minorEastAsia" w:hAnsiTheme="minorEastAsia" w:eastAsiaTheme="minorEastAsia" w:cstheme="minorEastAsia"/>
          <w:color w:val="auto"/>
          <w:highlight w:val="none"/>
        </w:rPr>
        <w:t>生效。</w:t>
      </w:r>
    </w:p>
    <w:p w14:paraId="5B0C30D5">
      <w:pPr>
        <w:pStyle w:val="17"/>
        <w:widowControl/>
        <w:adjustRightInd w:val="0"/>
        <w:snapToGrid w:val="0"/>
        <w:spacing w:before="0" w:after="0" w:line="440" w:lineRule="exact"/>
        <w:ind w:firstLine="422" w:firstLineChars="200"/>
        <w:jc w:val="left"/>
        <w:outlineLvl w:val="9"/>
        <w:rPr>
          <w:rFonts w:hint="eastAsia" w:asciiTheme="minorEastAsia" w:hAnsiTheme="minorEastAsia" w:eastAsiaTheme="minorEastAsia" w:cstheme="minorEastAsia"/>
          <w:color w:val="auto"/>
          <w:sz w:val="21"/>
          <w:szCs w:val="21"/>
          <w:highlight w:val="none"/>
        </w:rPr>
      </w:pPr>
      <w:bookmarkStart w:id="41" w:name="_Toc419045065"/>
      <w:bookmarkStart w:id="42" w:name="_Toc495869252"/>
      <w:bookmarkStart w:id="43" w:name="_Toc24234"/>
      <w:r>
        <w:rPr>
          <w:rFonts w:hint="eastAsia" w:asciiTheme="minorEastAsia" w:hAnsiTheme="minorEastAsia" w:eastAsiaTheme="minorEastAsia" w:cstheme="minorEastAsia"/>
          <w:color w:val="auto"/>
          <w:sz w:val="21"/>
          <w:szCs w:val="21"/>
          <w:highlight w:val="none"/>
        </w:rPr>
        <w:t>十、合同份数</w:t>
      </w:r>
      <w:bookmarkEnd w:id="41"/>
      <w:bookmarkEnd w:id="42"/>
      <w:bookmarkEnd w:id="43"/>
    </w:p>
    <w:p w14:paraId="2FF5FFDA">
      <w:pPr>
        <w:pStyle w:val="145"/>
        <w:adjustRightInd w:val="0"/>
        <w:snapToGrid w:val="0"/>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本合同一式</w:t>
      </w:r>
      <w:r>
        <w:rPr>
          <w:rFonts w:hint="eastAsia" w:asciiTheme="minorEastAsia" w:hAnsiTheme="minorEastAsia" w:eastAsiaTheme="minorEastAsia" w:cstheme="minorEastAsia"/>
          <w:color w:val="auto"/>
          <w:highlight w:val="none"/>
          <w:u w:val="single"/>
        </w:rPr>
        <w:t>肆</w:t>
      </w:r>
      <w:r>
        <w:rPr>
          <w:rFonts w:hint="eastAsia" w:asciiTheme="minorEastAsia" w:hAnsiTheme="minorEastAsia" w:eastAsiaTheme="minorEastAsia" w:cstheme="minorEastAsia"/>
          <w:color w:val="auto"/>
          <w:highlight w:val="none"/>
        </w:rPr>
        <w:t>份，具有同等法律效力，其中委托人执</w:t>
      </w:r>
      <w:r>
        <w:rPr>
          <w:rFonts w:hint="eastAsia" w:asciiTheme="minorEastAsia" w:hAnsiTheme="minorEastAsia" w:eastAsiaTheme="minorEastAsia" w:cstheme="minorEastAsia"/>
          <w:color w:val="auto"/>
          <w:highlight w:val="none"/>
          <w:u w:val="single"/>
        </w:rPr>
        <w:t>贰</w:t>
      </w:r>
      <w:r>
        <w:rPr>
          <w:rFonts w:hint="eastAsia" w:asciiTheme="minorEastAsia" w:hAnsiTheme="minorEastAsia" w:eastAsiaTheme="minorEastAsia" w:cstheme="minorEastAsia"/>
          <w:color w:val="auto"/>
          <w:highlight w:val="none"/>
        </w:rPr>
        <w:t>份，咨询人执</w:t>
      </w:r>
      <w:r>
        <w:rPr>
          <w:rFonts w:hint="eastAsia" w:asciiTheme="minorEastAsia" w:hAnsiTheme="minorEastAsia" w:eastAsiaTheme="minorEastAsia" w:cstheme="minorEastAsia"/>
          <w:color w:val="auto"/>
          <w:highlight w:val="none"/>
          <w:u w:val="single"/>
        </w:rPr>
        <w:t>贰</w:t>
      </w:r>
      <w:r>
        <w:rPr>
          <w:rFonts w:hint="eastAsia" w:asciiTheme="minorEastAsia" w:hAnsiTheme="minorEastAsia" w:eastAsiaTheme="minorEastAsia" w:cstheme="minorEastAsia"/>
          <w:color w:val="auto"/>
          <w:highlight w:val="none"/>
        </w:rPr>
        <w:t>份。</w:t>
      </w:r>
    </w:p>
    <w:p w14:paraId="35F4B9FC">
      <w:pPr>
        <w:pStyle w:val="145"/>
        <w:spacing w:line="440" w:lineRule="exact"/>
        <w:ind w:firstLine="422" w:firstLineChars="200"/>
        <w:rPr>
          <w:rFonts w:hint="eastAsia" w:asciiTheme="minorEastAsia" w:hAnsiTheme="minorEastAsia" w:eastAsiaTheme="minorEastAsia" w:cstheme="minorEastAsia"/>
          <w:b/>
          <w:color w:val="auto"/>
          <w:highlight w:val="none"/>
        </w:rPr>
      </w:pPr>
    </w:p>
    <w:p w14:paraId="54267D5A">
      <w:pPr>
        <w:pStyle w:val="145"/>
        <w:spacing w:line="440" w:lineRule="exact"/>
        <w:ind w:firstLine="422" w:firstLineChars="200"/>
        <w:rPr>
          <w:rFonts w:hint="eastAsia" w:asciiTheme="minorEastAsia" w:hAnsiTheme="minorEastAsia" w:eastAsiaTheme="minorEastAsia" w:cstheme="minorEastAsia"/>
          <w:b/>
          <w:color w:val="auto"/>
          <w:highlight w:val="none"/>
        </w:rPr>
      </w:pPr>
    </w:p>
    <w:p w14:paraId="38C8694A">
      <w:pPr>
        <w:pStyle w:val="145"/>
        <w:spacing w:line="440" w:lineRule="exact"/>
        <w:ind w:firstLine="42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委托人：</w:t>
      </w:r>
      <w:r>
        <w:rPr>
          <w:rFonts w:hint="eastAsia" w:asciiTheme="minorEastAsia" w:hAnsiTheme="minorEastAsia" w:eastAsiaTheme="minorEastAsia" w:cstheme="minorEastAsia"/>
          <w:color w:val="auto"/>
          <w:highlight w:val="none"/>
        </w:rPr>
        <w:t xml:space="preserve">宁海县科建开发投资有限公司         </w:t>
      </w:r>
      <w:r>
        <w:rPr>
          <w:rFonts w:hint="eastAsia" w:asciiTheme="minorEastAsia" w:hAnsiTheme="minorEastAsia" w:eastAsiaTheme="minorEastAsia" w:cstheme="minorEastAsia"/>
          <w:b/>
          <w:color w:val="auto"/>
          <w:highlight w:val="none"/>
        </w:rPr>
        <w:t>咨询人</w:t>
      </w:r>
      <w:r>
        <w:rPr>
          <w:rFonts w:hint="eastAsia" w:asciiTheme="minorEastAsia" w:hAnsiTheme="minorEastAsia" w:eastAsiaTheme="minorEastAsia" w:cstheme="minorEastAsia"/>
          <w:color w:val="auto"/>
          <w:highlight w:val="none"/>
        </w:rPr>
        <w:t>：</w:t>
      </w:r>
    </w:p>
    <w:p w14:paraId="12ED6FE2">
      <w:pPr>
        <w:pStyle w:val="145"/>
        <w:spacing w:line="44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（盖章）                              （盖章）</w:t>
      </w:r>
    </w:p>
    <w:p w14:paraId="3ACD0E00">
      <w:pPr>
        <w:pStyle w:val="145"/>
        <w:spacing w:line="440" w:lineRule="exact"/>
        <w:ind w:firstLine="420" w:firstLineChars="200"/>
        <w:rPr>
          <w:rFonts w:hint="eastAsia" w:asciiTheme="minorEastAsia" w:hAnsiTheme="minorEastAsia" w:eastAsiaTheme="minorEastAsia" w:cstheme="minorEastAsia"/>
          <w:color w:val="auto"/>
          <w:highlight w:val="none"/>
        </w:rPr>
      </w:pPr>
    </w:p>
    <w:p w14:paraId="0EBE5318">
      <w:pPr>
        <w:pStyle w:val="145"/>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法定代表人或其授权的代理人：           法定代表人或其授权的代理人：</w:t>
      </w:r>
    </w:p>
    <w:p w14:paraId="76D6A68B">
      <w:pPr>
        <w:pStyle w:val="145"/>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（签字）                                     （签字）</w:t>
      </w:r>
    </w:p>
    <w:p w14:paraId="6F4C8678">
      <w:pPr>
        <w:pStyle w:val="145"/>
        <w:spacing w:line="440" w:lineRule="exact"/>
        <w:ind w:firstLine="41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统一社会信用代码</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pacing w:val="-2"/>
          <w:highlight w:val="none"/>
        </w:rPr>
        <w:t>统一社会信用代码：</w:t>
      </w:r>
    </w:p>
    <w:p w14:paraId="56849ACC">
      <w:pPr>
        <w:pStyle w:val="145"/>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开户银行：                              开户银行：   </w:t>
      </w:r>
    </w:p>
    <w:p w14:paraId="4766B14F">
      <w:pPr>
        <w:pStyle w:val="145"/>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帐 号：                                 帐 号：</w:t>
      </w:r>
    </w:p>
    <w:p w14:paraId="0507342E">
      <w:pPr>
        <w:pStyle w:val="145"/>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 话：                                 电 话：</w:t>
      </w:r>
    </w:p>
    <w:p w14:paraId="3E45748B">
      <w:pPr>
        <w:pStyle w:val="145"/>
        <w:spacing w:line="440" w:lineRule="exact"/>
        <w:ind w:firstLine="420" w:firstLineChars="2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highlight w:val="none"/>
        </w:rPr>
        <w:t>电子信箱：                              电子信箱：</w:t>
      </w:r>
      <w:bookmarkEnd w:id="27"/>
      <w:bookmarkStart w:id="44" w:name="_Toc419045066"/>
      <w:bookmarkStart w:id="45" w:name="_Toc495869253"/>
    </w:p>
    <w:p w14:paraId="4619B934">
      <w:pPr>
        <w:rPr>
          <w:rFonts w:hint="eastAsia" w:asciiTheme="minorEastAsia" w:hAnsiTheme="minorEastAsia" w:eastAsiaTheme="minorEastAsia" w:cstheme="minorEastAsia"/>
          <w:color w:val="auto"/>
          <w:highlight w:val="none"/>
        </w:rPr>
      </w:pPr>
    </w:p>
    <w:p w14:paraId="611AE00C">
      <w:pPr>
        <w:rPr>
          <w:rFonts w:hint="eastAsia" w:asciiTheme="minorEastAsia" w:hAnsiTheme="minorEastAsia" w:eastAsiaTheme="minorEastAsia" w:cstheme="minorEastAsia"/>
          <w:color w:val="auto"/>
          <w:sz w:val="16"/>
          <w:szCs w:val="16"/>
          <w:highlight w:val="none"/>
        </w:rPr>
      </w:pPr>
    </w:p>
    <w:p w14:paraId="421FD90F">
      <w:pPr>
        <w:spacing w:after="120" w:line="400" w:lineRule="exact"/>
        <w:jc w:val="center"/>
        <w:rPr>
          <w:rFonts w:hint="eastAsia" w:asciiTheme="minorEastAsia" w:hAnsiTheme="minorEastAsia" w:eastAsiaTheme="minorEastAsia" w:cstheme="minorEastAsia"/>
          <w:color w:val="auto"/>
          <w:sz w:val="30"/>
          <w:szCs w:val="30"/>
          <w:highlight w:val="none"/>
        </w:rPr>
      </w:pPr>
    </w:p>
    <w:p w14:paraId="0796A54A">
      <w:pPr>
        <w:pStyle w:val="2"/>
        <w:spacing w:before="0" w:after="0" w:line="360" w:lineRule="auto"/>
        <w:rPr>
          <w:rFonts w:hint="eastAsia" w:asciiTheme="minorEastAsia" w:hAnsiTheme="minorEastAsia" w:eastAsiaTheme="minorEastAsia" w:cstheme="minorEastAsia"/>
          <w:b/>
          <w:bCs/>
          <w:color w:val="auto"/>
          <w:szCs w:val="44"/>
          <w:highlight w:val="none"/>
        </w:rPr>
      </w:pPr>
      <w:r>
        <w:rPr>
          <w:rFonts w:hint="eastAsia" w:asciiTheme="minorEastAsia" w:hAnsiTheme="minorEastAsia" w:eastAsiaTheme="minorEastAsia" w:cstheme="minorEastAsia"/>
          <w:b/>
          <w:bCs/>
          <w:color w:val="auto"/>
          <w:szCs w:val="44"/>
          <w:highlight w:val="none"/>
        </w:rPr>
        <w:br w:type="page"/>
      </w:r>
      <w:r>
        <w:rPr>
          <w:rFonts w:hint="eastAsia" w:asciiTheme="minorEastAsia" w:hAnsiTheme="minorEastAsia" w:eastAsiaTheme="minorEastAsia" w:cstheme="minorEastAsia"/>
          <w:color w:val="auto"/>
          <w:sz w:val="36"/>
          <w:szCs w:val="52"/>
          <w:highlight w:val="none"/>
        </w:rPr>
        <w:t>第二部分　通用条件</w:t>
      </w:r>
      <w:bookmarkEnd w:id="44"/>
      <w:bookmarkEnd w:id="45"/>
    </w:p>
    <w:p w14:paraId="797C8EB1">
      <w:pPr>
        <w:pStyle w:val="17"/>
        <w:widowControl/>
        <w:spacing w:before="0" w:after="0" w:line="440" w:lineRule="exact"/>
        <w:ind w:firstLine="422" w:firstLineChars="200"/>
        <w:jc w:val="center"/>
        <w:outlineLvl w:val="9"/>
        <w:rPr>
          <w:rFonts w:hint="eastAsia" w:asciiTheme="minorEastAsia" w:hAnsiTheme="minorEastAsia" w:eastAsiaTheme="minorEastAsia" w:cstheme="minorEastAsia"/>
          <w:color w:val="auto"/>
          <w:sz w:val="21"/>
          <w:szCs w:val="21"/>
          <w:highlight w:val="none"/>
          <w:lang w:eastAsia="zh-CN"/>
        </w:rPr>
      </w:pPr>
      <w:bookmarkStart w:id="46" w:name="_Toc495869254"/>
      <w:bookmarkStart w:id="47" w:name="_Toc419045067"/>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工程</w:t>
      </w:r>
      <w:r>
        <w:rPr>
          <w:rFonts w:hint="eastAsia" w:asciiTheme="minorEastAsia" w:hAnsiTheme="minorEastAsia" w:eastAsiaTheme="minorEastAsia" w:cstheme="minorEastAsia"/>
          <w:color w:val="auto"/>
          <w:sz w:val="21"/>
          <w:szCs w:val="21"/>
          <w:highlight w:val="none"/>
        </w:rPr>
        <w:t>建设工程造价咨询合同》（GF-20</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5-021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）第一部分 通用条款</w:t>
      </w:r>
      <w:r>
        <w:rPr>
          <w:rFonts w:hint="eastAsia" w:asciiTheme="minorEastAsia" w:hAnsiTheme="minorEastAsia" w:eastAsiaTheme="minorEastAsia" w:cstheme="minorEastAsia"/>
          <w:color w:val="auto"/>
          <w:sz w:val="21"/>
          <w:szCs w:val="21"/>
          <w:highlight w:val="none"/>
          <w:lang w:eastAsia="zh-CN"/>
        </w:rPr>
        <w:t>。</w:t>
      </w:r>
    </w:p>
    <w:p w14:paraId="45BD685A">
      <w:pPr>
        <w:pStyle w:val="17"/>
        <w:widowControl/>
        <w:spacing w:before="0" w:after="0" w:line="440" w:lineRule="exact"/>
        <w:ind w:firstLine="723" w:firstLineChars="200"/>
        <w:jc w:val="left"/>
        <w:outlineLvl w:val="9"/>
        <w:rPr>
          <w:rFonts w:hint="eastAsia" w:asciiTheme="minorEastAsia" w:hAnsiTheme="minorEastAsia" w:eastAsiaTheme="minorEastAsia" w:cstheme="minorEastAsia"/>
          <w:color w:val="auto"/>
          <w:sz w:val="36"/>
          <w:szCs w:val="36"/>
          <w:highlight w:val="none"/>
        </w:rPr>
      </w:pPr>
    </w:p>
    <w:bookmarkEnd w:id="46"/>
    <w:bookmarkEnd w:id="47"/>
    <w:p w14:paraId="346E1B25">
      <w:pPr>
        <w:adjustRightInd w:val="0"/>
        <w:snapToGrid w:val="0"/>
        <w:spacing w:line="500" w:lineRule="exact"/>
        <w:jc w:val="center"/>
        <w:rPr>
          <w:rFonts w:hint="eastAsia" w:asciiTheme="minorEastAsia" w:hAnsiTheme="minorEastAsia" w:eastAsiaTheme="minorEastAsia" w:cstheme="minorEastAsia"/>
          <w:b/>
          <w:bCs/>
          <w:color w:val="auto"/>
          <w:sz w:val="36"/>
          <w:szCs w:val="36"/>
          <w:highlight w:val="none"/>
        </w:rPr>
      </w:pPr>
      <w:bookmarkStart w:id="48" w:name="_Toc495869288"/>
      <w:bookmarkStart w:id="49" w:name="_Toc419045098"/>
      <w:r>
        <w:rPr>
          <w:rFonts w:hint="eastAsia" w:asciiTheme="minorEastAsia" w:hAnsiTheme="minorEastAsia" w:eastAsiaTheme="minorEastAsia" w:cstheme="minorEastAsia"/>
          <w:b/>
          <w:bCs/>
          <w:color w:val="auto"/>
          <w:sz w:val="36"/>
          <w:szCs w:val="36"/>
          <w:highlight w:val="none"/>
        </w:rPr>
        <w:t>第三部分　专用条件</w:t>
      </w:r>
      <w:bookmarkEnd w:id="48"/>
      <w:bookmarkEnd w:id="49"/>
      <w:bookmarkStart w:id="50" w:name="45"/>
    </w:p>
    <w:bookmarkEnd w:id="50"/>
    <w:p w14:paraId="19036162">
      <w:pPr>
        <w:pStyle w:val="17"/>
        <w:widowControl/>
        <w:adjustRightInd w:val="0"/>
        <w:snapToGrid w:val="0"/>
        <w:spacing w:before="0" w:after="0" w:line="440" w:lineRule="exact"/>
        <w:ind w:firstLine="422" w:firstLineChars="200"/>
        <w:jc w:val="left"/>
        <w:outlineLvl w:val="9"/>
        <w:rPr>
          <w:rFonts w:hint="eastAsia" w:asciiTheme="minorEastAsia" w:hAnsiTheme="minorEastAsia" w:eastAsiaTheme="minorEastAsia" w:cstheme="minorEastAsia"/>
          <w:color w:val="auto"/>
          <w:sz w:val="21"/>
          <w:szCs w:val="21"/>
          <w:highlight w:val="none"/>
        </w:rPr>
      </w:pPr>
      <w:bookmarkStart w:id="51" w:name="_Toc495869289"/>
      <w:bookmarkStart w:id="52" w:name="_Toc419045099"/>
      <w:r>
        <w:rPr>
          <w:rFonts w:hint="eastAsia" w:asciiTheme="minorEastAsia" w:hAnsiTheme="minorEastAsia" w:eastAsiaTheme="minorEastAsia" w:cstheme="minorEastAsia"/>
          <w:color w:val="auto"/>
          <w:sz w:val="21"/>
          <w:szCs w:val="21"/>
          <w:highlight w:val="none"/>
        </w:rPr>
        <w:t>1.词语定义、语言、解释顺序与适用法律</w:t>
      </w:r>
      <w:bookmarkEnd w:id="51"/>
      <w:bookmarkEnd w:id="52"/>
    </w:p>
    <w:p w14:paraId="0F5DDFBC">
      <w:pPr>
        <w:adjustRightInd w:val="0"/>
        <w:snapToGrid w:val="0"/>
        <w:spacing w:line="440" w:lineRule="exact"/>
        <w:ind w:firstLine="420" w:firstLineChars="200"/>
        <w:rPr>
          <w:rStyle w:val="147"/>
          <w:rFonts w:hint="eastAsia" w:asciiTheme="minorEastAsia" w:hAnsiTheme="minorEastAsia" w:eastAsiaTheme="minorEastAsia" w:cstheme="minorEastAsia"/>
          <w:b w:val="0"/>
          <w:color w:val="auto"/>
          <w:sz w:val="21"/>
          <w:szCs w:val="21"/>
          <w:highlight w:val="none"/>
        </w:rPr>
      </w:pPr>
      <w:bookmarkStart w:id="53" w:name="_Toc495869290"/>
      <w:bookmarkStart w:id="54" w:name="_Toc419045101"/>
      <w:r>
        <w:rPr>
          <w:rStyle w:val="147"/>
          <w:rFonts w:hint="eastAsia" w:asciiTheme="minorEastAsia" w:hAnsiTheme="minorEastAsia" w:eastAsiaTheme="minorEastAsia" w:cstheme="minorEastAsia"/>
          <w:b w:val="0"/>
          <w:color w:val="auto"/>
          <w:sz w:val="21"/>
          <w:szCs w:val="21"/>
          <w:highlight w:val="none"/>
        </w:rPr>
        <w:t>1.2 语言</w:t>
      </w:r>
      <w:bookmarkEnd w:id="53"/>
      <w:bookmarkEnd w:id="54"/>
    </w:p>
    <w:p w14:paraId="048ACF03">
      <w:pPr>
        <w:adjustRightInd w:val="0"/>
        <w:snapToGrid w:val="0"/>
        <w:spacing w:line="440" w:lineRule="exact"/>
        <w:ind w:firstLine="420" w:firstLineChars="200"/>
        <w:rPr>
          <w:rStyle w:val="147"/>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color w:val="auto"/>
          <w:szCs w:val="21"/>
          <w:highlight w:val="none"/>
        </w:rPr>
        <w:t xml:space="preserve">本合同文件除使用中文外，还可用  </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w:t>
      </w:r>
    </w:p>
    <w:p w14:paraId="7FD3342C">
      <w:pPr>
        <w:pStyle w:val="13"/>
        <w:adjustRightInd w:val="0"/>
        <w:snapToGrid w:val="0"/>
        <w:spacing w:before="0" w:line="440" w:lineRule="exact"/>
        <w:ind w:firstLine="420" w:firstLineChars="200"/>
        <w:jc w:val="left"/>
        <w:rPr>
          <w:rFonts w:hint="eastAsia" w:asciiTheme="minorEastAsia" w:hAnsiTheme="minorEastAsia" w:eastAsiaTheme="minorEastAsia" w:cstheme="minorEastAsia"/>
          <w:b w:val="0"/>
          <w:color w:val="auto"/>
          <w:sz w:val="21"/>
          <w:szCs w:val="21"/>
          <w:highlight w:val="none"/>
        </w:rPr>
      </w:pPr>
      <w:bookmarkStart w:id="55" w:name="_Toc495869291"/>
      <w:r>
        <w:rPr>
          <w:rFonts w:hint="eastAsia" w:asciiTheme="minorEastAsia" w:hAnsiTheme="minorEastAsia" w:eastAsiaTheme="minorEastAsia" w:cstheme="minorEastAsia"/>
          <w:b w:val="0"/>
          <w:color w:val="auto"/>
          <w:sz w:val="21"/>
          <w:szCs w:val="21"/>
          <w:highlight w:val="none"/>
        </w:rPr>
        <w:t>1.3合同文件的优先顺序</w:t>
      </w:r>
      <w:bookmarkEnd w:id="55"/>
    </w:p>
    <w:p w14:paraId="2B1A3488">
      <w:pPr>
        <w:adjustRightInd w:val="0"/>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本合同文件的解释顺序为：</w:t>
      </w:r>
      <w:r>
        <w:rPr>
          <w:rFonts w:hint="eastAsia" w:asciiTheme="minorEastAsia" w:hAnsiTheme="minorEastAsia" w:eastAsiaTheme="minorEastAsia" w:cstheme="minorEastAsia"/>
          <w:color w:val="auto"/>
          <w:szCs w:val="21"/>
          <w:highlight w:val="none"/>
          <w:u w:val="single"/>
        </w:rPr>
        <w:t>按照通用条款</w:t>
      </w:r>
      <w:r>
        <w:rPr>
          <w:rFonts w:hint="eastAsia" w:asciiTheme="minorEastAsia" w:hAnsiTheme="minorEastAsia" w:eastAsiaTheme="minorEastAsia" w:cstheme="minorEastAsia"/>
          <w:color w:val="auto"/>
          <w:szCs w:val="21"/>
          <w:highlight w:val="none"/>
        </w:rPr>
        <w:t>。</w:t>
      </w:r>
    </w:p>
    <w:p w14:paraId="0E0D0E09">
      <w:pPr>
        <w:adjustRightInd w:val="0"/>
        <w:snapToGrid w:val="0"/>
        <w:spacing w:line="440" w:lineRule="exact"/>
        <w:ind w:firstLine="420" w:firstLineChars="200"/>
        <w:rPr>
          <w:rStyle w:val="147"/>
          <w:rFonts w:hint="eastAsia" w:asciiTheme="minorEastAsia" w:hAnsiTheme="minorEastAsia" w:eastAsiaTheme="minorEastAsia" w:cstheme="minorEastAsia"/>
          <w:b w:val="0"/>
          <w:color w:val="auto"/>
          <w:sz w:val="21"/>
          <w:szCs w:val="21"/>
          <w:highlight w:val="none"/>
        </w:rPr>
      </w:pPr>
      <w:bookmarkStart w:id="56" w:name="_Toc419045102"/>
      <w:bookmarkStart w:id="57" w:name="_Toc495869292"/>
      <w:r>
        <w:rPr>
          <w:rStyle w:val="147"/>
          <w:rFonts w:hint="eastAsia" w:asciiTheme="minorEastAsia" w:hAnsiTheme="minorEastAsia" w:eastAsiaTheme="minorEastAsia" w:cstheme="minorEastAsia"/>
          <w:b w:val="0"/>
          <w:color w:val="auto"/>
          <w:sz w:val="21"/>
          <w:szCs w:val="21"/>
          <w:highlight w:val="none"/>
        </w:rPr>
        <w:t>1.4适用法律</w:t>
      </w:r>
      <w:bookmarkEnd w:id="56"/>
      <w:bookmarkEnd w:id="57"/>
    </w:p>
    <w:p w14:paraId="1DC2F994">
      <w:pPr>
        <w:adjustRightInd w:val="0"/>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本合同适用的其他规范性文件包括：</w:t>
      </w:r>
      <w:r>
        <w:rPr>
          <w:rFonts w:hint="eastAsia" w:asciiTheme="minorEastAsia" w:hAnsiTheme="minorEastAsia" w:eastAsiaTheme="minorEastAsia" w:cstheme="minorEastAsia"/>
          <w:color w:val="auto"/>
          <w:szCs w:val="21"/>
          <w:highlight w:val="none"/>
          <w:u w:val="single"/>
        </w:rPr>
        <w:t>按照通用条款</w:t>
      </w:r>
      <w:r>
        <w:rPr>
          <w:rFonts w:hint="eastAsia" w:asciiTheme="minorEastAsia" w:hAnsiTheme="minorEastAsia" w:eastAsiaTheme="minorEastAsia" w:cstheme="minorEastAsia"/>
          <w:color w:val="auto"/>
          <w:szCs w:val="21"/>
          <w:highlight w:val="none"/>
        </w:rPr>
        <w:t xml:space="preserve"> 。</w:t>
      </w:r>
    </w:p>
    <w:p w14:paraId="16B75C03">
      <w:pPr>
        <w:pStyle w:val="17"/>
        <w:widowControl/>
        <w:adjustRightInd w:val="0"/>
        <w:snapToGrid w:val="0"/>
        <w:spacing w:before="0" w:after="0" w:line="440" w:lineRule="exact"/>
        <w:ind w:firstLine="422" w:firstLineChars="200"/>
        <w:jc w:val="left"/>
        <w:outlineLvl w:val="9"/>
        <w:rPr>
          <w:rFonts w:hint="eastAsia" w:asciiTheme="minorEastAsia" w:hAnsiTheme="minorEastAsia" w:eastAsiaTheme="minorEastAsia" w:cstheme="minorEastAsia"/>
          <w:color w:val="auto"/>
          <w:sz w:val="21"/>
          <w:szCs w:val="21"/>
          <w:highlight w:val="none"/>
        </w:rPr>
      </w:pPr>
      <w:bookmarkStart w:id="58" w:name="_Toc495869293"/>
      <w:bookmarkStart w:id="59" w:name="_Toc419045103"/>
      <w:r>
        <w:rPr>
          <w:rFonts w:hint="eastAsia" w:asciiTheme="minorEastAsia" w:hAnsiTheme="minorEastAsia" w:eastAsiaTheme="minorEastAsia" w:cstheme="minorEastAsia"/>
          <w:color w:val="auto"/>
          <w:sz w:val="21"/>
          <w:szCs w:val="21"/>
          <w:highlight w:val="none"/>
        </w:rPr>
        <w:t>2.委托人的义务</w:t>
      </w:r>
      <w:bookmarkEnd w:id="58"/>
      <w:bookmarkEnd w:id="59"/>
    </w:p>
    <w:p w14:paraId="104C3382">
      <w:pPr>
        <w:adjustRightInd w:val="0"/>
        <w:snapToGrid w:val="0"/>
        <w:spacing w:line="440" w:lineRule="exact"/>
        <w:ind w:firstLine="420" w:firstLineChars="200"/>
        <w:rPr>
          <w:rStyle w:val="147"/>
          <w:rFonts w:hint="eastAsia" w:asciiTheme="minorEastAsia" w:hAnsiTheme="minorEastAsia" w:eastAsiaTheme="minorEastAsia" w:cstheme="minorEastAsia"/>
          <w:b w:val="0"/>
          <w:color w:val="auto"/>
          <w:sz w:val="21"/>
          <w:szCs w:val="21"/>
          <w:highlight w:val="none"/>
        </w:rPr>
      </w:pPr>
      <w:bookmarkStart w:id="60" w:name="_Toc495869294"/>
      <w:bookmarkStart w:id="61" w:name="_Toc419045104"/>
      <w:r>
        <w:rPr>
          <w:rStyle w:val="147"/>
          <w:rFonts w:hint="eastAsia" w:asciiTheme="minorEastAsia" w:hAnsiTheme="minorEastAsia" w:eastAsiaTheme="minorEastAsia" w:cstheme="minorEastAsia"/>
          <w:b w:val="0"/>
          <w:color w:val="auto"/>
          <w:sz w:val="21"/>
          <w:szCs w:val="21"/>
          <w:highlight w:val="none"/>
        </w:rPr>
        <w:t>2.1提供资料</w:t>
      </w:r>
      <w:bookmarkEnd w:id="60"/>
      <w:bookmarkEnd w:id="61"/>
    </w:p>
    <w:p w14:paraId="02A65A64">
      <w:pPr>
        <w:adjustRightInd w:val="0"/>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委托人无偿向咨询人提供与本合同咨询业务有关资料的时间为：</w:t>
      </w:r>
      <w:r>
        <w:rPr>
          <w:rFonts w:hint="eastAsia" w:asciiTheme="minorEastAsia" w:hAnsiTheme="minorEastAsia" w:eastAsiaTheme="minorEastAsia" w:cstheme="minorEastAsia"/>
          <w:color w:val="auto"/>
          <w:szCs w:val="21"/>
          <w:highlight w:val="none"/>
          <w:u w:val="single"/>
        </w:rPr>
        <w:t>签合同后</w:t>
      </w:r>
      <w:r>
        <w:rPr>
          <w:rFonts w:hint="eastAsia" w:asciiTheme="minorEastAsia" w:hAnsiTheme="minorEastAsia" w:eastAsiaTheme="minorEastAsia" w:cstheme="minorEastAsia"/>
          <w:b/>
          <w:bCs/>
          <w:color w:val="auto"/>
          <w:szCs w:val="21"/>
          <w:highlight w:val="none"/>
          <w:u w:val="single"/>
        </w:rPr>
        <w:t>3工作日</w:t>
      </w:r>
      <w:r>
        <w:rPr>
          <w:rFonts w:hint="eastAsia" w:asciiTheme="minorEastAsia" w:hAnsiTheme="minorEastAsia" w:eastAsiaTheme="minorEastAsia" w:cstheme="minorEastAsia"/>
          <w:color w:val="auto"/>
          <w:szCs w:val="21"/>
          <w:highlight w:val="none"/>
          <w:u w:val="single"/>
        </w:rPr>
        <w:t>内</w:t>
      </w:r>
      <w:r>
        <w:rPr>
          <w:rFonts w:hint="eastAsia" w:asciiTheme="minorEastAsia" w:hAnsiTheme="minorEastAsia" w:eastAsiaTheme="minorEastAsia" w:cstheme="minorEastAsia"/>
          <w:color w:val="auto"/>
          <w:szCs w:val="21"/>
          <w:highlight w:val="none"/>
        </w:rPr>
        <w:t>。</w:t>
      </w:r>
    </w:p>
    <w:p w14:paraId="39206CE4">
      <w:pPr>
        <w:adjustRightInd w:val="0"/>
        <w:snapToGrid w:val="0"/>
        <w:spacing w:line="440" w:lineRule="exact"/>
        <w:ind w:firstLine="420" w:firstLineChars="200"/>
        <w:rPr>
          <w:rStyle w:val="147"/>
          <w:rFonts w:hint="eastAsia" w:asciiTheme="minorEastAsia" w:hAnsiTheme="minorEastAsia" w:eastAsiaTheme="minorEastAsia" w:cstheme="minorEastAsia"/>
          <w:b w:val="0"/>
          <w:color w:val="auto"/>
          <w:sz w:val="21"/>
          <w:szCs w:val="21"/>
          <w:highlight w:val="none"/>
        </w:rPr>
      </w:pPr>
      <w:bookmarkStart w:id="62" w:name="_Toc495869295"/>
      <w:bookmarkStart w:id="63" w:name="_Toc419045105"/>
      <w:r>
        <w:rPr>
          <w:rStyle w:val="147"/>
          <w:rFonts w:hint="eastAsia" w:asciiTheme="minorEastAsia" w:hAnsiTheme="minorEastAsia" w:eastAsiaTheme="minorEastAsia" w:cstheme="minorEastAsia"/>
          <w:b w:val="0"/>
          <w:color w:val="auto"/>
          <w:sz w:val="21"/>
          <w:szCs w:val="21"/>
          <w:highlight w:val="none"/>
        </w:rPr>
        <w:t>2.2提供工作条件</w:t>
      </w:r>
      <w:bookmarkEnd w:id="62"/>
      <w:bookmarkEnd w:id="63"/>
    </w:p>
    <w:p w14:paraId="52650CD9">
      <w:pPr>
        <w:adjustRightInd w:val="0"/>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2.2.1项目咨询人员因工作需要使用由委托人提供房屋及设备，应及时归还。</w:t>
      </w:r>
    </w:p>
    <w:p w14:paraId="5E21C6B1">
      <w:pPr>
        <w:adjustRightInd w:val="0"/>
        <w:snapToGrid w:val="0"/>
        <w:spacing w:line="440" w:lineRule="exact"/>
        <w:ind w:firstLine="420" w:firstLineChars="200"/>
        <w:rPr>
          <w:rStyle w:val="147"/>
          <w:rFonts w:hint="eastAsia" w:asciiTheme="minorEastAsia" w:hAnsiTheme="minorEastAsia" w:eastAsiaTheme="minorEastAsia" w:cstheme="minorEastAsia"/>
          <w:b w:val="0"/>
          <w:color w:val="auto"/>
          <w:sz w:val="21"/>
          <w:szCs w:val="21"/>
          <w:highlight w:val="none"/>
        </w:rPr>
      </w:pPr>
      <w:bookmarkStart w:id="64" w:name="_Toc495869296"/>
      <w:bookmarkStart w:id="65" w:name="_Toc419045106"/>
      <w:r>
        <w:rPr>
          <w:rStyle w:val="147"/>
          <w:rFonts w:hint="eastAsia" w:asciiTheme="minorEastAsia" w:hAnsiTheme="minorEastAsia" w:eastAsiaTheme="minorEastAsia" w:cstheme="minorEastAsia"/>
          <w:b w:val="0"/>
          <w:color w:val="auto"/>
          <w:sz w:val="21"/>
          <w:szCs w:val="21"/>
          <w:highlight w:val="none"/>
        </w:rPr>
        <w:t>2.3委托人代表</w:t>
      </w:r>
      <w:bookmarkEnd w:id="64"/>
      <w:bookmarkEnd w:id="65"/>
    </w:p>
    <w:p w14:paraId="315AE083">
      <w:pPr>
        <w:adjustRightInd w:val="0"/>
        <w:snapToGrid w:val="0"/>
        <w:spacing w:line="440" w:lineRule="exact"/>
        <w:ind w:firstLine="420" w:firstLineChars="200"/>
        <w:rPr>
          <w:rStyle w:val="147"/>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color w:val="auto"/>
          <w:szCs w:val="21"/>
          <w:highlight w:val="none"/>
        </w:rPr>
        <w:t>委托人代表为：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，其权限范围：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759364B7">
      <w:pPr>
        <w:pStyle w:val="13"/>
        <w:adjustRightInd w:val="0"/>
        <w:snapToGrid w:val="0"/>
        <w:spacing w:before="0" w:line="440" w:lineRule="exact"/>
        <w:ind w:firstLine="420" w:firstLineChars="200"/>
        <w:jc w:val="left"/>
        <w:rPr>
          <w:rFonts w:hint="eastAsia" w:asciiTheme="minorEastAsia" w:hAnsiTheme="minorEastAsia" w:eastAsiaTheme="minorEastAsia" w:cstheme="minorEastAsia"/>
          <w:b w:val="0"/>
          <w:color w:val="auto"/>
          <w:sz w:val="21"/>
          <w:szCs w:val="21"/>
          <w:highlight w:val="none"/>
        </w:rPr>
      </w:pPr>
      <w:bookmarkStart w:id="66" w:name="_Toc495869297"/>
      <w:r>
        <w:rPr>
          <w:rFonts w:hint="eastAsia" w:asciiTheme="minorEastAsia" w:hAnsiTheme="minorEastAsia" w:eastAsiaTheme="minorEastAsia" w:cstheme="minorEastAsia"/>
          <w:b w:val="0"/>
          <w:color w:val="auto"/>
          <w:sz w:val="21"/>
          <w:szCs w:val="21"/>
          <w:highlight w:val="none"/>
        </w:rPr>
        <w:t>2.4答复</w:t>
      </w:r>
      <w:bookmarkEnd w:id="66"/>
    </w:p>
    <w:p w14:paraId="3F517ABA">
      <w:pPr>
        <w:adjustRightInd w:val="0"/>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委托人同意在</w:t>
      </w:r>
      <w:r>
        <w:rPr>
          <w:rFonts w:hint="eastAsia" w:asciiTheme="minorEastAsia" w:hAnsiTheme="minorEastAsia" w:eastAsiaTheme="minorEastAsia" w:cstheme="minorEastAsia"/>
          <w:b/>
          <w:bCs/>
          <w:color w:val="auto"/>
          <w:szCs w:val="21"/>
          <w:highlight w:val="none"/>
          <w:u w:val="single"/>
        </w:rPr>
        <w:t xml:space="preserve"> </w:t>
      </w:r>
      <w:r>
        <w:rPr>
          <w:rFonts w:hint="eastAsia" w:asciiTheme="minorEastAsia" w:hAnsiTheme="minorEastAsia" w:eastAsiaTheme="minorEastAsia" w:cstheme="minorEastAsia"/>
          <w:b/>
          <w:bCs/>
          <w:color w:val="auto"/>
          <w:szCs w:val="21"/>
          <w:highlight w:val="none"/>
          <w:u w:val="single"/>
          <w:lang w:val="en-US" w:eastAsia="zh-CN"/>
        </w:rPr>
        <w:t>5</w:t>
      </w:r>
      <w:r>
        <w:rPr>
          <w:rFonts w:hint="eastAsia" w:asciiTheme="minorEastAsia" w:hAnsiTheme="minorEastAsia" w:eastAsiaTheme="minorEastAsia" w:cstheme="minorEastAsia"/>
          <w:b/>
          <w:bCs/>
          <w:color w:val="auto"/>
          <w:szCs w:val="21"/>
          <w:highlight w:val="none"/>
          <w:u w:val="single"/>
        </w:rPr>
        <w:t>个工作</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日内，对咨询人书面提交并要求做出决定的事宜给予书面答复。</w:t>
      </w:r>
    </w:p>
    <w:p w14:paraId="5B42C72D">
      <w:pPr>
        <w:pStyle w:val="17"/>
        <w:widowControl/>
        <w:adjustRightInd w:val="0"/>
        <w:snapToGrid w:val="0"/>
        <w:spacing w:before="0" w:after="0" w:line="440" w:lineRule="exact"/>
        <w:ind w:firstLine="422" w:firstLineChars="200"/>
        <w:jc w:val="left"/>
        <w:outlineLvl w:val="9"/>
        <w:rPr>
          <w:rFonts w:hint="eastAsia" w:asciiTheme="minorEastAsia" w:hAnsiTheme="minorEastAsia" w:eastAsiaTheme="minorEastAsia" w:cstheme="minorEastAsia"/>
          <w:color w:val="auto"/>
          <w:sz w:val="21"/>
          <w:szCs w:val="21"/>
          <w:highlight w:val="none"/>
        </w:rPr>
      </w:pPr>
      <w:bookmarkStart w:id="67" w:name="_Toc419045107"/>
      <w:bookmarkStart w:id="68" w:name="_Toc495869298"/>
      <w:r>
        <w:rPr>
          <w:rFonts w:hint="eastAsia" w:asciiTheme="minorEastAsia" w:hAnsiTheme="minorEastAsia" w:eastAsiaTheme="minorEastAsia" w:cstheme="minorEastAsia"/>
          <w:color w:val="auto"/>
          <w:sz w:val="21"/>
          <w:szCs w:val="21"/>
          <w:highlight w:val="none"/>
        </w:rPr>
        <w:t>3.咨询人的义务</w:t>
      </w:r>
      <w:bookmarkEnd w:id="67"/>
      <w:bookmarkEnd w:id="68"/>
    </w:p>
    <w:p w14:paraId="6F039E25">
      <w:pPr>
        <w:pStyle w:val="13"/>
        <w:adjustRightInd w:val="0"/>
        <w:snapToGrid w:val="0"/>
        <w:spacing w:before="0" w:line="440" w:lineRule="exact"/>
        <w:ind w:firstLine="420" w:firstLineChars="200"/>
        <w:jc w:val="left"/>
        <w:rPr>
          <w:rFonts w:hint="eastAsia" w:asciiTheme="minorEastAsia" w:hAnsiTheme="minorEastAsia" w:eastAsiaTheme="minorEastAsia" w:cstheme="minorEastAsia"/>
          <w:b w:val="0"/>
          <w:color w:val="auto"/>
          <w:sz w:val="21"/>
          <w:szCs w:val="21"/>
          <w:highlight w:val="none"/>
        </w:rPr>
      </w:pPr>
      <w:bookmarkStart w:id="69" w:name="_Toc495869299"/>
      <w:bookmarkStart w:id="70" w:name="_Toc419045109"/>
      <w:r>
        <w:rPr>
          <w:rFonts w:hint="eastAsia" w:asciiTheme="minorEastAsia" w:hAnsiTheme="minorEastAsia" w:eastAsiaTheme="minorEastAsia" w:cstheme="minorEastAsia"/>
          <w:b w:val="0"/>
          <w:color w:val="auto"/>
          <w:sz w:val="21"/>
          <w:szCs w:val="21"/>
          <w:highlight w:val="none"/>
        </w:rPr>
        <w:t>3.1项目咨询团队及人员</w:t>
      </w:r>
      <w:bookmarkEnd w:id="69"/>
      <w:bookmarkEnd w:id="70"/>
    </w:p>
    <w:tbl>
      <w:tblPr>
        <w:tblStyle w:val="21"/>
        <w:tblW w:w="9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74"/>
        <w:gridCol w:w="3119"/>
        <w:gridCol w:w="993"/>
        <w:gridCol w:w="2251"/>
        <w:gridCol w:w="1008"/>
      </w:tblGrid>
      <w:tr w14:paraId="68DE2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09" w:type="dxa"/>
            <w:noWrap w:val="0"/>
            <w:vAlign w:val="center"/>
          </w:tcPr>
          <w:p w14:paraId="47EAC8E5">
            <w:pPr>
              <w:widowControl w:val="0"/>
              <w:adjustRightInd/>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1074" w:type="dxa"/>
            <w:noWrap w:val="0"/>
            <w:vAlign w:val="center"/>
          </w:tcPr>
          <w:p w14:paraId="6F49D105">
            <w:pPr>
              <w:widowControl w:val="0"/>
              <w:adjustRightInd/>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岗位</w:t>
            </w:r>
          </w:p>
        </w:tc>
        <w:tc>
          <w:tcPr>
            <w:tcW w:w="3119" w:type="dxa"/>
            <w:noWrap w:val="0"/>
            <w:vAlign w:val="center"/>
          </w:tcPr>
          <w:p w14:paraId="195389A7">
            <w:pPr>
              <w:widowControl w:val="0"/>
              <w:adjustRightInd/>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资格资历要求</w:t>
            </w:r>
          </w:p>
        </w:tc>
        <w:tc>
          <w:tcPr>
            <w:tcW w:w="993" w:type="dxa"/>
            <w:noWrap w:val="0"/>
            <w:vAlign w:val="center"/>
          </w:tcPr>
          <w:p w14:paraId="2A70FB52">
            <w:pPr>
              <w:widowControl w:val="0"/>
              <w:adjustRightInd/>
              <w:jc w:val="center"/>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val="en-US" w:eastAsia="zh-CN"/>
              </w:rPr>
              <w:t>姓名</w:t>
            </w:r>
          </w:p>
        </w:tc>
        <w:tc>
          <w:tcPr>
            <w:tcW w:w="2251" w:type="dxa"/>
            <w:noWrap w:val="0"/>
            <w:vAlign w:val="center"/>
          </w:tcPr>
          <w:p w14:paraId="25284CE5">
            <w:pPr>
              <w:widowControl w:val="0"/>
              <w:adjustRightInd/>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身份证</w:t>
            </w:r>
          </w:p>
        </w:tc>
        <w:tc>
          <w:tcPr>
            <w:tcW w:w="1008" w:type="dxa"/>
            <w:noWrap w:val="0"/>
            <w:vAlign w:val="center"/>
          </w:tcPr>
          <w:p w14:paraId="6C8674F3">
            <w:pPr>
              <w:widowControl w:val="0"/>
              <w:adjustRightInd/>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电话</w:t>
            </w:r>
          </w:p>
        </w:tc>
      </w:tr>
      <w:tr w14:paraId="310BF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09" w:type="dxa"/>
            <w:noWrap w:val="0"/>
            <w:vAlign w:val="center"/>
          </w:tcPr>
          <w:p w14:paraId="2D40445E">
            <w:pPr>
              <w:widowControl w:val="0"/>
              <w:adjustRightInd/>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074" w:type="dxa"/>
            <w:noWrap w:val="0"/>
            <w:vAlign w:val="center"/>
          </w:tcPr>
          <w:p w14:paraId="531BEE19">
            <w:pPr>
              <w:widowControl w:val="0"/>
              <w:adjustRightInd/>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项目负责人</w:t>
            </w:r>
          </w:p>
        </w:tc>
        <w:tc>
          <w:tcPr>
            <w:tcW w:w="3119" w:type="dxa"/>
            <w:noWrap w:val="0"/>
            <w:vAlign w:val="center"/>
          </w:tcPr>
          <w:p w14:paraId="2122DE69">
            <w:pPr>
              <w:widowControl w:val="0"/>
              <w:adjustRightInd/>
              <w:spacing w:line="340" w:lineRule="exact"/>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pacing w:val="-6"/>
                <w:sz w:val="21"/>
                <w:szCs w:val="21"/>
                <w:highlight w:val="none"/>
              </w:rPr>
              <w:t>须具有</w:t>
            </w:r>
            <w:r>
              <w:rPr>
                <w:rFonts w:hint="eastAsia" w:asciiTheme="minorEastAsia" w:hAnsiTheme="minorEastAsia" w:eastAsiaTheme="minorEastAsia" w:cstheme="minorEastAsia"/>
                <w:b/>
                <w:bCs/>
                <w:color w:val="auto"/>
                <w:spacing w:val="-6"/>
                <w:sz w:val="21"/>
                <w:szCs w:val="21"/>
                <w:highlight w:val="none"/>
                <w:lang w:eastAsia="zh-CN"/>
              </w:rPr>
              <w:t>土建专业</w:t>
            </w:r>
            <w:r>
              <w:rPr>
                <w:rFonts w:hint="eastAsia" w:asciiTheme="minorEastAsia" w:hAnsiTheme="minorEastAsia" w:eastAsiaTheme="minorEastAsia" w:cstheme="minorEastAsia"/>
                <w:b/>
                <w:bCs/>
                <w:color w:val="auto"/>
                <w:spacing w:val="-6"/>
                <w:sz w:val="21"/>
                <w:szCs w:val="21"/>
                <w:highlight w:val="none"/>
              </w:rPr>
              <w:t>一级注册造价工程师资质证书</w:t>
            </w:r>
            <w:r>
              <w:rPr>
                <w:rFonts w:hint="eastAsia" w:asciiTheme="minorEastAsia" w:hAnsiTheme="minorEastAsia" w:eastAsiaTheme="minorEastAsia" w:cstheme="minorEastAsia"/>
                <w:b/>
                <w:bCs/>
                <w:color w:val="auto"/>
                <w:spacing w:val="-6"/>
                <w:sz w:val="21"/>
                <w:szCs w:val="21"/>
                <w:highlight w:val="none"/>
                <w:lang w:eastAsia="zh-CN"/>
              </w:rPr>
              <w:t>，要求自</w:t>
            </w:r>
            <w:r>
              <w:rPr>
                <w:rFonts w:hint="eastAsia" w:asciiTheme="minorEastAsia" w:hAnsiTheme="minorEastAsia" w:eastAsiaTheme="minorEastAsia" w:cstheme="minorEastAsia"/>
                <w:b/>
                <w:bCs/>
                <w:color w:val="auto"/>
                <w:spacing w:val="-6"/>
                <w:sz w:val="21"/>
                <w:szCs w:val="21"/>
                <w:highlight w:val="none"/>
                <w:lang w:val="en-US" w:eastAsia="zh-CN"/>
              </w:rPr>
              <w:t>2022年1月1日以来，承接</w:t>
            </w:r>
            <w:r>
              <w:rPr>
                <w:rFonts w:hint="eastAsia" w:asciiTheme="minorEastAsia" w:hAnsiTheme="minorEastAsia" w:eastAsiaTheme="minorEastAsia" w:cstheme="minorEastAsia"/>
                <w:b/>
                <w:bCs/>
                <w:color w:val="auto"/>
                <w:spacing w:val="-6"/>
                <w:sz w:val="21"/>
                <w:szCs w:val="21"/>
                <w:highlight w:val="none"/>
                <w:lang w:eastAsia="zh-CN"/>
              </w:rPr>
              <w:t>过（政府或国有投资项目）</w:t>
            </w:r>
            <w:r>
              <w:rPr>
                <w:rFonts w:hint="eastAsia" w:asciiTheme="minorEastAsia" w:hAnsiTheme="minorEastAsia" w:eastAsiaTheme="minorEastAsia" w:cstheme="minorEastAsia"/>
                <w:b/>
                <w:bCs/>
                <w:color w:val="auto"/>
                <w:spacing w:val="-6"/>
                <w:sz w:val="21"/>
                <w:szCs w:val="21"/>
                <w:highlight w:val="none"/>
                <w:lang w:val="en-US" w:eastAsia="zh-CN"/>
              </w:rPr>
              <w:t>新建或改建土建工程的</w:t>
            </w:r>
            <w:r>
              <w:rPr>
                <w:rFonts w:hint="eastAsia" w:asciiTheme="minorEastAsia" w:hAnsiTheme="minorEastAsia" w:eastAsiaTheme="minorEastAsia" w:cstheme="minorEastAsia"/>
                <w:b/>
                <w:bCs/>
                <w:color w:val="auto"/>
                <w:spacing w:val="-6"/>
                <w:sz w:val="21"/>
                <w:szCs w:val="21"/>
                <w:highlight w:val="none"/>
                <w:lang w:eastAsia="zh-CN"/>
              </w:rPr>
              <w:t>（施工阶段全过程工程造价控制（含跟踪审计、不含工程量清单及招标控制价编制）或</w:t>
            </w:r>
            <w:r>
              <w:rPr>
                <w:rFonts w:hint="eastAsia" w:asciiTheme="minorEastAsia" w:hAnsiTheme="minorEastAsia" w:eastAsiaTheme="minorEastAsia" w:cstheme="minorEastAsia"/>
                <w:b/>
                <w:bCs/>
                <w:color w:val="auto"/>
                <w:spacing w:val="-6"/>
                <w:sz w:val="21"/>
                <w:szCs w:val="21"/>
                <w:highlight w:val="none"/>
                <w:lang w:val="en-US" w:eastAsia="zh-CN"/>
              </w:rPr>
              <w:t>工程</w:t>
            </w:r>
            <w:r>
              <w:rPr>
                <w:rFonts w:hint="eastAsia" w:asciiTheme="minorEastAsia" w:hAnsiTheme="minorEastAsia" w:eastAsiaTheme="minorEastAsia" w:cstheme="minorEastAsia"/>
                <w:b/>
                <w:bCs/>
                <w:color w:val="auto"/>
                <w:spacing w:val="-6"/>
                <w:sz w:val="21"/>
                <w:szCs w:val="21"/>
                <w:highlight w:val="none"/>
                <w:lang w:eastAsia="zh-CN"/>
              </w:rPr>
              <w:t>结算审核）业务，并担任项目负责人。（投标文件中提供相关证明材料）。</w:t>
            </w:r>
          </w:p>
        </w:tc>
        <w:tc>
          <w:tcPr>
            <w:tcW w:w="993" w:type="dxa"/>
            <w:noWrap w:val="0"/>
            <w:vAlign w:val="center"/>
          </w:tcPr>
          <w:p w14:paraId="65AB0341">
            <w:pPr>
              <w:widowControl w:val="0"/>
              <w:adjustRightInd/>
              <w:jc w:val="center"/>
              <w:rPr>
                <w:rFonts w:hint="eastAsia" w:asciiTheme="minorEastAsia" w:hAnsiTheme="minorEastAsia" w:eastAsiaTheme="minorEastAsia" w:cstheme="minorEastAsia"/>
                <w:b/>
                <w:bCs/>
                <w:color w:val="auto"/>
                <w:sz w:val="21"/>
                <w:szCs w:val="21"/>
                <w:highlight w:val="none"/>
              </w:rPr>
            </w:pPr>
          </w:p>
        </w:tc>
        <w:tc>
          <w:tcPr>
            <w:tcW w:w="2251" w:type="dxa"/>
            <w:noWrap w:val="0"/>
            <w:vAlign w:val="center"/>
          </w:tcPr>
          <w:p w14:paraId="39492CAE">
            <w:pPr>
              <w:widowControl w:val="0"/>
              <w:adjustRightInd/>
              <w:jc w:val="center"/>
              <w:rPr>
                <w:rFonts w:hint="eastAsia" w:asciiTheme="minorEastAsia" w:hAnsiTheme="minorEastAsia" w:eastAsiaTheme="minorEastAsia" w:cstheme="minorEastAsia"/>
                <w:b/>
                <w:bCs/>
                <w:color w:val="auto"/>
                <w:sz w:val="21"/>
                <w:szCs w:val="21"/>
                <w:highlight w:val="none"/>
              </w:rPr>
            </w:pPr>
          </w:p>
        </w:tc>
        <w:tc>
          <w:tcPr>
            <w:tcW w:w="1008" w:type="dxa"/>
            <w:noWrap w:val="0"/>
            <w:vAlign w:val="center"/>
          </w:tcPr>
          <w:p w14:paraId="3ED01F31">
            <w:pPr>
              <w:widowControl w:val="0"/>
              <w:adjustRightInd/>
              <w:jc w:val="center"/>
              <w:rPr>
                <w:rFonts w:hint="eastAsia" w:asciiTheme="minorEastAsia" w:hAnsiTheme="minorEastAsia" w:eastAsiaTheme="minorEastAsia" w:cstheme="minorEastAsia"/>
                <w:b/>
                <w:bCs/>
                <w:color w:val="auto"/>
                <w:sz w:val="21"/>
                <w:szCs w:val="21"/>
                <w:highlight w:val="none"/>
              </w:rPr>
            </w:pPr>
          </w:p>
        </w:tc>
      </w:tr>
      <w:tr w14:paraId="57D53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09" w:type="dxa"/>
            <w:vMerge w:val="restart"/>
            <w:noWrap w:val="0"/>
            <w:vAlign w:val="center"/>
          </w:tcPr>
          <w:p w14:paraId="38D855A7">
            <w:pPr>
              <w:widowControl/>
              <w:adjustRightInd/>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c>
          <w:tcPr>
            <w:tcW w:w="1074" w:type="dxa"/>
            <w:vMerge w:val="restart"/>
            <w:noWrap w:val="0"/>
            <w:vAlign w:val="center"/>
          </w:tcPr>
          <w:p w14:paraId="50B9B1B3">
            <w:pPr>
              <w:widowControl/>
              <w:adjustRightInd/>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项目</w:t>
            </w:r>
            <w:r>
              <w:rPr>
                <w:rFonts w:hint="eastAsia" w:asciiTheme="minorEastAsia" w:hAnsiTheme="minorEastAsia" w:eastAsiaTheme="minorEastAsia" w:cstheme="minorEastAsia"/>
                <w:b/>
                <w:bCs/>
                <w:color w:val="auto"/>
                <w:kern w:val="0"/>
                <w:sz w:val="21"/>
                <w:szCs w:val="21"/>
                <w:highlight w:val="none"/>
                <w:lang w:val="en-US" w:eastAsia="zh-CN" w:bidi="ar"/>
              </w:rPr>
              <w:t>作业</w:t>
            </w:r>
            <w:r>
              <w:rPr>
                <w:rFonts w:hint="eastAsia" w:asciiTheme="minorEastAsia" w:hAnsiTheme="minorEastAsia" w:eastAsiaTheme="minorEastAsia" w:cstheme="minorEastAsia"/>
                <w:b/>
                <w:bCs/>
                <w:color w:val="auto"/>
                <w:kern w:val="0"/>
                <w:sz w:val="21"/>
                <w:szCs w:val="21"/>
                <w:highlight w:val="none"/>
                <w:lang w:bidi="ar"/>
              </w:rPr>
              <w:t>人员</w:t>
            </w:r>
          </w:p>
        </w:tc>
        <w:tc>
          <w:tcPr>
            <w:tcW w:w="3119" w:type="dxa"/>
            <w:noWrap w:val="0"/>
            <w:vAlign w:val="center"/>
          </w:tcPr>
          <w:p w14:paraId="69452F04">
            <w:pPr>
              <w:widowControl/>
              <w:adjustRightInd/>
              <w:textAlignment w:val="center"/>
              <w:rPr>
                <w:rFonts w:hint="eastAsia" w:asciiTheme="minorEastAsia" w:hAnsiTheme="minorEastAsia" w:eastAsiaTheme="minorEastAsia" w:cstheme="minorEastAsia"/>
                <w:b/>
                <w:bCs/>
                <w:color w:val="auto"/>
                <w:spacing w:val="-6"/>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须具有</w:t>
            </w:r>
            <w:r>
              <w:rPr>
                <w:rFonts w:hint="eastAsia" w:asciiTheme="minorEastAsia" w:hAnsiTheme="minorEastAsia" w:eastAsiaTheme="minorEastAsia" w:cstheme="minorEastAsia"/>
                <w:b/>
                <w:bCs/>
                <w:color w:val="auto"/>
                <w:kern w:val="0"/>
                <w:sz w:val="21"/>
                <w:szCs w:val="21"/>
                <w:highlight w:val="none"/>
                <w:lang w:eastAsia="zh-CN" w:bidi="ar"/>
              </w:rPr>
              <w:t>土建专业</w:t>
            </w:r>
            <w:r>
              <w:rPr>
                <w:rFonts w:hint="eastAsia" w:asciiTheme="minorEastAsia" w:hAnsiTheme="minorEastAsia" w:eastAsiaTheme="minorEastAsia" w:cstheme="minorEastAsia"/>
                <w:b/>
                <w:bCs/>
                <w:color w:val="auto"/>
                <w:spacing w:val="-6"/>
                <w:sz w:val="21"/>
                <w:szCs w:val="21"/>
                <w:highlight w:val="none"/>
              </w:rPr>
              <w:t>一级注册造价工程师</w:t>
            </w:r>
            <w:r>
              <w:rPr>
                <w:rFonts w:hint="eastAsia" w:asciiTheme="minorEastAsia" w:hAnsiTheme="minorEastAsia" w:eastAsiaTheme="minorEastAsia" w:cstheme="minorEastAsia"/>
                <w:b/>
                <w:bCs/>
                <w:color w:val="auto"/>
                <w:kern w:val="0"/>
                <w:sz w:val="21"/>
                <w:szCs w:val="21"/>
                <w:highlight w:val="none"/>
                <w:lang w:bidi="ar"/>
              </w:rPr>
              <w:t>资质证书</w:t>
            </w:r>
            <w:r>
              <w:rPr>
                <w:rFonts w:hint="eastAsia" w:asciiTheme="minorEastAsia" w:hAnsiTheme="minorEastAsia" w:eastAsiaTheme="minorEastAsia" w:cstheme="minorEastAsia"/>
                <w:b/>
                <w:bCs/>
                <w:color w:val="auto"/>
                <w:kern w:val="0"/>
                <w:sz w:val="21"/>
                <w:szCs w:val="21"/>
                <w:highlight w:val="none"/>
                <w:lang w:eastAsia="zh-CN" w:bidi="ar"/>
              </w:rPr>
              <w:t>。</w:t>
            </w:r>
            <w:r>
              <w:rPr>
                <w:rFonts w:hint="eastAsia" w:asciiTheme="minorEastAsia" w:hAnsiTheme="minorEastAsia" w:eastAsiaTheme="minorEastAsia" w:cstheme="minorEastAsia"/>
                <w:b/>
                <w:bCs/>
                <w:color w:val="auto"/>
                <w:spacing w:val="-6"/>
                <w:sz w:val="21"/>
                <w:szCs w:val="21"/>
                <w:highlight w:val="none"/>
                <w:lang w:eastAsia="zh-CN"/>
              </w:rPr>
              <w:t>（投标文件中提供相关证明材料）</w:t>
            </w:r>
          </w:p>
        </w:tc>
        <w:tc>
          <w:tcPr>
            <w:tcW w:w="993" w:type="dxa"/>
            <w:noWrap w:val="0"/>
            <w:vAlign w:val="center"/>
          </w:tcPr>
          <w:p w14:paraId="7ED78D03">
            <w:pPr>
              <w:widowControl/>
              <w:adjustRightInd/>
              <w:jc w:val="center"/>
              <w:textAlignment w:val="center"/>
              <w:rPr>
                <w:rFonts w:hint="eastAsia" w:asciiTheme="minorEastAsia" w:hAnsiTheme="minorEastAsia" w:eastAsiaTheme="minorEastAsia" w:cstheme="minorEastAsia"/>
                <w:b/>
                <w:bCs/>
                <w:color w:val="auto"/>
                <w:sz w:val="21"/>
                <w:szCs w:val="21"/>
                <w:highlight w:val="none"/>
                <w:lang w:eastAsia="zh-CN"/>
              </w:rPr>
            </w:pPr>
          </w:p>
        </w:tc>
        <w:tc>
          <w:tcPr>
            <w:tcW w:w="2251" w:type="dxa"/>
            <w:noWrap w:val="0"/>
            <w:vAlign w:val="center"/>
          </w:tcPr>
          <w:p w14:paraId="6906E09F">
            <w:pPr>
              <w:widowControl/>
              <w:adjustRightInd/>
              <w:jc w:val="center"/>
              <w:textAlignment w:val="center"/>
              <w:rPr>
                <w:rFonts w:hint="eastAsia" w:asciiTheme="minorEastAsia" w:hAnsiTheme="minorEastAsia" w:eastAsiaTheme="minorEastAsia" w:cstheme="minorEastAsia"/>
                <w:b/>
                <w:bCs/>
                <w:color w:val="auto"/>
                <w:kern w:val="0"/>
                <w:sz w:val="21"/>
                <w:szCs w:val="21"/>
                <w:highlight w:val="none"/>
                <w:lang w:val="en-US" w:eastAsia="zh-CN" w:bidi="ar"/>
              </w:rPr>
            </w:pPr>
          </w:p>
        </w:tc>
        <w:tc>
          <w:tcPr>
            <w:tcW w:w="1008" w:type="dxa"/>
            <w:noWrap w:val="0"/>
            <w:vAlign w:val="center"/>
          </w:tcPr>
          <w:p w14:paraId="4B098DCA">
            <w:pPr>
              <w:widowControl/>
              <w:adjustRightInd/>
              <w:jc w:val="center"/>
              <w:textAlignment w:val="center"/>
              <w:rPr>
                <w:rFonts w:hint="eastAsia" w:asciiTheme="minorEastAsia" w:hAnsiTheme="minorEastAsia" w:eastAsiaTheme="minorEastAsia" w:cstheme="minorEastAsia"/>
                <w:b/>
                <w:bCs/>
                <w:color w:val="auto"/>
                <w:kern w:val="0"/>
                <w:sz w:val="21"/>
                <w:szCs w:val="21"/>
                <w:highlight w:val="none"/>
                <w:lang w:val="en-US" w:eastAsia="zh-CN" w:bidi="ar"/>
              </w:rPr>
            </w:pPr>
          </w:p>
        </w:tc>
      </w:tr>
      <w:tr w14:paraId="3EF86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09" w:type="dxa"/>
            <w:vMerge w:val="continue"/>
            <w:noWrap w:val="0"/>
            <w:vAlign w:val="center"/>
          </w:tcPr>
          <w:p w14:paraId="6F43C7D8">
            <w:pPr>
              <w:widowControl w:val="0"/>
              <w:adjustRightInd/>
              <w:jc w:val="center"/>
              <w:rPr>
                <w:rFonts w:hint="eastAsia" w:asciiTheme="minorEastAsia" w:hAnsiTheme="minorEastAsia" w:eastAsiaTheme="minorEastAsia" w:cstheme="minorEastAsia"/>
                <w:color w:val="auto"/>
                <w:sz w:val="21"/>
                <w:szCs w:val="21"/>
                <w:highlight w:val="none"/>
              </w:rPr>
            </w:pPr>
          </w:p>
        </w:tc>
        <w:tc>
          <w:tcPr>
            <w:tcW w:w="1074" w:type="dxa"/>
            <w:vMerge w:val="continue"/>
            <w:noWrap w:val="0"/>
            <w:vAlign w:val="center"/>
          </w:tcPr>
          <w:p w14:paraId="2FC60708">
            <w:pPr>
              <w:widowControl/>
              <w:adjustRightInd/>
              <w:jc w:val="center"/>
              <w:textAlignment w:val="center"/>
              <w:rPr>
                <w:rFonts w:hint="eastAsia" w:asciiTheme="minorEastAsia" w:hAnsiTheme="minorEastAsia" w:eastAsiaTheme="minorEastAsia" w:cstheme="minorEastAsia"/>
                <w:b/>
                <w:bCs/>
                <w:color w:val="auto"/>
                <w:sz w:val="21"/>
                <w:szCs w:val="21"/>
                <w:highlight w:val="none"/>
              </w:rPr>
            </w:pPr>
          </w:p>
        </w:tc>
        <w:tc>
          <w:tcPr>
            <w:tcW w:w="3119" w:type="dxa"/>
            <w:noWrap w:val="0"/>
            <w:vAlign w:val="center"/>
          </w:tcPr>
          <w:p w14:paraId="24BC858A">
            <w:pPr>
              <w:widowControl/>
              <w:adjustRightInd/>
              <w:textAlignment w:val="center"/>
              <w:rPr>
                <w:rFonts w:hint="eastAsia" w:asciiTheme="minorEastAsia" w:hAnsiTheme="minorEastAsia" w:eastAsiaTheme="minorEastAsia" w:cstheme="minorEastAsia"/>
                <w:b/>
                <w:bCs/>
                <w:color w:val="auto"/>
                <w:spacing w:val="-6"/>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须具有</w:t>
            </w:r>
            <w:r>
              <w:rPr>
                <w:rFonts w:hint="eastAsia" w:asciiTheme="minorEastAsia" w:hAnsiTheme="minorEastAsia" w:eastAsiaTheme="minorEastAsia" w:cstheme="minorEastAsia"/>
                <w:b/>
                <w:bCs/>
                <w:color w:val="auto"/>
                <w:kern w:val="0"/>
                <w:sz w:val="21"/>
                <w:szCs w:val="21"/>
                <w:highlight w:val="none"/>
                <w:lang w:val="en-US" w:eastAsia="zh-CN" w:bidi="ar"/>
              </w:rPr>
              <w:t>安装</w:t>
            </w:r>
            <w:r>
              <w:rPr>
                <w:rFonts w:hint="eastAsia" w:asciiTheme="minorEastAsia" w:hAnsiTheme="minorEastAsia" w:eastAsiaTheme="minorEastAsia" w:cstheme="minorEastAsia"/>
                <w:b/>
                <w:bCs/>
                <w:color w:val="auto"/>
                <w:kern w:val="0"/>
                <w:sz w:val="21"/>
                <w:szCs w:val="21"/>
                <w:highlight w:val="none"/>
                <w:lang w:eastAsia="zh-CN" w:bidi="ar"/>
              </w:rPr>
              <w:t>专业</w:t>
            </w:r>
            <w:r>
              <w:rPr>
                <w:rFonts w:hint="eastAsia" w:asciiTheme="minorEastAsia" w:hAnsiTheme="minorEastAsia" w:eastAsiaTheme="minorEastAsia" w:cstheme="minorEastAsia"/>
                <w:b/>
                <w:bCs/>
                <w:color w:val="auto"/>
                <w:spacing w:val="-6"/>
                <w:sz w:val="21"/>
                <w:szCs w:val="21"/>
                <w:highlight w:val="none"/>
              </w:rPr>
              <w:t>一级注册造价工程师</w:t>
            </w:r>
            <w:r>
              <w:rPr>
                <w:rFonts w:hint="eastAsia" w:asciiTheme="minorEastAsia" w:hAnsiTheme="minorEastAsia" w:eastAsiaTheme="minorEastAsia" w:cstheme="minorEastAsia"/>
                <w:b/>
                <w:bCs/>
                <w:color w:val="auto"/>
                <w:kern w:val="0"/>
                <w:sz w:val="21"/>
                <w:szCs w:val="21"/>
                <w:highlight w:val="none"/>
                <w:lang w:bidi="ar"/>
              </w:rPr>
              <w:t>资质证书</w:t>
            </w:r>
            <w:r>
              <w:rPr>
                <w:rFonts w:hint="eastAsia" w:asciiTheme="minorEastAsia" w:hAnsiTheme="minorEastAsia" w:eastAsiaTheme="minorEastAsia" w:cstheme="minorEastAsia"/>
                <w:b/>
                <w:bCs/>
                <w:color w:val="auto"/>
                <w:kern w:val="0"/>
                <w:sz w:val="21"/>
                <w:szCs w:val="21"/>
                <w:highlight w:val="none"/>
                <w:lang w:eastAsia="zh-CN" w:bidi="ar"/>
              </w:rPr>
              <w:t>。</w:t>
            </w:r>
            <w:r>
              <w:rPr>
                <w:rFonts w:hint="eastAsia" w:asciiTheme="minorEastAsia" w:hAnsiTheme="minorEastAsia" w:eastAsiaTheme="minorEastAsia" w:cstheme="minorEastAsia"/>
                <w:b/>
                <w:bCs/>
                <w:color w:val="auto"/>
                <w:spacing w:val="-6"/>
                <w:sz w:val="21"/>
                <w:szCs w:val="21"/>
                <w:highlight w:val="none"/>
                <w:lang w:eastAsia="zh-CN"/>
              </w:rPr>
              <w:t>（投标文件中提供相关证明材料）</w:t>
            </w:r>
          </w:p>
        </w:tc>
        <w:tc>
          <w:tcPr>
            <w:tcW w:w="993" w:type="dxa"/>
            <w:noWrap w:val="0"/>
            <w:vAlign w:val="center"/>
          </w:tcPr>
          <w:p w14:paraId="7FC349D6">
            <w:pPr>
              <w:widowControl/>
              <w:adjustRightInd/>
              <w:jc w:val="center"/>
              <w:textAlignment w:val="center"/>
              <w:rPr>
                <w:rFonts w:hint="eastAsia" w:asciiTheme="minorEastAsia" w:hAnsiTheme="minorEastAsia" w:eastAsiaTheme="minorEastAsia" w:cstheme="minorEastAsia"/>
                <w:b/>
                <w:bCs/>
                <w:color w:val="auto"/>
                <w:sz w:val="21"/>
                <w:szCs w:val="21"/>
                <w:highlight w:val="none"/>
                <w:lang w:val="en-US" w:eastAsia="zh-CN"/>
              </w:rPr>
            </w:pPr>
          </w:p>
        </w:tc>
        <w:tc>
          <w:tcPr>
            <w:tcW w:w="2251" w:type="dxa"/>
            <w:noWrap w:val="0"/>
            <w:vAlign w:val="center"/>
          </w:tcPr>
          <w:p w14:paraId="2C51CAAB">
            <w:pPr>
              <w:widowControl/>
              <w:adjustRightInd/>
              <w:jc w:val="center"/>
              <w:textAlignment w:val="center"/>
              <w:rPr>
                <w:rFonts w:hint="eastAsia" w:asciiTheme="minorEastAsia" w:hAnsiTheme="minorEastAsia" w:eastAsiaTheme="minorEastAsia" w:cstheme="minorEastAsia"/>
                <w:b/>
                <w:bCs/>
                <w:color w:val="auto"/>
                <w:sz w:val="21"/>
                <w:szCs w:val="21"/>
                <w:highlight w:val="none"/>
                <w:lang w:val="en-US" w:eastAsia="zh-CN"/>
              </w:rPr>
            </w:pPr>
          </w:p>
        </w:tc>
        <w:tc>
          <w:tcPr>
            <w:tcW w:w="1008" w:type="dxa"/>
            <w:noWrap w:val="0"/>
            <w:vAlign w:val="center"/>
          </w:tcPr>
          <w:p w14:paraId="1432AC42">
            <w:pPr>
              <w:widowControl/>
              <w:adjustRightInd/>
              <w:jc w:val="center"/>
              <w:textAlignment w:val="center"/>
              <w:rPr>
                <w:rFonts w:hint="eastAsia" w:asciiTheme="minorEastAsia" w:hAnsiTheme="minorEastAsia" w:eastAsiaTheme="minorEastAsia" w:cstheme="minorEastAsia"/>
                <w:b/>
                <w:bCs/>
                <w:color w:val="auto"/>
                <w:sz w:val="21"/>
                <w:szCs w:val="21"/>
                <w:highlight w:val="none"/>
                <w:lang w:val="en-US" w:eastAsia="zh-CN"/>
              </w:rPr>
            </w:pPr>
          </w:p>
        </w:tc>
      </w:tr>
      <w:tr w14:paraId="6A63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09" w:type="dxa"/>
            <w:noWrap w:val="0"/>
            <w:vAlign w:val="center"/>
          </w:tcPr>
          <w:p w14:paraId="7497D1E2">
            <w:pPr>
              <w:widowControl w:val="0"/>
              <w:adjustRightInd/>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1074" w:type="dxa"/>
            <w:noWrap w:val="0"/>
            <w:vAlign w:val="center"/>
          </w:tcPr>
          <w:p w14:paraId="55A506D3">
            <w:pPr>
              <w:widowControl/>
              <w:adjustRightInd/>
              <w:jc w:val="center"/>
              <w:textAlignment w:val="center"/>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项目审定人员</w:t>
            </w:r>
          </w:p>
        </w:tc>
        <w:tc>
          <w:tcPr>
            <w:tcW w:w="3119" w:type="dxa"/>
            <w:noWrap w:val="0"/>
            <w:vAlign w:val="center"/>
          </w:tcPr>
          <w:p w14:paraId="350F28B0">
            <w:pPr>
              <w:widowControl/>
              <w:adjustRightInd/>
              <w:textAlignment w:val="center"/>
              <w:rPr>
                <w:rFonts w:hint="eastAsia" w:asciiTheme="minorEastAsia" w:hAnsiTheme="minorEastAsia" w:eastAsiaTheme="minorEastAsia" w:cstheme="minorEastAsia"/>
                <w:b/>
                <w:bCs/>
                <w:color w:val="auto"/>
                <w:kern w:val="0"/>
                <w:sz w:val="21"/>
                <w:szCs w:val="21"/>
                <w:highlight w:val="none"/>
                <w:lang w:eastAsia="zh-CN" w:bidi="ar"/>
              </w:rPr>
            </w:pPr>
            <w:r>
              <w:rPr>
                <w:rFonts w:hint="eastAsia" w:asciiTheme="minorEastAsia" w:hAnsiTheme="minorEastAsia" w:eastAsiaTheme="minorEastAsia" w:cstheme="minorEastAsia"/>
                <w:b/>
                <w:bCs/>
                <w:sz w:val="21"/>
                <w:szCs w:val="21"/>
                <w:highlight w:val="none"/>
                <w:lang w:val="en-US" w:eastAsia="zh-CN" w:bidi="ar"/>
              </w:rPr>
              <w:t>须具有一级注册造价师资格和高级职称，且为单位技术负责人，审定人员不得兼负责人及作业人员。</w:t>
            </w:r>
            <w:r>
              <w:rPr>
                <w:rFonts w:hint="eastAsia" w:asciiTheme="minorEastAsia" w:hAnsiTheme="minorEastAsia" w:eastAsiaTheme="minorEastAsia" w:cstheme="minorEastAsia"/>
                <w:b/>
                <w:bCs/>
                <w:color w:val="auto"/>
                <w:spacing w:val="-6"/>
                <w:sz w:val="21"/>
                <w:szCs w:val="21"/>
                <w:highlight w:val="none"/>
                <w:lang w:eastAsia="zh-CN"/>
              </w:rPr>
              <w:t>（投标文件中提供相关证明材料，</w:t>
            </w:r>
            <w:r>
              <w:rPr>
                <w:rFonts w:hint="eastAsia" w:asciiTheme="minorEastAsia" w:hAnsiTheme="minorEastAsia" w:eastAsiaTheme="minorEastAsia" w:cstheme="minorEastAsia"/>
                <w:b/>
                <w:bCs/>
                <w:color w:val="auto"/>
                <w:spacing w:val="-6"/>
                <w:sz w:val="21"/>
                <w:szCs w:val="21"/>
                <w:highlight w:val="none"/>
                <w:lang w:val="en-US" w:eastAsia="zh-CN"/>
              </w:rPr>
              <w:t>须出具技术负责人委任书或相关证明</w:t>
            </w:r>
            <w:r>
              <w:rPr>
                <w:rFonts w:hint="eastAsia" w:asciiTheme="minorEastAsia" w:hAnsiTheme="minorEastAsia" w:eastAsiaTheme="minorEastAsia" w:cstheme="minorEastAsia"/>
                <w:b/>
                <w:bCs/>
                <w:color w:val="auto"/>
                <w:spacing w:val="-6"/>
                <w:sz w:val="21"/>
                <w:szCs w:val="21"/>
                <w:highlight w:val="none"/>
                <w:lang w:eastAsia="zh-CN"/>
              </w:rPr>
              <w:t>）</w:t>
            </w:r>
          </w:p>
        </w:tc>
        <w:tc>
          <w:tcPr>
            <w:tcW w:w="993" w:type="dxa"/>
            <w:noWrap w:val="0"/>
            <w:vAlign w:val="center"/>
          </w:tcPr>
          <w:p w14:paraId="3ED89CB0">
            <w:pPr>
              <w:widowControl/>
              <w:adjustRightInd/>
              <w:jc w:val="center"/>
              <w:textAlignment w:val="center"/>
              <w:rPr>
                <w:rFonts w:hint="eastAsia" w:asciiTheme="minorEastAsia" w:hAnsiTheme="minorEastAsia" w:eastAsiaTheme="minorEastAsia" w:cstheme="minorEastAsia"/>
                <w:b/>
                <w:bCs/>
                <w:color w:val="auto"/>
                <w:kern w:val="0"/>
                <w:sz w:val="21"/>
                <w:szCs w:val="21"/>
                <w:highlight w:val="none"/>
                <w:lang w:val="en-US" w:eastAsia="zh-CN" w:bidi="ar"/>
              </w:rPr>
            </w:pPr>
          </w:p>
        </w:tc>
        <w:tc>
          <w:tcPr>
            <w:tcW w:w="2251" w:type="dxa"/>
            <w:noWrap w:val="0"/>
            <w:vAlign w:val="center"/>
          </w:tcPr>
          <w:p w14:paraId="4208C1F5">
            <w:pPr>
              <w:widowControl/>
              <w:adjustRightInd/>
              <w:jc w:val="center"/>
              <w:textAlignment w:val="center"/>
              <w:rPr>
                <w:rFonts w:hint="eastAsia" w:asciiTheme="minorEastAsia" w:hAnsiTheme="minorEastAsia" w:eastAsiaTheme="minorEastAsia" w:cstheme="minorEastAsia"/>
                <w:b/>
                <w:bCs/>
                <w:color w:val="auto"/>
                <w:kern w:val="0"/>
                <w:sz w:val="21"/>
                <w:szCs w:val="21"/>
                <w:highlight w:val="none"/>
                <w:lang w:val="en-US" w:eastAsia="zh-CN" w:bidi="ar"/>
              </w:rPr>
            </w:pPr>
          </w:p>
        </w:tc>
        <w:tc>
          <w:tcPr>
            <w:tcW w:w="1008" w:type="dxa"/>
            <w:noWrap w:val="0"/>
            <w:vAlign w:val="center"/>
          </w:tcPr>
          <w:p w14:paraId="2BF5385D">
            <w:pPr>
              <w:widowControl/>
              <w:adjustRightInd/>
              <w:jc w:val="center"/>
              <w:textAlignment w:val="center"/>
              <w:rPr>
                <w:rFonts w:hint="eastAsia" w:asciiTheme="minorEastAsia" w:hAnsiTheme="minorEastAsia" w:eastAsiaTheme="minorEastAsia" w:cstheme="minorEastAsia"/>
                <w:b/>
                <w:bCs/>
                <w:color w:val="auto"/>
                <w:kern w:val="0"/>
                <w:sz w:val="21"/>
                <w:szCs w:val="21"/>
                <w:highlight w:val="none"/>
                <w:lang w:val="en-US" w:eastAsia="zh-CN" w:bidi="ar"/>
              </w:rPr>
            </w:pPr>
          </w:p>
        </w:tc>
      </w:tr>
    </w:tbl>
    <w:p w14:paraId="421AA894">
      <w:pPr>
        <w:pStyle w:val="145"/>
        <w:adjustRightInd w:val="0"/>
        <w:snapToGrid w:val="0"/>
        <w:spacing w:line="44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3.1.</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咨询人更换项目咨询团队其他咨询人员的约定：</w:t>
      </w:r>
      <w:r>
        <w:rPr>
          <w:rFonts w:hint="eastAsia" w:asciiTheme="minorEastAsia" w:hAnsiTheme="minorEastAsia" w:eastAsiaTheme="minorEastAsia" w:cstheme="minorEastAsia"/>
          <w:color w:val="auto"/>
          <w:highlight w:val="none"/>
          <w:u w:val="single"/>
        </w:rPr>
        <w:t xml:space="preserve">    咨询人更换项目负责人时，提前7个工作日向委托人书面报告，经委托人同意后方可更换。咨询人更换项目咨询团队其他咨询人员，提前3日向委托人书面报告，经委托人同意后以相当资格与能力的人员替换 </w:t>
      </w:r>
      <w:r>
        <w:rPr>
          <w:rFonts w:hint="eastAsia" w:asciiTheme="minorEastAsia" w:hAnsiTheme="minorEastAsia" w:eastAsiaTheme="minorEastAsia" w:cstheme="minorEastAsia"/>
          <w:color w:val="auto"/>
          <w:highlight w:val="none"/>
        </w:rPr>
        <w:t>。</w:t>
      </w:r>
    </w:p>
    <w:p w14:paraId="05F33DD5">
      <w:pPr>
        <w:pStyle w:val="13"/>
        <w:adjustRightInd w:val="0"/>
        <w:snapToGrid w:val="0"/>
        <w:spacing w:before="0" w:line="440" w:lineRule="exact"/>
        <w:ind w:firstLine="420" w:firstLineChars="200"/>
        <w:jc w:val="left"/>
        <w:rPr>
          <w:rFonts w:hint="eastAsia" w:asciiTheme="minorEastAsia" w:hAnsiTheme="minorEastAsia" w:eastAsiaTheme="minorEastAsia" w:cstheme="minorEastAsia"/>
          <w:b w:val="0"/>
          <w:color w:val="auto"/>
          <w:sz w:val="21"/>
          <w:szCs w:val="21"/>
          <w:highlight w:val="none"/>
        </w:rPr>
      </w:pPr>
      <w:bookmarkStart w:id="71" w:name="_Toc495869300"/>
      <w:bookmarkStart w:id="72" w:name="_Toc419045110"/>
      <w:r>
        <w:rPr>
          <w:rFonts w:hint="eastAsia" w:asciiTheme="minorEastAsia" w:hAnsiTheme="minorEastAsia" w:eastAsiaTheme="minorEastAsia" w:cstheme="minorEastAsia"/>
          <w:b w:val="0"/>
          <w:color w:val="auto"/>
          <w:sz w:val="21"/>
          <w:szCs w:val="21"/>
          <w:highlight w:val="none"/>
        </w:rPr>
        <w:t>3.2咨询人的工作要求</w:t>
      </w:r>
      <w:bookmarkEnd w:id="71"/>
      <w:bookmarkEnd w:id="72"/>
    </w:p>
    <w:p w14:paraId="2190EC42">
      <w:pPr>
        <w:adjustRightInd w:val="0"/>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3.2.1咨询人向委托人提供有关资料的时间：</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w:t>
      </w:r>
    </w:p>
    <w:p w14:paraId="6BD5EBB8">
      <w:pPr>
        <w:adjustRightInd w:val="0"/>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3.2.2咨询人向委托人提供咨询成果文件的名称、组成、</w:t>
      </w:r>
      <w:r>
        <w:rPr>
          <w:rFonts w:hint="eastAsia" w:asciiTheme="minorEastAsia" w:hAnsiTheme="minorEastAsia" w:eastAsiaTheme="minorEastAsia" w:cstheme="minorEastAsia"/>
          <w:b w:val="0"/>
          <w:bCs w:val="0"/>
          <w:color w:val="auto"/>
          <w:szCs w:val="21"/>
          <w:highlight w:val="none"/>
        </w:rPr>
        <w:t>时间、</w:t>
      </w:r>
      <w:r>
        <w:rPr>
          <w:rFonts w:hint="eastAsia" w:asciiTheme="minorEastAsia" w:hAnsiTheme="minorEastAsia" w:eastAsiaTheme="minorEastAsia" w:cstheme="minorEastAsia"/>
          <w:color w:val="auto"/>
          <w:szCs w:val="21"/>
          <w:highlight w:val="none"/>
        </w:rPr>
        <w:t>份数及质量标准：</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结算审核陆</w:t>
      </w:r>
      <w:r>
        <w:rPr>
          <w:rFonts w:hint="eastAsia" w:asciiTheme="minorEastAsia" w:hAnsiTheme="minorEastAsia" w:eastAsiaTheme="minorEastAsia" w:cstheme="minorEastAsia"/>
          <w:color w:val="auto"/>
          <w:szCs w:val="21"/>
          <w:highlight w:val="none"/>
          <w:u w:val="single"/>
        </w:rPr>
        <w:t>份</w:t>
      </w:r>
      <w:r>
        <w:rPr>
          <w:rFonts w:hint="eastAsia" w:asciiTheme="minorEastAsia" w:hAnsiTheme="minorEastAsia" w:eastAsiaTheme="minorEastAsia" w:cstheme="minorEastAsia"/>
          <w:color w:val="auto"/>
          <w:szCs w:val="21"/>
          <w:highlight w:val="none"/>
          <w:u w:val="single"/>
          <w:lang w:val="en-US" w:eastAsia="zh-CN"/>
        </w:rPr>
        <w:t>纸质和壹份电子（包括但不限于报告书、计算稿、计价软件及EXCEL表、无价材料三方询价记录等）</w:t>
      </w:r>
      <w:r>
        <w:rPr>
          <w:rFonts w:hint="eastAsia" w:asciiTheme="minorEastAsia" w:hAnsiTheme="minorEastAsia" w:eastAsiaTheme="minorEastAsia" w:cstheme="minorEastAsia"/>
          <w:color w:val="auto"/>
          <w:szCs w:val="21"/>
          <w:highlight w:val="none"/>
        </w:rPr>
        <w:t>。</w:t>
      </w:r>
    </w:p>
    <w:p w14:paraId="10B649CE">
      <w:pPr>
        <w:adjustRightInd w:val="0"/>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3.2.4咨询人应在收到委托人以书面形式提出的建议或者异议后</w:t>
      </w:r>
      <w:r>
        <w:rPr>
          <w:rFonts w:hint="eastAsia" w:asciiTheme="minorEastAsia" w:hAnsiTheme="minorEastAsia" w:eastAsiaTheme="minorEastAsia" w:cstheme="minorEastAsia"/>
          <w:b/>
          <w:bCs/>
          <w:color w:val="auto"/>
          <w:szCs w:val="21"/>
          <w:highlight w:val="none"/>
          <w:u w:val="single"/>
        </w:rPr>
        <w:t>3个工作</w:t>
      </w:r>
      <w:r>
        <w:rPr>
          <w:rFonts w:hint="eastAsia" w:asciiTheme="minorEastAsia" w:hAnsiTheme="minorEastAsia" w:eastAsiaTheme="minorEastAsia" w:cstheme="minorEastAsia"/>
          <w:color w:val="auto"/>
          <w:szCs w:val="21"/>
          <w:highlight w:val="none"/>
        </w:rPr>
        <w:t>日内给予书面答复。</w:t>
      </w:r>
    </w:p>
    <w:p w14:paraId="6D2B0315">
      <w:pPr>
        <w:pStyle w:val="17"/>
        <w:widowControl/>
        <w:adjustRightInd w:val="0"/>
        <w:snapToGrid w:val="0"/>
        <w:spacing w:before="0" w:after="0" w:line="440" w:lineRule="exact"/>
        <w:ind w:firstLine="420" w:firstLineChars="200"/>
        <w:jc w:val="left"/>
        <w:outlineLvl w:val="9"/>
        <w:rPr>
          <w:rFonts w:hint="eastAsia" w:asciiTheme="minorEastAsia" w:hAnsiTheme="minorEastAsia" w:eastAsiaTheme="minorEastAsia" w:cstheme="minorEastAsia"/>
          <w:b w:val="0"/>
          <w:bCs w:val="0"/>
          <w:color w:val="auto"/>
          <w:sz w:val="21"/>
          <w:szCs w:val="21"/>
          <w:highlight w:val="none"/>
        </w:rPr>
      </w:pPr>
      <w:bookmarkStart w:id="73" w:name="_Toc495869301"/>
      <w:bookmarkStart w:id="74" w:name="_Toc419045111"/>
      <w:r>
        <w:rPr>
          <w:rFonts w:hint="eastAsia" w:asciiTheme="minorEastAsia" w:hAnsiTheme="minorEastAsia" w:eastAsiaTheme="minorEastAsia" w:cstheme="minorEastAsia"/>
          <w:b w:val="0"/>
          <w:bCs w:val="0"/>
          <w:color w:val="auto"/>
          <w:sz w:val="21"/>
          <w:szCs w:val="21"/>
          <w:highlight w:val="none"/>
          <w:lang w:val="en-US" w:eastAsia="zh-CN"/>
        </w:rPr>
        <w:t xml:space="preserve">3.2.5 </w:t>
      </w:r>
      <w:r>
        <w:rPr>
          <w:rFonts w:hint="eastAsia" w:asciiTheme="minorEastAsia" w:hAnsiTheme="minorEastAsia" w:eastAsiaTheme="minorEastAsia" w:cstheme="minorEastAsia"/>
          <w:b w:val="0"/>
          <w:bCs w:val="0"/>
          <w:color w:val="auto"/>
          <w:sz w:val="21"/>
          <w:szCs w:val="21"/>
          <w:highlight w:val="none"/>
        </w:rPr>
        <w:t>施工阶段全过程工程造价控制（含跟踪审计</w:t>
      </w:r>
      <w:r>
        <w:rPr>
          <w:rFonts w:hint="eastAsia" w:asciiTheme="minorEastAsia" w:hAnsiTheme="minorEastAsia" w:eastAsiaTheme="minorEastAsia" w:cstheme="minorEastAsia"/>
          <w:b w:val="0"/>
          <w:bCs w:val="0"/>
          <w:color w:val="auto"/>
          <w:sz w:val="21"/>
          <w:szCs w:val="21"/>
          <w:highlight w:val="none"/>
          <w:lang w:eastAsia="zh-CN"/>
        </w:rPr>
        <w:t>、不含工程量清单及招标控制价编制</w:t>
      </w: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eastAsia="zh-CN"/>
        </w:rPr>
        <w:t>和</w:t>
      </w:r>
      <w:r>
        <w:rPr>
          <w:rFonts w:hint="eastAsia" w:asciiTheme="minorEastAsia" w:hAnsiTheme="minorEastAsia" w:eastAsiaTheme="minorEastAsia" w:cstheme="minorEastAsia"/>
          <w:b w:val="0"/>
          <w:bCs w:val="0"/>
          <w:color w:val="auto"/>
          <w:sz w:val="21"/>
          <w:szCs w:val="21"/>
          <w:highlight w:val="none"/>
          <w:lang w:val="en-US" w:eastAsia="zh-CN"/>
        </w:rPr>
        <w:t>工程</w:t>
      </w:r>
      <w:r>
        <w:rPr>
          <w:rFonts w:hint="eastAsia" w:asciiTheme="minorEastAsia" w:hAnsiTheme="minorEastAsia" w:eastAsiaTheme="minorEastAsia" w:cstheme="minorEastAsia"/>
          <w:b w:val="0"/>
          <w:bCs w:val="0"/>
          <w:color w:val="auto"/>
          <w:sz w:val="21"/>
          <w:szCs w:val="21"/>
          <w:highlight w:val="none"/>
          <w:lang w:eastAsia="zh-CN"/>
        </w:rPr>
        <w:t>结算审核</w:t>
      </w:r>
      <w:r>
        <w:rPr>
          <w:rFonts w:hint="eastAsia" w:asciiTheme="minorEastAsia" w:hAnsiTheme="minorEastAsia" w:eastAsiaTheme="minorEastAsia" w:cstheme="minorEastAsia"/>
          <w:b w:val="0"/>
          <w:bCs w:val="0"/>
          <w:color w:val="auto"/>
          <w:sz w:val="21"/>
          <w:szCs w:val="21"/>
          <w:highlight w:val="none"/>
        </w:rPr>
        <w:t>工作要求：</w:t>
      </w:r>
    </w:p>
    <w:p w14:paraId="58BFB601">
      <w:pPr>
        <w:pStyle w:val="17"/>
        <w:widowControl/>
        <w:adjustRightInd w:val="0"/>
        <w:snapToGrid w:val="0"/>
        <w:spacing w:before="0" w:after="0" w:line="440" w:lineRule="exact"/>
        <w:ind w:firstLine="420" w:firstLineChars="200"/>
        <w:jc w:val="left"/>
        <w:outlineLvl w:val="9"/>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（1）跟踪审计服务工作要求：</w:t>
      </w:r>
    </w:p>
    <w:p w14:paraId="7915C196">
      <w:pPr>
        <w:pStyle w:val="17"/>
        <w:widowControl/>
        <w:numPr>
          <w:ilvl w:val="0"/>
          <w:numId w:val="11"/>
        </w:numPr>
        <w:adjustRightInd w:val="0"/>
        <w:snapToGrid w:val="0"/>
        <w:spacing w:before="0" w:after="0" w:line="440" w:lineRule="exact"/>
        <w:ind w:firstLine="420" w:firstLineChars="200"/>
        <w:jc w:val="left"/>
        <w:outlineLvl w:val="9"/>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项目负责人每个月必须到建设项目现场工作</w:t>
      </w:r>
      <w:r>
        <w:rPr>
          <w:rFonts w:hint="eastAsia" w:asciiTheme="minorEastAsia" w:hAnsiTheme="minorEastAsia" w:eastAsiaTheme="minorEastAsia" w:cstheme="minorEastAsia"/>
          <w:b w:val="0"/>
          <w:bCs w:val="0"/>
          <w:color w:val="auto"/>
          <w:sz w:val="21"/>
          <w:szCs w:val="21"/>
          <w:highlight w:val="none"/>
          <w:lang w:val="en-US"/>
        </w:rPr>
        <w:t>2</w:t>
      </w:r>
      <w:r>
        <w:rPr>
          <w:rFonts w:hint="eastAsia" w:asciiTheme="minorEastAsia" w:hAnsiTheme="minorEastAsia" w:eastAsiaTheme="minorEastAsia" w:cstheme="minorEastAsia"/>
          <w:b w:val="0"/>
          <w:bCs w:val="0"/>
          <w:color w:val="auto"/>
          <w:sz w:val="21"/>
          <w:szCs w:val="21"/>
          <w:highlight w:val="none"/>
        </w:rPr>
        <w:t>天，同时根据建设管理单位要求或工作需要不定期到现场工作。在跟踪评审实施过程中，跟踪评审人员必须保证每周</w:t>
      </w:r>
      <w:r>
        <w:rPr>
          <w:rFonts w:hint="eastAsia" w:asciiTheme="minorEastAsia" w:hAnsiTheme="minorEastAsia" w:eastAsiaTheme="minorEastAsia" w:cstheme="minorEastAsia"/>
          <w:b w:val="0"/>
          <w:bCs w:val="0"/>
          <w:color w:val="auto"/>
          <w:sz w:val="21"/>
          <w:szCs w:val="21"/>
          <w:highlight w:val="none"/>
          <w:lang w:val="en-US"/>
        </w:rPr>
        <w:t>2</w:t>
      </w:r>
      <w:r>
        <w:rPr>
          <w:rFonts w:hint="eastAsia" w:asciiTheme="minorEastAsia" w:hAnsiTheme="minorEastAsia" w:eastAsiaTheme="minorEastAsia" w:cstheme="minorEastAsia"/>
          <w:b w:val="0"/>
          <w:bCs w:val="0"/>
          <w:color w:val="auto"/>
          <w:sz w:val="21"/>
          <w:szCs w:val="21"/>
          <w:highlight w:val="none"/>
        </w:rPr>
        <w:t>天驻场跟踪评审，其日常工作分配由建设管理单位管理。</w:t>
      </w:r>
    </w:p>
    <w:p w14:paraId="016574F2">
      <w:pPr>
        <w:pStyle w:val="17"/>
        <w:widowControl/>
        <w:numPr>
          <w:ilvl w:val="0"/>
          <w:numId w:val="11"/>
        </w:numPr>
        <w:adjustRightInd w:val="0"/>
        <w:snapToGrid w:val="0"/>
        <w:spacing w:before="0" w:after="0" w:line="440" w:lineRule="exact"/>
        <w:ind w:firstLine="420" w:firstLineChars="200"/>
        <w:jc w:val="left"/>
        <w:outlineLvl w:val="9"/>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对招标人提出的服务请求（原则上提前24小时通知），中标人应在接到招标人通知1小时内作出响应，主审人员和跟踪评审人员必须在通知时间内到达。</w:t>
      </w:r>
    </w:p>
    <w:p w14:paraId="498D5E9A">
      <w:pPr>
        <w:pStyle w:val="17"/>
        <w:widowControl/>
        <w:numPr>
          <w:ilvl w:val="0"/>
          <w:numId w:val="11"/>
        </w:numPr>
        <w:adjustRightInd w:val="0"/>
        <w:snapToGrid w:val="0"/>
        <w:spacing w:before="0" w:after="0" w:line="440" w:lineRule="exact"/>
        <w:ind w:firstLine="420" w:firstLineChars="200"/>
        <w:jc w:val="left"/>
        <w:outlineLvl w:val="9"/>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项目负责人应参与项目列席重要的技术交底(会审)、设计变更等会议，及时提出意见。项目负责人要认真写好现场工作日记，记录参加的会议内容和审核工程技术方案、合同的有关情况及工作程序等。注意收集审查资料，保证项目审查资料及审查记录的完整、真实、准确。</w:t>
      </w:r>
    </w:p>
    <w:p w14:paraId="42B7C983">
      <w:pPr>
        <w:pStyle w:val="17"/>
        <w:widowControl/>
        <w:numPr>
          <w:ilvl w:val="0"/>
          <w:numId w:val="11"/>
        </w:numPr>
        <w:adjustRightInd w:val="0"/>
        <w:snapToGrid w:val="0"/>
        <w:spacing w:before="0" w:after="0" w:line="440" w:lineRule="exact"/>
        <w:ind w:firstLine="420" w:firstLineChars="200"/>
        <w:jc w:val="left"/>
        <w:outlineLvl w:val="9"/>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工程建设中设计变更、设备购置调整和技术方案重大修改等影响项目投资或发现建设管理单位、施工单位有违反政策、制度的事项，须及时向有关部门及时作出处理。</w:t>
      </w:r>
    </w:p>
    <w:p w14:paraId="112BE59F">
      <w:pPr>
        <w:pStyle w:val="17"/>
        <w:widowControl/>
        <w:numPr>
          <w:ilvl w:val="0"/>
          <w:numId w:val="11"/>
        </w:numPr>
        <w:adjustRightInd w:val="0"/>
        <w:snapToGrid w:val="0"/>
        <w:spacing w:before="0" w:after="0" w:line="440" w:lineRule="exact"/>
        <w:ind w:firstLine="420" w:firstLineChars="200"/>
        <w:jc w:val="left"/>
        <w:outlineLvl w:val="9"/>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负责对施工单位上报的已完工作量进度报表进行审核，提供详细的审核报告，并出具当期进度款付款建议书，经招标人认可后作为支付当期进度款的依据；</w:t>
      </w:r>
    </w:p>
    <w:p w14:paraId="58C98667">
      <w:pPr>
        <w:pStyle w:val="17"/>
        <w:widowControl/>
        <w:numPr>
          <w:ilvl w:val="0"/>
          <w:numId w:val="11"/>
        </w:numPr>
        <w:adjustRightInd w:val="0"/>
        <w:snapToGrid w:val="0"/>
        <w:spacing w:before="0" w:after="0" w:line="440" w:lineRule="exact"/>
        <w:ind w:firstLine="420" w:firstLineChars="200"/>
        <w:jc w:val="left"/>
        <w:outlineLvl w:val="9"/>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对招标人在咨询期内所支付的各类款项进行审核并出具付款建议书；</w:t>
      </w:r>
    </w:p>
    <w:p w14:paraId="4B781F0E">
      <w:pPr>
        <w:pStyle w:val="17"/>
        <w:widowControl/>
        <w:numPr>
          <w:ilvl w:val="0"/>
          <w:numId w:val="11"/>
        </w:numPr>
        <w:adjustRightInd w:val="0"/>
        <w:snapToGrid w:val="0"/>
        <w:spacing w:before="0" w:after="0" w:line="440" w:lineRule="exact"/>
        <w:ind w:firstLine="420" w:firstLineChars="200"/>
        <w:jc w:val="left"/>
        <w:outlineLvl w:val="9"/>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对招标人在咨询期内所签订的各类合同进行审核并出具咨询建议书；</w:t>
      </w:r>
    </w:p>
    <w:p w14:paraId="7AE4DC4A">
      <w:pPr>
        <w:pStyle w:val="17"/>
        <w:widowControl/>
        <w:numPr>
          <w:ilvl w:val="0"/>
          <w:numId w:val="11"/>
        </w:numPr>
        <w:adjustRightInd w:val="0"/>
        <w:snapToGrid w:val="0"/>
        <w:spacing w:before="0" w:after="0" w:line="440" w:lineRule="exact"/>
        <w:ind w:firstLine="420" w:firstLineChars="200"/>
        <w:jc w:val="left"/>
        <w:outlineLvl w:val="9"/>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承包方提出索赔时，根据合同和有关法律、法规，及时出具对索赔的处理意见和建议，并对索赔发生的金额进行审核；</w:t>
      </w:r>
    </w:p>
    <w:p w14:paraId="4028D465">
      <w:pPr>
        <w:pStyle w:val="17"/>
        <w:widowControl/>
        <w:numPr>
          <w:ilvl w:val="0"/>
          <w:numId w:val="11"/>
        </w:numPr>
        <w:adjustRightInd w:val="0"/>
        <w:snapToGrid w:val="0"/>
        <w:spacing w:before="0" w:after="0" w:line="440" w:lineRule="exact"/>
        <w:ind w:firstLine="420" w:firstLineChars="200"/>
        <w:jc w:val="left"/>
        <w:outlineLvl w:val="9"/>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对设计变更、隐蔽工程、现场签证进行现场勘验和确认，及时审核设计变更、现场签证等的合理性、必要性及发生的费用，相应调整投资控制目标；对量大及非常规签证及时向招标人报告，并向招标人提供决策依据和建议；</w:t>
      </w:r>
    </w:p>
    <w:p w14:paraId="53C7C04D">
      <w:pPr>
        <w:pStyle w:val="17"/>
        <w:widowControl/>
        <w:numPr>
          <w:ilvl w:val="0"/>
          <w:numId w:val="11"/>
        </w:numPr>
        <w:adjustRightInd w:val="0"/>
        <w:snapToGrid w:val="0"/>
        <w:spacing w:before="0" w:after="0" w:line="440" w:lineRule="exact"/>
        <w:ind w:firstLine="420" w:firstLineChars="200"/>
        <w:jc w:val="left"/>
        <w:outlineLvl w:val="9"/>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提供涉及委托咨询工程项目的人工、材料、设备等价格信息和基本建设法律、法规、政策、制度方面的咨询服务，对市场定价项目、竞价项目、无价材料、甲供材料及装饰材料等进行询价，提供询价依据和限价、定价建议；</w:t>
      </w:r>
    </w:p>
    <w:p w14:paraId="15782C63">
      <w:pPr>
        <w:pStyle w:val="17"/>
        <w:widowControl/>
        <w:numPr>
          <w:ilvl w:val="0"/>
          <w:numId w:val="11"/>
        </w:numPr>
        <w:adjustRightInd w:val="0"/>
        <w:snapToGrid w:val="0"/>
        <w:spacing w:before="0" w:after="0" w:line="440" w:lineRule="exact"/>
        <w:ind w:firstLine="420" w:firstLineChars="200"/>
        <w:jc w:val="left"/>
        <w:outlineLvl w:val="9"/>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 xml:space="preserve">根据需要，分期、分批、按需审核各项工程造价： </w:t>
      </w:r>
    </w:p>
    <w:p w14:paraId="7C77242B">
      <w:pPr>
        <w:pStyle w:val="17"/>
        <w:widowControl/>
        <w:adjustRightInd w:val="0"/>
        <w:snapToGrid w:val="0"/>
        <w:spacing w:before="0" w:after="0" w:line="440" w:lineRule="exact"/>
        <w:ind w:firstLine="420" w:firstLineChars="200"/>
        <w:jc w:val="left"/>
        <w:outlineLvl w:val="9"/>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 xml:space="preserve">1）现场踏勘、计量复核； </w:t>
      </w:r>
    </w:p>
    <w:p w14:paraId="59E7A47D">
      <w:pPr>
        <w:pStyle w:val="17"/>
        <w:widowControl/>
        <w:adjustRightInd w:val="0"/>
        <w:snapToGrid w:val="0"/>
        <w:spacing w:before="0" w:after="0" w:line="440" w:lineRule="exact"/>
        <w:ind w:firstLine="420" w:firstLineChars="200"/>
        <w:jc w:val="left"/>
        <w:outlineLvl w:val="9"/>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2）对工程量、工程要素价格及各类项目费用进行审核；</w:t>
      </w:r>
    </w:p>
    <w:p w14:paraId="71F398FC">
      <w:pPr>
        <w:pStyle w:val="17"/>
        <w:widowControl/>
        <w:numPr>
          <w:ilvl w:val="0"/>
          <w:numId w:val="11"/>
        </w:numPr>
        <w:adjustRightInd w:val="0"/>
        <w:snapToGrid w:val="0"/>
        <w:spacing w:before="0" w:after="0" w:line="440" w:lineRule="exact"/>
        <w:ind w:firstLine="400" w:firstLineChars="0"/>
        <w:jc w:val="left"/>
        <w:outlineLvl w:val="9"/>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跟踪全过程工程咨询人员应每季度、每年编写跟踪咨询情况汇报，并上报；</w:t>
      </w:r>
    </w:p>
    <w:p w14:paraId="0942AE83">
      <w:pPr>
        <w:pStyle w:val="17"/>
        <w:widowControl/>
        <w:numPr>
          <w:ilvl w:val="0"/>
          <w:numId w:val="11"/>
        </w:numPr>
        <w:adjustRightInd w:val="0"/>
        <w:snapToGrid w:val="0"/>
        <w:spacing w:before="0" w:after="0" w:line="440" w:lineRule="exact"/>
        <w:ind w:firstLine="400" w:firstLineChars="0"/>
        <w:jc w:val="left"/>
        <w:outlineLvl w:val="9"/>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建立完整的项目跟踪咨询档案，在跟踪咨询项目完成后将相关资料整理汇编，向招标人移交。</w:t>
      </w:r>
    </w:p>
    <w:p w14:paraId="617D8F74">
      <w:pPr>
        <w:pStyle w:val="17"/>
        <w:widowControl/>
        <w:numPr>
          <w:ilvl w:val="0"/>
          <w:numId w:val="11"/>
        </w:numPr>
        <w:adjustRightInd w:val="0"/>
        <w:snapToGrid w:val="0"/>
        <w:spacing w:before="0" w:after="0" w:line="440" w:lineRule="exact"/>
        <w:ind w:firstLine="400" w:firstLineChars="0"/>
        <w:jc w:val="left"/>
        <w:outlineLvl w:val="9"/>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协助委托方处理工程造价纠纷、合同纠纷。</w:t>
      </w:r>
    </w:p>
    <w:p w14:paraId="4567A58D">
      <w:pPr>
        <w:pStyle w:val="17"/>
        <w:widowControl/>
        <w:numPr>
          <w:ilvl w:val="0"/>
          <w:numId w:val="11"/>
        </w:numPr>
        <w:adjustRightInd w:val="0"/>
        <w:snapToGrid w:val="0"/>
        <w:spacing w:before="0" w:after="0" w:line="440" w:lineRule="exact"/>
        <w:ind w:firstLine="400" w:firstLineChars="0"/>
        <w:jc w:val="left"/>
        <w:outlineLvl w:val="9"/>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与投资控制相关的其他咨询服务。</w:t>
      </w:r>
    </w:p>
    <w:p w14:paraId="3F2E81A2">
      <w:pPr>
        <w:pStyle w:val="17"/>
        <w:widowControl/>
        <w:adjustRightInd w:val="0"/>
        <w:snapToGrid w:val="0"/>
        <w:spacing w:before="0" w:after="0" w:line="440" w:lineRule="exact"/>
        <w:ind w:firstLine="420" w:firstLineChars="200"/>
        <w:jc w:val="left"/>
        <w:outlineLvl w:val="9"/>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w:t>
      </w:r>
      <w:r>
        <w:rPr>
          <w:rFonts w:hint="eastAsia" w:asciiTheme="minorEastAsia" w:hAnsiTheme="minorEastAsia" w:eastAsiaTheme="minorEastAsia" w:cstheme="minorEastAsia"/>
          <w:b w:val="0"/>
          <w:bCs w:val="0"/>
          <w:color w:val="auto"/>
          <w:sz w:val="21"/>
          <w:szCs w:val="21"/>
          <w:highlight w:val="none"/>
          <w:lang w:val="en-US" w:eastAsia="zh-CN"/>
        </w:rPr>
        <w:t>工程</w:t>
      </w:r>
      <w:r>
        <w:rPr>
          <w:rFonts w:hint="eastAsia" w:asciiTheme="minorEastAsia" w:hAnsiTheme="minorEastAsia" w:eastAsiaTheme="minorEastAsia" w:cstheme="minorEastAsia"/>
          <w:b w:val="0"/>
          <w:bCs w:val="0"/>
          <w:color w:val="auto"/>
          <w:sz w:val="21"/>
          <w:szCs w:val="21"/>
          <w:highlight w:val="none"/>
        </w:rPr>
        <w:t>结算审核工作要求：</w:t>
      </w:r>
    </w:p>
    <w:p w14:paraId="21024F4C">
      <w:pPr>
        <w:pStyle w:val="17"/>
        <w:widowControl/>
        <w:adjustRightInd w:val="0"/>
        <w:snapToGrid w:val="0"/>
        <w:spacing w:before="0" w:after="0" w:line="440" w:lineRule="exact"/>
        <w:ind w:firstLine="420" w:firstLineChars="200"/>
        <w:jc w:val="left"/>
        <w:outlineLvl w:val="9"/>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rPr>
        <w:t>（1）结算审核工作在</w:t>
      </w:r>
      <w:r>
        <w:rPr>
          <w:rFonts w:hint="eastAsia" w:asciiTheme="minorEastAsia" w:hAnsiTheme="minorEastAsia" w:eastAsiaTheme="minorEastAsia" w:cstheme="minorEastAsia"/>
          <w:b w:val="0"/>
          <w:bCs w:val="0"/>
          <w:color w:val="auto"/>
          <w:sz w:val="21"/>
          <w:szCs w:val="21"/>
          <w:highlight w:val="none"/>
          <w:lang w:val="en-US" w:eastAsia="zh-CN"/>
        </w:rPr>
        <w:t>6</w:t>
      </w:r>
      <w:r>
        <w:rPr>
          <w:rFonts w:hint="eastAsia" w:asciiTheme="minorEastAsia" w:hAnsiTheme="minorEastAsia" w:eastAsiaTheme="minorEastAsia" w:cstheme="minorEastAsia"/>
          <w:b w:val="0"/>
          <w:bCs w:val="0"/>
          <w:color w:val="auto"/>
          <w:sz w:val="21"/>
          <w:szCs w:val="21"/>
          <w:highlight w:val="none"/>
        </w:rPr>
        <w:t>0天内完成初稿，120天内完成结算审核工作并提交正式报告</w:t>
      </w:r>
      <w:r>
        <w:rPr>
          <w:rFonts w:hint="eastAsia" w:asciiTheme="minorEastAsia" w:hAnsiTheme="minorEastAsia" w:eastAsiaTheme="minorEastAsia" w:cstheme="minorEastAsia"/>
          <w:b w:val="0"/>
          <w:bCs w:val="0"/>
          <w:color w:val="auto"/>
          <w:sz w:val="21"/>
          <w:szCs w:val="21"/>
          <w:highlight w:val="none"/>
          <w:lang w:eastAsia="zh-CN"/>
        </w:rPr>
        <w:t>。</w:t>
      </w:r>
    </w:p>
    <w:p w14:paraId="08843313">
      <w:pPr>
        <w:pStyle w:val="17"/>
        <w:widowControl/>
        <w:adjustRightInd w:val="0"/>
        <w:snapToGrid w:val="0"/>
        <w:spacing w:before="0" w:after="0" w:line="440" w:lineRule="exact"/>
        <w:ind w:firstLine="420" w:firstLineChars="200"/>
        <w:jc w:val="left"/>
        <w:outlineLvl w:val="9"/>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）协助配合好</w:t>
      </w:r>
      <w:r>
        <w:rPr>
          <w:rFonts w:hint="eastAsia" w:asciiTheme="minorEastAsia" w:hAnsiTheme="minorEastAsia" w:eastAsiaTheme="minorEastAsia" w:cstheme="minorEastAsia"/>
          <w:b w:val="0"/>
          <w:bCs w:val="0"/>
          <w:color w:val="auto"/>
          <w:sz w:val="21"/>
          <w:szCs w:val="21"/>
          <w:highlight w:val="none"/>
          <w:lang w:eastAsia="zh-CN"/>
        </w:rPr>
        <w:t>结算</w:t>
      </w:r>
      <w:r>
        <w:rPr>
          <w:rFonts w:hint="eastAsia" w:asciiTheme="minorEastAsia" w:hAnsiTheme="minorEastAsia" w:eastAsiaTheme="minorEastAsia" w:cstheme="minorEastAsia"/>
          <w:b w:val="0"/>
          <w:bCs w:val="0"/>
          <w:color w:val="auto"/>
          <w:sz w:val="21"/>
          <w:szCs w:val="21"/>
          <w:highlight w:val="none"/>
        </w:rPr>
        <w:t>审核</w:t>
      </w:r>
      <w:r>
        <w:rPr>
          <w:rFonts w:hint="eastAsia" w:asciiTheme="minorEastAsia" w:hAnsiTheme="minorEastAsia" w:eastAsiaTheme="minorEastAsia" w:cstheme="minorEastAsia"/>
          <w:b w:val="0"/>
          <w:bCs w:val="0"/>
          <w:color w:val="auto"/>
          <w:sz w:val="21"/>
          <w:szCs w:val="21"/>
          <w:highlight w:val="none"/>
          <w:lang w:eastAsia="zh-CN"/>
        </w:rPr>
        <w:t>（二审）</w:t>
      </w:r>
      <w:r>
        <w:rPr>
          <w:rFonts w:hint="eastAsia" w:asciiTheme="minorEastAsia" w:hAnsiTheme="minorEastAsia" w:eastAsiaTheme="minorEastAsia" w:cstheme="minorEastAsia"/>
          <w:b w:val="0"/>
          <w:bCs w:val="0"/>
          <w:color w:val="auto"/>
          <w:sz w:val="21"/>
          <w:szCs w:val="21"/>
          <w:highlight w:val="none"/>
        </w:rPr>
        <w:t>工作，并且确保</w:t>
      </w:r>
      <w:r>
        <w:rPr>
          <w:rFonts w:hint="eastAsia" w:asciiTheme="minorEastAsia" w:hAnsiTheme="minorEastAsia" w:eastAsiaTheme="minorEastAsia" w:cstheme="minorEastAsia"/>
          <w:b w:val="0"/>
          <w:bCs w:val="0"/>
          <w:color w:val="auto"/>
          <w:sz w:val="21"/>
          <w:szCs w:val="21"/>
          <w:highlight w:val="none"/>
          <w:lang w:eastAsia="zh-CN"/>
        </w:rPr>
        <w:t>总</w:t>
      </w:r>
      <w:r>
        <w:rPr>
          <w:rFonts w:hint="eastAsia" w:asciiTheme="minorEastAsia" w:hAnsiTheme="minorEastAsia" w:eastAsiaTheme="minorEastAsia" w:cstheme="minorEastAsia"/>
          <w:b w:val="0"/>
          <w:bCs w:val="0"/>
          <w:color w:val="auto"/>
          <w:sz w:val="21"/>
          <w:szCs w:val="21"/>
          <w:highlight w:val="none"/>
        </w:rPr>
        <w:t>误差率控制在±3%之内。</w:t>
      </w:r>
    </w:p>
    <w:p w14:paraId="341E4E74">
      <w:pPr>
        <w:pStyle w:val="17"/>
        <w:widowControl/>
        <w:adjustRightInd w:val="0"/>
        <w:snapToGrid w:val="0"/>
        <w:spacing w:before="0" w:after="0" w:line="440" w:lineRule="exact"/>
        <w:ind w:firstLine="420" w:firstLineChars="200"/>
        <w:jc w:val="left"/>
        <w:outlineLvl w:val="9"/>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3</w:t>
      </w:r>
      <w:r>
        <w:rPr>
          <w:rFonts w:hint="eastAsia" w:asciiTheme="minorEastAsia" w:hAnsiTheme="minorEastAsia" w:eastAsiaTheme="minorEastAsia" w:cstheme="minorEastAsia"/>
          <w:b w:val="0"/>
          <w:bCs w:val="0"/>
          <w:color w:val="auto"/>
          <w:sz w:val="21"/>
          <w:szCs w:val="21"/>
          <w:highlight w:val="none"/>
        </w:rPr>
        <w:t>）工程竣工结算完成后还须做好宁海县政府投资项目评审中心另行安排的复核评审的配合工作。</w:t>
      </w:r>
    </w:p>
    <w:p w14:paraId="337BE15C">
      <w:pPr>
        <w:pStyle w:val="13"/>
        <w:adjustRightInd w:val="0"/>
        <w:snapToGrid w:val="0"/>
        <w:spacing w:before="0" w:line="440" w:lineRule="exact"/>
        <w:ind w:firstLine="420" w:firstLineChars="200"/>
        <w:jc w:val="left"/>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3.3咨询人的工作依据</w:t>
      </w:r>
      <w:bookmarkEnd w:id="73"/>
      <w:bookmarkEnd w:id="74"/>
    </w:p>
    <w:p w14:paraId="27327A62">
      <w:pPr>
        <w:adjustRightInd w:val="0"/>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经双方协商，本合同约定的造价咨询服务适用的技术标准、规范、定额等工作依据为： </w:t>
      </w:r>
      <w:r>
        <w:rPr>
          <w:rFonts w:hint="eastAsia" w:asciiTheme="minorEastAsia" w:hAnsiTheme="minorEastAsia" w:eastAsiaTheme="minorEastAsia" w:cstheme="minorEastAsia"/>
          <w:color w:val="auto"/>
          <w:szCs w:val="21"/>
          <w:highlight w:val="none"/>
          <w:lang w:val="en-US" w:eastAsia="zh-CN"/>
        </w:rPr>
        <w:t>《浙江省建设工程计价规则》（2018版）、《浙江省房屋建筑与装饰工程预算定额》（2018版）、《浙江省安装工程预算定额》（2018版）、《浙江省市政工程预算定额》（2018版）、《浙江省园林绿化及仿古建筑工程预算定额（2018版）》、《浙江省施工机械台班费用定额（2018版）》、《浙江省建设工程其他费用定额（2018版）》、施工图、竣工图等有关工程造价资</w:t>
      </w:r>
      <w:r>
        <w:rPr>
          <w:rFonts w:hint="eastAsia" w:asciiTheme="minorEastAsia" w:hAnsiTheme="minorEastAsia" w:eastAsiaTheme="minorEastAsia" w:cstheme="minorEastAsia"/>
          <w:color w:val="auto"/>
          <w:szCs w:val="21"/>
          <w:highlight w:val="none"/>
          <w:u w:val="none"/>
          <w:lang w:val="en-US" w:eastAsia="zh-CN"/>
        </w:rPr>
        <w:t>料</w:t>
      </w:r>
      <w:r>
        <w:rPr>
          <w:rFonts w:hint="eastAsia" w:asciiTheme="minorEastAsia" w:hAnsiTheme="minorEastAsia" w:eastAsiaTheme="minorEastAsia" w:cstheme="minorEastAsia"/>
          <w:color w:val="auto"/>
          <w:szCs w:val="21"/>
          <w:highlight w:val="none"/>
          <w:u w:val="none"/>
        </w:rPr>
        <w:t>。</w:t>
      </w:r>
    </w:p>
    <w:p w14:paraId="25BCB62C">
      <w:pPr>
        <w:pStyle w:val="17"/>
        <w:widowControl/>
        <w:adjustRightInd w:val="0"/>
        <w:snapToGrid w:val="0"/>
        <w:spacing w:before="0" w:after="0" w:line="440" w:lineRule="exact"/>
        <w:ind w:firstLine="422" w:firstLineChars="200"/>
        <w:jc w:val="left"/>
        <w:outlineLvl w:val="9"/>
        <w:rPr>
          <w:rFonts w:hint="eastAsia" w:asciiTheme="minorEastAsia" w:hAnsiTheme="minorEastAsia" w:eastAsiaTheme="minorEastAsia" w:cstheme="minorEastAsia"/>
          <w:color w:val="auto"/>
          <w:sz w:val="21"/>
          <w:szCs w:val="21"/>
          <w:highlight w:val="none"/>
        </w:rPr>
      </w:pPr>
      <w:bookmarkStart w:id="75" w:name="_Toc419045113"/>
      <w:bookmarkStart w:id="76" w:name="_Toc495869303"/>
      <w:r>
        <w:rPr>
          <w:rFonts w:hint="eastAsia" w:asciiTheme="minorEastAsia" w:hAnsiTheme="minorEastAsia" w:eastAsiaTheme="minorEastAsia" w:cstheme="minorEastAsia"/>
          <w:color w:val="auto"/>
          <w:sz w:val="21"/>
          <w:szCs w:val="21"/>
          <w:highlight w:val="none"/>
        </w:rPr>
        <w:t>4. 违约责任</w:t>
      </w:r>
      <w:bookmarkEnd w:id="75"/>
      <w:bookmarkEnd w:id="76"/>
    </w:p>
    <w:p w14:paraId="21EE78EF">
      <w:pPr>
        <w:pStyle w:val="13"/>
        <w:adjustRightInd w:val="0"/>
        <w:snapToGrid w:val="0"/>
        <w:spacing w:before="0" w:line="440" w:lineRule="exact"/>
        <w:ind w:firstLine="420" w:firstLineChars="200"/>
        <w:jc w:val="left"/>
        <w:rPr>
          <w:rFonts w:hint="eastAsia" w:asciiTheme="minorEastAsia" w:hAnsiTheme="minorEastAsia" w:eastAsiaTheme="minorEastAsia" w:cstheme="minorEastAsia"/>
          <w:color w:val="auto"/>
          <w:sz w:val="21"/>
          <w:szCs w:val="21"/>
          <w:highlight w:val="none"/>
        </w:rPr>
      </w:pPr>
      <w:bookmarkStart w:id="77" w:name="_Toc495869304"/>
      <w:r>
        <w:rPr>
          <w:rStyle w:val="147"/>
          <w:rFonts w:hint="eastAsia" w:asciiTheme="minorEastAsia" w:hAnsiTheme="minorEastAsia" w:eastAsiaTheme="minorEastAsia" w:cstheme="minorEastAsia"/>
          <w:b w:val="0"/>
          <w:bCs w:val="0"/>
          <w:color w:val="auto"/>
          <w:sz w:val="21"/>
          <w:szCs w:val="21"/>
          <w:highlight w:val="none"/>
        </w:rPr>
        <w:t>4.1委托人的违约责任</w:t>
      </w:r>
      <w:bookmarkEnd w:id="77"/>
    </w:p>
    <w:p w14:paraId="5A4A7FD8">
      <w:pPr>
        <w:adjustRightInd w:val="0"/>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4.1.1委托人违约金的计算及支付方法：</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398DA772">
      <w:pPr>
        <w:adjustRightInd w:val="0"/>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4.1.2委托人赔偿金额按下列方法确定并支付：</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7CDBE843">
      <w:pPr>
        <w:adjustRightInd w:val="0"/>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4.1.3 委托人逾期付款利息按下列方法计算并支付：</w:t>
      </w:r>
      <w:r>
        <w:rPr>
          <w:rFonts w:hint="eastAsia" w:asciiTheme="minorEastAsia" w:hAnsiTheme="minorEastAsia" w:eastAsiaTheme="minorEastAsia" w:cstheme="minorEastAsia"/>
          <w:color w:val="auto"/>
          <w:szCs w:val="21"/>
          <w:highlight w:val="none"/>
          <w:u w:val="single"/>
        </w:rPr>
        <w:t>/</w:t>
      </w:r>
      <w:r>
        <w:rPr>
          <w:rFonts w:hint="eastAsia" w:asciiTheme="minorEastAsia" w:hAnsiTheme="minorEastAsia" w:eastAsiaTheme="minorEastAsia" w:cstheme="minorEastAsia"/>
          <w:color w:val="auto"/>
          <w:szCs w:val="21"/>
          <w:highlight w:val="none"/>
        </w:rPr>
        <w:t>。</w:t>
      </w:r>
    </w:p>
    <w:p w14:paraId="7318FD55">
      <w:pPr>
        <w:pStyle w:val="13"/>
        <w:adjustRightInd w:val="0"/>
        <w:snapToGrid w:val="0"/>
        <w:spacing w:before="0" w:line="440" w:lineRule="exact"/>
        <w:ind w:firstLine="420" w:firstLineChars="200"/>
        <w:jc w:val="left"/>
        <w:rPr>
          <w:rFonts w:hint="eastAsia" w:asciiTheme="minorEastAsia" w:hAnsiTheme="minorEastAsia" w:eastAsiaTheme="minorEastAsia" w:cstheme="minorEastAsia"/>
          <w:b w:val="0"/>
          <w:color w:val="auto"/>
          <w:sz w:val="21"/>
          <w:szCs w:val="21"/>
          <w:highlight w:val="none"/>
        </w:rPr>
      </w:pPr>
      <w:bookmarkStart w:id="78" w:name="_Toc495869305"/>
      <w:bookmarkStart w:id="79" w:name="_Toc419045114"/>
      <w:r>
        <w:rPr>
          <w:rFonts w:hint="eastAsia" w:asciiTheme="minorEastAsia" w:hAnsiTheme="minorEastAsia" w:eastAsiaTheme="minorEastAsia" w:cstheme="minorEastAsia"/>
          <w:b w:val="0"/>
          <w:color w:val="auto"/>
          <w:sz w:val="21"/>
          <w:szCs w:val="21"/>
          <w:highlight w:val="none"/>
        </w:rPr>
        <w:t>4.2咨询人的违约责任</w:t>
      </w:r>
      <w:bookmarkEnd w:id="78"/>
    </w:p>
    <w:bookmarkEnd w:id="79"/>
    <w:p w14:paraId="77B80BF3">
      <w:pPr>
        <w:pStyle w:val="17"/>
        <w:widowControl/>
        <w:numPr>
          <w:ilvl w:val="-1"/>
          <w:numId w:val="0"/>
        </w:numPr>
        <w:adjustRightInd w:val="0"/>
        <w:snapToGrid w:val="0"/>
        <w:spacing w:before="0" w:after="0" w:line="440" w:lineRule="exact"/>
        <w:ind w:left="0" w:firstLine="420" w:firstLineChars="200"/>
        <w:jc w:val="left"/>
        <w:outlineLvl w:val="9"/>
        <w:rPr>
          <w:rFonts w:hint="eastAsia" w:asciiTheme="minorEastAsia" w:hAnsiTheme="minorEastAsia" w:eastAsiaTheme="minorEastAsia" w:cstheme="minorEastAsia"/>
          <w:b w:val="0"/>
          <w:bCs w:val="0"/>
          <w:color w:val="auto"/>
          <w:sz w:val="21"/>
          <w:szCs w:val="21"/>
          <w:highlight w:val="none"/>
          <w:u w:val="none"/>
        </w:rPr>
      </w:pPr>
      <w:bookmarkStart w:id="80" w:name="_Toc495869306"/>
      <w:bookmarkStart w:id="81" w:name="_Toc419045115"/>
      <w:r>
        <w:rPr>
          <w:rFonts w:hint="eastAsia" w:asciiTheme="minorEastAsia" w:hAnsiTheme="minorEastAsia" w:eastAsiaTheme="minorEastAsia" w:cstheme="minorEastAsia"/>
          <w:b w:val="0"/>
          <w:bCs w:val="0"/>
          <w:color w:val="auto"/>
          <w:sz w:val="21"/>
          <w:szCs w:val="21"/>
          <w:highlight w:val="none"/>
          <w:u w:val="none"/>
        </w:rPr>
        <w:t>4.2.1咨询人违约金的计算及支付方法：</w:t>
      </w:r>
    </w:p>
    <w:p w14:paraId="190ED3E9">
      <w:pPr>
        <w:pStyle w:val="17"/>
        <w:widowControl/>
        <w:numPr>
          <w:ilvl w:val="-1"/>
          <w:numId w:val="0"/>
        </w:numPr>
        <w:adjustRightInd w:val="0"/>
        <w:snapToGrid w:val="0"/>
        <w:spacing w:before="0" w:after="0" w:line="440" w:lineRule="exact"/>
        <w:ind w:left="0" w:firstLine="420" w:firstLineChars="200"/>
        <w:jc w:val="left"/>
        <w:outlineLvl w:val="9"/>
        <w:rPr>
          <w:rFonts w:hint="eastAsia" w:asciiTheme="minorEastAsia" w:hAnsiTheme="minorEastAsia" w:eastAsiaTheme="minorEastAsia" w:cstheme="minorEastAsia"/>
          <w:b w:val="0"/>
          <w:bCs w:val="0"/>
          <w:color w:val="auto"/>
          <w:sz w:val="21"/>
          <w:szCs w:val="21"/>
          <w:highlight w:val="none"/>
          <w:u w:val="single"/>
        </w:rPr>
      </w:pPr>
      <w:r>
        <w:rPr>
          <w:rFonts w:hint="eastAsia" w:asciiTheme="minorEastAsia" w:hAnsiTheme="minorEastAsia" w:eastAsiaTheme="minorEastAsia" w:cstheme="minorEastAsia"/>
          <w:b w:val="0"/>
          <w:bCs w:val="0"/>
          <w:color w:val="auto"/>
          <w:sz w:val="21"/>
          <w:szCs w:val="21"/>
          <w:highlight w:val="none"/>
          <w:u w:val="single"/>
        </w:rPr>
        <w:t>1）</w:t>
      </w:r>
      <w:r>
        <w:rPr>
          <w:rFonts w:hint="eastAsia" w:asciiTheme="minorEastAsia" w:hAnsiTheme="minorEastAsia" w:eastAsiaTheme="minorEastAsia" w:cstheme="minorEastAsia"/>
          <w:b w:val="0"/>
          <w:bCs w:val="0"/>
          <w:color w:val="auto"/>
          <w:sz w:val="21"/>
          <w:szCs w:val="21"/>
          <w:highlight w:val="none"/>
          <w:u w:val="single"/>
          <w:lang w:val="en-US" w:eastAsia="zh-CN"/>
        </w:rPr>
        <w:t>跟踪审计全过程中如有未达到完整性、真实性、准确性的要求的，视情况每发生一次处以5000-10000元的罚款，罚款从审计咨询费中扣除，</w:t>
      </w:r>
      <w:r>
        <w:rPr>
          <w:rFonts w:hint="eastAsia" w:asciiTheme="minorEastAsia" w:hAnsiTheme="minorEastAsia" w:eastAsiaTheme="minorEastAsia" w:cstheme="minorEastAsia"/>
          <w:b w:val="0"/>
          <w:bCs w:val="0"/>
          <w:color w:val="auto"/>
          <w:sz w:val="21"/>
          <w:szCs w:val="21"/>
          <w:highlight w:val="none"/>
          <w:u w:val="single"/>
          <w:lang w:eastAsia="zh-CN"/>
        </w:rPr>
        <w:t>罚款不足以弥补委托人全部损失的，委托人有权继续追偿</w:t>
      </w:r>
      <w:r>
        <w:rPr>
          <w:rFonts w:hint="eastAsia" w:asciiTheme="minorEastAsia" w:hAnsiTheme="minorEastAsia" w:eastAsiaTheme="minorEastAsia" w:cstheme="minorEastAsia"/>
          <w:b w:val="0"/>
          <w:bCs w:val="0"/>
          <w:color w:val="auto"/>
          <w:sz w:val="21"/>
          <w:szCs w:val="21"/>
          <w:highlight w:val="none"/>
          <w:u w:val="single"/>
        </w:rPr>
        <w:t>。</w:t>
      </w:r>
    </w:p>
    <w:p w14:paraId="513E359C">
      <w:pPr>
        <w:pStyle w:val="17"/>
        <w:widowControl/>
        <w:adjustRightInd w:val="0"/>
        <w:snapToGrid w:val="0"/>
        <w:spacing w:before="0" w:after="0" w:line="440" w:lineRule="exact"/>
        <w:ind w:firstLine="420" w:firstLineChars="200"/>
        <w:jc w:val="left"/>
        <w:outlineLvl w:val="9"/>
        <w:rPr>
          <w:rFonts w:hint="eastAsia" w:asciiTheme="minorEastAsia" w:hAnsiTheme="minorEastAsia" w:eastAsiaTheme="minorEastAsia" w:cstheme="minorEastAsia"/>
          <w:b w:val="0"/>
          <w:bCs w:val="0"/>
          <w:color w:val="auto"/>
          <w:sz w:val="21"/>
          <w:szCs w:val="21"/>
          <w:highlight w:val="none"/>
          <w:u w:val="single"/>
        </w:rPr>
      </w:pPr>
      <w:r>
        <w:rPr>
          <w:rFonts w:hint="eastAsia" w:asciiTheme="minorEastAsia" w:hAnsiTheme="minorEastAsia" w:eastAsiaTheme="minorEastAsia" w:cstheme="minorEastAsia"/>
          <w:b w:val="0"/>
          <w:bCs w:val="0"/>
          <w:color w:val="auto"/>
          <w:sz w:val="21"/>
          <w:szCs w:val="21"/>
          <w:highlight w:val="none"/>
          <w:u w:val="single"/>
          <w:lang w:val="en-US" w:eastAsia="zh-CN"/>
        </w:rPr>
        <w:t>2）</w:t>
      </w:r>
      <w:r>
        <w:rPr>
          <w:rFonts w:hint="eastAsia" w:asciiTheme="minorEastAsia" w:hAnsiTheme="minorEastAsia" w:eastAsiaTheme="minorEastAsia" w:cstheme="minorEastAsia"/>
          <w:b w:val="0"/>
          <w:bCs w:val="0"/>
          <w:color w:val="auto"/>
          <w:sz w:val="21"/>
          <w:szCs w:val="21"/>
          <w:highlight w:val="none"/>
          <w:u w:val="single"/>
        </w:rPr>
        <w:t>因咨询人重大过失而导致委托人损失的，咨询人有责任采取补救措施，并向委托人赔偿合同金额的</w:t>
      </w:r>
      <w:r>
        <w:rPr>
          <w:rFonts w:hint="eastAsia" w:asciiTheme="minorEastAsia" w:hAnsiTheme="minorEastAsia" w:eastAsiaTheme="minorEastAsia" w:cstheme="minorEastAsia"/>
          <w:b w:val="0"/>
          <w:bCs w:val="0"/>
          <w:color w:val="auto"/>
          <w:sz w:val="21"/>
          <w:szCs w:val="21"/>
          <w:highlight w:val="none"/>
          <w:u w:val="single"/>
          <w:lang w:val="en-US" w:eastAsia="zh-CN"/>
        </w:rPr>
        <w:t>3</w:t>
      </w:r>
      <w:r>
        <w:rPr>
          <w:rFonts w:hint="eastAsia" w:asciiTheme="minorEastAsia" w:hAnsiTheme="minorEastAsia" w:eastAsiaTheme="minorEastAsia" w:cstheme="minorEastAsia"/>
          <w:b w:val="0"/>
          <w:bCs w:val="0"/>
          <w:color w:val="auto"/>
          <w:sz w:val="21"/>
          <w:szCs w:val="21"/>
          <w:highlight w:val="none"/>
          <w:u w:val="single"/>
        </w:rPr>
        <w:t>0%，</w:t>
      </w:r>
      <w:r>
        <w:rPr>
          <w:rFonts w:hint="eastAsia" w:asciiTheme="minorEastAsia" w:hAnsiTheme="minorEastAsia" w:eastAsiaTheme="minorEastAsia" w:cstheme="minorEastAsia"/>
          <w:b w:val="0"/>
          <w:bCs w:val="0"/>
          <w:color w:val="auto"/>
          <w:sz w:val="21"/>
          <w:szCs w:val="21"/>
          <w:highlight w:val="none"/>
          <w:u w:val="single"/>
          <w:lang w:eastAsia="zh-CN"/>
        </w:rPr>
        <w:t>赔偿金额不足以弥补委托人全部损失的，委托人有权继续追偿</w:t>
      </w:r>
      <w:r>
        <w:rPr>
          <w:rFonts w:hint="eastAsia" w:asciiTheme="minorEastAsia" w:hAnsiTheme="minorEastAsia" w:eastAsiaTheme="minorEastAsia" w:cstheme="minorEastAsia"/>
          <w:b w:val="0"/>
          <w:bCs w:val="0"/>
          <w:color w:val="auto"/>
          <w:sz w:val="21"/>
          <w:szCs w:val="21"/>
          <w:highlight w:val="none"/>
          <w:u w:val="single"/>
        </w:rPr>
        <w:t>。</w:t>
      </w:r>
    </w:p>
    <w:p w14:paraId="25883ACF">
      <w:pPr>
        <w:pStyle w:val="17"/>
        <w:widowControl/>
        <w:adjustRightInd w:val="0"/>
        <w:snapToGrid w:val="0"/>
        <w:spacing w:before="0" w:after="0" w:line="440" w:lineRule="exact"/>
        <w:ind w:firstLine="420" w:firstLineChars="200"/>
        <w:jc w:val="left"/>
        <w:outlineLvl w:val="9"/>
        <w:rPr>
          <w:rFonts w:hint="eastAsia" w:asciiTheme="minorEastAsia" w:hAnsiTheme="minorEastAsia" w:eastAsiaTheme="minorEastAsia" w:cstheme="minorEastAsia"/>
          <w:b w:val="0"/>
          <w:bCs w:val="0"/>
          <w:color w:val="auto"/>
          <w:sz w:val="21"/>
          <w:szCs w:val="21"/>
          <w:highlight w:val="none"/>
          <w:u w:val="single"/>
          <w:lang w:val="en-US" w:eastAsia="zh-CN"/>
        </w:rPr>
      </w:pPr>
      <w:r>
        <w:rPr>
          <w:rFonts w:hint="eastAsia" w:asciiTheme="minorEastAsia" w:hAnsiTheme="minorEastAsia" w:eastAsiaTheme="minorEastAsia" w:cstheme="minorEastAsia"/>
          <w:b w:val="0"/>
          <w:bCs w:val="0"/>
          <w:color w:val="auto"/>
          <w:sz w:val="21"/>
          <w:szCs w:val="21"/>
          <w:highlight w:val="none"/>
          <w:u w:val="single"/>
          <w:lang w:val="en-US" w:eastAsia="zh-CN"/>
        </w:rPr>
        <w:t>3）咨询人出具的结算审核（一审）经结算审核（二审）单位审核后，总误差率≥3%以及存在较大幅度漏审漏项（占比超过3%以上）的，咨询人须向委托人支付合同结算审核费用的30%，作为违约金。并按照《浙江省社会中介机构管理办法》、《宁海县政府投资项目评审中心协审工作考核办法（试行）》（宁评审〔2024〕4号）、《宁海政府投资项目评审实施细则（试行）》（宁评审〔2024〕5号）及其他有关规定予以评价处置。</w:t>
      </w:r>
    </w:p>
    <w:p w14:paraId="6C579965">
      <w:pPr>
        <w:pStyle w:val="17"/>
        <w:widowControl/>
        <w:adjustRightInd w:val="0"/>
        <w:snapToGrid w:val="0"/>
        <w:spacing w:before="0" w:after="0" w:line="440" w:lineRule="exact"/>
        <w:ind w:firstLine="420" w:firstLineChars="200"/>
        <w:jc w:val="left"/>
        <w:outlineLvl w:val="9"/>
        <w:rPr>
          <w:rFonts w:hint="eastAsia" w:asciiTheme="minorEastAsia" w:hAnsiTheme="minorEastAsia" w:eastAsiaTheme="minorEastAsia" w:cstheme="minorEastAsia"/>
          <w:b w:val="0"/>
          <w:bCs w:val="0"/>
          <w:color w:val="auto"/>
          <w:sz w:val="21"/>
          <w:szCs w:val="21"/>
          <w:highlight w:val="none"/>
          <w:u w:val="single"/>
        </w:rPr>
      </w:pPr>
      <w:r>
        <w:rPr>
          <w:rFonts w:hint="eastAsia" w:asciiTheme="minorEastAsia" w:hAnsiTheme="minorEastAsia" w:eastAsiaTheme="minorEastAsia" w:cstheme="minorEastAsia"/>
          <w:b w:val="0"/>
          <w:bCs w:val="0"/>
          <w:color w:val="auto"/>
          <w:sz w:val="21"/>
          <w:szCs w:val="21"/>
          <w:highlight w:val="none"/>
          <w:u w:val="single"/>
          <w:lang w:val="en-US" w:eastAsia="zh-CN"/>
        </w:rPr>
        <w:t>4）若配备人员中项目负责人未经委托方同意擅自更换的，则处违约金50000元/人/次;其他配备人员未经委托方同意擅自更换的，则处违约金30000元/人/次。</w:t>
      </w:r>
    </w:p>
    <w:p w14:paraId="11FA4E9A">
      <w:pPr>
        <w:pStyle w:val="17"/>
        <w:widowControl/>
        <w:adjustRightInd w:val="0"/>
        <w:snapToGrid w:val="0"/>
        <w:spacing w:before="0" w:after="0" w:line="440" w:lineRule="exact"/>
        <w:ind w:firstLine="420" w:firstLineChars="200"/>
        <w:jc w:val="left"/>
        <w:outlineLvl w:val="9"/>
        <w:rPr>
          <w:rFonts w:hint="eastAsia" w:asciiTheme="minorEastAsia" w:hAnsiTheme="minorEastAsia" w:eastAsiaTheme="minorEastAsia" w:cstheme="minorEastAsia"/>
          <w:b w:val="0"/>
          <w:bCs w:val="0"/>
          <w:color w:val="auto"/>
          <w:sz w:val="21"/>
          <w:szCs w:val="21"/>
          <w:highlight w:val="none"/>
          <w:u w:val="single"/>
        </w:rPr>
      </w:pPr>
      <w:r>
        <w:rPr>
          <w:rFonts w:hint="eastAsia" w:asciiTheme="minorEastAsia" w:hAnsiTheme="minorEastAsia" w:eastAsiaTheme="minorEastAsia" w:cstheme="minorEastAsia"/>
          <w:b w:val="0"/>
          <w:bCs w:val="0"/>
          <w:color w:val="auto"/>
          <w:sz w:val="21"/>
          <w:szCs w:val="21"/>
          <w:highlight w:val="none"/>
          <w:u w:val="single"/>
        </w:rPr>
        <w:t>3）</w:t>
      </w:r>
      <w:r>
        <w:rPr>
          <w:rFonts w:hint="eastAsia" w:asciiTheme="minorEastAsia" w:hAnsiTheme="minorEastAsia" w:eastAsiaTheme="minorEastAsia" w:cstheme="minorEastAsia"/>
          <w:b w:val="0"/>
          <w:bCs w:val="0"/>
          <w:color w:val="auto"/>
          <w:sz w:val="21"/>
          <w:szCs w:val="21"/>
          <w:highlight w:val="none"/>
          <w:u w:val="single"/>
          <w:lang w:val="en-US" w:eastAsia="zh-CN"/>
        </w:rPr>
        <w:t>咨询人</w:t>
      </w:r>
      <w:r>
        <w:rPr>
          <w:rFonts w:hint="eastAsia" w:asciiTheme="minorEastAsia" w:hAnsiTheme="minorEastAsia" w:eastAsiaTheme="minorEastAsia" w:cstheme="minorEastAsia"/>
          <w:b w:val="0"/>
          <w:bCs w:val="0"/>
          <w:color w:val="auto"/>
          <w:sz w:val="21"/>
          <w:szCs w:val="21"/>
          <w:highlight w:val="none"/>
          <w:u w:val="single"/>
          <w:lang w:val="zh-CN"/>
        </w:rPr>
        <w:t>未能按时完成工作的，委托人有权按照</w:t>
      </w:r>
      <w:r>
        <w:rPr>
          <w:rFonts w:hint="eastAsia" w:asciiTheme="minorEastAsia" w:hAnsiTheme="minorEastAsia" w:eastAsiaTheme="minorEastAsia" w:cstheme="minorEastAsia"/>
          <w:b w:val="0"/>
          <w:bCs w:val="0"/>
          <w:color w:val="auto"/>
          <w:sz w:val="21"/>
          <w:szCs w:val="21"/>
          <w:highlight w:val="none"/>
          <w:u w:val="single"/>
          <w:lang w:val="zh-CN" w:eastAsia="zh-CN"/>
        </w:rPr>
        <w:t>20</w:t>
      </w:r>
      <w:r>
        <w:rPr>
          <w:rFonts w:hint="eastAsia" w:asciiTheme="minorEastAsia" w:hAnsiTheme="minorEastAsia" w:eastAsiaTheme="minorEastAsia" w:cstheme="minorEastAsia"/>
          <w:b w:val="0"/>
          <w:bCs w:val="0"/>
          <w:color w:val="auto"/>
          <w:sz w:val="21"/>
          <w:szCs w:val="21"/>
          <w:highlight w:val="none"/>
          <w:u w:val="single"/>
          <w:lang w:val="zh-CN"/>
        </w:rPr>
        <w:t>00元/天扣减报酬；委托人可以口头或书面方式通知</w:t>
      </w:r>
      <w:r>
        <w:rPr>
          <w:rFonts w:hint="eastAsia" w:asciiTheme="minorEastAsia" w:hAnsiTheme="minorEastAsia" w:eastAsiaTheme="minorEastAsia" w:cstheme="minorEastAsia"/>
          <w:b w:val="0"/>
          <w:bCs w:val="0"/>
          <w:color w:val="auto"/>
          <w:sz w:val="21"/>
          <w:szCs w:val="21"/>
          <w:highlight w:val="none"/>
          <w:u w:val="single"/>
          <w:lang w:val="en-US" w:eastAsia="zh-CN"/>
        </w:rPr>
        <w:t>咨询人</w:t>
      </w:r>
      <w:r>
        <w:rPr>
          <w:rFonts w:hint="eastAsia" w:asciiTheme="minorEastAsia" w:hAnsiTheme="minorEastAsia" w:eastAsiaTheme="minorEastAsia" w:cstheme="minorEastAsia"/>
          <w:b w:val="0"/>
          <w:bCs w:val="0"/>
          <w:color w:val="auto"/>
          <w:sz w:val="21"/>
          <w:szCs w:val="21"/>
          <w:highlight w:val="none"/>
          <w:u w:val="single"/>
          <w:lang w:val="zh-CN"/>
        </w:rPr>
        <w:t>进行整改，</w:t>
      </w:r>
      <w:r>
        <w:rPr>
          <w:rFonts w:hint="eastAsia" w:asciiTheme="minorEastAsia" w:hAnsiTheme="minorEastAsia" w:eastAsiaTheme="minorEastAsia" w:cstheme="minorEastAsia"/>
          <w:b w:val="0"/>
          <w:bCs w:val="0"/>
          <w:color w:val="auto"/>
          <w:sz w:val="21"/>
          <w:szCs w:val="21"/>
          <w:highlight w:val="none"/>
          <w:u w:val="single"/>
          <w:lang w:val="en-US" w:eastAsia="zh-CN"/>
        </w:rPr>
        <w:t>咨询人</w:t>
      </w:r>
      <w:r>
        <w:rPr>
          <w:rFonts w:hint="eastAsia" w:asciiTheme="minorEastAsia" w:hAnsiTheme="minorEastAsia" w:eastAsiaTheme="minorEastAsia" w:cstheme="minorEastAsia"/>
          <w:b w:val="0"/>
          <w:bCs w:val="0"/>
          <w:color w:val="auto"/>
          <w:sz w:val="21"/>
          <w:szCs w:val="21"/>
          <w:highlight w:val="none"/>
          <w:u w:val="single"/>
          <w:lang w:val="zh-CN"/>
        </w:rPr>
        <w:t>在接委托人通知后10日内仍未完成整改的，视为</w:t>
      </w:r>
      <w:r>
        <w:rPr>
          <w:rFonts w:hint="eastAsia" w:asciiTheme="minorEastAsia" w:hAnsiTheme="minorEastAsia" w:eastAsiaTheme="minorEastAsia" w:cstheme="minorEastAsia"/>
          <w:b w:val="0"/>
          <w:bCs w:val="0"/>
          <w:color w:val="auto"/>
          <w:sz w:val="21"/>
          <w:szCs w:val="21"/>
          <w:highlight w:val="none"/>
          <w:u w:val="single"/>
          <w:lang w:val="en-US" w:eastAsia="zh-CN"/>
        </w:rPr>
        <w:t>咨询人</w:t>
      </w:r>
      <w:r>
        <w:rPr>
          <w:rFonts w:hint="eastAsia" w:asciiTheme="minorEastAsia" w:hAnsiTheme="minorEastAsia" w:eastAsiaTheme="minorEastAsia" w:cstheme="minorEastAsia"/>
          <w:b w:val="0"/>
          <w:bCs w:val="0"/>
          <w:color w:val="auto"/>
          <w:sz w:val="21"/>
          <w:szCs w:val="21"/>
          <w:highlight w:val="none"/>
          <w:u w:val="single"/>
          <w:lang w:val="zh-CN"/>
        </w:rPr>
        <w:t>违约，委托人有权单方面解除本合同，并不支付任何费用，</w:t>
      </w:r>
      <w:r>
        <w:rPr>
          <w:rFonts w:hint="eastAsia" w:asciiTheme="minorEastAsia" w:hAnsiTheme="minorEastAsia" w:eastAsiaTheme="minorEastAsia" w:cstheme="minorEastAsia"/>
          <w:b w:val="0"/>
          <w:bCs w:val="0"/>
          <w:color w:val="auto"/>
          <w:sz w:val="21"/>
          <w:szCs w:val="21"/>
          <w:highlight w:val="none"/>
          <w:u w:val="single"/>
          <w:lang w:val="en-US" w:eastAsia="zh-CN"/>
        </w:rPr>
        <w:t>咨询人</w:t>
      </w:r>
      <w:r>
        <w:rPr>
          <w:rFonts w:hint="eastAsia" w:asciiTheme="minorEastAsia" w:hAnsiTheme="minorEastAsia" w:eastAsiaTheme="minorEastAsia" w:cstheme="minorEastAsia"/>
          <w:b w:val="0"/>
          <w:bCs w:val="0"/>
          <w:color w:val="auto"/>
          <w:sz w:val="21"/>
          <w:szCs w:val="21"/>
          <w:highlight w:val="none"/>
          <w:u w:val="single"/>
          <w:lang w:val="zh-CN"/>
        </w:rPr>
        <w:t>需退还委托人已支付的所有款项，并按合同金额的</w:t>
      </w:r>
      <w:r>
        <w:rPr>
          <w:rFonts w:hint="eastAsia" w:asciiTheme="minorEastAsia" w:hAnsiTheme="minorEastAsia" w:eastAsiaTheme="minorEastAsia" w:cstheme="minorEastAsia"/>
          <w:b w:val="0"/>
          <w:bCs w:val="0"/>
          <w:color w:val="auto"/>
          <w:sz w:val="21"/>
          <w:szCs w:val="21"/>
          <w:highlight w:val="none"/>
          <w:u w:val="single"/>
          <w:lang w:val="en-US" w:eastAsia="zh-CN"/>
        </w:rPr>
        <w:t>3</w:t>
      </w:r>
      <w:r>
        <w:rPr>
          <w:rFonts w:hint="eastAsia" w:asciiTheme="minorEastAsia" w:hAnsiTheme="minorEastAsia" w:eastAsiaTheme="minorEastAsia" w:cstheme="minorEastAsia"/>
          <w:b w:val="0"/>
          <w:bCs w:val="0"/>
          <w:color w:val="auto"/>
          <w:sz w:val="21"/>
          <w:szCs w:val="21"/>
          <w:highlight w:val="none"/>
          <w:u w:val="single"/>
          <w:lang w:val="zh-CN"/>
        </w:rPr>
        <w:t>0%向委托人支付违约金，违约金不足以弥补委托人损失的，咨询人还应赔偿委托人由此造成的所有损失（包括但不限于延期造成的损失），委托人有权继续追偿。</w:t>
      </w:r>
    </w:p>
    <w:p w14:paraId="3D92DE24">
      <w:pPr>
        <w:pStyle w:val="17"/>
        <w:widowControl/>
        <w:adjustRightInd w:val="0"/>
        <w:snapToGrid w:val="0"/>
        <w:spacing w:before="0" w:after="0" w:line="440" w:lineRule="exact"/>
        <w:ind w:firstLine="420" w:firstLineChars="200"/>
        <w:jc w:val="left"/>
        <w:outlineLvl w:val="9"/>
        <w:rPr>
          <w:rFonts w:hint="eastAsia" w:asciiTheme="minorEastAsia" w:hAnsiTheme="minorEastAsia" w:eastAsiaTheme="minorEastAsia" w:cstheme="minorEastAsia"/>
          <w:b w:val="0"/>
          <w:bCs w:val="0"/>
          <w:color w:val="auto"/>
          <w:sz w:val="21"/>
          <w:szCs w:val="21"/>
          <w:highlight w:val="none"/>
          <w:u w:val="single"/>
        </w:rPr>
      </w:pPr>
      <w:r>
        <w:rPr>
          <w:rFonts w:hint="eastAsia" w:asciiTheme="minorEastAsia" w:hAnsiTheme="minorEastAsia" w:eastAsiaTheme="minorEastAsia" w:cstheme="minorEastAsia"/>
          <w:b w:val="0"/>
          <w:bCs w:val="0"/>
          <w:color w:val="auto"/>
          <w:sz w:val="21"/>
          <w:szCs w:val="21"/>
          <w:highlight w:val="none"/>
        </w:rPr>
        <w:t xml:space="preserve">4.2.2 </w:t>
      </w:r>
      <w:r>
        <w:rPr>
          <w:rFonts w:hint="eastAsia" w:asciiTheme="minorEastAsia" w:hAnsiTheme="minorEastAsia" w:eastAsiaTheme="minorEastAsia" w:cstheme="minorEastAsia"/>
          <w:b w:val="0"/>
          <w:bCs w:val="0"/>
          <w:color w:val="auto"/>
          <w:sz w:val="21"/>
          <w:szCs w:val="21"/>
          <w:highlight w:val="none"/>
          <w:u w:val="none"/>
        </w:rPr>
        <w:t>咨询人赔偿金额按下列方法确定并支付：</w:t>
      </w:r>
      <w:r>
        <w:rPr>
          <w:rFonts w:hint="eastAsia" w:asciiTheme="minorEastAsia" w:hAnsiTheme="minorEastAsia" w:eastAsiaTheme="minorEastAsia" w:cstheme="minorEastAsia"/>
          <w:b w:val="0"/>
          <w:bCs w:val="0"/>
          <w:color w:val="auto"/>
          <w:sz w:val="21"/>
          <w:szCs w:val="21"/>
          <w:highlight w:val="none"/>
          <w:u w:val="single"/>
        </w:rPr>
        <w:t>在应付咨询费用中直接扣</w:t>
      </w:r>
      <w:r>
        <w:rPr>
          <w:rFonts w:hint="eastAsia" w:asciiTheme="minorEastAsia" w:hAnsiTheme="minorEastAsia" w:eastAsiaTheme="minorEastAsia" w:cstheme="minorEastAsia"/>
          <w:b w:val="0"/>
          <w:bCs w:val="0"/>
          <w:color w:val="auto"/>
          <w:sz w:val="21"/>
          <w:szCs w:val="21"/>
          <w:highlight w:val="none"/>
          <w:u w:val="single"/>
          <w:lang w:val="en-US" w:eastAsia="zh-CN"/>
        </w:rPr>
        <w:t>除,若违约金不足以弥补委托人损失的，咨询人还应赔偿委托人的直接损失、间接损失及维权费用（包括律师费、诉讼费、鉴定费等），委托人有权继续追偿。</w:t>
      </w:r>
    </w:p>
    <w:p w14:paraId="47DDA82B">
      <w:pPr>
        <w:pStyle w:val="17"/>
        <w:widowControl/>
        <w:adjustRightInd w:val="0"/>
        <w:snapToGrid w:val="0"/>
        <w:spacing w:before="0" w:after="0" w:line="440" w:lineRule="exact"/>
        <w:ind w:firstLine="420" w:firstLineChars="200"/>
        <w:jc w:val="left"/>
        <w:outlineLvl w:val="9"/>
        <w:rPr>
          <w:rFonts w:hint="eastAsia" w:asciiTheme="minorEastAsia" w:hAnsiTheme="minorEastAsia" w:eastAsiaTheme="minorEastAsia" w:cstheme="minorEastAsia"/>
          <w:b w:val="0"/>
          <w:bCs w:val="0"/>
          <w:color w:val="auto"/>
          <w:sz w:val="21"/>
          <w:szCs w:val="21"/>
          <w:highlight w:val="none"/>
          <w:u w:val="none"/>
        </w:rPr>
      </w:pPr>
      <w:r>
        <w:rPr>
          <w:rFonts w:hint="eastAsia" w:asciiTheme="minorEastAsia" w:hAnsiTheme="minorEastAsia" w:eastAsiaTheme="minorEastAsia" w:cstheme="minorEastAsia"/>
          <w:b w:val="0"/>
          <w:bCs w:val="0"/>
          <w:color w:val="auto"/>
          <w:sz w:val="21"/>
          <w:szCs w:val="21"/>
          <w:highlight w:val="none"/>
          <w:u w:val="none"/>
        </w:rPr>
        <w:t>4.2.3 咨询人须于施工阶段派专人驻场（至少1人），每周驻场时间不少于</w:t>
      </w:r>
      <w:r>
        <w:rPr>
          <w:rFonts w:hint="eastAsia" w:asciiTheme="minorEastAsia" w:hAnsiTheme="minorEastAsia" w:eastAsiaTheme="minorEastAsia" w:cstheme="minorEastAsia"/>
          <w:b w:val="0"/>
          <w:bCs w:val="0"/>
          <w:color w:val="auto"/>
          <w:sz w:val="21"/>
          <w:szCs w:val="21"/>
          <w:highlight w:val="none"/>
          <w:u w:val="none"/>
          <w:lang w:val="en-US" w:eastAsia="zh-CN"/>
        </w:rPr>
        <w:t>2</w:t>
      </w:r>
      <w:r>
        <w:rPr>
          <w:rFonts w:hint="eastAsia" w:asciiTheme="minorEastAsia" w:hAnsiTheme="minorEastAsia" w:eastAsiaTheme="minorEastAsia" w:cstheme="minorEastAsia"/>
          <w:b w:val="0"/>
          <w:bCs w:val="0"/>
          <w:color w:val="auto"/>
          <w:sz w:val="21"/>
          <w:szCs w:val="21"/>
          <w:highlight w:val="none"/>
          <w:u w:val="none"/>
        </w:rPr>
        <w:t>天，至少每周参加1次工地现场监理例会，并且在接到采购人通知后对工地所发生的变更项目进行现场核查和工程量的确认。如采购人有特殊要求，需及时参加工程会议，审核工程资料。若咨询人未按合同约定履行职责的，则处违约金3000</w:t>
      </w:r>
      <w:r>
        <w:rPr>
          <w:rFonts w:hint="eastAsia" w:asciiTheme="minorEastAsia" w:hAnsiTheme="minorEastAsia" w:eastAsiaTheme="minorEastAsia" w:cstheme="minorEastAsia"/>
          <w:b w:val="0"/>
          <w:bCs w:val="0"/>
          <w:color w:val="auto"/>
          <w:sz w:val="21"/>
          <w:szCs w:val="21"/>
          <w:highlight w:val="none"/>
          <w:u w:val="none"/>
          <w:lang w:val="en-US" w:eastAsia="zh-CN"/>
        </w:rPr>
        <w:t>0</w:t>
      </w:r>
      <w:r>
        <w:rPr>
          <w:rFonts w:hint="eastAsia" w:asciiTheme="minorEastAsia" w:hAnsiTheme="minorEastAsia" w:eastAsiaTheme="minorEastAsia" w:cstheme="minorEastAsia"/>
          <w:b w:val="0"/>
          <w:bCs w:val="0"/>
          <w:color w:val="auto"/>
          <w:sz w:val="21"/>
          <w:szCs w:val="21"/>
          <w:highlight w:val="none"/>
          <w:u w:val="none"/>
        </w:rPr>
        <w:t>元/人/次。</w:t>
      </w:r>
    </w:p>
    <w:p w14:paraId="5B0910BE">
      <w:pPr>
        <w:spacing w:line="440" w:lineRule="exact"/>
        <w:ind w:firstLine="420" w:firstLineChars="200"/>
        <w:rPr>
          <w:rFonts w:hint="eastAsia" w:asciiTheme="minorEastAsia" w:hAnsiTheme="minorEastAsia" w:eastAsiaTheme="minorEastAsia" w:cstheme="minorEastAsia"/>
          <w:b w:val="0"/>
          <w:bCs w:val="0"/>
          <w:color w:val="auto"/>
          <w:szCs w:val="21"/>
          <w:highlight w:val="none"/>
          <w:u w:val="none"/>
        </w:rPr>
      </w:pPr>
      <w:r>
        <w:rPr>
          <w:rFonts w:hint="eastAsia" w:asciiTheme="minorEastAsia" w:hAnsiTheme="minorEastAsia" w:eastAsiaTheme="minorEastAsia" w:cstheme="minorEastAsia"/>
          <w:b w:val="0"/>
          <w:bCs w:val="0"/>
          <w:color w:val="auto"/>
          <w:szCs w:val="21"/>
          <w:highlight w:val="none"/>
          <w:u w:val="none"/>
        </w:rPr>
        <w:t>4.2.</w:t>
      </w:r>
      <w:r>
        <w:rPr>
          <w:rFonts w:hint="eastAsia" w:asciiTheme="minorEastAsia" w:hAnsiTheme="minorEastAsia" w:eastAsiaTheme="minorEastAsia" w:cstheme="minorEastAsia"/>
          <w:b w:val="0"/>
          <w:bCs w:val="0"/>
          <w:color w:val="auto"/>
          <w:sz w:val="21"/>
          <w:szCs w:val="21"/>
          <w:highlight w:val="none"/>
          <w:u w:val="none"/>
          <w:lang w:val="en-US" w:eastAsia="zh-CN"/>
        </w:rPr>
        <w:t>4</w:t>
      </w:r>
      <w:r>
        <w:rPr>
          <w:rFonts w:hint="eastAsia" w:asciiTheme="minorEastAsia" w:hAnsiTheme="minorEastAsia" w:eastAsiaTheme="minorEastAsia" w:cstheme="minorEastAsia"/>
          <w:b w:val="0"/>
          <w:bCs w:val="0"/>
          <w:color w:val="auto"/>
          <w:szCs w:val="21"/>
          <w:highlight w:val="none"/>
          <w:u w:val="none"/>
        </w:rPr>
        <w:t>保密违约金：咨询人向第三方泄露相关信息，给委托人造成不利影响的违约金为总服务费的</w:t>
      </w:r>
      <w:r>
        <w:rPr>
          <w:rFonts w:hint="eastAsia" w:asciiTheme="minorEastAsia" w:hAnsiTheme="minorEastAsia" w:eastAsiaTheme="minorEastAsia" w:cstheme="minorEastAsia"/>
          <w:b w:val="0"/>
          <w:bCs w:val="0"/>
          <w:color w:val="auto"/>
          <w:szCs w:val="21"/>
          <w:highlight w:val="none"/>
          <w:u w:val="none"/>
          <w:lang w:val="en-US" w:eastAsia="zh-CN"/>
        </w:rPr>
        <w:t>3</w:t>
      </w:r>
      <w:r>
        <w:rPr>
          <w:rFonts w:hint="eastAsia" w:asciiTheme="minorEastAsia" w:hAnsiTheme="minorEastAsia" w:eastAsiaTheme="minorEastAsia" w:cstheme="minorEastAsia"/>
          <w:b w:val="0"/>
          <w:bCs w:val="0"/>
          <w:color w:val="auto"/>
          <w:szCs w:val="21"/>
          <w:highlight w:val="none"/>
          <w:u w:val="none"/>
        </w:rPr>
        <w:t>0%，违约金不足以弥补委托人全部损失的，委托人有权继续追偿。</w:t>
      </w:r>
    </w:p>
    <w:p w14:paraId="31AAEAAC">
      <w:pPr>
        <w:spacing w:line="440" w:lineRule="exact"/>
        <w:ind w:firstLine="420" w:firstLineChars="200"/>
        <w:rPr>
          <w:rFonts w:hint="eastAsia" w:asciiTheme="minorEastAsia" w:hAnsiTheme="minorEastAsia" w:eastAsiaTheme="minorEastAsia" w:cstheme="minorEastAsia"/>
          <w:b w:val="0"/>
          <w:bCs w:val="0"/>
          <w:color w:val="auto"/>
          <w:szCs w:val="21"/>
          <w:highlight w:val="none"/>
          <w:u w:val="none"/>
          <w:lang w:val="en-US" w:eastAsia="zh-CN"/>
        </w:rPr>
      </w:pPr>
      <w:r>
        <w:rPr>
          <w:rFonts w:hint="eastAsia" w:asciiTheme="minorEastAsia" w:hAnsiTheme="minorEastAsia" w:eastAsiaTheme="minorEastAsia" w:cstheme="minorEastAsia"/>
          <w:b w:val="0"/>
          <w:bCs w:val="0"/>
          <w:color w:val="auto"/>
          <w:szCs w:val="21"/>
          <w:highlight w:val="none"/>
          <w:u w:val="none"/>
        </w:rPr>
        <w:t>4.2.</w:t>
      </w:r>
      <w:r>
        <w:rPr>
          <w:rFonts w:hint="eastAsia" w:asciiTheme="minorEastAsia" w:hAnsiTheme="minorEastAsia" w:eastAsiaTheme="minorEastAsia" w:cstheme="minorEastAsia"/>
          <w:b w:val="0"/>
          <w:bCs w:val="0"/>
          <w:color w:val="auto"/>
          <w:sz w:val="21"/>
          <w:szCs w:val="21"/>
          <w:highlight w:val="none"/>
          <w:u w:val="none"/>
          <w:lang w:val="en-US" w:eastAsia="zh-CN"/>
        </w:rPr>
        <w:t>5</w:t>
      </w:r>
      <w:r>
        <w:rPr>
          <w:rFonts w:hint="eastAsia" w:asciiTheme="minorEastAsia" w:hAnsiTheme="minorEastAsia" w:eastAsiaTheme="minorEastAsia" w:cstheme="minorEastAsia"/>
          <w:b w:val="0"/>
          <w:bCs w:val="0"/>
          <w:color w:val="auto"/>
          <w:szCs w:val="21"/>
          <w:highlight w:val="none"/>
          <w:u w:val="none"/>
        </w:rPr>
        <w:t>咨询人不得将任务进行转包，也不得将任务交给无相应专业资质的人员计算。否则委托人有权单方解除合同，且不支付咨询人任何费用，且咨询人应当支付总酬金</w:t>
      </w:r>
      <w:r>
        <w:rPr>
          <w:rFonts w:hint="eastAsia" w:asciiTheme="minorEastAsia" w:hAnsiTheme="minorEastAsia" w:eastAsiaTheme="minorEastAsia" w:cstheme="minorEastAsia"/>
          <w:b w:val="0"/>
          <w:bCs w:val="0"/>
          <w:color w:val="auto"/>
          <w:szCs w:val="21"/>
          <w:highlight w:val="none"/>
          <w:u w:val="none"/>
          <w:lang w:val="en-US" w:eastAsia="zh-CN"/>
        </w:rPr>
        <w:t>3</w:t>
      </w:r>
      <w:r>
        <w:rPr>
          <w:rFonts w:hint="eastAsia" w:asciiTheme="minorEastAsia" w:hAnsiTheme="minorEastAsia" w:eastAsiaTheme="minorEastAsia" w:cstheme="minorEastAsia"/>
          <w:b w:val="0"/>
          <w:bCs w:val="0"/>
          <w:color w:val="auto"/>
          <w:szCs w:val="21"/>
          <w:highlight w:val="none"/>
          <w:u w:val="none"/>
        </w:rPr>
        <w:t>0%的违约金</w:t>
      </w:r>
      <w:r>
        <w:rPr>
          <w:rFonts w:hint="eastAsia" w:asciiTheme="minorEastAsia" w:hAnsiTheme="minorEastAsia" w:eastAsiaTheme="minorEastAsia" w:cstheme="minorEastAsia"/>
          <w:b w:val="0"/>
          <w:bCs w:val="0"/>
          <w:color w:val="auto"/>
          <w:szCs w:val="21"/>
          <w:highlight w:val="none"/>
          <w:u w:val="none"/>
          <w:lang w:val="en-US" w:eastAsia="zh-CN"/>
        </w:rPr>
        <w:t>,不足以弥补委托人实际损失的，委托人有权继续追偿。</w:t>
      </w:r>
    </w:p>
    <w:p w14:paraId="0FC9ED4B">
      <w:pPr>
        <w:spacing w:line="440" w:lineRule="exact"/>
        <w:ind w:firstLine="420" w:firstLineChars="200"/>
        <w:rPr>
          <w:rFonts w:hint="eastAsia" w:asciiTheme="minorEastAsia" w:hAnsiTheme="minorEastAsia" w:eastAsiaTheme="minorEastAsia" w:cstheme="minorEastAsia"/>
          <w:b w:val="0"/>
          <w:bCs w:val="0"/>
          <w:color w:val="auto"/>
          <w:szCs w:val="21"/>
          <w:highlight w:val="none"/>
          <w:u w:val="none"/>
        </w:rPr>
      </w:pPr>
      <w:r>
        <w:rPr>
          <w:rFonts w:hint="eastAsia" w:asciiTheme="minorEastAsia" w:hAnsiTheme="minorEastAsia" w:eastAsiaTheme="minorEastAsia" w:cstheme="minorEastAsia"/>
          <w:b w:val="0"/>
          <w:bCs w:val="0"/>
          <w:color w:val="auto"/>
          <w:szCs w:val="21"/>
          <w:highlight w:val="none"/>
          <w:u w:val="none"/>
        </w:rPr>
        <w:t>4.2.</w:t>
      </w:r>
      <w:r>
        <w:rPr>
          <w:rFonts w:hint="eastAsia" w:asciiTheme="minorEastAsia" w:hAnsiTheme="minorEastAsia" w:eastAsiaTheme="minorEastAsia" w:cstheme="minorEastAsia"/>
          <w:b w:val="0"/>
          <w:bCs w:val="0"/>
          <w:color w:val="auto"/>
          <w:szCs w:val="21"/>
          <w:highlight w:val="none"/>
          <w:u w:val="none"/>
          <w:lang w:val="en-US" w:eastAsia="zh-CN"/>
        </w:rPr>
        <w:t>6</w:t>
      </w:r>
      <w:r>
        <w:rPr>
          <w:rFonts w:hint="eastAsia" w:asciiTheme="minorEastAsia" w:hAnsiTheme="minorEastAsia" w:eastAsiaTheme="minorEastAsia" w:cstheme="minorEastAsia"/>
          <w:b w:val="0"/>
          <w:bCs w:val="0"/>
          <w:color w:val="auto"/>
          <w:szCs w:val="21"/>
          <w:highlight w:val="none"/>
          <w:u w:val="none"/>
        </w:rPr>
        <w:t>所有计算数据应由咨询人独立完成。若委托人同时有委托第三方进行咨询，未经委托人授权，咨询人不得与第三方私下进行沟通，不得直接利用第三方的计算数据。</w:t>
      </w:r>
    </w:p>
    <w:p w14:paraId="38201874">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w:t>
      </w:r>
      <w:r>
        <w:rPr>
          <w:rFonts w:hint="eastAsia" w:asciiTheme="minorEastAsia" w:hAnsiTheme="minorEastAsia" w:eastAsiaTheme="minorEastAsia" w:cstheme="minorEastAsia"/>
          <w:b w:val="0"/>
          <w:bCs w:val="0"/>
          <w:color w:val="auto"/>
          <w:sz w:val="21"/>
          <w:szCs w:val="21"/>
          <w:highlight w:val="none"/>
          <w:lang w:val="en-US" w:eastAsia="zh-CN"/>
        </w:rPr>
        <w:t>7</w:t>
      </w:r>
      <w:r>
        <w:rPr>
          <w:rFonts w:hint="eastAsia" w:asciiTheme="minorEastAsia" w:hAnsiTheme="minorEastAsia" w:eastAsiaTheme="minorEastAsia" w:cstheme="minorEastAsia"/>
          <w:color w:val="auto"/>
          <w:szCs w:val="21"/>
          <w:highlight w:val="none"/>
        </w:rPr>
        <w:t xml:space="preserve"> 若咨询人怠于履行合同义务，经委托人催告后仍不整改的，委托人有权单方解除合同且不支付咨询人任何费用，且咨询人应当支付总酬金</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0%的违约金，不足以弥补委托人实际损失的，委托人有权继续追偿。</w:t>
      </w:r>
    </w:p>
    <w:p w14:paraId="2D293021">
      <w:pPr>
        <w:spacing w:line="440" w:lineRule="exact"/>
        <w:ind w:firstLine="420" w:firstLineChars="200"/>
        <w:rPr>
          <w:rFonts w:hint="eastAsia" w:asciiTheme="minorEastAsia" w:hAnsiTheme="minorEastAsia" w:eastAsiaTheme="minorEastAsia" w:cstheme="minorEastAsia"/>
          <w:b w:val="0"/>
          <w:bCs w:val="0"/>
          <w:color w:val="auto"/>
          <w:szCs w:val="21"/>
          <w:highlight w:val="none"/>
          <w:u w:val="none"/>
        </w:rPr>
      </w:pPr>
      <w:r>
        <w:rPr>
          <w:rFonts w:hint="eastAsia" w:asciiTheme="minorEastAsia" w:hAnsiTheme="minorEastAsia" w:eastAsiaTheme="minorEastAsia" w:cstheme="minorEastAsia"/>
          <w:color w:val="auto"/>
          <w:szCs w:val="21"/>
          <w:highlight w:val="none"/>
        </w:rPr>
        <w:t>4.</w:t>
      </w:r>
      <w:r>
        <w:rPr>
          <w:rFonts w:hint="eastAsia" w:asciiTheme="minorEastAsia" w:hAnsiTheme="minorEastAsia" w:eastAsiaTheme="minorEastAsia" w:cstheme="minorEastAsia"/>
          <w:color w:val="auto"/>
          <w:szCs w:val="21"/>
          <w:highlight w:val="none"/>
          <w:lang w:val="en-US" w:eastAsia="zh-CN"/>
        </w:rPr>
        <w:t>2.8</w:t>
      </w:r>
      <w:r>
        <w:rPr>
          <w:rFonts w:hint="eastAsia" w:asciiTheme="minorEastAsia" w:hAnsiTheme="minorEastAsia" w:eastAsiaTheme="minorEastAsia" w:cstheme="minorEastAsia"/>
          <w:color w:val="auto"/>
          <w:szCs w:val="21"/>
          <w:highlight w:val="none"/>
        </w:rPr>
        <w:t xml:space="preserve"> 咨询人人在本合同履行期间丧失本合同约定的相关资质的，委托人有权单方面解除合同，咨询人应当全额返还已收取的费用，且支付总酬金</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0%的违约金，不足以弥补委托人实际损失的，委托人有权继续追偿。</w:t>
      </w:r>
    </w:p>
    <w:p w14:paraId="689B9742">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 支付</w:t>
      </w:r>
      <w:bookmarkEnd w:id="80"/>
      <w:bookmarkEnd w:id="81"/>
    </w:p>
    <w:p w14:paraId="623F0DE2">
      <w:pPr>
        <w:adjustRightInd w:val="0"/>
        <w:snapToGrid w:val="0"/>
        <w:spacing w:line="440" w:lineRule="exact"/>
        <w:ind w:firstLine="420" w:firstLineChars="200"/>
        <w:rPr>
          <w:rStyle w:val="147"/>
          <w:rFonts w:hint="eastAsia" w:asciiTheme="minorEastAsia" w:hAnsiTheme="minorEastAsia" w:eastAsiaTheme="minorEastAsia" w:cstheme="minorEastAsia"/>
          <w:b w:val="0"/>
          <w:color w:val="auto"/>
          <w:sz w:val="21"/>
          <w:szCs w:val="21"/>
          <w:highlight w:val="none"/>
        </w:rPr>
      </w:pPr>
      <w:bookmarkStart w:id="82" w:name="_Toc419045116"/>
      <w:bookmarkStart w:id="83" w:name="_Toc495869307"/>
      <w:r>
        <w:rPr>
          <w:rStyle w:val="147"/>
          <w:rFonts w:hint="eastAsia" w:asciiTheme="minorEastAsia" w:hAnsiTheme="minorEastAsia" w:eastAsiaTheme="minorEastAsia" w:cstheme="minorEastAsia"/>
          <w:b w:val="0"/>
          <w:color w:val="auto"/>
          <w:sz w:val="21"/>
          <w:szCs w:val="21"/>
          <w:highlight w:val="none"/>
        </w:rPr>
        <w:t>5.1支付货币</w:t>
      </w:r>
      <w:bookmarkEnd w:id="82"/>
      <w:bookmarkEnd w:id="83"/>
    </w:p>
    <w:p w14:paraId="0855B05D">
      <w:pPr>
        <w:adjustRightInd w:val="0"/>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币种为：</w:t>
      </w:r>
      <w:r>
        <w:rPr>
          <w:rFonts w:hint="eastAsia" w:asciiTheme="minorEastAsia" w:hAnsiTheme="minorEastAsia" w:eastAsiaTheme="minorEastAsia" w:cstheme="minorEastAsia"/>
          <w:color w:val="auto"/>
          <w:szCs w:val="21"/>
          <w:highlight w:val="none"/>
          <w:u w:val="single"/>
        </w:rPr>
        <w:t>人民币</w:t>
      </w:r>
      <w:r>
        <w:rPr>
          <w:rFonts w:hint="eastAsia" w:asciiTheme="minorEastAsia" w:hAnsiTheme="minorEastAsia" w:eastAsiaTheme="minorEastAsia" w:cstheme="minorEastAsia"/>
          <w:color w:val="auto"/>
          <w:szCs w:val="21"/>
          <w:highlight w:val="none"/>
        </w:rPr>
        <w:t>，汇率为：</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，其他约定：</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w:t>
      </w:r>
    </w:p>
    <w:p w14:paraId="7D0DC9DD">
      <w:pPr>
        <w:adjustRightInd w:val="0"/>
        <w:snapToGrid w:val="0"/>
        <w:spacing w:line="440" w:lineRule="exact"/>
        <w:ind w:firstLine="420" w:firstLineChars="200"/>
        <w:rPr>
          <w:rStyle w:val="147"/>
          <w:rFonts w:hint="eastAsia" w:asciiTheme="minorEastAsia" w:hAnsiTheme="minorEastAsia" w:eastAsiaTheme="minorEastAsia" w:cstheme="minorEastAsia"/>
          <w:b w:val="0"/>
          <w:color w:val="auto"/>
          <w:sz w:val="21"/>
          <w:szCs w:val="21"/>
          <w:highlight w:val="none"/>
        </w:rPr>
      </w:pPr>
      <w:bookmarkStart w:id="84" w:name="_Toc419045117"/>
      <w:bookmarkStart w:id="85" w:name="_Toc495869308"/>
      <w:r>
        <w:rPr>
          <w:rStyle w:val="147"/>
          <w:rFonts w:hint="eastAsia" w:asciiTheme="minorEastAsia" w:hAnsiTheme="minorEastAsia" w:eastAsiaTheme="minorEastAsia" w:cstheme="minorEastAsia"/>
          <w:b w:val="0"/>
          <w:color w:val="auto"/>
          <w:sz w:val="21"/>
          <w:szCs w:val="21"/>
          <w:highlight w:val="none"/>
        </w:rPr>
        <w:t>5.2 支付申请</w:t>
      </w:r>
      <w:bookmarkEnd w:id="84"/>
      <w:bookmarkEnd w:id="85"/>
    </w:p>
    <w:p w14:paraId="3F7236F0">
      <w:pPr>
        <w:adjustRightInd w:val="0"/>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咨询人应在本合同约定的每次应付款日期</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日前，向委托人提交支付申请书。</w:t>
      </w:r>
    </w:p>
    <w:p w14:paraId="51D7F677">
      <w:pPr>
        <w:adjustRightInd w:val="0"/>
        <w:snapToGrid w:val="0"/>
        <w:spacing w:line="440" w:lineRule="exact"/>
        <w:ind w:firstLine="420" w:firstLineChars="200"/>
        <w:rPr>
          <w:rStyle w:val="147"/>
          <w:rFonts w:hint="eastAsia" w:asciiTheme="minorEastAsia" w:hAnsiTheme="minorEastAsia" w:eastAsiaTheme="minorEastAsia" w:cstheme="minorEastAsia"/>
          <w:b w:val="0"/>
          <w:color w:val="auto"/>
          <w:sz w:val="21"/>
          <w:szCs w:val="21"/>
          <w:highlight w:val="none"/>
        </w:rPr>
      </w:pPr>
      <w:bookmarkStart w:id="86" w:name="_Toc419045118"/>
      <w:bookmarkStart w:id="87" w:name="_Toc495869309"/>
      <w:r>
        <w:rPr>
          <w:rStyle w:val="147"/>
          <w:rFonts w:hint="eastAsia" w:asciiTheme="minorEastAsia" w:hAnsiTheme="minorEastAsia" w:eastAsiaTheme="minorEastAsia" w:cstheme="minorEastAsia"/>
          <w:b w:val="0"/>
          <w:color w:val="auto"/>
          <w:sz w:val="21"/>
          <w:szCs w:val="21"/>
          <w:highlight w:val="none"/>
        </w:rPr>
        <w:t>5.3支付酬金</w:t>
      </w:r>
      <w:bookmarkEnd w:id="86"/>
      <w:bookmarkEnd w:id="87"/>
    </w:p>
    <w:p w14:paraId="034676DC">
      <w:pPr>
        <w:adjustRightInd w:val="0"/>
        <w:snapToGrid w:val="0"/>
        <w:spacing w:line="440" w:lineRule="exact"/>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正常工作酬金的支付：</w:t>
      </w:r>
    </w:p>
    <w:tbl>
      <w:tblPr>
        <w:tblStyle w:val="21"/>
        <w:tblW w:w="9072"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108" w:type="dxa"/>
          <w:bottom w:w="28" w:type="dxa"/>
          <w:right w:w="108" w:type="dxa"/>
        </w:tblCellMar>
      </w:tblPr>
      <w:tblGrid>
        <w:gridCol w:w="1994"/>
        <w:gridCol w:w="4145"/>
        <w:gridCol w:w="2825"/>
      </w:tblGrid>
      <w:tr w14:paraId="581DE5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397" w:hRule="atLeast"/>
        </w:trPr>
        <w:tc>
          <w:tcPr>
            <w:tcW w:w="1994" w:type="dxa"/>
            <w:vAlign w:val="center"/>
          </w:tcPr>
          <w:p w14:paraId="5EC23090">
            <w:pPr>
              <w:spacing w:line="440" w:lineRule="exact"/>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服务类别</w:t>
            </w:r>
          </w:p>
        </w:tc>
        <w:tc>
          <w:tcPr>
            <w:tcW w:w="4145" w:type="dxa"/>
            <w:vAlign w:val="center"/>
          </w:tcPr>
          <w:p w14:paraId="3249116A">
            <w:pPr>
              <w:spacing w:line="440" w:lineRule="exact"/>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支付时间</w:t>
            </w:r>
          </w:p>
        </w:tc>
        <w:tc>
          <w:tcPr>
            <w:tcW w:w="2825" w:type="dxa"/>
            <w:vAlign w:val="center"/>
          </w:tcPr>
          <w:p w14:paraId="688804A7">
            <w:pPr>
              <w:spacing w:line="440" w:lineRule="exact"/>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支付比例</w:t>
            </w:r>
          </w:p>
        </w:tc>
      </w:tr>
      <w:tr w14:paraId="5012F3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397" w:hRule="atLeast"/>
        </w:trPr>
        <w:tc>
          <w:tcPr>
            <w:tcW w:w="1994" w:type="dxa"/>
            <w:vMerge w:val="restart"/>
            <w:vAlign w:val="center"/>
          </w:tcPr>
          <w:p w14:paraId="0A3032B9">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施工阶段全过程工程造价咨询服务费支付方式</w:t>
            </w:r>
          </w:p>
        </w:tc>
        <w:tc>
          <w:tcPr>
            <w:tcW w:w="4145" w:type="dxa"/>
            <w:vAlign w:val="center"/>
          </w:tcPr>
          <w:p w14:paraId="19739F3C">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第一次支付时间：工程量</w:t>
            </w:r>
            <w:r>
              <w:rPr>
                <w:rFonts w:hint="eastAsia" w:asciiTheme="minorEastAsia" w:hAnsiTheme="minorEastAsia" w:eastAsiaTheme="minorEastAsia" w:cstheme="minorEastAsia"/>
                <w:color w:val="auto"/>
                <w:szCs w:val="21"/>
                <w:highlight w:val="none"/>
                <w:lang w:val="en-US" w:eastAsia="zh-CN"/>
              </w:rPr>
              <w:t>累计完成</w:t>
            </w:r>
            <w:r>
              <w:rPr>
                <w:rFonts w:hint="eastAsia" w:asciiTheme="minorEastAsia" w:hAnsiTheme="minorEastAsia" w:eastAsiaTheme="minorEastAsia" w:cstheme="minorEastAsia"/>
                <w:color w:val="auto"/>
                <w:szCs w:val="21"/>
                <w:highlight w:val="none"/>
              </w:rPr>
              <w:t>达到</w:t>
            </w:r>
            <w:r>
              <w:rPr>
                <w:rFonts w:hint="eastAsia" w:asciiTheme="minorEastAsia" w:hAnsiTheme="minorEastAsia" w:eastAsiaTheme="minorEastAsia" w:cstheme="minorEastAsia"/>
                <w:color w:val="auto"/>
                <w:szCs w:val="21"/>
                <w:highlight w:val="none"/>
                <w:lang w:val="en-US" w:eastAsia="zh-CN"/>
              </w:rPr>
              <w:t>30%时，由咨询人上报支付服务费申请并提供增值税专用发票，经委托人审核后30日内支付。</w:t>
            </w:r>
          </w:p>
        </w:tc>
        <w:tc>
          <w:tcPr>
            <w:tcW w:w="2825" w:type="dxa"/>
            <w:vAlign w:val="center"/>
          </w:tcPr>
          <w:p w14:paraId="3908233A">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甲方</w:t>
            </w:r>
            <w:r>
              <w:rPr>
                <w:rFonts w:hint="eastAsia" w:asciiTheme="minorEastAsia" w:hAnsiTheme="minorEastAsia" w:eastAsiaTheme="minorEastAsia" w:cstheme="minorEastAsia"/>
                <w:color w:val="auto"/>
                <w:szCs w:val="21"/>
                <w:highlight w:val="none"/>
              </w:rPr>
              <w:t>支付施工阶段全过程工程造价咨询服务费</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按施工中标价为基数计算</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0%。</w:t>
            </w:r>
          </w:p>
        </w:tc>
      </w:tr>
      <w:tr w14:paraId="2C22B2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397" w:hRule="atLeast"/>
        </w:trPr>
        <w:tc>
          <w:tcPr>
            <w:tcW w:w="1994" w:type="dxa"/>
            <w:vMerge w:val="continue"/>
            <w:vAlign w:val="center"/>
          </w:tcPr>
          <w:p w14:paraId="23043E31">
            <w:pPr>
              <w:spacing w:line="440" w:lineRule="exact"/>
              <w:jc w:val="center"/>
              <w:rPr>
                <w:rFonts w:hint="eastAsia" w:asciiTheme="minorEastAsia" w:hAnsiTheme="minorEastAsia" w:eastAsiaTheme="minorEastAsia" w:cstheme="minorEastAsia"/>
                <w:color w:val="auto"/>
                <w:szCs w:val="21"/>
                <w:highlight w:val="none"/>
              </w:rPr>
            </w:pPr>
          </w:p>
        </w:tc>
        <w:tc>
          <w:tcPr>
            <w:tcW w:w="4145" w:type="dxa"/>
            <w:vAlign w:val="center"/>
          </w:tcPr>
          <w:p w14:paraId="1FE676B8">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第二次支付时间：工程量</w:t>
            </w:r>
            <w:r>
              <w:rPr>
                <w:rFonts w:hint="eastAsia" w:asciiTheme="minorEastAsia" w:hAnsiTheme="minorEastAsia" w:eastAsiaTheme="minorEastAsia" w:cstheme="minorEastAsia"/>
                <w:color w:val="auto"/>
                <w:szCs w:val="21"/>
                <w:highlight w:val="none"/>
                <w:lang w:val="en-US" w:eastAsia="zh-CN"/>
              </w:rPr>
              <w:t>累计完成</w:t>
            </w:r>
            <w:r>
              <w:rPr>
                <w:rFonts w:hint="eastAsia" w:asciiTheme="minorEastAsia" w:hAnsiTheme="minorEastAsia" w:eastAsiaTheme="minorEastAsia" w:cstheme="minorEastAsia"/>
                <w:color w:val="auto"/>
                <w:szCs w:val="21"/>
                <w:highlight w:val="none"/>
              </w:rPr>
              <w:t>达到50%时</w:t>
            </w:r>
            <w:r>
              <w:rPr>
                <w:rFonts w:hint="eastAsia" w:asciiTheme="minorEastAsia" w:hAnsiTheme="minorEastAsia" w:eastAsiaTheme="minorEastAsia" w:cstheme="minorEastAsia"/>
                <w:color w:val="auto"/>
                <w:szCs w:val="21"/>
                <w:highlight w:val="none"/>
                <w:lang w:val="en-US" w:eastAsia="zh-CN"/>
              </w:rPr>
              <w:t>，由咨询人上报支付服务费申请并提供增值税专用发票，经委托人审核后30日内支付。</w:t>
            </w:r>
          </w:p>
        </w:tc>
        <w:tc>
          <w:tcPr>
            <w:tcW w:w="2825" w:type="dxa"/>
            <w:vAlign w:val="center"/>
          </w:tcPr>
          <w:p w14:paraId="04C4B94F">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甲方支付施工阶段全过程工程造价咨询服务费</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按施工中标价为基数计算</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的20%。</w:t>
            </w:r>
          </w:p>
        </w:tc>
      </w:tr>
      <w:tr w14:paraId="352858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397" w:hRule="atLeast"/>
        </w:trPr>
        <w:tc>
          <w:tcPr>
            <w:tcW w:w="1994" w:type="dxa"/>
            <w:vMerge w:val="continue"/>
            <w:vAlign w:val="center"/>
          </w:tcPr>
          <w:p w14:paraId="232A27A5">
            <w:pPr>
              <w:spacing w:line="440" w:lineRule="exact"/>
              <w:jc w:val="center"/>
              <w:rPr>
                <w:rFonts w:hint="eastAsia" w:asciiTheme="minorEastAsia" w:hAnsiTheme="minorEastAsia" w:eastAsiaTheme="minorEastAsia" w:cstheme="minorEastAsia"/>
                <w:color w:val="auto"/>
                <w:szCs w:val="21"/>
                <w:highlight w:val="none"/>
              </w:rPr>
            </w:pPr>
          </w:p>
        </w:tc>
        <w:tc>
          <w:tcPr>
            <w:tcW w:w="4145" w:type="dxa"/>
            <w:vAlign w:val="center"/>
          </w:tcPr>
          <w:p w14:paraId="00467386">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第三次支付时间：工程</w:t>
            </w:r>
            <w:r>
              <w:rPr>
                <w:rFonts w:hint="eastAsia" w:asciiTheme="minorEastAsia" w:hAnsiTheme="minorEastAsia" w:eastAsiaTheme="minorEastAsia" w:cstheme="minorEastAsia"/>
                <w:color w:val="auto"/>
                <w:szCs w:val="21"/>
                <w:highlight w:val="none"/>
                <w:lang w:val="en-US" w:eastAsia="zh-CN"/>
              </w:rPr>
              <w:t>竣工</w:t>
            </w:r>
            <w:r>
              <w:rPr>
                <w:rFonts w:hint="eastAsia" w:asciiTheme="minorEastAsia" w:hAnsiTheme="minorEastAsia" w:eastAsiaTheme="minorEastAsia" w:cstheme="minorEastAsia"/>
                <w:color w:val="auto"/>
                <w:szCs w:val="21"/>
                <w:highlight w:val="none"/>
              </w:rPr>
              <w:t>验收合格后</w:t>
            </w:r>
            <w:r>
              <w:rPr>
                <w:rFonts w:hint="eastAsia" w:asciiTheme="minorEastAsia" w:hAnsiTheme="minorEastAsia" w:eastAsiaTheme="minorEastAsia" w:cstheme="minorEastAsia"/>
                <w:color w:val="auto"/>
                <w:szCs w:val="21"/>
                <w:highlight w:val="none"/>
                <w:lang w:val="en-US" w:eastAsia="zh-CN"/>
              </w:rPr>
              <w:t>，由咨询人上报支付服务费申请并提供增值税专用发票，经委托人审核后30日内支付。</w:t>
            </w:r>
          </w:p>
        </w:tc>
        <w:tc>
          <w:tcPr>
            <w:tcW w:w="2825" w:type="dxa"/>
            <w:vAlign w:val="center"/>
          </w:tcPr>
          <w:p w14:paraId="62EF76F0">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甲方支付</w:t>
            </w:r>
            <w:r>
              <w:rPr>
                <w:rFonts w:hint="eastAsia" w:asciiTheme="minorEastAsia" w:hAnsiTheme="minorEastAsia" w:eastAsiaTheme="minorEastAsia" w:cstheme="minorEastAsia"/>
                <w:color w:val="auto"/>
                <w:szCs w:val="21"/>
                <w:highlight w:val="none"/>
                <w:lang w:val="en-US" w:eastAsia="zh-CN"/>
              </w:rPr>
              <w:t>至</w:t>
            </w:r>
            <w:r>
              <w:rPr>
                <w:rFonts w:hint="eastAsia" w:asciiTheme="minorEastAsia" w:hAnsiTheme="minorEastAsia" w:eastAsiaTheme="minorEastAsia" w:cstheme="minorEastAsia"/>
                <w:color w:val="auto"/>
                <w:szCs w:val="21"/>
                <w:highlight w:val="none"/>
              </w:rPr>
              <w:t>施工阶段全过程工程造价咨询服务费</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按施工中标价为基数计算</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的80%。</w:t>
            </w:r>
          </w:p>
        </w:tc>
      </w:tr>
      <w:tr w14:paraId="77452A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397" w:hRule="atLeast"/>
        </w:trPr>
        <w:tc>
          <w:tcPr>
            <w:tcW w:w="1994" w:type="dxa"/>
            <w:vMerge w:val="continue"/>
            <w:vAlign w:val="center"/>
          </w:tcPr>
          <w:p w14:paraId="0E87B5E6">
            <w:pPr>
              <w:spacing w:line="440" w:lineRule="exact"/>
              <w:jc w:val="center"/>
              <w:rPr>
                <w:rFonts w:hint="eastAsia" w:asciiTheme="minorEastAsia" w:hAnsiTheme="minorEastAsia" w:eastAsiaTheme="minorEastAsia" w:cstheme="minorEastAsia"/>
                <w:color w:val="auto"/>
                <w:szCs w:val="21"/>
                <w:highlight w:val="none"/>
              </w:rPr>
            </w:pPr>
          </w:p>
        </w:tc>
        <w:tc>
          <w:tcPr>
            <w:tcW w:w="4145" w:type="dxa"/>
            <w:vAlign w:val="center"/>
          </w:tcPr>
          <w:p w14:paraId="6B2DED84">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末次支付时间：整个工程竣工结算经</w:t>
            </w:r>
            <w:r>
              <w:rPr>
                <w:rFonts w:hint="eastAsia" w:asciiTheme="minorEastAsia" w:hAnsiTheme="minorEastAsia" w:eastAsiaTheme="minorEastAsia" w:cstheme="minorEastAsia"/>
                <w:color w:val="auto"/>
                <w:szCs w:val="21"/>
                <w:highlight w:val="none"/>
                <w:lang w:val="en-US" w:eastAsia="zh-CN"/>
              </w:rPr>
              <w:t>评审中心</w:t>
            </w:r>
            <w:r>
              <w:rPr>
                <w:rFonts w:hint="eastAsia" w:asciiTheme="minorEastAsia" w:hAnsiTheme="minorEastAsia" w:eastAsiaTheme="minorEastAsia" w:cstheme="minorEastAsia"/>
                <w:color w:val="auto"/>
                <w:szCs w:val="21"/>
                <w:highlight w:val="none"/>
              </w:rPr>
              <w:t>二审</w:t>
            </w:r>
            <w:r>
              <w:rPr>
                <w:rFonts w:hint="eastAsia" w:asciiTheme="minorEastAsia" w:hAnsiTheme="minorEastAsia" w:eastAsiaTheme="minorEastAsia" w:cstheme="minorEastAsia"/>
                <w:color w:val="auto"/>
                <w:szCs w:val="21"/>
                <w:highlight w:val="none"/>
                <w:lang w:val="en-US" w:eastAsia="zh-CN"/>
              </w:rPr>
              <w:t>提交正式审核报告且完成结算备案后，由咨询人上报支付服务费申请并提供增值税专用发票，经委托人审核后30日内支付。</w:t>
            </w:r>
          </w:p>
        </w:tc>
        <w:tc>
          <w:tcPr>
            <w:tcW w:w="2825" w:type="dxa"/>
            <w:vAlign w:val="center"/>
          </w:tcPr>
          <w:p w14:paraId="523CCD9F">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甲方付清最终施工阶段全过程工程造价咨询服务费的余款。</w:t>
            </w:r>
          </w:p>
        </w:tc>
      </w:tr>
      <w:tr w14:paraId="3E094D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397" w:hRule="atLeast"/>
        </w:trPr>
        <w:tc>
          <w:tcPr>
            <w:tcW w:w="1994" w:type="dxa"/>
            <w:vMerge w:val="restart"/>
            <w:vAlign w:val="center"/>
          </w:tcPr>
          <w:p w14:paraId="0A91D5A9">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结算审核费支付方式</w:t>
            </w:r>
          </w:p>
        </w:tc>
        <w:tc>
          <w:tcPr>
            <w:tcW w:w="4145" w:type="dxa"/>
            <w:vAlign w:val="center"/>
          </w:tcPr>
          <w:p w14:paraId="17ADFCE0">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第一次支付时间：</w:t>
            </w:r>
          </w:p>
          <w:p w14:paraId="4F0C5847">
            <w:pPr>
              <w:spacing w:line="440" w:lineRule="exact"/>
              <w:ind w:firstLine="0" w:firstLineChars="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结算一审</w:t>
            </w:r>
            <w:r>
              <w:rPr>
                <w:rFonts w:hint="eastAsia" w:asciiTheme="minorEastAsia" w:hAnsiTheme="minorEastAsia" w:eastAsiaTheme="minorEastAsia" w:cstheme="minorEastAsia"/>
                <w:color w:val="auto"/>
                <w:szCs w:val="21"/>
                <w:highlight w:val="none"/>
              </w:rPr>
              <w:t>出具</w:t>
            </w:r>
            <w:r>
              <w:rPr>
                <w:rFonts w:hint="eastAsia" w:asciiTheme="minorEastAsia" w:hAnsiTheme="minorEastAsia" w:eastAsiaTheme="minorEastAsia" w:cstheme="minorEastAsia"/>
                <w:color w:val="auto"/>
                <w:szCs w:val="21"/>
                <w:highlight w:val="none"/>
                <w:lang w:val="en-US" w:eastAsia="zh-CN"/>
              </w:rPr>
              <w:t>正式</w:t>
            </w:r>
            <w:r>
              <w:rPr>
                <w:rFonts w:hint="eastAsia" w:asciiTheme="minorEastAsia" w:hAnsiTheme="minorEastAsia" w:eastAsiaTheme="minorEastAsia" w:cstheme="minorEastAsia"/>
                <w:color w:val="auto"/>
                <w:szCs w:val="21"/>
                <w:highlight w:val="none"/>
              </w:rPr>
              <w:t>结算审核报告后</w:t>
            </w:r>
            <w:r>
              <w:rPr>
                <w:rFonts w:hint="eastAsia" w:asciiTheme="minorEastAsia" w:hAnsiTheme="minorEastAsia" w:eastAsiaTheme="minorEastAsia" w:cstheme="minorEastAsia"/>
                <w:color w:val="auto"/>
                <w:szCs w:val="21"/>
                <w:highlight w:val="none"/>
                <w:lang w:val="en-US" w:eastAsia="zh-CN"/>
              </w:rPr>
              <w:t>，由咨询人上报支付服务费申请并提供增值税专用发票，经委托人审核后30日内支付。</w:t>
            </w:r>
          </w:p>
        </w:tc>
        <w:tc>
          <w:tcPr>
            <w:tcW w:w="2825" w:type="dxa"/>
            <w:vAlign w:val="center"/>
          </w:tcPr>
          <w:p w14:paraId="4F666438">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w:t>
            </w:r>
            <w:r>
              <w:rPr>
                <w:rFonts w:hint="eastAsia" w:asciiTheme="minorEastAsia" w:hAnsiTheme="minorEastAsia" w:eastAsiaTheme="minorEastAsia" w:cstheme="minorEastAsia"/>
                <w:color w:val="auto"/>
                <w:szCs w:val="21"/>
                <w:highlight w:val="none"/>
                <w:lang w:val="en-US" w:eastAsia="zh-CN"/>
              </w:rPr>
              <w:t>支付至结算审核（按结算一审金额计算）费用的80%。</w:t>
            </w:r>
          </w:p>
        </w:tc>
      </w:tr>
      <w:tr w14:paraId="25C35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397" w:hRule="atLeast"/>
        </w:trPr>
        <w:tc>
          <w:tcPr>
            <w:tcW w:w="1994" w:type="dxa"/>
            <w:vMerge w:val="continue"/>
            <w:vAlign w:val="center"/>
          </w:tcPr>
          <w:p w14:paraId="5AF07366">
            <w:pPr>
              <w:spacing w:line="440" w:lineRule="exact"/>
              <w:jc w:val="left"/>
              <w:rPr>
                <w:rFonts w:hint="eastAsia" w:asciiTheme="minorEastAsia" w:hAnsiTheme="minorEastAsia" w:eastAsiaTheme="minorEastAsia" w:cstheme="minorEastAsia"/>
                <w:color w:val="auto"/>
                <w:szCs w:val="21"/>
                <w:highlight w:val="none"/>
              </w:rPr>
            </w:pPr>
          </w:p>
        </w:tc>
        <w:tc>
          <w:tcPr>
            <w:tcW w:w="4145" w:type="dxa"/>
            <w:vAlign w:val="center"/>
          </w:tcPr>
          <w:p w14:paraId="3094A680">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末次支付时间：</w:t>
            </w:r>
          </w:p>
          <w:p w14:paraId="476235B7">
            <w:pPr>
              <w:spacing w:line="440" w:lineRule="exact"/>
              <w:ind w:firstLine="0" w:firstLineChars="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整个工程竣工结算经</w:t>
            </w:r>
            <w:r>
              <w:rPr>
                <w:rFonts w:hint="eastAsia" w:asciiTheme="minorEastAsia" w:hAnsiTheme="minorEastAsia" w:eastAsiaTheme="minorEastAsia" w:cstheme="minorEastAsia"/>
                <w:color w:val="auto"/>
                <w:szCs w:val="21"/>
                <w:highlight w:val="none"/>
                <w:lang w:val="en-US" w:eastAsia="zh-CN"/>
              </w:rPr>
              <w:t>评审中心</w:t>
            </w:r>
            <w:r>
              <w:rPr>
                <w:rFonts w:hint="eastAsia" w:asciiTheme="minorEastAsia" w:hAnsiTheme="minorEastAsia" w:eastAsiaTheme="minorEastAsia" w:cstheme="minorEastAsia"/>
                <w:color w:val="auto"/>
                <w:szCs w:val="21"/>
                <w:highlight w:val="none"/>
              </w:rPr>
              <w:t>二审</w:t>
            </w:r>
            <w:r>
              <w:rPr>
                <w:rFonts w:hint="eastAsia" w:asciiTheme="minorEastAsia" w:hAnsiTheme="minorEastAsia" w:eastAsiaTheme="minorEastAsia" w:cstheme="minorEastAsia"/>
                <w:color w:val="auto"/>
                <w:szCs w:val="21"/>
                <w:highlight w:val="none"/>
                <w:lang w:val="en-US" w:eastAsia="zh-CN"/>
              </w:rPr>
              <w:t>提交正式审核报告且完成结算备案后，由咨询人上报支付服务费申请并提供增值税专用发票，经委托人审核后30日内支付。</w:t>
            </w:r>
          </w:p>
        </w:tc>
        <w:tc>
          <w:tcPr>
            <w:tcW w:w="2825" w:type="dxa"/>
            <w:vAlign w:val="center"/>
          </w:tcPr>
          <w:p w14:paraId="03CC1B93">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甲方付清最终结算审核费的余款。</w:t>
            </w:r>
          </w:p>
        </w:tc>
      </w:tr>
    </w:tbl>
    <w:p w14:paraId="63E30042">
      <w:pPr>
        <w:pStyle w:val="17"/>
        <w:widowControl/>
        <w:adjustRightInd w:val="0"/>
        <w:snapToGrid w:val="0"/>
        <w:spacing w:before="0" w:after="0" w:line="440" w:lineRule="exact"/>
        <w:ind w:firstLine="422" w:firstLineChars="200"/>
        <w:jc w:val="left"/>
        <w:outlineLvl w:val="9"/>
        <w:rPr>
          <w:rFonts w:hint="eastAsia" w:asciiTheme="minorEastAsia" w:hAnsiTheme="minorEastAsia" w:eastAsiaTheme="minorEastAsia" w:cstheme="minorEastAsia"/>
          <w:color w:val="auto"/>
          <w:sz w:val="21"/>
          <w:szCs w:val="21"/>
          <w:highlight w:val="none"/>
        </w:rPr>
      </w:pPr>
      <w:bookmarkStart w:id="88" w:name="_Toc419045119"/>
      <w:bookmarkStart w:id="89" w:name="_Toc495869310"/>
      <w:r>
        <w:rPr>
          <w:rFonts w:hint="eastAsia" w:asciiTheme="minorEastAsia" w:hAnsiTheme="minorEastAsia" w:eastAsiaTheme="minorEastAsia" w:cstheme="minorEastAsia"/>
          <w:color w:val="auto"/>
          <w:sz w:val="21"/>
          <w:szCs w:val="21"/>
          <w:highlight w:val="none"/>
        </w:rPr>
        <w:t>6. 合同变更、解除与终止</w:t>
      </w:r>
      <w:bookmarkEnd w:id="88"/>
      <w:bookmarkEnd w:id="89"/>
    </w:p>
    <w:p w14:paraId="17E763EC">
      <w:pPr>
        <w:adjustRightInd w:val="0"/>
        <w:snapToGrid w:val="0"/>
        <w:spacing w:line="440" w:lineRule="exact"/>
        <w:ind w:firstLine="420" w:firstLineChars="200"/>
        <w:rPr>
          <w:rStyle w:val="147"/>
          <w:rFonts w:hint="eastAsia" w:asciiTheme="minorEastAsia" w:hAnsiTheme="minorEastAsia" w:eastAsiaTheme="minorEastAsia" w:cstheme="minorEastAsia"/>
          <w:b w:val="0"/>
          <w:color w:val="auto"/>
          <w:sz w:val="21"/>
          <w:szCs w:val="21"/>
          <w:highlight w:val="none"/>
        </w:rPr>
      </w:pPr>
      <w:bookmarkStart w:id="90" w:name="_Toc495869311"/>
      <w:bookmarkStart w:id="91" w:name="_Toc419045120"/>
      <w:r>
        <w:rPr>
          <w:rStyle w:val="147"/>
          <w:rFonts w:hint="eastAsia" w:asciiTheme="minorEastAsia" w:hAnsiTheme="minorEastAsia" w:eastAsiaTheme="minorEastAsia" w:cstheme="minorEastAsia"/>
          <w:b w:val="0"/>
          <w:color w:val="auto"/>
          <w:sz w:val="21"/>
          <w:szCs w:val="21"/>
          <w:highlight w:val="none"/>
        </w:rPr>
        <w:t>6.1合同变更</w:t>
      </w:r>
      <w:bookmarkEnd w:id="90"/>
      <w:bookmarkEnd w:id="91"/>
    </w:p>
    <w:p w14:paraId="0AFB04B5">
      <w:pPr>
        <w:adjustRightInd w:val="0"/>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6.1.2因非咨询人原因导致本合同履行期限延长、内容增加时，附加工作酬金按下列方法确定：</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b/>
          <w:bCs/>
          <w:color w:val="auto"/>
          <w:szCs w:val="21"/>
          <w:highlight w:val="none"/>
          <w:u w:val="single"/>
        </w:rPr>
        <w:t xml:space="preserve">不予计算，咨询人合同签订已考虑不利因素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3A68B75C">
      <w:pPr>
        <w:adjustRightInd w:val="0"/>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6.1.4因工程规模、服务范围及内容的变化等导致咨询人的工作量增减时，服务酬金的调整方法：</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b/>
          <w:bCs/>
          <w:color w:val="auto"/>
          <w:szCs w:val="21"/>
          <w:highlight w:val="none"/>
          <w:u w:val="single"/>
        </w:rPr>
        <w:t xml:space="preserve"> 按约定计取方式结算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248725AE">
      <w:pPr>
        <w:adjustRightInd w:val="0"/>
        <w:snapToGrid w:val="0"/>
        <w:spacing w:line="440" w:lineRule="exact"/>
        <w:ind w:firstLine="422" w:firstLineChars="200"/>
        <w:rPr>
          <w:rFonts w:hint="eastAsia" w:asciiTheme="minorEastAsia" w:hAnsiTheme="minorEastAsia" w:eastAsiaTheme="minorEastAsia" w:cstheme="minorEastAsia"/>
          <w:b/>
          <w:bCs/>
          <w:color w:val="auto"/>
          <w:szCs w:val="21"/>
          <w:highlight w:val="none"/>
          <w:u w:val="single"/>
        </w:rPr>
      </w:pPr>
      <w:r>
        <w:rPr>
          <w:rFonts w:hint="eastAsia" w:asciiTheme="minorEastAsia" w:hAnsiTheme="minorEastAsia" w:eastAsiaTheme="minorEastAsia" w:cstheme="minorEastAsia"/>
          <w:b/>
          <w:bCs/>
          <w:color w:val="auto"/>
          <w:szCs w:val="21"/>
          <w:highlight w:val="none"/>
        </w:rPr>
        <w:t>6.1.</w:t>
      </w:r>
      <w:r>
        <w:rPr>
          <w:rFonts w:hint="eastAsia" w:asciiTheme="minorEastAsia" w:hAnsiTheme="minorEastAsia" w:eastAsiaTheme="minorEastAsia" w:cstheme="minorEastAsia"/>
          <w:b/>
          <w:bCs/>
          <w:color w:val="auto"/>
          <w:szCs w:val="21"/>
          <w:highlight w:val="none"/>
          <w:u w:val="single"/>
        </w:rPr>
        <w:t>5委托人无故解除合同时（本合同另有约定的除外）服务酬金的结算方法：咨询人接到委托人工程取消通知后，如委托人项目未完成时应采取措施把自身投入损失减至最小，及时保存并提交已完成的成果，按已完成工作量投入的人力成本进行结算且不高于合同价的80%；如委托人项目已完成则按合同约定执行。</w:t>
      </w:r>
    </w:p>
    <w:p w14:paraId="70143B1C">
      <w:pPr>
        <w:pStyle w:val="13"/>
        <w:adjustRightInd w:val="0"/>
        <w:snapToGrid w:val="0"/>
        <w:spacing w:before="0" w:line="440" w:lineRule="exact"/>
        <w:ind w:firstLine="420" w:firstLineChars="200"/>
        <w:jc w:val="left"/>
        <w:rPr>
          <w:rFonts w:hint="eastAsia" w:asciiTheme="minorEastAsia" w:hAnsiTheme="minorEastAsia" w:eastAsiaTheme="minorEastAsia" w:cstheme="minorEastAsia"/>
          <w:b w:val="0"/>
          <w:color w:val="auto"/>
          <w:sz w:val="21"/>
          <w:szCs w:val="21"/>
          <w:highlight w:val="none"/>
        </w:rPr>
      </w:pPr>
      <w:bookmarkStart w:id="92" w:name="_Toc495869312"/>
      <w:r>
        <w:rPr>
          <w:rFonts w:hint="eastAsia" w:asciiTheme="minorEastAsia" w:hAnsiTheme="minorEastAsia" w:eastAsiaTheme="minorEastAsia" w:cstheme="minorEastAsia"/>
          <w:b w:val="0"/>
          <w:color w:val="auto"/>
          <w:sz w:val="21"/>
          <w:szCs w:val="21"/>
          <w:highlight w:val="none"/>
        </w:rPr>
        <w:t>6.2合同解除</w:t>
      </w:r>
      <w:bookmarkEnd w:id="92"/>
    </w:p>
    <w:p w14:paraId="6BFFA3D9">
      <w:pPr>
        <w:adjustRightInd w:val="0"/>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6.2.2双方约定解除合同的条件还包括：</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b/>
          <w:bCs/>
          <w:color w:val="auto"/>
          <w:szCs w:val="21"/>
          <w:highlight w:val="none"/>
          <w:u w:val="single"/>
        </w:rPr>
        <w:t xml:space="preserve">咨询人将任务转包给第三方的，委托人有权立即解除合同，所有损失由咨询人承担       </w:t>
      </w:r>
      <w:r>
        <w:rPr>
          <w:rFonts w:hint="eastAsia" w:asciiTheme="minorEastAsia" w:hAnsiTheme="minorEastAsia" w:eastAsiaTheme="minorEastAsia" w:cstheme="minorEastAsia"/>
          <w:b/>
          <w:bCs/>
          <w:color w:val="auto"/>
          <w:szCs w:val="21"/>
          <w:highlight w:val="none"/>
        </w:rPr>
        <w:t>。</w:t>
      </w:r>
      <w:r>
        <w:rPr>
          <w:rFonts w:hint="eastAsia" w:asciiTheme="minorEastAsia" w:hAnsiTheme="minorEastAsia" w:eastAsiaTheme="minorEastAsia" w:cstheme="minorEastAsia"/>
          <w:color w:val="auto"/>
          <w:szCs w:val="21"/>
          <w:highlight w:val="none"/>
        </w:rPr>
        <w:t xml:space="preserve"> </w:t>
      </w:r>
    </w:p>
    <w:p w14:paraId="39BC00CC">
      <w:pPr>
        <w:adjustRightInd w:val="0"/>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6.2.4因不可抗力导致的合同解除，双方约定损失的分担如下：</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w:t>
      </w:r>
    </w:p>
    <w:p w14:paraId="18BC53A3">
      <w:pPr>
        <w:pStyle w:val="17"/>
        <w:widowControl/>
        <w:adjustRightInd w:val="0"/>
        <w:snapToGrid w:val="0"/>
        <w:spacing w:before="0" w:after="0" w:line="440" w:lineRule="exact"/>
        <w:ind w:firstLine="422" w:firstLineChars="200"/>
        <w:jc w:val="left"/>
        <w:outlineLvl w:val="9"/>
        <w:rPr>
          <w:rFonts w:hint="eastAsia" w:asciiTheme="minorEastAsia" w:hAnsiTheme="minorEastAsia" w:eastAsiaTheme="minorEastAsia" w:cstheme="minorEastAsia"/>
          <w:color w:val="auto"/>
          <w:sz w:val="21"/>
          <w:szCs w:val="21"/>
          <w:highlight w:val="none"/>
        </w:rPr>
      </w:pPr>
      <w:bookmarkStart w:id="93" w:name="_Toc495869313"/>
      <w:bookmarkStart w:id="94" w:name="_Toc419045121"/>
      <w:r>
        <w:rPr>
          <w:rFonts w:hint="eastAsia" w:asciiTheme="minorEastAsia" w:hAnsiTheme="minorEastAsia" w:eastAsiaTheme="minorEastAsia" w:cstheme="minorEastAsia"/>
          <w:color w:val="auto"/>
          <w:sz w:val="21"/>
          <w:szCs w:val="21"/>
          <w:highlight w:val="none"/>
        </w:rPr>
        <w:t>7. 争议解决</w:t>
      </w:r>
      <w:bookmarkEnd w:id="93"/>
      <w:bookmarkEnd w:id="94"/>
    </w:p>
    <w:p w14:paraId="574081FE">
      <w:pPr>
        <w:adjustRightInd w:val="0"/>
        <w:snapToGrid w:val="0"/>
        <w:spacing w:line="440" w:lineRule="exact"/>
        <w:ind w:firstLine="420" w:firstLineChars="200"/>
        <w:rPr>
          <w:rStyle w:val="147"/>
          <w:rFonts w:hint="eastAsia" w:asciiTheme="minorEastAsia" w:hAnsiTheme="minorEastAsia" w:eastAsiaTheme="minorEastAsia" w:cstheme="minorEastAsia"/>
          <w:b w:val="0"/>
          <w:color w:val="auto"/>
          <w:sz w:val="21"/>
          <w:szCs w:val="21"/>
          <w:highlight w:val="none"/>
        </w:rPr>
      </w:pPr>
      <w:bookmarkStart w:id="95" w:name="_Toc495869314"/>
      <w:bookmarkStart w:id="96" w:name="_Toc419045122"/>
      <w:r>
        <w:rPr>
          <w:rStyle w:val="147"/>
          <w:rFonts w:hint="eastAsia" w:asciiTheme="minorEastAsia" w:hAnsiTheme="minorEastAsia" w:eastAsiaTheme="minorEastAsia" w:cstheme="minorEastAsia"/>
          <w:b w:val="0"/>
          <w:color w:val="auto"/>
          <w:sz w:val="21"/>
          <w:szCs w:val="21"/>
          <w:highlight w:val="none"/>
        </w:rPr>
        <w:t>7.2调解</w:t>
      </w:r>
      <w:bookmarkEnd w:id="95"/>
      <w:bookmarkEnd w:id="96"/>
    </w:p>
    <w:p w14:paraId="71AD64F7">
      <w:pPr>
        <w:adjustRightInd w:val="0"/>
        <w:snapToGrid w:val="0"/>
        <w:spacing w:line="440" w:lineRule="exact"/>
        <w:ind w:firstLine="420" w:firstLineChars="200"/>
        <w:rPr>
          <w:rStyle w:val="147"/>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color w:val="auto"/>
          <w:szCs w:val="21"/>
          <w:highlight w:val="none"/>
        </w:rPr>
        <w:t>如果双方不能在</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日内解决本合同争议，可以将其提交</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进行调解。</w:t>
      </w:r>
    </w:p>
    <w:p w14:paraId="75C060D6">
      <w:pPr>
        <w:pStyle w:val="13"/>
        <w:adjustRightInd w:val="0"/>
        <w:snapToGrid w:val="0"/>
        <w:spacing w:before="0" w:line="440" w:lineRule="exact"/>
        <w:ind w:firstLine="420" w:firstLineChars="200"/>
        <w:jc w:val="left"/>
        <w:rPr>
          <w:rFonts w:hint="eastAsia" w:asciiTheme="minorEastAsia" w:hAnsiTheme="minorEastAsia" w:eastAsiaTheme="minorEastAsia" w:cstheme="minorEastAsia"/>
          <w:b w:val="0"/>
          <w:color w:val="auto"/>
          <w:sz w:val="21"/>
          <w:szCs w:val="21"/>
          <w:highlight w:val="none"/>
        </w:rPr>
      </w:pPr>
      <w:bookmarkStart w:id="97" w:name="_Toc495869315"/>
      <w:r>
        <w:rPr>
          <w:rFonts w:hint="eastAsia" w:asciiTheme="minorEastAsia" w:hAnsiTheme="minorEastAsia" w:eastAsiaTheme="minorEastAsia" w:cstheme="minorEastAsia"/>
          <w:b w:val="0"/>
          <w:color w:val="auto"/>
          <w:sz w:val="21"/>
          <w:szCs w:val="21"/>
          <w:highlight w:val="none"/>
        </w:rPr>
        <w:t>7.3仲裁或诉讼</w:t>
      </w:r>
      <w:bookmarkEnd w:id="97"/>
    </w:p>
    <w:p w14:paraId="3D8462D2">
      <w:pPr>
        <w:adjustRightInd w:val="0"/>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合同争议的最终解决方式为下列第</w:t>
      </w:r>
      <w:r>
        <w:rPr>
          <w:rFonts w:hint="eastAsia" w:asciiTheme="minorEastAsia" w:hAnsiTheme="minorEastAsia" w:eastAsiaTheme="minorEastAsia" w:cstheme="minorEastAsia"/>
          <w:color w:val="auto"/>
          <w:szCs w:val="21"/>
          <w:highlight w:val="none"/>
          <w:u w:val="single"/>
        </w:rPr>
        <w:t xml:space="preserve">  （2）   </w:t>
      </w:r>
      <w:r>
        <w:rPr>
          <w:rFonts w:hint="eastAsia" w:asciiTheme="minorEastAsia" w:hAnsiTheme="minorEastAsia" w:eastAsiaTheme="minorEastAsia" w:cstheme="minorEastAsia"/>
          <w:color w:val="auto"/>
          <w:szCs w:val="21"/>
          <w:highlight w:val="none"/>
        </w:rPr>
        <w:t>种方式：</w:t>
      </w:r>
    </w:p>
    <w:p w14:paraId="4FE1D152">
      <w:pPr>
        <w:adjustRightInd w:val="0"/>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（1）提请</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仲裁委员会进行仲裁。</w:t>
      </w:r>
    </w:p>
    <w:p w14:paraId="500DAF2A">
      <w:pPr>
        <w:adjustRightInd w:val="0"/>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（2）向</w:t>
      </w:r>
      <w:r>
        <w:rPr>
          <w:rFonts w:hint="eastAsia" w:asciiTheme="minorEastAsia" w:hAnsiTheme="minorEastAsia" w:eastAsiaTheme="minorEastAsia" w:cstheme="minorEastAsia"/>
          <w:color w:val="auto"/>
          <w:szCs w:val="21"/>
          <w:highlight w:val="none"/>
          <w:u w:val="single"/>
        </w:rPr>
        <w:t xml:space="preserve">   宁海县    </w:t>
      </w:r>
      <w:r>
        <w:rPr>
          <w:rFonts w:hint="eastAsia" w:asciiTheme="minorEastAsia" w:hAnsiTheme="minorEastAsia" w:eastAsiaTheme="minorEastAsia" w:cstheme="minorEastAsia"/>
          <w:color w:val="auto"/>
          <w:szCs w:val="21"/>
          <w:highlight w:val="none"/>
        </w:rPr>
        <w:t>人民法院提起诉讼。</w:t>
      </w:r>
    </w:p>
    <w:p w14:paraId="49E6F5EF">
      <w:pPr>
        <w:adjustRightInd w:val="0"/>
        <w:snapToGrid w:val="0"/>
        <w:spacing w:line="440" w:lineRule="exact"/>
        <w:ind w:firstLine="422" w:firstLineChars="200"/>
        <w:rPr>
          <w:rStyle w:val="147"/>
          <w:rFonts w:hint="eastAsia" w:asciiTheme="minorEastAsia" w:hAnsiTheme="minorEastAsia" w:eastAsiaTheme="minorEastAsia" w:cstheme="minorEastAsia"/>
          <w:b w:val="0"/>
          <w:color w:val="auto"/>
          <w:sz w:val="21"/>
          <w:szCs w:val="21"/>
          <w:highlight w:val="none"/>
        </w:rPr>
      </w:pPr>
      <w:bookmarkStart w:id="98" w:name="_Toc495869316"/>
      <w:bookmarkStart w:id="99" w:name="_Toc419045123"/>
      <w:r>
        <w:rPr>
          <w:rStyle w:val="142"/>
          <w:rFonts w:hint="eastAsia" w:asciiTheme="minorEastAsia" w:hAnsiTheme="minorEastAsia" w:eastAsiaTheme="minorEastAsia" w:cstheme="minorEastAsia"/>
          <w:color w:val="auto"/>
          <w:sz w:val="21"/>
          <w:szCs w:val="21"/>
          <w:highlight w:val="none"/>
        </w:rPr>
        <w:t>8. 其他</w:t>
      </w:r>
      <w:bookmarkEnd w:id="98"/>
      <w:bookmarkEnd w:id="99"/>
    </w:p>
    <w:p w14:paraId="1926A9D8">
      <w:pPr>
        <w:pStyle w:val="13"/>
        <w:adjustRightInd w:val="0"/>
        <w:snapToGrid w:val="0"/>
        <w:spacing w:before="0" w:line="440" w:lineRule="exact"/>
        <w:ind w:firstLine="420" w:firstLineChars="200"/>
        <w:jc w:val="left"/>
        <w:rPr>
          <w:rFonts w:hint="eastAsia" w:asciiTheme="minorEastAsia" w:hAnsiTheme="minorEastAsia" w:eastAsiaTheme="minorEastAsia" w:cstheme="minorEastAsia"/>
          <w:b w:val="0"/>
          <w:color w:val="auto"/>
          <w:sz w:val="21"/>
          <w:szCs w:val="21"/>
          <w:highlight w:val="none"/>
        </w:rPr>
      </w:pPr>
      <w:bookmarkStart w:id="100" w:name="_Toc495869317"/>
      <w:r>
        <w:rPr>
          <w:rFonts w:hint="eastAsia" w:asciiTheme="minorEastAsia" w:hAnsiTheme="minorEastAsia" w:eastAsiaTheme="minorEastAsia" w:cstheme="minorEastAsia"/>
          <w:b w:val="0"/>
          <w:color w:val="auto"/>
          <w:sz w:val="21"/>
          <w:szCs w:val="21"/>
          <w:highlight w:val="none"/>
        </w:rPr>
        <w:t>8.1考察及相关费用</w:t>
      </w:r>
      <w:bookmarkEnd w:id="100"/>
    </w:p>
    <w:p w14:paraId="5164FA70">
      <w:pPr>
        <w:adjustRightInd w:val="0"/>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咨询人经委托人同意进行考察发生的费用由</w:t>
      </w:r>
      <w:r>
        <w:rPr>
          <w:rFonts w:hint="eastAsia" w:asciiTheme="minorEastAsia" w:hAnsiTheme="minorEastAsia" w:eastAsiaTheme="minorEastAsia" w:cstheme="minorEastAsia"/>
          <w:color w:val="auto"/>
          <w:szCs w:val="21"/>
          <w:highlight w:val="none"/>
          <w:u w:val="single"/>
        </w:rPr>
        <w:t xml:space="preserve">  委托人 </w:t>
      </w:r>
      <w:r>
        <w:rPr>
          <w:rFonts w:hint="eastAsia" w:asciiTheme="minorEastAsia" w:hAnsiTheme="minorEastAsia" w:eastAsiaTheme="minorEastAsia" w:cstheme="minorEastAsia"/>
          <w:color w:val="auto"/>
          <w:szCs w:val="21"/>
          <w:highlight w:val="none"/>
        </w:rPr>
        <w:t>支付。</w:t>
      </w:r>
    </w:p>
    <w:p w14:paraId="1DCC93A3">
      <w:pPr>
        <w:adjustRightInd w:val="0"/>
        <w:snapToGrid w:val="0"/>
        <w:spacing w:line="440" w:lineRule="exact"/>
        <w:ind w:firstLine="420" w:firstLineChars="200"/>
        <w:rPr>
          <w:rStyle w:val="147"/>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color w:val="auto"/>
          <w:szCs w:val="21"/>
          <w:highlight w:val="none"/>
        </w:rPr>
        <w:t>差旅费及相关费用的支付：</w:t>
      </w:r>
      <w:r>
        <w:rPr>
          <w:rFonts w:hint="eastAsia" w:asciiTheme="minorEastAsia" w:hAnsiTheme="minorEastAsia" w:eastAsiaTheme="minorEastAsia" w:cstheme="minorEastAsia"/>
          <w:color w:val="auto"/>
          <w:szCs w:val="21"/>
          <w:highlight w:val="none"/>
          <w:u w:val="single"/>
        </w:rPr>
        <w:t xml:space="preserve">   由咨询人承担    </w:t>
      </w:r>
      <w:r>
        <w:rPr>
          <w:rFonts w:hint="eastAsia" w:asciiTheme="minorEastAsia" w:hAnsiTheme="minorEastAsia" w:eastAsiaTheme="minorEastAsia" w:cstheme="minorEastAsia"/>
          <w:color w:val="auto"/>
          <w:szCs w:val="21"/>
          <w:highlight w:val="none"/>
        </w:rPr>
        <w:t xml:space="preserve">。          </w:t>
      </w:r>
    </w:p>
    <w:p w14:paraId="746AF299">
      <w:pPr>
        <w:pStyle w:val="13"/>
        <w:adjustRightInd w:val="0"/>
        <w:snapToGrid w:val="0"/>
        <w:spacing w:before="0" w:line="440" w:lineRule="exact"/>
        <w:ind w:firstLine="420" w:firstLineChars="200"/>
        <w:jc w:val="left"/>
        <w:rPr>
          <w:rFonts w:hint="eastAsia" w:asciiTheme="minorEastAsia" w:hAnsiTheme="minorEastAsia" w:eastAsiaTheme="minorEastAsia" w:cstheme="minorEastAsia"/>
          <w:b w:val="0"/>
          <w:color w:val="auto"/>
          <w:sz w:val="21"/>
          <w:szCs w:val="21"/>
          <w:highlight w:val="none"/>
        </w:rPr>
      </w:pPr>
      <w:bookmarkStart w:id="101" w:name="_Toc495869318"/>
      <w:r>
        <w:rPr>
          <w:rFonts w:hint="eastAsia" w:asciiTheme="minorEastAsia" w:hAnsiTheme="minorEastAsia" w:eastAsiaTheme="minorEastAsia" w:cstheme="minorEastAsia"/>
          <w:b w:val="0"/>
          <w:color w:val="auto"/>
          <w:sz w:val="21"/>
          <w:szCs w:val="21"/>
          <w:highlight w:val="none"/>
        </w:rPr>
        <w:t>8.2奖励</w:t>
      </w:r>
      <w:bookmarkEnd w:id="101"/>
    </w:p>
    <w:p w14:paraId="7C07A119">
      <w:pPr>
        <w:adjustRightInd w:val="0"/>
        <w:snapToGrid w:val="0"/>
        <w:spacing w:line="440" w:lineRule="exact"/>
        <w:ind w:firstLine="420" w:firstLineChars="200"/>
        <w:rPr>
          <w:rStyle w:val="147"/>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rPr>
        <w:t>合理化建议的奖励金额按下列方法确定：</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b/>
          <w:bCs/>
          <w:color w:val="auto"/>
          <w:szCs w:val="21"/>
          <w:highlight w:val="none"/>
          <w:u w:val="single"/>
        </w:rPr>
        <w:t xml:space="preserve">/   </w:t>
      </w:r>
      <w:r>
        <w:rPr>
          <w:rFonts w:hint="eastAsia" w:asciiTheme="minorEastAsia" w:hAnsiTheme="minorEastAsia" w:eastAsiaTheme="minorEastAsia" w:cstheme="minorEastAsia"/>
          <w:b/>
          <w:bCs/>
          <w:color w:val="auto"/>
          <w:szCs w:val="21"/>
          <w:highlight w:val="none"/>
        </w:rPr>
        <w:t xml:space="preserve">。 </w:t>
      </w:r>
    </w:p>
    <w:p w14:paraId="3FB70FBE">
      <w:pPr>
        <w:pStyle w:val="13"/>
        <w:adjustRightInd w:val="0"/>
        <w:snapToGrid w:val="0"/>
        <w:spacing w:before="0" w:line="440" w:lineRule="exact"/>
        <w:ind w:firstLine="420" w:firstLineChars="200"/>
        <w:jc w:val="left"/>
        <w:rPr>
          <w:rFonts w:hint="eastAsia" w:asciiTheme="minorEastAsia" w:hAnsiTheme="minorEastAsia" w:eastAsiaTheme="minorEastAsia" w:cstheme="minorEastAsia"/>
          <w:b w:val="0"/>
          <w:color w:val="auto"/>
          <w:sz w:val="21"/>
          <w:szCs w:val="21"/>
          <w:highlight w:val="none"/>
        </w:rPr>
      </w:pPr>
      <w:bookmarkStart w:id="102" w:name="_Toc495869319"/>
      <w:r>
        <w:rPr>
          <w:rFonts w:hint="eastAsia" w:asciiTheme="minorEastAsia" w:hAnsiTheme="minorEastAsia" w:eastAsiaTheme="minorEastAsia" w:cstheme="minorEastAsia"/>
          <w:b w:val="0"/>
          <w:color w:val="auto"/>
          <w:sz w:val="21"/>
          <w:szCs w:val="21"/>
          <w:highlight w:val="none"/>
        </w:rPr>
        <w:t>8.3保密</w:t>
      </w:r>
      <w:bookmarkEnd w:id="102"/>
    </w:p>
    <w:p w14:paraId="59AE992A">
      <w:pPr>
        <w:adjustRightInd w:val="0"/>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委托人申明的保密事项和期限：</w:t>
      </w:r>
      <w:r>
        <w:rPr>
          <w:rFonts w:hint="eastAsia" w:asciiTheme="minorEastAsia" w:hAnsiTheme="minorEastAsia" w:eastAsiaTheme="minorEastAsia" w:cstheme="minorEastAsia"/>
          <w:color w:val="auto"/>
          <w:szCs w:val="21"/>
          <w:highlight w:val="none"/>
          <w:u w:val="single"/>
        </w:rPr>
        <w:t xml:space="preserve">  咨询人不得向第三方泄露相关信息，不得泄露任何委托人提供的资料，保密期限为十年；项目结束后咨询人应当根据委托人的要求将相关资料归还或销毁       </w:t>
      </w:r>
      <w:r>
        <w:rPr>
          <w:rFonts w:hint="eastAsia" w:asciiTheme="minorEastAsia" w:hAnsiTheme="minorEastAsia" w:eastAsiaTheme="minorEastAsia" w:cstheme="minorEastAsia"/>
          <w:color w:val="auto"/>
          <w:szCs w:val="21"/>
          <w:highlight w:val="none"/>
        </w:rPr>
        <w:t>。</w:t>
      </w:r>
    </w:p>
    <w:p w14:paraId="1B2CCC0A">
      <w:pPr>
        <w:adjustRightInd w:val="0"/>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咨询人申明的保密事项和期限：</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 xml:space="preserve">。             </w:t>
      </w:r>
    </w:p>
    <w:p w14:paraId="4CC93B9E">
      <w:pPr>
        <w:adjustRightInd w:val="0"/>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第三人申明的保密事项和期限：</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w:t>
      </w:r>
    </w:p>
    <w:p w14:paraId="00F47BCF">
      <w:pPr>
        <w:adjustRightInd w:val="0"/>
        <w:snapToGrid w:val="0"/>
        <w:spacing w:line="440" w:lineRule="exact"/>
        <w:ind w:firstLine="420" w:firstLineChars="200"/>
        <w:rPr>
          <w:rFonts w:hint="eastAsia" w:asciiTheme="minorEastAsia" w:hAnsiTheme="minorEastAsia" w:eastAsiaTheme="minorEastAsia" w:cstheme="minorEastAsia"/>
          <w:bCs/>
          <w:color w:val="auto"/>
          <w:kern w:val="28"/>
          <w:szCs w:val="21"/>
          <w:highlight w:val="none"/>
        </w:rPr>
      </w:pPr>
      <w:bookmarkStart w:id="103" w:name="_Toc495869320"/>
      <w:r>
        <w:rPr>
          <w:rStyle w:val="147"/>
          <w:rFonts w:hint="eastAsia" w:asciiTheme="minorEastAsia" w:hAnsiTheme="minorEastAsia" w:eastAsiaTheme="minorEastAsia" w:cstheme="minorEastAsia"/>
          <w:b w:val="0"/>
          <w:color w:val="auto"/>
          <w:sz w:val="21"/>
          <w:szCs w:val="21"/>
          <w:highlight w:val="none"/>
        </w:rPr>
        <w:t>8.4联络</w:t>
      </w:r>
      <w:bookmarkEnd w:id="103"/>
    </w:p>
    <w:p w14:paraId="604144A2">
      <w:pPr>
        <w:adjustRightInd w:val="0"/>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8.4.1任何一 方与合同有关的通知、指示、要求、决定等，均应在</w:t>
      </w:r>
      <w:r>
        <w:rPr>
          <w:rFonts w:hint="eastAsia" w:asciiTheme="minorEastAsia" w:hAnsiTheme="minorEastAsia" w:eastAsiaTheme="minorEastAsia" w:cstheme="minorEastAsia"/>
          <w:color w:val="auto"/>
          <w:szCs w:val="21"/>
          <w:highlight w:val="none"/>
          <w:u w:val="single"/>
        </w:rPr>
        <w:t xml:space="preserve">  /    </w:t>
      </w:r>
    </w:p>
    <w:p w14:paraId="4F34B662">
      <w:pPr>
        <w:adjustRightInd w:val="0"/>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日内送达对方指定的接收人和送达地点。</w:t>
      </w:r>
    </w:p>
    <w:p w14:paraId="2FCAA274">
      <w:pPr>
        <w:adjustRightInd w:val="0"/>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8.4.2委托人指定的送达接收人：</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，送达地点：</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，电子邮箱：</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2C22B1B2">
      <w:pPr>
        <w:adjustRightInd w:val="0"/>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咨询人指定的送达接收人：</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，送达地点：</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，电子邮箱：</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w:t>
      </w:r>
    </w:p>
    <w:p w14:paraId="592AFB5C">
      <w:pPr>
        <w:pStyle w:val="17"/>
        <w:widowControl/>
        <w:adjustRightInd w:val="0"/>
        <w:snapToGrid w:val="0"/>
        <w:spacing w:before="0" w:after="0" w:line="440" w:lineRule="exact"/>
        <w:ind w:firstLine="422" w:firstLineChars="200"/>
        <w:jc w:val="left"/>
        <w:outlineLvl w:val="9"/>
        <w:rPr>
          <w:rFonts w:hint="eastAsia" w:asciiTheme="minorEastAsia" w:hAnsiTheme="minorEastAsia" w:eastAsiaTheme="minorEastAsia" w:cstheme="minorEastAsia"/>
          <w:color w:val="auto"/>
          <w:sz w:val="21"/>
          <w:szCs w:val="21"/>
          <w:highlight w:val="none"/>
        </w:rPr>
      </w:pPr>
      <w:bookmarkStart w:id="104" w:name="_Toc495869322"/>
      <w:bookmarkStart w:id="105" w:name="_Toc419045125"/>
      <w:r>
        <w:rPr>
          <w:rFonts w:hint="eastAsia" w:asciiTheme="minorEastAsia" w:hAnsiTheme="minorEastAsia" w:eastAsiaTheme="minorEastAsia" w:cstheme="minorEastAsia"/>
          <w:color w:val="auto"/>
          <w:sz w:val="21"/>
          <w:szCs w:val="21"/>
          <w:highlight w:val="none"/>
        </w:rPr>
        <w:t>9. 补充条款</w:t>
      </w:r>
      <w:bookmarkEnd w:id="104"/>
      <w:bookmarkEnd w:id="105"/>
    </w:p>
    <w:p w14:paraId="1A5DA0A6">
      <w:pPr>
        <w:widowControl w:val="0"/>
        <w:spacing w:line="440" w:lineRule="exact"/>
        <w:ind w:firstLine="422" w:firstLineChars="200"/>
        <w:rPr>
          <w:rFonts w:hint="eastAsia" w:asciiTheme="minorEastAsia" w:hAnsiTheme="minorEastAsia" w:eastAsiaTheme="minorEastAsia" w:cstheme="minorEastAsia"/>
          <w:color w:val="auto"/>
          <w:szCs w:val="21"/>
          <w:highlight w:val="none"/>
          <w:u w:val="single"/>
          <w:lang w:val="zh-CN"/>
        </w:rPr>
      </w:pPr>
      <w:r>
        <w:rPr>
          <w:rFonts w:hint="eastAsia" w:asciiTheme="minorEastAsia" w:hAnsiTheme="minorEastAsia" w:eastAsiaTheme="minorEastAsia" w:cstheme="minorEastAsia"/>
          <w:b/>
          <w:bCs/>
          <w:color w:val="auto"/>
          <w:szCs w:val="21"/>
          <w:highlight w:val="none"/>
          <w:u w:val="single"/>
          <w:lang w:val="en-US" w:eastAsia="zh-CN"/>
        </w:rPr>
        <w:t>1、根据“宁发改[2023]51号《宁海县政府投资项目工程造价管控办法》的通知”</w:t>
      </w:r>
      <w:r>
        <w:rPr>
          <w:rFonts w:hint="eastAsia" w:asciiTheme="minorEastAsia" w:hAnsiTheme="minorEastAsia" w:eastAsiaTheme="minorEastAsia" w:cstheme="minorEastAsia"/>
          <w:b/>
          <w:bCs/>
          <w:color w:val="auto"/>
          <w:szCs w:val="21"/>
          <w:highlight w:val="none"/>
          <w:u w:val="single"/>
          <w:lang w:val="zh-CN"/>
        </w:rPr>
        <w:t xml:space="preserve"> </w:t>
      </w:r>
      <w:r>
        <w:rPr>
          <w:rFonts w:hint="eastAsia" w:asciiTheme="minorEastAsia" w:hAnsiTheme="minorEastAsia" w:eastAsiaTheme="minorEastAsia" w:cstheme="minorEastAsia"/>
          <w:b/>
          <w:bCs/>
          <w:color w:val="auto"/>
          <w:szCs w:val="21"/>
          <w:highlight w:val="none"/>
          <w:u w:val="single"/>
          <w:lang w:val="en-US" w:eastAsia="zh-CN"/>
        </w:rPr>
        <w:t>文件精神建设工程能够实行过程结算的，应当积极实行分阶段即时结算。招标人提出过程结算时，投标单位无条件响应并全力配合，及时组织实施方案，确保过程结算顺利进行。</w:t>
      </w:r>
      <w:r>
        <w:rPr>
          <w:rFonts w:hint="eastAsia" w:asciiTheme="minorEastAsia" w:hAnsiTheme="minorEastAsia" w:eastAsiaTheme="minorEastAsia" w:cstheme="minorEastAsia"/>
          <w:color w:val="auto"/>
          <w:szCs w:val="21"/>
          <w:highlight w:val="none"/>
          <w:u w:val="single"/>
          <w:lang w:val="zh-CN"/>
        </w:rPr>
        <w:t xml:space="preserve">                                                                       </w:t>
      </w:r>
    </w:p>
    <w:p w14:paraId="27BD9B53">
      <w:pPr>
        <w:pStyle w:val="31"/>
        <w:spacing w:before="0" w:after="0" w:line="360" w:lineRule="auto"/>
        <w:rPr>
          <w:rStyle w:val="106"/>
          <w:rFonts w:hint="eastAsia" w:asciiTheme="minorEastAsia" w:hAnsiTheme="minorEastAsia" w:eastAsiaTheme="minorEastAsia" w:cstheme="minorEastAsia"/>
          <w:color w:val="auto"/>
          <w:highlight w:val="none"/>
        </w:rPr>
      </w:pPr>
      <w:r>
        <w:rPr>
          <w:rStyle w:val="106"/>
          <w:rFonts w:hint="eastAsia" w:asciiTheme="minorEastAsia" w:hAnsiTheme="minorEastAsia" w:eastAsiaTheme="minorEastAsia" w:cstheme="minorEastAsia"/>
          <w:color w:val="auto"/>
          <w:highlight w:val="none"/>
        </w:rPr>
        <w:t xml:space="preserve"> </w:t>
      </w:r>
      <w:bookmarkStart w:id="106" w:name="_Toc25657"/>
    </w:p>
    <w:p w14:paraId="0F753C6E">
      <w:pPr>
        <w:rPr>
          <w:rStyle w:val="106"/>
          <w:rFonts w:hint="eastAsia" w:asciiTheme="minorEastAsia" w:hAnsiTheme="minorEastAsia" w:eastAsiaTheme="minorEastAsia" w:cstheme="minorEastAsia"/>
          <w:color w:val="auto"/>
          <w:highlight w:val="none"/>
        </w:rPr>
      </w:pPr>
      <w:r>
        <w:rPr>
          <w:rStyle w:val="106"/>
          <w:rFonts w:hint="eastAsia" w:asciiTheme="minorEastAsia" w:hAnsiTheme="minorEastAsia" w:eastAsiaTheme="minorEastAsia" w:cstheme="minorEastAsia"/>
          <w:color w:val="auto"/>
          <w:highlight w:val="none"/>
        </w:rPr>
        <w:br w:type="page"/>
      </w:r>
    </w:p>
    <w:p w14:paraId="5744E16E">
      <w:pPr>
        <w:pStyle w:val="31"/>
        <w:spacing w:before="0" w:after="0" w:line="360" w:lineRule="auto"/>
        <w:outlineLvl w:val="0"/>
        <w:rPr>
          <w:rStyle w:val="106"/>
          <w:rFonts w:hint="eastAsia" w:asciiTheme="minorEastAsia" w:hAnsiTheme="minorEastAsia" w:eastAsiaTheme="minorEastAsia" w:cstheme="minorEastAsia"/>
          <w:color w:val="auto"/>
          <w:sz w:val="28"/>
          <w:szCs w:val="28"/>
          <w:highlight w:val="none"/>
        </w:rPr>
      </w:pPr>
      <w:r>
        <w:rPr>
          <w:rStyle w:val="106"/>
          <w:rFonts w:hint="eastAsia" w:asciiTheme="minorEastAsia" w:hAnsiTheme="minorEastAsia" w:eastAsiaTheme="minorEastAsia" w:cstheme="minorEastAsia"/>
          <w:color w:val="auto"/>
          <w:sz w:val="28"/>
          <w:szCs w:val="28"/>
          <w:highlight w:val="none"/>
        </w:rPr>
        <w:t>第六章  投标文件格式</w:t>
      </w:r>
      <w:bookmarkEnd w:id="12"/>
      <w:bookmarkEnd w:id="106"/>
    </w:p>
    <w:p w14:paraId="4735808D">
      <w:pPr>
        <w:snapToGrid w:val="0"/>
        <w:spacing w:before="50" w:after="50"/>
        <w:rPr>
          <w:rFonts w:hint="eastAsia" w:asciiTheme="minorEastAsia" w:hAnsiTheme="minorEastAsia" w:eastAsiaTheme="minorEastAsia" w:cstheme="minorEastAsia"/>
          <w:color w:val="auto"/>
          <w:sz w:val="32"/>
          <w:highlight w:val="none"/>
        </w:rPr>
      </w:pPr>
    </w:p>
    <w:p w14:paraId="0493E50A">
      <w:pPr>
        <w:snapToGrid w:val="0"/>
        <w:spacing w:line="44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一、电子投标文件外封面格式</w:t>
      </w:r>
    </w:p>
    <w:p w14:paraId="344A1571">
      <w:pPr>
        <w:snapToGrid w:val="0"/>
        <w:spacing w:line="440" w:lineRule="exact"/>
        <w:rPr>
          <w:rFonts w:hint="eastAsia" w:asciiTheme="minorEastAsia" w:hAnsiTheme="minorEastAsia" w:eastAsiaTheme="minorEastAsia" w:cstheme="minorEastAsia"/>
          <w:color w:val="auto"/>
          <w:szCs w:val="21"/>
          <w:highlight w:val="none"/>
        </w:rPr>
      </w:pPr>
    </w:p>
    <w:p w14:paraId="2A35CA38">
      <w:pPr>
        <w:snapToGrid w:val="0"/>
        <w:spacing w:line="44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1.外包装封面格式：</w:t>
      </w:r>
    </w:p>
    <w:p w14:paraId="1534BF0F">
      <w:pPr>
        <w:snapToGrid w:val="0"/>
        <w:spacing w:line="440" w:lineRule="exact"/>
        <w:jc w:val="center"/>
        <w:rPr>
          <w:rFonts w:hint="eastAsia" w:asciiTheme="minorEastAsia" w:hAnsiTheme="minorEastAsia" w:eastAsiaTheme="minorEastAsia" w:cstheme="minorEastAsia"/>
          <w:bCs/>
          <w:color w:val="auto"/>
          <w:szCs w:val="21"/>
          <w:highlight w:val="none"/>
        </w:rPr>
      </w:pPr>
    </w:p>
    <w:p w14:paraId="6AF977E3">
      <w:pPr>
        <w:snapToGrid w:val="0"/>
        <w:spacing w:line="440" w:lineRule="exact"/>
        <w:jc w:val="center"/>
        <w:rPr>
          <w:rFonts w:hint="eastAsia" w:asciiTheme="minorEastAsia" w:hAnsiTheme="minorEastAsia" w:eastAsiaTheme="minorEastAsia" w:cstheme="minorEastAsia"/>
          <w:b/>
          <w:color w:val="auto"/>
          <w:szCs w:val="21"/>
          <w:highlight w:val="none"/>
        </w:rPr>
      </w:pPr>
      <w:bookmarkStart w:id="107" w:name="_Toc23326"/>
      <w:r>
        <w:rPr>
          <w:rFonts w:hint="eastAsia" w:asciiTheme="minorEastAsia" w:hAnsiTheme="minorEastAsia" w:eastAsiaTheme="minorEastAsia" w:cstheme="minorEastAsia"/>
          <w:b/>
          <w:color w:val="auto"/>
          <w:szCs w:val="21"/>
          <w:highlight w:val="none"/>
        </w:rPr>
        <w:t>投 标 文 件（电子备份投标文件）</w:t>
      </w:r>
      <w:bookmarkEnd w:id="107"/>
    </w:p>
    <w:p w14:paraId="19A5B3CD">
      <w:pPr>
        <w:snapToGrid w:val="0"/>
        <w:spacing w:line="440" w:lineRule="exact"/>
        <w:ind w:firstLine="945" w:firstLineChars="450"/>
        <w:rPr>
          <w:rFonts w:hint="eastAsia" w:asciiTheme="minorEastAsia" w:hAnsiTheme="minorEastAsia" w:eastAsiaTheme="minorEastAsia" w:cstheme="minorEastAsia"/>
          <w:bCs/>
          <w:color w:val="auto"/>
          <w:szCs w:val="21"/>
          <w:highlight w:val="none"/>
        </w:rPr>
      </w:pPr>
    </w:p>
    <w:p w14:paraId="1D7B3227">
      <w:pPr>
        <w:snapToGrid w:val="0"/>
        <w:spacing w:line="440" w:lineRule="exact"/>
        <w:ind w:firstLine="945" w:firstLineChars="45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项目名称：</w:t>
      </w:r>
      <w:r>
        <w:rPr>
          <w:rFonts w:hint="eastAsia" w:asciiTheme="minorEastAsia" w:hAnsiTheme="minorEastAsia" w:eastAsiaTheme="minorEastAsia" w:cstheme="minorEastAsia"/>
          <w:color w:val="auto"/>
          <w:szCs w:val="21"/>
          <w:highlight w:val="none"/>
          <w:lang w:eastAsia="zh-CN"/>
        </w:rPr>
        <w:t>宁东新城前横孵化园及配套基础设施提升工程项目-前横片科技孵化园工程</w:t>
      </w:r>
      <w:r>
        <w:rPr>
          <w:rFonts w:hint="eastAsia" w:asciiTheme="minorEastAsia" w:hAnsiTheme="minorEastAsia" w:eastAsiaTheme="minorEastAsia" w:cstheme="minorEastAsia"/>
          <w:color w:val="auto"/>
          <w:szCs w:val="21"/>
          <w:highlight w:val="none"/>
        </w:rPr>
        <w:t>招标代理及造价咨询服务项目</w:t>
      </w:r>
    </w:p>
    <w:p w14:paraId="5F4BD877">
      <w:pPr>
        <w:snapToGrid w:val="0"/>
        <w:spacing w:line="44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     项目编号：CBZJ-20256044 </w:t>
      </w:r>
    </w:p>
    <w:p w14:paraId="5494FC19">
      <w:pPr>
        <w:snapToGrid w:val="0"/>
        <w:spacing w:line="440" w:lineRule="exact"/>
        <w:ind w:firstLine="945" w:firstLineChars="45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标项号：</w:t>
      </w:r>
    </w:p>
    <w:p w14:paraId="2DAF2EF7">
      <w:pPr>
        <w:snapToGrid w:val="0"/>
        <w:spacing w:line="440" w:lineRule="exact"/>
        <w:ind w:firstLine="945" w:firstLineChars="45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投标人名称（加盖公章）：</w:t>
      </w:r>
    </w:p>
    <w:p w14:paraId="76EF5470">
      <w:pPr>
        <w:snapToGrid w:val="0"/>
        <w:spacing w:line="440" w:lineRule="exact"/>
        <w:ind w:firstLine="945" w:firstLineChars="45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投标人地址：</w:t>
      </w:r>
    </w:p>
    <w:p w14:paraId="5AD50253">
      <w:pPr>
        <w:snapToGrid w:val="0"/>
        <w:spacing w:line="440" w:lineRule="exact"/>
        <w:ind w:firstLine="949" w:firstLineChars="450"/>
        <w:rPr>
          <w:rFonts w:hint="eastAsia" w:asciiTheme="minorEastAsia" w:hAnsiTheme="minorEastAsia" w:eastAsiaTheme="minorEastAsia" w:cstheme="minorEastAsia"/>
          <w:b/>
          <w:bCs/>
          <w:color w:val="auto"/>
          <w:szCs w:val="21"/>
          <w:highlight w:val="none"/>
        </w:rPr>
      </w:pPr>
    </w:p>
    <w:p w14:paraId="7FA9924F">
      <w:pPr>
        <w:snapToGrid w:val="0"/>
        <w:spacing w:line="440" w:lineRule="exact"/>
        <w:ind w:firstLine="949" w:firstLineChars="45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开标时启封</w:t>
      </w:r>
    </w:p>
    <w:p w14:paraId="0308D1A5">
      <w:pPr>
        <w:snapToGrid w:val="0"/>
        <w:spacing w:line="440" w:lineRule="exact"/>
        <w:ind w:firstLine="3570" w:firstLineChars="1700"/>
        <w:rPr>
          <w:rFonts w:hint="eastAsia" w:asciiTheme="minorEastAsia" w:hAnsiTheme="minorEastAsia" w:eastAsiaTheme="minorEastAsia" w:cstheme="minorEastAsia"/>
          <w:bCs/>
          <w:color w:val="auto"/>
          <w:szCs w:val="21"/>
          <w:highlight w:val="none"/>
        </w:rPr>
      </w:pPr>
    </w:p>
    <w:p w14:paraId="04D7DFEE">
      <w:pPr>
        <w:snapToGrid w:val="0"/>
        <w:spacing w:line="440" w:lineRule="exact"/>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                        年  月  日</w:t>
      </w:r>
    </w:p>
    <w:p w14:paraId="3733D036">
      <w:pPr>
        <w:snapToGrid w:val="0"/>
        <w:spacing w:line="440" w:lineRule="exact"/>
        <w:jc w:val="center"/>
        <w:rPr>
          <w:rFonts w:hint="eastAsia" w:asciiTheme="minorEastAsia" w:hAnsiTheme="minorEastAsia" w:eastAsiaTheme="minorEastAsia" w:cstheme="minorEastAsia"/>
          <w:bCs/>
          <w:color w:val="auto"/>
          <w:szCs w:val="21"/>
          <w:highlight w:val="none"/>
        </w:rPr>
      </w:pPr>
    </w:p>
    <w:p w14:paraId="15525207">
      <w:pPr>
        <w:snapToGrid w:val="0"/>
        <w:spacing w:before="156" w:beforeLines="50" w:after="50"/>
        <w:jc w:val="center"/>
        <w:rPr>
          <w:rFonts w:hint="eastAsia" w:asciiTheme="minorEastAsia" w:hAnsiTheme="minorEastAsia" w:eastAsiaTheme="minorEastAsia" w:cstheme="minorEastAsia"/>
          <w:color w:val="auto"/>
          <w:szCs w:val="21"/>
          <w:highlight w:val="none"/>
        </w:rPr>
      </w:pPr>
    </w:p>
    <w:p w14:paraId="19D4EBBF">
      <w:pPr>
        <w:snapToGrid w:val="0"/>
        <w:spacing w:before="156" w:beforeLines="50" w:after="50"/>
        <w:jc w:val="center"/>
        <w:rPr>
          <w:rFonts w:hint="eastAsia" w:asciiTheme="minorEastAsia" w:hAnsiTheme="minorEastAsia" w:eastAsiaTheme="minorEastAsia" w:cstheme="minorEastAsia"/>
          <w:color w:val="auto"/>
          <w:szCs w:val="21"/>
          <w:highlight w:val="none"/>
        </w:rPr>
      </w:pPr>
    </w:p>
    <w:p w14:paraId="693E6D44">
      <w:pPr>
        <w:snapToGrid w:val="0"/>
        <w:spacing w:before="50" w:after="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044CAF1E">
      <w:pPr>
        <w:pStyle w:val="15"/>
        <w:widowControl w:val="0"/>
        <w:spacing w:before="0" w:after="156"/>
        <w:ind w:firstLine="420" w:firstLineChars="200"/>
        <w:rPr>
          <w:rFonts w:hint="eastAsia" w:asciiTheme="minorEastAsia" w:hAnsiTheme="minorEastAsia" w:eastAsiaTheme="minorEastAsia" w:cstheme="minorEastAsia"/>
          <w:color w:val="auto"/>
          <w:sz w:val="21"/>
          <w:szCs w:val="21"/>
          <w:highlight w:val="none"/>
        </w:rPr>
      </w:pPr>
    </w:p>
    <w:p w14:paraId="38A16A7E">
      <w:pPr>
        <w:pStyle w:val="7"/>
        <w:snapToGrid w:val="0"/>
        <w:spacing w:before="156" w:after="156" w:line="240" w:lineRule="auto"/>
        <w:rPr>
          <w:rFonts w:hint="eastAsia" w:asciiTheme="minorEastAsia" w:hAnsiTheme="minorEastAsia" w:eastAsiaTheme="minorEastAsia" w:cstheme="minorEastAsia"/>
          <w:b/>
          <w:color w:val="auto"/>
          <w:sz w:val="21"/>
          <w:szCs w:val="21"/>
          <w:highlight w:val="none"/>
        </w:rPr>
        <w:sectPr>
          <w:headerReference r:id="rId13" w:type="first"/>
          <w:footerReference r:id="rId16" w:type="first"/>
          <w:headerReference r:id="rId11" w:type="default"/>
          <w:footerReference r:id="rId14" w:type="default"/>
          <w:headerReference r:id="rId12" w:type="even"/>
          <w:footerReference r:id="rId15" w:type="even"/>
          <w:pgSz w:w="11906" w:h="16838"/>
          <w:pgMar w:top="1247" w:right="1531" w:bottom="1304" w:left="1531" w:header="851" w:footer="850" w:gutter="0"/>
          <w:cols w:space="720" w:num="1"/>
          <w:titlePg/>
          <w:rtlGutter w:val="1"/>
          <w:docGrid w:type="lines" w:linePitch="312" w:charSpace="0"/>
        </w:sectPr>
      </w:pPr>
    </w:p>
    <w:p w14:paraId="4D3BC430">
      <w:pPr>
        <w:snapToGrid w:val="0"/>
        <w:spacing w:before="50" w:after="50"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w:t>
      </w:r>
      <w:r>
        <w:rPr>
          <w:rFonts w:hint="eastAsia" w:asciiTheme="minorEastAsia" w:hAnsiTheme="minorEastAsia" w:eastAsiaTheme="minorEastAsia" w:cstheme="minorEastAsia"/>
          <w:b/>
          <w:bCs/>
          <w:color w:val="auto"/>
          <w:spacing w:val="-4"/>
          <w:szCs w:val="21"/>
          <w:highlight w:val="none"/>
        </w:rPr>
        <w:t>开标一览表</w:t>
      </w:r>
    </w:p>
    <w:p w14:paraId="4536A05B">
      <w:pPr>
        <w:snapToGrid w:val="0"/>
        <w:spacing w:before="50" w:after="50" w:line="360" w:lineRule="auto"/>
        <w:jc w:val="center"/>
        <w:rPr>
          <w:rFonts w:hint="eastAsia" w:asciiTheme="minorEastAsia" w:hAnsiTheme="minorEastAsia" w:eastAsiaTheme="minorEastAsia" w:cstheme="minorEastAsia"/>
          <w:b/>
          <w:color w:val="auto"/>
          <w:szCs w:val="21"/>
          <w:highlight w:val="none"/>
        </w:rPr>
      </w:pPr>
      <w:bookmarkStart w:id="108" w:name="_Toc23720"/>
      <w:r>
        <w:rPr>
          <w:rFonts w:hint="eastAsia" w:asciiTheme="minorEastAsia" w:hAnsiTheme="minorEastAsia" w:eastAsiaTheme="minorEastAsia" w:cstheme="minorEastAsia"/>
          <w:b/>
          <w:color w:val="auto"/>
          <w:szCs w:val="21"/>
          <w:highlight w:val="none"/>
        </w:rPr>
        <w:t>开标一览表</w:t>
      </w:r>
      <w:bookmarkEnd w:id="108"/>
    </w:p>
    <w:p w14:paraId="1E649293">
      <w:pPr>
        <w:snapToGrid w:val="0"/>
        <w:spacing w:line="440" w:lineRule="exact"/>
        <w:ind w:firstLine="210" w:firstLineChars="100"/>
        <w:rPr>
          <w:rFonts w:hint="eastAsia" w:asciiTheme="minorEastAsia" w:hAnsiTheme="minorEastAsia" w:eastAsiaTheme="minorEastAsia" w:cstheme="minorEastAsia"/>
          <w:color w:val="auto"/>
          <w:szCs w:val="21"/>
          <w:highlight w:val="none"/>
        </w:rPr>
      </w:pPr>
    </w:p>
    <w:p w14:paraId="6FDE2626">
      <w:pPr>
        <w:snapToGrid w:val="0"/>
        <w:spacing w:line="440" w:lineRule="exact"/>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项目编号：</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 xml:space="preserve"> </w:t>
      </w: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tbl>
      <w:tblPr>
        <w:tblStyle w:val="21"/>
        <w:tblW w:w="89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1"/>
        <w:gridCol w:w="3331"/>
        <w:gridCol w:w="4640"/>
      </w:tblGrid>
      <w:tr w14:paraId="00F6C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14:paraId="3811696E">
            <w:pPr>
              <w:snapToGrid w:val="0"/>
              <w:spacing w:line="44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标项</w:t>
            </w:r>
          </w:p>
        </w:tc>
        <w:tc>
          <w:tcPr>
            <w:tcW w:w="3331" w:type="dxa"/>
            <w:tcBorders>
              <w:top w:val="single" w:color="auto" w:sz="4" w:space="0"/>
              <w:left w:val="single" w:color="auto" w:sz="4" w:space="0"/>
              <w:bottom w:val="single" w:color="auto" w:sz="4" w:space="0"/>
              <w:right w:val="single" w:color="auto" w:sz="4" w:space="0"/>
            </w:tcBorders>
            <w:vAlign w:val="center"/>
          </w:tcPr>
          <w:p w14:paraId="735A83CE">
            <w:pPr>
              <w:snapToGrid w:val="0"/>
              <w:spacing w:line="44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采购内容</w:t>
            </w:r>
          </w:p>
        </w:tc>
        <w:tc>
          <w:tcPr>
            <w:tcW w:w="4640" w:type="dxa"/>
            <w:tcBorders>
              <w:top w:val="single" w:color="auto" w:sz="4" w:space="0"/>
              <w:left w:val="single" w:color="auto" w:sz="4" w:space="0"/>
              <w:bottom w:val="single" w:color="auto" w:sz="4" w:space="0"/>
              <w:right w:val="single" w:color="auto" w:sz="4" w:space="0"/>
            </w:tcBorders>
            <w:vAlign w:val="center"/>
          </w:tcPr>
          <w:p w14:paraId="5EFAEA74">
            <w:pPr>
              <w:snapToGrid w:val="0"/>
              <w:spacing w:line="44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投标下浮率（%）</w:t>
            </w:r>
          </w:p>
        </w:tc>
      </w:tr>
      <w:tr w14:paraId="5B7ABE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0" w:hRule="atLeast"/>
          <w:jc w:val="center"/>
        </w:trPr>
        <w:tc>
          <w:tcPr>
            <w:tcW w:w="971" w:type="dxa"/>
            <w:vMerge w:val="restart"/>
            <w:tcBorders>
              <w:top w:val="single" w:color="auto" w:sz="4" w:space="0"/>
              <w:left w:val="single" w:color="auto" w:sz="4" w:space="0"/>
              <w:right w:val="single" w:color="auto" w:sz="4" w:space="0"/>
            </w:tcBorders>
            <w:vAlign w:val="center"/>
          </w:tcPr>
          <w:p w14:paraId="632B88C1">
            <w:pPr>
              <w:snapToGrid w:val="0"/>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w:t>
            </w:r>
          </w:p>
        </w:tc>
        <w:tc>
          <w:tcPr>
            <w:tcW w:w="3331" w:type="dxa"/>
            <w:tcBorders>
              <w:top w:val="single" w:color="auto" w:sz="4" w:space="0"/>
              <w:left w:val="single" w:color="auto" w:sz="4" w:space="0"/>
              <w:bottom w:val="single" w:color="auto" w:sz="4" w:space="0"/>
              <w:right w:val="single" w:color="auto" w:sz="4" w:space="0"/>
            </w:tcBorders>
            <w:vAlign w:val="center"/>
          </w:tcPr>
          <w:p w14:paraId="14F8531B">
            <w:pPr>
              <w:snapToGrid w:val="0"/>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工程量清单及招标控制价编制费</w:t>
            </w:r>
          </w:p>
        </w:tc>
        <w:tc>
          <w:tcPr>
            <w:tcW w:w="4640" w:type="dxa"/>
            <w:vMerge w:val="restart"/>
            <w:tcBorders>
              <w:top w:val="single" w:color="auto" w:sz="4" w:space="0"/>
              <w:left w:val="single" w:color="auto" w:sz="4" w:space="0"/>
              <w:right w:val="single" w:color="auto" w:sz="4" w:space="0"/>
            </w:tcBorders>
            <w:vAlign w:val="center"/>
          </w:tcPr>
          <w:p w14:paraId="6D1208A9">
            <w:pPr>
              <w:snapToGrid w:val="0"/>
              <w:spacing w:line="440" w:lineRule="exact"/>
              <w:jc w:val="left"/>
              <w:rPr>
                <w:rFonts w:hint="eastAsia" w:asciiTheme="minorEastAsia" w:hAnsiTheme="minorEastAsia" w:eastAsiaTheme="minorEastAsia" w:cstheme="minorEastAsia"/>
                <w:color w:val="auto"/>
                <w:szCs w:val="21"/>
                <w:highlight w:val="none"/>
              </w:rPr>
            </w:pPr>
          </w:p>
        </w:tc>
      </w:tr>
      <w:tr w14:paraId="4A025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0" w:hRule="atLeast"/>
          <w:jc w:val="center"/>
        </w:trPr>
        <w:tc>
          <w:tcPr>
            <w:tcW w:w="971" w:type="dxa"/>
            <w:vMerge w:val="continue"/>
            <w:tcBorders>
              <w:left w:val="single" w:color="auto" w:sz="4" w:space="0"/>
              <w:right w:val="single" w:color="auto" w:sz="4" w:space="0"/>
            </w:tcBorders>
            <w:vAlign w:val="center"/>
          </w:tcPr>
          <w:p w14:paraId="64800343">
            <w:pPr>
              <w:snapToGrid w:val="0"/>
              <w:spacing w:line="440" w:lineRule="exact"/>
              <w:jc w:val="center"/>
              <w:rPr>
                <w:rFonts w:hint="eastAsia" w:asciiTheme="minorEastAsia" w:hAnsiTheme="minorEastAsia" w:eastAsiaTheme="minorEastAsia" w:cstheme="minorEastAsia"/>
                <w:color w:val="auto"/>
                <w:szCs w:val="21"/>
                <w:highlight w:val="none"/>
              </w:rPr>
            </w:pPr>
          </w:p>
        </w:tc>
        <w:tc>
          <w:tcPr>
            <w:tcW w:w="3331" w:type="dxa"/>
            <w:tcBorders>
              <w:top w:val="single" w:color="auto" w:sz="4" w:space="0"/>
              <w:left w:val="single" w:color="auto" w:sz="4" w:space="0"/>
              <w:bottom w:val="single" w:color="auto" w:sz="4" w:space="0"/>
              <w:right w:val="single" w:color="auto" w:sz="4" w:space="0"/>
            </w:tcBorders>
            <w:vAlign w:val="center"/>
          </w:tcPr>
          <w:p w14:paraId="373800C8">
            <w:pPr>
              <w:snapToGrid w:val="0"/>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招标代理服务费</w:t>
            </w:r>
          </w:p>
        </w:tc>
        <w:tc>
          <w:tcPr>
            <w:tcW w:w="4640" w:type="dxa"/>
            <w:vMerge w:val="continue"/>
            <w:tcBorders>
              <w:left w:val="single" w:color="auto" w:sz="4" w:space="0"/>
              <w:bottom w:val="single" w:color="auto" w:sz="4" w:space="0"/>
              <w:right w:val="single" w:color="auto" w:sz="4" w:space="0"/>
            </w:tcBorders>
            <w:vAlign w:val="center"/>
          </w:tcPr>
          <w:p w14:paraId="46EB60D3">
            <w:pPr>
              <w:snapToGrid w:val="0"/>
              <w:spacing w:line="440" w:lineRule="exact"/>
              <w:jc w:val="left"/>
              <w:rPr>
                <w:rFonts w:hint="eastAsia" w:asciiTheme="minorEastAsia" w:hAnsiTheme="minorEastAsia" w:eastAsiaTheme="minorEastAsia" w:cstheme="minorEastAsia"/>
                <w:color w:val="auto"/>
                <w:szCs w:val="21"/>
                <w:highlight w:val="none"/>
              </w:rPr>
            </w:pPr>
          </w:p>
        </w:tc>
      </w:tr>
      <w:tr w14:paraId="7EA4CB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2"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14:paraId="028C9EF1">
            <w:pPr>
              <w:snapToGrid w:val="0"/>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w:t>
            </w:r>
          </w:p>
          <w:p w14:paraId="03190D8E">
            <w:pPr>
              <w:snapToGrid w:val="0"/>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声明</w:t>
            </w:r>
          </w:p>
        </w:tc>
        <w:tc>
          <w:tcPr>
            <w:tcW w:w="7971" w:type="dxa"/>
            <w:gridSpan w:val="2"/>
            <w:tcBorders>
              <w:top w:val="single" w:color="auto" w:sz="4" w:space="0"/>
              <w:left w:val="single" w:color="auto" w:sz="4" w:space="0"/>
              <w:bottom w:val="single" w:color="auto" w:sz="4" w:space="0"/>
              <w:right w:val="single" w:color="auto" w:sz="4" w:space="0"/>
            </w:tcBorders>
            <w:vAlign w:val="center"/>
          </w:tcPr>
          <w:p w14:paraId="222ADD1F">
            <w:pPr>
              <w:snapToGrid w:val="0"/>
              <w:spacing w:line="440" w:lineRule="exact"/>
              <w:rPr>
                <w:rFonts w:hint="eastAsia" w:asciiTheme="minorEastAsia" w:hAnsiTheme="minorEastAsia" w:eastAsiaTheme="minorEastAsia" w:cstheme="minorEastAsia"/>
                <w:color w:val="auto"/>
                <w:szCs w:val="21"/>
                <w:highlight w:val="none"/>
              </w:rPr>
            </w:pPr>
          </w:p>
        </w:tc>
      </w:tr>
    </w:tbl>
    <w:p w14:paraId="71922CA3">
      <w:pPr>
        <w:snapToGrid w:val="0"/>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 （1）下浮率报价≥0，且要求整数；（2）报价一经涂改，应在涂改处加盖单位公章及由法定代表人或法定代表人的授权委托人签字，否则其报作无效处理。</w:t>
      </w:r>
    </w:p>
    <w:p w14:paraId="3F990213">
      <w:pPr>
        <w:snapToGrid w:val="0"/>
        <w:spacing w:line="440" w:lineRule="exact"/>
        <w:ind w:firstLine="210" w:firstLineChars="100"/>
        <w:rPr>
          <w:rFonts w:hint="eastAsia" w:asciiTheme="minorEastAsia" w:hAnsiTheme="minorEastAsia" w:eastAsiaTheme="minorEastAsia" w:cstheme="minorEastAsia"/>
          <w:color w:val="auto"/>
          <w:szCs w:val="21"/>
          <w:highlight w:val="none"/>
        </w:rPr>
      </w:pPr>
    </w:p>
    <w:p w14:paraId="78497B69">
      <w:pPr>
        <w:snapToGrid w:val="0"/>
        <w:spacing w:line="440" w:lineRule="exact"/>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项目编号：</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 xml:space="preserve"> </w:t>
      </w: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tbl>
      <w:tblPr>
        <w:tblStyle w:val="21"/>
        <w:tblW w:w="89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1"/>
        <w:gridCol w:w="3331"/>
        <w:gridCol w:w="4640"/>
      </w:tblGrid>
      <w:tr w14:paraId="6A7CE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6"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14:paraId="1C9A9C0C">
            <w:pPr>
              <w:snapToGrid w:val="0"/>
              <w:spacing w:line="44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标项</w:t>
            </w:r>
          </w:p>
        </w:tc>
        <w:tc>
          <w:tcPr>
            <w:tcW w:w="3331" w:type="dxa"/>
            <w:tcBorders>
              <w:top w:val="single" w:color="auto" w:sz="4" w:space="0"/>
              <w:left w:val="single" w:color="auto" w:sz="4" w:space="0"/>
              <w:bottom w:val="single" w:color="auto" w:sz="4" w:space="0"/>
              <w:right w:val="single" w:color="auto" w:sz="4" w:space="0"/>
            </w:tcBorders>
            <w:vAlign w:val="center"/>
          </w:tcPr>
          <w:p w14:paraId="088C7F69">
            <w:pPr>
              <w:snapToGrid w:val="0"/>
              <w:spacing w:line="44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采购内容</w:t>
            </w:r>
          </w:p>
        </w:tc>
        <w:tc>
          <w:tcPr>
            <w:tcW w:w="4640" w:type="dxa"/>
            <w:tcBorders>
              <w:top w:val="single" w:color="auto" w:sz="4" w:space="0"/>
              <w:left w:val="single" w:color="auto" w:sz="4" w:space="0"/>
              <w:bottom w:val="single" w:color="auto" w:sz="4" w:space="0"/>
              <w:right w:val="single" w:color="auto" w:sz="4" w:space="0"/>
            </w:tcBorders>
            <w:vAlign w:val="center"/>
          </w:tcPr>
          <w:p w14:paraId="5FFF0F53">
            <w:pPr>
              <w:snapToGrid w:val="0"/>
              <w:spacing w:line="44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投标下浮率（%）</w:t>
            </w:r>
          </w:p>
        </w:tc>
      </w:tr>
      <w:tr w14:paraId="1C3FF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0" w:hRule="atLeast"/>
          <w:jc w:val="center"/>
        </w:trPr>
        <w:tc>
          <w:tcPr>
            <w:tcW w:w="971" w:type="dxa"/>
            <w:tcBorders>
              <w:top w:val="single" w:color="auto" w:sz="4" w:space="0"/>
              <w:left w:val="single" w:color="auto" w:sz="4" w:space="0"/>
              <w:right w:val="single" w:color="auto" w:sz="4" w:space="0"/>
            </w:tcBorders>
            <w:vAlign w:val="center"/>
          </w:tcPr>
          <w:p w14:paraId="3AF74FCE">
            <w:pPr>
              <w:snapToGrid w:val="0"/>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w:t>
            </w:r>
          </w:p>
        </w:tc>
        <w:tc>
          <w:tcPr>
            <w:tcW w:w="3331" w:type="dxa"/>
            <w:tcBorders>
              <w:top w:val="single" w:color="auto" w:sz="4" w:space="0"/>
              <w:left w:val="single" w:color="auto" w:sz="4" w:space="0"/>
              <w:bottom w:val="single" w:color="auto" w:sz="4" w:space="0"/>
              <w:right w:val="single" w:color="auto" w:sz="4" w:space="0"/>
            </w:tcBorders>
            <w:vAlign w:val="center"/>
          </w:tcPr>
          <w:p w14:paraId="5470B55C">
            <w:pPr>
              <w:snapToGrid w:val="0"/>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施工阶段全过程工程造价控制及工程结算审核服务费</w:t>
            </w:r>
          </w:p>
        </w:tc>
        <w:tc>
          <w:tcPr>
            <w:tcW w:w="4640" w:type="dxa"/>
            <w:tcBorders>
              <w:top w:val="single" w:color="auto" w:sz="4" w:space="0"/>
              <w:left w:val="single" w:color="auto" w:sz="4" w:space="0"/>
              <w:bottom w:val="single" w:color="auto" w:sz="4" w:space="0"/>
              <w:right w:val="single" w:color="auto" w:sz="4" w:space="0"/>
            </w:tcBorders>
            <w:vAlign w:val="center"/>
          </w:tcPr>
          <w:p w14:paraId="0334FA8A">
            <w:pPr>
              <w:snapToGrid w:val="0"/>
              <w:spacing w:line="440" w:lineRule="exact"/>
              <w:jc w:val="left"/>
              <w:rPr>
                <w:rFonts w:hint="eastAsia" w:asciiTheme="minorEastAsia" w:hAnsiTheme="minorEastAsia" w:eastAsiaTheme="minorEastAsia" w:cstheme="minorEastAsia"/>
                <w:color w:val="auto"/>
                <w:szCs w:val="21"/>
                <w:highlight w:val="none"/>
              </w:rPr>
            </w:pPr>
          </w:p>
        </w:tc>
      </w:tr>
      <w:tr w14:paraId="625D1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2"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14:paraId="0B7F8913">
            <w:pPr>
              <w:snapToGrid w:val="0"/>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w:t>
            </w:r>
          </w:p>
          <w:p w14:paraId="750A6BAC">
            <w:pPr>
              <w:snapToGrid w:val="0"/>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声明</w:t>
            </w:r>
          </w:p>
        </w:tc>
        <w:tc>
          <w:tcPr>
            <w:tcW w:w="7971" w:type="dxa"/>
            <w:gridSpan w:val="2"/>
            <w:tcBorders>
              <w:top w:val="single" w:color="auto" w:sz="4" w:space="0"/>
              <w:left w:val="single" w:color="auto" w:sz="4" w:space="0"/>
              <w:bottom w:val="single" w:color="auto" w:sz="4" w:space="0"/>
              <w:right w:val="single" w:color="auto" w:sz="4" w:space="0"/>
            </w:tcBorders>
            <w:vAlign w:val="center"/>
          </w:tcPr>
          <w:p w14:paraId="6E14B031">
            <w:pPr>
              <w:snapToGrid w:val="0"/>
              <w:spacing w:line="440" w:lineRule="exact"/>
              <w:rPr>
                <w:rFonts w:hint="eastAsia" w:asciiTheme="minorEastAsia" w:hAnsiTheme="minorEastAsia" w:eastAsiaTheme="minorEastAsia" w:cstheme="minorEastAsia"/>
                <w:color w:val="auto"/>
                <w:szCs w:val="21"/>
                <w:highlight w:val="none"/>
              </w:rPr>
            </w:pPr>
          </w:p>
        </w:tc>
      </w:tr>
    </w:tbl>
    <w:p w14:paraId="3C860B62">
      <w:pPr>
        <w:snapToGrid w:val="0"/>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 （1）下浮率报价≥0，且要求整数；（2）报价一经涂改，应在涂改处加盖单位公章及由法定代表人或法定代表人的授权委托人签字，否则其报作无效处理。</w:t>
      </w:r>
    </w:p>
    <w:p w14:paraId="463A0DB8">
      <w:pPr>
        <w:spacing w:line="440" w:lineRule="exact"/>
        <w:jc w:val="center"/>
        <w:rPr>
          <w:rFonts w:hint="eastAsia" w:asciiTheme="minorEastAsia" w:hAnsiTheme="minorEastAsia" w:eastAsiaTheme="minorEastAsia" w:cstheme="minorEastAsia"/>
          <w:color w:val="auto"/>
          <w:szCs w:val="21"/>
          <w:highlight w:val="none"/>
        </w:rPr>
      </w:pPr>
    </w:p>
    <w:p w14:paraId="153D318A">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投标人全称（公章）：</w:t>
      </w:r>
    </w:p>
    <w:p w14:paraId="119344E0">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法定代表人或法定代表人的授权代表（签字或盖章）：                       </w:t>
      </w:r>
    </w:p>
    <w:p w14:paraId="2B85D457">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p>
    <w:p w14:paraId="07A4FA07">
      <w:pPr>
        <w:tabs>
          <w:tab w:val="left" w:pos="0"/>
        </w:tabs>
        <w:adjustRightInd w:val="0"/>
        <w:spacing w:line="360" w:lineRule="auto"/>
        <w:rPr>
          <w:rFonts w:hint="eastAsia" w:asciiTheme="minorEastAsia" w:hAnsiTheme="minorEastAsia" w:eastAsiaTheme="minorEastAsia" w:cstheme="minorEastAsia"/>
          <w:b/>
          <w:color w:val="auto"/>
          <w:spacing w:val="-4"/>
          <w:szCs w:val="21"/>
          <w:highlight w:val="none"/>
        </w:rPr>
      </w:pPr>
      <w:r>
        <w:rPr>
          <w:rFonts w:hint="eastAsia" w:asciiTheme="minorEastAsia" w:hAnsiTheme="minorEastAsia" w:eastAsiaTheme="minorEastAsia" w:cstheme="minorEastAsia"/>
          <w:b/>
          <w:color w:val="auto"/>
          <w:szCs w:val="21"/>
          <w:highlight w:val="none"/>
        </w:rPr>
        <w:br w:type="page"/>
      </w:r>
      <w:r>
        <w:rPr>
          <w:rFonts w:hint="eastAsia" w:asciiTheme="minorEastAsia" w:hAnsiTheme="minorEastAsia" w:eastAsiaTheme="minorEastAsia" w:cstheme="minorEastAsia"/>
          <w:b/>
          <w:color w:val="auto"/>
          <w:spacing w:val="-4"/>
          <w:szCs w:val="21"/>
          <w:highlight w:val="none"/>
        </w:rPr>
        <w:t>二、书面声明</w:t>
      </w:r>
    </w:p>
    <w:p w14:paraId="6C353B00">
      <w:pPr>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书面声明</w:t>
      </w:r>
    </w:p>
    <w:p w14:paraId="5224D44C">
      <w:pPr>
        <w:spacing w:line="440" w:lineRule="exact"/>
        <w:jc w:val="left"/>
        <w:rPr>
          <w:rFonts w:hint="eastAsia" w:asciiTheme="minorEastAsia" w:hAnsiTheme="minorEastAsia" w:eastAsiaTheme="minorEastAsia" w:cstheme="minorEastAsia"/>
          <w:b/>
          <w:bCs/>
          <w:color w:val="auto"/>
          <w:szCs w:val="16"/>
          <w:highlight w:val="none"/>
        </w:rPr>
      </w:pPr>
      <w:r>
        <w:rPr>
          <w:rFonts w:hint="eastAsia" w:asciiTheme="minorEastAsia" w:hAnsiTheme="minorEastAsia" w:eastAsiaTheme="minorEastAsia" w:cstheme="minorEastAsia"/>
          <w:b/>
          <w:bCs/>
          <w:color w:val="auto"/>
          <w:szCs w:val="16"/>
          <w:highlight w:val="none"/>
        </w:rPr>
        <w:t>我方郑重承诺：</w:t>
      </w:r>
    </w:p>
    <w:p w14:paraId="6B53A4DE">
      <w:pPr>
        <w:spacing w:line="44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（一）我公司（单位）符合规定的投标人基本要求：</w:t>
      </w:r>
    </w:p>
    <w:p w14:paraId="7DD0EC1B">
      <w:pPr>
        <w:spacing w:line="44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04C7761F">
      <w:pPr>
        <w:spacing w:line="44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（二）我公司（单位）承诺遵守以下要求：</w:t>
      </w:r>
    </w:p>
    <w:p w14:paraId="32D3993D">
      <w:pPr>
        <w:spacing w:line="44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未被列入信用中国网站(www.creditchina.gov.cn)“记录失信被执行人或重大税收违法失信主体”记录名单（以招标代理机构于投标截止日当天在信用中国网站查询结果为准，如相关失信记录已失效，投标人需提供相关证明资料）。</w:t>
      </w:r>
    </w:p>
    <w:p w14:paraId="6050ED0D">
      <w:pPr>
        <w:spacing w:line="44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1840243A">
      <w:pPr>
        <w:spacing w:line="44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特此承诺！</w:t>
      </w:r>
    </w:p>
    <w:p w14:paraId="6A1EA54F">
      <w:pPr>
        <w:spacing w:line="440" w:lineRule="exact"/>
        <w:ind w:firstLine="420" w:firstLineChars="200"/>
        <w:jc w:val="left"/>
        <w:rPr>
          <w:rFonts w:hint="eastAsia" w:asciiTheme="minorEastAsia" w:hAnsiTheme="minorEastAsia" w:eastAsiaTheme="minorEastAsia" w:cstheme="minorEastAsia"/>
          <w:color w:val="auto"/>
          <w:kern w:val="0"/>
          <w:szCs w:val="21"/>
          <w:highlight w:val="none"/>
        </w:rPr>
      </w:pPr>
    </w:p>
    <w:p w14:paraId="54C9C6F5">
      <w:pPr>
        <w:spacing w:line="440" w:lineRule="exact"/>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1396F7D7">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投标人全称（公章）：</w:t>
      </w:r>
    </w:p>
    <w:p w14:paraId="1AEFDE38">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法定代表人或法定代表人的授权代表（签字或盖章）：                       </w:t>
      </w:r>
    </w:p>
    <w:p w14:paraId="454157CA">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p>
    <w:p w14:paraId="0F0BB909">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p>
    <w:p w14:paraId="1173B722">
      <w:pPr>
        <w:snapToGrid w:val="0"/>
        <w:spacing w:before="50" w:after="120" w:afterLines="5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三、评分索引表</w:t>
      </w:r>
    </w:p>
    <w:p w14:paraId="0558655F">
      <w:pPr>
        <w:snapToGrid w:val="0"/>
        <w:spacing w:before="50" w:after="120" w:afterLines="50"/>
        <w:jc w:val="center"/>
        <w:rPr>
          <w:rFonts w:hint="eastAsia" w:asciiTheme="minorEastAsia" w:hAnsiTheme="minorEastAsia" w:eastAsiaTheme="minorEastAsia" w:cstheme="minorEastAsia"/>
          <w:b/>
          <w:color w:val="auto"/>
          <w:szCs w:val="21"/>
          <w:highlight w:val="none"/>
        </w:rPr>
      </w:pPr>
      <w:bookmarkStart w:id="109" w:name="_Toc16186"/>
      <w:r>
        <w:rPr>
          <w:rFonts w:hint="eastAsia" w:asciiTheme="minorEastAsia" w:hAnsiTheme="minorEastAsia" w:eastAsiaTheme="minorEastAsia" w:cstheme="minorEastAsia"/>
          <w:b/>
          <w:color w:val="auto"/>
          <w:szCs w:val="21"/>
          <w:highlight w:val="none"/>
        </w:rPr>
        <w:t>评分索引表（请放于资信技术文件首页）</w:t>
      </w:r>
      <w:bookmarkEnd w:id="109"/>
    </w:p>
    <w:tbl>
      <w:tblPr>
        <w:tblStyle w:val="2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5367"/>
        <w:gridCol w:w="950"/>
        <w:gridCol w:w="901"/>
      </w:tblGrid>
      <w:tr w14:paraId="4A637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3" w:hRule="atLeast"/>
        </w:trPr>
        <w:tc>
          <w:tcPr>
            <w:tcW w:w="6677" w:type="dxa"/>
            <w:gridSpan w:val="2"/>
            <w:vAlign w:val="center"/>
          </w:tcPr>
          <w:p w14:paraId="0661FFBF">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评分项</w:t>
            </w:r>
          </w:p>
        </w:tc>
        <w:tc>
          <w:tcPr>
            <w:tcW w:w="950" w:type="dxa"/>
            <w:vAlign w:val="center"/>
          </w:tcPr>
          <w:p w14:paraId="6B563399">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自评分</w:t>
            </w:r>
          </w:p>
        </w:tc>
        <w:tc>
          <w:tcPr>
            <w:tcW w:w="901" w:type="dxa"/>
            <w:vAlign w:val="center"/>
          </w:tcPr>
          <w:p w14:paraId="22F27D1F">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页码</w:t>
            </w:r>
          </w:p>
        </w:tc>
      </w:tr>
      <w:tr w14:paraId="1026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310" w:type="dxa"/>
            <w:vMerge w:val="restart"/>
            <w:vAlign w:val="center"/>
          </w:tcPr>
          <w:p w14:paraId="2285F3BA">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资信技术分</w:t>
            </w:r>
          </w:p>
        </w:tc>
        <w:tc>
          <w:tcPr>
            <w:tcW w:w="5367" w:type="dxa"/>
            <w:vAlign w:val="center"/>
          </w:tcPr>
          <w:p w14:paraId="2BEA4362">
            <w:pPr>
              <w:spacing w:line="400" w:lineRule="exact"/>
              <w:jc w:val="left"/>
              <w:rPr>
                <w:rFonts w:hint="eastAsia" w:asciiTheme="minorEastAsia" w:hAnsiTheme="minorEastAsia" w:eastAsiaTheme="minorEastAsia" w:cstheme="minorEastAsia"/>
                <w:color w:val="auto"/>
                <w:szCs w:val="21"/>
                <w:highlight w:val="none"/>
              </w:rPr>
            </w:pPr>
          </w:p>
        </w:tc>
        <w:tc>
          <w:tcPr>
            <w:tcW w:w="950" w:type="dxa"/>
            <w:vAlign w:val="center"/>
          </w:tcPr>
          <w:p w14:paraId="4656A33E">
            <w:pPr>
              <w:spacing w:line="400" w:lineRule="exact"/>
              <w:jc w:val="center"/>
              <w:rPr>
                <w:rFonts w:hint="eastAsia" w:asciiTheme="minorEastAsia" w:hAnsiTheme="minorEastAsia" w:eastAsiaTheme="minorEastAsia" w:cstheme="minorEastAsia"/>
                <w:color w:val="auto"/>
                <w:szCs w:val="21"/>
                <w:highlight w:val="none"/>
              </w:rPr>
            </w:pPr>
          </w:p>
        </w:tc>
        <w:tc>
          <w:tcPr>
            <w:tcW w:w="901" w:type="dxa"/>
            <w:vAlign w:val="center"/>
          </w:tcPr>
          <w:p w14:paraId="593AC4DE">
            <w:pPr>
              <w:spacing w:line="400" w:lineRule="exact"/>
              <w:jc w:val="center"/>
              <w:rPr>
                <w:rFonts w:hint="eastAsia" w:asciiTheme="minorEastAsia" w:hAnsiTheme="minorEastAsia" w:eastAsiaTheme="minorEastAsia" w:cstheme="minorEastAsia"/>
                <w:color w:val="auto"/>
                <w:szCs w:val="21"/>
                <w:highlight w:val="none"/>
              </w:rPr>
            </w:pPr>
          </w:p>
        </w:tc>
      </w:tr>
      <w:tr w14:paraId="7A168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310" w:type="dxa"/>
            <w:vMerge w:val="continue"/>
            <w:vAlign w:val="center"/>
          </w:tcPr>
          <w:p w14:paraId="1899D8AD">
            <w:pPr>
              <w:spacing w:line="400" w:lineRule="exact"/>
              <w:jc w:val="center"/>
              <w:rPr>
                <w:rFonts w:hint="eastAsia" w:asciiTheme="minorEastAsia" w:hAnsiTheme="minorEastAsia" w:eastAsiaTheme="minorEastAsia" w:cstheme="minorEastAsia"/>
                <w:color w:val="auto"/>
                <w:szCs w:val="21"/>
                <w:highlight w:val="none"/>
              </w:rPr>
            </w:pPr>
          </w:p>
        </w:tc>
        <w:tc>
          <w:tcPr>
            <w:tcW w:w="5367" w:type="dxa"/>
            <w:vAlign w:val="center"/>
          </w:tcPr>
          <w:p w14:paraId="55C0EE9A">
            <w:pPr>
              <w:spacing w:line="400" w:lineRule="exact"/>
              <w:rPr>
                <w:rFonts w:hint="eastAsia" w:asciiTheme="minorEastAsia" w:hAnsiTheme="minorEastAsia" w:eastAsiaTheme="minorEastAsia" w:cstheme="minorEastAsia"/>
                <w:color w:val="auto"/>
                <w:szCs w:val="21"/>
                <w:highlight w:val="none"/>
              </w:rPr>
            </w:pPr>
          </w:p>
        </w:tc>
        <w:tc>
          <w:tcPr>
            <w:tcW w:w="950" w:type="dxa"/>
            <w:vAlign w:val="center"/>
          </w:tcPr>
          <w:p w14:paraId="509D5364">
            <w:pPr>
              <w:spacing w:line="400" w:lineRule="exact"/>
              <w:jc w:val="center"/>
              <w:rPr>
                <w:rFonts w:hint="eastAsia" w:asciiTheme="minorEastAsia" w:hAnsiTheme="minorEastAsia" w:eastAsiaTheme="minorEastAsia" w:cstheme="minorEastAsia"/>
                <w:color w:val="auto"/>
                <w:szCs w:val="21"/>
                <w:highlight w:val="none"/>
              </w:rPr>
            </w:pPr>
          </w:p>
        </w:tc>
        <w:tc>
          <w:tcPr>
            <w:tcW w:w="901" w:type="dxa"/>
            <w:vAlign w:val="center"/>
          </w:tcPr>
          <w:p w14:paraId="4CBA2D2D">
            <w:pPr>
              <w:spacing w:line="400" w:lineRule="exact"/>
              <w:jc w:val="center"/>
              <w:rPr>
                <w:rFonts w:hint="eastAsia" w:asciiTheme="minorEastAsia" w:hAnsiTheme="minorEastAsia" w:eastAsiaTheme="minorEastAsia" w:cstheme="minorEastAsia"/>
                <w:color w:val="auto"/>
                <w:szCs w:val="21"/>
                <w:highlight w:val="none"/>
              </w:rPr>
            </w:pPr>
          </w:p>
        </w:tc>
      </w:tr>
      <w:tr w14:paraId="565AA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310" w:type="dxa"/>
            <w:vMerge w:val="continue"/>
            <w:vAlign w:val="center"/>
          </w:tcPr>
          <w:p w14:paraId="488CD206">
            <w:pPr>
              <w:spacing w:line="400" w:lineRule="exact"/>
              <w:jc w:val="center"/>
              <w:rPr>
                <w:rFonts w:hint="eastAsia" w:asciiTheme="minorEastAsia" w:hAnsiTheme="minorEastAsia" w:eastAsiaTheme="minorEastAsia" w:cstheme="minorEastAsia"/>
                <w:color w:val="auto"/>
                <w:szCs w:val="21"/>
                <w:highlight w:val="none"/>
              </w:rPr>
            </w:pPr>
          </w:p>
        </w:tc>
        <w:tc>
          <w:tcPr>
            <w:tcW w:w="5367" w:type="dxa"/>
            <w:vAlign w:val="center"/>
          </w:tcPr>
          <w:p w14:paraId="7D75B524">
            <w:pPr>
              <w:spacing w:line="400" w:lineRule="exact"/>
              <w:jc w:val="left"/>
              <w:rPr>
                <w:rFonts w:hint="eastAsia" w:asciiTheme="minorEastAsia" w:hAnsiTheme="minorEastAsia" w:eastAsiaTheme="minorEastAsia" w:cstheme="minorEastAsia"/>
                <w:color w:val="auto"/>
                <w:szCs w:val="21"/>
                <w:highlight w:val="none"/>
              </w:rPr>
            </w:pPr>
          </w:p>
        </w:tc>
        <w:tc>
          <w:tcPr>
            <w:tcW w:w="950" w:type="dxa"/>
            <w:vAlign w:val="center"/>
          </w:tcPr>
          <w:p w14:paraId="4C7E38B4">
            <w:pPr>
              <w:spacing w:line="400" w:lineRule="exact"/>
              <w:jc w:val="center"/>
              <w:rPr>
                <w:rFonts w:hint="eastAsia" w:asciiTheme="minorEastAsia" w:hAnsiTheme="minorEastAsia" w:eastAsiaTheme="minorEastAsia" w:cstheme="minorEastAsia"/>
                <w:color w:val="auto"/>
                <w:szCs w:val="21"/>
                <w:highlight w:val="none"/>
              </w:rPr>
            </w:pPr>
          </w:p>
        </w:tc>
        <w:tc>
          <w:tcPr>
            <w:tcW w:w="901" w:type="dxa"/>
            <w:vAlign w:val="center"/>
          </w:tcPr>
          <w:p w14:paraId="7B7761D6">
            <w:pPr>
              <w:spacing w:line="400" w:lineRule="exact"/>
              <w:jc w:val="center"/>
              <w:rPr>
                <w:rFonts w:hint="eastAsia" w:asciiTheme="minorEastAsia" w:hAnsiTheme="minorEastAsia" w:eastAsiaTheme="minorEastAsia" w:cstheme="minorEastAsia"/>
                <w:color w:val="auto"/>
                <w:szCs w:val="21"/>
                <w:highlight w:val="none"/>
              </w:rPr>
            </w:pPr>
          </w:p>
        </w:tc>
      </w:tr>
      <w:tr w14:paraId="5C635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310" w:type="dxa"/>
            <w:vMerge w:val="continue"/>
            <w:vAlign w:val="center"/>
          </w:tcPr>
          <w:p w14:paraId="7323E2A0">
            <w:pPr>
              <w:spacing w:line="400" w:lineRule="exact"/>
              <w:jc w:val="center"/>
              <w:rPr>
                <w:rFonts w:hint="eastAsia" w:asciiTheme="minorEastAsia" w:hAnsiTheme="minorEastAsia" w:eastAsiaTheme="minorEastAsia" w:cstheme="minorEastAsia"/>
                <w:color w:val="auto"/>
                <w:szCs w:val="21"/>
                <w:highlight w:val="none"/>
              </w:rPr>
            </w:pPr>
          </w:p>
        </w:tc>
        <w:tc>
          <w:tcPr>
            <w:tcW w:w="5367" w:type="dxa"/>
            <w:vAlign w:val="center"/>
          </w:tcPr>
          <w:p w14:paraId="770DBD1E">
            <w:pPr>
              <w:spacing w:line="400" w:lineRule="exact"/>
              <w:rPr>
                <w:rFonts w:hint="eastAsia" w:asciiTheme="minorEastAsia" w:hAnsiTheme="minorEastAsia" w:eastAsiaTheme="minorEastAsia" w:cstheme="minorEastAsia"/>
                <w:color w:val="auto"/>
                <w:szCs w:val="21"/>
                <w:highlight w:val="none"/>
              </w:rPr>
            </w:pPr>
          </w:p>
        </w:tc>
        <w:tc>
          <w:tcPr>
            <w:tcW w:w="950" w:type="dxa"/>
            <w:vAlign w:val="center"/>
          </w:tcPr>
          <w:p w14:paraId="580EA40F">
            <w:pPr>
              <w:spacing w:line="400" w:lineRule="exact"/>
              <w:jc w:val="center"/>
              <w:rPr>
                <w:rFonts w:hint="eastAsia" w:asciiTheme="minorEastAsia" w:hAnsiTheme="minorEastAsia" w:eastAsiaTheme="minorEastAsia" w:cstheme="minorEastAsia"/>
                <w:color w:val="auto"/>
                <w:szCs w:val="21"/>
                <w:highlight w:val="none"/>
              </w:rPr>
            </w:pPr>
          </w:p>
        </w:tc>
        <w:tc>
          <w:tcPr>
            <w:tcW w:w="901" w:type="dxa"/>
            <w:vAlign w:val="center"/>
          </w:tcPr>
          <w:p w14:paraId="50EE5BD7">
            <w:pPr>
              <w:spacing w:line="400" w:lineRule="exact"/>
              <w:jc w:val="center"/>
              <w:rPr>
                <w:rFonts w:hint="eastAsia" w:asciiTheme="minorEastAsia" w:hAnsiTheme="minorEastAsia" w:eastAsiaTheme="minorEastAsia" w:cstheme="minorEastAsia"/>
                <w:color w:val="auto"/>
                <w:szCs w:val="21"/>
                <w:highlight w:val="none"/>
              </w:rPr>
            </w:pPr>
          </w:p>
        </w:tc>
      </w:tr>
      <w:tr w14:paraId="375CF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310" w:type="dxa"/>
            <w:vMerge w:val="continue"/>
            <w:vAlign w:val="center"/>
          </w:tcPr>
          <w:p w14:paraId="7F887042">
            <w:pPr>
              <w:spacing w:line="400" w:lineRule="exact"/>
              <w:jc w:val="center"/>
              <w:rPr>
                <w:rFonts w:hint="eastAsia" w:asciiTheme="minorEastAsia" w:hAnsiTheme="minorEastAsia" w:eastAsiaTheme="minorEastAsia" w:cstheme="minorEastAsia"/>
                <w:color w:val="auto"/>
                <w:szCs w:val="21"/>
                <w:highlight w:val="none"/>
              </w:rPr>
            </w:pPr>
          </w:p>
        </w:tc>
        <w:tc>
          <w:tcPr>
            <w:tcW w:w="5367" w:type="dxa"/>
            <w:vAlign w:val="center"/>
          </w:tcPr>
          <w:p w14:paraId="2B1848FC">
            <w:pPr>
              <w:spacing w:line="400" w:lineRule="exact"/>
              <w:rPr>
                <w:rFonts w:hint="eastAsia" w:asciiTheme="minorEastAsia" w:hAnsiTheme="minorEastAsia" w:eastAsiaTheme="minorEastAsia" w:cstheme="minorEastAsia"/>
                <w:color w:val="auto"/>
                <w:szCs w:val="21"/>
                <w:highlight w:val="none"/>
              </w:rPr>
            </w:pPr>
          </w:p>
        </w:tc>
        <w:tc>
          <w:tcPr>
            <w:tcW w:w="950" w:type="dxa"/>
            <w:vAlign w:val="center"/>
          </w:tcPr>
          <w:p w14:paraId="0B4EA06B">
            <w:pPr>
              <w:spacing w:line="400" w:lineRule="exact"/>
              <w:jc w:val="center"/>
              <w:rPr>
                <w:rFonts w:hint="eastAsia" w:asciiTheme="minorEastAsia" w:hAnsiTheme="minorEastAsia" w:eastAsiaTheme="minorEastAsia" w:cstheme="minorEastAsia"/>
                <w:color w:val="auto"/>
                <w:szCs w:val="21"/>
                <w:highlight w:val="none"/>
              </w:rPr>
            </w:pPr>
          </w:p>
        </w:tc>
        <w:tc>
          <w:tcPr>
            <w:tcW w:w="901" w:type="dxa"/>
            <w:vAlign w:val="center"/>
          </w:tcPr>
          <w:p w14:paraId="0FF944A2">
            <w:pPr>
              <w:spacing w:line="400" w:lineRule="exact"/>
              <w:jc w:val="center"/>
              <w:rPr>
                <w:rFonts w:hint="eastAsia" w:asciiTheme="minorEastAsia" w:hAnsiTheme="minorEastAsia" w:eastAsiaTheme="minorEastAsia" w:cstheme="minorEastAsia"/>
                <w:color w:val="auto"/>
                <w:szCs w:val="21"/>
                <w:highlight w:val="none"/>
              </w:rPr>
            </w:pPr>
          </w:p>
        </w:tc>
      </w:tr>
      <w:tr w14:paraId="0EAF1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310" w:type="dxa"/>
            <w:vMerge w:val="continue"/>
            <w:vAlign w:val="center"/>
          </w:tcPr>
          <w:p w14:paraId="45B6BFBD">
            <w:pPr>
              <w:spacing w:line="400" w:lineRule="exact"/>
              <w:jc w:val="center"/>
              <w:rPr>
                <w:rFonts w:hint="eastAsia" w:asciiTheme="minorEastAsia" w:hAnsiTheme="minorEastAsia" w:eastAsiaTheme="minorEastAsia" w:cstheme="minorEastAsia"/>
                <w:color w:val="auto"/>
                <w:szCs w:val="21"/>
                <w:highlight w:val="none"/>
              </w:rPr>
            </w:pPr>
          </w:p>
        </w:tc>
        <w:tc>
          <w:tcPr>
            <w:tcW w:w="5367" w:type="dxa"/>
            <w:vAlign w:val="center"/>
          </w:tcPr>
          <w:p w14:paraId="095EFD07">
            <w:pPr>
              <w:spacing w:line="400" w:lineRule="exact"/>
              <w:rPr>
                <w:rFonts w:hint="eastAsia" w:asciiTheme="minorEastAsia" w:hAnsiTheme="minorEastAsia" w:eastAsiaTheme="minorEastAsia" w:cstheme="minorEastAsia"/>
                <w:color w:val="auto"/>
                <w:szCs w:val="21"/>
                <w:highlight w:val="none"/>
              </w:rPr>
            </w:pPr>
          </w:p>
        </w:tc>
        <w:tc>
          <w:tcPr>
            <w:tcW w:w="950" w:type="dxa"/>
            <w:vAlign w:val="center"/>
          </w:tcPr>
          <w:p w14:paraId="4F1E90FF">
            <w:pPr>
              <w:spacing w:line="400" w:lineRule="exact"/>
              <w:jc w:val="center"/>
              <w:rPr>
                <w:rFonts w:hint="eastAsia" w:asciiTheme="minorEastAsia" w:hAnsiTheme="minorEastAsia" w:eastAsiaTheme="minorEastAsia" w:cstheme="minorEastAsia"/>
                <w:color w:val="auto"/>
                <w:szCs w:val="21"/>
                <w:highlight w:val="none"/>
              </w:rPr>
            </w:pPr>
          </w:p>
        </w:tc>
        <w:tc>
          <w:tcPr>
            <w:tcW w:w="901" w:type="dxa"/>
            <w:vAlign w:val="center"/>
          </w:tcPr>
          <w:p w14:paraId="3E1546D2">
            <w:pPr>
              <w:spacing w:line="400" w:lineRule="exact"/>
              <w:jc w:val="center"/>
              <w:rPr>
                <w:rFonts w:hint="eastAsia" w:asciiTheme="minorEastAsia" w:hAnsiTheme="minorEastAsia" w:eastAsiaTheme="minorEastAsia" w:cstheme="minorEastAsia"/>
                <w:color w:val="auto"/>
                <w:szCs w:val="21"/>
                <w:highlight w:val="none"/>
              </w:rPr>
            </w:pPr>
          </w:p>
        </w:tc>
      </w:tr>
      <w:tr w14:paraId="1CB7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310" w:type="dxa"/>
            <w:vMerge w:val="continue"/>
            <w:vAlign w:val="center"/>
          </w:tcPr>
          <w:p w14:paraId="081AC0B1">
            <w:pPr>
              <w:spacing w:line="400" w:lineRule="exact"/>
              <w:jc w:val="center"/>
              <w:rPr>
                <w:rFonts w:hint="eastAsia" w:asciiTheme="minorEastAsia" w:hAnsiTheme="minorEastAsia" w:eastAsiaTheme="minorEastAsia" w:cstheme="minorEastAsia"/>
                <w:color w:val="auto"/>
                <w:szCs w:val="21"/>
                <w:highlight w:val="none"/>
              </w:rPr>
            </w:pPr>
          </w:p>
        </w:tc>
        <w:tc>
          <w:tcPr>
            <w:tcW w:w="5367" w:type="dxa"/>
            <w:vAlign w:val="center"/>
          </w:tcPr>
          <w:p w14:paraId="41222A79">
            <w:pPr>
              <w:spacing w:line="400" w:lineRule="exact"/>
              <w:rPr>
                <w:rFonts w:hint="eastAsia" w:asciiTheme="minorEastAsia" w:hAnsiTheme="minorEastAsia" w:eastAsiaTheme="minorEastAsia" w:cstheme="minorEastAsia"/>
                <w:color w:val="auto"/>
                <w:szCs w:val="21"/>
                <w:highlight w:val="none"/>
              </w:rPr>
            </w:pPr>
          </w:p>
        </w:tc>
        <w:tc>
          <w:tcPr>
            <w:tcW w:w="950" w:type="dxa"/>
            <w:vAlign w:val="center"/>
          </w:tcPr>
          <w:p w14:paraId="4977122C">
            <w:pPr>
              <w:spacing w:line="400" w:lineRule="exact"/>
              <w:jc w:val="center"/>
              <w:rPr>
                <w:rFonts w:hint="eastAsia" w:asciiTheme="minorEastAsia" w:hAnsiTheme="minorEastAsia" w:eastAsiaTheme="minorEastAsia" w:cstheme="minorEastAsia"/>
                <w:color w:val="auto"/>
                <w:szCs w:val="21"/>
                <w:highlight w:val="none"/>
              </w:rPr>
            </w:pPr>
          </w:p>
        </w:tc>
        <w:tc>
          <w:tcPr>
            <w:tcW w:w="901" w:type="dxa"/>
            <w:vAlign w:val="center"/>
          </w:tcPr>
          <w:p w14:paraId="75522F60">
            <w:pPr>
              <w:spacing w:line="400" w:lineRule="exact"/>
              <w:jc w:val="center"/>
              <w:rPr>
                <w:rFonts w:hint="eastAsia" w:asciiTheme="minorEastAsia" w:hAnsiTheme="minorEastAsia" w:eastAsiaTheme="minorEastAsia" w:cstheme="minorEastAsia"/>
                <w:color w:val="auto"/>
                <w:szCs w:val="21"/>
                <w:highlight w:val="none"/>
              </w:rPr>
            </w:pPr>
          </w:p>
        </w:tc>
      </w:tr>
      <w:tr w14:paraId="5AA7C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310" w:type="dxa"/>
            <w:vMerge w:val="continue"/>
            <w:vAlign w:val="center"/>
          </w:tcPr>
          <w:p w14:paraId="0D08A924">
            <w:pPr>
              <w:spacing w:line="400" w:lineRule="exact"/>
              <w:jc w:val="center"/>
              <w:rPr>
                <w:rFonts w:hint="eastAsia" w:asciiTheme="minorEastAsia" w:hAnsiTheme="minorEastAsia" w:eastAsiaTheme="minorEastAsia" w:cstheme="minorEastAsia"/>
                <w:color w:val="auto"/>
                <w:szCs w:val="21"/>
                <w:highlight w:val="none"/>
              </w:rPr>
            </w:pPr>
          </w:p>
        </w:tc>
        <w:tc>
          <w:tcPr>
            <w:tcW w:w="5367" w:type="dxa"/>
            <w:vAlign w:val="center"/>
          </w:tcPr>
          <w:p w14:paraId="02E070F9">
            <w:pPr>
              <w:spacing w:line="400" w:lineRule="exact"/>
              <w:rPr>
                <w:rFonts w:hint="eastAsia" w:asciiTheme="minorEastAsia" w:hAnsiTheme="minorEastAsia" w:eastAsiaTheme="minorEastAsia" w:cstheme="minorEastAsia"/>
                <w:color w:val="auto"/>
                <w:szCs w:val="21"/>
                <w:highlight w:val="none"/>
              </w:rPr>
            </w:pPr>
          </w:p>
        </w:tc>
        <w:tc>
          <w:tcPr>
            <w:tcW w:w="950" w:type="dxa"/>
            <w:vAlign w:val="center"/>
          </w:tcPr>
          <w:p w14:paraId="748CE255">
            <w:pPr>
              <w:spacing w:line="400" w:lineRule="exact"/>
              <w:jc w:val="center"/>
              <w:rPr>
                <w:rFonts w:hint="eastAsia" w:asciiTheme="minorEastAsia" w:hAnsiTheme="minorEastAsia" w:eastAsiaTheme="minorEastAsia" w:cstheme="minorEastAsia"/>
                <w:color w:val="auto"/>
                <w:szCs w:val="21"/>
                <w:highlight w:val="none"/>
              </w:rPr>
            </w:pPr>
          </w:p>
        </w:tc>
        <w:tc>
          <w:tcPr>
            <w:tcW w:w="901" w:type="dxa"/>
            <w:vAlign w:val="center"/>
          </w:tcPr>
          <w:p w14:paraId="7EC972B4">
            <w:pPr>
              <w:spacing w:line="400" w:lineRule="exact"/>
              <w:jc w:val="center"/>
              <w:rPr>
                <w:rFonts w:hint="eastAsia" w:asciiTheme="minorEastAsia" w:hAnsiTheme="minorEastAsia" w:eastAsiaTheme="minorEastAsia" w:cstheme="minorEastAsia"/>
                <w:color w:val="auto"/>
                <w:szCs w:val="21"/>
                <w:highlight w:val="none"/>
              </w:rPr>
            </w:pPr>
          </w:p>
        </w:tc>
      </w:tr>
      <w:tr w14:paraId="34E7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310" w:type="dxa"/>
            <w:vMerge w:val="continue"/>
            <w:vAlign w:val="center"/>
          </w:tcPr>
          <w:p w14:paraId="6CB5429B">
            <w:pPr>
              <w:spacing w:line="400" w:lineRule="exact"/>
              <w:jc w:val="center"/>
              <w:rPr>
                <w:rFonts w:hint="eastAsia" w:asciiTheme="minorEastAsia" w:hAnsiTheme="minorEastAsia" w:eastAsiaTheme="minorEastAsia" w:cstheme="minorEastAsia"/>
                <w:color w:val="auto"/>
                <w:szCs w:val="21"/>
                <w:highlight w:val="none"/>
              </w:rPr>
            </w:pPr>
          </w:p>
        </w:tc>
        <w:tc>
          <w:tcPr>
            <w:tcW w:w="5367" w:type="dxa"/>
            <w:vAlign w:val="center"/>
          </w:tcPr>
          <w:p w14:paraId="329B7FEC">
            <w:pPr>
              <w:spacing w:line="400" w:lineRule="exact"/>
              <w:rPr>
                <w:rFonts w:hint="eastAsia" w:asciiTheme="minorEastAsia" w:hAnsiTheme="minorEastAsia" w:eastAsiaTheme="minorEastAsia" w:cstheme="minorEastAsia"/>
                <w:color w:val="auto"/>
                <w:szCs w:val="21"/>
                <w:highlight w:val="none"/>
              </w:rPr>
            </w:pPr>
          </w:p>
        </w:tc>
        <w:tc>
          <w:tcPr>
            <w:tcW w:w="950" w:type="dxa"/>
            <w:vAlign w:val="center"/>
          </w:tcPr>
          <w:p w14:paraId="7001FC40">
            <w:pPr>
              <w:spacing w:line="400" w:lineRule="exact"/>
              <w:jc w:val="center"/>
              <w:rPr>
                <w:rFonts w:hint="eastAsia" w:asciiTheme="minorEastAsia" w:hAnsiTheme="minorEastAsia" w:eastAsiaTheme="minorEastAsia" w:cstheme="minorEastAsia"/>
                <w:color w:val="auto"/>
                <w:szCs w:val="21"/>
                <w:highlight w:val="none"/>
              </w:rPr>
            </w:pPr>
          </w:p>
        </w:tc>
        <w:tc>
          <w:tcPr>
            <w:tcW w:w="901" w:type="dxa"/>
            <w:vAlign w:val="center"/>
          </w:tcPr>
          <w:p w14:paraId="188836AC">
            <w:pPr>
              <w:spacing w:line="400" w:lineRule="exact"/>
              <w:jc w:val="center"/>
              <w:rPr>
                <w:rFonts w:hint="eastAsia" w:asciiTheme="minorEastAsia" w:hAnsiTheme="minorEastAsia" w:eastAsiaTheme="minorEastAsia" w:cstheme="minorEastAsia"/>
                <w:color w:val="auto"/>
                <w:szCs w:val="21"/>
                <w:highlight w:val="none"/>
              </w:rPr>
            </w:pPr>
          </w:p>
        </w:tc>
      </w:tr>
      <w:tr w14:paraId="4C3E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310" w:type="dxa"/>
            <w:vMerge w:val="continue"/>
            <w:vAlign w:val="center"/>
          </w:tcPr>
          <w:p w14:paraId="581C8B17">
            <w:pPr>
              <w:spacing w:line="400" w:lineRule="exact"/>
              <w:jc w:val="center"/>
              <w:rPr>
                <w:rFonts w:hint="eastAsia" w:asciiTheme="minorEastAsia" w:hAnsiTheme="minorEastAsia" w:eastAsiaTheme="minorEastAsia" w:cstheme="minorEastAsia"/>
                <w:color w:val="auto"/>
                <w:szCs w:val="21"/>
                <w:highlight w:val="none"/>
              </w:rPr>
            </w:pPr>
          </w:p>
        </w:tc>
        <w:tc>
          <w:tcPr>
            <w:tcW w:w="5367" w:type="dxa"/>
            <w:vAlign w:val="center"/>
          </w:tcPr>
          <w:p w14:paraId="54DB2880">
            <w:pPr>
              <w:spacing w:line="400" w:lineRule="exact"/>
              <w:rPr>
                <w:rFonts w:hint="eastAsia" w:asciiTheme="minorEastAsia" w:hAnsiTheme="minorEastAsia" w:eastAsiaTheme="minorEastAsia" w:cstheme="minorEastAsia"/>
                <w:color w:val="auto"/>
                <w:szCs w:val="21"/>
                <w:highlight w:val="none"/>
              </w:rPr>
            </w:pPr>
          </w:p>
        </w:tc>
        <w:tc>
          <w:tcPr>
            <w:tcW w:w="950" w:type="dxa"/>
            <w:vAlign w:val="center"/>
          </w:tcPr>
          <w:p w14:paraId="296BBAA3">
            <w:pPr>
              <w:spacing w:line="400" w:lineRule="exact"/>
              <w:jc w:val="center"/>
              <w:rPr>
                <w:rFonts w:hint="eastAsia" w:asciiTheme="minorEastAsia" w:hAnsiTheme="minorEastAsia" w:eastAsiaTheme="minorEastAsia" w:cstheme="minorEastAsia"/>
                <w:color w:val="auto"/>
                <w:szCs w:val="21"/>
                <w:highlight w:val="none"/>
              </w:rPr>
            </w:pPr>
          </w:p>
        </w:tc>
        <w:tc>
          <w:tcPr>
            <w:tcW w:w="901" w:type="dxa"/>
            <w:vAlign w:val="center"/>
          </w:tcPr>
          <w:p w14:paraId="3EF97B7D">
            <w:pPr>
              <w:spacing w:line="400" w:lineRule="exact"/>
              <w:jc w:val="center"/>
              <w:rPr>
                <w:rFonts w:hint="eastAsia" w:asciiTheme="minorEastAsia" w:hAnsiTheme="minorEastAsia" w:eastAsiaTheme="minorEastAsia" w:cstheme="minorEastAsia"/>
                <w:color w:val="auto"/>
                <w:szCs w:val="21"/>
                <w:highlight w:val="none"/>
              </w:rPr>
            </w:pPr>
          </w:p>
        </w:tc>
      </w:tr>
    </w:tbl>
    <w:p w14:paraId="317593E6">
      <w:pPr>
        <w:snapToGrid w:val="0"/>
        <w:spacing w:before="50" w:after="120" w:afterLines="50"/>
        <w:jc w:val="left"/>
        <w:rPr>
          <w:rFonts w:hint="eastAsia" w:asciiTheme="minorEastAsia" w:hAnsiTheme="minorEastAsia" w:eastAsiaTheme="minorEastAsia" w:cstheme="minorEastAsia"/>
          <w:color w:val="auto"/>
          <w:szCs w:val="21"/>
          <w:highlight w:val="none"/>
        </w:rPr>
      </w:pPr>
    </w:p>
    <w:p w14:paraId="67BD74FB">
      <w:pPr>
        <w:snapToGrid w:val="0"/>
        <w:spacing w:before="50" w:after="120" w:afterLines="5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r>
        <w:rPr>
          <w:rFonts w:hint="eastAsia" w:asciiTheme="minorEastAsia" w:hAnsiTheme="minorEastAsia" w:eastAsiaTheme="minorEastAsia" w:cstheme="minorEastAsia"/>
          <w:b/>
          <w:color w:val="auto"/>
          <w:szCs w:val="21"/>
          <w:highlight w:val="none"/>
        </w:rPr>
        <w:t>四、投标函</w:t>
      </w:r>
    </w:p>
    <w:p w14:paraId="77883D51">
      <w:pPr>
        <w:snapToGrid w:val="0"/>
        <w:spacing w:before="50" w:after="120" w:afterLines="50"/>
        <w:jc w:val="center"/>
        <w:rPr>
          <w:rFonts w:hint="eastAsia" w:asciiTheme="minorEastAsia" w:hAnsiTheme="minorEastAsia" w:eastAsiaTheme="minorEastAsia" w:cstheme="minorEastAsia"/>
          <w:b/>
          <w:color w:val="auto"/>
          <w:szCs w:val="21"/>
          <w:highlight w:val="none"/>
        </w:rPr>
      </w:pPr>
      <w:bookmarkStart w:id="110" w:name="_Toc10389"/>
      <w:r>
        <w:rPr>
          <w:rFonts w:hint="eastAsia" w:asciiTheme="minorEastAsia" w:hAnsiTheme="minorEastAsia" w:eastAsiaTheme="minorEastAsia" w:cstheme="minorEastAsia"/>
          <w:b/>
          <w:color w:val="auto"/>
          <w:szCs w:val="21"/>
          <w:highlight w:val="none"/>
        </w:rPr>
        <w:t>投 标 函</w:t>
      </w:r>
      <w:bookmarkEnd w:id="110"/>
    </w:p>
    <w:p w14:paraId="3CDDE1EC">
      <w:pPr>
        <w:snapToGrid w:val="0"/>
        <w:spacing w:line="360" w:lineRule="auto"/>
        <w:rPr>
          <w:rFonts w:hint="eastAsia" w:asciiTheme="minorEastAsia" w:hAnsiTheme="minorEastAsia" w:eastAsiaTheme="minorEastAsia" w:cstheme="minorEastAsia"/>
          <w:color w:val="auto"/>
          <w:szCs w:val="21"/>
          <w:highlight w:val="none"/>
        </w:rPr>
      </w:pPr>
    </w:p>
    <w:p w14:paraId="665477E3">
      <w:pPr>
        <w:snapToGrid w:val="0"/>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（招标人或招标代理机构）</w:t>
      </w:r>
    </w:p>
    <w:p w14:paraId="2ECB6B24">
      <w:pPr>
        <w:pStyle w:val="50"/>
        <w:snapToGrid w:val="0"/>
        <w:spacing w:before="0" w:beforeAutospacing="0" w:after="0" w:afterAutospacing="0" w:line="440" w:lineRule="exact"/>
        <w:ind w:firstLine="404" w:firstLineChars="200"/>
        <w:jc w:val="both"/>
        <w:rPr>
          <w:rStyle w:val="106"/>
          <w:rFonts w:hint="eastAsia" w:asciiTheme="minorEastAsia" w:hAnsiTheme="minorEastAsia" w:eastAsiaTheme="minorEastAsia" w:cstheme="minorEastAsia"/>
          <w:color w:val="auto"/>
          <w:sz w:val="21"/>
          <w:szCs w:val="21"/>
          <w:highlight w:val="none"/>
          <w:u w:val="single"/>
        </w:rPr>
      </w:pPr>
      <w:r>
        <w:rPr>
          <w:rStyle w:val="106"/>
          <w:rFonts w:hint="eastAsia" w:asciiTheme="minorEastAsia" w:hAnsiTheme="minorEastAsia" w:eastAsiaTheme="minorEastAsia" w:cstheme="minorEastAsia"/>
          <w:color w:val="auto"/>
          <w:spacing w:val="-4"/>
          <w:kern w:val="2"/>
          <w:sz w:val="21"/>
          <w:szCs w:val="21"/>
          <w:highlight w:val="none"/>
          <w:u w:val="single"/>
        </w:rPr>
        <w:t xml:space="preserve">              （投标人全称）      </w:t>
      </w:r>
      <w:r>
        <w:rPr>
          <w:rStyle w:val="106"/>
          <w:rFonts w:hint="eastAsia" w:asciiTheme="minorEastAsia" w:hAnsiTheme="minorEastAsia" w:eastAsiaTheme="minorEastAsia" w:cstheme="minorEastAsia"/>
          <w:color w:val="auto"/>
          <w:spacing w:val="-4"/>
          <w:kern w:val="2"/>
          <w:sz w:val="21"/>
          <w:szCs w:val="21"/>
          <w:highlight w:val="none"/>
        </w:rPr>
        <w:t xml:space="preserve"> 授权</w:t>
      </w:r>
      <w:r>
        <w:rPr>
          <w:rStyle w:val="106"/>
          <w:rFonts w:hint="eastAsia" w:asciiTheme="minorEastAsia" w:hAnsiTheme="minorEastAsia" w:eastAsiaTheme="minorEastAsia" w:cstheme="minorEastAsia"/>
          <w:color w:val="auto"/>
          <w:spacing w:val="-4"/>
          <w:kern w:val="2"/>
          <w:sz w:val="21"/>
          <w:szCs w:val="21"/>
          <w:highlight w:val="none"/>
          <w:u w:val="single"/>
        </w:rPr>
        <w:t xml:space="preserve"> （全权代表姓名、职务）      </w:t>
      </w:r>
      <w:r>
        <w:rPr>
          <w:rStyle w:val="106"/>
          <w:rFonts w:hint="eastAsia" w:asciiTheme="minorEastAsia" w:hAnsiTheme="minorEastAsia" w:eastAsiaTheme="minorEastAsia" w:cstheme="minorEastAsia"/>
          <w:color w:val="auto"/>
          <w:spacing w:val="-4"/>
          <w:kern w:val="2"/>
          <w:sz w:val="21"/>
          <w:szCs w:val="21"/>
          <w:highlight w:val="none"/>
        </w:rPr>
        <w:t xml:space="preserve">为本公司（单位）合法代理人，参加贵方组织的 </w:t>
      </w:r>
      <w:r>
        <w:rPr>
          <w:rStyle w:val="106"/>
          <w:rFonts w:hint="eastAsia" w:asciiTheme="minorEastAsia" w:hAnsiTheme="minorEastAsia" w:eastAsiaTheme="minorEastAsia" w:cstheme="minorEastAsia"/>
          <w:color w:val="auto"/>
          <w:spacing w:val="-4"/>
          <w:kern w:val="2"/>
          <w:sz w:val="21"/>
          <w:szCs w:val="21"/>
          <w:highlight w:val="none"/>
          <w:u w:val="single"/>
        </w:rPr>
        <w:t xml:space="preserve">         （项目编号、项目名称）      </w:t>
      </w:r>
      <w:r>
        <w:rPr>
          <w:rStyle w:val="106"/>
          <w:rFonts w:hint="eastAsia" w:asciiTheme="minorEastAsia" w:hAnsiTheme="minorEastAsia" w:eastAsiaTheme="minorEastAsia" w:cstheme="minorEastAsia"/>
          <w:color w:val="auto"/>
          <w:spacing w:val="-4"/>
          <w:kern w:val="2"/>
          <w:sz w:val="21"/>
          <w:szCs w:val="21"/>
          <w:highlight w:val="none"/>
        </w:rPr>
        <w:t>招投标活动，代表本公司（单位）处理招投标活动中的一切事宜，为对</w:t>
      </w:r>
      <w:r>
        <w:rPr>
          <w:rStyle w:val="106"/>
          <w:rFonts w:hint="eastAsia" w:asciiTheme="minorEastAsia" w:hAnsiTheme="minorEastAsia" w:eastAsiaTheme="minorEastAsia" w:cstheme="minorEastAsia"/>
          <w:color w:val="auto"/>
          <w:spacing w:val="-4"/>
          <w:kern w:val="2"/>
          <w:sz w:val="21"/>
          <w:szCs w:val="21"/>
          <w:highlight w:val="none"/>
          <w:u w:val="single"/>
        </w:rPr>
        <w:t xml:space="preserve">     （项目名称）       </w:t>
      </w:r>
      <w:r>
        <w:rPr>
          <w:rStyle w:val="106"/>
          <w:rFonts w:hint="eastAsia" w:asciiTheme="minorEastAsia" w:hAnsiTheme="minorEastAsia" w:eastAsiaTheme="minorEastAsia" w:cstheme="minorEastAsia"/>
          <w:color w:val="auto"/>
          <w:spacing w:val="-4"/>
          <w:kern w:val="2"/>
          <w:sz w:val="21"/>
          <w:szCs w:val="21"/>
          <w:highlight w:val="none"/>
        </w:rPr>
        <w:t>进行投标，在此：</w:t>
      </w:r>
    </w:p>
    <w:p w14:paraId="3D3C65DB">
      <w:pPr>
        <w:pStyle w:val="50"/>
        <w:tabs>
          <w:tab w:val="right" w:pos="525"/>
        </w:tabs>
        <w:snapToGrid w:val="0"/>
        <w:spacing w:before="0" w:beforeAutospacing="0" w:after="0" w:afterAutospacing="0" w:line="440" w:lineRule="exact"/>
        <w:ind w:firstLine="404" w:firstLineChars="200"/>
        <w:jc w:val="both"/>
        <w:rPr>
          <w:rStyle w:val="106"/>
          <w:rFonts w:hint="eastAsia" w:asciiTheme="minorEastAsia" w:hAnsiTheme="minorEastAsia" w:eastAsiaTheme="minorEastAsia" w:cstheme="minorEastAsia"/>
          <w:color w:val="auto"/>
          <w:spacing w:val="-4"/>
          <w:kern w:val="2"/>
          <w:sz w:val="21"/>
          <w:szCs w:val="21"/>
          <w:highlight w:val="none"/>
        </w:rPr>
      </w:pPr>
      <w:r>
        <w:rPr>
          <w:rStyle w:val="106"/>
          <w:rFonts w:hint="eastAsia" w:asciiTheme="minorEastAsia" w:hAnsiTheme="minorEastAsia" w:eastAsiaTheme="minorEastAsia" w:cstheme="minorEastAsia"/>
          <w:color w:val="auto"/>
          <w:spacing w:val="-4"/>
          <w:kern w:val="2"/>
          <w:sz w:val="21"/>
          <w:szCs w:val="21"/>
          <w:highlight w:val="none"/>
        </w:rPr>
        <w:t>1.提供招标文件中“投标须知”规定的全部投标文件：上传到乐采云的投标文件1份；以U盘存储的电子备份投标文件</w:t>
      </w:r>
      <w:r>
        <w:rPr>
          <w:rStyle w:val="106"/>
          <w:rFonts w:hint="eastAsia" w:asciiTheme="minorEastAsia" w:hAnsiTheme="minorEastAsia" w:eastAsiaTheme="minorEastAsia" w:cstheme="minorEastAsia"/>
          <w:color w:val="auto"/>
          <w:spacing w:val="-4"/>
          <w:kern w:val="2"/>
          <w:sz w:val="21"/>
          <w:szCs w:val="21"/>
          <w:highlight w:val="none"/>
          <w:u w:val="single"/>
        </w:rPr>
        <w:t xml:space="preserve">    </w:t>
      </w:r>
      <w:r>
        <w:rPr>
          <w:rStyle w:val="106"/>
          <w:rFonts w:hint="eastAsia" w:asciiTheme="minorEastAsia" w:hAnsiTheme="minorEastAsia" w:eastAsiaTheme="minorEastAsia" w:cstheme="minorEastAsia"/>
          <w:color w:val="auto"/>
          <w:spacing w:val="-4"/>
          <w:kern w:val="2"/>
          <w:sz w:val="21"/>
          <w:szCs w:val="21"/>
          <w:highlight w:val="none"/>
        </w:rPr>
        <w:t>份）。</w:t>
      </w:r>
    </w:p>
    <w:p w14:paraId="7DCF2140">
      <w:pPr>
        <w:pStyle w:val="50"/>
        <w:tabs>
          <w:tab w:val="right" w:pos="525"/>
        </w:tabs>
        <w:snapToGrid w:val="0"/>
        <w:spacing w:before="0" w:beforeAutospacing="0" w:after="0" w:afterAutospacing="0" w:line="440" w:lineRule="exact"/>
        <w:ind w:firstLine="404" w:firstLineChars="200"/>
        <w:jc w:val="both"/>
        <w:rPr>
          <w:rStyle w:val="106"/>
          <w:rFonts w:hint="eastAsia" w:asciiTheme="minorEastAsia" w:hAnsiTheme="minorEastAsia" w:eastAsiaTheme="minorEastAsia" w:cstheme="minorEastAsia"/>
          <w:color w:val="auto"/>
          <w:sz w:val="21"/>
          <w:szCs w:val="21"/>
          <w:highlight w:val="none"/>
        </w:rPr>
      </w:pPr>
      <w:r>
        <w:rPr>
          <w:rStyle w:val="106"/>
          <w:rFonts w:hint="eastAsia" w:asciiTheme="minorEastAsia" w:hAnsiTheme="minorEastAsia" w:eastAsiaTheme="minorEastAsia" w:cstheme="minorEastAsia"/>
          <w:color w:val="auto"/>
          <w:spacing w:val="-4"/>
          <w:kern w:val="2"/>
          <w:sz w:val="21"/>
          <w:szCs w:val="21"/>
          <w:highlight w:val="none"/>
        </w:rPr>
        <w:t>2.据此函，签字代表宣布并承诺如下：</w:t>
      </w:r>
    </w:p>
    <w:p w14:paraId="12084C4A">
      <w:pPr>
        <w:pStyle w:val="50"/>
        <w:snapToGrid w:val="0"/>
        <w:spacing w:before="0" w:beforeAutospacing="0" w:after="0" w:afterAutospacing="0" w:line="440" w:lineRule="exact"/>
        <w:ind w:firstLine="404" w:firstLineChars="200"/>
        <w:jc w:val="both"/>
        <w:rPr>
          <w:rStyle w:val="106"/>
          <w:rFonts w:hint="eastAsia" w:asciiTheme="minorEastAsia" w:hAnsiTheme="minorEastAsia" w:eastAsiaTheme="minorEastAsia" w:cstheme="minorEastAsia"/>
          <w:color w:val="auto"/>
          <w:sz w:val="21"/>
          <w:szCs w:val="21"/>
          <w:highlight w:val="none"/>
        </w:rPr>
      </w:pPr>
      <w:r>
        <w:rPr>
          <w:rStyle w:val="106"/>
          <w:rFonts w:hint="eastAsia" w:asciiTheme="minorEastAsia" w:hAnsiTheme="minorEastAsia" w:eastAsiaTheme="minorEastAsia" w:cstheme="minorEastAsia"/>
          <w:color w:val="auto"/>
          <w:spacing w:val="-4"/>
          <w:kern w:val="2"/>
          <w:sz w:val="21"/>
          <w:szCs w:val="21"/>
          <w:highlight w:val="none"/>
        </w:rPr>
        <w:t>（1）本项目投标报价已经包含了所供服务应纳的税金及招标文件规定的报价方式应包含的其它费用。本报价在投标有效期内固定不变，并在合同有效期内不受利率波动的影响。</w:t>
      </w:r>
    </w:p>
    <w:p w14:paraId="49107542">
      <w:pPr>
        <w:pStyle w:val="50"/>
        <w:snapToGrid w:val="0"/>
        <w:spacing w:before="0" w:beforeAutospacing="0" w:after="0" w:afterAutospacing="0" w:line="440" w:lineRule="exact"/>
        <w:ind w:firstLine="404" w:firstLineChars="200"/>
        <w:jc w:val="both"/>
        <w:rPr>
          <w:rStyle w:val="106"/>
          <w:rFonts w:hint="eastAsia" w:asciiTheme="minorEastAsia" w:hAnsiTheme="minorEastAsia" w:eastAsiaTheme="minorEastAsia" w:cstheme="minorEastAsia"/>
          <w:color w:val="auto"/>
          <w:sz w:val="21"/>
          <w:szCs w:val="21"/>
          <w:highlight w:val="none"/>
        </w:rPr>
      </w:pPr>
      <w:r>
        <w:rPr>
          <w:rStyle w:val="106"/>
          <w:rFonts w:hint="eastAsia" w:asciiTheme="minorEastAsia" w:hAnsiTheme="minorEastAsia" w:eastAsiaTheme="minorEastAsia" w:cstheme="minorEastAsia"/>
          <w:color w:val="auto"/>
          <w:spacing w:val="-4"/>
          <w:kern w:val="2"/>
          <w:sz w:val="21"/>
          <w:szCs w:val="21"/>
          <w:highlight w:val="none"/>
        </w:rPr>
        <w:t>（2）本投标自开标之日起</w:t>
      </w:r>
      <w:r>
        <w:rPr>
          <w:rStyle w:val="106"/>
          <w:rFonts w:hint="eastAsia" w:asciiTheme="minorEastAsia" w:hAnsiTheme="minorEastAsia" w:eastAsiaTheme="minorEastAsia" w:cstheme="minorEastAsia"/>
          <w:color w:val="auto"/>
          <w:spacing w:val="-4"/>
          <w:kern w:val="2"/>
          <w:sz w:val="21"/>
          <w:szCs w:val="21"/>
          <w:highlight w:val="none"/>
          <w:u w:val="single"/>
        </w:rPr>
        <w:t xml:space="preserve"> 90 </w:t>
      </w:r>
      <w:r>
        <w:rPr>
          <w:rStyle w:val="106"/>
          <w:rFonts w:hint="eastAsia" w:asciiTheme="minorEastAsia" w:hAnsiTheme="minorEastAsia" w:eastAsiaTheme="minorEastAsia" w:cstheme="minorEastAsia"/>
          <w:color w:val="auto"/>
          <w:spacing w:val="-4"/>
          <w:kern w:val="2"/>
          <w:sz w:val="21"/>
          <w:szCs w:val="21"/>
          <w:highlight w:val="none"/>
        </w:rPr>
        <w:t>天内有效。</w:t>
      </w:r>
    </w:p>
    <w:p w14:paraId="467B4E65">
      <w:pPr>
        <w:pStyle w:val="50"/>
        <w:snapToGrid w:val="0"/>
        <w:spacing w:before="0" w:beforeAutospacing="0" w:after="0" w:afterAutospacing="0" w:line="440" w:lineRule="exact"/>
        <w:ind w:firstLine="404" w:firstLineChars="200"/>
        <w:jc w:val="both"/>
        <w:rPr>
          <w:rStyle w:val="106"/>
          <w:rFonts w:hint="eastAsia" w:asciiTheme="minorEastAsia" w:hAnsiTheme="minorEastAsia" w:eastAsiaTheme="minorEastAsia" w:cstheme="minorEastAsia"/>
          <w:color w:val="auto"/>
          <w:sz w:val="21"/>
          <w:szCs w:val="21"/>
          <w:highlight w:val="none"/>
        </w:rPr>
      </w:pPr>
      <w:r>
        <w:rPr>
          <w:rStyle w:val="106"/>
          <w:rFonts w:hint="eastAsia" w:asciiTheme="minorEastAsia" w:hAnsiTheme="minorEastAsia" w:eastAsiaTheme="minorEastAsia" w:cstheme="minorEastAsia"/>
          <w:color w:val="auto"/>
          <w:spacing w:val="-4"/>
          <w:kern w:val="2"/>
          <w:sz w:val="21"/>
          <w:szCs w:val="21"/>
          <w:highlight w:val="none"/>
        </w:rPr>
        <w:t>（3）我们已详细审查全部招标文件及有关的澄清/修改文件(若有的话)，我们完全理解并同意放弃对这方面提出任何异议的权利。保证遵守招标文件有关条款规定。</w:t>
      </w:r>
    </w:p>
    <w:p w14:paraId="084A5F9A">
      <w:pPr>
        <w:pStyle w:val="50"/>
        <w:snapToGrid w:val="0"/>
        <w:spacing w:before="0" w:beforeAutospacing="0" w:after="0" w:afterAutospacing="0" w:line="440" w:lineRule="exact"/>
        <w:ind w:firstLine="404" w:firstLineChars="200"/>
        <w:jc w:val="both"/>
        <w:rPr>
          <w:rStyle w:val="106"/>
          <w:rFonts w:hint="eastAsia" w:asciiTheme="minorEastAsia" w:hAnsiTheme="minorEastAsia" w:eastAsiaTheme="minorEastAsia" w:cstheme="minorEastAsia"/>
          <w:color w:val="auto"/>
          <w:sz w:val="21"/>
          <w:szCs w:val="21"/>
          <w:highlight w:val="none"/>
        </w:rPr>
      </w:pPr>
      <w:r>
        <w:rPr>
          <w:rStyle w:val="106"/>
          <w:rFonts w:hint="eastAsia" w:asciiTheme="minorEastAsia" w:hAnsiTheme="minorEastAsia" w:eastAsiaTheme="minorEastAsia" w:cstheme="minorEastAsia"/>
          <w:color w:val="auto"/>
          <w:spacing w:val="-4"/>
          <w:kern w:val="2"/>
          <w:sz w:val="21"/>
          <w:szCs w:val="21"/>
          <w:highlight w:val="none"/>
        </w:rPr>
        <w:t>（4）保证在中标后忠实地执行与招标人所签署的合同，并承担合同规定的责任义务。保证在中标后按照招标文件的规定支付招标代理服务费。</w:t>
      </w:r>
    </w:p>
    <w:p w14:paraId="513F029C">
      <w:pPr>
        <w:pStyle w:val="50"/>
        <w:snapToGrid w:val="0"/>
        <w:spacing w:before="0" w:beforeAutospacing="0" w:after="0" w:afterAutospacing="0" w:line="440" w:lineRule="exact"/>
        <w:ind w:firstLine="404" w:firstLineChars="200"/>
        <w:jc w:val="both"/>
        <w:rPr>
          <w:rStyle w:val="106"/>
          <w:rFonts w:hint="eastAsia" w:asciiTheme="minorEastAsia" w:hAnsiTheme="minorEastAsia" w:eastAsiaTheme="minorEastAsia" w:cstheme="minorEastAsia"/>
          <w:color w:val="auto"/>
          <w:sz w:val="21"/>
          <w:szCs w:val="21"/>
          <w:highlight w:val="none"/>
        </w:rPr>
      </w:pPr>
      <w:r>
        <w:rPr>
          <w:rStyle w:val="106"/>
          <w:rFonts w:hint="eastAsia" w:asciiTheme="minorEastAsia" w:hAnsiTheme="minorEastAsia" w:eastAsiaTheme="minorEastAsia" w:cstheme="minorEastAsia"/>
          <w:color w:val="auto"/>
          <w:spacing w:val="-4"/>
          <w:kern w:val="2"/>
          <w:sz w:val="21"/>
          <w:szCs w:val="21"/>
          <w:highlight w:val="none"/>
        </w:rPr>
        <w:t>（5）承诺应贵方要求提供任何与该项目投标有关的数据、情况和技术资料。</w:t>
      </w:r>
    </w:p>
    <w:p w14:paraId="27321658">
      <w:pPr>
        <w:pStyle w:val="50"/>
        <w:snapToGrid w:val="0"/>
        <w:spacing w:before="0" w:beforeAutospacing="0" w:after="0" w:afterAutospacing="0" w:line="440" w:lineRule="exact"/>
        <w:ind w:firstLine="404" w:firstLineChars="200"/>
        <w:jc w:val="both"/>
        <w:rPr>
          <w:rStyle w:val="106"/>
          <w:rFonts w:hint="eastAsia" w:asciiTheme="minorEastAsia" w:hAnsiTheme="minorEastAsia" w:eastAsiaTheme="minorEastAsia" w:cstheme="minorEastAsia"/>
          <w:color w:val="auto"/>
          <w:sz w:val="21"/>
          <w:szCs w:val="21"/>
          <w:highlight w:val="none"/>
        </w:rPr>
      </w:pPr>
      <w:r>
        <w:rPr>
          <w:rStyle w:val="106"/>
          <w:rFonts w:hint="eastAsia" w:asciiTheme="minorEastAsia" w:hAnsiTheme="minorEastAsia" w:eastAsiaTheme="minorEastAsia" w:cstheme="minorEastAsia"/>
          <w:color w:val="auto"/>
          <w:spacing w:val="-4"/>
          <w:kern w:val="2"/>
          <w:sz w:val="21"/>
          <w:szCs w:val="21"/>
          <w:highlight w:val="none"/>
        </w:rPr>
        <w:t>（6）我们承诺，与为招标人采购本次招标的货物或服务进行设计、编制规范和其他文件所委托的咨询公司或其附属机构无任何直接或间接的关联。</w:t>
      </w:r>
    </w:p>
    <w:p w14:paraId="5888C326">
      <w:pPr>
        <w:pStyle w:val="50"/>
        <w:snapToGrid w:val="0"/>
        <w:spacing w:before="0" w:beforeAutospacing="0" w:after="0" w:afterAutospacing="0" w:line="440" w:lineRule="exact"/>
        <w:ind w:firstLine="404" w:firstLineChars="200"/>
        <w:jc w:val="both"/>
        <w:rPr>
          <w:rStyle w:val="106"/>
          <w:rFonts w:hint="eastAsia" w:asciiTheme="minorEastAsia" w:hAnsiTheme="minorEastAsia" w:eastAsiaTheme="minorEastAsia" w:cstheme="minorEastAsia"/>
          <w:color w:val="auto"/>
          <w:sz w:val="21"/>
          <w:szCs w:val="21"/>
          <w:highlight w:val="none"/>
        </w:rPr>
      </w:pPr>
      <w:r>
        <w:rPr>
          <w:rStyle w:val="106"/>
          <w:rFonts w:hint="eastAsia" w:asciiTheme="minorEastAsia" w:hAnsiTheme="minorEastAsia" w:eastAsiaTheme="minorEastAsia" w:cstheme="minorEastAsia"/>
          <w:color w:val="auto"/>
          <w:spacing w:val="-4"/>
          <w:kern w:val="2"/>
          <w:sz w:val="21"/>
          <w:szCs w:val="21"/>
          <w:highlight w:val="none"/>
        </w:rPr>
        <w:t>3.与本投标有关的一切往来通讯请寄：</w:t>
      </w:r>
    </w:p>
    <w:p w14:paraId="04A40DBF">
      <w:pPr>
        <w:pStyle w:val="50"/>
        <w:snapToGrid w:val="0"/>
        <w:spacing w:before="0" w:beforeAutospacing="0" w:after="0" w:afterAutospacing="0" w:line="440" w:lineRule="exact"/>
        <w:ind w:firstLine="404" w:firstLineChars="200"/>
        <w:jc w:val="both"/>
        <w:rPr>
          <w:rStyle w:val="106"/>
          <w:rFonts w:hint="eastAsia" w:asciiTheme="minorEastAsia" w:hAnsiTheme="minorEastAsia" w:eastAsiaTheme="minorEastAsia" w:cstheme="minorEastAsia"/>
          <w:color w:val="auto"/>
          <w:sz w:val="21"/>
          <w:szCs w:val="21"/>
          <w:highlight w:val="none"/>
        </w:rPr>
      </w:pPr>
      <w:r>
        <w:rPr>
          <w:rStyle w:val="106"/>
          <w:rFonts w:hint="eastAsia" w:asciiTheme="minorEastAsia" w:hAnsiTheme="minorEastAsia" w:eastAsiaTheme="minorEastAsia" w:cstheme="minorEastAsia"/>
          <w:color w:val="auto"/>
          <w:spacing w:val="-4"/>
          <w:kern w:val="2"/>
          <w:sz w:val="21"/>
          <w:szCs w:val="21"/>
          <w:highlight w:val="none"/>
        </w:rPr>
        <w:t>地址：</w:t>
      </w:r>
      <w:r>
        <w:rPr>
          <w:rStyle w:val="106"/>
          <w:rFonts w:hint="eastAsia" w:asciiTheme="minorEastAsia" w:hAnsiTheme="minorEastAsia" w:eastAsiaTheme="minorEastAsia" w:cstheme="minorEastAsia"/>
          <w:color w:val="auto"/>
          <w:spacing w:val="-4"/>
          <w:kern w:val="2"/>
          <w:sz w:val="21"/>
          <w:szCs w:val="21"/>
          <w:highlight w:val="none"/>
          <w:u w:val="single"/>
        </w:rPr>
        <w:t xml:space="preserve">                                                   </w:t>
      </w:r>
    </w:p>
    <w:p w14:paraId="3BDEF114">
      <w:pPr>
        <w:pStyle w:val="50"/>
        <w:snapToGrid w:val="0"/>
        <w:spacing w:before="0" w:beforeAutospacing="0" w:after="0" w:afterAutospacing="0" w:line="440" w:lineRule="exact"/>
        <w:ind w:firstLine="404" w:firstLineChars="200"/>
        <w:jc w:val="both"/>
        <w:rPr>
          <w:rStyle w:val="106"/>
          <w:rFonts w:hint="eastAsia" w:asciiTheme="minorEastAsia" w:hAnsiTheme="minorEastAsia" w:eastAsiaTheme="minorEastAsia" w:cstheme="minorEastAsia"/>
          <w:color w:val="auto"/>
          <w:sz w:val="21"/>
          <w:szCs w:val="21"/>
          <w:highlight w:val="none"/>
        </w:rPr>
      </w:pPr>
      <w:r>
        <w:rPr>
          <w:rStyle w:val="106"/>
          <w:rFonts w:hint="eastAsia" w:asciiTheme="minorEastAsia" w:hAnsiTheme="minorEastAsia" w:eastAsiaTheme="minorEastAsia" w:cstheme="minorEastAsia"/>
          <w:color w:val="auto"/>
          <w:spacing w:val="-4"/>
          <w:kern w:val="2"/>
          <w:sz w:val="21"/>
          <w:szCs w:val="21"/>
          <w:highlight w:val="none"/>
        </w:rPr>
        <w:t>邮编：</w:t>
      </w:r>
      <w:r>
        <w:rPr>
          <w:rStyle w:val="106"/>
          <w:rFonts w:hint="eastAsia" w:asciiTheme="minorEastAsia" w:hAnsiTheme="minorEastAsia" w:eastAsiaTheme="minorEastAsia" w:cstheme="minorEastAsia"/>
          <w:color w:val="auto"/>
          <w:spacing w:val="-4"/>
          <w:kern w:val="2"/>
          <w:sz w:val="21"/>
          <w:szCs w:val="21"/>
          <w:highlight w:val="none"/>
          <w:u w:val="single"/>
        </w:rPr>
        <w:t xml:space="preserve">            </w:t>
      </w:r>
      <w:r>
        <w:rPr>
          <w:rStyle w:val="106"/>
          <w:rFonts w:hint="eastAsia" w:asciiTheme="minorEastAsia" w:hAnsiTheme="minorEastAsia" w:eastAsiaTheme="minorEastAsia" w:cstheme="minorEastAsia"/>
          <w:color w:val="auto"/>
          <w:spacing w:val="-4"/>
          <w:kern w:val="2"/>
          <w:sz w:val="21"/>
          <w:szCs w:val="21"/>
          <w:highlight w:val="none"/>
        </w:rPr>
        <w:t>电话：</w:t>
      </w:r>
      <w:r>
        <w:rPr>
          <w:rStyle w:val="106"/>
          <w:rFonts w:hint="eastAsia" w:asciiTheme="minorEastAsia" w:hAnsiTheme="minorEastAsia" w:eastAsiaTheme="minorEastAsia" w:cstheme="minorEastAsia"/>
          <w:color w:val="auto"/>
          <w:spacing w:val="-4"/>
          <w:kern w:val="2"/>
          <w:sz w:val="21"/>
          <w:szCs w:val="21"/>
          <w:highlight w:val="none"/>
          <w:u w:val="single"/>
        </w:rPr>
        <w:t xml:space="preserve">              </w:t>
      </w:r>
      <w:r>
        <w:rPr>
          <w:rStyle w:val="106"/>
          <w:rFonts w:hint="eastAsia" w:asciiTheme="minorEastAsia" w:hAnsiTheme="minorEastAsia" w:eastAsiaTheme="minorEastAsia" w:cstheme="minorEastAsia"/>
          <w:color w:val="auto"/>
          <w:spacing w:val="-4"/>
          <w:kern w:val="2"/>
          <w:sz w:val="21"/>
          <w:szCs w:val="21"/>
          <w:highlight w:val="none"/>
        </w:rPr>
        <w:t>传真：</w:t>
      </w:r>
      <w:r>
        <w:rPr>
          <w:rStyle w:val="106"/>
          <w:rFonts w:hint="eastAsia" w:asciiTheme="minorEastAsia" w:hAnsiTheme="minorEastAsia" w:eastAsiaTheme="minorEastAsia" w:cstheme="minorEastAsia"/>
          <w:color w:val="auto"/>
          <w:spacing w:val="-4"/>
          <w:kern w:val="2"/>
          <w:sz w:val="21"/>
          <w:szCs w:val="21"/>
          <w:highlight w:val="none"/>
          <w:u w:val="single"/>
        </w:rPr>
        <w:t xml:space="preserve">             </w:t>
      </w:r>
    </w:p>
    <w:p w14:paraId="4B2266F1">
      <w:pPr>
        <w:pStyle w:val="50"/>
        <w:tabs>
          <w:tab w:val="right" w:leader="hyphen" w:pos="4841"/>
        </w:tabs>
        <w:snapToGrid w:val="0"/>
        <w:spacing w:before="0" w:beforeAutospacing="0" w:after="0" w:afterAutospacing="0" w:line="440" w:lineRule="exact"/>
        <w:ind w:firstLine="404" w:firstLineChars="200"/>
        <w:jc w:val="center"/>
        <w:rPr>
          <w:rStyle w:val="106"/>
          <w:rFonts w:hint="eastAsia" w:asciiTheme="minorEastAsia" w:hAnsiTheme="minorEastAsia" w:eastAsiaTheme="minorEastAsia" w:cstheme="minorEastAsia"/>
          <w:color w:val="auto"/>
          <w:spacing w:val="-4"/>
          <w:kern w:val="2"/>
          <w:sz w:val="21"/>
          <w:szCs w:val="21"/>
          <w:highlight w:val="none"/>
        </w:rPr>
      </w:pPr>
      <w:r>
        <w:rPr>
          <w:rStyle w:val="106"/>
          <w:rFonts w:hint="eastAsia" w:asciiTheme="minorEastAsia" w:hAnsiTheme="minorEastAsia" w:eastAsiaTheme="minorEastAsia" w:cstheme="minorEastAsia"/>
          <w:color w:val="auto"/>
          <w:spacing w:val="-4"/>
          <w:kern w:val="2"/>
          <w:sz w:val="21"/>
          <w:szCs w:val="21"/>
          <w:highlight w:val="none"/>
        </w:rPr>
        <w:t xml:space="preserve">                             </w:t>
      </w:r>
    </w:p>
    <w:p w14:paraId="43FBB3FF">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投标人全称（公章）：</w:t>
      </w:r>
    </w:p>
    <w:p w14:paraId="2297483D">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法定代表人或法定代表人的授权代表（签字或盖章）：                       </w:t>
      </w:r>
    </w:p>
    <w:p w14:paraId="2D729EC6">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p>
    <w:p w14:paraId="69A031DB">
      <w:pPr>
        <w:snapToGrid w:val="0"/>
        <w:spacing w:line="400" w:lineRule="exact"/>
        <w:ind w:firstLine="420" w:firstLineChars="200"/>
        <w:rPr>
          <w:rFonts w:hint="eastAsia" w:asciiTheme="minorEastAsia" w:hAnsiTheme="minorEastAsia" w:eastAsiaTheme="minorEastAsia" w:cstheme="minorEastAsia"/>
          <w:color w:val="auto"/>
          <w:szCs w:val="21"/>
          <w:highlight w:val="none"/>
        </w:rPr>
      </w:pPr>
    </w:p>
    <w:p w14:paraId="67ACCDA7">
      <w:pPr>
        <w:snapToGrid w:val="0"/>
        <w:spacing w:before="50" w:after="120" w:afterLines="5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r>
        <w:rPr>
          <w:rFonts w:hint="eastAsia" w:asciiTheme="minorEastAsia" w:hAnsiTheme="minorEastAsia" w:eastAsiaTheme="minorEastAsia" w:cstheme="minorEastAsia"/>
          <w:b/>
          <w:color w:val="auto"/>
          <w:szCs w:val="21"/>
          <w:highlight w:val="none"/>
        </w:rPr>
        <w:t>五、投标声明书</w:t>
      </w:r>
    </w:p>
    <w:p w14:paraId="1D115EB7">
      <w:pPr>
        <w:snapToGrid w:val="0"/>
        <w:spacing w:before="50" w:after="120" w:afterLines="50"/>
        <w:jc w:val="center"/>
        <w:rPr>
          <w:rFonts w:hint="eastAsia" w:asciiTheme="minorEastAsia" w:hAnsiTheme="minorEastAsia" w:eastAsiaTheme="minorEastAsia" w:cstheme="minorEastAsia"/>
          <w:b/>
          <w:color w:val="auto"/>
          <w:szCs w:val="21"/>
          <w:highlight w:val="none"/>
        </w:rPr>
      </w:pPr>
      <w:bookmarkStart w:id="111" w:name="_Toc14586"/>
      <w:r>
        <w:rPr>
          <w:rFonts w:hint="eastAsia" w:asciiTheme="minorEastAsia" w:hAnsiTheme="minorEastAsia" w:eastAsiaTheme="minorEastAsia" w:cstheme="minorEastAsia"/>
          <w:b/>
          <w:color w:val="auto"/>
          <w:szCs w:val="21"/>
          <w:highlight w:val="none"/>
        </w:rPr>
        <w:t>投标声明书</w:t>
      </w:r>
      <w:bookmarkEnd w:id="111"/>
    </w:p>
    <w:p w14:paraId="442F831A">
      <w:pPr>
        <w:snapToGrid w:val="0"/>
        <w:spacing w:before="120" w:beforeLines="50" w:after="50"/>
        <w:rPr>
          <w:rFonts w:hint="eastAsia" w:asciiTheme="minorEastAsia" w:hAnsiTheme="minorEastAsia" w:eastAsiaTheme="minorEastAsia" w:cstheme="minorEastAsia"/>
          <w:color w:val="auto"/>
          <w:szCs w:val="21"/>
          <w:highlight w:val="none"/>
        </w:rPr>
      </w:pPr>
    </w:p>
    <w:p w14:paraId="4EA99D00">
      <w:pPr>
        <w:snapToGrid w:val="0"/>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（招标人或招标代理机构）</w:t>
      </w:r>
    </w:p>
    <w:p w14:paraId="3355701B">
      <w:pPr>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（投标人名称）系中华人民共和国合法企业，经营地址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3F999C63">
      <w:pPr>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我</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（姓名）系</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（投标人名称）的法定代表人，我方愿意参加贵方组织的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本次投标有关事项郑重声明如下：</w:t>
      </w:r>
    </w:p>
    <w:p w14:paraId="149575CD">
      <w:pPr>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1.我方向贵方提交的所有投标文件、资料都是准确的和真实的。</w:t>
      </w:r>
    </w:p>
    <w:p w14:paraId="04A93B78">
      <w:pPr>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2.我方不是招标人的附属机构；在获知本项目采购信息后，与招标人聘请的为此项目提供咨询服务的公司及其附属机构没有任何联系。</w:t>
      </w:r>
    </w:p>
    <w:p w14:paraId="4C07F4E7">
      <w:pPr>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3.我方</w:t>
      </w:r>
      <w:r>
        <w:rPr>
          <w:rFonts w:hint="eastAsia" w:asciiTheme="minorEastAsia" w:hAnsiTheme="minorEastAsia" w:eastAsiaTheme="minorEastAsia" w:cstheme="minorEastAsia"/>
          <w:color w:val="auto"/>
          <w:highlight w:val="none"/>
        </w:rPr>
        <w:t>符合规定的投标人基本条件；</w:t>
      </w:r>
    </w:p>
    <w:p w14:paraId="22CA1DEE">
      <w:pPr>
        <w:snapToGrid w:val="0"/>
        <w:spacing w:line="440" w:lineRule="exact"/>
        <w:ind w:firstLine="404" w:firstLineChars="200"/>
        <w:rPr>
          <w:rFonts w:hint="eastAsia" w:asciiTheme="minorEastAsia" w:hAnsiTheme="minorEastAsia" w:eastAsiaTheme="minorEastAsia" w:cstheme="minorEastAsia"/>
          <w:color w:val="auto"/>
          <w:spacing w:val="-4"/>
          <w:szCs w:val="21"/>
          <w:highlight w:val="none"/>
        </w:rPr>
      </w:pPr>
      <w:r>
        <w:rPr>
          <w:rFonts w:hint="eastAsia" w:asciiTheme="minorEastAsia" w:hAnsiTheme="minorEastAsia" w:eastAsiaTheme="minorEastAsia" w:cstheme="minorEastAsia"/>
          <w:color w:val="auto"/>
          <w:spacing w:val="-4"/>
          <w:szCs w:val="21"/>
          <w:highlight w:val="none"/>
        </w:rPr>
        <w:t>4.我方及由本人担任</w:t>
      </w:r>
      <w:r>
        <w:rPr>
          <w:rFonts w:hint="eastAsia" w:asciiTheme="minorEastAsia" w:hAnsiTheme="minorEastAsia" w:eastAsiaTheme="minorEastAsia" w:cstheme="minorEastAsia"/>
          <w:color w:val="auto"/>
          <w:szCs w:val="21"/>
          <w:highlight w:val="none"/>
        </w:rPr>
        <w:t>法定代表人</w:t>
      </w:r>
      <w:r>
        <w:rPr>
          <w:rFonts w:hint="eastAsia" w:asciiTheme="minorEastAsia" w:hAnsiTheme="minorEastAsia" w:eastAsiaTheme="minorEastAsia" w:cstheme="minorEastAsia"/>
          <w:color w:val="auto"/>
          <w:spacing w:val="-4"/>
          <w:szCs w:val="21"/>
          <w:highlight w:val="none"/>
        </w:rPr>
        <w:t>的其他机构最近三年内被通报或者被处罚的重大违法行为有：</w:t>
      </w:r>
    </w:p>
    <w:p w14:paraId="101546FA">
      <w:pPr>
        <w:snapToGrid w:val="0"/>
        <w:spacing w:line="44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w:t>
      </w:r>
    </w:p>
    <w:p w14:paraId="2B372CCE">
      <w:pPr>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5.以上事项如有虚假或隐瞒，我方愿意承担一切后果，并不再寻求任何旨在减轻或免除法律责任的辩解。</w:t>
      </w:r>
    </w:p>
    <w:p w14:paraId="5B901DB5">
      <w:pPr>
        <w:tabs>
          <w:tab w:val="left" w:pos="939"/>
        </w:tabs>
        <w:snapToGrid w:val="0"/>
        <w:spacing w:line="440" w:lineRule="exact"/>
        <w:ind w:left="401" w:hanging="401" w:hangingChars="191"/>
        <w:rPr>
          <w:rFonts w:hint="eastAsia" w:asciiTheme="minorEastAsia" w:hAnsiTheme="minorEastAsia" w:eastAsiaTheme="minorEastAsia" w:cstheme="minorEastAsia"/>
          <w:color w:val="auto"/>
          <w:szCs w:val="21"/>
          <w:highlight w:val="none"/>
        </w:rPr>
      </w:pPr>
    </w:p>
    <w:p w14:paraId="78245870">
      <w:pPr>
        <w:snapToGrid w:val="0"/>
        <w:spacing w:line="440" w:lineRule="exact"/>
        <w:ind w:firstLine="200"/>
        <w:rPr>
          <w:rFonts w:hint="eastAsia" w:asciiTheme="minorEastAsia" w:hAnsiTheme="minorEastAsia" w:eastAsiaTheme="minorEastAsia" w:cstheme="minorEastAsia"/>
          <w:color w:val="auto"/>
          <w:szCs w:val="21"/>
          <w:highlight w:val="none"/>
        </w:rPr>
      </w:pPr>
    </w:p>
    <w:p w14:paraId="4D130FA2">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投标人全称（公章）：</w:t>
      </w:r>
    </w:p>
    <w:p w14:paraId="18856B3E">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法定代表人或法定代表人的授权代表（签字或盖章）：                       </w:t>
      </w:r>
    </w:p>
    <w:p w14:paraId="25B048CE">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p>
    <w:p w14:paraId="25773F7E">
      <w:pPr>
        <w:spacing w:before="240" w:line="400" w:lineRule="exact"/>
        <w:rPr>
          <w:rFonts w:hint="eastAsia" w:asciiTheme="minorEastAsia" w:hAnsiTheme="minorEastAsia" w:eastAsiaTheme="minorEastAsia" w:cstheme="minorEastAsia"/>
          <w:b/>
          <w:bCs/>
          <w:color w:val="auto"/>
          <w:szCs w:val="21"/>
          <w:highlight w:val="none"/>
        </w:rPr>
      </w:pPr>
    </w:p>
    <w:p w14:paraId="5953E5A6">
      <w:pPr>
        <w:snapToGrid w:val="0"/>
        <w:spacing w:line="40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r>
        <w:rPr>
          <w:rFonts w:hint="eastAsia" w:asciiTheme="minorEastAsia" w:hAnsiTheme="minorEastAsia" w:eastAsiaTheme="minorEastAsia" w:cstheme="minorEastAsia"/>
          <w:b/>
          <w:color w:val="auto"/>
          <w:szCs w:val="21"/>
          <w:highlight w:val="none"/>
        </w:rPr>
        <w:t>六、法定代表人身份证明，或法定代表人授权委托书</w:t>
      </w:r>
    </w:p>
    <w:p w14:paraId="6E411A8E">
      <w:pPr>
        <w:snapToGrid w:val="0"/>
        <w:spacing w:before="120" w:beforeLines="50" w:after="50"/>
        <w:rPr>
          <w:rFonts w:hint="eastAsia" w:asciiTheme="minorEastAsia" w:hAnsiTheme="minorEastAsia" w:eastAsiaTheme="minorEastAsia" w:cstheme="minorEastAsia"/>
          <w:color w:val="auto"/>
          <w:szCs w:val="21"/>
          <w:highlight w:val="none"/>
        </w:rPr>
      </w:pPr>
    </w:p>
    <w:p w14:paraId="38AC46D2">
      <w:pPr>
        <w:snapToGrid w:val="0"/>
        <w:spacing w:before="50" w:after="120" w:afterLines="50"/>
        <w:jc w:val="left"/>
        <w:rPr>
          <w:rFonts w:hint="eastAsia" w:asciiTheme="minorEastAsia" w:hAnsiTheme="minorEastAsia" w:eastAsiaTheme="minorEastAsia" w:cstheme="minorEastAsia"/>
          <w:color w:val="auto"/>
          <w:szCs w:val="21"/>
          <w:highlight w:val="none"/>
        </w:rPr>
      </w:pPr>
    </w:p>
    <w:p w14:paraId="357F7A30">
      <w:pPr>
        <w:snapToGrid w:val="0"/>
        <w:spacing w:before="50" w:after="120" w:afterLines="5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法定代表人身份证明</w:t>
      </w:r>
    </w:p>
    <w:p w14:paraId="22FE0744">
      <w:pPr>
        <w:adjustRightInd w:val="0"/>
        <w:spacing w:line="360" w:lineRule="auto"/>
        <w:jc w:val="left"/>
        <w:rPr>
          <w:rFonts w:hint="eastAsia" w:asciiTheme="minorEastAsia" w:hAnsiTheme="minorEastAsia" w:eastAsiaTheme="minorEastAsia" w:cstheme="minorEastAsia"/>
          <w:b/>
          <w:color w:val="auto"/>
          <w:szCs w:val="21"/>
          <w:highlight w:val="none"/>
        </w:rPr>
      </w:pPr>
    </w:p>
    <w:p w14:paraId="3A4CC015">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单位名称：</w:t>
      </w:r>
      <w:r>
        <w:rPr>
          <w:rFonts w:hint="eastAsia" w:asciiTheme="minorEastAsia" w:hAnsiTheme="minorEastAsia" w:eastAsiaTheme="minorEastAsia" w:cstheme="minorEastAsia"/>
          <w:color w:val="auto"/>
          <w:szCs w:val="21"/>
          <w:highlight w:val="none"/>
          <w:u w:val="single"/>
        </w:rPr>
        <w:t xml:space="preserve">                                                                     </w:t>
      </w:r>
    </w:p>
    <w:p w14:paraId="66D43E4E">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r>
        <w:rPr>
          <w:rFonts w:hint="eastAsia" w:asciiTheme="minorEastAsia" w:hAnsiTheme="minorEastAsia" w:eastAsiaTheme="minorEastAsia" w:cstheme="minorEastAsia"/>
          <w:color w:val="auto"/>
          <w:szCs w:val="21"/>
          <w:highlight w:val="none"/>
          <w:u w:val="single"/>
        </w:rPr>
        <w:t xml:space="preserve">                                                                     </w:t>
      </w:r>
    </w:p>
    <w:p w14:paraId="2B0FE68B">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    名：</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性    别：</w:t>
      </w:r>
      <w:r>
        <w:rPr>
          <w:rFonts w:hint="eastAsia" w:asciiTheme="minorEastAsia" w:hAnsiTheme="minorEastAsia" w:eastAsiaTheme="minorEastAsia" w:cstheme="minorEastAsia"/>
          <w:color w:val="auto"/>
          <w:szCs w:val="21"/>
          <w:highlight w:val="none"/>
          <w:u w:val="single"/>
        </w:rPr>
        <w:t xml:space="preserve">                            </w:t>
      </w:r>
    </w:p>
    <w:p w14:paraId="2A7ED43E">
      <w:pPr>
        <w:spacing w:line="44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年    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职    务：</w:t>
      </w:r>
      <w:r>
        <w:rPr>
          <w:rFonts w:hint="eastAsia" w:asciiTheme="minorEastAsia" w:hAnsiTheme="minorEastAsia" w:eastAsiaTheme="minorEastAsia" w:cstheme="minorEastAsia"/>
          <w:color w:val="auto"/>
          <w:szCs w:val="21"/>
          <w:highlight w:val="none"/>
          <w:u w:val="single"/>
        </w:rPr>
        <w:t xml:space="preserve">                            </w:t>
      </w:r>
    </w:p>
    <w:p w14:paraId="6859C70D">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身份证号码：</w:t>
      </w:r>
      <w:r>
        <w:rPr>
          <w:rFonts w:hint="eastAsia" w:asciiTheme="minorEastAsia" w:hAnsiTheme="minorEastAsia" w:eastAsiaTheme="minorEastAsia" w:cstheme="minorEastAsia"/>
          <w:color w:val="auto"/>
          <w:szCs w:val="21"/>
          <w:highlight w:val="none"/>
          <w:u w:val="single"/>
        </w:rPr>
        <w:t xml:space="preserve">                                                                   </w:t>
      </w:r>
    </w:p>
    <w:p w14:paraId="5D4421AE">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系</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（投标人名称）的法定代表人，为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（项目编号、项目名称）项目，签署上述项目的投标文件，进行合同谈判、签署合同和处理与之有关的一切事宜。</w:t>
      </w:r>
    </w:p>
    <w:p w14:paraId="0A83F70F">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特此证明。</w:t>
      </w:r>
    </w:p>
    <w:p w14:paraId="33DB7095">
      <w:pPr>
        <w:spacing w:line="440" w:lineRule="exact"/>
        <w:rPr>
          <w:rFonts w:hint="eastAsia" w:asciiTheme="minorEastAsia" w:hAnsiTheme="minorEastAsia" w:eastAsiaTheme="minorEastAsia" w:cstheme="minorEastAsia"/>
          <w:color w:val="auto"/>
          <w:szCs w:val="21"/>
          <w:highlight w:val="none"/>
        </w:rPr>
      </w:pPr>
    </w:p>
    <w:p w14:paraId="302168F7">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后附法定代表人身份证正反面复印件，加盖公章。</w:t>
      </w:r>
    </w:p>
    <w:p w14:paraId="0AFBBFF2">
      <w:pPr>
        <w:spacing w:line="440" w:lineRule="exact"/>
        <w:rPr>
          <w:rFonts w:hint="eastAsia" w:asciiTheme="minorEastAsia" w:hAnsiTheme="minorEastAsia" w:eastAsiaTheme="minorEastAsia" w:cstheme="minorEastAsia"/>
          <w:color w:val="auto"/>
          <w:szCs w:val="21"/>
          <w:highlight w:val="none"/>
        </w:rPr>
      </w:pPr>
    </w:p>
    <w:p w14:paraId="7D0DC906">
      <w:pPr>
        <w:spacing w:line="440" w:lineRule="exact"/>
        <w:rPr>
          <w:rFonts w:hint="eastAsia" w:asciiTheme="minorEastAsia" w:hAnsiTheme="minorEastAsia" w:eastAsiaTheme="minorEastAsia" w:cstheme="minorEastAsia"/>
          <w:color w:val="auto"/>
          <w:szCs w:val="21"/>
          <w:highlight w:val="none"/>
        </w:rPr>
      </w:pPr>
    </w:p>
    <w:p w14:paraId="7A57ED0E">
      <w:pPr>
        <w:spacing w:line="440" w:lineRule="exact"/>
        <w:rPr>
          <w:rFonts w:hint="eastAsia" w:asciiTheme="minorEastAsia" w:hAnsiTheme="minorEastAsia" w:eastAsiaTheme="minorEastAsia" w:cstheme="minorEastAsia"/>
          <w:color w:val="auto"/>
          <w:szCs w:val="21"/>
          <w:highlight w:val="none"/>
        </w:rPr>
      </w:pPr>
    </w:p>
    <w:p w14:paraId="5E8511CE">
      <w:pPr>
        <w:spacing w:line="440" w:lineRule="exact"/>
        <w:rPr>
          <w:rFonts w:hint="eastAsia" w:asciiTheme="minorEastAsia" w:hAnsiTheme="minorEastAsia" w:eastAsiaTheme="minorEastAsia" w:cstheme="minorEastAsia"/>
          <w:color w:val="auto"/>
          <w:szCs w:val="21"/>
          <w:highlight w:val="none"/>
        </w:rPr>
      </w:pPr>
    </w:p>
    <w:p w14:paraId="34B44FE3">
      <w:pPr>
        <w:spacing w:line="440" w:lineRule="exact"/>
        <w:rPr>
          <w:rFonts w:hint="eastAsia" w:asciiTheme="minorEastAsia" w:hAnsiTheme="minorEastAsia" w:eastAsiaTheme="minorEastAsia" w:cstheme="minorEastAsia"/>
          <w:color w:val="auto"/>
          <w:szCs w:val="21"/>
          <w:highlight w:val="none"/>
        </w:rPr>
      </w:pPr>
    </w:p>
    <w:p w14:paraId="0950199D">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投标人全称（公章）：</w:t>
      </w:r>
    </w:p>
    <w:p w14:paraId="3EACE8D4">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法定代表人或其授权代表（签字或盖章）：                       </w:t>
      </w:r>
    </w:p>
    <w:p w14:paraId="54E9B3E6">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p>
    <w:p w14:paraId="5D5F583B">
      <w:pPr>
        <w:adjustRightInd w:val="0"/>
        <w:spacing w:line="360" w:lineRule="auto"/>
        <w:jc w:val="left"/>
        <w:rPr>
          <w:rFonts w:hint="eastAsia" w:asciiTheme="minorEastAsia" w:hAnsiTheme="minorEastAsia" w:eastAsiaTheme="minorEastAsia" w:cstheme="minorEastAsia"/>
          <w:color w:val="auto"/>
          <w:highlight w:val="none"/>
        </w:rPr>
      </w:pPr>
    </w:p>
    <w:p w14:paraId="58C96BC3">
      <w:pPr>
        <w:adjustRightInd w:val="0"/>
        <w:spacing w:line="360" w:lineRule="auto"/>
        <w:jc w:val="left"/>
        <w:rPr>
          <w:rFonts w:hint="eastAsia" w:asciiTheme="minorEastAsia" w:hAnsiTheme="minorEastAsia" w:eastAsiaTheme="minorEastAsia" w:cstheme="minorEastAsia"/>
          <w:color w:val="auto"/>
          <w:highlight w:val="none"/>
        </w:rPr>
      </w:pPr>
    </w:p>
    <w:p w14:paraId="755C9812">
      <w:pPr>
        <w:snapToGrid w:val="0"/>
        <w:spacing w:before="120" w:beforeLines="50" w:after="50"/>
        <w:rPr>
          <w:rFonts w:hint="eastAsia" w:asciiTheme="minorEastAsia" w:hAnsiTheme="minorEastAsia" w:eastAsiaTheme="minorEastAsia" w:cstheme="minorEastAsia"/>
          <w:b/>
          <w:color w:val="auto"/>
          <w:szCs w:val="21"/>
          <w:highlight w:val="none"/>
        </w:rPr>
      </w:pPr>
    </w:p>
    <w:p w14:paraId="016BA2DA">
      <w:pPr>
        <w:snapToGrid w:val="0"/>
        <w:spacing w:before="120" w:beforeLines="50" w:after="5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br w:type="page"/>
      </w:r>
      <w:bookmarkStart w:id="112" w:name="_Toc29337"/>
      <w:r>
        <w:rPr>
          <w:rFonts w:hint="eastAsia" w:asciiTheme="minorEastAsia" w:hAnsiTheme="minorEastAsia" w:eastAsiaTheme="minorEastAsia" w:cstheme="minorEastAsia"/>
          <w:b/>
          <w:color w:val="auto"/>
          <w:szCs w:val="21"/>
          <w:highlight w:val="none"/>
        </w:rPr>
        <w:t>法定代表人授权委托书</w:t>
      </w:r>
      <w:bookmarkEnd w:id="112"/>
    </w:p>
    <w:p w14:paraId="48797B0D">
      <w:pPr>
        <w:snapToGrid w:val="0"/>
        <w:spacing w:before="120" w:beforeLines="50" w:after="50"/>
        <w:rPr>
          <w:rFonts w:hint="eastAsia" w:asciiTheme="minorEastAsia" w:hAnsiTheme="minorEastAsia" w:eastAsiaTheme="minorEastAsia" w:cstheme="minorEastAsia"/>
          <w:bCs/>
          <w:color w:val="auto"/>
          <w:szCs w:val="21"/>
          <w:highlight w:val="none"/>
        </w:rPr>
      </w:pPr>
    </w:p>
    <w:p w14:paraId="66880C24">
      <w:pPr>
        <w:snapToGrid w:val="0"/>
        <w:spacing w:line="440" w:lineRule="exac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Cs/>
          <w:color w:val="auto"/>
          <w:szCs w:val="21"/>
          <w:highlight w:val="none"/>
        </w:rPr>
        <w:t>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（招标人或招标代理机构）</w:t>
      </w:r>
      <w:r>
        <w:rPr>
          <w:rFonts w:hint="eastAsia" w:asciiTheme="minorEastAsia" w:hAnsiTheme="minorEastAsia" w:eastAsiaTheme="minorEastAsia" w:cstheme="minorEastAsia"/>
          <w:b/>
          <w:bCs/>
          <w:color w:val="auto"/>
          <w:szCs w:val="21"/>
          <w:highlight w:val="none"/>
        </w:rPr>
        <w:t xml:space="preserve"> </w:t>
      </w:r>
    </w:p>
    <w:p w14:paraId="1074484B">
      <w:pPr>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我</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（姓名）系</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（投标人名称）的法定代表人，现授权委托本单位在职职工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（姓名）以我方的名义参加</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项目（项目编号：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）的投标活动，并代表我方全权办理针对上述项目的投标、开标、评标、签约等具体事务和签署相关文件。</w:t>
      </w:r>
    </w:p>
    <w:p w14:paraId="30A84E2B">
      <w:pPr>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我方对被授权人的签名事项负全部责任。</w:t>
      </w:r>
    </w:p>
    <w:p w14:paraId="50B24364">
      <w:pPr>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在撤销授权的书面通知以前，本授权书一直有效。</w:t>
      </w:r>
      <w:r>
        <w:rPr>
          <w:rFonts w:hint="eastAsia" w:asciiTheme="minorEastAsia" w:hAnsiTheme="minorEastAsia" w:eastAsiaTheme="minorEastAsia" w:cstheme="minorEastAsia"/>
          <w:color w:val="auto"/>
          <w:szCs w:val="21"/>
          <w:highlight w:val="none"/>
        </w:rPr>
        <w:t>被授权人在授权书有效期内签署的所有文件不因授权的撤销而失效。</w:t>
      </w:r>
    </w:p>
    <w:p w14:paraId="5FA0358E">
      <w:pPr>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被授权人无转委托权，特此委托。</w:t>
      </w:r>
    </w:p>
    <w:p w14:paraId="7E70C754">
      <w:pPr>
        <w:snapToGrid w:val="0"/>
        <w:spacing w:line="440" w:lineRule="exact"/>
        <w:ind w:firstLine="420" w:firstLineChars="200"/>
        <w:rPr>
          <w:rFonts w:hint="eastAsia" w:asciiTheme="minorEastAsia" w:hAnsiTheme="minorEastAsia" w:eastAsiaTheme="minorEastAsia" w:cstheme="minorEastAsia"/>
          <w:color w:val="auto"/>
          <w:szCs w:val="21"/>
          <w:highlight w:val="none"/>
        </w:rPr>
      </w:pPr>
    </w:p>
    <w:p w14:paraId="364F1D7E">
      <w:pPr>
        <w:snapToGrid w:val="0"/>
        <w:spacing w:line="44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授权代表签名：</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法定代表人签名：</w:t>
      </w:r>
      <w:r>
        <w:rPr>
          <w:rFonts w:hint="eastAsia" w:asciiTheme="minorEastAsia" w:hAnsiTheme="minorEastAsia" w:eastAsiaTheme="minorEastAsia" w:cstheme="minorEastAsia"/>
          <w:color w:val="auto"/>
          <w:szCs w:val="21"/>
          <w:highlight w:val="none"/>
          <w:u w:val="single"/>
        </w:rPr>
        <w:t xml:space="preserve">          </w:t>
      </w:r>
    </w:p>
    <w:p w14:paraId="342A9F49">
      <w:pPr>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职务：</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职务：</w:t>
      </w:r>
      <w:r>
        <w:rPr>
          <w:rFonts w:hint="eastAsia" w:asciiTheme="minorEastAsia" w:hAnsiTheme="minorEastAsia" w:eastAsiaTheme="minorEastAsia" w:cstheme="minorEastAsia"/>
          <w:color w:val="auto"/>
          <w:szCs w:val="21"/>
          <w:highlight w:val="none"/>
          <w:u w:val="single"/>
        </w:rPr>
        <w:t xml:space="preserve">           </w:t>
      </w:r>
    </w:p>
    <w:p w14:paraId="683A5A80">
      <w:pPr>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授权代表身份证号码：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470E9C67">
      <w:pPr>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7C56C42D">
      <w:pPr>
        <w:snapToGrid w:val="0"/>
        <w:spacing w:line="440" w:lineRule="exact"/>
        <w:ind w:firstLine="3780" w:firstLineChars="18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pacing w:val="-4"/>
          <w:szCs w:val="21"/>
          <w:highlight w:val="none"/>
        </w:rPr>
        <w:t>投标人（盖章）：</w:t>
      </w:r>
    </w:p>
    <w:p w14:paraId="29EB431A">
      <w:pPr>
        <w:snapToGrid w:val="0"/>
        <w:spacing w:line="440" w:lineRule="exact"/>
        <w:ind w:firstLine="420" w:firstLineChars="20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日  期：         </w:t>
      </w:r>
    </w:p>
    <w:p w14:paraId="44BB1AF6">
      <w:pPr>
        <w:snapToGrid w:val="0"/>
        <w:spacing w:line="44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附：法定代表人授权委托书原件、授权代表近开标日一个月的社保缴纳证明材料复印件加盖公章及授权代表的正反面身份证复印件加盖公章。</w:t>
      </w:r>
    </w:p>
    <w:p w14:paraId="4AE4FD71">
      <w:pPr>
        <w:snapToGrid w:val="0"/>
        <w:spacing w:before="120" w:beforeLines="50" w:after="50"/>
        <w:rPr>
          <w:rFonts w:hint="eastAsia" w:asciiTheme="minorEastAsia" w:hAnsiTheme="minorEastAsia" w:eastAsiaTheme="minorEastAsia" w:cstheme="minorEastAsia"/>
          <w:color w:val="auto"/>
          <w:szCs w:val="21"/>
          <w:highlight w:val="none"/>
        </w:rPr>
      </w:pPr>
    </w:p>
    <w:p w14:paraId="002315C3">
      <w:pPr>
        <w:snapToGrid w:val="0"/>
        <w:spacing w:before="120" w:beforeLines="50" w:after="50"/>
        <w:rPr>
          <w:rFonts w:hint="eastAsia" w:asciiTheme="minorEastAsia" w:hAnsiTheme="minorEastAsia" w:eastAsiaTheme="minorEastAsia" w:cstheme="minorEastAsia"/>
          <w:color w:val="auto"/>
          <w:szCs w:val="21"/>
          <w:highlight w:val="none"/>
        </w:rPr>
      </w:pPr>
    </w:p>
    <w:p w14:paraId="04469C22">
      <w:pPr>
        <w:snapToGrid w:val="0"/>
        <w:spacing w:line="360" w:lineRule="auto"/>
        <w:jc w:val="left"/>
        <w:rPr>
          <w:rFonts w:hint="eastAsia" w:asciiTheme="minorEastAsia" w:hAnsiTheme="minorEastAsia" w:eastAsiaTheme="minorEastAsia" w:cstheme="minorEastAsia"/>
          <w:color w:val="auto"/>
          <w:szCs w:val="21"/>
          <w:highlight w:val="none"/>
        </w:rPr>
      </w:pPr>
    </w:p>
    <w:p w14:paraId="430FCD5B">
      <w:pPr>
        <w:snapToGrid w:val="0"/>
        <w:spacing w:line="360" w:lineRule="auto"/>
        <w:jc w:val="left"/>
        <w:rPr>
          <w:rFonts w:hint="eastAsia" w:asciiTheme="minorEastAsia" w:hAnsiTheme="minorEastAsia" w:eastAsiaTheme="minorEastAsia" w:cstheme="minorEastAsia"/>
          <w:color w:val="auto"/>
          <w:szCs w:val="21"/>
          <w:highlight w:val="none"/>
        </w:rPr>
      </w:pPr>
    </w:p>
    <w:p w14:paraId="030B011A">
      <w:pPr>
        <w:snapToGrid w:val="0"/>
        <w:spacing w:line="360" w:lineRule="auto"/>
        <w:jc w:val="left"/>
        <w:rPr>
          <w:rFonts w:hint="eastAsia" w:asciiTheme="minorEastAsia" w:hAnsiTheme="minorEastAsia" w:eastAsiaTheme="minorEastAsia" w:cstheme="minorEastAsia"/>
          <w:color w:val="auto"/>
          <w:szCs w:val="21"/>
          <w:highlight w:val="none"/>
        </w:rPr>
      </w:pPr>
    </w:p>
    <w:p w14:paraId="22484B95">
      <w:pPr>
        <w:snapToGrid w:val="0"/>
        <w:spacing w:before="50" w:after="120" w:afterLines="50"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r>
        <w:rPr>
          <w:rFonts w:hint="eastAsia" w:asciiTheme="minorEastAsia" w:hAnsiTheme="minorEastAsia" w:eastAsiaTheme="minorEastAsia" w:cstheme="minorEastAsia"/>
          <w:b/>
          <w:color w:val="auto"/>
          <w:szCs w:val="21"/>
          <w:highlight w:val="none"/>
        </w:rPr>
        <w:t>七、投标人基本情况表</w:t>
      </w:r>
    </w:p>
    <w:p w14:paraId="65B1705F">
      <w:pPr>
        <w:snapToGrid w:val="0"/>
        <w:spacing w:before="120" w:beforeLines="50" w:after="50"/>
        <w:jc w:val="center"/>
        <w:rPr>
          <w:rFonts w:hint="eastAsia" w:asciiTheme="minorEastAsia" w:hAnsiTheme="minorEastAsia" w:eastAsiaTheme="minorEastAsia" w:cstheme="minorEastAsia"/>
          <w:b/>
          <w:color w:val="auto"/>
          <w:szCs w:val="21"/>
          <w:highlight w:val="none"/>
        </w:rPr>
      </w:pPr>
      <w:bookmarkStart w:id="113" w:name="_Toc21701"/>
      <w:r>
        <w:rPr>
          <w:rFonts w:hint="eastAsia" w:asciiTheme="minorEastAsia" w:hAnsiTheme="minorEastAsia" w:eastAsiaTheme="minorEastAsia" w:cstheme="minorEastAsia"/>
          <w:b/>
          <w:color w:val="auto"/>
          <w:szCs w:val="21"/>
          <w:highlight w:val="none"/>
        </w:rPr>
        <w:t>投标人基本情况表</w:t>
      </w:r>
      <w:bookmarkEnd w:id="113"/>
    </w:p>
    <w:tbl>
      <w:tblPr>
        <w:tblStyle w:val="2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786"/>
        <w:gridCol w:w="290"/>
        <w:gridCol w:w="1271"/>
        <w:gridCol w:w="952"/>
        <w:gridCol w:w="327"/>
        <w:gridCol w:w="1010"/>
        <w:gridCol w:w="169"/>
        <w:gridCol w:w="331"/>
        <w:gridCol w:w="268"/>
        <w:gridCol w:w="1330"/>
      </w:tblGrid>
      <w:tr w14:paraId="5895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794" w:type="dxa"/>
            <w:vAlign w:val="center"/>
          </w:tcPr>
          <w:p w14:paraId="4679625C">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申请人名称</w:t>
            </w:r>
          </w:p>
        </w:tc>
        <w:tc>
          <w:tcPr>
            <w:tcW w:w="6734" w:type="dxa"/>
            <w:gridSpan w:val="10"/>
            <w:vAlign w:val="center"/>
          </w:tcPr>
          <w:p w14:paraId="7741C5C4">
            <w:pPr>
              <w:spacing w:line="440" w:lineRule="exact"/>
              <w:jc w:val="center"/>
              <w:rPr>
                <w:rFonts w:hint="eastAsia" w:asciiTheme="minorEastAsia" w:hAnsiTheme="minorEastAsia" w:eastAsiaTheme="minorEastAsia" w:cstheme="minorEastAsia"/>
                <w:color w:val="auto"/>
                <w:szCs w:val="21"/>
                <w:highlight w:val="none"/>
              </w:rPr>
            </w:pPr>
          </w:p>
        </w:tc>
      </w:tr>
      <w:tr w14:paraId="64EF4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794" w:type="dxa"/>
            <w:vAlign w:val="center"/>
          </w:tcPr>
          <w:p w14:paraId="59560FF0">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注册地址</w:t>
            </w:r>
          </w:p>
        </w:tc>
        <w:tc>
          <w:tcPr>
            <w:tcW w:w="3299" w:type="dxa"/>
            <w:gridSpan w:val="4"/>
            <w:vAlign w:val="center"/>
          </w:tcPr>
          <w:p w14:paraId="1A3B953F">
            <w:pPr>
              <w:spacing w:line="440" w:lineRule="exact"/>
              <w:jc w:val="center"/>
              <w:rPr>
                <w:rFonts w:hint="eastAsia" w:asciiTheme="minorEastAsia" w:hAnsiTheme="minorEastAsia" w:eastAsiaTheme="minorEastAsia" w:cstheme="minorEastAsia"/>
                <w:color w:val="auto"/>
                <w:szCs w:val="21"/>
                <w:highlight w:val="none"/>
              </w:rPr>
            </w:pPr>
          </w:p>
        </w:tc>
        <w:tc>
          <w:tcPr>
            <w:tcW w:w="1506" w:type="dxa"/>
            <w:gridSpan w:val="3"/>
            <w:vAlign w:val="center"/>
          </w:tcPr>
          <w:p w14:paraId="7AD50617">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邮政编码</w:t>
            </w:r>
          </w:p>
        </w:tc>
        <w:tc>
          <w:tcPr>
            <w:tcW w:w="1929" w:type="dxa"/>
            <w:gridSpan w:val="3"/>
            <w:vAlign w:val="center"/>
          </w:tcPr>
          <w:p w14:paraId="2D415CC2">
            <w:pPr>
              <w:spacing w:line="440" w:lineRule="exact"/>
              <w:jc w:val="center"/>
              <w:rPr>
                <w:rFonts w:hint="eastAsia" w:asciiTheme="minorEastAsia" w:hAnsiTheme="minorEastAsia" w:eastAsiaTheme="minorEastAsia" w:cstheme="minorEastAsia"/>
                <w:color w:val="auto"/>
                <w:szCs w:val="21"/>
                <w:highlight w:val="none"/>
              </w:rPr>
            </w:pPr>
          </w:p>
        </w:tc>
      </w:tr>
      <w:tr w14:paraId="79E35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794" w:type="dxa"/>
            <w:vMerge w:val="restart"/>
            <w:vAlign w:val="center"/>
          </w:tcPr>
          <w:p w14:paraId="77A80FBD">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联系方式</w:t>
            </w:r>
          </w:p>
        </w:tc>
        <w:tc>
          <w:tcPr>
            <w:tcW w:w="1076" w:type="dxa"/>
            <w:gridSpan w:val="2"/>
            <w:vAlign w:val="center"/>
          </w:tcPr>
          <w:p w14:paraId="46509171">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联系人</w:t>
            </w:r>
          </w:p>
        </w:tc>
        <w:tc>
          <w:tcPr>
            <w:tcW w:w="2223" w:type="dxa"/>
            <w:gridSpan w:val="2"/>
            <w:vAlign w:val="center"/>
          </w:tcPr>
          <w:p w14:paraId="0A33B8F1">
            <w:pPr>
              <w:spacing w:line="440" w:lineRule="exact"/>
              <w:jc w:val="center"/>
              <w:rPr>
                <w:rFonts w:hint="eastAsia" w:asciiTheme="minorEastAsia" w:hAnsiTheme="minorEastAsia" w:eastAsiaTheme="minorEastAsia" w:cstheme="minorEastAsia"/>
                <w:color w:val="auto"/>
                <w:szCs w:val="21"/>
                <w:highlight w:val="none"/>
              </w:rPr>
            </w:pPr>
          </w:p>
        </w:tc>
        <w:tc>
          <w:tcPr>
            <w:tcW w:w="1506" w:type="dxa"/>
            <w:gridSpan w:val="3"/>
            <w:vAlign w:val="center"/>
          </w:tcPr>
          <w:p w14:paraId="6FFEA392">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p>
        </w:tc>
        <w:tc>
          <w:tcPr>
            <w:tcW w:w="1929" w:type="dxa"/>
            <w:gridSpan w:val="3"/>
            <w:vAlign w:val="center"/>
          </w:tcPr>
          <w:p w14:paraId="033C588A">
            <w:pPr>
              <w:spacing w:line="440" w:lineRule="exact"/>
              <w:jc w:val="center"/>
              <w:rPr>
                <w:rFonts w:hint="eastAsia" w:asciiTheme="minorEastAsia" w:hAnsiTheme="minorEastAsia" w:eastAsiaTheme="minorEastAsia" w:cstheme="minorEastAsia"/>
                <w:color w:val="auto"/>
                <w:szCs w:val="21"/>
                <w:highlight w:val="none"/>
              </w:rPr>
            </w:pPr>
          </w:p>
        </w:tc>
      </w:tr>
      <w:tr w14:paraId="6FF07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794" w:type="dxa"/>
            <w:vMerge w:val="continue"/>
            <w:vAlign w:val="center"/>
          </w:tcPr>
          <w:p w14:paraId="43E0F682">
            <w:pPr>
              <w:spacing w:line="440" w:lineRule="exact"/>
              <w:jc w:val="center"/>
              <w:rPr>
                <w:rFonts w:hint="eastAsia" w:asciiTheme="minorEastAsia" w:hAnsiTheme="minorEastAsia" w:eastAsiaTheme="minorEastAsia" w:cstheme="minorEastAsia"/>
                <w:color w:val="auto"/>
                <w:szCs w:val="21"/>
                <w:highlight w:val="none"/>
              </w:rPr>
            </w:pPr>
          </w:p>
        </w:tc>
        <w:tc>
          <w:tcPr>
            <w:tcW w:w="1076" w:type="dxa"/>
            <w:gridSpan w:val="2"/>
            <w:vAlign w:val="center"/>
          </w:tcPr>
          <w:p w14:paraId="434AD7FC">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p>
        </w:tc>
        <w:tc>
          <w:tcPr>
            <w:tcW w:w="2223" w:type="dxa"/>
            <w:gridSpan w:val="2"/>
            <w:vAlign w:val="center"/>
          </w:tcPr>
          <w:p w14:paraId="0A13AC8E">
            <w:pPr>
              <w:spacing w:line="440" w:lineRule="exact"/>
              <w:jc w:val="center"/>
              <w:rPr>
                <w:rFonts w:hint="eastAsia" w:asciiTheme="minorEastAsia" w:hAnsiTheme="minorEastAsia" w:eastAsiaTheme="minorEastAsia" w:cstheme="minorEastAsia"/>
                <w:color w:val="auto"/>
                <w:szCs w:val="21"/>
                <w:highlight w:val="none"/>
              </w:rPr>
            </w:pPr>
          </w:p>
        </w:tc>
        <w:tc>
          <w:tcPr>
            <w:tcW w:w="1506" w:type="dxa"/>
            <w:gridSpan w:val="3"/>
            <w:vAlign w:val="center"/>
          </w:tcPr>
          <w:p w14:paraId="46AA82E0">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网址</w:t>
            </w:r>
          </w:p>
        </w:tc>
        <w:tc>
          <w:tcPr>
            <w:tcW w:w="1929" w:type="dxa"/>
            <w:gridSpan w:val="3"/>
            <w:vAlign w:val="center"/>
          </w:tcPr>
          <w:p w14:paraId="77D66EDB">
            <w:pPr>
              <w:spacing w:line="440" w:lineRule="exact"/>
              <w:jc w:val="center"/>
              <w:rPr>
                <w:rFonts w:hint="eastAsia" w:asciiTheme="minorEastAsia" w:hAnsiTheme="minorEastAsia" w:eastAsiaTheme="minorEastAsia" w:cstheme="minorEastAsia"/>
                <w:color w:val="auto"/>
                <w:szCs w:val="21"/>
                <w:highlight w:val="none"/>
              </w:rPr>
            </w:pPr>
          </w:p>
        </w:tc>
      </w:tr>
      <w:tr w14:paraId="363A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794" w:type="dxa"/>
            <w:vAlign w:val="center"/>
          </w:tcPr>
          <w:p w14:paraId="487D0107">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组织结构</w:t>
            </w:r>
          </w:p>
        </w:tc>
        <w:tc>
          <w:tcPr>
            <w:tcW w:w="6734" w:type="dxa"/>
            <w:gridSpan w:val="10"/>
            <w:vAlign w:val="center"/>
          </w:tcPr>
          <w:p w14:paraId="3E11749D">
            <w:pPr>
              <w:spacing w:line="440" w:lineRule="exact"/>
              <w:jc w:val="center"/>
              <w:rPr>
                <w:rFonts w:hint="eastAsia" w:asciiTheme="minorEastAsia" w:hAnsiTheme="minorEastAsia" w:eastAsiaTheme="minorEastAsia" w:cstheme="minorEastAsia"/>
                <w:color w:val="auto"/>
                <w:szCs w:val="21"/>
                <w:highlight w:val="none"/>
              </w:rPr>
            </w:pPr>
          </w:p>
        </w:tc>
      </w:tr>
      <w:tr w14:paraId="56E8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794" w:type="dxa"/>
            <w:vAlign w:val="center"/>
          </w:tcPr>
          <w:p w14:paraId="1FC69143">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w:t>
            </w:r>
          </w:p>
        </w:tc>
        <w:tc>
          <w:tcPr>
            <w:tcW w:w="786" w:type="dxa"/>
            <w:vAlign w:val="center"/>
          </w:tcPr>
          <w:p w14:paraId="4B7295C5">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p>
        </w:tc>
        <w:tc>
          <w:tcPr>
            <w:tcW w:w="1561" w:type="dxa"/>
            <w:gridSpan w:val="2"/>
            <w:vAlign w:val="center"/>
          </w:tcPr>
          <w:p w14:paraId="0C4A6168">
            <w:pPr>
              <w:spacing w:line="440" w:lineRule="exact"/>
              <w:jc w:val="center"/>
              <w:rPr>
                <w:rFonts w:hint="eastAsia" w:asciiTheme="minorEastAsia" w:hAnsiTheme="minorEastAsia" w:eastAsiaTheme="minorEastAsia" w:cstheme="minorEastAsia"/>
                <w:color w:val="auto"/>
                <w:szCs w:val="21"/>
                <w:highlight w:val="none"/>
              </w:rPr>
            </w:pPr>
          </w:p>
        </w:tc>
        <w:tc>
          <w:tcPr>
            <w:tcW w:w="1279" w:type="dxa"/>
            <w:gridSpan w:val="2"/>
            <w:vAlign w:val="center"/>
          </w:tcPr>
          <w:p w14:paraId="47C78F4A">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技术职称</w:t>
            </w:r>
          </w:p>
        </w:tc>
        <w:tc>
          <w:tcPr>
            <w:tcW w:w="1010" w:type="dxa"/>
            <w:vAlign w:val="center"/>
          </w:tcPr>
          <w:p w14:paraId="2B600F13">
            <w:pPr>
              <w:spacing w:line="440" w:lineRule="exact"/>
              <w:jc w:val="center"/>
              <w:rPr>
                <w:rFonts w:hint="eastAsia" w:asciiTheme="minorEastAsia" w:hAnsiTheme="minorEastAsia" w:eastAsiaTheme="minorEastAsia" w:cstheme="minorEastAsia"/>
                <w:color w:val="auto"/>
                <w:szCs w:val="21"/>
                <w:highlight w:val="none"/>
              </w:rPr>
            </w:pPr>
          </w:p>
        </w:tc>
        <w:tc>
          <w:tcPr>
            <w:tcW w:w="768" w:type="dxa"/>
            <w:gridSpan w:val="3"/>
            <w:vAlign w:val="center"/>
          </w:tcPr>
          <w:p w14:paraId="7FB6F505">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p>
        </w:tc>
        <w:tc>
          <w:tcPr>
            <w:tcW w:w="1330" w:type="dxa"/>
            <w:vAlign w:val="center"/>
          </w:tcPr>
          <w:p w14:paraId="04ED891D">
            <w:pPr>
              <w:spacing w:line="440" w:lineRule="exact"/>
              <w:jc w:val="center"/>
              <w:rPr>
                <w:rFonts w:hint="eastAsia" w:asciiTheme="minorEastAsia" w:hAnsiTheme="minorEastAsia" w:eastAsiaTheme="minorEastAsia" w:cstheme="minorEastAsia"/>
                <w:color w:val="auto"/>
                <w:szCs w:val="21"/>
                <w:highlight w:val="none"/>
              </w:rPr>
            </w:pPr>
          </w:p>
        </w:tc>
      </w:tr>
      <w:tr w14:paraId="1EFC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794" w:type="dxa"/>
            <w:vAlign w:val="center"/>
          </w:tcPr>
          <w:p w14:paraId="3C645AD0">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技术负责人</w:t>
            </w:r>
          </w:p>
        </w:tc>
        <w:tc>
          <w:tcPr>
            <w:tcW w:w="786" w:type="dxa"/>
            <w:vAlign w:val="center"/>
          </w:tcPr>
          <w:p w14:paraId="750AD6FA">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p>
        </w:tc>
        <w:tc>
          <w:tcPr>
            <w:tcW w:w="1561" w:type="dxa"/>
            <w:gridSpan w:val="2"/>
            <w:vAlign w:val="center"/>
          </w:tcPr>
          <w:p w14:paraId="0E70487D">
            <w:pPr>
              <w:spacing w:line="440" w:lineRule="exact"/>
              <w:jc w:val="center"/>
              <w:rPr>
                <w:rFonts w:hint="eastAsia" w:asciiTheme="minorEastAsia" w:hAnsiTheme="minorEastAsia" w:eastAsiaTheme="minorEastAsia" w:cstheme="minorEastAsia"/>
                <w:color w:val="auto"/>
                <w:szCs w:val="21"/>
                <w:highlight w:val="none"/>
              </w:rPr>
            </w:pPr>
          </w:p>
        </w:tc>
        <w:tc>
          <w:tcPr>
            <w:tcW w:w="1279" w:type="dxa"/>
            <w:gridSpan w:val="2"/>
            <w:vAlign w:val="center"/>
          </w:tcPr>
          <w:p w14:paraId="030AC81E">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技术职称</w:t>
            </w:r>
          </w:p>
        </w:tc>
        <w:tc>
          <w:tcPr>
            <w:tcW w:w="1010" w:type="dxa"/>
            <w:vAlign w:val="center"/>
          </w:tcPr>
          <w:p w14:paraId="38DDB844">
            <w:pPr>
              <w:spacing w:line="440" w:lineRule="exact"/>
              <w:jc w:val="center"/>
              <w:rPr>
                <w:rFonts w:hint="eastAsia" w:asciiTheme="minorEastAsia" w:hAnsiTheme="minorEastAsia" w:eastAsiaTheme="minorEastAsia" w:cstheme="minorEastAsia"/>
                <w:color w:val="auto"/>
                <w:szCs w:val="21"/>
                <w:highlight w:val="none"/>
              </w:rPr>
            </w:pPr>
          </w:p>
        </w:tc>
        <w:tc>
          <w:tcPr>
            <w:tcW w:w="768" w:type="dxa"/>
            <w:gridSpan w:val="3"/>
            <w:vAlign w:val="center"/>
          </w:tcPr>
          <w:p w14:paraId="638EDAE1">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p>
        </w:tc>
        <w:tc>
          <w:tcPr>
            <w:tcW w:w="1330" w:type="dxa"/>
            <w:vAlign w:val="center"/>
          </w:tcPr>
          <w:p w14:paraId="2424E47F">
            <w:pPr>
              <w:spacing w:line="440" w:lineRule="exact"/>
              <w:jc w:val="center"/>
              <w:rPr>
                <w:rFonts w:hint="eastAsia" w:asciiTheme="minorEastAsia" w:hAnsiTheme="minorEastAsia" w:eastAsiaTheme="minorEastAsia" w:cstheme="minorEastAsia"/>
                <w:color w:val="auto"/>
                <w:szCs w:val="21"/>
                <w:highlight w:val="none"/>
              </w:rPr>
            </w:pPr>
          </w:p>
        </w:tc>
      </w:tr>
      <w:tr w14:paraId="349D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794" w:type="dxa"/>
            <w:vAlign w:val="center"/>
          </w:tcPr>
          <w:p w14:paraId="60F672F9">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成立时间</w:t>
            </w:r>
          </w:p>
        </w:tc>
        <w:tc>
          <w:tcPr>
            <w:tcW w:w="2347" w:type="dxa"/>
            <w:gridSpan w:val="3"/>
            <w:vAlign w:val="center"/>
          </w:tcPr>
          <w:p w14:paraId="4164D81A">
            <w:pPr>
              <w:spacing w:line="440" w:lineRule="exact"/>
              <w:jc w:val="center"/>
              <w:rPr>
                <w:rFonts w:hint="eastAsia" w:asciiTheme="minorEastAsia" w:hAnsiTheme="minorEastAsia" w:eastAsiaTheme="minorEastAsia" w:cstheme="minorEastAsia"/>
                <w:color w:val="auto"/>
                <w:szCs w:val="21"/>
                <w:highlight w:val="none"/>
              </w:rPr>
            </w:pPr>
          </w:p>
        </w:tc>
        <w:tc>
          <w:tcPr>
            <w:tcW w:w="4387" w:type="dxa"/>
            <w:gridSpan w:val="7"/>
            <w:vAlign w:val="center"/>
          </w:tcPr>
          <w:p w14:paraId="0BAF87F1">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员工总人数：</w:t>
            </w:r>
          </w:p>
        </w:tc>
      </w:tr>
      <w:tr w14:paraId="73429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794" w:type="dxa"/>
            <w:vAlign w:val="center"/>
          </w:tcPr>
          <w:p w14:paraId="0E3F9A69">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营业执照号</w:t>
            </w:r>
          </w:p>
        </w:tc>
        <w:tc>
          <w:tcPr>
            <w:tcW w:w="2347" w:type="dxa"/>
            <w:gridSpan w:val="3"/>
            <w:vAlign w:val="center"/>
          </w:tcPr>
          <w:p w14:paraId="282DCCBB">
            <w:pPr>
              <w:spacing w:line="440" w:lineRule="exact"/>
              <w:jc w:val="center"/>
              <w:rPr>
                <w:rFonts w:hint="eastAsia" w:asciiTheme="minorEastAsia" w:hAnsiTheme="minorEastAsia" w:eastAsiaTheme="minorEastAsia" w:cstheme="minorEastAsia"/>
                <w:color w:val="auto"/>
                <w:szCs w:val="21"/>
                <w:highlight w:val="none"/>
              </w:rPr>
            </w:pPr>
          </w:p>
        </w:tc>
        <w:tc>
          <w:tcPr>
            <w:tcW w:w="952" w:type="dxa"/>
            <w:vMerge w:val="restart"/>
            <w:vAlign w:val="center"/>
          </w:tcPr>
          <w:p w14:paraId="06F26251">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其中</w:t>
            </w:r>
          </w:p>
        </w:tc>
        <w:tc>
          <w:tcPr>
            <w:tcW w:w="1837" w:type="dxa"/>
            <w:gridSpan w:val="4"/>
            <w:vAlign w:val="center"/>
          </w:tcPr>
          <w:p w14:paraId="478E25DC">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高级职称人员</w:t>
            </w:r>
          </w:p>
        </w:tc>
        <w:tc>
          <w:tcPr>
            <w:tcW w:w="1598" w:type="dxa"/>
            <w:gridSpan w:val="2"/>
            <w:vAlign w:val="center"/>
          </w:tcPr>
          <w:p w14:paraId="20C3F047">
            <w:pPr>
              <w:spacing w:line="440" w:lineRule="exact"/>
              <w:jc w:val="center"/>
              <w:rPr>
                <w:rFonts w:hint="eastAsia" w:asciiTheme="minorEastAsia" w:hAnsiTheme="minorEastAsia" w:eastAsiaTheme="minorEastAsia" w:cstheme="minorEastAsia"/>
                <w:color w:val="auto"/>
                <w:szCs w:val="21"/>
                <w:highlight w:val="none"/>
              </w:rPr>
            </w:pPr>
          </w:p>
        </w:tc>
      </w:tr>
      <w:tr w14:paraId="5E024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794" w:type="dxa"/>
            <w:vAlign w:val="center"/>
          </w:tcPr>
          <w:p w14:paraId="2A746FF6">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注册资金（或开办资金）</w:t>
            </w:r>
          </w:p>
        </w:tc>
        <w:tc>
          <w:tcPr>
            <w:tcW w:w="2347" w:type="dxa"/>
            <w:gridSpan w:val="3"/>
            <w:vAlign w:val="center"/>
          </w:tcPr>
          <w:p w14:paraId="7BFB56DC">
            <w:pPr>
              <w:spacing w:line="440" w:lineRule="exact"/>
              <w:jc w:val="center"/>
              <w:rPr>
                <w:rFonts w:hint="eastAsia" w:asciiTheme="minorEastAsia" w:hAnsiTheme="minorEastAsia" w:eastAsiaTheme="minorEastAsia" w:cstheme="minorEastAsia"/>
                <w:color w:val="auto"/>
                <w:szCs w:val="21"/>
                <w:highlight w:val="none"/>
              </w:rPr>
            </w:pPr>
          </w:p>
        </w:tc>
        <w:tc>
          <w:tcPr>
            <w:tcW w:w="952" w:type="dxa"/>
            <w:vMerge w:val="continue"/>
            <w:vAlign w:val="center"/>
          </w:tcPr>
          <w:p w14:paraId="35B33A31">
            <w:pPr>
              <w:spacing w:line="440" w:lineRule="exact"/>
              <w:jc w:val="center"/>
              <w:rPr>
                <w:rFonts w:hint="eastAsia" w:asciiTheme="minorEastAsia" w:hAnsiTheme="minorEastAsia" w:eastAsiaTheme="minorEastAsia" w:cstheme="minorEastAsia"/>
                <w:color w:val="auto"/>
                <w:szCs w:val="21"/>
                <w:highlight w:val="none"/>
              </w:rPr>
            </w:pPr>
          </w:p>
        </w:tc>
        <w:tc>
          <w:tcPr>
            <w:tcW w:w="1837" w:type="dxa"/>
            <w:gridSpan w:val="4"/>
            <w:vAlign w:val="center"/>
          </w:tcPr>
          <w:p w14:paraId="7183C68D">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中级职称人员</w:t>
            </w:r>
          </w:p>
        </w:tc>
        <w:tc>
          <w:tcPr>
            <w:tcW w:w="1598" w:type="dxa"/>
            <w:gridSpan w:val="2"/>
            <w:vAlign w:val="center"/>
          </w:tcPr>
          <w:p w14:paraId="0029A4AA">
            <w:pPr>
              <w:spacing w:line="440" w:lineRule="exact"/>
              <w:jc w:val="center"/>
              <w:rPr>
                <w:rFonts w:hint="eastAsia" w:asciiTheme="minorEastAsia" w:hAnsiTheme="minorEastAsia" w:eastAsiaTheme="minorEastAsia" w:cstheme="minorEastAsia"/>
                <w:color w:val="auto"/>
                <w:szCs w:val="21"/>
                <w:highlight w:val="none"/>
              </w:rPr>
            </w:pPr>
          </w:p>
        </w:tc>
      </w:tr>
      <w:tr w14:paraId="58726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794" w:type="dxa"/>
            <w:vAlign w:val="center"/>
          </w:tcPr>
          <w:p w14:paraId="008FFA91">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p>
        </w:tc>
        <w:tc>
          <w:tcPr>
            <w:tcW w:w="2347" w:type="dxa"/>
            <w:gridSpan w:val="3"/>
            <w:vAlign w:val="center"/>
          </w:tcPr>
          <w:p w14:paraId="2EBE6A14">
            <w:pPr>
              <w:spacing w:line="440" w:lineRule="exact"/>
              <w:jc w:val="center"/>
              <w:rPr>
                <w:rFonts w:hint="eastAsia" w:asciiTheme="minorEastAsia" w:hAnsiTheme="minorEastAsia" w:eastAsiaTheme="minorEastAsia" w:cstheme="minorEastAsia"/>
                <w:color w:val="auto"/>
                <w:szCs w:val="21"/>
                <w:highlight w:val="none"/>
              </w:rPr>
            </w:pPr>
          </w:p>
        </w:tc>
        <w:tc>
          <w:tcPr>
            <w:tcW w:w="952" w:type="dxa"/>
            <w:vMerge w:val="continue"/>
            <w:vAlign w:val="center"/>
          </w:tcPr>
          <w:p w14:paraId="146EF887">
            <w:pPr>
              <w:spacing w:line="440" w:lineRule="exact"/>
              <w:jc w:val="center"/>
              <w:rPr>
                <w:rFonts w:hint="eastAsia" w:asciiTheme="minorEastAsia" w:hAnsiTheme="minorEastAsia" w:eastAsiaTheme="minorEastAsia" w:cstheme="minorEastAsia"/>
                <w:color w:val="auto"/>
                <w:szCs w:val="21"/>
                <w:highlight w:val="none"/>
              </w:rPr>
            </w:pPr>
          </w:p>
        </w:tc>
        <w:tc>
          <w:tcPr>
            <w:tcW w:w="1837" w:type="dxa"/>
            <w:gridSpan w:val="4"/>
            <w:vAlign w:val="center"/>
          </w:tcPr>
          <w:p w14:paraId="75AAE7FA">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初级职称人员</w:t>
            </w:r>
          </w:p>
        </w:tc>
        <w:tc>
          <w:tcPr>
            <w:tcW w:w="1598" w:type="dxa"/>
            <w:gridSpan w:val="2"/>
            <w:vAlign w:val="center"/>
          </w:tcPr>
          <w:p w14:paraId="70030FA1">
            <w:pPr>
              <w:spacing w:line="440" w:lineRule="exact"/>
              <w:jc w:val="center"/>
              <w:rPr>
                <w:rFonts w:hint="eastAsia" w:asciiTheme="minorEastAsia" w:hAnsiTheme="minorEastAsia" w:eastAsiaTheme="minorEastAsia" w:cstheme="minorEastAsia"/>
                <w:color w:val="auto"/>
                <w:szCs w:val="21"/>
                <w:highlight w:val="none"/>
              </w:rPr>
            </w:pPr>
          </w:p>
        </w:tc>
      </w:tr>
      <w:tr w14:paraId="55D5F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794" w:type="dxa"/>
            <w:vAlign w:val="center"/>
          </w:tcPr>
          <w:p w14:paraId="238FA860">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账号</w:t>
            </w:r>
          </w:p>
        </w:tc>
        <w:tc>
          <w:tcPr>
            <w:tcW w:w="2347" w:type="dxa"/>
            <w:gridSpan w:val="3"/>
            <w:vAlign w:val="center"/>
          </w:tcPr>
          <w:p w14:paraId="228CF670">
            <w:pPr>
              <w:spacing w:line="440" w:lineRule="exact"/>
              <w:jc w:val="center"/>
              <w:rPr>
                <w:rFonts w:hint="eastAsia" w:asciiTheme="minorEastAsia" w:hAnsiTheme="minorEastAsia" w:eastAsiaTheme="minorEastAsia" w:cstheme="minorEastAsia"/>
                <w:color w:val="auto"/>
                <w:szCs w:val="21"/>
                <w:highlight w:val="none"/>
              </w:rPr>
            </w:pPr>
          </w:p>
        </w:tc>
        <w:tc>
          <w:tcPr>
            <w:tcW w:w="952" w:type="dxa"/>
            <w:vMerge w:val="continue"/>
            <w:vAlign w:val="center"/>
          </w:tcPr>
          <w:p w14:paraId="5078F892">
            <w:pPr>
              <w:spacing w:line="440" w:lineRule="exact"/>
              <w:jc w:val="center"/>
              <w:rPr>
                <w:rFonts w:hint="eastAsia" w:asciiTheme="minorEastAsia" w:hAnsiTheme="minorEastAsia" w:eastAsiaTheme="minorEastAsia" w:cstheme="minorEastAsia"/>
                <w:color w:val="auto"/>
                <w:szCs w:val="21"/>
                <w:highlight w:val="none"/>
              </w:rPr>
            </w:pPr>
          </w:p>
        </w:tc>
        <w:tc>
          <w:tcPr>
            <w:tcW w:w="1837" w:type="dxa"/>
            <w:gridSpan w:val="4"/>
            <w:vAlign w:val="center"/>
          </w:tcPr>
          <w:p w14:paraId="28E5A33B">
            <w:pPr>
              <w:spacing w:line="440" w:lineRule="exact"/>
              <w:jc w:val="center"/>
              <w:rPr>
                <w:rFonts w:hint="eastAsia" w:asciiTheme="minorEastAsia" w:hAnsiTheme="minorEastAsia" w:eastAsiaTheme="minorEastAsia" w:cstheme="minorEastAsia"/>
                <w:color w:val="auto"/>
                <w:szCs w:val="21"/>
                <w:highlight w:val="none"/>
              </w:rPr>
            </w:pPr>
          </w:p>
        </w:tc>
        <w:tc>
          <w:tcPr>
            <w:tcW w:w="1598" w:type="dxa"/>
            <w:gridSpan w:val="2"/>
            <w:vAlign w:val="center"/>
          </w:tcPr>
          <w:p w14:paraId="3AFE53ED">
            <w:pPr>
              <w:spacing w:line="440" w:lineRule="exact"/>
              <w:jc w:val="center"/>
              <w:rPr>
                <w:rFonts w:hint="eastAsia" w:asciiTheme="minorEastAsia" w:hAnsiTheme="minorEastAsia" w:eastAsiaTheme="minorEastAsia" w:cstheme="minorEastAsia"/>
                <w:color w:val="auto"/>
                <w:szCs w:val="21"/>
                <w:highlight w:val="none"/>
              </w:rPr>
            </w:pPr>
          </w:p>
        </w:tc>
      </w:tr>
      <w:tr w14:paraId="6C8E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1794" w:type="dxa"/>
            <w:vAlign w:val="center"/>
          </w:tcPr>
          <w:p w14:paraId="40A3C182">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经营范围</w:t>
            </w:r>
          </w:p>
        </w:tc>
        <w:tc>
          <w:tcPr>
            <w:tcW w:w="6734" w:type="dxa"/>
            <w:gridSpan w:val="10"/>
            <w:vAlign w:val="center"/>
          </w:tcPr>
          <w:p w14:paraId="519102B2">
            <w:pPr>
              <w:spacing w:line="440" w:lineRule="exact"/>
              <w:rPr>
                <w:rFonts w:hint="eastAsia" w:asciiTheme="minorEastAsia" w:hAnsiTheme="minorEastAsia" w:eastAsiaTheme="minorEastAsia" w:cstheme="minorEastAsia"/>
                <w:color w:val="auto"/>
                <w:szCs w:val="21"/>
                <w:highlight w:val="none"/>
              </w:rPr>
            </w:pPr>
          </w:p>
        </w:tc>
      </w:tr>
      <w:tr w14:paraId="351C2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4" w:type="dxa"/>
            <w:vAlign w:val="center"/>
          </w:tcPr>
          <w:p w14:paraId="649C17EC">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c>
          <w:tcPr>
            <w:tcW w:w="6734" w:type="dxa"/>
            <w:gridSpan w:val="10"/>
            <w:vAlign w:val="center"/>
          </w:tcPr>
          <w:p w14:paraId="3C6FBD08">
            <w:pPr>
              <w:spacing w:line="440" w:lineRule="exact"/>
              <w:jc w:val="center"/>
              <w:rPr>
                <w:rFonts w:hint="eastAsia" w:asciiTheme="minorEastAsia" w:hAnsiTheme="minorEastAsia" w:eastAsiaTheme="minorEastAsia" w:cstheme="minorEastAsia"/>
                <w:color w:val="auto"/>
                <w:szCs w:val="21"/>
                <w:highlight w:val="none"/>
              </w:rPr>
            </w:pPr>
          </w:p>
        </w:tc>
      </w:tr>
    </w:tbl>
    <w:p w14:paraId="7AEA68CF">
      <w:pPr>
        <w:snapToGrid w:val="0"/>
        <w:spacing w:before="50" w:after="120" w:afterLines="50"/>
        <w:jc w:val="left"/>
        <w:rPr>
          <w:rFonts w:hint="eastAsia" w:asciiTheme="minorEastAsia" w:hAnsiTheme="minorEastAsia" w:eastAsiaTheme="minorEastAsia" w:cstheme="minorEastAsia"/>
          <w:color w:val="auto"/>
          <w:szCs w:val="21"/>
          <w:highlight w:val="none"/>
        </w:rPr>
      </w:pPr>
    </w:p>
    <w:p w14:paraId="16492263">
      <w:pPr>
        <w:snapToGrid w:val="0"/>
        <w:spacing w:before="50" w:after="120" w:afterLine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r>
        <w:rPr>
          <w:rFonts w:hint="eastAsia" w:asciiTheme="minorEastAsia" w:hAnsiTheme="minorEastAsia" w:eastAsiaTheme="minorEastAsia" w:cstheme="minorEastAsia"/>
          <w:b/>
          <w:color w:val="auto"/>
          <w:szCs w:val="21"/>
          <w:highlight w:val="none"/>
        </w:rPr>
        <w:t>八、商务需求偏离表</w:t>
      </w:r>
    </w:p>
    <w:p w14:paraId="0DBB7565">
      <w:pPr>
        <w:spacing w:line="360" w:lineRule="auto"/>
        <w:ind w:firstLine="308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Cs w:val="21"/>
          <w:highlight w:val="none"/>
        </w:rPr>
        <w:t>商务需求偏离表</w:t>
      </w:r>
    </w:p>
    <w:p w14:paraId="3DC00A85">
      <w:pPr>
        <w:tabs>
          <w:tab w:val="left" w:pos="3165"/>
        </w:tabs>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项目编号：</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 xml:space="preserve"> </w:t>
      </w: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3117"/>
        <w:gridCol w:w="2503"/>
        <w:gridCol w:w="2637"/>
      </w:tblGrid>
      <w:tr w14:paraId="033DA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trPr>
        <w:tc>
          <w:tcPr>
            <w:tcW w:w="686" w:type="dxa"/>
            <w:vAlign w:val="center"/>
          </w:tcPr>
          <w:p w14:paraId="77B93AFC">
            <w:pPr>
              <w:spacing w:line="440" w:lineRule="exact"/>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序号</w:t>
            </w:r>
          </w:p>
        </w:tc>
        <w:tc>
          <w:tcPr>
            <w:tcW w:w="3119" w:type="dxa"/>
            <w:vAlign w:val="center"/>
          </w:tcPr>
          <w:p w14:paraId="3981016C">
            <w:pPr>
              <w:spacing w:line="440" w:lineRule="exact"/>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招标文件的商务条款内容</w:t>
            </w:r>
          </w:p>
        </w:tc>
        <w:tc>
          <w:tcPr>
            <w:tcW w:w="2504" w:type="dxa"/>
            <w:vAlign w:val="center"/>
          </w:tcPr>
          <w:p w14:paraId="01E4F4D2">
            <w:pPr>
              <w:spacing w:line="440" w:lineRule="exact"/>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投标文件的响应情况</w:t>
            </w:r>
          </w:p>
        </w:tc>
        <w:tc>
          <w:tcPr>
            <w:tcW w:w="2638" w:type="dxa"/>
            <w:vAlign w:val="center"/>
          </w:tcPr>
          <w:p w14:paraId="595EE367">
            <w:pPr>
              <w:spacing w:line="440" w:lineRule="exact"/>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说明（偏离/响应）</w:t>
            </w:r>
          </w:p>
        </w:tc>
      </w:tr>
      <w:tr w14:paraId="0894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686" w:type="dxa"/>
            <w:vAlign w:val="center"/>
          </w:tcPr>
          <w:p w14:paraId="63B00414">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3119" w:type="dxa"/>
            <w:vAlign w:val="center"/>
          </w:tcPr>
          <w:p w14:paraId="0530801D">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付款方式</w:t>
            </w:r>
          </w:p>
        </w:tc>
        <w:tc>
          <w:tcPr>
            <w:tcW w:w="2504" w:type="dxa"/>
            <w:vAlign w:val="center"/>
          </w:tcPr>
          <w:p w14:paraId="4D557B31">
            <w:pPr>
              <w:spacing w:line="440" w:lineRule="exact"/>
              <w:jc w:val="center"/>
              <w:rPr>
                <w:rFonts w:hint="eastAsia" w:asciiTheme="minorEastAsia" w:hAnsiTheme="minorEastAsia" w:eastAsiaTheme="minorEastAsia" w:cstheme="minorEastAsia"/>
                <w:color w:val="auto"/>
                <w:szCs w:val="21"/>
                <w:highlight w:val="none"/>
              </w:rPr>
            </w:pPr>
          </w:p>
        </w:tc>
        <w:tc>
          <w:tcPr>
            <w:tcW w:w="2638" w:type="dxa"/>
            <w:vAlign w:val="center"/>
          </w:tcPr>
          <w:p w14:paraId="244AB66C">
            <w:pPr>
              <w:spacing w:line="440" w:lineRule="exact"/>
              <w:jc w:val="center"/>
              <w:rPr>
                <w:rFonts w:hint="eastAsia" w:asciiTheme="minorEastAsia" w:hAnsiTheme="minorEastAsia" w:eastAsiaTheme="minorEastAsia" w:cstheme="minorEastAsia"/>
                <w:color w:val="auto"/>
                <w:szCs w:val="21"/>
                <w:highlight w:val="none"/>
              </w:rPr>
            </w:pPr>
          </w:p>
        </w:tc>
      </w:tr>
      <w:tr w14:paraId="24D5A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686" w:type="dxa"/>
            <w:vAlign w:val="center"/>
          </w:tcPr>
          <w:p w14:paraId="2C1D6331">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3119" w:type="dxa"/>
            <w:vAlign w:val="center"/>
          </w:tcPr>
          <w:p w14:paraId="74F35899">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投标报价及费用</w:t>
            </w:r>
          </w:p>
        </w:tc>
        <w:tc>
          <w:tcPr>
            <w:tcW w:w="2504" w:type="dxa"/>
            <w:vAlign w:val="center"/>
          </w:tcPr>
          <w:p w14:paraId="0E089984">
            <w:pPr>
              <w:spacing w:line="440" w:lineRule="exact"/>
              <w:jc w:val="center"/>
              <w:rPr>
                <w:rFonts w:hint="eastAsia" w:asciiTheme="minorEastAsia" w:hAnsiTheme="minorEastAsia" w:eastAsiaTheme="minorEastAsia" w:cstheme="minorEastAsia"/>
                <w:color w:val="auto"/>
                <w:szCs w:val="21"/>
                <w:highlight w:val="none"/>
              </w:rPr>
            </w:pPr>
          </w:p>
        </w:tc>
        <w:tc>
          <w:tcPr>
            <w:tcW w:w="2638" w:type="dxa"/>
            <w:vAlign w:val="center"/>
          </w:tcPr>
          <w:p w14:paraId="0EF513CD">
            <w:pPr>
              <w:spacing w:line="440" w:lineRule="exact"/>
              <w:jc w:val="center"/>
              <w:rPr>
                <w:rFonts w:hint="eastAsia" w:asciiTheme="minorEastAsia" w:hAnsiTheme="minorEastAsia" w:eastAsiaTheme="minorEastAsia" w:cstheme="minorEastAsia"/>
                <w:color w:val="auto"/>
                <w:szCs w:val="21"/>
                <w:highlight w:val="none"/>
              </w:rPr>
            </w:pPr>
          </w:p>
        </w:tc>
      </w:tr>
      <w:tr w14:paraId="2197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686" w:type="dxa"/>
            <w:vAlign w:val="center"/>
          </w:tcPr>
          <w:p w14:paraId="532C9380">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3119" w:type="dxa"/>
            <w:vAlign w:val="center"/>
          </w:tcPr>
          <w:p w14:paraId="6AAAD935">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投标有效期</w:t>
            </w:r>
          </w:p>
        </w:tc>
        <w:tc>
          <w:tcPr>
            <w:tcW w:w="2504" w:type="dxa"/>
            <w:vAlign w:val="center"/>
          </w:tcPr>
          <w:p w14:paraId="73F5A5B8">
            <w:pPr>
              <w:spacing w:line="440" w:lineRule="exact"/>
              <w:jc w:val="center"/>
              <w:rPr>
                <w:rFonts w:hint="eastAsia" w:asciiTheme="minorEastAsia" w:hAnsiTheme="minorEastAsia" w:eastAsiaTheme="minorEastAsia" w:cstheme="minorEastAsia"/>
                <w:color w:val="auto"/>
                <w:szCs w:val="21"/>
                <w:highlight w:val="none"/>
              </w:rPr>
            </w:pPr>
          </w:p>
        </w:tc>
        <w:tc>
          <w:tcPr>
            <w:tcW w:w="2638" w:type="dxa"/>
            <w:vAlign w:val="center"/>
          </w:tcPr>
          <w:p w14:paraId="3F4240FD">
            <w:pPr>
              <w:spacing w:line="440" w:lineRule="exact"/>
              <w:jc w:val="center"/>
              <w:rPr>
                <w:rFonts w:hint="eastAsia" w:asciiTheme="minorEastAsia" w:hAnsiTheme="minorEastAsia" w:eastAsiaTheme="minorEastAsia" w:cstheme="minorEastAsia"/>
                <w:color w:val="auto"/>
                <w:szCs w:val="21"/>
                <w:highlight w:val="none"/>
              </w:rPr>
            </w:pPr>
          </w:p>
        </w:tc>
      </w:tr>
      <w:tr w14:paraId="570F5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686" w:type="dxa"/>
            <w:vAlign w:val="center"/>
          </w:tcPr>
          <w:p w14:paraId="19D5C235">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3119" w:type="dxa"/>
            <w:vAlign w:val="center"/>
          </w:tcPr>
          <w:p w14:paraId="2513F92D">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投标文件组成</w:t>
            </w:r>
          </w:p>
        </w:tc>
        <w:tc>
          <w:tcPr>
            <w:tcW w:w="2504" w:type="dxa"/>
            <w:vAlign w:val="center"/>
          </w:tcPr>
          <w:p w14:paraId="30F9E21E">
            <w:pPr>
              <w:spacing w:line="440" w:lineRule="exact"/>
              <w:jc w:val="center"/>
              <w:rPr>
                <w:rFonts w:hint="eastAsia" w:asciiTheme="minorEastAsia" w:hAnsiTheme="minorEastAsia" w:eastAsiaTheme="minorEastAsia" w:cstheme="minorEastAsia"/>
                <w:color w:val="auto"/>
                <w:szCs w:val="21"/>
                <w:highlight w:val="none"/>
              </w:rPr>
            </w:pPr>
          </w:p>
        </w:tc>
        <w:tc>
          <w:tcPr>
            <w:tcW w:w="2638" w:type="dxa"/>
            <w:vAlign w:val="center"/>
          </w:tcPr>
          <w:p w14:paraId="1897EB34">
            <w:pPr>
              <w:spacing w:line="440" w:lineRule="exact"/>
              <w:jc w:val="center"/>
              <w:rPr>
                <w:rFonts w:hint="eastAsia" w:asciiTheme="minorEastAsia" w:hAnsiTheme="minorEastAsia" w:eastAsiaTheme="minorEastAsia" w:cstheme="minorEastAsia"/>
                <w:color w:val="auto"/>
                <w:szCs w:val="21"/>
                <w:highlight w:val="none"/>
              </w:rPr>
            </w:pPr>
          </w:p>
        </w:tc>
      </w:tr>
      <w:tr w14:paraId="17B67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686" w:type="dxa"/>
            <w:vAlign w:val="center"/>
          </w:tcPr>
          <w:p w14:paraId="009F69E8">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3119" w:type="dxa"/>
            <w:vAlign w:val="center"/>
          </w:tcPr>
          <w:p w14:paraId="0601D4E6">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招标文件要求的其他商务条款</w:t>
            </w:r>
          </w:p>
        </w:tc>
        <w:tc>
          <w:tcPr>
            <w:tcW w:w="2504" w:type="dxa"/>
            <w:vAlign w:val="center"/>
          </w:tcPr>
          <w:p w14:paraId="53091400">
            <w:pPr>
              <w:spacing w:line="440" w:lineRule="exact"/>
              <w:jc w:val="center"/>
              <w:rPr>
                <w:rFonts w:hint="eastAsia" w:asciiTheme="minorEastAsia" w:hAnsiTheme="minorEastAsia" w:eastAsiaTheme="minorEastAsia" w:cstheme="minorEastAsia"/>
                <w:color w:val="auto"/>
                <w:szCs w:val="21"/>
                <w:highlight w:val="none"/>
              </w:rPr>
            </w:pPr>
          </w:p>
        </w:tc>
        <w:tc>
          <w:tcPr>
            <w:tcW w:w="2638" w:type="dxa"/>
            <w:vAlign w:val="center"/>
          </w:tcPr>
          <w:p w14:paraId="01EE1B83">
            <w:pPr>
              <w:spacing w:line="440" w:lineRule="exact"/>
              <w:jc w:val="center"/>
              <w:rPr>
                <w:rFonts w:hint="eastAsia" w:asciiTheme="minorEastAsia" w:hAnsiTheme="minorEastAsia" w:eastAsiaTheme="minorEastAsia" w:cstheme="minorEastAsia"/>
                <w:color w:val="auto"/>
                <w:szCs w:val="21"/>
                <w:highlight w:val="none"/>
              </w:rPr>
            </w:pPr>
          </w:p>
        </w:tc>
      </w:tr>
    </w:tbl>
    <w:p w14:paraId="10A59D86">
      <w:pPr>
        <w:autoSpaceDE w:val="0"/>
        <w:autoSpaceDN w:val="0"/>
        <w:adjustRightInd w:val="0"/>
        <w:spacing w:line="440" w:lineRule="exact"/>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注：（</w:t>
      </w:r>
      <w:r>
        <w:rPr>
          <w:rFonts w:hint="eastAsia" w:asciiTheme="minorEastAsia" w:hAnsiTheme="minorEastAsia" w:eastAsiaTheme="minorEastAsia" w:cstheme="minorEastAsia"/>
          <w:b/>
          <w:bCs/>
          <w:color w:val="auto"/>
          <w:szCs w:val="21"/>
          <w:highlight w:val="none"/>
        </w:rPr>
        <w:t>1</w:t>
      </w:r>
      <w:r>
        <w:rPr>
          <w:rFonts w:hint="eastAsia" w:asciiTheme="minorEastAsia" w:hAnsiTheme="minorEastAsia" w:eastAsiaTheme="minorEastAsia" w:cstheme="minorEastAsia"/>
          <w:b/>
          <w:bCs/>
          <w:color w:val="auto"/>
          <w:szCs w:val="21"/>
          <w:highlight w:val="none"/>
          <w:lang w:val="zh-CN"/>
        </w:rPr>
        <w:t>）</w:t>
      </w:r>
      <w:r>
        <w:rPr>
          <w:rFonts w:hint="eastAsia" w:asciiTheme="minorEastAsia" w:hAnsiTheme="minorEastAsia" w:eastAsiaTheme="minorEastAsia" w:cstheme="minorEastAsia"/>
          <w:b/>
          <w:bCs/>
          <w:color w:val="auto"/>
          <w:szCs w:val="21"/>
          <w:highlight w:val="none"/>
        </w:rPr>
        <w:t>可逐条响应上述商务条款；如全部商务条款无偏离，请在空白处明确注明“商务条款响应无负偏离”字样；否则视为无响应。（2）表格可自行扩展。</w:t>
      </w:r>
    </w:p>
    <w:p w14:paraId="3219C760">
      <w:pPr>
        <w:autoSpaceDE w:val="0"/>
        <w:autoSpaceDN w:val="0"/>
        <w:adjustRightInd w:val="0"/>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653AA738">
      <w:pPr>
        <w:autoSpaceDE w:val="0"/>
        <w:autoSpaceDN w:val="0"/>
        <w:adjustRightInd w:val="0"/>
        <w:spacing w:line="440" w:lineRule="exact"/>
        <w:rPr>
          <w:rFonts w:hint="eastAsia" w:asciiTheme="minorEastAsia" w:hAnsiTheme="minorEastAsia" w:eastAsiaTheme="minorEastAsia" w:cstheme="minorEastAsia"/>
          <w:color w:val="auto"/>
          <w:szCs w:val="21"/>
          <w:highlight w:val="none"/>
        </w:rPr>
      </w:pPr>
    </w:p>
    <w:p w14:paraId="11AAE1C6">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投标人全称（公章）：</w:t>
      </w:r>
    </w:p>
    <w:p w14:paraId="6B45BE18">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法定代表人或法定代表人的授权代表（签字或盖章）：                       </w:t>
      </w:r>
    </w:p>
    <w:p w14:paraId="4B7CA04C">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p>
    <w:p w14:paraId="1755F799">
      <w:pPr>
        <w:spacing w:before="240" w:line="400" w:lineRule="exact"/>
        <w:jc w:val="center"/>
        <w:rPr>
          <w:rFonts w:hint="eastAsia" w:asciiTheme="minorEastAsia" w:hAnsiTheme="minorEastAsia" w:eastAsiaTheme="minorEastAsia" w:cstheme="minorEastAsia"/>
          <w:b/>
          <w:bCs/>
          <w:color w:val="auto"/>
          <w:szCs w:val="21"/>
          <w:highlight w:val="none"/>
        </w:rPr>
      </w:pPr>
    </w:p>
    <w:p w14:paraId="0EF6F445">
      <w:pPr>
        <w:tabs>
          <w:tab w:val="left" w:pos="420"/>
        </w:tabs>
        <w:adjustRightInd w:val="0"/>
        <w:snapToGrid w:val="0"/>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r>
        <w:rPr>
          <w:rFonts w:hint="eastAsia" w:asciiTheme="minorEastAsia" w:hAnsiTheme="minorEastAsia" w:eastAsiaTheme="minorEastAsia" w:cstheme="minorEastAsia"/>
          <w:b/>
          <w:color w:val="auto"/>
          <w:szCs w:val="21"/>
          <w:highlight w:val="none"/>
        </w:rPr>
        <w:t>九、招标需求偏离表</w:t>
      </w:r>
    </w:p>
    <w:p w14:paraId="2DC55C7A">
      <w:pPr>
        <w:tabs>
          <w:tab w:val="left" w:pos="3165"/>
        </w:tabs>
        <w:rPr>
          <w:rFonts w:hint="eastAsia" w:asciiTheme="minorEastAsia" w:hAnsiTheme="minorEastAsia" w:eastAsiaTheme="minorEastAsia" w:cstheme="minorEastAsia"/>
          <w:color w:val="auto"/>
          <w:szCs w:val="21"/>
          <w:highlight w:val="none"/>
        </w:rPr>
      </w:pPr>
    </w:p>
    <w:p w14:paraId="326F31BB">
      <w:pPr>
        <w:spacing w:line="360" w:lineRule="auto"/>
        <w:jc w:val="center"/>
        <w:rPr>
          <w:rFonts w:hint="eastAsia" w:asciiTheme="minorEastAsia" w:hAnsiTheme="minorEastAsia" w:eastAsiaTheme="minorEastAsia" w:cstheme="minorEastAsia"/>
          <w:b/>
          <w:color w:val="auto"/>
          <w:szCs w:val="21"/>
          <w:highlight w:val="none"/>
        </w:rPr>
      </w:pPr>
      <w:bookmarkStart w:id="114" w:name="_Toc21207"/>
      <w:r>
        <w:rPr>
          <w:rFonts w:hint="eastAsia" w:asciiTheme="minorEastAsia" w:hAnsiTheme="minorEastAsia" w:eastAsiaTheme="minorEastAsia" w:cstheme="minorEastAsia"/>
          <w:b/>
          <w:color w:val="auto"/>
          <w:szCs w:val="21"/>
          <w:highlight w:val="none"/>
        </w:rPr>
        <w:t>招标需求偏离表</w:t>
      </w:r>
      <w:bookmarkEnd w:id="114"/>
    </w:p>
    <w:p w14:paraId="157E5180">
      <w:pPr>
        <w:tabs>
          <w:tab w:val="left" w:pos="3165"/>
        </w:tabs>
        <w:rPr>
          <w:rFonts w:hint="eastAsia" w:asciiTheme="minorEastAsia" w:hAnsiTheme="minorEastAsia" w:eastAsiaTheme="minorEastAsia" w:cstheme="minorEastAsia"/>
          <w:color w:val="auto"/>
          <w:szCs w:val="21"/>
          <w:highlight w:val="none"/>
        </w:rPr>
      </w:pPr>
    </w:p>
    <w:p w14:paraId="5613C3A8">
      <w:pPr>
        <w:tabs>
          <w:tab w:val="left" w:pos="3165"/>
        </w:tabs>
        <w:spacing w:line="440" w:lineRule="exact"/>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color w:val="auto"/>
          <w:szCs w:val="21"/>
          <w:highlight w:val="none"/>
        </w:rPr>
        <w:t>项目编号：</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 xml:space="preserve"> </w:t>
      </w: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3141"/>
        <w:gridCol w:w="2635"/>
        <w:gridCol w:w="2142"/>
      </w:tblGrid>
      <w:tr w14:paraId="4FC65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5" w:type="dxa"/>
            <w:vAlign w:val="center"/>
          </w:tcPr>
          <w:p w14:paraId="09485E11">
            <w:pPr>
              <w:spacing w:line="440" w:lineRule="exact"/>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条款号</w:t>
            </w:r>
          </w:p>
        </w:tc>
        <w:tc>
          <w:tcPr>
            <w:tcW w:w="3144" w:type="dxa"/>
            <w:vAlign w:val="center"/>
          </w:tcPr>
          <w:p w14:paraId="60DAC5B8">
            <w:pPr>
              <w:spacing w:line="440" w:lineRule="exact"/>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招标文件的招标需求条款内容</w:t>
            </w:r>
          </w:p>
        </w:tc>
        <w:tc>
          <w:tcPr>
            <w:tcW w:w="2636" w:type="dxa"/>
            <w:vAlign w:val="center"/>
          </w:tcPr>
          <w:p w14:paraId="558C950E">
            <w:pPr>
              <w:spacing w:line="440" w:lineRule="exact"/>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投标文件的响应情况</w:t>
            </w:r>
          </w:p>
        </w:tc>
        <w:tc>
          <w:tcPr>
            <w:tcW w:w="2142" w:type="dxa"/>
            <w:vAlign w:val="center"/>
          </w:tcPr>
          <w:p w14:paraId="31D563BB">
            <w:pPr>
              <w:spacing w:line="440" w:lineRule="exact"/>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说明（负偏离/正偏离/响应）</w:t>
            </w:r>
          </w:p>
        </w:tc>
      </w:tr>
      <w:tr w14:paraId="017D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5" w:type="dxa"/>
            <w:vAlign w:val="center"/>
          </w:tcPr>
          <w:p w14:paraId="79DFD75A">
            <w:pPr>
              <w:spacing w:line="440" w:lineRule="exact"/>
              <w:jc w:val="center"/>
              <w:rPr>
                <w:rFonts w:hint="eastAsia" w:asciiTheme="minorEastAsia" w:hAnsiTheme="minorEastAsia" w:eastAsiaTheme="minorEastAsia" w:cstheme="minorEastAsia"/>
                <w:color w:val="auto"/>
                <w:highlight w:val="none"/>
              </w:rPr>
            </w:pPr>
          </w:p>
        </w:tc>
        <w:tc>
          <w:tcPr>
            <w:tcW w:w="3144" w:type="dxa"/>
            <w:vAlign w:val="center"/>
          </w:tcPr>
          <w:p w14:paraId="1C96DDDA">
            <w:pPr>
              <w:spacing w:line="440" w:lineRule="exact"/>
              <w:rPr>
                <w:rFonts w:hint="eastAsia" w:asciiTheme="minorEastAsia" w:hAnsiTheme="minorEastAsia" w:eastAsiaTheme="minorEastAsia" w:cstheme="minorEastAsia"/>
                <w:b/>
                <w:bCs/>
                <w:color w:val="auto"/>
                <w:szCs w:val="21"/>
                <w:highlight w:val="none"/>
              </w:rPr>
            </w:pPr>
          </w:p>
        </w:tc>
        <w:tc>
          <w:tcPr>
            <w:tcW w:w="2636" w:type="dxa"/>
            <w:vAlign w:val="center"/>
          </w:tcPr>
          <w:p w14:paraId="671888D7">
            <w:pPr>
              <w:spacing w:line="440" w:lineRule="exact"/>
              <w:jc w:val="center"/>
              <w:rPr>
                <w:rFonts w:hint="eastAsia" w:asciiTheme="minorEastAsia" w:hAnsiTheme="minorEastAsia" w:eastAsiaTheme="minorEastAsia" w:cstheme="minorEastAsia"/>
                <w:color w:val="auto"/>
                <w:sz w:val="24"/>
                <w:highlight w:val="none"/>
              </w:rPr>
            </w:pPr>
          </w:p>
        </w:tc>
        <w:tc>
          <w:tcPr>
            <w:tcW w:w="2142" w:type="dxa"/>
            <w:vAlign w:val="center"/>
          </w:tcPr>
          <w:p w14:paraId="41A75132">
            <w:pPr>
              <w:spacing w:line="440" w:lineRule="exact"/>
              <w:jc w:val="center"/>
              <w:rPr>
                <w:rFonts w:hint="eastAsia" w:asciiTheme="minorEastAsia" w:hAnsiTheme="minorEastAsia" w:eastAsiaTheme="minorEastAsia" w:cstheme="minorEastAsia"/>
                <w:color w:val="auto"/>
                <w:sz w:val="24"/>
                <w:highlight w:val="none"/>
              </w:rPr>
            </w:pPr>
          </w:p>
        </w:tc>
      </w:tr>
      <w:tr w14:paraId="66D59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5" w:type="dxa"/>
            <w:vAlign w:val="center"/>
          </w:tcPr>
          <w:p w14:paraId="387EB42A">
            <w:pPr>
              <w:spacing w:line="440" w:lineRule="exact"/>
              <w:jc w:val="center"/>
              <w:rPr>
                <w:rFonts w:hint="eastAsia" w:asciiTheme="minorEastAsia" w:hAnsiTheme="minorEastAsia" w:eastAsiaTheme="minorEastAsia" w:cstheme="minorEastAsia"/>
                <w:color w:val="auto"/>
                <w:highlight w:val="none"/>
              </w:rPr>
            </w:pPr>
          </w:p>
        </w:tc>
        <w:tc>
          <w:tcPr>
            <w:tcW w:w="3144" w:type="dxa"/>
            <w:vAlign w:val="center"/>
          </w:tcPr>
          <w:p w14:paraId="402B9447">
            <w:pPr>
              <w:spacing w:line="440" w:lineRule="exact"/>
              <w:rPr>
                <w:rFonts w:hint="eastAsia" w:asciiTheme="minorEastAsia" w:hAnsiTheme="minorEastAsia" w:eastAsiaTheme="minorEastAsia" w:cstheme="minorEastAsia"/>
                <w:color w:val="auto"/>
                <w:highlight w:val="none"/>
              </w:rPr>
            </w:pPr>
          </w:p>
        </w:tc>
        <w:tc>
          <w:tcPr>
            <w:tcW w:w="2636" w:type="dxa"/>
            <w:vAlign w:val="center"/>
          </w:tcPr>
          <w:p w14:paraId="0638B8BB">
            <w:pPr>
              <w:spacing w:line="440" w:lineRule="exact"/>
              <w:jc w:val="center"/>
              <w:rPr>
                <w:rFonts w:hint="eastAsia" w:asciiTheme="minorEastAsia" w:hAnsiTheme="minorEastAsia" w:eastAsiaTheme="minorEastAsia" w:cstheme="minorEastAsia"/>
                <w:color w:val="auto"/>
                <w:sz w:val="24"/>
                <w:highlight w:val="none"/>
              </w:rPr>
            </w:pPr>
          </w:p>
        </w:tc>
        <w:tc>
          <w:tcPr>
            <w:tcW w:w="2142" w:type="dxa"/>
            <w:vAlign w:val="center"/>
          </w:tcPr>
          <w:p w14:paraId="4A82EAF1">
            <w:pPr>
              <w:spacing w:line="440" w:lineRule="exact"/>
              <w:jc w:val="center"/>
              <w:rPr>
                <w:rFonts w:hint="eastAsia" w:asciiTheme="minorEastAsia" w:hAnsiTheme="minorEastAsia" w:eastAsiaTheme="minorEastAsia" w:cstheme="minorEastAsia"/>
                <w:color w:val="auto"/>
                <w:sz w:val="24"/>
                <w:highlight w:val="none"/>
              </w:rPr>
            </w:pPr>
          </w:p>
        </w:tc>
      </w:tr>
      <w:tr w14:paraId="692EA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5" w:type="dxa"/>
            <w:vAlign w:val="center"/>
          </w:tcPr>
          <w:p w14:paraId="250FF5AB">
            <w:pPr>
              <w:spacing w:line="440" w:lineRule="exact"/>
              <w:jc w:val="center"/>
              <w:rPr>
                <w:rFonts w:hint="eastAsia" w:asciiTheme="minorEastAsia" w:hAnsiTheme="minorEastAsia" w:eastAsiaTheme="minorEastAsia" w:cstheme="minorEastAsia"/>
                <w:color w:val="auto"/>
                <w:highlight w:val="none"/>
              </w:rPr>
            </w:pPr>
          </w:p>
        </w:tc>
        <w:tc>
          <w:tcPr>
            <w:tcW w:w="3144" w:type="dxa"/>
            <w:vAlign w:val="center"/>
          </w:tcPr>
          <w:p w14:paraId="536B8AAF">
            <w:pPr>
              <w:spacing w:line="440" w:lineRule="exact"/>
              <w:rPr>
                <w:rFonts w:hint="eastAsia" w:asciiTheme="minorEastAsia" w:hAnsiTheme="minorEastAsia" w:eastAsiaTheme="minorEastAsia" w:cstheme="minorEastAsia"/>
                <w:color w:val="auto"/>
                <w:highlight w:val="none"/>
              </w:rPr>
            </w:pPr>
          </w:p>
        </w:tc>
        <w:tc>
          <w:tcPr>
            <w:tcW w:w="2636" w:type="dxa"/>
            <w:vAlign w:val="center"/>
          </w:tcPr>
          <w:p w14:paraId="44C040AA">
            <w:pPr>
              <w:spacing w:line="440" w:lineRule="exact"/>
              <w:jc w:val="center"/>
              <w:rPr>
                <w:rFonts w:hint="eastAsia" w:asciiTheme="minorEastAsia" w:hAnsiTheme="minorEastAsia" w:eastAsiaTheme="minorEastAsia" w:cstheme="minorEastAsia"/>
                <w:color w:val="auto"/>
                <w:sz w:val="24"/>
                <w:highlight w:val="none"/>
              </w:rPr>
            </w:pPr>
          </w:p>
        </w:tc>
        <w:tc>
          <w:tcPr>
            <w:tcW w:w="2142" w:type="dxa"/>
            <w:vAlign w:val="center"/>
          </w:tcPr>
          <w:p w14:paraId="028C9928">
            <w:pPr>
              <w:spacing w:line="440" w:lineRule="exact"/>
              <w:jc w:val="center"/>
              <w:rPr>
                <w:rFonts w:hint="eastAsia" w:asciiTheme="minorEastAsia" w:hAnsiTheme="minorEastAsia" w:eastAsiaTheme="minorEastAsia" w:cstheme="minorEastAsia"/>
                <w:color w:val="auto"/>
                <w:sz w:val="24"/>
                <w:highlight w:val="none"/>
              </w:rPr>
            </w:pPr>
          </w:p>
        </w:tc>
      </w:tr>
      <w:tr w14:paraId="6BE8C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5" w:type="dxa"/>
            <w:vAlign w:val="center"/>
          </w:tcPr>
          <w:p w14:paraId="0BA6E275">
            <w:pPr>
              <w:spacing w:line="440" w:lineRule="exact"/>
              <w:jc w:val="center"/>
              <w:rPr>
                <w:rFonts w:hint="eastAsia" w:asciiTheme="minorEastAsia" w:hAnsiTheme="minorEastAsia" w:eastAsiaTheme="minorEastAsia" w:cstheme="minorEastAsia"/>
                <w:color w:val="auto"/>
                <w:highlight w:val="none"/>
              </w:rPr>
            </w:pPr>
          </w:p>
        </w:tc>
        <w:tc>
          <w:tcPr>
            <w:tcW w:w="3144" w:type="dxa"/>
            <w:vAlign w:val="center"/>
          </w:tcPr>
          <w:p w14:paraId="501AA13B">
            <w:pPr>
              <w:spacing w:line="440" w:lineRule="exact"/>
              <w:rPr>
                <w:rFonts w:hint="eastAsia" w:asciiTheme="minorEastAsia" w:hAnsiTheme="minorEastAsia" w:eastAsiaTheme="minorEastAsia" w:cstheme="minorEastAsia"/>
                <w:color w:val="auto"/>
                <w:highlight w:val="none"/>
              </w:rPr>
            </w:pPr>
          </w:p>
        </w:tc>
        <w:tc>
          <w:tcPr>
            <w:tcW w:w="2636" w:type="dxa"/>
            <w:vAlign w:val="center"/>
          </w:tcPr>
          <w:p w14:paraId="52E03559">
            <w:pPr>
              <w:spacing w:line="440" w:lineRule="exact"/>
              <w:jc w:val="center"/>
              <w:rPr>
                <w:rFonts w:hint="eastAsia" w:asciiTheme="minorEastAsia" w:hAnsiTheme="minorEastAsia" w:eastAsiaTheme="minorEastAsia" w:cstheme="minorEastAsia"/>
                <w:color w:val="auto"/>
                <w:sz w:val="24"/>
                <w:highlight w:val="none"/>
              </w:rPr>
            </w:pPr>
          </w:p>
        </w:tc>
        <w:tc>
          <w:tcPr>
            <w:tcW w:w="2142" w:type="dxa"/>
            <w:vAlign w:val="center"/>
          </w:tcPr>
          <w:p w14:paraId="46A2CDE2">
            <w:pPr>
              <w:spacing w:line="440" w:lineRule="exact"/>
              <w:jc w:val="center"/>
              <w:rPr>
                <w:rFonts w:hint="eastAsia" w:asciiTheme="minorEastAsia" w:hAnsiTheme="minorEastAsia" w:eastAsiaTheme="minorEastAsia" w:cstheme="minorEastAsia"/>
                <w:color w:val="auto"/>
                <w:sz w:val="24"/>
                <w:highlight w:val="none"/>
              </w:rPr>
            </w:pPr>
          </w:p>
        </w:tc>
      </w:tr>
      <w:tr w14:paraId="4A35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5" w:type="dxa"/>
            <w:vAlign w:val="center"/>
          </w:tcPr>
          <w:p w14:paraId="07E0D389">
            <w:pPr>
              <w:spacing w:line="440" w:lineRule="exact"/>
              <w:jc w:val="center"/>
              <w:rPr>
                <w:rFonts w:hint="eastAsia" w:asciiTheme="minorEastAsia" w:hAnsiTheme="minorEastAsia" w:eastAsiaTheme="minorEastAsia" w:cstheme="minorEastAsia"/>
                <w:color w:val="auto"/>
                <w:highlight w:val="none"/>
              </w:rPr>
            </w:pPr>
          </w:p>
        </w:tc>
        <w:tc>
          <w:tcPr>
            <w:tcW w:w="3144" w:type="dxa"/>
            <w:vAlign w:val="center"/>
          </w:tcPr>
          <w:p w14:paraId="7E325BED">
            <w:pPr>
              <w:spacing w:line="440" w:lineRule="exact"/>
              <w:rPr>
                <w:rFonts w:hint="eastAsia" w:asciiTheme="minorEastAsia" w:hAnsiTheme="minorEastAsia" w:eastAsiaTheme="minorEastAsia" w:cstheme="minorEastAsia"/>
                <w:color w:val="auto"/>
                <w:highlight w:val="none"/>
              </w:rPr>
            </w:pPr>
          </w:p>
        </w:tc>
        <w:tc>
          <w:tcPr>
            <w:tcW w:w="2636" w:type="dxa"/>
            <w:vAlign w:val="center"/>
          </w:tcPr>
          <w:p w14:paraId="6CAB4583">
            <w:pPr>
              <w:spacing w:line="440" w:lineRule="exact"/>
              <w:jc w:val="center"/>
              <w:rPr>
                <w:rFonts w:hint="eastAsia" w:asciiTheme="minorEastAsia" w:hAnsiTheme="minorEastAsia" w:eastAsiaTheme="minorEastAsia" w:cstheme="minorEastAsia"/>
                <w:color w:val="auto"/>
                <w:sz w:val="24"/>
                <w:highlight w:val="none"/>
              </w:rPr>
            </w:pPr>
          </w:p>
        </w:tc>
        <w:tc>
          <w:tcPr>
            <w:tcW w:w="2142" w:type="dxa"/>
            <w:vAlign w:val="center"/>
          </w:tcPr>
          <w:p w14:paraId="3A58AA36">
            <w:pPr>
              <w:spacing w:line="440" w:lineRule="exact"/>
              <w:jc w:val="center"/>
              <w:rPr>
                <w:rFonts w:hint="eastAsia" w:asciiTheme="minorEastAsia" w:hAnsiTheme="minorEastAsia" w:eastAsiaTheme="minorEastAsia" w:cstheme="minorEastAsia"/>
                <w:color w:val="auto"/>
                <w:sz w:val="24"/>
                <w:highlight w:val="none"/>
              </w:rPr>
            </w:pPr>
          </w:p>
        </w:tc>
      </w:tr>
      <w:tr w14:paraId="1508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5" w:type="dxa"/>
            <w:vAlign w:val="center"/>
          </w:tcPr>
          <w:p w14:paraId="15BEFAF4">
            <w:pPr>
              <w:spacing w:line="440" w:lineRule="exact"/>
              <w:jc w:val="center"/>
              <w:rPr>
                <w:rFonts w:hint="eastAsia" w:asciiTheme="minorEastAsia" w:hAnsiTheme="minorEastAsia" w:eastAsiaTheme="minorEastAsia" w:cstheme="minorEastAsia"/>
                <w:color w:val="auto"/>
                <w:highlight w:val="none"/>
              </w:rPr>
            </w:pPr>
          </w:p>
        </w:tc>
        <w:tc>
          <w:tcPr>
            <w:tcW w:w="3144" w:type="dxa"/>
            <w:vAlign w:val="center"/>
          </w:tcPr>
          <w:p w14:paraId="498BE8F5">
            <w:pPr>
              <w:spacing w:line="440" w:lineRule="exact"/>
              <w:rPr>
                <w:rFonts w:hint="eastAsia" w:asciiTheme="minorEastAsia" w:hAnsiTheme="minorEastAsia" w:eastAsiaTheme="minorEastAsia" w:cstheme="minorEastAsia"/>
                <w:color w:val="auto"/>
                <w:highlight w:val="none"/>
              </w:rPr>
            </w:pPr>
          </w:p>
        </w:tc>
        <w:tc>
          <w:tcPr>
            <w:tcW w:w="2636" w:type="dxa"/>
            <w:vAlign w:val="center"/>
          </w:tcPr>
          <w:p w14:paraId="3D08F7AB">
            <w:pPr>
              <w:spacing w:line="440" w:lineRule="exact"/>
              <w:jc w:val="center"/>
              <w:rPr>
                <w:rFonts w:hint="eastAsia" w:asciiTheme="minorEastAsia" w:hAnsiTheme="minorEastAsia" w:eastAsiaTheme="minorEastAsia" w:cstheme="minorEastAsia"/>
                <w:color w:val="auto"/>
                <w:sz w:val="24"/>
                <w:highlight w:val="none"/>
              </w:rPr>
            </w:pPr>
          </w:p>
        </w:tc>
        <w:tc>
          <w:tcPr>
            <w:tcW w:w="2142" w:type="dxa"/>
            <w:vAlign w:val="center"/>
          </w:tcPr>
          <w:p w14:paraId="3A1A0771">
            <w:pPr>
              <w:spacing w:line="440" w:lineRule="exact"/>
              <w:jc w:val="center"/>
              <w:rPr>
                <w:rFonts w:hint="eastAsia" w:asciiTheme="minorEastAsia" w:hAnsiTheme="minorEastAsia" w:eastAsiaTheme="minorEastAsia" w:cstheme="minorEastAsia"/>
                <w:color w:val="auto"/>
                <w:sz w:val="24"/>
                <w:highlight w:val="none"/>
              </w:rPr>
            </w:pPr>
          </w:p>
        </w:tc>
      </w:tr>
    </w:tbl>
    <w:p w14:paraId="57083F36">
      <w:pPr>
        <w:spacing w:line="440" w:lineRule="exact"/>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注：（</w:t>
      </w:r>
      <w:r>
        <w:rPr>
          <w:rFonts w:hint="eastAsia" w:asciiTheme="minorEastAsia" w:hAnsiTheme="minorEastAsia" w:eastAsiaTheme="minorEastAsia" w:cstheme="minorEastAsia"/>
          <w:b/>
          <w:bCs/>
          <w:color w:val="auto"/>
          <w:highlight w:val="none"/>
        </w:rPr>
        <w:t>1</w:t>
      </w:r>
      <w:r>
        <w:rPr>
          <w:rFonts w:hint="eastAsia" w:asciiTheme="minorEastAsia" w:hAnsiTheme="minorEastAsia" w:eastAsiaTheme="minorEastAsia" w:cstheme="minorEastAsia"/>
          <w:b/>
          <w:bCs/>
          <w:color w:val="auto"/>
          <w:highlight w:val="none"/>
          <w:lang w:val="zh-CN"/>
        </w:rPr>
        <w:t>）详见第二章 招标需求可逐条响应，如无负偏离，请在空白处明确注明“招标需求均响应无负偏离”字样；否则视为无响应。</w:t>
      </w:r>
    </w:p>
    <w:p w14:paraId="612F6AE5">
      <w:pPr>
        <w:spacing w:line="440" w:lineRule="exact"/>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（2）表格可自行扩展。</w:t>
      </w:r>
    </w:p>
    <w:p w14:paraId="5D296969">
      <w:pPr>
        <w:autoSpaceDE w:val="0"/>
        <w:autoSpaceDN w:val="0"/>
        <w:adjustRightInd w:val="0"/>
        <w:spacing w:line="440" w:lineRule="exact"/>
        <w:rPr>
          <w:rFonts w:hint="eastAsia" w:asciiTheme="minorEastAsia" w:hAnsiTheme="minorEastAsia" w:eastAsiaTheme="minorEastAsia" w:cstheme="minorEastAsia"/>
          <w:color w:val="auto"/>
          <w:highlight w:val="none"/>
          <w:lang w:val="zh-CN"/>
        </w:rPr>
      </w:pPr>
    </w:p>
    <w:p w14:paraId="4D60812B">
      <w:pPr>
        <w:autoSpaceDE w:val="0"/>
        <w:autoSpaceDN w:val="0"/>
        <w:adjustRightInd w:val="0"/>
        <w:spacing w:line="440" w:lineRule="exact"/>
        <w:rPr>
          <w:rFonts w:hint="eastAsia" w:asciiTheme="minorEastAsia" w:hAnsiTheme="minorEastAsia" w:eastAsiaTheme="minorEastAsia" w:cstheme="minorEastAsia"/>
          <w:color w:val="auto"/>
          <w:highlight w:val="none"/>
          <w:lang w:val="zh-CN"/>
        </w:rPr>
      </w:pPr>
    </w:p>
    <w:p w14:paraId="65A9F21F">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投标人全称（公章）：</w:t>
      </w:r>
    </w:p>
    <w:p w14:paraId="7CE072ED">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法定代表人或法定代表人的授权代表（签字或盖章）：                       </w:t>
      </w:r>
    </w:p>
    <w:p w14:paraId="31D5F66D">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p>
    <w:p w14:paraId="11E9B23C">
      <w:pPr>
        <w:spacing w:before="240" w:line="360" w:lineRule="auto"/>
        <w:rPr>
          <w:rFonts w:hint="eastAsia" w:asciiTheme="minorEastAsia" w:hAnsiTheme="minorEastAsia" w:eastAsiaTheme="minorEastAsia" w:cstheme="minorEastAsia"/>
          <w:b/>
          <w:bCs/>
          <w:color w:val="auto"/>
          <w:szCs w:val="21"/>
          <w:highlight w:val="none"/>
        </w:rPr>
      </w:pPr>
    </w:p>
    <w:p w14:paraId="345C7647">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r>
        <w:rPr>
          <w:rFonts w:hint="eastAsia" w:asciiTheme="minorEastAsia" w:hAnsiTheme="minorEastAsia" w:eastAsiaTheme="minorEastAsia" w:cstheme="minorEastAsia"/>
          <w:b/>
          <w:color w:val="auto"/>
          <w:szCs w:val="21"/>
          <w:highlight w:val="none"/>
        </w:rPr>
        <w:t>十、人员配置表</w:t>
      </w:r>
    </w:p>
    <w:p w14:paraId="60B375A3">
      <w:pPr>
        <w:spacing w:line="440" w:lineRule="exact"/>
        <w:jc w:val="center"/>
        <w:rPr>
          <w:rFonts w:hint="eastAsia" w:asciiTheme="minorEastAsia" w:hAnsiTheme="minorEastAsia" w:eastAsiaTheme="minorEastAsia" w:cstheme="minorEastAsia"/>
          <w:b/>
          <w:bCs/>
          <w:color w:val="auto"/>
          <w:szCs w:val="21"/>
          <w:highlight w:val="none"/>
        </w:rPr>
      </w:pPr>
    </w:p>
    <w:p w14:paraId="1A5A3217">
      <w:pPr>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人员配置表</w:t>
      </w:r>
    </w:p>
    <w:p w14:paraId="24847468">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项目编号：</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 xml:space="preserve"> </w:t>
      </w: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6"/>
        <w:gridCol w:w="848"/>
        <w:gridCol w:w="1213"/>
        <w:gridCol w:w="970"/>
        <w:gridCol w:w="1213"/>
        <w:gridCol w:w="2307"/>
        <w:gridCol w:w="1561"/>
      </w:tblGrid>
      <w:tr w14:paraId="78F1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8" w:hRule="atLeast"/>
        </w:trPr>
        <w:tc>
          <w:tcPr>
            <w:tcW w:w="626" w:type="dxa"/>
            <w:vAlign w:val="center"/>
          </w:tcPr>
          <w:p w14:paraId="65C5C6A7">
            <w:pPr>
              <w:spacing w:line="440" w:lineRule="exact"/>
              <w:jc w:val="center"/>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序号</w:t>
            </w:r>
          </w:p>
        </w:tc>
        <w:tc>
          <w:tcPr>
            <w:tcW w:w="848" w:type="dxa"/>
            <w:vAlign w:val="center"/>
          </w:tcPr>
          <w:p w14:paraId="6B50B8BF">
            <w:pPr>
              <w:spacing w:line="440" w:lineRule="exact"/>
              <w:jc w:val="center"/>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姓名</w:t>
            </w:r>
          </w:p>
        </w:tc>
        <w:tc>
          <w:tcPr>
            <w:tcW w:w="1213" w:type="dxa"/>
            <w:vAlign w:val="center"/>
          </w:tcPr>
          <w:p w14:paraId="0CBEEC8D">
            <w:pPr>
              <w:spacing w:line="440" w:lineRule="exact"/>
              <w:jc w:val="center"/>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身份证号</w:t>
            </w:r>
          </w:p>
        </w:tc>
        <w:tc>
          <w:tcPr>
            <w:tcW w:w="970" w:type="dxa"/>
            <w:vAlign w:val="center"/>
          </w:tcPr>
          <w:p w14:paraId="6BF418D5">
            <w:pPr>
              <w:spacing w:line="440" w:lineRule="exact"/>
              <w:jc w:val="center"/>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学历</w:t>
            </w:r>
          </w:p>
        </w:tc>
        <w:tc>
          <w:tcPr>
            <w:tcW w:w="1213" w:type="dxa"/>
            <w:vAlign w:val="center"/>
          </w:tcPr>
          <w:p w14:paraId="29E63A32">
            <w:pPr>
              <w:spacing w:line="440" w:lineRule="exact"/>
              <w:jc w:val="center"/>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岗位</w:t>
            </w:r>
          </w:p>
        </w:tc>
        <w:tc>
          <w:tcPr>
            <w:tcW w:w="2307" w:type="dxa"/>
            <w:vAlign w:val="center"/>
          </w:tcPr>
          <w:p w14:paraId="7B7FC36E">
            <w:pPr>
              <w:spacing w:line="440" w:lineRule="exact"/>
              <w:jc w:val="center"/>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专业技能（技术职称、执业资格等）</w:t>
            </w:r>
          </w:p>
        </w:tc>
        <w:tc>
          <w:tcPr>
            <w:tcW w:w="1561" w:type="dxa"/>
            <w:vAlign w:val="center"/>
          </w:tcPr>
          <w:p w14:paraId="71B13DB4">
            <w:pPr>
              <w:spacing w:line="440" w:lineRule="exact"/>
              <w:jc w:val="center"/>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同类项目实施经验</w:t>
            </w:r>
          </w:p>
        </w:tc>
      </w:tr>
      <w:tr w14:paraId="488D3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atLeast"/>
        </w:trPr>
        <w:tc>
          <w:tcPr>
            <w:tcW w:w="626" w:type="dxa"/>
            <w:vAlign w:val="center"/>
          </w:tcPr>
          <w:p w14:paraId="684E6E1A">
            <w:pPr>
              <w:spacing w:line="44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p>
        </w:tc>
        <w:tc>
          <w:tcPr>
            <w:tcW w:w="848" w:type="dxa"/>
            <w:vAlign w:val="center"/>
          </w:tcPr>
          <w:p w14:paraId="0F557830">
            <w:pPr>
              <w:spacing w:line="440" w:lineRule="exact"/>
              <w:rPr>
                <w:rFonts w:hint="eastAsia" w:asciiTheme="minorEastAsia" w:hAnsiTheme="minorEastAsia" w:eastAsiaTheme="minorEastAsia" w:cstheme="minorEastAsia"/>
                <w:color w:val="auto"/>
                <w:kern w:val="0"/>
                <w:szCs w:val="21"/>
                <w:highlight w:val="none"/>
              </w:rPr>
            </w:pPr>
          </w:p>
        </w:tc>
        <w:tc>
          <w:tcPr>
            <w:tcW w:w="1213" w:type="dxa"/>
            <w:vAlign w:val="center"/>
          </w:tcPr>
          <w:p w14:paraId="40AE275A">
            <w:pPr>
              <w:spacing w:line="440" w:lineRule="exact"/>
              <w:jc w:val="center"/>
              <w:rPr>
                <w:rFonts w:hint="eastAsia" w:asciiTheme="minorEastAsia" w:hAnsiTheme="minorEastAsia" w:eastAsiaTheme="minorEastAsia" w:cstheme="minorEastAsia"/>
                <w:color w:val="auto"/>
                <w:kern w:val="0"/>
                <w:szCs w:val="21"/>
                <w:highlight w:val="none"/>
              </w:rPr>
            </w:pPr>
          </w:p>
        </w:tc>
        <w:tc>
          <w:tcPr>
            <w:tcW w:w="970" w:type="dxa"/>
            <w:vAlign w:val="center"/>
          </w:tcPr>
          <w:p w14:paraId="216F5ED7">
            <w:pPr>
              <w:spacing w:line="440" w:lineRule="exact"/>
              <w:jc w:val="center"/>
              <w:rPr>
                <w:rFonts w:hint="eastAsia" w:asciiTheme="minorEastAsia" w:hAnsiTheme="minorEastAsia" w:eastAsiaTheme="minorEastAsia" w:cstheme="minorEastAsia"/>
                <w:color w:val="auto"/>
                <w:kern w:val="0"/>
                <w:szCs w:val="21"/>
                <w:highlight w:val="none"/>
              </w:rPr>
            </w:pPr>
          </w:p>
        </w:tc>
        <w:tc>
          <w:tcPr>
            <w:tcW w:w="1213" w:type="dxa"/>
            <w:vAlign w:val="center"/>
          </w:tcPr>
          <w:p w14:paraId="43557CB1">
            <w:pPr>
              <w:spacing w:line="440" w:lineRule="exact"/>
              <w:jc w:val="center"/>
              <w:rPr>
                <w:rFonts w:hint="eastAsia" w:asciiTheme="minorEastAsia" w:hAnsiTheme="minorEastAsia" w:eastAsiaTheme="minorEastAsia" w:cstheme="minorEastAsia"/>
                <w:color w:val="auto"/>
                <w:kern w:val="0"/>
                <w:szCs w:val="21"/>
                <w:highlight w:val="none"/>
              </w:rPr>
            </w:pPr>
          </w:p>
        </w:tc>
        <w:tc>
          <w:tcPr>
            <w:tcW w:w="2307" w:type="dxa"/>
            <w:vAlign w:val="center"/>
          </w:tcPr>
          <w:p w14:paraId="0CD4FDE0">
            <w:pPr>
              <w:spacing w:line="440" w:lineRule="exact"/>
              <w:jc w:val="center"/>
              <w:rPr>
                <w:rFonts w:hint="eastAsia" w:asciiTheme="minorEastAsia" w:hAnsiTheme="minorEastAsia" w:eastAsiaTheme="minorEastAsia" w:cstheme="minorEastAsia"/>
                <w:color w:val="auto"/>
                <w:kern w:val="0"/>
                <w:szCs w:val="21"/>
                <w:highlight w:val="none"/>
              </w:rPr>
            </w:pPr>
          </w:p>
        </w:tc>
        <w:tc>
          <w:tcPr>
            <w:tcW w:w="1561" w:type="dxa"/>
            <w:vAlign w:val="center"/>
          </w:tcPr>
          <w:p w14:paraId="703FB9D8">
            <w:pPr>
              <w:spacing w:line="440" w:lineRule="exact"/>
              <w:jc w:val="center"/>
              <w:rPr>
                <w:rFonts w:hint="eastAsia" w:asciiTheme="minorEastAsia" w:hAnsiTheme="minorEastAsia" w:eastAsiaTheme="minorEastAsia" w:cstheme="minorEastAsia"/>
                <w:color w:val="auto"/>
                <w:kern w:val="0"/>
                <w:szCs w:val="21"/>
                <w:highlight w:val="none"/>
              </w:rPr>
            </w:pPr>
          </w:p>
        </w:tc>
      </w:tr>
      <w:tr w14:paraId="2200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atLeast"/>
        </w:trPr>
        <w:tc>
          <w:tcPr>
            <w:tcW w:w="626" w:type="dxa"/>
            <w:vAlign w:val="center"/>
          </w:tcPr>
          <w:p w14:paraId="178B61B5">
            <w:pPr>
              <w:spacing w:line="44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p>
        </w:tc>
        <w:tc>
          <w:tcPr>
            <w:tcW w:w="848" w:type="dxa"/>
            <w:vAlign w:val="center"/>
          </w:tcPr>
          <w:p w14:paraId="46E0AA62">
            <w:pPr>
              <w:spacing w:line="440" w:lineRule="exact"/>
              <w:rPr>
                <w:rFonts w:hint="eastAsia" w:asciiTheme="minorEastAsia" w:hAnsiTheme="minorEastAsia" w:eastAsiaTheme="minorEastAsia" w:cstheme="minorEastAsia"/>
                <w:color w:val="auto"/>
                <w:kern w:val="0"/>
                <w:szCs w:val="21"/>
                <w:highlight w:val="none"/>
              </w:rPr>
            </w:pPr>
          </w:p>
        </w:tc>
        <w:tc>
          <w:tcPr>
            <w:tcW w:w="1213" w:type="dxa"/>
            <w:vAlign w:val="center"/>
          </w:tcPr>
          <w:p w14:paraId="50D5DE8B">
            <w:pPr>
              <w:spacing w:line="440" w:lineRule="exact"/>
              <w:jc w:val="center"/>
              <w:rPr>
                <w:rFonts w:hint="eastAsia" w:asciiTheme="minorEastAsia" w:hAnsiTheme="minorEastAsia" w:eastAsiaTheme="minorEastAsia" w:cstheme="minorEastAsia"/>
                <w:color w:val="auto"/>
                <w:kern w:val="0"/>
                <w:szCs w:val="21"/>
                <w:highlight w:val="none"/>
              </w:rPr>
            </w:pPr>
          </w:p>
        </w:tc>
        <w:tc>
          <w:tcPr>
            <w:tcW w:w="970" w:type="dxa"/>
            <w:vAlign w:val="center"/>
          </w:tcPr>
          <w:p w14:paraId="09899C5B">
            <w:pPr>
              <w:spacing w:line="440" w:lineRule="exact"/>
              <w:jc w:val="center"/>
              <w:rPr>
                <w:rFonts w:hint="eastAsia" w:asciiTheme="minorEastAsia" w:hAnsiTheme="minorEastAsia" w:eastAsiaTheme="minorEastAsia" w:cstheme="minorEastAsia"/>
                <w:color w:val="auto"/>
                <w:kern w:val="0"/>
                <w:szCs w:val="21"/>
                <w:highlight w:val="none"/>
              </w:rPr>
            </w:pPr>
          </w:p>
        </w:tc>
        <w:tc>
          <w:tcPr>
            <w:tcW w:w="1213" w:type="dxa"/>
            <w:vAlign w:val="center"/>
          </w:tcPr>
          <w:p w14:paraId="622E1659">
            <w:pPr>
              <w:spacing w:line="440" w:lineRule="exact"/>
              <w:jc w:val="center"/>
              <w:rPr>
                <w:rFonts w:hint="eastAsia" w:asciiTheme="minorEastAsia" w:hAnsiTheme="minorEastAsia" w:eastAsiaTheme="minorEastAsia" w:cstheme="minorEastAsia"/>
                <w:color w:val="auto"/>
                <w:kern w:val="0"/>
                <w:szCs w:val="21"/>
                <w:highlight w:val="none"/>
              </w:rPr>
            </w:pPr>
          </w:p>
        </w:tc>
        <w:tc>
          <w:tcPr>
            <w:tcW w:w="2307" w:type="dxa"/>
            <w:vAlign w:val="center"/>
          </w:tcPr>
          <w:p w14:paraId="505CD0A1">
            <w:pPr>
              <w:spacing w:line="440" w:lineRule="exact"/>
              <w:jc w:val="center"/>
              <w:rPr>
                <w:rFonts w:hint="eastAsia" w:asciiTheme="minorEastAsia" w:hAnsiTheme="minorEastAsia" w:eastAsiaTheme="minorEastAsia" w:cstheme="minorEastAsia"/>
                <w:color w:val="auto"/>
                <w:kern w:val="0"/>
                <w:szCs w:val="21"/>
                <w:highlight w:val="none"/>
              </w:rPr>
            </w:pPr>
          </w:p>
        </w:tc>
        <w:tc>
          <w:tcPr>
            <w:tcW w:w="1561" w:type="dxa"/>
            <w:vAlign w:val="center"/>
          </w:tcPr>
          <w:p w14:paraId="43782F02">
            <w:pPr>
              <w:spacing w:line="440" w:lineRule="exact"/>
              <w:jc w:val="center"/>
              <w:rPr>
                <w:rFonts w:hint="eastAsia" w:asciiTheme="minorEastAsia" w:hAnsiTheme="minorEastAsia" w:eastAsiaTheme="minorEastAsia" w:cstheme="minorEastAsia"/>
                <w:color w:val="auto"/>
                <w:kern w:val="0"/>
                <w:szCs w:val="21"/>
                <w:highlight w:val="none"/>
              </w:rPr>
            </w:pPr>
          </w:p>
        </w:tc>
      </w:tr>
      <w:tr w14:paraId="57C6E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atLeast"/>
        </w:trPr>
        <w:tc>
          <w:tcPr>
            <w:tcW w:w="626" w:type="dxa"/>
            <w:vAlign w:val="center"/>
          </w:tcPr>
          <w:p w14:paraId="25A2A3AC">
            <w:pPr>
              <w:spacing w:line="44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p>
        </w:tc>
        <w:tc>
          <w:tcPr>
            <w:tcW w:w="848" w:type="dxa"/>
            <w:vAlign w:val="center"/>
          </w:tcPr>
          <w:p w14:paraId="720EA36C">
            <w:pPr>
              <w:spacing w:line="440" w:lineRule="exact"/>
              <w:rPr>
                <w:rFonts w:hint="eastAsia" w:asciiTheme="minorEastAsia" w:hAnsiTheme="minorEastAsia" w:eastAsiaTheme="minorEastAsia" w:cstheme="minorEastAsia"/>
                <w:color w:val="auto"/>
                <w:kern w:val="0"/>
                <w:szCs w:val="21"/>
                <w:highlight w:val="none"/>
              </w:rPr>
            </w:pPr>
          </w:p>
        </w:tc>
        <w:tc>
          <w:tcPr>
            <w:tcW w:w="1213" w:type="dxa"/>
            <w:vAlign w:val="center"/>
          </w:tcPr>
          <w:p w14:paraId="12287941">
            <w:pPr>
              <w:spacing w:line="440" w:lineRule="exact"/>
              <w:jc w:val="center"/>
              <w:rPr>
                <w:rFonts w:hint="eastAsia" w:asciiTheme="minorEastAsia" w:hAnsiTheme="minorEastAsia" w:eastAsiaTheme="minorEastAsia" w:cstheme="minorEastAsia"/>
                <w:color w:val="auto"/>
                <w:kern w:val="0"/>
                <w:szCs w:val="21"/>
                <w:highlight w:val="none"/>
              </w:rPr>
            </w:pPr>
          </w:p>
        </w:tc>
        <w:tc>
          <w:tcPr>
            <w:tcW w:w="970" w:type="dxa"/>
            <w:vAlign w:val="center"/>
          </w:tcPr>
          <w:p w14:paraId="46AB7191">
            <w:pPr>
              <w:spacing w:line="440" w:lineRule="exact"/>
              <w:jc w:val="center"/>
              <w:rPr>
                <w:rFonts w:hint="eastAsia" w:asciiTheme="minorEastAsia" w:hAnsiTheme="minorEastAsia" w:eastAsiaTheme="minorEastAsia" w:cstheme="minorEastAsia"/>
                <w:color w:val="auto"/>
                <w:kern w:val="0"/>
                <w:szCs w:val="21"/>
                <w:highlight w:val="none"/>
              </w:rPr>
            </w:pPr>
          </w:p>
        </w:tc>
        <w:tc>
          <w:tcPr>
            <w:tcW w:w="1213" w:type="dxa"/>
            <w:vAlign w:val="center"/>
          </w:tcPr>
          <w:p w14:paraId="6A41F924">
            <w:pPr>
              <w:spacing w:line="440" w:lineRule="exact"/>
              <w:jc w:val="center"/>
              <w:rPr>
                <w:rFonts w:hint="eastAsia" w:asciiTheme="minorEastAsia" w:hAnsiTheme="minorEastAsia" w:eastAsiaTheme="minorEastAsia" w:cstheme="minorEastAsia"/>
                <w:color w:val="auto"/>
                <w:kern w:val="0"/>
                <w:szCs w:val="21"/>
                <w:highlight w:val="none"/>
              </w:rPr>
            </w:pPr>
          </w:p>
        </w:tc>
        <w:tc>
          <w:tcPr>
            <w:tcW w:w="2307" w:type="dxa"/>
            <w:vAlign w:val="center"/>
          </w:tcPr>
          <w:p w14:paraId="0391BC85">
            <w:pPr>
              <w:spacing w:line="440" w:lineRule="exact"/>
              <w:jc w:val="center"/>
              <w:rPr>
                <w:rFonts w:hint="eastAsia" w:asciiTheme="minorEastAsia" w:hAnsiTheme="minorEastAsia" w:eastAsiaTheme="minorEastAsia" w:cstheme="minorEastAsia"/>
                <w:color w:val="auto"/>
                <w:kern w:val="0"/>
                <w:szCs w:val="21"/>
                <w:highlight w:val="none"/>
              </w:rPr>
            </w:pPr>
          </w:p>
        </w:tc>
        <w:tc>
          <w:tcPr>
            <w:tcW w:w="1561" w:type="dxa"/>
            <w:vAlign w:val="center"/>
          </w:tcPr>
          <w:p w14:paraId="5C5ACD17">
            <w:pPr>
              <w:spacing w:line="440" w:lineRule="exact"/>
              <w:jc w:val="center"/>
              <w:rPr>
                <w:rFonts w:hint="eastAsia" w:asciiTheme="minorEastAsia" w:hAnsiTheme="minorEastAsia" w:eastAsiaTheme="minorEastAsia" w:cstheme="minorEastAsia"/>
                <w:color w:val="auto"/>
                <w:kern w:val="0"/>
                <w:szCs w:val="21"/>
                <w:highlight w:val="none"/>
              </w:rPr>
            </w:pPr>
          </w:p>
        </w:tc>
      </w:tr>
      <w:tr w14:paraId="2B26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atLeast"/>
        </w:trPr>
        <w:tc>
          <w:tcPr>
            <w:tcW w:w="626" w:type="dxa"/>
            <w:vAlign w:val="center"/>
          </w:tcPr>
          <w:p w14:paraId="1BB78E58">
            <w:pPr>
              <w:spacing w:line="44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p>
        </w:tc>
        <w:tc>
          <w:tcPr>
            <w:tcW w:w="848" w:type="dxa"/>
            <w:vAlign w:val="center"/>
          </w:tcPr>
          <w:p w14:paraId="0083BB6C">
            <w:pPr>
              <w:spacing w:line="440" w:lineRule="exact"/>
              <w:rPr>
                <w:rFonts w:hint="eastAsia" w:asciiTheme="minorEastAsia" w:hAnsiTheme="minorEastAsia" w:eastAsiaTheme="minorEastAsia" w:cstheme="minorEastAsia"/>
                <w:color w:val="auto"/>
                <w:kern w:val="0"/>
                <w:szCs w:val="21"/>
                <w:highlight w:val="none"/>
              </w:rPr>
            </w:pPr>
          </w:p>
        </w:tc>
        <w:tc>
          <w:tcPr>
            <w:tcW w:w="1213" w:type="dxa"/>
            <w:vAlign w:val="center"/>
          </w:tcPr>
          <w:p w14:paraId="29C99A81">
            <w:pPr>
              <w:spacing w:line="440" w:lineRule="exact"/>
              <w:jc w:val="center"/>
              <w:rPr>
                <w:rFonts w:hint="eastAsia" w:asciiTheme="minorEastAsia" w:hAnsiTheme="minorEastAsia" w:eastAsiaTheme="minorEastAsia" w:cstheme="minorEastAsia"/>
                <w:color w:val="auto"/>
                <w:kern w:val="0"/>
                <w:szCs w:val="21"/>
                <w:highlight w:val="none"/>
              </w:rPr>
            </w:pPr>
          </w:p>
        </w:tc>
        <w:tc>
          <w:tcPr>
            <w:tcW w:w="970" w:type="dxa"/>
            <w:vAlign w:val="center"/>
          </w:tcPr>
          <w:p w14:paraId="7E026340">
            <w:pPr>
              <w:spacing w:line="440" w:lineRule="exact"/>
              <w:jc w:val="center"/>
              <w:rPr>
                <w:rFonts w:hint="eastAsia" w:asciiTheme="minorEastAsia" w:hAnsiTheme="minorEastAsia" w:eastAsiaTheme="minorEastAsia" w:cstheme="minorEastAsia"/>
                <w:color w:val="auto"/>
                <w:kern w:val="0"/>
                <w:szCs w:val="21"/>
                <w:highlight w:val="none"/>
              </w:rPr>
            </w:pPr>
          </w:p>
        </w:tc>
        <w:tc>
          <w:tcPr>
            <w:tcW w:w="1213" w:type="dxa"/>
            <w:vAlign w:val="center"/>
          </w:tcPr>
          <w:p w14:paraId="716219F5">
            <w:pPr>
              <w:spacing w:line="440" w:lineRule="exact"/>
              <w:jc w:val="center"/>
              <w:rPr>
                <w:rFonts w:hint="eastAsia" w:asciiTheme="minorEastAsia" w:hAnsiTheme="minorEastAsia" w:eastAsiaTheme="minorEastAsia" w:cstheme="minorEastAsia"/>
                <w:color w:val="auto"/>
                <w:kern w:val="0"/>
                <w:szCs w:val="21"/>
                <w:highlight w:val="none"/>
              </w:rPr>
            </w:pPr>
          </w:p>
        </w:tc>
        <w:tc>
          <w:tcPr>
            <w:tcW w:w="2307" w:type="dxa"/>
            <w:vAlign w:val="center"/>
          </w:tcPr>
          <w:p w14:paraId="40BD5FC1">
            <w:pPr>
              <w:spacing w:line="440" w:lineRule="exact"/>
              <w:jc w:val="center"/>
              <w:rPr>
                <w:rFonts w:hint="eastAsia" w:asciiTheme="minorEastAsia" w:hAnsiTheme="minorEastAsia" w:eastAsiaTheme="minorEastAsia" w:cstheme="minorEastAsia"/>
                <w:color w:val="auto"/>
                <w:kern w:val="0"/>
                <w:szCs w:val="21"/>
                <w:highlight w:val="none"/>
              </w:rPr>
            </w:pPr>
          </w:p>
        </w:tc>
        <w:tc>
          <w:tcPr>
            <w:tcW w:w="1561" w:type="dxa"/>
            <w:vAlign w:val="center"/>
          </w:tcPr>
          <w:p w14:paraId="45B7B8E0">
            <w:pPr>
              <w:spacing w:line="440" w:lineRule="exact"/>
              <w:jc w:val="center"/>
              <w:rPr>
                <w:rFonts w:hint="eastAsia" w:asciiTheme="minorEastAsia" w:hAnsiTheme="minorEastAsia" w:eastAsiaTheme="minorEastAsia" w:cstheme="minorEastAsia"/>
                <w:color w:val="auto"/>
                <w:kern w:val="0"/>
                <w:szCs w:val="21"/>
                <w:highlight w:val="none"/>
              </w:rPr>
            </w:pPr>
          </w:p>
        </w:tc>
      </w:tr>
      <w:tr w14:paraId="7501C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atLeast"/>
        </w:trPr>
        <w:tc>
          <w:tcPr>
            <w:tcW w:w="626" w:type="dxa"/>
            <w:vAlign w:val="center"/>
          </w:tcPr>
          <w:p w14:paraId="5BC50A73">
            <w:pPr>
              <w:spacing w:line="44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w:t>
            </w:r>
          </w:p>
        </w:tc>
        <w:tc>
          <w:tcPr>
            <w:tcW w:w="848" w:type="dxa"/>
            <w:vAlign w:val="center"/>
          </w:tcPr>
          <w:p w14:paraId="1286ABE9">
            <w:pPr>
              <w:spacing w:line="440" w:lineRule="exact"/>
              <w:rPr>
                <w:rFonts w:hint="eastAsia" w:asciiTheme="minorEastAsia" w:hAnsiTheme="minorEastAsia" w:eastAsiaTheme="minorEastAsia" w:cstheme="minorEastAsia"/>
                <w:color w:val="auto"/>
                <w:kern w:val="0"/>
                <w:szCs w:val="21"/>
                <w:highlight w:val="none"/>
              </w:rPr>
            </w:pPr>
          </w:p>
        </w:tc>
        <w:tc>
          <w:tcPr>
            <w:tcW w:w="1213" w:type="dxa"/>
            <w:vAlign w:val="center"/>
          </w:tcPr>
          <w:p w14:paraId="40DF0B9C">
            <w:pPr>
              <w:spacing w:line="440" w:lineRule="exact"/>
              <w:jc w:val="center"/>
              <w:rPr>
                <w:rFonts w:hint="eastAsia" w:asciiTheme="minorEastAsia" w:hAnsiTheme="minorEastAsia" w:eastAsiaTheme="minorEastAsia" w:cstheme="minorEastAsia"/>
                <w:color w:val="auto"/>
                <w:kern w:val="0"/>
                <w:szCs w:val="21"/>
                <w:highlight w:val="none"/>
              </w:rPr>
            </w:pPr>
          </w:p>
        </w:tc>
        <w:tc>
          <w:tcPr>
            <w:tcW w:w="970" w:type="dxa"/>
            <w:vAlign w:val="center"/>
          </w:tcPr>
          <w:p w14:paraId="77822E55">
            <w:pPr>
              <w:spacing w:line="440" w:lineRule="exact"/>
              <w:jc w:val="center"/>
              <w:rPr>
                <w:rFonts w:hint="eastAsia" w:asciiTheme="minorEastAsia" w:hAnsiTheme="minorEastAsia" w:eastAsiaTheme="minorEastAsia" w:cstheme="minorEastAsia"/>
                <w:color w:val="auto"/>
                <w:kern w:val="0"/>
                <w:szCs w:val="21"/>
                <w:highlight w:val="none"/>
              </w:rPr>
            </w:pPr>
          </w:p>
        </w:tc>
        <w:tc>
          <w:tcPr>
            <w:tcW w:w="1213" w:type="dxa"/>
            <w:vAlign w:val="center"/>
          </w:tcPr>
          <w:p w14:paraId="71225135">
            <w:pPr>
              <w:spacing w:line="440" w:lineRule="exact"/>
              <w:jc w:val="center"/>
              <w:rPr>
                <w:rFonts w:hint="eastAsia" w:asciiTheme="minorEastAsia" w:hAnsiTheme="minorEastAsia" w:eastAsiaTheme="minorEastAsia" w:cstheme="minorEastAsia"/>
                <w:color w:val="auto"/>
                <w:kern w:val="0"/>
                <w:szCs w:val="21"/>
                <w:highlight w:val="none"/>
              </w:rPr>
            </w:pPr>
          </w:p>
        </w:tc>
        <w:tc>
          <w:tcPr>
            <w:tcW w:w="2307" w:type="dxa"/>
            <w:vAlign w:val="center"/>
          </w:tcPr>
          <w:p w14:paraId="1104CE29">
            <w:pPr>
              <w:spacing w:line="440" w:lineRule="exact"/>
              <w:jc w:val="center"/>
              <w:rPr>
                <w:rFonts w:hint="eastAsia" w:asciiTheme="minorEastAsia" w:hAnsiTheme="minorEastAsia" w:eastAsiaTheme="minorEastAsia" w:cstheme="minorEastAsia"/>
                <w:color w:val="auto"/>
                <w:kern w:val="0"/>
                <w:szCs w:val="21"/>
                <w:highlight w:val="none"/>
              </w:rPr>
            </w:pPr>
          </w:p>
        </w:tc>
        <w:tc>
          <w:tcPr>
            <w:tcW w:w="1561" w:type="dxa"/>
            <w:vAlign w:val="center"/>
          </w:tcPr>
          <w:p w14:paraId="6FC5F94A">
            <w:pPr>
              <w:spacing w:line="440" w:lineRule="exact"/>
              <w:jc w:val="center"/>
              <w:rPr>
                <w:rFonts w:hint="eastAsia" w:asciiTheme="minorEastAsia" w:hAnsiTheme="minorEastAsia" w:eastAsiaTheme="minorEastAsia" w:cstheme="minorEastAsia"/>
                <w:color w:val="auto"/>
                <w:kern w:val="0"/>
                <w:szCs w:val="21"/>
                <w:highlight w:val="none"/>
              </w:rPr>
            </w:pPr>
          </w:p>
        </w:tc>
      </w:tr>
      <w:tr w14:paraId="5689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atLeast"/>
        </w:trPr>
        <w:tc>
          <w:tcPr>
            <w:tcW w:w="626" w:type="dxa"/>
            <w:vAlign w:val="center"/>
          </w:tcPr>
          <w:p w14:paraId="6048FFDE">
            <w:pPr>
              <w:spacing w:line="44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w:t>
            </w:r>
          </w:p>
        </w:tc>
        <w:tc>
          <w:tcPr>
            <w:tcW w:w="848" w:type="dxa"/>
            <w:vAlign w:val="center"/>
          </w:tcPr>
          <w:p w14:paraId="508C87A0">
            <w:pPr>
              <w:spacing w:line="440" w:lineRule="exact"/>
              <w:rPr>
                <w:rFonts w:hint="eastAsia" w:asciiTheme="minorEastAsia" w:hAnsiTheme="minorEastAsia" w:eastAsiaTheme="minorEastAsia" w:cstheme="minorEastAsia"/>
                <w:color w:val="auto"/>
                <w:kern w:val="0"/>
                <w:szCs w:val="21"/>
                <w:highlight w:val="none"/>
              </w:rPr>
            </w:pPr>
          </w:p>
        </w:tc>
        <w:tc>
          <w:tcPr>
            <w:tcW w:w="1213" w:type="dxa"/>
            <w:vAlign w:val="center"/>
          </w:tcPr>
          <w:p w14:paraId="7AE20784">
            <w:pPr>
              <w:spacing w:line="440" w:lineRule="exact"/>
              <w:jc w:val="center"/>
              <w:rPr>
                <w:rFonts w:hint="eastAsia" w:asciiTheme="minorEastAsia" w:hAnsiTheme="minorEastAsia" w:eastAsiaTheme="minorEastAsia" w:cstheme="minorEastAsia"/>
                <w:color w:val="auto"/>
                <w:kern w:val="0"/>
                <w:szCs w:val="21"/>
                <w:highlight w:val="none"/>
              </w:rPr>
            </w:pPr>
          </w:p>
        </w:tc>
        <w:tc>
          <w:tcPr>
            <w:tcW w:w="970" w:type="dxa"/>
            <w:vAlign w:val="center"/>
          </w:tcPr>
          <w:p w14:paraId="1F62039E">
            <w:pPr>
              <w:spacing w:line="440" w:lineRule="exact"/>
              <w:jc w:val="center"/>
              <w:rPr>
                <w:rFonts w:hint="eastAsia" w:asciiTheme="minorEastAsia" w:hAnsiTheme="minorEastAsia" w:eastAsiaTheme="minorEastAsia" w:cstheme="minorEastAsia"/>
                <w:color w:val="auto"/>
                <w:kern w:val="0"/>
                <w:szCs w:val="21"/>
                <w:highlight w:val="none"/>
              </w:rPr>
            </w:pPr>
          </w:p>
        </w:tc>
        <w:tc>
          <w:tcPr>
            <w:tcW w:w="1213" w:type="dxa"/>
            <w:vAlign w:val="center"/>
          </w:tcPr>
          <w:p w14:paraId="31AA250C">
            <w:pPr>
              <w:spacing w:line="440" w:lineRule="exact"/>
              <w:jc w:val="center"/>
              <w:rPr>
                <w:rFonts w:hint="eastAsia" w:asciiTheme="minorEastAsia" w:hAnsiTheme="minorEastAsia" w:eastAsiaTheme="minorEastAsia" w:cstheme="minorEastAsia"/>
                <w:color w:val="auto"/>
                <w:kern w:val="0"/>
                <w:szCs w:val="21"/>
                <w:highlight w:val="none"/>
              </w:rPr>
            </w:pPr>
          </w:p>
        </w:tc>
        <w:tc>
          <w:tcPr>
            <w:tcW w:w="2307" w:type="dxa"/>
            <w:vAlign w:val="center"/>
          </w:tcPr>
          <w:p w14:paraId="166130A1">
            <w:pPr>
              <w:spacing w:line="440" w:lineRule="exact"/>
              <w:jc w:val="center"/>
              <w:rPr>
                <w:rFonts w:hint="eastAsia" w:asciiTheme="minorEastAsia" w:hAnsiTheme="minorEastAsia" w:eastAsiaTheme="minorEastAsia" w:cstheme="minorEastAsia"/>
                <w:color w:val="auto"/>
                <w:kern w:val="0"/>
                <w:szCs w:val="21"/>
                <w:highlight w:val="none"/>
              </w:rPr>
            </w:pPr>
          </w:p>
        </w:tc>
        <w:tc>
          <w:tcPr>
            <w:tcW w:w="1561" w:type="dxa"/>
            <w:vAlign w:val="center"/>
          </w:tcPr>
          <w:p w14:paraId="694959B4">
            <w:pPr>
              <w:spacing w:line="440" w:lineRule="exact"/>
              <w:jc w:val="center"/>
              <w:rPr>
                <w:rFonts w:hint="eastAsia" w:asciiTheme="minorEastAsia" w:hAnsiTheme="minorEastAsia" w:eastAsiaTheme="minorEastAsia" w:cstheme="minorEastAsia"/>
                <w:color w:val="auto"/>
                <w:kern w:val="0"/>
                <w:szCs w:val="21"/>
                <w:highlight w:val="none"/>
              </w:rPr>
            </w:pPr>
          </w:p>
        </w:tc>
      </w:tr>
      <w:tr w14:paraId="1254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atLeast"/>
        </w:trPr>
        <w:tc>
          <w:tcPr>
            <w:tcW w:w="626" w:type="dxa"/>
            <w:vAlign w:val="center"/>
          </w:tcPr>
          <w:p w14:paraId="3F7FE5CF">
            <w:pPr>
              <w:spacing w:line="44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p>
        </w:tc>
        <w:tc>
          <w:tcPr>
            <w:tcW w:w="848" w:type="dxa"/>
            <w:vAlign w:val="center"/>
          </w:tcPr>
          <w:p w14:paraId="416EC71F">
            <w:pPr>
              <w:spacing w:line="440" w:lineRule="exact"/>
              <w:rPr>
                <w:rFonts w:hint="eastAsia" w:asciiTheme="minorEastAsia" w:hAnsiTheme="minorEastAsia" w:eastAsiaTheme="minorEastAsia" w:cstheme="minorEastAsia"/>
                <w:color w:val="auto"/>
                <w:kern w:val="0"/>
                <w:szCs w:val="21"/>
                <w:highlight w:val="none"/>
              </w:rPr>
            </w:pPr>
          </w:p>
        </w:tc>
        <w:tc>
          <w:tcPr>
            <w:tcW w:w="1213" w:type="dxa"/>
            <w:vAlign w:val="center"/>
          </w:tcPr>
          <w:p w14:paraId="59503239">
            <w:pPr>
              <w:spacing w:line="440" w:lineRule="exact"/>
              <w:jc w:val="center"/>
              <w:rPr>
                <w:rFonts w:hint="eastAsia" w:asciiTheme="minorEastAsia" w:hAnsiTheme="minorEastAsia" w:eastAsiaTheme="minorEastAsia" w:cstheme="minorEastAsia"/>
                <w:color w:val="auto"/>
                <w:kern w:val="0"/>
                <w:szCs w:val="21"/>
                <w:highlight w:val="none"/>
              </w:rPr>
            </w:pPr>
          </w:p>
        </w:tc>
        <w:tc>
          <w:tcPr>
            <w:tcW w:w="970" w:type="dxa"/>
            <w:vAlign w:val="center"/>
          </w:tcPr>
          <w:p w14:paraId="499E0E3C">
            <w:pPr>
              <w:spacing w:line="440" w:lineRule="exact"/>
              <w:jc w:val="center"/>
              <w:rPr>
                <w:rFonts w:hint="eastAsia" w:asciiTheme="minorEastAsia" w:hAnsiTheme="minorEastAsia" w:eastAsiaTheme="minorEastAsia" w:cstheme="minorEastAsia"/>
                <w:color w:val="auto"/>
                <w:kern w:val="0"/>
                <w:szCs w:val="21"/>
                <w:highlight w:val="none"/>
              </w:rPr>
            </w:pPr>
          </w:p>
        </w:tc>
        <w:tc>
          <w:tcPr>
            <w:tcW w:w="1213" w:type="dxa"/>
            <w:vAlign w:val="center"/>
          </w:tcPr>
          <w:p w14:paraId="6525FF28">
            <w:pPr>
              <w:spacing w:line="440" w:lineRule="exact"/>
              <w:jc w:val="center"/>
              <w:rPr>
                <w:rFonts w:hint="eastAsia" w:asciiTheme="minorEastAsia" w:hAnsiTheme="minorEastAsia" w:eastAsiaTheme="minorEastAsia" w:cstheme="minorEastAsia"/>
                <w:color w:val="auto"/>
                <w:kern w:val="0"/>
                <w:szCs w:val="21"/>
                <w:highlight w:val="none"/>
              </w:rPr>
            </w:pPr>
          </w:p>
        </w:tc>
        <w:tc>
          <w:tcPr>
            <w:tcW w:w="2307" w:type="dxa"/>
            <w:vAlign w:val="center"/>
          </w:tcPr>
          <w:p w14:paraId="2CA228C7">
            <w:pPr>
              <w:spacing w:line="440" w:lineRule="exact"/>
              <w:jc w:val="center"/>
              <w:rPr>
                <w:rFonts w:hint="eastAsia" w:asciiTheme="minorEastAsia" w:hAnsiTheme="minorEastAsia" w:eastAsiaTheme="minorEastAsia" w:cstheme="minorEastAsia"/>
                <w:color w:val="auto"/>
                <w:kern w:val="0"/>
                <w:szCs w:val="21"/>
                <w:highlight w:val="none"/>
              </w:rPr>
            </w:pPr>
          </w:p>
        </w:tc>
        <w:tc>
          <w:tcPr>
            <w:tcW w:w="1561" w:type="dxa"/>
            <w:vAlign w:val="center"/>
          </w:tcPr>
          <w:p w14:paraId="2AC381E3">
            <w:pPr>
              <w:spacing w:line="440" w:lineRule="exact"/>
              <w:jc w:val="center"/>
              <w:rPr>
                <w:rFonts w:hint="eastAsia" w:asciiTheme="minorEastAsia" w:hAnsiTheme="minorEastAsia" w:eastAsiaTheme="minorEastAsia" w:cstheme="minorEastAsia"/>
                <w:color w:val="auto"/>
                <w:kern w:val="0"/>
                <w:szCs w:val="21"/>
                <w:highlight w:val="none"/>
              </w:rPr>
            </w:pPr>
          </w:p>
        </w:tc>
      </w:tr>
    </w:tbl>
    <w:p w14:paraId="05413961">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注：表格可自行扩展，后附资料根据评分标准及招标文件要求提供。</w:t>
      </w:r>
    </w:p>
    <w:p w14:paraId="2DC9B5AD">
      <w:pPr>
        <w:spacing w:line="440" w:lineRule="exact"/>
        <w:rPr>
          <w:rFonts w:hint="eastAsia" w:asciiTheme="minorEastAsia" w:hAnsiTheme="minorEastAsia" w:eastAsiaTheme="minorEastAsia" w:cstheme="minorEastAsia"/>
          <w:color w:val="auto"/>
          <w:szCs w:val="21"/>
          <w:highlight w:val="none"/>
        </w:rPr>
      </w:pPr>
    </w:p>
    <w:p w14:paraId="3696BF85">
      <w:pPr>
        <w:spacing w:line="440" w:lineRule="exact"/>
        <w:rPr>
          <w:rFonts w:hint="eastAsia" w:asciiTheme="minorEastAsia" w:hAnsiTheme="minorEastAsia" w:eastAsiaTheme="minorEastAsia" w:cstheme="minorEastAsia"/>
          <w:color w:val="auto"/>
          <w:szCs w:val="21"/>
          <w:highlight w:val="none"/>
        </w:rPr>
      </w:pPr>
    </w:p>
    <w:p w14:paraId="7580A3F5">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投标人全称（公章）：</w:t>
      </w:r>
    </w:p>
    <w:p w14:paraId="55FC7674">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法定代表人或法定代表人的授权代表（签字或盖章）：                       </w:t>
      </w:r>
    </w:p>
    <w:p w14:paraId="55294F48">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p>
    <w:p w14:paraId="00622E5E">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p>
    <w:p w14:paraId="64CF81D9">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十一、业绩表</w:t>
      </w:r>
    </w:p>
    <w:p w14:paraId="03CF36FB">
      <w:pPr>
        <w:spacing w:line="440" w:lineRule="exact"/>
        <w:jc w:val="center"/>
        <w:rPr>
          <w:rFonts w:hint="eastAsia" w:asciiTheme="minorEastAsia" w:hAnsiTheme="minorEastAsia" w:eastAsiaTheme="minorEastAsia" w:cstheme="minorEastAsia"/>
          <w:b/>
          <w:bCs/>
          <w:color w:val="auto"/>
          <w:szCs w:val="21"/>
          <w:highlight w:val="none"/>
        </w:rPr>
      </w:pPr>
    </w:p>
    <w:p w14:paraId="1E8CE141">
      <w:pPr>
        <w:spacing w:line="360" w:lineRule="auto"/>
        <w:ind w:firstLine="211" w:firstLineChars="10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业绩表</w:t>
      </w:r>
    </w:p>
    <w:p w14:paraId="08CA952D">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项目编号：</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 xml:space="preserve"> </w:t>
      </w: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tbl>
      <w:tblPr>
        <w:tblStyle w:val="21"/>
        <w:tblW w:w="8300" w:type="dxa"/>
        <w:tblInd w:w="1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701"/>
        <w:gridCol w:w="1276"/>
        <w:gridCol w:w="1559"/>
        <w:gridCol w:w="1134"/>
        <w:gridCol w:w="1922"/>
      </w:tblGrid>
      <w:tr w14:paraId="3A3C18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708" w:type="dxa"/>
            <w:vAlign w:val="center"/>
          </w:tcPr>
          <w:p w14:paraId="69746795">
            <w:pPr>
              <w:pStyle w:val="7"/>
              <w:spacing w:before="120" w:after="120" w:line="44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1701" w:type="dxa"/>
            <w:vAlign w:val="center"/>
          </w:tcPr>
          <w:p w14:paraId="725731B0">
            <w:pPr>
              <w:pStyle w:val="7"/>
              <w:spacing w:before="120" w:after="120" w:line="44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项目名称</w:t>
            </w:r>
          </w:p>
        </w:tc>
        <w:tc>
          <w:tcPr>
            <w:tcW w:w="1276" w:type="dxa"/>
            <w:vAlign w:val="center"/>
          </w:tcPr>
          <w:p w14:paraId="7A927648">
            <w:pPr>
              <w:pStyle w:val="7"/>
              <w:spacing w:before="120" w:after="120" w:line="44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采购内容</w:t>
            </w:r>
          </w:p>
        </w:tc>
        <w:tc>
          <w:tcPr>
            <w:tcW w:w="1559" w:type="dxa"/>
            <w:vAlign w:val="center"/>
          </w:tcPr>
          <w:p w14:paraId="69AB1A71">
            <w:pPr>
              <w:pStyle w:val="7"/>
              <w:spacing w:before="120" w:after="120" w:line="44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合同签订时间</w:t>
            </w:r>
          </w:p>
        </w:tc>
        <w:tc>
          <w:tcPr>
            <w:tcW w:w="1134" w:type="dxa"/>
            <w:vAlign w:val="center"/>
          </w:tcPr>
          <w:p w14:paraId="4E85FE91">
            <w:pPr>
              <w:pStyle w:val="7"/>
              <w:spacing w:before="120" w:after="120" w:line="44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项目经理</w:t>
            </w:r>
          </w:p>
        </w:tc>
        <w:tc>
          <w:tcPr>
            <w:tcW w:w="1922" w:type="dxa"/>
            <w:vAlign w:val="center"/>
          </w:tcPr>
          <w:p w14:paraId="1DEDA1A9">
            <w:pPr>
              <w:pStyle w:val="7"/>
              <w:spacing w:before="120" w:after="120" w:line="44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委托方及联系方式</w:t>
            </w:r>
          </w:p>
        </w:tc>
      </w:tr>
      <w:tr w14:paraId="717219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08" w:type="dxa"/>
          </w:tcPr>
          <w:p w14:paraId="162BBB69">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701" w:type="dxa"/>
          </w:tcPr>
          <w:p w14:paraId="5D6A6D53">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276" w:type="dxa"/>
          </w:tcPr>
          <w:p w14:paraId="49B5270C">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559" w:type="dxa"/>
          </w:tcPr>
          <w:p w14:paraId="1E60FE4E">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134" w:type="dxa"/>
          </w:tcPr>
          <w:p w14:paraId="62D8C069">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922" w:type="dxa"/>
          </w:tcPr>
          <w:p w14:paraId="5D4D23E7">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r>
      <w:tr w14:paraId="6DF6FC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8" w:type="dxa"/>
          </w:tcPr>
          <w:p w14:paraId="3351503E">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701" w:type="dxa"/>
          </w:tcPr>
          <w:p w14:paraId="1A57D803">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276" w:type="dxa"/>
          </w:tcPr>
          <w:p w14:paraId="2F3E07D9">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559" w:type="dxa"/>
          </w:tcPr>
          <w:p w14:paraId="2F4307B1">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134" w:type="dxa"/>
          </w:tcPr>
          <w:p w14:paraId="7B6D6420">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922" w:type="dxa"/>
          </w:tcPr>
          <w:p w14:paraId="193A2CAE">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r>
      <w:tr w14:paraId="68F01A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08" w:type="dxa"/>
          </w:tcPr>
          <w:p w14:paraId="24C89CAA">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701" w:type="dxa"/>
          </w:tcPr>
          <w:p w14:paraId="1F22552F">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276" w:type="dxa"/>
          </w:tcPr>
          <w:p w14:paraId="31DAF86C">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559" w:type="dxa"/>
          </w:tcPr>
          <w:p w14:paraId="7540F6E1">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134" w:type="dxa"/>
          </w:tcPr>
          <w:p w14:paraId="6561CDC5">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922" w:type="dxa"/>
          </w:tcPr>
          <w:p w14:paraId="198491C3">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r>
      <w:tr w14:paraId="6787AE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8" w:type="dxa"/>
          </w:tcPr>
          <w:p w14:paraId="4D5C51F5">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701" w:type="dxa"/>
          </w:tcPr>
          <w:p w14:paraId="22E4B63B">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276" w:type="dxa"/>
          </w:tcPr>
          <w:p w14:paraId="6DC8F5D7">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559" w:type="dxa"/>
          </w:tcPr>
          <w:p w14:paraId="207B49D4">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134" w:type="dxa"/>
          </w:tcPr>
          <w:p w14:paraId="1E0521C6">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922" w:type="dxa"/>
          </w:tcPr>
          <w:p w14:paraId="2CB0798F">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r>
      <w:tr w14:paraId="561F41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08" w:type="dxa"/>
          </w:tcPr>
          <w:p w14:paraId="0B74ED4E">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701" w:type="dxa"/>
          </w:tcPr>
          <w:p w14:paraId="010F9F4E">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276" w:type="dxa"/>
          </w:tcPr>
          <w:p w14:paraId="5B87F4AE">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559" w:type="dxa"/>
          </w:tcPr>
          <w:p w14:paraId="345203B4">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134" w:type="dxa"/>
          </w:tcPr>
          <w:p w14:paraId="7513AA18">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922" w:type="dxa"/>
          </w:tcPr>
          <w:p w14:paraId="5612B321">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r>
      <w:tr w14:paraId="4871E5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8" w:type="dxa"/>
          </w:tcPr>
          <w:p w14:paraId="17291F50">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701" w:type="dxa"/>
          </w:tcPr>
          <w:p w14:paraId="4B3CC99C">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276" w:type="dxa"/>
          </w:tcPr>
          <w:p w14:paraId="401F4513">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559" w:type="dxa"/>
          </w:tcPr>
          <w:p w14:paraId="07A4B314">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134" w:type="dxa"/>
          </w:tcPr>
          <w:p w14:paraId="6965624C">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922" w:type="dxa"/>
          </w:tcPr>
          <w:p w14:paraId="3E2A453F">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r>
      <w:tr w14:paraId="77DB2E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08" w:type="dxa"/>
          </w:tcPr>
          <w:p w14:paraId="3E2D1437">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701" w:type="dxa"/>
          </w:tcPr>
          <w:p w14:paraId="0C33C84C">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276" w:type="dxa"/>
          </w:tcPr>
          <w:p w14:paraId="433D3CB9">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559" w:type="dxa"/>
          </w:tcPr>
          <w:p w14:paraId="307CEBE1">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134" w:type="dxa"/>
          </w:tcPr>
          <w:p w14:paraId="26910361">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922" w:type="dxa"/>
          </w:tcPr>
          <w:p w14:paraId="68976686">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r>
      <w:tr w14:paraId="63DA43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8" w:type="dxa"/>
          </w:tcPr>
          <w:p w14:paraId="5AD71BAD">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701" w:type="dxa"/>
          </w:tcPr>
          <w:p w14:paraId="078468EE">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276" w:type="dxa"/>
          </w:tcPr>
          <w:p w14:paraId="1B941D74">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559" w:type="dxa"/>
          </w:tcPr>
          <w:p w14:paraId="0394A943">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134" w:type="dxa"/>
          </w:tcPr>
          <w:p w14:paraId="446C90B6">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922" w:type="dxa"/>
          </w:tcPr>
          <w:p w14:paraId="0EFA13C7">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r>
      <w:tr w14:paraId="66FD65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08" w:type="dxa"/>
          </w:tcPr>
          <w:p w14:paraId="5193F55B">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701" w:type="dxa"/>
          </w:tcPr>
          <w:p w14:paraId="5A1FA210">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276" w:type="dxa"/>
          </w:tcPr>
          <w:p w14:paraId="219EA396">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559" w:type="dxa"/>
          </w:tcPr>
          <w:p w14:paraId="708A5F8B">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134" w:type="dxa"/>
          </w:tcPr>
          <w:p w14:paraId="4C52CEF9">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922" w:type="dxa"/>
          </w:tcPr>
          <w:p w14:paraId="7D9C52E5">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r>
      <w:tr w14:paraId="6F951A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8" w:type="dxa"/>
          </w:tcPr>
          <w:p w14:paraId="49DFA39F">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701" w:type="dxa"/>
          </w:tcPr>
          <w:p w14:paraId="22703F91">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276" w:type="dxa"/>
          </w:tcPr>
          <w:p w14:paraId="0362C785">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559" w:type="dxa"/>
          </w:tcPr>
          <w:p w14:paraId="5F306403">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134" w:type="dxa"/>
          </w:tcPr>
          <w:p w14:paraId="7FFD22C8">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c>
          <w:tcPr>
            <w:tcW w:w="1922" w:type="dxa"/>
          </w:tcPr>
          <w:p w14:paraId="46888D2B">
            <w:pPr>
              <w:pStyle w:val="7"/>
              <w:snapToGrid w:val="0"/>
              <w:spacing w:before="120" w:after="120" w:line="440" w:lineRule="exact"/>
              <w:rPr>
                <w:rFonts w:hint="eastAsia" w:asciiTheme="minorEastAsia" w:hAnsiTheme="minorEastAsia" w:eastAsiaTheme="minorEastAsia" w:cstheme="minorEastAsia"/>
                <w:color w:val="auto"/>
                <w:sz w:val="21"/>
                <w:szCs w:val="21"/>
                <w:highlight w:val="none"/>
                <w:u w:val="single"/>
              </w:rPr>
            </w:pPr>
          </w:p>
        </w:tc>
      </w:tr>
    </w:tbl>
    <w:p w14:paraId="1E2FA4D7">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注：表格可自行扩展，后附资料根据评分标准及招标文件要求提供。</w:t>
      </w:r>
    </w:p>
    <w:p w14:paraId="6C602430">
      <w:pPr>
        <w:spacing w:line="440" w:lineRule="exact"/>
        <w:rPr>
          <w:rFonts w:hint="eastAsia" w:asciiTheme="minorEastAsia" w:hAnsiTheme="minorEastAsia" w:eastAsiaTheme="minorEastAsia" w:cstheme="minorEastAsia"/>
          <w:color w:val="auto"/>
          <w:szCs w:val="21"/>
          <w:highlight w:val="none"/>
        </w:rPr>
      </w:pPr>
    </w:p>
    <w:p w14:paraId="478EB553">
      <w:pPr>
        <w:spacing w:line="440" w:lineRule="exact"/>
        <w:rPr>
          <w:rFonts w:hint="eastAsia" w:asciiTheme="minorEastAsia" w:hAnsiTheme="minorEastAsia" w:eastAsiaTheme="minorEastAsia" w:cstheme="minorEastAsia"/>
          <w:color w:val="auto"/>
          <w:szCs w:val="21"/>
          <w:highlight w:val="none"/>
        </w:rPr>
      </w:pPr>
    </w:p>
    <w:p w14:paraId="1AFC010C">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投标人全称（公章）：</w:t>
      </w:r>
    </w:p>
    <w:p w14:paraId="0468D034">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法定代表人或法定代表人的授权代表（签字或盖章）：                       </w:t>
      </w:r>
    </w:p>
    <w:p w14:paraId="00147A77">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p>
    <w:p w14:paraId="4F45C165">
      <w:pPr>
        <w:snapToGrid w:val="0"/>
        <w:spacing w:line="360" w:lineRule="auto"/>
        <w:rPr>
          <w:rFonts w:hint="eastAsia" w:asciiTheme="minorEastAsia" w:hAnsiTheme="minorEastAsia" w:eastAsiaTheme="minorEastAsia" w:cstheme="minorEastAsia"/>
          <w:color w:val="auto"/>
          <w:szCs w:val="21"/>
          <w:highlight w:val="none"/>
        </w:rPr>
      </w:pPr>
    </w:p>
    <w:p w14:paraId="44B809AD">
      <w:pPr>
        <w:pStyle w:val="50"/>
        <w:spacing w:before="0" w:beforeAutospacing="0" w:after="0" w:afterAutospacing="0" w:line="400" w:lineRule="exact"/>
        <w:jc w:val="both"/>
        <w:rPr>
          <w:rStyle w:val="106"/>
          <w:rFonts w:hint="eastAsia" w:asciiTheme="minorEastAsia" w:hAnsiTheme="minorEastAsia" w:eastAsiaTheme="minorEastAsia" w:cstheme="minorEastAsia"/>
          <w:color w:val="auto"/>
          <w:highlight w:val="none"/>
        </w:rPr>
      </w:pPr>
    </w:p>
    <w:sectPr>
      <w:footerReference r:id="rId17" w:type="default"/>
      <w:pgSz w:w="11906" w:h="16838"/>
      <w:pgMar w:top="1985" w:right="1531" w:bottom="1588" w:left="1644" w:header="851" w:footer="992" w:gutter="0"/>
      <w:cols w:space="720" w:num="1"/>
      <w:docGrid w:linePitch="602"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汉鼎简细圆">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ヒラギノ角ゴ Pro W3">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0A82F">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CC103E">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32CC103E">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78A57">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66BBA">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F9B35C">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64F9B35C">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05854">
    <w:pPr>
      <w:pStyle w:val="1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E36D81">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33E36D81">
                    <w:pPr>
                      <w:pStyle w:val="10"/>
                    </w:pPr>
                    <w:r>
                      <w:fldChar w:fldCharType="begin"/>
                    </w:r>
                    <w:r>
                      <w:instrText xml:space="preserve"> PAGE  \* MERGEFORMAT </w:instrText>
                    </w:r>
                    <w:r>
                      <w:fldChar w:fldCharType="separate"/>
                    </w:r>
                    <w:r>
                      <w:t>4</w:t>
                    </w:r>
                    <w:r>
                      <w:fldChar w:fldCharType="end"/>
                    </w:r>
                  </w:p>
                </w:txbxContent>
              </v:textbox>
            </v:shape>
          </w:pict>
        </mc:Fallback>
      </mc:AlternateContent>
    </w:r>
  </w:p>
  <w:p w14:paraId="6D50B964">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DDCF5">
    <w:pPr>
      <w:pStyle w:val="10"/>
      <w:tabs>
        <w:tab w:val="center" w:pos="4428"/>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44F49E">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4E44F49E">
                    <w:pPr>
                      <w:pStyle w:val="10"/>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9994E">
    <w:pPr>
      <w:pStyle w:val="10"/>
      <w:ind w:right="360" w:firstLine="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79607A">
                          <w:pPr>
                            <w:pStyle w:val="1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0579607A">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8F8F0">
    <w:pPr>
      <w:pStyle w:val="10"/>
      <w:framePr w:wrap="around" w:vAnchor="text" w:hAnchor="margin" w:xAlign="center" w:yAlign="top"/>
      <w:rPr>
        <w:rStyle w:val="25"/>
      </w:rPr>
    </w:pPr>
    <w:r>
      <w:fldChar w:fldCharType="begin"/>
    </w:r>
    <w:r>
      <w:rPr>
        <w:rStyle w:val="25"/>
      </w:rPr>
      <w:instrText xml:space="preserve">PAGE  </w:instrText>
    </w:r>
    <w:r>
      <w:fldChar w:fldCharType="separate"/>
    </w:r>
    <w:r>
      <w:rPr>
        <w:rStyle w:val="25"/>
      </w:rPr>
      <w:t>3</w:t>
    </w:r>
    <w:r>
      <w:fldChar w:fldCharType="end"/>
    </w:r>
  </w:p>
  <w:p w14:paraId="5CD75206">
    <w:pPr>
      <w:pStyle w:val="10"/>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367F3">
    <w:pPr>
      <w:pStyle w:val="1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BABC8F">
                          <w:pPr>
                            <w:pStyle w:val="1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27BABC8F">
                    <w:pPr>
                      <w:pStyle w:val="10"/>
                    </w:pPr>
                    <w:r>
                      <w:fldChar w:fldCharType="begin"/>
                    </w:r>
                    <w:r>
                      <w:instrText xml:space="preserve"> PAGE  \* MERGEFORMAT </w:instrText>
                    </w:r>
                    <w:r>
                      <w:fldChar w:fldCharType="separate"/>
                    </w:r>
                    <w:r>
                      <w:t>43</w:t>
                    </w:r>
                    <w:r>
                      <w:fldChar w:fldCharType="end"/>
                    </w:r>
                  </w:p>
                </w:txbxContent>
              </v:textbox>
            </v:shape>
          </w:pict>
        </mc:Fallback>
      </mc:AlternateContent>
    </w:r>
  </w:p>
  <w:p w14:paraId="68873137">
    <w:pPr>
      <w:pStyle w:val="1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F464F">
    <w:pPr>
      <w:pStyle w:val="10"/>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6FAB0F">
                          <w:pPr>
                            <w:pStyle w:val="1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786FAB0F">
                    <w:pPr>
                      <w:pStyle w:val="10"/>
                    </w:pPr>
                    <w:r>
                      <w:fldChar w:fldCharType="begin"/>
                    </w:r>
                    <w:r>
                      <w:instrText xml:space="preserve"> PAGE  \* MERGEFORMAT </w:instrText>
                    </w:r>
                    <w:r>
                      <w:fldChar w:fldCharType="separate"/>
                    </w:r>
                    <w:r>
                      <w:t>56</w:t>
                    </w:r>
                    <w:r>
                      <w:fldChar w:fldCharType="end"/>
                    </w:r>
                  </w:p>
                </w:txbxContent>
              </v:textbox>
            </v:shape>
          </w:pict>
        </mc:Fallback>
      </mc:AlternateContent>
    </w:r>
  </w:p>
  <w:p w14:paraId="0E33D7C7">
    <w:pPr>
      <w:rPr>
        <w:rStyle w:val="10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2AE4B">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9C257">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169F3">
    <w:pPr>
      <w:pStyle w:val="1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654BC">
    <w:pPr>
      <w:pStyle w:val="11"/>
      <w:pBdr>
        <w:bottom w:val="none" w:color="auto" w:sz="0" w:space="0"/>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DA3F4">
    <w:pPr>
      <w:pStyle w:val="11"/>
      <w:framePr w:wrap="around" w:vAnchor="text" w:hAnchor="margin" w:xAlign="center" w:yAlign="top"/>
      <w:rPr>
        <w:rStyle w:val="25"/>
      </w:rPr>
    </w:pPr>
    <w:r>
      <w:fldChar w:fldCharType="begin"/>
    </w:r>
    <w:r>
      <w:rPr>
        <w:rStyle w:val="25"/>
      </w:rPr>
      <w:instrText xml:space="preserve">PAGE  </w:instrText>
    </w:r>
    <w:r>
      <w:fldChar w:fldCharType="separate"/>
    </w:r>
    <w:r>
      <w:rPr>
        <w:rStyle w:val="25"/>
      </w:rPr>
      <w:t>3</w:t>
    </w:r>
    <w:r>
      <w:fldChar w:fldCharType="end"/>
    </w:r>
  </w:p>
  <w:p w14:paraId="34DD94C0">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0924B">
    <w:pPr>
      <w:pStyle w:val="11"/>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A9C744"/>
    <w:multiLevelType w:val="singleLevel"/>
    <w:tmpl w:val="F0A9C744"/>
    <w:lvl w:ilvl="0" w:tentative="0">
      <w:start w:val="1"/>
      <w:numFmt w:val="decimalEnclosedCircleChinese"/>
      <w:suff w:val="nothing"/>
      <w:lvlText w:val="%1　"/>
      <w:lvlJc w:val="left"/>
      <w:pPr>
        <w:ind w:left="0" w:firstLine="400"/>
      </w:pPr>
      <w:rPr>
        <w:rFonts w:hint="eastAsia"/>
      </w:rPr>
    </w:lvl>
  </w:abstractNum>
  <w:abstractNum w:abstractNumId="1">
    <w:nsid w:val="00000001"/>
    <w:multiLevelType w:val="multilevel"/>
    <w:tmpl w:val="00000001"/>
    <w:lvl w:ilvl="0" w:tentative="0">
      <w:start w:val="1"/>
      <w:numFmt w:val="decimal"/>
      <w:pStyle w:val="84"/>
      <w:suff w:val="nothing"/>
      <w:lvlText w:val="%1　"/>
      <w:lvlJc w:val="left"/>
      <w:pPr>
        <w:tabs>
          <w:tab w:val="left" w:pos="0"/>
        </w:tabs>
        <w:ind w:left="0" w:firstLine="0"/>
      </w:pPr>
      <w:rPr>
        <w:rFonts w:ascii="黑体" w:hAnsi="黑体" w:eastAsia="黑体"/>
        <w:sz w:val="21"/>
        <w:szCs w:val="21"/>
      </w:rPr>
    </w:lvl>
    <w:lvl w:ilvl="1" w:tentative="0">
      <w:start w:val="1"/>
      <w:numFmt w:val="decimal"/>
      <w:pStyle w:val="74"/>
      <w:suff w:val="nothing"/>
      <w:lvlText w:val="%1.%2　"/>
      <w:lvlJc w:val="left"/>
      <w:pPr>
        <w:tabs>
          <w:tab w:val="left" w:pos="0"/>
        </w:tabs>
        <w:ind w:left="824" w:firstLine="0"/>
      </w:pPr>
      <w:rPr>
        <w:rFonts w:ascii="黑体" w:hAnsi="黑体" w:eastAsia="黑体"/>
        <w:kern w:val="0"/>
        <w:position w:val="0"/>
        <w:sz w:val="21"/>
        <w:szCs w:val="21"/>
      </w:rPr>
    </w:lvl>
    <w:lvl w:ilvl="2" w:tentative="0">
      <w:start w:val="1"/>
      <w:numFmt w:val="decimal"/>
      <w:pStyle w:val="96"/>
      <w:suff w:val="nothing"/>
      <w:lvlText w:val="%1.%2.%3　"/>
      <w:lvlJc w:val="left"/>
      <w:pPr>
        <w:tabs>
          <w:tab w:val="left" w:pos="0"/>
        </w:tabs>
        <w:ind w:left="1236" w:firstLine="0"/>
      </w:pPr>
      <w:rPr>
        <w:rFonts w:ascii="黑体" w:hAnsi="黑体" w:eastAsia="黑体"/>
        <w:sz w:val="21"/>
      </w:rPr>
    </w:lvl>
    <w:lvl w:ilvl="3" w:tentative="0">
      <w:start w:val="1"/>
      <w:numFmt w:val="decimal"/>
      <w:suff w:val="nothing"/>
      <w:lvlText w:val="%1.%2.%3.%4　"/>
      <w:lvlJc w:val="left"/>
      <w:pPr>
        <w:tabs>
          <w:tab w:val="left" w:pos="0"/>
        </w:tabs>
        <w:ind w:left="0" w:firstLine="0"/>
      </w:pPr>
      <w:rPr>
        <w:rFonts w:ascii="黑体" w:hAnsi="黑体" w:eastAsia="黑体"/>
        <w:sz w:val="21"/>
      </w:rPr>
    </w:lvl>
    <w:lvl w:ilvl="4" w:tentative="0">
      <w:start w:val="1"/>
      <w:numFmt w:val="decimal"/>
      <w:suff w:val="nothing"/>
      <w:lvlText w:val="%1.%2.%3.%4.%5　"/>
      <w:lvlJc w:val="left"/>
      <w:pPr>
        <w:tabs>
          <w:tab w:val="left" w:pos="0"/>
        </w:tabs>
        <w:ind w:left="0" w:firstLine="0"/>
      </w:pPr>
      <w:rPr>
        <w:rFonts w:ascii="黑体" w:hAnsi="黑体" w:eastAsia="黑体"/>
        <w:sz w:val="21"/>
      </w:rPr>
    </w:lvl>
    <w:lvl w:ilvl="5" w:tentative="0">
      <w:start w:val="1"/>
      <w:numFmt w:val="decimal"/>
      <w:suff w:val="nothing"/>
      <w:lvlText w:val="%1.%2.%3.%4.%5.%6　"/>
      <w:lvlJc w:val="left"/>
      <w:pPr>
        <w:tabs>
          <w:tab w:val="left" w:pos="0"/>
        </w:tabs>
        <w:ind w:left="0" w:firstLine="0"/>
      </w:pPr>
      <w:rPr>
        <w:rFonts w:ascii="黑体" w:hAnsi="黑体" w:eastAsia="黑体"/>
        <w:sz w:val="21"/>
      </w:rPr>
    </w:lvl>
    <w:lvl w:ilvl="6" w:tentative="0">
      <w:start w:val="1"/>
      <w:numFmt w:val="decimal"/>
      <w:suff w:val="nothing"/>
      <w:lvlText w:val="%1%2.%3.%4.%5.%6.%7　"/>
      <w:lvlJc w:val="left"/>
      <w:pPr>
        <w:tabs>
          <w:tab w:val="left" w:pos="0"/>
        </w:tabs>
        <w:ind w:left="0" w:firstLine="0"/>
      </w:pPr>
      <w:rPr>
        <w:rFonts w:ascii="黑体" w:hAnsi="黑体" w:eastAsia="黑体"/>
        <w:sz w:val="21"/>
      </w:rPr>
    </w:lvl>
    <w:lvl w:ilvl="7" w:tentative="0">
      <w:start w:val="1"/>
      <w:numFmt w:val="decimal"/>
      <w:lvlText w:val="%1.%2.%3.%4.%5.%6.%7.%8"/>
      <w:lvlJc w:val="left"/>
      <w:pPr>
        <w:tabs>
          <w:tab w:val="left" w:pos="0"/>
        </w:tabs>
        <w:ind w:left="3969" w:hanging="1418"/>
      </w:pPr>
    </w:lvl>
    <w:lvl w:ilvl="8" w:tentative="0">
      <w:start w:val="1"/>
      <w:numFmt w:val="decimal"/>
      <w:lvlText w:val="%1.%2.%3.%4.%5.%6.%7.%8.%9"/>
      <w:lvlJc w:val="left"/>
      <w:pPr>
        <w:tabs>
          <w:tab w:val="left" w:pos="0"/>
        </w:tabs>
        <w:ind w:left="4677" w:hanging="1700"/>
      </w:pPr>
    </w:lvl>
  </w:abstractNum>
  <w:abstractNum w:abstractNumId="2">
    <w:nsid w:val="00000002"/>
    <w:multiLevelType w:val="singleLevel"/>
    <w:tmpl w:val="00000002"/>
    <w:lvl w:ilvl="0" w:tentative="0">
      <w:start w:val="1"/>
      <w:numFmt w:val="decimal"/>
      <w:suff w:val="nothing"/>
      <w:lvlText w:val="（%1）"/>
      <w:lvlJc w:val="left"/>
      <w:pPr>
        <w:tabs>
          <w:tab w:val="left" w:pos="0"/>
        </w:tabs>
        <w:ind w:left="0" w:firstLine="400"/>
      </w:pPr>
    </w:lvl>
  </w:abstractNum>
  <w:abstractNum w:abstractNumId="3">
    <w:nsid w:val="00000003"/>
    <w:multiLevelType w:val="singleLevel"/>
    <w:tmpl w:val="00000003"/>
    <w:lvl w:ilvl="0" w:tentative="0">
      <w:start w:val="1"/>
      <w:numFmt w:val="decimal"/>
      <w:suff w:val="nothing"/>
      <w:lvlText w:val="%1."/>
      <w:lvlJc w:val="left"/>
      <w:pPr>
        <w:tabs>
          <w:tab w:val="left" w:pos="0"/>
        </w:tabs>
        <w:ind w:left="0" w:firstLine="0"/>
      </w:pPr>
    </w:lvl>
  </w:abstractNum>
  <w:abstractNum w:abstractNumId="4">
    <w:nsid w:val="00000004"/>
    <w:multiLevelType w:val="singleLevel"/>
    <w:tmpl w:val="00000004"/>
    <w:lvl w:ilvl="0" w:tentative="0">
      <w:start w:val="1"/>
      <w:numFmt w:val="decimal"/>
      <w:suff w:val="nothing"/>
      <w:lvlText w:val="（%1）"/>
      <w:lvlJc w:val="left"/>
      <w:pPr>
        <w:tabs>
          <w:tab w:val="left" w:pos="0"/>
        </w:tabs>
        <w:ind w:left="0" w:firstLine="0"/>
      </w:pPr>
    </w:lvl>
  </w:abstractNum>
  <w:abstractNum w:abstractNumId="5">
    <w:nsid w:val="00000005"/>
    <w:multiLevelType w:val="multilevel"/>
    <w:tmpl w:val="00000005"/>
    <w:lvl w:ilvl="0" w:tentative="0">
      <w:start w:val="2"/>
      <w:numFmt w:val="decimal"/>
      <w:suff w:val="nothing"/>
      <w:lvlText w:val="%1."/>
      <w:lvlJc w:val="left"/>
      <w:pPr>
        <w:tabs>
          <w:tab w:val="left" w:pos="0"/>
        </w:tabs>
        <w:ind w:left="208" w:firstLine="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6"/>
    <w:multiLevelType w:val="singleLevel"/>
    <w:tmpl w:val="00000006"/>
    <w:lvl w:ilvl="0" w:tentative="0">
      <w:start w:val="1"/>
      <w:numFmt w:val="decimal"/>
      <w:suff w:val="nothing"/>
      <w:lvlText w:val="（%1）"/>
      <w:lvlJc w:val="left"/>
      <w:pPr>
        <w:ind w:left="0" w:firstLine="420"/>
      </w:pPr>
      <w:rPr>
        <w:rFonts w:hint="default"/>
      </w:rPr>
    </w:lvl>
  </w:abstractNum>
  <w:abstractNum w:abstractNumId="7">
    <w:nsid w:val="0BF97EDC"/>
    <w:multiLevelType w:val="singleLevel"/>
    <w:tmpl w:val="0BF97EDC"/>
    <w:lvl w:ilvl="0" w:tentative="0">
      <w:start w:val="1"/>
      <w:numFmt w:val="decimal"/>
      <w:pStyle w:val="52"/>
      <w:lvlText w:val="%1."/>
      <w:lvlJc w:val="left"/>
      <w:pPr>
        <w:tabs>
          <w:tab w:val="left" w:pos="0"/>
        </w:tabs>
        <w:ind w:left="1200" w:hanging="360"/>
      </w:pPr>
    </w:lvl>
  </w:abstractNum>
  <w:abstractNum w:abstractNumId="8">
    <w:nsid w:val="0D199C61"/>
    <w:multiLevelType w:val="singleLevel"/>
    <w:tmpl w:val="0D199C61"/>
    <w:lvl w:ilvl="0" w:tentative="0">
      <w:start w:val="1"/>
      <w:numFmt w:val="decimalEnclosedCircleChinese"/>
      <w:suff w:val="nothing"/>
      <w:lvlText w:val="%1　"/>
      <w:lvlJc w:val="left"/>
      <w:pPr>
        <w:ind w:left="0" w:leftChars="0" w:firstLine="425" w:firstLineChars="0"/>
      </w:pPr>
      <w:rPr>
        <w:rFonts w:hint="eastAsia"/>
      </w:rPr>
    </w:lvl>
  </w:abstractNum>
  <w:abstractNum w:abstractNumId="9">
    <w:nsid w:val="503E1D05"/>
    <w:multiLevelType w:val="singleLevel"/>
    <w:tmpl w:val="503E1D05"/>
    <w:lvl w:ilvl="0" w:tentative="0">
      <w:start w:val="3"/>
      <w:numFmt w:val="decimal"/>
      <w:suff w:val="nothing"/>
      <w:lvlText w:val="%1、"/>
      <w:lvlJc w:val="left"/>
    </w:lvl>
  </w:abstractNum>
  <w:abstractNum w:abstractNumId="10">
    <w:nsid w:val="657F8277"/>
    <w:multiLevelType w:val="singleLevel"/>
    <w:tmpl w:val="657F8277"/>
    <w:lvl w:ilvl="0" w:tentative="0">
      <w:start w:val="2"/>
      <w:numFmt w:val="chineseCounting"/>
      <w:suff w:val="nothing"/>
      <w:lvlText w:val="%1、"/>
      <w:lvlJc w:val="left"/>
      <w:rPr>
        <w:rFonts w:hint="eastAsia"/>
      </w:rPr>
    </w:lvl>
  </w:abstractNum>
  <w:num w:numId="1">
    <w:abstractNumId w:val="7"/>
  </w:num>
  <w:num w:numId="2">
    <w:abstractNumId w:val="1"/>
  </w:num>
  <w:num w:numId="3">
    <w:abstractNumId w:val="9"/>
  </w:num>
  <w:num w:numId="4">
    <w:abstractNumId w:val="8"/>
  </w:num>
  <w:num w:numId="5">
    <w:abstractNumId w:val="3"/>
  </w:num>
  <w:num w:numId="6">
    <w:abstractNumId w:val="4"/>
  </w:num>
  <w:num w:numId="7">
    <w:abstractNumId w:val="5"/>
  </w:num>
  <w:num w:numId="8">
    <w:abstractNumId w:val="2"/>
  </w:num>
  <w:num w:numId="9">
    <w:abstractNumId w:val="6"/>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UseMarginsForDrawingGridOrigin w:val="1"/>
  <w:drawingGridHorizontalOrigin w:val="0"/>
  <w:drawingGridVerticalOrigin w:val="0"/>
  <w:noPunctuationKerning w:val="1"/>
  <w:characterSpacingControl w:val="compressPunctuation"/>
  <w:hdrShapeDefaults>
    <o:shapelayout v:ext="edit">
      <o:idmap v:ext="edit" data="3"/>
    </o:shapelayout>
  </w:hdrShapeDefaults>
  <w:compat>
    <w:spaceForUL/>
    <w:balanceSingleByteDoubleByteWidth/>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mZTgxODM0ODlmMDEyMTY5NDljODRmYjE3MjJjNTUifQ=="/>
  </w:docVars>
  <w:rsids>
    <w:rsidRoot w:val="00C9657E"/>
    <w:rsid w:val="00025B3C"/>
    <w:rsid w:val="0003552E"/>
    <w:rsid w:val="001929B4"/>
    <w:rsid w:val="001B34A3"/>
    <w:rsid w:val="0022768F"/>
    <w:rsid w:val="00271C24"/>
    <w:rsid w:val="002B0DDF"/>
    <w:rsid w:val="002E1432"/>
    <w:rsid w:val="003107A6"/>
    <w:rsid w:val="00321375"/>
    <w:rsid w:val="003B3C62"/>
    <w:rsid w:val="004E3C5A"/>
    <w:rsid w:val="00564C2C"/>
    <w:rsid w:val="005A3F7D"/>
    <w:rsid w:val="005C534A"/>
    <w:rsid w:val="00692611"/>
    <w:rsid w:val="006A7AC6"/>
    <w:rsid w:val="00747673"/>
    <w:rsid w:val="007B13CF"/>
    <w:rsid w:val="00813D29"/>
    <w:rsid w:val="0081519C"/>
    <w:rsid w:val="00861E45"/>
    <w:rsid w:val="00870ED7"/>
    <w:rsid w:val="008A1DC9"/>
    <w:rsid w:val="008B5D25"/>
    <w:rsid w:val="00910CDD"/>
    <w:rsid w:val="00A756D6"/>
    <w:rsid w:val="00A9277E"/>
    <w:rsid w:val="00AA2DC9"/>
    <w:rsid w:val="00B7044F"/>
    <w:rsid w:val="00BD0D70"/>
    <w:rsid w:val="00BF769B"/>
    <w:rsid w:val="00C04C7C"/>
    <w:rsid w:val="00C4699A"/>
    <w:rsid w:val="00C9657E"/>
    <w:rsid w:val="00D425D5"/>
    <w:rsid w:val="00E056E8"/>
    <w:rsid w:val="00E40F71"/>
    <w:rsid w:val="00EB1D5B"/>
    <w:rsid w:val="00EC11A4"/>
    <w:rsid w:val="00F20A65"/>
    <w:rsid w:val="00F327C8"/>
    <w:rsid w:val="00F921B3"/>
    <w:rsid w:val="01115E6A"/>
    <w:rsid w:val="02694E0C"/>
    <w:rsid w:val="030B4515"/>
    <w:rsid w:val="03882E57"/>
    <w:rsid w:val="05BF17FB"/>
    <w:rsid w:val="05E42CFC"/>
    <w:rsid w:val="09453410"/>
    <w:rsid w:val="09976E54"/>
    <w:rsid w:val="09B746B8"/>
    <w:rsid w:val="09E7414B"/>
    <w:rsid w:val="0E783647"/>
    <w:rsid w:val="0ED91C40"/>
    <w:rsid w:val="0F255CE2"/>
    <w:rsid w:val="101B07B4"/>
    <w:rsid w:val="105570A4"/>
    <w:rsid w:val="106F2287"/>
    <w:rsid w:val="114C2DE6"/>
    <w:rsid w:val="11E903EC"/>
    <w:rsid w:val="12A7BD6A"/>
    <w:rsid w:val="12E5491E"/>
    <w:rsid w:val="14044A9A"/>
    <w:rsid w:val="1446715C"/>
    <w:rsid w:val="14710D4F"/>
    <w:rsid w:val="164517F4"/>
    <w:rsid w:val="172A1B84"/>
    <w:rsid w:val="176E561B"/>
    <w:rsid w:val="17C5040E"/>
    <w:rsid w:val="18090EA0"/>
    <w:rsid w:val="182513C0"/>
    <w:rsid w:val="18B0330F"/>
    <w:rsid w:val="19662322"/>
    <w:rsid w:val="19DC1DB4"/>
    <w:rsid w:val="1AC67E61"/>
    <w:rsid w:val="1AEE5E21"/>
    <w:rsid w:val="1C197B20"/>
    <w:rsid w:val="1E9B37F5"/>
    <w:rsid w:val="1ECC5BA9"/>
    <w:rsid w:val="2373629A"/>
    <w:rsid w:val="240E0517"/>
    <w:rsid w:val="27BA6BDA"/>
    <w:rsid w:val="28594272"/>
    <w:rsid w:val="28A24F49"/>
    <w:rsid w:val="28F434A6"/>
    <w:rsid w:val="2CF0667B"/>
    <w:rsid w:val="2D1839CC"/>
    <w:rsid w:val="2DA76D39"/>
    <w:rsid w:val="2DFB3330"/>
    <w:rsid w:val="2F97A5A0"/>
    <w:rsid w:val="30A06FFA"/>
    <w:rsid w:val="30B71989"/>
    <w:rsid w:val="31701A7D"/>
    <w:rsid w:val="32542823"/>
    <w:rsid w:val="326B3BC7"/>
    <w:rsid w:val="33E2085F"/>
    <w:rsid w:val="33FACDE3"/>
    <w:rsid w:val="3402493E"/>
    <w:rsid w:val="34565015"/>
    <w:rsid w:val="38B202CF"/>
    <w:rsid w:val="38C904AC"/>
    <w:rsid w:val="39F350B4"/>
    <w:rsid w:val="3AA60121"/>
    <w:rsid w:val="3B893F22"/>
    <w:rsid w:val="3BF5780A"/>
    <w:rsid w:val="3BFC3324"/>
    <w:rsid w:val="3F970587"/>
    <w:rsid w:val="3FFF7266"/>
    <w:rsid w:val="40CF544E"/>
    <w:rsid w:val="40F9148C"/>
    <w:rsid w:val="4128753B"/>
    <w:rsid w:val="41423BC6"/>
    <w:rsid w:val="453344A4"/>
    <w:rsid w:val="45E87E40"/>
    <w:rsid w:val="495D2846"/>
    <w:rsid w:val="49EE55CB"/>
    <w:rsid w:val="4A7A1352"/>
    <w:rsid w:val="4C320AC4"/>
    <w:rsid w:val="4D37085D"/>
    <w:rsid w:val="4E0208EB"/>
    <w:rsid w:val="4E1E482E"/>
    <w:rsid w:val="512173BD"/>
    <w:rsid w:val="51B856D4"/>
    <w:rsid w:val="535024F2"/>
    <w:rsid w:val="540B6274"/>
    <w:rsid w:val="573945F7"/>
    <w:rsid w:val="59125945"/>
    <w:rsid w:val="59B30F36"/>
    <w:rsid w:val="5A3D447E"/>
    <w:rsid w:val="5B19130D"/>
    <w:rsid w:val="5D4F7B4E"/>
    <w:rsid w:val="5D505A06"/>
    <w:rsid w:val="5D74775A"/>
    <w:rsid w:val="5DEF2D1E"/>
    <w:rsid w:val="5F397E15"/>
    <w:rsid w:val="62664CCA"/>
    <w:rsid w:val="62795B7B"/>
    <w:rsid w:val="62A4564D"/>
    <w:rsid w:val="64313878"/>
    <w:rsid w:val="64EC56E6"/>
    <w:rsid w:val="658F7062"/>
    <w:rsid w:val="66595CCD"/>
    <w:rsid w:val="674B4588"/>
    <w:rsid w:val="686F1FE4"/>
    <w:rsid w:val="69C94295"/>
    <w:rsid w:val="6BB60A57"/>
    <w:rsid w:val="6C354F35"/>
    <w:rsid w:val="6CD99246"/>
    <w:rsid w:val="6E6E2980"/>
    <w:rsid w:val="703E26D0"/>
    <w:rsid w:val="707F60A3"/>
    <w:rsid w:val="73595E91"/>
    <w:rsid w:val="73702CF6"/>
    <w:rsid w:val="73CF2D15"/>
    <w:rsid w:val="76E64FAD"/>
    <w:rsid w:val="78F80BCD"/>
    <w:rsid w:val="7B351F69"/>
    <w:rsid w:val="7B5C0C91"/>
    <w:rsid w:val="7B79393A"/>
    <w:rsid w:val="7BDB16C3"/>
    <w:rsid w:val="7BDEEFB0"/>
    <w:rsid w:val="7CD7F2D9"/>
    <w:rsid w:val="7CFF61EE"/>
    <w:rsid w:val="7D955A0C"/>
    <w:rsid w:val="7EB6305A"/>
    <w:rsid w:val="7EF3397F"/>
    <w:rsid w:val="7FEF1411"/>
    <w:rsid w:val="7FFFC419"/>
    <w:rsid w:val="B8FF3382"/>
    <w:rsid w:val="BBD6468A"/>
    <w:rsid w:val="BC7DBC37"/>
    <w:rsid w:val="BCFB6161"/>
    <w:rsid w:val="DBFDD4A2"/>
    <w:rsid w:val="DEFF585F"/>
    <w:rsid w:val="E9D73C53"/>
    <w:rsid w:val="EB9BD0D8"/>
    <w:rsid w:val="F61DCD46"/>
    <w:rsid w:val="F7EFBBAD"/>
    <w:rsid w:val="FAFC960A"/>
    <w:rsid w:val="FB2C7DB3"/>
    <w:rsid w:val="FF3F4347"/>
    <w:rsid w:val="FF7D5774"/>
    <w:rsid w:val="FFBFA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jc w:val="center"/>
      <w:outlineLvl w:val="0"/>
    </w:pPr>
    <w:rPr>
      <w:b/>
      <w:bCs/>
      <w:kern w:val="44"/>
      <w:sz w:val="30"/>
      <w:szCs w:val="44"/>
    </w:rPr>
  </w:style>
  <w:style w:type="character" w:default="1" w:styleId="23">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after="120"/>
    </w:pPr>
  </w:style>
  <w:style w:type="paragraph" w:customStyle="1" w:styleId="5">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Body Text Indent"/>
    <w:basedOn w:val="1"/>
    <w:next w:val="1"/>
    <w:qFormat/>
    <w:uiPriority w:val="0"/>
    <w:pPr>
      <w:spacing w:line="200" w:lineRule="exact"/>
      <w:ind w:firstLine="301"/>
    </w:pPr>
    <w:rPr>
      <w:rFonts w:ascii="宋体" w:hAnsi="Courier New"/>
      <w:spacing w:val="-4"/>
      <w:sz w:val="18"/>
    </w:rPr>
  </w:style>
  <w:style w:type="paragraph" w:styleId="7">
    <w:name w:val="Plain Text"/>
    <w:basedOn w:val="1"/>
    <w:link w:val="144"/>
    <w:qFormat/>
    <w:uiPriority w:val="0"/>
    <w:pPr>
      <w:spacing w:beforeLines="50" w:afterLines="50" w:line="400" w:lineRule="exact"/>
    </w:pPr>
    <w:rPr>
      <w:rFonts w:ascii="宋体" w:hAnsi="Courier New"/>
      <w:sz w:val="24"/>
    </w:rPr>
  </w:style>
  <w:style w:type="paragraph" w:styleId="8">
    <w:name w:val="Date"/>
    <w:basedOn w:val="1"/>
    <w:next w:val="1"/>
    <w:qFormat/>
    <w:uiPriority w:val="0"/>
    <w:pPr>
      <w:ind w:left="2500" w:leftChars="2500"/>
    </w:pPr>
    <w:rPr>
      <w:rFonts w:eastAsia="楷体_GB2312"/>
      <w:sz w:val="32"/>
      <w:szCs w:val="20"/>
    </w:rPr>
  </w:style>
  <w:style w:type="paragraph" w:styleId="9">
    <w:name w:val="Balloon Text"/>
    <w:basedOn w:val="1"/>
    <w:link w:val="133"/>
    <w:qFormat/>
    <w:uiPriority w:val="99"/>
    <w:rPr>
      <w:sz w:val="18"/>
      <w:szCs w:val="18"/>
    </w:rPr>
  </w:style>
  <w:style w:type="paragraph" w:styleId="10">
    <w:name w:val="footer"/>
    <w:basedOn w:val="1"/>
    <w:link w:val="143"/>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Subtitle"/>
    <w:basedOn w:val="1"/>
    <w:next w:val="1"/>
    <w:link w:val="147"/>
    <w:qFormat/>
    <w:uiPriority w:val="0"/>
    <w:pPr>
      <w:spacing w:before="240" w:after="60" w:line="312" w:lineRule="auto"/>
      <w:jc w:val="center"/>
    </w:pPr>
    <w:rPr>
      <w:rFonts w:ascii="Cambria" w:hAnsi="Cambria"/>
      <w:b/>
      <w:bCs/>
      <w:kern w:val="28"/>
      <w:sz w:val="32"/>
      <w:szCs w:val="32"/>
    </w:rPr>
  </w:style>
  <w:style w:type="paragraph" w:styleId="14">
    <w:name w:val="List"/>
    <w:basedOn w:val="1"/>
    <w:qFormat/>
    <w:uiPriority w:val="0"/>
    <w:pPr>
      <w:ind w:left="200" w:hanging="200" w:hangingChars="200"/>
    </w:pPr>
    <w:rPr>
      <w:sz w:val="28"/>
    </w:rPr>
  </w:style>
  <w:style w:type="paragraph" w:styleId="15">
    <w:name w:val="Body Text 2"/>
    <w:basedOn w:val="1"/>
    <w:qFormat/>
    <w:uiPriority w:val="0"/>
    <w:pPr>
      <w:snapToGrid w:val="0"/>
      <w:spacing w:before="50" w:afterLines="50" w:line="400" w:lineRule="exact"/>
      <w:jc w:val="left"/>
    </w:pPr>
    <w:rPr>
      <w:rFonts w:ascii="宋体" w:hAnsi="宋体"/>
      <w:color w:val="000000"/>
      <w:sz w:val="24"/>
    </w:rPr>
  </w:style>
  <w:style w:type="paragraph" w:styleId="16">
    <w:name w:val="Normal (Web)"/>
    <w:basedOn w:val="1"/>
    <w:qFormat/>
    <w:uiPriority w:val="99"/>
    <w:pPr>
      <w:spacing w:beforeAutospacing="1" w:afterAutospacing="1"/>
      <w:jc w:val="left"/>
    </w:pPr>
    <w:rPr>
      <w:kern w:val="0"/>
      <w:sz w:val="24"/>
    </w:rPr>
  </w:style>
  <w:style w:type="paragraph" w:styleId="17">
    <w:name w:val="Title"/>
    <w:basedOn w:val="1"/>
    <w:next w:val="1"/>
    <w:link w:val="142"/>
    <w:qFormat/>
    <w:uiPriority w:val="0"/>
    <w:pPr>
      <w:widowControl w:val="0"/>
      <w:spacing w:before="240" w:after="60"/>
      <w:jc w:val="center"/>
      <w:outlineLvl w:val="0"/>
    </w:pPr>
    <w:rPr>
      <w:rFonts w:ascii="Cambria" w:hAnsi="Cambria"/>
      <w:b/>
      <w:bCs/>
      <w:sz w:val="32"/>
      <w:szCs w:val="32"/>
    </w:rPr>
  </w:style>
  <w:style w:type="paragraph" w:styleId="18">
    <w:name w:val="annotation subject"/>
    <w:next w:val="3"/>
    <w:qFormat/>
    <w:uiPriority w:val="0"/>
    <w:rPr>
      <w:rFonts w:ascii="Times New Roman" w:hAnsi="Times New Roman" w:eastAsia="宋体" w:cs="Times New Roman"/>
      <w:b/>
      <w:kern w:val="2"/>
      <w:sz w:val="21"/>
      <w:szCs w:val="24"/>
      <w:lang w:val="en-US" w:eastAsia="zh-CN" w:bidi="ar-SA"/>
    </w:rPr>
  </w:style>
  <w:style w:type="paragraph" w:styleId="19">
    <w:name w:val="Body Text First Indent"/>
    <w:basedOn w:val="4"/>
    <w:qFormat/>
    <w:uiPriority w:val="0"/>
    <w:pPr>
      <w:ind w:firstLine="420" w:firstLineChars="100"/>
    </w:pPr>
  </w:style>
  <w:style w:type="paragraph" w:styleId="20">
    <w:name w:val="Body Text First Indent 2"/>
    <w:basedOn w:val="6"/>
    <w:next w:val="1"/>
    <w:qFormat/>
    <w:uiPriority w:val="0"/>
    <w:pPr>
      <w:ind w:firstLine="420" w:firstLineChars="200"/>
    </w:pPr>
  </w:style>
  <w:style w:type="table" w:styleId="22">
    <w:name w:val="Table Grid"/>
    <w:basedOn w:val="2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style>
  <w:style w:type="character" w:styleId="26">
    <w:name w:val="FollowedHyperlink"/>
    <w:qFormat/>
    <w:uiPriority w:val="0"/>
    <w:rPr>
      <w:color w:val="004102"/>
    </w:rPr>
  </w:style>
  <w:style w:type="character" w:styleId="27">
    <w:name w:val="Hyperlink"/>
    <w:qFormat/>
    <w:uiPriority w:val="0"/>
    <w:rPr>
      <w:color w:val="004102"/>
    </w:rPr>
  </w:style>
  <w:style w:type="character" w:styleId="28">
    <w:name w:val="annotation reference"/>
    <w:basedOn w:val="23"/>
    <w:qFormat/>
    <w:uiPriority w:val="0"/>
    <w:rPr>
      <w:sz w:val="21"/>
      <w:szCs w:val="21"/>
    </w:rPr>
  </w:style>
  <w:style w:type="paragraph" w:styleId="29">
    <w:name w:val="List Paragraph"/>
    <w:basedOn w:val="1"/>
    <w:next w:val="30"/>
    <w:autoRedefine/>
    <w:qFormat/>
    <w:uiPriority w:val="99"/>
    <w:pPr>
      <w:ind w:firstLine="420" w:firstLineChars="200"/>
    </w:pPr>
  </w:style>
  <w:style w:type="paragraph" w:customStyle="1" w:styleId="30">
    <w:name w:val="目录 32"/>
    <w:next w:val="1"/>
    <w:autoRedefine/>
    <w:qFormat/>
    <w:uiPriority w:val="0"/>
    <w:pPr>
      <w:wordWrap w:val="0"/>
      <w:ind w:left="425"/>
      <w:jc w:val="both"/>
    </w:pPr>
    <w:rPr>
      <w:rFonts w:ascii="Times New Roman" w:hAnsi="Times New Roman" w:eastAsia="宋体" w:cs="Times New Roman"/>
      <w:kern w:val="0"/>
      <w:sz w:val="21"/>
      <w:szCs w:val="20"/>
      <w:lang w:val="en-US" w:eastAsia="zh-CN" w:bidi="ar-SA"/>
      <w14:ligatures w14:val="none"/>
    </w:rPr>
  </w:style>
  <w:style w:type="paragraph" w:customStyle="1" w:styleId="31">
    <w:name w:val="Heading1"/>
    <w:basedOn w:val="1"/>
    <w:next w:val="1"/>
    <w:qFormat/>
    <w:uiPriority w:val="0"/>
    <w:pPr>
      <w:keepNext/>
      <w:keepLines/>
      <w:spacing w:before="340" w:after="330" w:line="576" w:lineRule="auto"/>
      <w:jc w:val="center"/>
    </w:pPr>
    <w:rPr>
      <w:b/>
      <w:bCs/>
      <w:kern w:val="44"/>
      <w:sz w:val="30"/>
      <w:szCs w:val="44"/>
    </w:rPr>
  </w:style>
  <w:style w:type="paragraph" w:customStyle="1" w:styleId="32">
    <w:name w:val="Heading2"/>
    <w:basedOn w:val="1"/>
    <w:next w:val="1"/>
    <w:qFormat/>
    <w:uiPriority w:val="0"/>
    <w:pPr>
      <w:keepNext/>
      <w:keepLines/>
      <w:spacing w:before="260" w:after="260" w:line="413" w:lineRule="auto"/>
    </w:pPr>
    <w:rPr>
      <w:rFonts w:ascii="Arial" w:hAnsi="Arial" w:eastAsia="黑体"/>
      <w:b/>
      <w:bCs/>
      <w:sz w:val="32"/>
      <w:szCs w:val="32"/>
    </w:rPr>
  </w:style>
  <w:style w:type="paragraph" w:customStyle="1" w:styleId="33">
    <w:name w:val="Heading3"/>
    <w:basedOn w:val="1"/>
    <w:next w:val="1"/>
    <w:qFormat/>
    <w:uiPriority w:val="0"/>
    <w:pPr>
      <w:keepNext/>
      <w:keepLines/>
      <w:spacing w:before="260" w:after="260" w:line="415" w:lineRule="auto"/>
      <w:jc w:val="center"/>
    </w:pPr>
    <w:rPr>
      <w:rFonts w:ascii="Calibri" w:hAnsi="Calibri"/>
      <w:b/>
      <w:bCs/>
      <w:sz w:val="28"/>
      <w:szCs w:val="32"/>
    </w:rPr>
  </w:style>
  <w:style w:type="paragraph" w:customStyle="1" w:styleId="34">
    <w:name w:val="Heading4"/>
    <w:basedOn w:val="1"/>
    <w:next w:val="1"/>
    <w:qFormat/>
    <w:uiPriority w:val="0"/>
    <w:pPr>
      <w:keepNext/>
      <w:keepLines/>
      <w:spacing w:before="280" w:after="290" w:line="372" w:lineRule="auto"/>
    </w:pPr>
    <w:rPr>
      <w:rFonts w:ascii="Arial" w:hAnsi="Arial" w:eastAsia="黑体"/>
      <w:b/>
      <w:bCs/>
      <w:sz w:val="28"/>
      <w:szCs w:val="28"/>
    </w:rPr>
  </w:style>
  <w:style w:type="paragraph" w:customStyle="1" w:styleId="35">
    <w:name w:val="Heading5"/>
    <w:basedOn w:val="1"/>
    <w:next w:val="1"/>
    <w:qFormat/>
    <w:uiPriority w:val="0"/>
    <w:pPr>
      <w:keepNext/>
      <w:keepLines/>
      <w:tabs>
        <w:tab w:val="left" w:pos="1800"/>
      </w:tabs>
      <w:spacing w:before="280" w:after="290" w:line="377" w:lineRule="auto"/>
      <w:ind w:left="1800" w:hanging="1800"/>
    </w:pPr>
    <w:rPr>
      <w:b/>
      <w:bCs/>
      <w:sz w:val="28"/>
      <w:szCs w:val="28"/>
    </w:rPr>
  </w:style>
  <w:style w:type="paragraph" w:customStyle="1" w:styleId="36">
    <w:name w:val="Heading6"/>
    <w:basedOn w:val="1"/>
    <w:next w:val="1"/>
    <w:qFormat/>
    <w:uiPriority w:val="0"/>
    <w:pPr>
      <w:keepNext/>
      <w:keepLines/>
      <w:spacing w:before="240" w:after="64" w:line="319" w:lineRule="auto"/>
    </w:pPr>
    <w:rPr>
      <w:rFonts w:ascii="Arial" w:hAnsi="Arial" w:eastAsia="黑体"/>
      <w:b/>
      <w:szCs w:val="20"/>
    </w:rPr>
  </w:style>
  <w:style w:type="paragraph" w:customStyle="1" w:styleId="37">
    <w:name w:val="Heading7"/>
    <w:basedOn w:val="1"/>
    <w:next w:val="1"/>
    <w:qFormat/>
    <w:uiPriority w:val="0"/>
    <w:pPr>
      <w:keepNext/>
      <w:keepLines/>
      <w:spacing w:before="240" w:after="64" w:line="319" w:lineRule="auto"/>
    </w:pPr>
    <w:rPr>
      <w:b/>
      <w:szCs w:val="20"/>
    </w:rPr>
  </w:style>
  <w:style w:type="paragraph" w:customStyle="1" w:styleId="38">
    <w:name w:val="Heading8"/>
    <w:basedOn w:val="1"/>
    <w:next w:val="1"/>
    <w:qFormat/>
    <w:uiPriority w:val="0"/>
    <w:pPr>
      <w:keepNext/>
      <w:keepLines/>
      <w:spacing w:before="240" w:after="64" w:line="319" w:lineRule="auto"/>
    </w:pPr>
    <w:rPr>
      <w:rFonts w:ascii="Arial" w:hAnsi="Arial" w:eastAsia="黑体"/>
      <w:szCs w:val="20"/>
    </w:rPr>
  </w:style>
  <w:style w:type="paragraph" w:customStyle="1" w:styleId="39">
    <w:name w:val="Heading9"/>
    <w:basedOn w:val="1"/>
    <w:next w:val="1"/>
    <w:qFormat/>
    <w:uiPriority w:val="0"/>
    <w:pPr>
      <w:keepNext/>
      <w:keepLines/>
      <w:spacing w:before="240" w:after="64" w:line="319" w:lineRule="auto"/>
    </w:pPr>
    <w:rPr>
      <w:rFonts w:ascii="Arial" w:hAnsi="Arial" w:eastAsia="黑体"/>
      <w:szCs w:val="20"/>
    </w:rPr>
  </w:style>
  <w:style w:type="paragraph" w:customStyle="1" w:styleId="40">
    <w:name w:val="TOC6"/>
    <w:basedOn w:val="1"/>
    <w:next w:val="1"/>
    <w:qFormat/>
    <w:uiPriority w:val="0"/>
    <w:pPr>
      <w:ind w:left="1050"/>
      <w:jc w:val="left"/>
    </w:pPr>
    <w:rPr>
      <w:rFonts w:ascii="Calibri" w:hAnsi="Calibri"/>
      <w:sz w:val="18"/>
      <w:szCs w:val="18"/>
    </w:rPr>
  </w:style>
  <w:style w:type="paragraph" w:customStyle="1" w:styleId="41">
    <w:name w:val="PlainText"/>
    <w:basedOn w:val="1"/>
    <w:qFormat/>
    <w:uiPriority w:val="0"/>
    <w:pPr>
      <w:spacing w:before="156" w:after="156" w:line="400" w:lineRule="exact"/>
    </w:pPr>
    <w:rPr>
      <w:rFonts w:ascii="宋体"/>
      <w:sz w:val="24"/>
    </w:rPr>
  </w:style>
  <w:style w:type="paragraph" w:customStyle="1" w:styleId="42">
    <w:name w:val="NavPane"/>
    <w:basedOn w:val="1"/>
    <w:qFormat/>
    <w:uiPriority w:val="0"/>
    <w:pPr>
      <w:shd w:val="clear" w:color="auto" w:fill="000080"/>
    </w:pPr>
  </w:style>
  <w:style w:type="paragraph" w:customStyle="1" w:styleId="43">
    <w:name w:val="BodyTextIndent3"/>
    <w:basedOn w:val="1"/>
    <w:qFormat/>
    <w:uiPriority w:val="0"/>
    <w:pPr>
      <w:snapToGrid w:val="0"/>
      <w:ind w:firstLine="200" w:firstLineChars="200"/>
      <w:jc w:val="left"/>
    </w:pPr>
    <w:rPr>
      <w:rFonts w:ascii="仿宋_GB2312" w:eastAsia="仿宋_GB2312"/>
      <w:color w:val="000000"/>
      <w:sz w:val="24"/>
    </w:rPr>
  </w:style>
  <w:style w:type="paragraph" w:customStyle="1" w:styleId="44">
    <w:name w:val="TOC4"/>
    <w:basedOn w:val="1"/>
    <w:next w:val="1"/>
    <w:qFormat/>
    <w:uiPriority w:val="0"/>
    <w:pPr>
      <w:ind w:left="630"/>
      <w:jc w:val="left"/>
    </w:pPr>
    <w:rPr>
      <w:rFonts w:ascii="Calibri" w:hAnsi="Calibri"/>
      <w:sz w:val="18"/>
      <w:szCs w:val="18"/>
    </w:rPr>
  </w:style>
  <w:style w:type="paragraph" w:customStyle="1" w:styleId="45">
    <w:name w:val="BodyText3"/>
    <w:basedOn w:val="1"/>
    <w:qFormat/>
    <w:uiPriority w:val="0"/>
    <w:pPr>
      <w:snapToGrid w:val="0"/>
      <w:spacing w:before="50" w:after="50"/>
    </w:pPr>
    <w:rPr>
      <w:rFonts w:eastAsia="仿宋_GB2312"/>
      <w:b/>
      <w:bCs/>
      <w:sz w:val="24"/>
      <w:szCs w:val="20"/>
    </w:rPr>
  </w:style>
  <w:style w:type="paragraph" w:customStyle="1" w:styleId="46">
    <w:name w:val="TOC7"/>
    <w:basedOn w:val="1"/>
    <w:next w:val="1"/>
    <w:qFormat/>
    <w:uiPriority w:val="0"/>
    <w:pPr>
      <w:ind w:left="1260"/>
      <w:jc w:val="left"/>
    </w:pPr>
    <w:rPr>
      <w:rFonts w:ascii="Calibri" w:hAnsi="Calibri"/>
      <w:sz w:val="18"/>
      <w:szCs w:val="18"/>
    </w:rPr>
  </w:style>
  <w:style w:type="paragraph" w:customStyle="1" w:styleId="47">
    <w:name w:val="BodyText2"/>
    <w:basedOn w:val="1"/>
    <w:qFormat/>
    <w:uiPriority w:val="0"/>
    <w:pPr>
      <w:snapToGrid w:val="0"/>
      <w:spacing w:before="50" w:after="156" w:line="400" w:lineRule="exact"/>
      <w:jc w:val="left"/>
    </w:pPr>
    <w:rPr>
      <w:rFonts w:ascii="宋体"/>
      <w:color w:val="000000"/>
      <w:sz w:val="24"/>
    </w:rPr>
  </w:style>
  <w:style w:type="paragraph" w:customStyle="1" w:styleId="48">
    <w:name w:val="FootnoteText"/>
    <w:basedOn w:val="1"/>
    <w:qFormat/>
    <w:uiPriority w:val="0"/>
    <w:pPr>
      <w:snapToGrid w:val="0"/>
      <w:jc w:val="left"/>
    </w:pPr>
    <w:rPr>
      <w:sz w:val="18"/>
      <w:szCs w:val="18"/>
    </w:rPr>
  </w:style>
  <w:style w:type="paragraph" w:customStyle="1" w:styleId="49">
    <w:name w:val="TOC1"/>
    <w:basedOn w:val="1"/>
    <w:next w:val="1"/>
    <w:qFormat/>
    <w:uiPriority w:val="0"/>
    <w:pPr>
      <w:spacing w:before="600" w:after="600"/>
    </w:pPr>
    <w:rPr>
      <w:b/>
      <w:sz w:val="32"/>
    </w:rPr>
  </w:style>
  <w:style w:type="paragraph" w:customStyle="1" w:styleId="50">
    <w:name w:val="HtmlNormal"/>
    <w:basedOn w:val="1"/>
    <w:qFormat/>
    <w:uiPriority w:val="0"/>
    <w:pPr>
      <w:spacing w:before="100" w:beforeAutospacing="1" w:after="100" w:afterAutospacing="1"/>
      <w:jc w:val="left"/>
    </w:pPr>
    <w:rPr>
      <w:kern w:val="0"/>
      <w:sz w:val="24"/>
    </w:rPr>
  </w:style>
  <w:style w:type="paragraph" w:customStyle="1" w:styleId="51">
    <w:name w:val="TOC3"/>
    <w:basedOn w:val="1"/>
    <w:next w:val="1"/>
    <w:qFormat/>
    <w:uiPriority w:val="0"/>
    <w:pPr>
      <w:ind w:left="400" w:leftChars="400"/>
    </w:pPr>
  </w:style>
  <w:style w:type="paragraph" w:customStyle="1" w:styleId="52">
    <w:name w:val="ListNumber3"/>
    <w:basedOn w:val="1"/>
    <w:qFormat/>
    <w:uiPriority w:val="0"/>
    <w:pPr>
      <w:numPr>
        <w:ilvl w:val="0"/>
        <w:numId w:val="1"/>
      </w:numPr>
      <w:tabs>
        <w:tab w:val="bar" w:pos="1200"/>
      </w:tabs>
    </w:pPr>
  </w:style>
  <w:style w:type="paragraph" w:customStyle="1" w:styleId="53">
    <w:name w:val="ListNumber"/>
    <w:basedOn w:val="1"/>
    <w:qFormat/>
    <w:uiPriority w:val="0"/>
    <w:pPr>
      <w:tabs>
        <w:tab w:val="left" w:leader="hyphen" w:pos="454"/>
        <w:tab w:val="right" w:pos="720"/>
      </w:tabs>
      <w:spacing w:after="156"/>
      <w:ind w:left="454" w:hanging="284"/>
      <w:jc w:val="left"/>
    </w:pPr>
    <w:rPr>
      <w:kern w:val="0"/>
      <w:sz w:val="24"/>
      <w:szCs w:val="20"/>
    </w:rPr>
  </w:style>
  <w:style w:type="paragraph" w:customStyle="1" w:styleId="54">
    <w:name w:val="NormalIndent"/>
    <w:basedOn w:val="1"/>
    <w:qFormat/>
    <w:uiPriority w:val="0"/>
    <w:pPr>
      <w:ind w:firstLine="420"/>
    </w:pPr>
    <w:rPr>
      <w:szCs w:val="20"/>
    </w:rPr>
  </w:style>
  <w:style w:type="paragraph" w:customStyle="1" w:styleId="55">
    <w:name w:val="页脚1"/>
    <w:basedOn w:val="1"/>
    <w:qFormat/>
    <w:uiPriority w:val="0"/>
    <w:pPr>
      <w:tabs>
        <w:tab w:val="right" w:pos="4153"/>
        <w:tab w:val="left" w:leader="underscore" w:pos="8306"/>
      </w:tabs>
      <w:snapToGrid w:val="0"/>
      <w:jc w:val="left"/>
    </w:pPr>
    <w:rPr>
      <w:rFonts w:eastAsia="黑体"/>
      <w:kern w:val="0"/>
      <w:sz w:val="18"/>
      <w:szCs w:val="18"/>
    </w:rPr>
  </w:style>
  <w:style w:type="paragraph" w:customStyle="1" w:styleId="56">
    <w:name w:val="TOC2"/>
    <w:basedOn w:val="1"/>
    <w:next w:val="1"/>
    <w:qFormat/>
    <w:uiPriority w:val="0"/>
    <w:pPr>
      <w:ind w:left="200" w:leftChars="200"/>
    </w:pPr>
  </w:style>
  <w:style w:type="paragraph" w:customStyle="1" w:styleId="57">
    <w:name w:val="AnnotationText"/>
    <w:basedOn w:val="1"/>
    <w:qFormat/>
    <w:uiPriority w:val="0"/>
    <w:pPr>
      <w:jc w:val="left"/>
    </w:pPr>
    <w:rPr>
      <w:szCs w:val="20"/>
    </w:rPr>
  </w:style>
  <w:style w:type="paragraph" w:customStyle="1" w:styleId="58">
    <w:name w:val="AnnotationSubject"/>
    <w:basedOn w:val="57"/>
    <w:next w:val="57"/>
    <w:qFormat/>
    <w:uiPriority w:val="0"/>
    <w:rPr>
      <w:b/>
      <w:bCs/>
      <w:szCs w:val="24"/>
    </w:rPr>
  </w:style>
  <w:style w:type="paragraph" w:customStyle="1" w:styleId="59">
    <w:name w:val="BodyText"/>
    <w:basedOn w:val="1"/>
    <w:qFormat/>
    <w:uiPriority w:val="0"/>
    <w:pPr>
      <w:spacing w:after="120"/>
    </w:pPr>
    <w:rPr>
      <w:sz w:val="28"/>
    </w:rPr>
  </w:style>
  <w:style w:type="paragraph" w:customStyle="1" w:styleId="60">
    <w:name w:val="BodyTextIndent2"/>
    <w:basedOn w:val="1"/>
    <w:qFormat/>
    <w:uiPriority w:val="0"/>
    <w:pPr>
      <w:snapToGrid w:val="0"/>
      <w:ind w:firstLine="225" w:firstLineChars="225"/>
    </w:pPr>
    <w:rPr>
      <w:rFonts w:ascii="仿宋_GB2312" w:hAnsi="仿宋_GB2312"/>
      <w:b/>
      <w:bCs/>
      <w:color w:val="000000"/>
      <w:sz w:val="24"/>
    </w:rPr>
  </w:style>
  <w:style w:type="paragraph" w:customStyle="1" w:styleId="61">
    <w:name w:val="BodyTextIndent"/>
    <w:basedOn w:val="1"/>
    <w:qFormat/>
    <w:uiPriority w:val="0"/>
    <w:pPr>
      <w:spacing w:line="200" w:lineRule="exact"/>
      <w:ind w:firstLine="301"/>
    </w:pPr>
    <w:rPr>
      <w:rFonts w:ascii="宋体"/>
      <w:spacing w:val="-4"/>
      <w:sz w:val="18"/>
      <w:szCs w:val="20"/>
    </w:rPr>
  </w:style>
  <w:style w:type="paragraph" w:customStyle="1" w:styleId="62">
    <w:name w:val="TOC5"/>
    <w:basedOn w:val="1"/>
    <w:next w:val="1"/>
    <w:qFormat/>
    <w:uiPriority w:val="0"/>
    <w:pPr>
      <w:ind w:left="840"/>
      <w:jc w:val="left"/>
    </w:pPr>
    <w:rPr>
      <w:rFonts w:ascii="Calibri" w:hAnsi="Calibri"/>
      <w:sz w:val="18"/>
      <w:szCs w:val="18"/>
    </w:rPr>
  </w:style>
  <w:style w:type="paragraph" w:customStyle="1" w:styleId="63">
    <w:name w:val="页眉1"/>
    <w:basedOn w:val="1"/>
    <w:qFormat/>
    <w:uiPriority w:val="0"/>
    <w:pPr>
      <w:pBdr>
        <w:bottom w:val="single" w:color="000000" w:sz="6" w:space="1"/>
      </w:pBdr>
      <w:tabs>
        <w:tab w:val="right" w:pos="4153"/>
        <w:tab w:val="left" w:leader="underscore" w:pos="8306"/>
      </w:tabs>
      <w:snapToGrid w:val="0"/>
      <w:jc w:val="center"/>
    </w:pPr>
    <w:rPr>
      <w:rFonts w:eastAsia="仿宋_GB2312"/>
      <w:sz w:val="18"/>
      <w:szCs w:val="20"/>
    </w:rPr>
  </w:style>
  <w:style w:type="paragraph" w:customStyle="1" w:styleId="64">
    <w:name w:val="Acetate"/>
    <w:basedOn w:val="1"/>
    <w:qFormat/>
    <w:uiPriority w:val="0"/>
    <w:rPr>
      <w:sz w:val="18"/>
      <w:szCs w:val="18"/>
    </w:rPr>
  </w:style>
  <w:style w:type="paragraph" w:customStyle="1" w:styleId="65">
    <w:name w:val="EndnoteText"/>
    <w:basedOn w:val="1"/>
    <w:qFormat/>
    <w:uiPriority w:val="0"/>
    <w:pPr>
      <w:snapToGrid w:val="0"/>
      <w:jc w:val="left"/>
    </w:pPr>
  </w:style>
  <w:style w:type="paragraph" w:customStyle="1" w:styleId="66">
    <w:name w:val="List2"/>
    <w:basedOn w:val="1"/>
    <w:qFormat/>
    <w:uiPriority w:val="0"/>
    <w:pPr>
      <w:ind w:left="400" w:leftChars="200" w:hanging="200" w:hangingChars="200"/>
    </w:pPr>
    <w:rPr>
      <w:sz w:val="28"/>
    </w:rPr>
  </w:style>
  <w:style w:type="paragraph" w:customStyle="1" w:styleId="67">
    <w:name w:val="题注1"/>
    <w:basedOn w:val="1"/>
    <w:next w:val="1"/>
    <w:qFormat/>
    <w:uiPriority w:val="0"/>
    <w:pPr>
      <w:spacing w:before="152" w:after="160"/>
    </w:pPr>
    <w:rPr>
      <w:rFonts w:ascii="Arial" w:hAnsi="Arial" w:eastAsia="黑体"/>
      <w:sz w:val="20"/>
      <w:szCs w:val="20"/>
    </w:rPr>
  </w:style>
  <w:style w:type="paragraph" w:customStyle="1" w:styleId="68">
    <w:name w:val="TOC9"/>
    <w:basedOn w:val="1"/>
    <w:next w:val="1"/>
    <w:qFormat/>
    <w:uiPriority w:val="0"/>
    <w:pPr>
      <w:ind w:left="1680"/>
      <w:jc w:val="left"/>
    </w:pPr>
    <w:rPr>
      <w:rFonts w:ascii="Calibri" w:hAnsi="Calibri"/>
      <w:sz w:val="18"/>
      <w:szCs w:val="18"/>
    </w:rPr>
  </w:style>
  <w:style w:type="paragraph" w:customStyle="1" w:styleId="69">
    <w:name w:val="TOC8"/>
    <w:basedOn w:val="1"/>
    <w:next w:val="1"/>
    <w:qFormat/>
    <w:uiPriority w:val="0"/>
    <w:pPr>
      <w:ind w:left="1470"/>
      <w:jc w:val="left"/>
    </w:pPr>
    <w:rPr>
      <w:rFonts w:ascii="Calibri" w:hAnsi="Calibri"/>
      <w:sz w:val="18"/>
      <w:szCs w:val="18"/>
    </w:rPr>
  </w:style>
  <w:style w:type="paragraph" w:customStyle="1" w:styleId="70">
    <w:name w:val="UserStyle_44"/>
    <w:qFormat/>
    <w:uiPriority w:val="0"/>
    <w:rPr>
      <w:rFonts w:ascii="Times New Roman" w:hAnsi="Times New Roman" w:eastAsia="宋体" w:cs="Times New Roman"/>
      <w:color w:val="000000"/>
      <w:sz w:val="24"/>
      <w:szCs w:val="24"/>
      <w:lang w:val="en-US" w:eastAsia="zh-CN" w:bidi="ar-SA"/>
    </w:rPr>
  </w:style>
  <w:style w:type="paragraph" w:customStyle="1" w:styleId="71">
    <w:name w:val="UserStyle_45"/>
    <w:basedOn w:val="32"/>
    <w:next w:val="32"/>
    <w:qFormat/>
    <w:uiPriority w:val="0"/>
    <w:pPr>
      <w:spacing w:before="340" w:after="330" w:line="240" w:lineRule="auto"/>
      <w:jc w:val="center"/>
    </w:pPr>
    <w:rPr>
      <w:rFonts w:ascii="汉鼎简细圆" w:hAnsi="汉鼎简细圆" w:eastAsia="宋体" w:cs="宋体"/>
      <w:kern w:val="44"/>
      <w:sz w:val="28"/>
      <w:szCs w:val="20"/>
    </w:rPr>
  </w:style>
  <w:style w:type="paragraph" w:customStyle="1" w:styleId="72">
    <w:name w:val="UserStyle_46"/>
    <w:qFormat/>
    <w:uiPriority w:val="0"/>
    <w:rPr>
      <w:rFonts w:ascii="Helvetica" w:hAnsi="Helvetica" w:eastAsia="ヒラギノ角ゴ Pro W3" w:cs="Times New Roman"/>
      <w:color w:val="000000"/>
      <w:sz w:val="24"/>
      <w:lang w:val="en-US" w:eastAsia="zh-CN" w:bidi="ar-SA"/>
    </w:rPr>
  </w:style>
  <w:style w:type="paragraph" w:customStyle="1" w:styleId="73">
    <w:name w:val="266"/>
    <w:basedOn w:val="31"/>
    <w:next w:val="1"/>
    <w:qFormat/>
    <w:uiPriority w:val="0"/>
    <w:pPr>
      <w:spacing w:before="480" w:after="0" w:line="276" w:lineRule="auto"/>
      <w:jc w:val="left"/>
    </w:pPr>
    <w:rPr>
      <w:rFonts w:ascii="Cambria" w:hAnsi="Cambria"/>
      <w:color w:val="365F91"/>
      <w:kern w:val="0"/>
      <w:sz w:val="28"/>
      <w:szCs w:val="28"/>
    </w:rPr>
  </w:style>
  <w:style w:type="paragraph" w:customStyle="1" w:styleId="74">
    <w:name w:val="UserStyle_48"/>
    <w:next w:val="1"/>
    <w:qFormat/>
    <w:uiPriority w:val="0"/>
    <w:pPr>
      <w:numPr>
        <w:ilvl w:val="1"/>
        <w:numId w:val="2"/>
      </w:numPr>
      <w:spacing w:before="156" w:after="156"/>
    </w:pPr>
    <w:rPr>
      <w:rFonts w:ascii="黑体" w:hAnsi="Times New Roman" w:eastAsia="黑体" w:cs="Times New Roman"/>
      <w:sz w:val="21"/>
      <w:szCs w:val="21"/>
      <w:lang w:val="en-US" w:eastAsia="zh-CN" w:bidi="ar-SA"/>
    </w:rPr>
  </w:style>
  <w:style w:type="paragraph" w:customStyle="1" w:styleId="75">
    <w:name w:val="UserStyle_47"/>
    <w:basedOn w:val="74"/>
    <w:next w:val="1"/>
    <w:qFormat/>
    <w:uiPriority w:val="0"/>
    <w:pPr>
      <w:numPr>
        <w:ilvl w:val="0"/>
        <w:numId w:val="0"/>
      </w:numPr>
      <w:spacing w:before="50" w:after="50"/>
      <w:ind w:left="1236"/>
    </w:pPr>
  </w:style>
  <w:style w:type="paragraph" w:customStyle="1" w:styleId="76">
    <w:name w:val="UserStyle_49"/>
    <w:basedOn w:val="1"/>
    <w:qFormat/>
    <w:uiPriority w:val="0"/>
    <w:rPr>
      <w:rFonts w:ascii="仿宋_GB2312" w:eastAsia="仿宋_GB2312"/>
      <w:b/>
      <w:sz w:val="32"/>
      <w:szCs w:val="32"/>
    </w:rPr>
  </w:style>
  <w:style w:type="paragraph" w:customStyle="1" w:styleId="77">
    <w:name w:val="UserStyle_50"/>
    <w:basedOn w:val="1"/>
    <w:qFormat/>
    <w:uiPriority w:val="0"/>
    <w:rPr>
      <w:rFonts w:ascii="Tahoma" w:hAnsi="Tahoma"/>
      <w:sz w:val="24"/>
      <w:szCs w:val="20"/>
    </w:rPr>
  </w:style>
  <w:style w:type="paragraph" w:customStyle="1" w:styleId="78">
    <w:name w:val="UserStyle_51"/>
    <w:basedOn w:val="1"/>
    <w:qFormat/>
    <w:uiPriority w:val="0"/>
    <w:pPr>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79">
    <w:name w:val="UserStyle_52"/>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kern w:val="0"/>
      <w:sz w:val="24"/>
    </w:rPr>
  </w:style>
  <w:style w:type="paragraph" w:customStyle="1" w:styleId="80">
    <w:name w:val="UserStyle_53"/>
    <w:basedOn w:val="33"/>
    <w:qFormat/>
    <w:uiPriority w:val="0"/>
    <w:rPr>
      <w:kern w:val="0"/>
    </w:rPr>
  </w:style>
  <w:style w:type="paragraph" w:customStyle="1" w:styleId="81">
    <w:name w:val="UserStyle_54"/>
    <w:basedOn w:val="1"/>
    <w:qFormat/>
    <w:uiPriority w:val="0"/>
    <w:pPr>
      <w:spacing w:line="360" w:lineRule="auto"/>
      <w:jc w:val="center"/>
    </w:pPr>
    <w:rPr>
      <w:rFonts w:ascii="仿宋_GB2312" w:eastAsia="仿宋_GB2312"/>
      <w:spacing w:val="-20"/>
      <w:kern w:val="0"/>
      <w:sz w:val="24"/>
    </w:rPr>
  </w:style>
  <w:style w:type="paragraph" w:customStyle="1" w:styleId="82">
    <w:name w:val="UserStyle_55"/>
    <w:basedOn w:val="1"/>
    <w:qFormat/>
    <w:uiPriority w:val="0"/>
    <w:pPr>
      <w:spacing w:before="100" w:beforeAutospacing="1" w:after="100" w:afterAutospacing="1"/>
      <w:jc w:val="center"/>
    </w:pPr>
    <w:rPr>
      <w:rFonts w:ascii="宋体"/>
      <w:kern w:val="0"/>
      <w:sz w:val="24"/>
    </w:rPr>
  </w:style>
  <w:style w:type="paragraph" w:customStyle="1" w:styleId="83">
    <w:name w:val="UserStyle_56"/>
    <w:basedOn w:val="1"/>
    <w:qFormat/>
    <w:uiPriority w:val="0"/>
    <w:pPr>
      <w:spacing w:before="100" w:beforeAutospacing="1" w:after="100" w:afterAutospacing="1"/>
      <w:jc w:val="left"/>
    </w:pPr>
    <w:rPr>
      <w:rFonts w:ascii="宋体"/>
      <w:kern w:val="0"/>
      <w:sz w:val="18"/>
      <w:szCs w:val="18"/>
    </w:rPr>
  </w:style>
  <w:style w:type="paragraph" w:customStyle="1" w:styleId="84">
    <w:name w:val="UserStyle_57"/>
    <w:next w:val="1"/>
    <w:qFormat/>
    <w:uiPriority w:val="0"/>
    <w:pPr>
      <w:numPr>
        <w:ilvl w:val="0"/>
        <w:numId w:val="2"/>
      </w:numPr>
      <w:spacing w:before="312" w:after="312"/>
      <w:jc w:val="both"/>
    </w:pPr>
    <w:rPr>
      <w:rFonts w:ascii="黑体" w:hAnsi="Times New Roman" w:eastAsia="黑体" w:cs="Times New Roman"/>
      <w:sz w:val="21"/>
      <w:lang w:val="en-US" w:eastAsia="zh-CN" w:bidi="ar-SA"/>
    </w:rPr>
  </w:style>
  <w:style w:type="paragraph" w:customStyle="1" w:styleId="85">
    <w:name w:val="UserStyle_58"/>
    <w:basedOn w:val="1"/>
    <w:qFormat/>
    <w:uiPriority w:val="0"/>
    <w:pPr>
      <w:spacing w:line="360" w:lineRule="auto"/>
    </w:pPr>
    <w:rPr>
      <w:sz w:val="24"/>
      <w:szCs w:val="20"/>
    </w:rPr>
  </w:style>
  <w:style w:type="paragraph" w:customStyle="1" w:styleId="86">
    <w:name w:val="UserStyle_59"/>
    <w:basedOn w:val="1"/>
    <w:qFormat/>
    <w:uiPriority w:val="0"/>
    <w:pPr>
      <w:ind w:firstLine="200" w:firstLineChars="200"/>
    </w:pPr>
    <w:rPr>
      <w:rFonts w:ascii="Calibri" w:hAnsi="Calibri"/>
    </w:rPr>
  </w:style>
  <w:style w:type="paragraph" w:customStyle="1" w:styleId="87">
    <w:name w:val="UserStyle_60"/>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宋体"/>
      <w:kern w:val="0"/>
      <w:sz w:val="24"/>
    </w:rPr>
  </w:style>
  <w:style w:type="paragraph" w:customStyle="1" w:styleId="88">
    <w:name w:val="UserStyle_61"/>
    <w:basedOn w:val="1"/>
    <w:qFormat/>
    <w:uiPriority w:val="0"/>
    <w:rPr>
      <w:rFonts w:ascii="Tahoma" w:hAnsi="Tahoma"/>
      <w:sz w:val="24"/>
      <w:szCs w:val="20"/>
    </w:rPr>
  </w:style>
  <w:style w:type="paragraph" w:customStyle="1" w:styleId="89">
    <w:name w:val="UserStyle_62"/>
    <w:basedOn w:val="1"/>
    <w:qFormat/>
    <w:uiPriority w:val="0"/>
    <w:pPr>
      <w:ind w:firstLine="200" w:firstLineChars="200"/>
    </w:pPr>
    <w:rPr>
      <w:rFonts w:ascii="Calibri" w:hAnsi="Calibri"/>
      <w:szCs w:val="22"/>
    </w:rPr>
  </w:style>
  <w:style w:type="paragraph" w:customStyle="1" w:styleId="90">
    <w:name w:val="UserStyle_63"/>
    <w:basedOn w:val="1"/>
    <w:qFormat/>
    <w:uiPriority w:val="0"/>
    <w:pPr>
      <w:spacing w:before="100" w:beforeAutospacing="1" w:after="100" w:afterAutospacing="1"/>
      <w:jc w:val="left"/>
    </w:pPr>
    <w:rPr>
      <w:rFonts w:ascii="宋体"/>
      <w:kern w:val="0"/>
      <w:sz w:val="24"/>
    </w:rPr>
  </w:style>
  <w:style w:type="paragraph" w:customStyle="1" w:styleId="91">
    <w:name w:val="UserStyle_64"/>
    <w:basedOn w:val="1"/>
    <w:qFormat/>
    <w:uiPriority w:val="0"/>
    <w:pPr>
      <w:ind w:firstLine="200" w:firstLineChars="200"/>
    </w:pPr>
    <w:rPr>
      <w:rFonts w:ascii="Calibri" w:hAnsi="Calibri"/>
      <w:szCs w:val="22"/>
    </w:rPr>
  </w:style>
  <w:style w:type="paragraph" w:customStyle="1" w:styleId="92">
    <w:name w:val="UserStyle_65"/>
    <w:basedOn w:val="34"/>
    <w:qFormat/>
    <w:uiPriority w:val="0"/>
  </w:style>
  <w:style w:type="paragraph" w:customStyle="1" w:styleId="93">
    <w:name w:val="UserStyle_66"/>
    <w:basedOn w:val="1"/>
    <w:qFormat/>
    <w:uiPriority w:val="0"/>
    <w:rPr>
      <w:rFonts w:ascii="Tahoma" w:hAnsi="Tahoma"/>
      <w:sz w:val="24"/>
      <w:szCs w:val="20"/>
    </w:rPr>
  </w:style>
  <w:style w:type="paragraph" w:customStyle="1" w:styleId="94">
    <w:name w:val="UserStyle_67"/>
    <w:basedOn w:val="1"/>
    <w:qFormat/>
    <w:uiPriority w:val="0"/>
    <w:pPr>
      <w:spacing w:line="360" w:lineRule="auto"/>
      <w:ind w:firstLine="200" w:firstLineChars="200"/>
    </w:pPr>
    <w:rPr>
      <w:sz w:val="24"/>
    </w:rPr>
  </w:style>
  <w:style w:type="paragraph" w:customStyle="1" w:styleId="95">
    <w:name w:val="UserStyle_68"/>
    <w:basedOn w:val="1"/>
    <w:qFormat/>
    <w:uiPriority w:val="0"/>
    <w:pPr>
      <w:snapToGrid w:val="0"/>
      <w:spacing w:after="156"/>
      <w:ind w:firstLine="200" w:firstLineChars="200"/>
    </w:pPr>
    <w:rPr>
      <w:kern w:val="0"/>
      <w:sz w:val="24"/>
      <w:szCs w:val="20"/>
    </w:rPr>
  </w:style>
  <w:style w:type="paragraph" w:customStyle="1" w:styleId="96">
    <w:name w:val="UserStyle_69"/>
    <w:basedOn w:val="75"/>
    <w:qFormat/>
    <w:uiPriority w:val="0"/>
    <w:pPr>
      <w:numPr>
        <w:ilvl w:val="2"/>
        <w:numId w:val="2"/>
      </w:numPr>
      <w:spacing w:before="0" w:after="0"/>
    </w:pPr>
    <w:rPr>
      <w:rFonts w:ascii="宋体" w:eastAsia="宋体"/>
    </w:rPr>
  </w:style>
  <w:style w:type="paragraph" w:customStyle="1" w:styleId="97">
    <w:name w:val="UserStyle_70"/>
    <w:basedOn w:val="33"/>
    <w:qFormat/>
    <w:uiPriority w:val="0"/>
    <w:rPr>
      <w:kern w:val="0"/>
    </w:rPr>
  </w:style>
  <w:style w:type="paragraph" w:customStyle="1" w:styleId="98">
    <w:name w:val="UserStyle_71"/>
    <w:basedOn w:val="42"/>
    <w:qFormat/>
    <w:uiPriority w:val="0"/>
    <w:rPr>
      <w:rFonts w:ascii="Tahoma" w:hAnsi="Tahoma"/>
      <w:sz w:val="24"/>
    </w:rPr>
  </w:style>
  <w:style w:type="paragraph" w:customStyle="1" w:styleId="99">
    <w:name w:val="UserStyle_72"/>
    <w:basedOn w:val="1"/>
    <w:qFormat/>
    <w:uiPriority w:val="0"/>
    <w:pPr>
      <w:pBdr>
        <w:left w:val="single" w:color="000000" w:sz="4" w:space="0"/>
        <w:right w:val="single" w:color="000000" w:sz="4" w:space="0"/>
      </w:pBdr>
      <w:spacing w:before="100" w:beforeAutospacing="1" w:after="100" w:afterAutospacing="1"/>
      <w:jc w:val="center"/>
    </w:pPr>
    <w:rPr>
      <w:rFonts w:ascii="宋体"/>
      <w:kern w:val="0"/>
      <w:sz w:val="24"/>
    </w:rPr>
  </w:style>
  <w:style w:type="paragraph" w:customStyle="1" w:styleId="100">
    <w:name w:val="UserStyle_73"/>
    <w:basedOn w:val="1"/>
    <w:qFormat/>
    <w:uiPriority w:val="0"/>
    <w:rPr>
      <w:szCs w:val="20"/>
    </w:rPr>
  </w:style>
  <w:style w:type="paragraph" w:customStyle="1" w:styleId="101">
    <w:name w:val="UserStyle_7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kern w:val="0"/>
      <w:sz w:val="24"/>
    </w:rPr>
  </w:style>
  <w:style w:type="paragraph" w:customStyle="1" w:styleId="102">
    <w:name w:val="UserStyle_75"/>
    <w:basedOn w:val="1"/>
    <w:qFormat/>
    <w:uiPriority w:val="0"/>
    <w:pPr>
      <w:spacing w:before="100" w:beforeAutospacing="1" w:after="100" w:afterAutospacing="1"/>
      <w:jc w:val="center"/>
    </w:pPr>
    <w:rPr>
      <w:rFonts w:ascii="宋体"/>
      <w:kern w:val="0"/>
      <w:sz w:val="24"/>
    </w:rPr>
  </w:style>
  <w:style w:type="paragraph" w:customStyle="1" w:styleId="103">
    <w:name w:val="UserStyle_76"/>
    <w:basedOn w:val="1"/>
    <w:qFormat/>
    <w:uiPriority w:val="0"/>
    <w:pPr>
      <w:pBdr>
        <w:left w:val="single" w:color="000000" w:sz="4" w:space="0"/>
        <w:bottom w:val="single" w:color="000000" w:sz="4" w:space="0"/>
      </w:pBdr>
      <w:spacing w:before="100" w:beforeAutospacing="1" w:after="100" w:afterAutospacing="1"/>
      <w:jc w:val="center"/>
    </w:pPr>
    <w:rPr>
      <w:rFonts w:ascii="宋体"/>
      <w:kern w:val="0"/>
      <w:sz w:val="24"/>
    </w:rPr>
  </w:style>
  <w:style w:type="paragraph" w:customStyle="1" w:styleId="104">
    <w:name w:val="UserStyle_77"/>
    <w:basedOn w:val="1"/>
    <w:qFormat/>
    <w:uiPriority w:val="0"/>
    <w:pPr>
      <w:spacing w:after="160" w:line="240" w:lineRule="exact"/>
      <w:jc w:val="left"/>
    </w:pPr>
    <w:rPr>
      <w:szCs w:val="20"/>
    </w:rPr>
  </w:style>
  <w:style w:type="paragraph" w:customStyle="1" w:styleId="105">
    <w:name w:val="179"/>
    <w:basedOn w:val="1"/>
    <w:qFormat/>
    <w:uiPriority w:val="0"/>
    <w:pPr>
      <w:ind w:firstLine="200" w:firstLineChars="200"/>
    </w:pPr>
    <w:rPr>
      <w:rFonts w:ascii="Calibri" w:hAnsi="Calibri"/>
      <w:szCs w:val="22"/>
    </w:rPr>
  </w:style>
  <w:style w:type="character" w:customStyle="1" w:styleId="106">
    <w:name w:val="NormalCharacter"/>
    <w:qFormat/>
    <w:uiPriority w:val="0"/>
  </w:style>
  <w:style w:type="character" w:customStyle="1" w:styleId="107">
    <w:name w:val="AnnotationReference"/>
    <w:qFormat/>
    <w:uiPriority w:val="0"/>
    <w:rPr>
      <w:sz w:val="21"/>
      <w:szCs w:val="21"/>
    </w:rPr>
  </w:style>
  <w:style w:type="character" w:customStyle="1" w:styleId="108">
    <w:name w:val="PageNumber"/>
    <w:basedOn w:val="106"/>
    <w:qFormat/>
    <w:uiPriority w:val="0"/>
  </w:style>
  <w:style w:type="character" w:customStyle="1" w:styleId="109">
    <w:name w:val="UserStyle_0"/>
    <w:qFormat/>
    <w:uiPriority w:val="0"/>
    <w:rPr>
      <w:kern w:val="2"/>
      <w:sz w:val="18"/>
      <w:szCs w:val="18"/>
    </w:rPr>
  </w:style>
  <w:style w:type="character" w:customStyle="1" w:styleId="110">
    <w:name w:val="UserStyle_1"/>
    <w:qFormat/>
    <w:uiPriority w:val="0"/>
    <w:rPr>
      <w:rFonts w:ascii="宋体"/>
      <w:kern w:val="2"/>
      <w:sz w:val="24"/>
      <w:szCs w:val="24"/>
    </w:rPr>
  </w:style>
  <w:style w:type="character" w:customStyle="1" w:styleId="111">
    <w:name w:val="UserStyle_2"/>
    <w:qFormat/>
    <w:uiPriority w:val="0"/>
    <w:rPr>
      <w:rFonts w:ascii="宋体" w:eastAsia="宋体"/>
      <w:color w:val="000000"/>
      <w:sz w:val="18"/>
      <w:szCs w:val="18"/>
    </w:rPr>
  </w:style>
  <w:style w:type="character" w:customStyle="1" w:styleId="112">
    <w:name w:val="UserStyle_6"/>
    <w:qFormat/>
    <w:uiPriority w:val="0"/>
    <w:rPr>
      <w:rFonts w:ascii="Times New Roman" w:hAnsi="Times New Roman"/>
      <w:color w:val="000000"/>
      <w:sz w:val="18"/>
      <w:szCs w:val="18"/>
    </w:rPr>
  </w:style>
  <w:style w:type="character" w:customStyle="1" w:styleId="113">
    <w:name w:val="UserStyle_8"/>
    <w:qFormat/>
    <w:uiPriority w:val="0"/>
  </w:style>
  <w:style w:type="character" w:customStyle="1" w:styleId="114">
    <w:name w:val="UserStyle_9"/>
    <w:qFormat/>
    <w:uiPriority w:val="0"/>
  </w:style>
  <w:style w:type="character" w:customStyle="1" w:styleId="115">
    <w:name w:val="UserStyle_10"/>
    <w:basedOn w:val="106"/>
    <w:qFormat/>
    <w:uiPriority w:val="0"/>
  </w:style>
  <w:style w:type="character" w:customStyle="1" w:styleId="116">
    <w:name w:val="UserStyle_12"/>
    <w:qFormat/>
    <w:uiPriority w:val="0"/>
    <w:rPr>
      <w:rFonts w:ascii="宋体" w:eastAsia="宋体"/>
      <w:color w:val="000000"/>
      <w:sz w:val="18"/>
      <w:szCs w:val="18"/>
    </w:rPr>
  </w:style>
  <w:style w:type="character" w:customStyle="1" w:styleId="117">
    <w:name w:val="UserStyle_13"/>
    <w:qFormat/>
    <w:uiPriority w:val="0"/>
    <w:rPr>
      <w:rFonts w:ascii="宋体" w:eastAsia="宋体" w:cs="Times New Roman"/>
      <w:b/>
      <w:bCs/>
      <w:kern w:val="44"/>
      <w:sz w:val="24"/>
      <w:szCs w:val="44"/>
      <w:lang w:val="en-US" w:eastAsia="zh-CN" w:bidi="ar-SA"/>
    </w:rPr>
  </w:style>
  <w:style w:type="character" w:customStyle="1" w:styleId="118">
    <w:name w:val="UserStyle_17"/>
    <w:qFormat/>
    <w:uiPriority w:val="0"/>
    <w:rPr>
      <w:rFonts w:ascii="宋体" w:eastAsia="宋体"/>
      <w:color w:val="99CC00"/>
      <w:sz w:val="21"/>
      <w:szCs w:val="21"/>
    </w:rPr>
  </w:style>
  <w:style w:type="character" w:customStyle="1" w:styleId="119">
    <w:name w:val="UserStyle_26"/>
    <w:qFormat/>
    <w:uiPriority w:val="0"/>
  </w:style>
  <w:style w:type="character" w:customStyle="1" w:styleId="120">
    <w:name w:val="UserStyle_28"/>
    <w:qFormat/>
    <w:uiPriority w:val="0"/>
  </w:style>
  <w:style w:type="character" w:customStyle="1" w:styleId="121">
    <w:name w:val="UserStyle_29"/>
    <w:qFormat/>
    <w:uiPriority w:val="0"/>
    <w:rPr>
      <w:rFonts w:ascii="Calibri" w:hAnsi="Calibri"/>
      <w:color w:val="000000"/>
      <w:sz w:val="18"/>
      <w:szCs w:val="18"/>
    </w:rPr>
  </w:style>
  <w:style w:type="character" w:customStyle="1" w:styleId="122">
    <w:name w:val="UserStyle_34"/>
    <w:qFormat/>
    <w:uiPriority w:val="0"/>
    <w:rPr>
      <w:rFonts w:ascii="宋体" w:eastAsia="宋体"/>
      <w:color w:val="FF0000"/>
      <w:sz w:val="21"/>
      <w:szCs w:val="21"/>
    </w:rPr>
  </w:style>
  <w:style w:type="character" w:customStyle="1" w:styleId="123">
    <w:name w:val="UserStyle_37"/>
    <w:qFormat/>
    <w:uiPriority w:val="0"/>
  </w:style>
  <w:style w:type="character" w:customStyle="1" w:styleId="124">
    <w:name w:val="UserStyle_39"/>
    <w:qFormat/>
    <w:uiPriority w:val="0"/>
    <w:rPr>
      <w:rFonts w:ascii="Calibri" w:hAnsi="Calibri"/>
      <w:color w:val="000000"/>
      <w:sz w:val="21"/>
      <w:szCs w:val="21"/>
    </w:rPr>
  </w:style>
  <w:style w:type="character" w:customStyle="1" w:styleId="125">
    <w:name w:val="UserStyle_40"/>
    <w:qFormat/>
    <w:uiPriority w:val="0"/>
    <w:rPr>
      <w:rFonts w:ascii="Times New Roman" w:hAnsi="Times New Roman"/>
      <w:color w:val="99CC00"/>
      <w:sz w:val="21"/>
      <w:szCs w:val="21"/>
    </w:rPr>
  </w:style>
  <w:style w:type="character" w:customStyle="1" w:styleId="126">
    <w:name w:val="UserStyle_41"/>
    <w:qFormat/>
    <w:uiPriority w:val="0"/>
  </w:style>
  <w:style w:type="character" w:customStyle="1" w:styleId="127">
    <w:name w:val="UserStyle_42"/>
    <w:qFormat/>
    <w:uiPriority w:val="0"/>
    <w:rPr>
      <w:rFonts w:ascii="Times New Roman" w:hAnsi="Times New Roman"/>
      <w:color w:val="000000"/>
      <w:sz w:val="18"/>
      <w:szCs w:val="18"/>
    </w:rPr>
  </w:style>
  <w:style w:type="character" w:customStyle="1" w:styleId="128">
    <w:name w:val="UserStyle_43"/>
    <w:qFormat/>
    <w:uiPriority w:val="0"/>
    <w:rPr>
      <w:rFonts w:ascii="Times New Roman" w:hAnsi="Times New Roman"/>
      <w:color w:val="000000"/>
      <w:sz w:val="21"/>
      <w:szCs w:val="21"/>
    </w:rPr>
  </w:style>
  <w:style w:type="paragraph" w:customStyle="1" w:styleId="129">
    <w:name w:val="WPSOffice手动目录 1"/>
    <w:qFormat/>
    <w:uiPriority w:val="0"/>
    <w:rPr>
      <w:rFonts w:ascii="Times New Roman" w:hAnsi="Times New Roman" w:eastAsia="宋体" w:cs="Times New Roman"/>
      <w:lang w:val="en-US" w:eastAsia="zh-CN" w:bidi="ar-SA"/>
    </w:rPr>
  </w:style>
  <w:style w:type="paragraph" w:customStyle="1" w:styleId="130">
    <w:name w:val="纯文本1"/>
    <w:basedOn w:val="1"/>
    <w:qFormat/>
    <w:uiPriority w:val="0"/>
    <w:pPr>
      <w:spacing w:beforeLines="50" w:afterLines="50" w:line="400" w:lineRule="exact"/>
    </w:pPr>
    <w:rPr>
      <w:rFonts w:ascii="宋体" w:hAnsi="Courier New"/>
      <w:sz w:val="24"/>
    </w:rPr>
  </w:style>
  <w:style w:type="paragraph" w:customStyle="1" w:styleId="131">
    <w:name w:val="正文段"/>
    <w:basedOn w:val="1"/>
    <w:qFormat/>
    <w:uiPriority w:val="0"/>
    <w:pPr>
      <w:snapToGrid w:val="0"/>
      <w:spacing w:afterLines="50"/>
      <w:ind w:firstLine="200" w:firstLineChars="200"/>
    </w:pPr>
    <w:rPr>
      <w:kern w:val="0"/>
      <w:sz w:val="24"/>
      <w:szCs w:val="20"/>
    </w:rPr>
  </w:style>
  <w:style w:type="paragraph" w:customStyle="1" w:styleId="132">
    <w:name w:val="纯文本2"/>
    <w:basedOn w:val="1"/>
    <w:qFormat/>
    <w:uiPriority w:val="0"/>
    <w:pPr>
      <w:spacing w:beforeLines="50" w:afterLines="50" w:line="400" w:lineRule="exact"/>
    </w:pPr>
    <w:rPr>
      <w:rFonts w:ascii="宋体" w:hAnsi="Courier New"/>
      <w:sz w:val="24"/>
    </w:rPr>
  </w:style>
  <w:style w:type="character" w:customStyle="1" w:styleId="133">
    <w:name w:val="批注框文本 字符"/>
    <w:basedOn w:val="23"/>
    <w:link w:val="9"/>
    <w:qFormat/>
    <w:uiPriority w:val="99"/>
    <w:rPr>
      <w:kern w:val="2"/>
      <w:sz w:val="18"/>
      <w:szCs w:val="18"/>
    </w:rPr>
  </w:style>
  <w:style w:type="character" w:customStyle="1" w:styleId="134">
    <w:name w:val="font71"/>
    <w:qFormat/>
    <w:uiPriority w:val="0"/>
    <w:rPr>
      <w:rFonts w:ascii="Times New Roman" w:hAnsi="Times New Roman" w:cs="Times New Roman"/>
      <w:color w:val="000000"/>
      <w:sz w:val="21"/>
      <w:szCs w:val="21"/>
      <w:u w:val="none"/>
    </w:rPr>
  </w:style>
  <w:style w:type="paragraph" w:customStyle="1" w:styleId="135">
    <w:name w:val="纯文本3"/>
    <w:basedOn w:val="1"/>
    <w:qFormat/>
    <w:uiPriority w:val="0"/>
    <w:pPr>
      <w:widowControl w:val="0"/>
      <w:spacing w:beforeLines="50" w:afterLines="50" w:line="400" w:lineRule="exact"/>
    </w:pPr>
    <w:rPr>
      <w:rFonts w:ascii="宋体" w:hAnsi="Courier New"/>
      <w:sz w:val="24"/>
    </w:rPr>
  </w:style>
  <w:style w:type="paragraph" w:customStyle="1" w:styleId="136">
    <w:name w:val="修订1"/>
    <w:qFormat/>
    <w:uiPriority w:val="99"/>
    <w:rPr>
      <w:rFonts w:ascii="Times New Roman" w:hAnsi="Times New Roman" w:eastAsia="宋体" w:cs="Times New Roman"/>
      <w:kern w:val="2"/>
      <w:sz w:val="21"/>
      <w:szCs w:val="24"/>
      <w:lang w:val="en-US" w:eastAsia="zh-CN" w:bidi="ar-SA"/>
    </w:rPr>
  </w:style>
  <w:style w:type="paragraph" w:customStyle="1" w:styleId="137">
    <w:name w:val="无间隔1"/>
    <w:link w:val="139"/>
    <w:qFormat/>
    <w:uiPriority w:val="0"/>
    <w:rPr>
      <w:rFonts w:ascii="Calibri" w:hAnsi="Calibri" w:eastAsia="宋体" w:cs="Times New Roman"/>
      <w:sz w:val="22"/>
      <w:szCs w:val="22"/>
      <w:lang w:val="en-US" w:eastAsia="zh-CN" w:bidi="ar-SA"/>
    </w:rPr>
  </w:style>
  <w:style w:type="paragraph" w:customStyle="1" w:styleId="138">
    <w:name w:val="修订2"/>
    <w:qFormat/>
    <w:uiPriority w:val="99"/>
    <w:rPr>
      <w:rFonts w:ascii="Times New Roman" w:hAnsi="Times New Roman" w:eastAsia="宋体" w:cs="Times New Roman"/>
      <w:kern w:val="2"/>
      <w:sz w:val="21"/>
      <w:szCs w:val="24"/>
      <w:lang w:val="en-US" w:eastAsia="zh-CN" w:bidi="ar-SA"/>
    </w:rPr>
  </w:style>
  <w:style w:type="character" w:customStyle="1" w:styleId="139">
    <w:name w:val="无间隔 Char"/>
    <w:link w:val="137"/>
    <w:qFormat/>
    <w:uiPriority w:val="0"/>
    <w:rPr>
      <w:rFonts w:ascii="Calibri" w:hAnsi="Calibri"/>
      <w:sz w:val="22"/>
      <w:szCs w:val="22"/>
    </w:rPr>
  </w:style>
  <w:style w:type="paragraph" w:customStyle="1" w:styleId="140">
    <w:name w:val="列表段落1"/>
    <w:basedOn w:val="1"/>
    <w:qFormat/>
    <w:uiPriority w:val="99"/>
    <w:pPr>
      <w:ind w:firstLine="420" w:firstLineChars="200"/>
    </w:pPr>
  </w:style>
  <w:style w:type="paragraph" w:customStyle="1" w:styleId="141">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142">
    <w:name w:val="标题 字符"/>
    <w:basedOn w:val="23"/>
    <w:link w:val="17"/>
    <w:qFormat/>
    <w:uiPriority w:val="0"/>
    <w:rPr>
      <w:rFonts w:ascii="Cambria" w:hAnsi="Cambria"/>
      <w:b/>
      <w:bCs/>
      <w:kern w:val="2"/>
      <w:sz w:val="32"/>
      <w:szCs w:val="32"/>
    </w:rPr>
  </w:style>
  <w:style w:type="character" w:customStyle="1" w:styleId="143">
    <w:name w:val="页脚 字符"/>
    <w:basedOn w:val="23"/>
    <w:link w:val="10"/>
    <w:qFormat/>
    <w:uiPriority w:val="99"/>
    <w:rPr>
      <w:kern w:val="2"/>
      <w:sz w:val="18"/>
      <w:szCs w:val="18"/>
    </w:rPr>
  </w:style>
  <w:style w:type="character" w:customStyle="1" w:styleId="144">
    <w:name w:val="纯文本 字符"/>
    <w:basedOn w:val="23"/>
    <w:link w:val="7"/>
    <w:qFormat/>
    <w:uiPriority w:val="0"/>
    <w:rPr>
      <w:rFonts w:ascii="宋体" w:hAnsi="Courier New"/>
      <w:kern w:val="2"/>
      <w:sz w:val="24"/>
      <w:szCs w:val="24"/>
    </w:rPr>
  </w:style>
  <w:style w:type="paragraph" w:customStyle="1" w:styleId="145">
    <w:name w:val="p0"/>
    <w:basedOn w:val="1"/>
    <w:qFormat/>
    <w:uiPriority w:val="0"/>
    <w:rPr>
      <w:rFonts w:ascii="Calibri" w:hAnsi="Calibri"/>
      <w:kern w:val="0"/>
      <w:szCs w:val="21"/>
    </w:rPr>
  </w:style>
  <w:style w:type="character" w:customStyle="1" w:styleId="146">
    <w:name w:val="Char Char2"/>
    <w:qFormat/>
    <w:uiPriority w:val="11"/>
    <w:rPr>
      <w:rFonts w:ascii="Calibri Light" w:hAnsi="Calibri Light" w:cs="Times New Roman"/>
      <w:b/>
      <w:bCs/>
      <w:kern w:val="28"/>
      <w:sz w:val="32"/>
      <w:szCs w:val="32"/>
    </w:rPr>
  </w:style>
  <w:style w:type="character" w:customStyle="1" w:styleId="147">
    <w:name w:val="副标题 字符"/>
    <w:link w:val="13"/>
    <w:qFormat/>
    <w:uiPriority w:val="0"/>
    <w:rPr>
      <w:rFonts w:ascii="Cambria" w:hAnsi="Cambria"/>
      <w:b/>
      <w:bCs/>
      <w:kern w:val="28"/>
      <w:sz w:val="32"/>
      <w:szCs w:val="32"/>
    </w:rPr>
  </w:style>
  <w:style w:type="paragraph" w:customStyle="1" w:styleId="148">
    <w:name w:val="zhang"/>
    <w:basedOn w:val="1"/>
    <w:qFormat/>
    <w:uiPriority w:val="0"/>
    <w:pPr>
      <w:spacing w:before="100" w:beforeAutospacing="1" w:after="100" w:afterAutospacing="1"/>
    </w:pPr>
    <w:rPr>
      <w:b/>
      <w:bCs/>
      <w:smallCaps/>
      <w:color w:val="000000"/>
      <w:sz w:val="20"/>
      <w:szCs w:val="20"/>
    </w:rPr>
  </w:style>
  <w:style w:type="character" w:customStyle="1" w:styleId="149">
    <w:name w:val="15"/>
    <w:qFormat/>
    <w:uiPriority w:val="0"/>
    <w:rPr>
      <w:rFonts w:hint="default" w:ascii="Times New Roman" w:hAnsi="Times New Roman" w:cs="Times New Roman"/>
      <w:color w:val="464445"/>
      <w:u w:val="none"/>
    </w:rPr>
  </w:style>
  <w:style w:type="paragraph" w:customStyle="1" w:styleId="150">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15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360chongzhuang.com</Company>
  <Pages>70</Pages>
  <Words>20857</Words>
  <Characters>21768</Characters>
  <Lines>325</Lines>
  <Paragraphs>91</Paragraphs>
  <TotalTime>136</TotalTime>
  <ScaleCrop>false</ScaleCrop>
  <LinksUpToDate>false</LinksUpToDate>
  <CharactersWithSpaces>21877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2025-04-06T22:54:00Z</dcterms:created>
  <dc:creator>Lenovo</dc:creator>
  <cp:lastModifiedBy>admin</cp:lastModifiedBy>
  <cp:lastPrinted>2025-06-18T07:51:00Z</cp:lastPrinted>
  <dcterms:modified xsi:type="dcterms:W3CDTF">2025-06-25T14:31:04Z</dcterms:modified>
  <dc:title>鄞州区公办幼儿园发展性评估项目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4ABB00C4F2C54EC0A7A9050FB57342A9_13</vt:lpwstr>
  </property>
  <property fmtid="{D5CDD505-2E9C-101B-9397-08002B2CF9AE}" pid="4" name="KSOTemplateDocerSaveRecord">
    <vt:lpwstr>eyJoZGlkIjoiYmZmMTZlMjE2ZmExNzFhMTBiNDQ4MmNjYmEzMWUxZjQiLCJ1c2VySWQiOiIxMDMwNTc3NTcyIn0=</vt:lpwstr>
  </property>
</Properties>
</file>