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3B3B4">
      <w:pPr>
        <w:spacing w:line="360" w:lineRule="auto"/>
        <w:jc w:val="center"/>
        <w:rPr>
          <w:rFonts w:asciiTheme="minorEastAsia" w:hAnsiTheme="minorEastAsia" w:eastAsiaTheme="minorEastAsia" w:cstheme="minorEastAsia"/>
          <w:color w:val="auto"/>
          <w:sz w:val="52"/>
          <w:szCs w:val="52"/>
          <w:highlight w:val="none"/>
        </w:rPr>
      </w:pPr>
    </w:p>
    <w:p w14:paraId="7CD58206">
      <w:pPr>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奉化区方桥街道中心幼儿园校园改造项目</w:t>
      </w:r>
      <w:r>
        <w:rPr>
          <w:rFonts w:hint="eastAsia" w:asciiTheme="minorEastAsia" w:hAnsiTheme="minorEastAsia" w:eastAsiaTheme="minorEastAsia" w:cstheme="minorEastAsia"/>
          <w:color w:val="auto"/>
          <w:sz w:val="48"/>
          <w:szCs w:val="48"/>
          <w:highlight w:val="none"/>
        </w:rPr>
        <w:t>竞争性</w:t>
      </w:r>
      <w:r>
        <w:rPr>
          <w:rFonts w:hint="eastAsia" w:asciiTheme="minorEastAsia" w:hAnsiTheme="minorEastAsia" w:eastAsiaTheme="minorEastAsia" w:cstheme="minorEastAsia"/>
          <w:color w:val="auto"/>
          <w:sz w:val="48"/>
          <w:szCs w:val="48"/>
          <w:highlight w:val="none"/>
          <w:lang w:val="en-US" w:eastAsia="zh-CN"/>
        </w:rPr>
        <w:t>磋商</w:t>
      </w:r>
      <w:r>
        <w:rPr>
          <w:rFonts w:hint="eastAsia" w:asciiTheme="minorEastAsia" w:hAnsiTheme="minorEastAsia" w:eastAsiaTheme="minorEastAsia" w:cstheme="minorEastAsia"/>
          <w:color w:val="auto"/>
          <w:sz w:val="48"/>
          <w:szCs w:val="48"/>
          <w:highlight w:val="none"/>
          <w:lang w:eastAsia="zh-CN"/>
        </w:rPr>
        <w:t>文件</w:t>
      </w:r>
    </w:p>
    <w:p w14:paraId="56DB52CD">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 xml:space="preserve"> （</w:t>
      </w:r>
      <w:r>
        <w:rPr>
          <w:rFonts w:hint="eastAsia" w:ascii="仿宋" w:hAnsi="仿宋" w:eastAsia="仿宋" w:cs="仿宋"/>
          <w:b/>
          <w:sz w:val="44"/>
          <w:szCs w:val="44"/>
        </w:rPr>
        <w:t>国企采购工程类</w:t>
      </w:r>
      <w:r>
        <w:rPr>
          <w:rFonts w:hint="eastAsia" w:asciiTheme="minorEastAsia" w:hAnsiTheme="minorEastAsia" w:eastAsiaTheme="minorEastAsia" w:cstheme="minorEastAsia"/>
          <w:b/>
          <w:color w:val="auto"/>
          <w:sz w:val="48"/>
          <w:szCs w:val="48"/>
          <w:highlight w:val="none"/>
        </w:rPr>
        <w:t>）</w:t>
      </w:r>
    </w:p>
    <w:p w14:paraId="73847DD9">
      <w:pPr>
        <w:snapToGrid w:val="0"/>
        <w:spacing w:line="360" w:lineRule="auto"/>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编号</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FHGQZB(2025)204D</w:t>
      </w:r>
    </w:p>
    <w:p w14:paraId="5E921DF6">
      <w:pPr>
        <w:spacing w:line="360" w:lineRule="auto"/>
        <w:rPr>
          <w:rFonts w:asciiTheme="minorEastAsia" w:hAnsiTheme="minorEastAsia" w:eastAsiaTheme="minorEastAsia" w:cstheme="minorEastAsia"/>
          <w:color w:val="auto"/>
          <w:sz w:val="32"/>
          <w:szCs w:val="21"/>
          <w:highlight w:val="none"/>
        </w:rPr>
      </w:pPr>
    </w:p>
    <w:p w14:paraId="3E9A79AB">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 xml:space="preserve"> </w:t>
      </w:r>
    </w:p>
    <w:p w14:paraId="6E451ACD">
      <w:pPr>
        <w:spacing w:line="360" w:lineRule="auto"/>
        <w:jc w:val="center"/>
        <w:rPr>
          <w:rFonts w:asciiTheme="minorEastAsia" w:hAnsiTheme="minorEastAsia" w:eastAsiaTheme="minorEastAsia" w:cstheme="minorEastAsia"/>
          <w:b/>
          <w:color w:val="auto"/>
          <w:sz w:val="48"/>
          <w:szCs w:val="48"/>
          <w:highlight w:val="none"/>
        </w:rPr>
      </w:pPr>
    </w:p>
    <w:p w14:paraId="7BA1A3D7">
      <w:pPr>
        <w:pStyle w:val="32"/>
        <w:ind w:firstLine="560"/>
        <w:rPr>
          <w:rFonts w:asciiTheme="minorEastAsia" w:hAnsiTheme="minorEastAsia" w:eastAsiaTheme="minorEastAsia" w:cstheme="minorEastAsia"/>
          <w:color w:val="auto"/>
          <w:sz w:val="32"/>
          <w:szCs w:val="28"/>
          <w:highlight w:val="none"/>
        </w:rPr>
      </w:pPr>
    </w:p>
    <w:p w14:paraId="4F47789E">
      <w:pPr>
        <w:pStyle w:val="32"/>
        <w:ind w:firstLine="560"/>
        <w:rPr>
          <w:rFonts w:asciiTheme="minorEastAsia" w:hAnsiTheme="minorEastAsia" w:eastAsiaTheme="minorEastAsia" w:cstheme="minorEastAsia"/>
          <w:color w:val="auto"/>
          <w:sz w:val="32"/>
          <w:szCs w:val="28"/>
          <w:highlight w:val="none"/>
        </w:rPr>
      </w:pPr>
    </w:p>
    <w:p w14:paraId="2724D1C7">
      <w:pPr>
        <w:spacing w:line="360" w:lineRule="auto"/>
        <w:rPr>
          <w:rFonts w:asciiTheme="minorEastAsia" w:hAnsiTheme="minorEastAsia" w:eastAsiaTheme="minorEastAsia" w:cstheme="minorEastAsia"/>
          <w:color w:val="auto"/>
          <w:sz w:val="28"/>
          <w:szCs w:val="28"/>
          <w:highlight w:val="none"/>
        </w:rPr>
      </w:pPr>
    </w:p>
    <w:p w14:paraId="6F5CE0C5">
      <w:pPr>
        <w:pStyle w:val="9"/>
        <w:rPr>
          <w:color w:val="auto"/>
          <w:sz w:val="28"/>
          <w:szCs w:val="22"/>
          <w:highlight w:val="none"/>
        </w:rPr>
      </w:pPr>
    </w:p>
    <w:p w14:paraId="7E7E75EC">
      <w:pPr>
        <w:spacing w:line="360" w:lineRule="auto"/>
        <w:jc w:val="center"/>
        <w:rPr>
          <w:rFonts w:asciiTheme="minorEastAsia" w:hAnsiTheme="minorEastAsia" w:eastAsiaTheme="minorEastAsia" w:cstheme="minorEastAsia"/>
          <w:color w:val="auto"/>
          <w:sz w:val="28"/>
          <w:szCs w:val="28"/>
          <w:highlight w:val="none"/>
        </w:rPr>
      </w:pPr>
    </w:p>
    <w:p w14:paraId="4C3365A4">
      <w:pPr>
        <w:spacing w:line="360" w:lineRule="auto"/>
        <w:rPr>
          <w:rFonts w:asciiTheme="minorEastAsia" w:hAnsiTheme="minorEastAsia" w:eastAsiaTheme="minorEastAsia" w:cstheme="minorEastAsia"/>
          <w:color w:val="auto"/>
          <w:sz w:val="36"/>
          <w:szCs w:val="36"/>
          <w:highlight w:val="none"/>
        </w:rPr>
      </w:pPr>
    </w:p>
    <w:p w14:paraId="44620FE9">
      <w:pPr>
        <w:spacing w:line="360" w:lineRule="auto"/>
        <w:ind w:firstLine="1080" w:firstLineChars="30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采购人：</w:t>
      </w:r>
      <w:r>
        <w:rPr>
          <w:rFonts w:hint="eastAsia" w:asciiTheme="minorEastAsia" w:hAnsiTheme="minorEastAsia" w:eastAsiaTheme="minorEastAsia" w:cstheme="minorEastAsia"/>
          <w:color w:val="auto"/>
          <w:sz w:val="36"/>
          <w:szCs w:val="36"/>
          <w:highlight w:val="none"/>
          <w:lang w:eastAsia="zh-CN"/>
        </w:rPr>
        <w:t>宁波市奉化区教育发展投资有限责任公司</w:t>
      </w:r>
    </w:p>
    <w:p w14:paraId="3325286D">
      <w:pPr>
        <w:snapToGrid w:val="0"/>
        <w:spacing w:line="360" w:lineRule="auto"/>
        <w:ind w:firstLine="1080" w:firstLineChars="300"/>
        <w:jc w:val="both"/>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bCs/>
          <w:color w:val="auto"/>
          <w:sz w:val="36"/>
          <w:szCs w:val="36"/>
          <w:highlight w:val="none"/>
        </w:rPr>
        <w:t>采购代理机构：</w:t>
      </w:r>
      <w:r>
        <w:rPr>
          <w:rFonts w:hint="eastAsia" w:asciiTheme="minorEastAsia" w:hAnsiTheme="minorEastAsia" w:eastAsiaTheme="minorEastAsia" w:cstheme="minorEastAsia"/>
          <w:color w:val="auto"/>
          <w:sz w:val="36"/>
          <w:szCs w:val="36"/>
          <w:highlight w:val="none"/>
          <w:lang w:val="en-US" w:eastAsia="zh-CN"/>
        </w:rPr>
        <w:t>宁波众昕工程管理有限公司</w:t>
      </w:r>
    </w:p>
    <w:p w14:paraId="25821D1E">
      <w:pPr>
        <w:snapToGrid w:val="0"/>
        <w:spacing w:line="360" w:lineRule="auto"/>
        <w:jc w:val="center"/>
        <w:rPr>
          <w:rFonts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二零二</w:t>
      </w:r>
      <w:r>
        <w:rPr>
          <w:rFonts w:hint="eastAsia" w:asciiTheme="minorEastAsia" w:hAnsiTheme="minorEastAsia" w:eastAsiaTheme="minorEastAsia" w:cstheme="minorEastAsia"/>
          <w:bCs/>
          <w:color w:val="auto"/>
          <w:sz w:val="36"/>
          <w:szCs w:val="36"/>
          <w:highlight w:val="none"/>
          <w:lang w:val="en-US" w:eastAsia="zh-CN"/>
        </w:rPr>
        <w:t>五</w:t>
      </w:r>
      <w:r>
        <w:rPr>
          <w:rFonts w:hint="eastAsia" w:asciiTheme="minorEastAsia" w:hAnsiTheme="minorEastAsia" w:eastAsiaTheme="minorEastAsia" w:cstheme="minorEastAsia"/>
          <w:bCs/>
          <w:color w:val="auto"/>
          <w:sz w:val="36"/>
          <w:szCs w:val="36"/>
          <w:highlight w:val="none"/>
        </w:rPr>
        <w:t>年</w:t>
      </w:r>
    </w:p>
    <w:p w14:paraId="6ACFBE7F">
      <w:pPr>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0" w:name="_Hlt67893495"/>
      <w:bookmarkEnd w:id="0"/>
    </w:p>
    <w:p w14:paraId="3E5CBDEA">
      <w:pPr>
        <w:spacing w:line="360" w:lineRule="auto"/>
        <w:jc w:val="center"/>
        <w:rPr>
          <w:rFonts w:asciiTheme="minorEastAsia" w:hAnsiTheme="minorEastAsia" w:eastAsiaTheme="minorEastAsia" w:cstheme="minorEastAsia"/>
          <w:color w:val="auto"/>
          <w:sz w:val="28"/>
          <w:szCs w:val="28"/>
          <w:highlight w:val="none"/>
        </w:rPr>
      </w:pPr>
    </w:p>
    <w:p w14:paraId="03738FE7">
      <w:pPr>
        <w:spacing w:line="360" w:lineRule="auto"/>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目  录</w:t>
      </w:r>
    </w:p>
    <w:p w14:paraId="31110EF1">
      <w:pPr>
        <w:spacing w:line="360" w:lineRule="auto"/>
        <w:rPr>
          <w:rFonts w:asciiTheme="minorEastAsia" w:hAnsiTheme="minorEastAsia" w:eastAsiaTheme="minorEastAsia" w:cstheme="minorEastAsia"/>
          <w:color w:val="auto"/>
          <w:sz w:val="36"/>
          <w:szCs w:val="36"/>
          <w:highlight w:val="none"/>
        </w:rPr>
      </w:pPr>
    </w:p>
    <w:p w14:paraId="4F9C1530">
      <w:pPr>
        <w:spacing w:line="360" w:lineRule="auto"/>
        <w:rPr>
          <w:rFonts w:asciiTheme="minorEastAsia" w:hAnsiTheme="minorEastAsia" w:eastAsiaTheme="minorEastAsia" w:cstheme="minorEastAsia"/>
          <w:color w:val="auto"/>
          <w:sz w:val="32"/>
          <w:szCs w:val="32"/>
          <w:highlight w:val="none"/>
        </w:rPr>
      </w:pPr>
    </w:p>
    <w:p w14:paraId="3BF604E4">
      <w:pPr>
        <w:spacing w:line="360" w:lineRule="auto"/>
        <w:ind w:firstLine="640" w:firstLineChars="200"/>
        <w:rPr>
          <w:rFonts w:hint="eastAsia" w:ascii="仿宋" w:hAnsi="仿宋" w:eastAsia="仿宋" w:cs="仿宋"/>
          <w:color w:val="auto"/>
          <w:sz w:val="32"/>
          <w:szCs w:val="32"/>
          <w:highlight w:val="none"/>
        </w:rPr>
      </w:pPr>
      <w:bookmarkStart w:id="1" w:name="_Hlt91233176"/>
      <w:bookmarkEnd w:id="1"/>
      <w:bookmarkStart w:id="2" w:name="_Toc91899869"/>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竞争性磋商</w:t>
      </w:r>
      <w:r>
        <w:rPr>
          <w:rFonts w:hint="eastAsia" w:ascii="仿宋" w:hAnsi="仿宋" w:eastAsia="仿宋" w:cs="仿宋"/>
          <w:color w:val="auto"/>
          <w:sz w:val="32"/>
          <w:szCs w:val="32"/>
          <w:highlight w:val="none"/>
        </w:rPr>
        <w:t>公告</w:t>
      </w:r>
    </w:p>
    <w:p w14:paraId="04ACF2A1">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w:t>
      </w:r>
      <w:r>
        <w:rPr>
          <w:rFonts w:hint="eastAsia" w:ascii="仿宋" w:hAnsi="仿宋" w:eastAsia="仿宋" w:cs="仿宋"/>
          <w:color w:val="auto"/>
          <w:sz w:val="32"/>
          <w:szCs w:val="32"/>
          <w:highlight w:val="none"/>
        </w:rPr>
        <w:t>须知</w:t>
      </w:r>
    </w:p>
    <w:p w14:paraId="0BA96AC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EBF33B1">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w:t>
      </w:r>
      <w:r>
        <w:rPr>
          <w:rFonts w:hint="eastAsia" w:ascii="仿宋" w:hAnsi="仿宋" w:eastAsia="仿宋" w:cs="仿宋"/>
          <w:color w:val="auto"/>
          <w:sz w:val="32"/>
          <w:szCs w:val="32"/>
          <w:highlight w:val="none"/>
          <w:lang w:eastAsia="zh-CN"/>
        </w:rPr>
        <w:t>审</w:t>
      </w:r>
      <w:r>
        <w:rPr>
          <w:rFonts w:hint="eastAsia" w:ascii="仿宋" w:hAnsi="仿宋" w:eastAsia="仿宋" w:cs="仿宋"/>
          <w:color w:val="auto"/>
          <w:sz w:val="32"/>
          <w:szCs w:val="32"/>
          <w:highlight w:val="none"/>
        </w:rPr>
        <w:t>办法</w:t>
      </w:r>
    </w:p>
    <w:p w14:paraId="7D000C86">
      <w:pPr>
        <w:spacing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val="en-US" w:eastAsia="zh-CN"/>
        </w:rPr>
        <w:t>拟签订的合同文本</w:t>
      </w:r>
    </w:p>
    <w:p w14:paraId="5C3D5BC3">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第</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部分</w:t>
      </w:r>
      <w:r>
        <w:rPr>
          <w:rFonts w:hint="eastAsia" w:ascii="仿宋" w:hAnsi="仿宋" w:eastAsia="仿宋" w:cs="仿宋"/>
          <w:color w:val="auto"/>
          <w:sz w:val="32"/>
          <w:szCs w:val="32"/>
          <w:highlight w:val="none"/>
          <w:lang w:val="en-US" w:eastAsia="zh-CN"/>
        </w:rPr>
        <w:t xml:space="preserve">      工程量清单及图纸</w:t>
      </w:r>
    </w:p>
    <w:p w14:paraId="4160F0ED">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部分</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技术标准和要求</w:t>
      </w:r>
    </w:p>
    <w:p w14:paraId="19B15F59">
      <w:pPr>
        <w:spacing w:line="360" w:lineRule="auto"/>
        <w:ind w:firstLine="640" w:firstLineChars="200"/>
        <w:rPr>
          <w:rFonts w:asciiTheme="minorEastAsia" w:hAnsiTheme="minorEastAsia" w:eastAsiaTheme="minorEastAsia" w:cstheme="minorEastAsia"/>
          <w:color w:val="auto"/>
          <w:sz w:val="24"/>
          <w:szCs w:val="24"/>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部分      应提交的有关格式范例</w:t>
      </w:r>
    </w:p>
    <w:p w14:paraId="6E44CCD4">
      <w:pPr>
        <w:spacing w:line="360" w:lineRule="auto"/>
        <w:ind w:firstLine="641" w:firstLineChars="229"/>
        <w:rPr>
          <w:rFonts w:asciiTheme="minorEastAsia" w:hAnsiTheme="minorEastAsia" w:eastAsiaTheme="minorEastAsia" w:cstheme="minorEastAsia"/>
          <w:color w:val="auto"/>
          <w:sz w:val="28"/>
          <w:szCs w:val="28"/>
          <w:highlight w:val="none"/>
        </w:rPr>
      </w:pPr>
    </w:p>
    <w:p w14:paraId="2303E0D5">
      <w:pPr>
        <w:spacing w:line="360" w:lineRule="auto"/>
        <w:ind w:firstLine="641" w:firstLineChars="229"/>
        <w:rPr>
          <w:rFonts w:asciiTheme="minorEastAsia" w:hAnsiTheme="minorEastAsia" w:eastAsiaTheme="minorEastAsia" w:cstheme="minorEastAsia"/>
          <w:color w:val="auto"/>
          <w:sz w:val="28"/>
          <w:szCs w:val="28"/>
          <w:highlight w:val="none"/>
        </w:rPr>
      </w:pPr>
    </w:p>
    <w:p w14:paraId="0F4F13A1">
      <w:pPr>
        <w:spacing w:line="360" w:lineRule="auto"/>
        <w:rPr>
          <w:rFonts w:asciiTheme="minorEastAsia" w:hAnsiTheme="minorEastAsia" w:eastAsiaTheme="minorEastAsia" w:cstheme="minorEastAsia"/>
          <w:color w:val="auto"/>
          <w:sz w:val="28"/>
          <w:szCs w:val="28"/>
          <w:highlight w:val="none"/>
        </w:rPr>
      </w:pPr>
    </w:p>
    <w:p w14:paraId="749BA5ED">
      <w:pPr>
        <w:spacing w:line="360" w:lineRule="auto"/>
        <w:ind w:firstLine="641" w:firstLineChars="229"/>
        <w:rPr>
          <w:rFonts w:asciiTheme="minorEastAsia" w:hAnsiTheme="minorEastAsia" w:eastAsiaTheme="minorEastAsia" w:cstheme="minorEastAsia"/>
          <w:color w:val="auto"/>
          <w:sz w:val="28"/>
          <w:szCs w:val="28"/>
          <w:highlight w:val="none"/>
        </w:rPr>
      </w:pPr>
    </w:p>
    <w:p w14:paraId="15C62BB4">
      <w:pPr>
        <w:spacing w:line="360" w:lineRule="auto"/>
        <w:ind w:firstLine="641" w:firstLineChars="229"/>
        <w:rPr>
          <w:rFonts w:asciiTheme="minorEastAsia" w:hAnsiTheme="minorEastAsia" w:eastAsiaTheme="minorEastAsia" w:cstheme="minorEastAsia"/>
          <w:color w:val="auto"/>
          <w:sz w:val="28"/>
          <w:szCs w:val="28"/>
          <w:highlight w:val="none"/>
        </w:rPr>
      </w:pPr>
    </w:p>
    <w:p w14:paraId="1560F7BB">
      <w:pPr>
        <w:spacing w:line="360" w:lineRule="auto"/>
        <w:ind w:firstLine="641" w:firstLineChars="229"/>
        <w:rPr>
          <w:rFonts w:asciiTheme="minorEastAsia" w:hAnsiTheme="minorEastAsia" w:eastAsiaTheme="minorEastAsia" w:cstheme="minorEastAsia"/>
          <w:color w:val="auto"/>
          <w:sz w:val="28"/>
          <w:szCs w:val="28"/>
          <w:highlight w:val="none"/>
        </w:rPr>
      </w:pPr>
    </w:p>
    <w:p w14:paraId="7F70FF77">
      <w:pPr>
        <w:spacing w:line="360" w:lineRule="auto"/>
        <w:ind w:firstLine="641" w:firstLineChars="229"/>
        <w:rPr>
          <w:rFonts w:asciiTheme="minorEastAsia" w:hAnsiTheme="minorEastAsia" w:eastAsiaTheme="minorEastAsia" w:cstheme="minorEastAsia"/>
          <w:color w:val="auto"/>
          <w:sz w:val="28"/>
          <w:szCs w:val="28"/>
          <w:highlight w:val="none"/>
        </w:rPr>
      </w:pPr>
    </w:p>
    <w:p w14:paraId="211D7DB1">
      <w:pPr>
        <w:spacing w:line="360" w:lineRule="auto"/>
        <w:ind w:firstLine="641" w:firstLineChars="229"/>
        <w:rPr>
          <w:rFonts w:asciiTheme="minorEastAsia" w:hAnsiTheme="minorEastAsia" w:eastAsiaTheme="minorEastAsia" w:cstheme="minorEastAsia"/>
          <w:color w:val="auto"/>
          <w:sz w:val="28"/>
          <w:szCs w:val="28"/>
          <w:highlight w:val="none"/>
        </w:rPr>
      </w:pPr>
    </w:p>
    <w:p w14:paraId="25D200D3">
      <w:pPr>
        <w:spacing w:line="360" w:lineRule="auto"/>
        <w:ind w:firstLine="641" w:firstLineChars="229"/>
        <w:rPr>
          <w:rFonts w:asciiTheme="minorEastAsia" w:hAnsiTheme="minorEastAsia" w:eastAsiaTheme="minorEastAsia" w:cstheme="minorEastAsia"/>
          <w:color w:val="auto"/>
          <w:sz w:val="28"/>
          <w:szCs w:val="28"/>
          <w:highlight w:val="none"/>
        </w:rPr>
      </w:pPr>
    </w:p>
    <w:p w14:paraId="0620ADDF">
      <w:pPr>
        <w:spacing w:line="360" w:lineRule="auto"/>
        <w:jc w:val="center"/>
        <w:outlineLvl w:val="0"/>
        <w:rPr>
          <w:rFonts w:asciiTheme="minorEastAsia" w:hAnsiTheme="minorEastAsia" w:eastAsiaTheme="minorEastAsia" w:cstheme="minorEastAsia"/>
          <w:b/>
          <w:color w:val="auto"/>
          <w:sz w:val="28"/>
          <w:szCs w:val="28"/>
          <w:highlight w:val="none"/>
        </w:rPr>
      </w:pPr>
      <w:bookmarkStart w:id="3" w:name="第一部分"/>
      <w:r>
        <w:rPr>
          <w:rFonts w:hint="eastAsia" w:asciiTheme="minorEastAsia" w:hAnsiTheme="minorEastAsia" w:eastAsiaTheme="minorEastAsia" w:cstheme="minorEastAsia"/>
          <w:b/>
          <w:color w:val="auto"/>
          <w:sz w:val="40"/>
          <w:szCs w:val="40"/>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40"/>
          <w:szCs w:val="21"/>
          <w:highlight w:val="none"/>
        </w:rPr>
        <w:t>第一部分 竞争性磋商公告</w:t>
      </w:r>
    </w:p>
    <w:p w14:paraId="7EA8DE8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2D8036F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奉化区方桥街道中心幼儿园校园改造项目</w:t>
      </w:r>
      <w:r>
        <w:rPr>
          <w:rFonts w:hint="eastAsia" w:ascii="宋体" w:hAnsi="宋体" w:eastAsia="宋体" w:cs="宋体"/>
          <w:color w:val="auto"/>
          <w:sz w:val="22"/>
          <w:szCs w:val="22"/>
          <w:highlight w:val="none"/>
        </w:rPr>
        <w:t>的潜在供应商应在</w:t>
      </w:r>
      <w:r>
        <w:rPr>
          <w:rFonts w:hint="eastAsia" w:ascii="宋体" w:hAnsi="宋体" w:cs="宋体"/>
          <w:color w:val="auto"/>
          <w:sz w:val="22"/>
          <w:szCs w:val="22"/>
          <w:highlight w:val="none"/>
          <w:lang w:eastAsia="zh-CN"/>
        </w:rPr>
        <w:t>乐采云</w:t>
      </w:r>
      <w:r>
        <w:rPr>
          <w:rFonts w:hint="eastAsia" w:ascii="宋体" w:hAnsi="宋体" w:eastAsia="宋体" w:cs="宋体"/>
          <w:color w:val="auto"/>
          <w:sz w:val="22"/>
          <w:szCs w:val="22"/>
          <w:highlight w:val="none"/>
        </w:rPr>
        <w:t>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"https://www.zcygov.cn/）获取（下载）招标文件，并于2022年00月00日14点30分00秒"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/）获取（下载）采购文件，并于202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点</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6B4D44F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一、项目基本情况                                            </w:t>
      </w:r>
    </w:p>
    <w:p w14:paraId="1A1C2C18">
      <w:pPr>
        <w:keepNext w:val="0"/>
        <w:keepLines w:val="0"/>
        <w:pageBreakBefore w:val="0"/>
        <w:kinsoku/>
        <w:wordWrap/>
        <w:overflowPunct/>
        <w:topLinePunct w:val="0"/>
        <w:autoSpaceDE/>
        <w:autoSpaceDN/>
        <w:bidi w:val="0"/>
        <w:adjustRightInd/>
        <w:spacing w:line="440" w:lineRule="exact"/>
        <w:ind w:firstLine="442" w:firstLineChars="200"/>
        <w:textAlignment w:val="auto"/>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
          <w:color w:val="auto"/>
          <w:sz w:val="22"/>
          <w:szCs w:val="22"/>
          <w:highlight w:val="none"/>
        </w:rPr>
        <w:t>项目编号：</w:t>
      </w:r>
      <w:r>
        <w:rPr>
          <w:rFonts w:hint="eastAsia" w:ascii="宋体" w:hAnsi="宋体" w:eastAsia="宋体" w:cs="宋体"/>
          <w:bCs/>
          <w:snapToGrid w:val="0"/>
          <w:color w:val="auto"/>
          <w:kern w:val="2"/>
          <w:sz w:val="24"/>
          <w:szCs w:val="24"/>
          <w:highlight w:val="none"/>
          <w:lang w:val="en-US" w:eastAsia="zh-CN" w:bidi="ar-SA"/>
        </w:rPr>
        <w:t>FHGQZB(202</w:t>
      </w:r>
      <w:r>
        <w:rPr>
          <w:rFonts w:hint="eastAsia" w:ascii="宋体" w:hAnsi="宋体" w:cs="宋体"/>
          <w:bCs/>
          <w:snapToGrid w:val="0"/>
          <w:color w:val="auto"/>
          <w:kern w:val="2"/>
          <w:sz w:val="24"/>
          <w:szCs w:val="24"/>
          <w:highlight w:val="none"/>
          <w:lang w:val="en-US" w:eastAsia="zh-CN" w:bidi="ar-SA"/>
        </w:rPr>
        <w:t>5)204</w:t>
      </w:r>
      <w:r>
        <w:rPr>
          <w:rFonts w:hint="eastAsia" w:ascii="宋体" w:hAnsi="宋体" w:eastAsia="宋体" w:cs="宋体"/>
          <w:bCs/>
          <w:snapToGrid w:val="0"/>
          <w:color w:val="auto"/>
          <w:kern w:val="2"/>
          <w:sz w:val="24"/>
          <w:szCs w:val="24"/>
          <w:highlight w:val="none"/>
          <w:lang w:val="en-US" w:eastAsia="zh-CN" w:bidi="ar-SA"/>
        </w:rPr>
        <w:t>D</w:t>
      </w:r>
    </w:p>
    <w:p w14:paraId="4031BCE7">
      <w:pPr>
        <w:keepNext w:val="0"/>
        <w:keepLines w:val="0"/>
        <w:pageBreakBefore w:val="0"/>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b/>
          <w:color w:val="auto"/>
          <w:sz w:val="22"/>
          <w:szCs w:val="22"/>
          <w:highlight w:val="none"/>
        </w:rPr>
        <w:t>项目名称：</w:t>
      </w:r>
      <w:r>
        <w:rPr>
          <w:rFonts w:hint="eastAsia" w:ascii="宋体" w:hAnsi="宋体" w:cs="宋体"/>
          <w:color w:val="auto"/>
          <w:kern w:val="0"/>
          <w:sz w:val="22"/>
          <w:szCs w:val="22"/>
          <w:highlight w:val="none"/>
          <w:lang w:eastAsia="zh-CN"/>
        </w:rPr>
        <w:t>奉化区方桥街道中心幼儿园校园改造项目</w:t>
      </w:r>
      <w:r>
        <w:rPr>
          <w:rFonts w:hint="eastAsia" w:ascii="宋体" w:hAnsi="宋体" w:eastAsia="宋体" w:cs="宋体"/>
          <w:color w:val="auto"/>
          <w:kern w:val="0"/>
          <w:sz w:val="22"/>
          <w:szCs w:val="22"/>
          <w:highlight w:val="none"/>
          <w:lang w:val="en-US" w:eastAsia="zh-CN"/>
        </w:rPr>
        <w:t xml:space="preserve">  </w:t>
      </w:r>
    </w:p>
    <w:p w14:paraId="65EE081C">
      <w:pPr>
        <w:keepNext w:val="0"/>
        <w:keepLines w:val="0"/>
        <w:pageBreakBefore w:val="0"/>
        <w:kinsoku/>
        <w:wordWrap/>
        <w:overflowPunct/>
        <w:topLinePunct w:val="0"/>
        <w:autoSpaceDE/>
        <w:autoSpaceDN/>
        <w:bidi w:val="0"/>
        <w:adjustRightInd/>
        <w:spacing w:line="440" w:lineRule="exact"/>
        <w:ind w:firstLine="442" w:firstLineChars="200"/>
        <w:textAlignment w:val="auto"/>
        <w:rPr>
          <w:rFonts w:hint="default"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2"/>
          <w:szCs w:val="22"/>
          <w:highlight w:val="none"/>
        </w:rPr>
        <w:t>预算金额（元）：</w:t>
      </w:r>
      <w:r>
        <w:rPr>
          <w:rFonts w:hint="eastAsia" w:ascii="宋体" w:hAnsi="宋体" w:cs="宋体"/>
          <w:b/>
          <w:color w:val="auto"/>
          <w:sz w:val="22"/>
          <w:szCs w:val="22"/>
          <w:highlight w:val="none"/>
          <w:lang w:val="en-US" w:eastAsia="zh-CN"/>
        </w:rPr>
        <w:t>3500000</w:t>
      </w:r>
    </w:p>
    <w:p w14:paraId="0B555757">
      <w:pPr>
        <w:keepNext w:val="0"/>
        <w:keepLines w:val="0"/>
        <w:pageBreakBefore w:val="0"/>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最高限价（元）：</w:t>
      </w:r>
      <w:r>
        <w:rPr>
          <w:rFonts w:hint="eastAsia" w:ascii="宋体" w:hAnsi="宋体" w:cs="宋体"/>
          <w:b/>
          <w:color w:val="auto"/>
          <w:sz w:val="22"/>
          <w:szCs w:val="22"/>
          <w:highlight w:val="none"/>
          <w:lang w:val="en-US" w:eastAsia="zh-CN"/>
        </w:rPr>
        <w:t>3385639</w:t>
      </w:r>
      <w:r>
        <w:rPr>
          <w:rFonts w:hint="eastAsia" w:ascii="宋体" w:hAnsi="宋体" w:eastAsia="宋体" w:cs="宋体"/>
          <w:bCs/>
          <w:snapToGrid w:val="0"/>
          <w:color w:val="auto"/>
          <w:kern w:val="2"/>
          <w:sz w:val="22"/>
          <w:szCs w:val="22"/>
          <w:highlight w:val="none"/>
          <w:lang w:val="en-US" w:eastAsia="zh-CN" w:bidi="ar-SA"/>
        </w:rPr>
        <w:t>，最高综合折扣率：</w:t>
      </w:r>
      <w:r>
        <w:rPr>
          <w:rFonts w:hint="eastAsia" w:ascii="宋体" w:hAnsi="宋体" w:cs="宋体"/>
          <w:bCs/>
          <w:snapToGrid w:val="0"/>
          <w:color w:val="auto"/>
          <w:kern w:val="2"/>
          <w:sz w:val="22"/>
          <w:szCs w:val="22"/>
          <w:highlight w:val="none"/>
          <w:lang w:val="en-US" w:eastAsia="zh-CN" w:bidi="ar-SA"/>
        </w:rPr>
        <w:t>95</w:t>
      </w:r>
      <w:r>
        <w:rPr>
          <w:rFonts w:hint="eastAsia" w:ascii="宋体" w:hAnsi="宋体" w:eastAsia="宋体" w:cs="宋体"/>
          <w:bCs/>
          <w:snapToGrid w:val="0"/>
          <w:color w:val="auto"/>
          <w:kern w:val="2"/>
          <w:sz w:val="22"/>
          <w:szCs w:val="22"/>
          <w:highlight w:val="none"/>
          <w:lang w:val="en-US" w:eastAsia="zh-CN" w:bidi="ar-SA"/>
        </w:rPr>
        <w:t xml:space="preserve">%  </w:t>
      </w:r>
    </w:p>
    <w:p w14:paraId="7C490AD1">
      <w:pPr>
        <w:pStyle w:val="7"/>
        <w:keepNext w:val="0"/>
        <w:keepLines w:val="0"/>
        <w:pageBreakBefore w:val="0"/>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2"/>
          <w:szCs w:val="22"/>
          <w:highlight w:val="none"/>
        </w:rPr>
        <w:t>采购需求：</w:t>
      </w:r>
      <w:r>
        <w:rPr>
          <w:rFonts w:hint="eastAsia" w:hAnsi="宋体" w:cs="宋体"/>
          <w:bCs/>
          <w:snapToGrid w:val="0"/>
          <w:color w:val="auto"/>
          <w:kern w:val="2"/>
          <w:sz w:val="22"/>
          <w:szCs w:val="22"/>
          <w:highlight w:val="none"/>
          <w:lang w:val="en-US" w:eastAsia="zh-CN" w:bidi="ar-SA"/>
        </w:rPr>
        <w:t>奉化区方桥街道中心幼儿园校园改造项目</w:t>
      </w:r>
      <w:r>
        <w:rPr>
          <w:rFonts w:hint="eastAsia" w:ascii="宋体" w:hAnsi="宋体" w:eastAsia="宋体" w:cs="宋体"/>
          <w:bCs/>
          <w:snapToGrid w:val="0"/>
          <w:color w:val="auto"/>
          <w:kern w:val="2"/>
          <w:sz w:val="22"/>
          <w:szCs w:val="22"/>
          <w:highlight w:val="none"/>
          <w:lang w:val="en-US" w:eastAsia="zh-CN" w:bidi="ar-SA"/>
        </w:rPr>
        <w:t>，详见</w:t>
      </w:r>
      <w:r>
        <w:rPr>
          <w:rFonts w:hint="eastAsia" w:hAnsi="宋体" w:cs="宋体"/>
          <w:bCs/>
          <w:snapToGrid w:val="0"/>
          <w:color w:val="auto"/>
          <w:kern w:val="2"/>
          <w:sz w:val="22"/>
          <w:szCs w:val="22"/>
          <w:highlight w:val="none"/>
          <w:lang w:val="en-US" w:eastAsia="zh-CN" w:bidi="ar-SA"/>
        </w:rPr>
        <w:t>竞争性磋商</w:t>
      </w:r>
      <w:r>
        <w:rPr>
          <w:rFonts w:hint="eastAsia" w:ascii="宋体" w:hAnsi="宋体" w:eastAsia="宋体" w:cs="宋体"/>
          <w:bCs/>
          <w:snapToGrid w:val="0"/>
          <w:color w:val="auto"/>
          <w:kern w:val="2"/>
          <w:sz w:val="22"/>
          <w:szCs w:val="22"/>
          <w:highlight w:val="none"/>
          <w:lang w:val="en-US" w:eastAsia="zh-CN" w:bidi="ar-SA"/>
        </w:rPr>
        <w:t>文件第三部分采购需求。</w:t>
      </w:r>
    </w:p>
    <w:p w14:paraId="08482D9D">
      <w:pPr>
        <w:pStyle w:val="52"/>
        <w:keepNext w:val="0"/>
        <w:keepLines w:val="0"/>
        <w:pageBreakBefore w:val="0"/>
        <w:kinsoku/>
        <w:wordWrap/>
        <w:overflowPunct/>
        <w:topLinePunct w:val="0"/>
        <w:autoSpaceDE/>
        <w:autoSpaceDN/>
        <w:bidi w:val="0"/>
        <w:adjustRightInd/>
        <w:spacing w:before="0" w:line="440" w:lineRule="exact"/>
        <w:ind w:firstLine="442"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合同履约期限：</w:t>
      </w:r>
      <w:r>
        <w:rPr>
          <w:rFonts w:hint="eastAsia" w:ascii="宋体" w:hAnsi="宋体" w:eastAsia="宋体" w:cs="宋体"/>
          <w:bCs/>
          <w:snapToGrid w:val="0"/>
          <w:color w:val="auto"/>
          <w:kern w:val="2"/>
          <w:sz w:val="22"/>
          <w:szCs w:val="22"/>
          <w:highlight w:val="none"/>
          <w:lang w:val="en-US" w:eastAsia="zh-CN" w:bidi="ar-SA"/>
        </w:rPr>
        <w:t>详见</w:t>
      </w:r>
      <w:r>
        <w:rPr>
          <w:rFonts w:hint="eastAsia" w:hAnsi="宋体" w:cs="宋体"/>
          <w:bCs/>
          <w:snapToGrid w:val="0"/>
          <w:color w:val="auto"/>
          <w:kern w:val="2"/>
          <w:sz w:val="22"/>
          <w:szCs w:val="22"/>
          <w:highlight w:val="none"/>
          <w:lang w:val="en-US" w:eastAsia="zh-CN" w:bidi="ar-SA"/>
        </w:rPr>
        <w:t>竞争性磋商</w:t>
      </w:r>
      <w:r>
        <w:rPr>
          <w:rFonts w:hint="eastAsia" w:ascii="宋体" w:hAnsi="宋体" w:eastAsia="宋体" w:cs="宋体"/>
          <w:bCs/>
          <w:snapToGrid w:val="0"/>
          <w:color w:val="auto"/>
          <w:kern w:val="2"/>
          <w:sz w:val="22"/>
          <w:szCs w:val="22"/>
          <w:highlight w:val="none"/>
          <w:lang w:val="en-US" w:eastAsia="zh-CN" w:bidi="ar-SA"/>
        </w:rPr>
        <w:t>文件第三部分采购需求</w:t>
      </w:r>
      <w:r>
        <w:rPr>
          <w:rFonts w:hint="eastAsia" w:ascii="宋体" w:hAnsi="宋体" w:eastAsia="宋体" w:cs="宋体"/>
          <w:snapToGrid w:val="0"/>
          <w:color w:val="auto"/>
          <w:kern w:val="28"/>
          <w:sz w:val="22"/>
          <w:szCs w:val="22"/>
          <w:highlight w:val="none"/>
          <w:lang w:val="en-US" w:eastAsia="zh-CN" w:bidi="ar-SA"/>
        </w:rPr>
        <w:t>。</w:t>
      </w:r>
    </w:p>
    <w:p w14:paraId="148F011D">
      <w:pPr>
        <w:pStyle w:val="7"/>
        <w:keepNext w:val="0"/>
        <w:keepLines w:val="0"/>
        <w:pageBreakBefore w:val="0"/>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本项目接受联合体：</w:t>
      </w:r>
      <w:r>
        <w:rPr>
          <w:rFonts w:hint="eastAsia" w:ascii="宋体" w:hAnsi="宋体" w:eastAsia="宋体" w:cs="宋体"/>
          <w:color w:val="auto"/>
          <w:kern w:val="0"/>
          <w:sz w:val="22"/>
          <w:szCs w:val="22"/>
          <w:highlight w:val="none"/>
        </w:rPr>
        <w:t>☐</w:t>
      </w:r>
      <w:r>
        <w:rPr>
          <w:rFonts w:hint="eastAsia" w:ascii="宋体" w:hAnsi="宋体" w:eastAsia="宋体" w:cs="宋体"/>
          <w:b/>
          <w:color w:val="auto"/>
          <w:sz w:val="22"/>
          <w:szCs w:val="22"/>
          <w:highlight w:val="none"/>
        </w:rPr>
        <w:t>是，</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sym w:font="Wingdings" w:char="F0FE"/>
      </w:r>
      <w:r>
        <w:rPr>
          <w:rFonts w:hint="eastAsia" w:ascii="宋体" w:hAnsi="宋体" w:eastAsia="宋体" w:cs="宋体"/>
          <w:b/>
          <w:color w:val="auto"/>
          <w:sz w:val="22"/>
          <w:szCs w:val="22"/>
          <w:highlight w:val="none"/>
        </w:rPr>
        <w:t>否</w:t>
      </w:r>
      <w:r>
        <w:rPr>
          <w:rFonts w:hint="eastAsia" w:ascii="宋体" w:hAnsi="宋体" w:eastAsia="宋体" w:cs="宋体"/>
          <w:color w:val="auto"/>
          <w:kern w:val="0"/>
          <w:sz w:val="22"/>
          <w:szCs w:val="22"/>
          <w:highlight w:val="none"/>
        </w:rPr>
        <w:t>。</w:t>
      </w:r>
    </w:p>
    <w:p w14:paraId="1B7EE576">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二、申请人的资格要求：</w:t>
      </w:r>
    </w:p>
    <w:p w14:paraId="390EC8D9">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972D09F">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28"/>
          <w:sz w:val="22"/>
          <w:szCs w:val="22"/>
          <w:highlight w:val="none"/>
        </w:rPr>
        <w:t xml:space="preserve">    2.落实政府采购政策需满足的资格要求：</w:t>
      </w:r>
      <w:r>
        <w:rPr>
          <w:rFonts w:hint="eastAsia" w:ascii="宋体" w:hAnsi="宋体" w:cs="宋体"/>
          <w:color w:val="auto"/>
          <w:sz w:val="22"/>
          <w:szCs w:val="22"/>
          <w:highlight w:val="none"/>
          <w:lang w:val="en-US" w:eastAsia="zh-CN"/>
        </w:rPr>
        <w:t>无</w:t>
      </w:r>
      <w:r>
        <w:rPr>
          <w:rFonts w:hint="eastAsia" w:ascii="宋体" w:hAnsi="宋体" w:eastAsia="宋体" w:cs="宋体"/>
          <w:color w:val="auto"/>
          <w:sz w:val="22"/>
          <w:szCs w:val="22"/>
          <w:highlight w:val="none"/>
        </w:rPr>
        <w:t>；</w:t>
      </w:r>
    </w:p>
    <w:p w14:paraId="3A61B363">
      <w:pPr>
        <w:shd w:val="clear"/>
        <w:spacing w:line="440" w:lineRule="exact"/>
        <w:ind w:firstLine="440" w:firstLineChars="200"/>
        <w:rPr>
          <w:rFonts w:hint="eastAsia" w:cs="Times New Roman" w:asciiTheme="minorEastAsia" w:hAnsiTheme="minorEastAsia" w:eastAsiaTheme="minorEastAsia"/>
          <w:color w:val="auto"/>
          <w:sz w:val="22"/>
          <w:szCs w:val="22"/>
          <w:highlight w:val="none"/>
          <w:u w:val="none"/>
        </w:rPr>
      </w:pPr>
      <w:r>
        <w:rPr>
          <w:rFonts w:hint="eastAsia" w:cs="Times New Roman" w:asciiTheme="minorEastAsia" w:hAnsiTheme="minorEastAsia" w:eastAsiaTheme="minorEastAsia"/>
          <w:color w:val="auto"/>
          <w:sz w:val="22"/>
          <w:szCs w:val="22"/>
          <w:highlight w:val="none"/>
          <w:u w:val="none"/>
        </w:rPr>
        <w:t>3.本项目的特定资格要求：供应商须具有合法有效的企业营业执照、具有</w:t>
      </w:r>
      <w:r>
        <w:rPr>
          <w:rFonts w:hint="eastAsia" w:cs="Times New Roman" w:asciiTheme="minorEastAsia" w:hAnsiTheme="minorEastAsia" w:eastAsiaTheme="minorEastAsia"/>
          <w:color w:val="auto"/>
          <w:sz w:val="22"/>
          <w:szCs w:val="22"/>
          <w:highlight w:val="none"/>
          <w:u w:val="none"/>
          <w:lang w:val="en-US" w:eastAsia="zh-CN"/>
        </w:rPr>
        <w:t>建筑工程施工总承包叁级</w:t>
      </w:r>
      <w:r>
        <w:rPr>
          <w:rFonts w:hint="eastAsia" w:cs="Times New Roman" w:asciiTheme="minorEastAsia" w:hAnsiTheme="minorEastAsia" w:eastAsiaTheme="minorEastAsia"/>
          <w:color w:val="auto"/>
          <w:sz w:val="22"/>
          <w:szCs w:val="22"/>
          <w:highlight w:val="none"/>
          <w:u w:val="none"/>
        </w:rPr>
        <w:t>及以上资质</w:t>
      </w:r>
      <w:r>
        <w:rPr>
          <w:rFonts w:hint="eastAsia" w:cs="Times New Roman" w:asciiTheme="minorEastAsia" w:hAnsiTheme="minorEastAsia" w:eastAsiaTheme="minorEastAsia"/>
          <w:color w:val="auto"/>
          <w:sz w:val="22"/>
          <w:szCs w:val="22"/>
          <w:highlight w:val="none"/>
          <w:u w:val="none"/>
          <w:lang w:eastAsia="zh-CN"/>
        </w:rPr>
        <w:t>、</w:t>
      </w:r>
      <w:r>
        <w:rPr>
          <w:rFonts w:hint="eastAsia" w:cs="Times New Roman" w:asciiTheme="minorEastAsia" w:hAnsiTheme="minorEastAsia" w:eastAsiaTheme="minorEastAsia"/>
          <w:color w:val="auto"/>
          <w:sz w:val="22"/>
          <w:szCs w:val="22"/>
          <w:highlight w:val="none"/>
          <w:u w:val="none"/>
        </w:rPr>
        <w:t>具有有效的建筑施工企业安全生产许可证；</w:t>
      </w:r>
    </w:p>
    <w:p w14:paraId="7193B111">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F3412C">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三、获取采购文件 </w:t>
      </w:r>
      <w:bookmarkStart w:id="465" w:name="_GoBack"/>
      <w:bookmarkEnd w:id="465"/>
    </w:p>
    <w:p w14:paraId="6209B1BA">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时间：</w:t>
      </w:r>
      <w:r>
        <w:rPr>
          <w:rFonts w:hint="eastAsia" w:ascii="宋体" w:hAnsi="宋体" w:cs="宋体"/>
          <w:color w:val="0000FF"/>
          <w:sz w:val="22"/>
          <w:szCs w:val="22"/>
          <w:highlight w:val="none"/>
          <w:u w:val="none"/>
          <w:lang w:val="en-US" w:eastAsia="zh-CN"/>
        </w:rPr>
        <w:t>/</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202</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年</w:t>
      </w:r>
      <w:r>
        <w:rPr>
          <w:rFonts w:hint="eastAsia" w:ascii="宋体" w:hAnsi="宋体" w:cs="宋体"/>
          <w:color w:val="auto"/>
          <w:sz w:val="22"/>
          <w:szCs w:val="22"/>
          <w:highlight w:val="none"/>
          <w:u w:val="single"/>
          <w:lang w:val="en-US" w:eastAsia="zh-CN"/>
        </w:rPr>
        <w:t>6</w:t>
      </w:r>
      <w:r>
        <w:rPr>
          <w:rFonts w:hint="eastAsia" w:ascii="宋体" w:hAnsi="宋体" w:eastAsia="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27</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，每天上午00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 ，下午12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00至23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59（北京时间）。</w:t>
      </w:r>
    </w:p>
    <w:p w14:paraId="4FBA633C">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地点（网址）：</w:t>
      </w:r>
      <w:r>
        <w:rPr>
          <w:rFonts w:hint="eastAsia" w:ascii="宋体" w:hAnsi="宋体" w:cs="宋体"/>
          <w:color w:val="auto"/>
          <w:sz w:val="22"/>
          <w:szCs w:val="22"/>
          <w:highlight w:val="none"/>
          <w:lang w:eastAsia="zh-CN"/>
        </w:rPr>
        <w:t>乐采云</w:t>
      </w:r>
      <w:r>
        <w:rPr>
          <w:rFonts w:hint="eastAsia" w:ascii="宋体" w:hAnsi="宋体" w:eastAsia="宋体" w:cs="宋体"/>
          <w:color w:val="auto"/>
          <w:sz w:val="22"/>
          <w:szCs w:val="22"/>
          <w:highlight w:val="none"/>
        </w:rPr>
        <w:t>平台</w:t>
      </w:r>
      <w:r>
        <w:rPr>
          <w:rFonts w:hint="eastAsia" w:ascii="宋体" w:hAnsi="宋体" w:cs="宋体"/>
          <w:color w:val="auto"/>
          <w:sz w:val="22"/>
          <w:szCs w:val="22"/>
          <w:highlight w:val="none"/>
          <w:lang w:eastAsia="zh-CN"/>
        </w:rPr>
        <w:t>（https://www.lecaiyun.com/）</w:t>
      </w:r>
      <w:r>
        <w:rPr>
          <w:rFonts w:hint="eastAsia" w:ascii="宋体" w:hAnsi="宋体" w:eastAsia="宋体" w:cs="宋体"/>
          <w:color w:val="auto"/>
          <w:sz w:val="22"/>
          <w:szCs w:val="22"/>
          <w:highlight w:val="none"/>
        </w:rPr>
        <w:t>。</w:t>
      </w:r>
    </w:p>
    <w:p w14:paraId="467EE8E5">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方式：</w:t>
      </w:r>
      <w:r>
        <w:rPr>
          <w:rFonts w:hint="eastAsia" w:ascii="宋体" w:hAnsi="宋体" w:eastAsia="宋体" w:cs="宋体"/>
          <w:color w:val="auto"/>
          <w:sz w:val="22"/>
          <w:szCs w:val="22"/>
          <w:highlight w:val="none"/>
        </w:rPr>
        <w:t>供应商登录</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平台https://</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/在线申请获取</w:t>
      </w:r>
      <w:r>
        <w:rPr>
          <w:rFonts w:hint="eastAsia" w:hAnsi="宋体" w:cs="宋体"/>
          <w:bCs/>
          <w:snapToGrid w:val="0"/>
          <w:color w:val="auto"/>
          <w:kern w:val="2"/>
          <w:sz w:val="22"/>
          <w:szCs w:val="22"/>
          <w:highlight w:val="none"/>
          <w:lang w:val="en-US" w:eastAsia="zh-CN" w:bidi="ar-SA"/>
        </w:rPr>
        <w:t>竞争性磋商</w:t>
      </w:r>
      <w:r>
        <w:rPr>
          <w:rFonts w:hint="eastAsia" w:ascii="宋体" w:hAnsi="宋体" w:eastAsia="宋体" w:cs="宋体"/>
          <w:color w:val="auto"/>
          <w:sz w:val="22"/>
          <w:szCs w:val="22"/>
          <w:highlight w:val="none"/>
        </w:rPr>
        <w:t>文件（进入“项目采购”应用，在获取</w:t>
      </w:r>
      <w:r>
        <w:rPr>
          <w:rFonts w:hint="eastAsia" w:hAnsi="宋体" w:cs="宋体"/>
          <w:bCs/>
          <w:snapToGrid w:val="0"/>
          <w:color w:val="auto"/>
          <w:kern w:val="2"/>
          <w:sz w:val="22"/>
          <w:szCs w:val="22"/>
          <w:highlight w:val="none"/>
          <w:lang w:val="en-US" w:eastAsia="zh-CN" w:bidi="ar-SA"/>
        </w:rPr>
        <w:t>竞争性磋商</w:t>
      </w:r>
      <w:r>
        <w:rPr>
          <w:rFonts w:hint="eastAsia" w:ascii="宋体" w:hAnsi="宋体" w:eastAsia="宋体" w:cs="宋体"/>
          <w:color w:val="auto"/>
          <w:sz w:val="22"/>
          <w:szCs w:val="22"/>
          <w:highlight w:val="none"/>
        </w:rPr>
        <w:t>文件菜单中选择项目，申请获取</w:t>
      </w:r>
      <w:r>
        <w:rPr>
          <w:rFonts w:hint="eastAsia" w:hAnsi="宋体" w:cs="宋体"/>
          <w:bCs/>
          <w:snapToGrid w:val="0"/>
          <w:color w:val="auto"/>
          <w:kern w:val="2"/>
          <w:sz w:val="22"/>
          <w:szCs w:val="22"/>
          <w:highlight w:val="none"/>
          <w:lang w:val="en-US" w:eastAsia="zh-CN" w:bidi="ar-SA"/>
        </w:rPr>
        <w:t>竞争性磋商</w:t>
      </w:r>
      <w:r>
        <w:rPr>
          <w:rFonts w:hint="eastAsia" w:ascii="宋体" w:hAnsi="宋体" w:eastAsia="宋体" w:cs="宋体"/>
          <w:color w:val="auto"/>
          <w:sz w:val="22"/>
          <w:szCs w:val="22"/>
          <w:highlight w:val="none"/>
        </w:rPr>
        <w:t xml:space="preserve">文件）。 </w:t>
      </w:r>
    </w:p>
    <w:p w14:paraId="448455FF">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售价（元）：</w:t>
      </w:r>
      <w:r>
        <w:rPr>
          <w:rFonts w:hint="eastAsia" w:ascii="宋体" w:hAnsi="宋体" w:eastAsia="宋体" w:cs="宋体"/>
          <w:color w:val="auto"/>
          <w:sz w:val="22"/>
          <w:szCs w:val="22"/>
          <w:highlight w:val="none"/>
        </w:rPr>
        <w:t xml:space="preserve">0 </w:t>
      </w:r>
      <w:r>
        <w:rPr>
          <w:rFonts w:hint="eastAsia" w:ascii="宋体" w:hAnsi="宋体" w:eastAsia="宋体" w:cs="宋体"/>
          <w:color w:val="auto"/>
          <w:sz w:val="22"/>
          <w:szCs w:val="22"/>
          <w:highlight w:val="none"/>
        </w:rPr>
        <w:tab/>
      </w:r>
    </w:p>
    <w:p w14:paraId="02469B3F">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四、响应文件截止时间、磋商时间和地点</w:t>
      </w:r>
    </w:p>
    <w:p w14:paraId="41993C53">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响应文件截止时间：202</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年</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月</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日</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点</w:t>
      </w:r>
      <w:r>
        <w:rPr>
          <w:rFonts w:hint="eastAsia" w:ascii="宋体" w:hAnsi="宋体" w:cs="宋体"/>
          <w:b/>
          <w:color w:val="auto"/>
          <w:sz w:val="22"/>
          <w:szCs w:val="22"/>
          <w:highlight w:val="none"/>
          <w:lang w:val="en-US" w:eastAsia="zh-CN"/>
        </w:rPr>
        <w:t>00</w:t>
      </w:r>
      <w:r>
        <w:rPr>
          <w:rFonts w:hint="eastAsia" w:ascii="宋体" w:hAnsi="宋体" w:eastAsia="宋体" w:cs="宋体"/>
          <w:b/>
          <w:color w:val="auto"/>
          <w:sz w:val="22"/>
          <w:szCs w:val="22"/>
          <w:highlight w:val="none"/>
        </w:rPr>
        <w:t>分 （北京时间）。</w:t>
      </w:r>
    </w:p>
    <w:p w14:paraId="63088E9F">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投标地点（网址）：</w:t>
      </w:r>
      <w:r>
        <w:rPr>
          <w:rFonts w:hint="eastAsia" w:ascii="宋体" w:hAnsi="宋体" w:eastAsia="宋体" w:cs="宋体"/>
          <w:b/>
          <w:color w:val="auto"/>
          <w:sz w:val="22"/>
          <w:szCs w:val="22"/>
          <w:highlight w:val="none"/>
          <w:lang w:eastAsia="zh-CN"/>
        </w:rPr>
        <w:t>乐采云</w:t>
      </w:r>
      <w:r>
        <w:rPr>
          <w:rFonts w:hint="eastAsia" w:ascii="宋体" w:hAnsi="宋体" w:eastAsia="宋体" w:cs="宋体"/>
          <w:b/>
          <w:color w:val="auto"/>
          <w:sz w:val="22"/>
          <w:szCs w:val="22"/>
          <w:highlight w:val="none"/>
        </w:rPr>
        <w:t>平台（https://</w:t>
      </w:r>
      <w:r>
        <w:rPr>
          <w:rFonts w:hint="eastAsia" w:ascii="宋体" w:hAnsi="宋体" w:eastAsia="宋体" w:cs="宋体"/>
          <w:b/>
          <w:color w:val="auto"/>
          <w:sz w:val="22"/>
          <w:szCs w:val="22"/>
          <w:highlight w:val="none"/>
          <w:lang w:eastAsia="zh-CN"/>
        </w:rPr>
        <w:t>www.lecaiyun.com</w:t>
      </w:r>
      <w:r>
        <w:rPr>
          <w:rFonts w:hint="eastAsia" w:ascii="宋体" w:hAnsi="宋体" w:eastAsia="宋体" w:cs="宋体"/>
          <w:b/>
          <w:color w:val="auto"/>
          <w:sz w:val="22"/>
          <w:szCs w:val="22"/>
          <w:highlight w:val="none"/>
        </w:rPr>
        <w:t>/）。</w:t>
      </w:r>
    </w:p>
    <w:p w14:paraId="5BB53D5F">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响应文件开启时间：202</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年</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月</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日</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点</w:t>
      </w:r>
      <w:r>
        <w:rPr>
          <w:rFonts w:hint="eastAsia" w:ascii="宋体" w:hAnsi="宋体" w:cs="宋体"/>
          <w:b/>
          <w:color w:val="auto"/>
          <w:sz w:val="22"/>
          <w:szCs w:val="22"/>
          <w:highlight w:val="none"/>
          <w:lang w:val="en-US" w:eastAsia="zh-CN"/>
        </w:rPr>
        <w:t>00</w:t>
      </w:r>
      <w:r>
        <w:rPr>
          <w:rFonts w:hint="eastAsia" w:ascii="宋体" w:hAnsi="宋体" w:eastAsia="宋体" w:cs="宋体"/>
          <w:b/>
          <w:color w:val="auto"/>
          <w:sz w:val="22"/>
          <w:szCs w:val="22"/>
          <w:highlight w:val="none"/>
        </w:rPr>
        <w:t>分。（北京时间）</w:t>
      </w:r>
    </w:p>
    <w:p w14:paraId="4EA2DC19">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响应文件开启地点（网址）：</w:t>
      </w:r>
      <w:r>
        <w:rPr>
          <w:rFonts w:hint="eastAsia" w:ascii="宋体" w:hAnsi="宋体" w:eastAsia="宋体" w:cs="宋体"/>
          <w:b/>
          <w:color w:val="auto"/>
          <w:sz w:val="22"/>
          <w:szCs w:val="22"/>
          <w:highlight w:val="none"/>
          <w:lang w:eastAsia="zh-CN"/>
        </w:rPr>
        <w:t>乐采云</w:t>
      </w:r>
      <w:r>
        <w:rPr>
          <w:rFonts w:hint="eastAsia" w:ascii="宋体" w:hAnsi="宋体" w:eastAsia="宋体" w:cs="宋体"/>
          <w:b/>
          <w:color w:val="auto"/>
          <w:sz w:val="22"/>
          <w:szCs w:val="22"/>
          <w:highlight w:val="none"/>
        </w:rPr>
        <w:t>平台（https://</w:t>
      </w:r>
      <w:r>
        <w:rPr>
          <w:rFonts w:hint="eastAsia" w:ascii="宋体" w:hAnsi="宋体" w:eastAsia="宋体" w:cs="宋体"/>
          <w:b/>
          <w:color w:val="auto"/>
          <w:sz w:val="22"/>
          <w:szCs w:val="22"/>
          <w:highlight w:val="none"/>
          <w:lang w:eastAsia="zh-CN"/>
        </w:rPr>
        <w:t>www.lecaiyun.com</w:t>
      </w:r>
      <w:r>
        <w:rPr>
          <w:rFonts w:hint="eastAsia" w:ascii="宋体" w:hAnsi="宋体" w:eastAsia="宋体" w:cs="宋体"/>
          <w:b/>
          <w:color w:val="auto"/>
          <w:sz w:val="22"/>
          <w:szCs w:val="22"/>
          <w:highlight w:val="none"/>
        </w:rPr>
        <w:t>/）。</w:t>
      </w:r>
    </w:p>
    <w:p w14:paraId="04D558B7">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响应文件开启地点（线下）：</w:t>
      </w:r>
      <w:r>
        <w:rPr>
          <w:rFonts w:hint="eastAsia" w:ascii="宋体" w:hAnsi="宋体" w:eastAsia="宋体" w:cs="宋体"/>
          <w:bCs/>
          <w:color w:val="auto"/>
          <w:sz w:val="22"/>
          <w:szCs w:val="22"/>
          <w:highlight w:val="none"/>
        </w:rPr>
        <w:t>宁波市奉化区公共资源交易中心开标厅</w:t>
      </w:r>
      <w:r>
        <w:rPr>
          <w:rFonts w:hint="eastAsia" w:ascii="宋体" w:hAnsi="宋体" w:cs="宋体"/>
          <w:bCs/>
          <w:color w:val="auto"/>
          <w:sz w:val="22"/>
          <w:szCs w:val="22"/>
          <w:highlight w:val="none"/>
          <w:lang w:val="en-US" w:eastAsia="zh-CN"/>
        </w:rPr>
        <w:t>一</w:t>
      </w:r>
      <w:r>
        <w:rPr>
          <w:rFonts w:hint="eastAsia" w:ascii="宋体" w:hAnsi="宋体" w:eastAsia="宋体" w:cs="宋体"/>
          <w:bCs/>
          <w:color w:val="auto"/>
          <w:sz w:val="22"/>
          <w:szCs w:val="22"/>
          <w:highlight w:val="none"/>
        </w:rPr>
        <w:t>（宁波市奉化区大成东路277号4楼）</w:t>
      </w:r>
    </w:p>
    <w:p w14:paraId="6C710D2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五、公告期限 </w:t>
      </w:r>
    </w:p>
    <w:p w14:paraId="0C568E6D">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227B0632">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六、其他补充事宜</w:t>
      </w:r>
    </w:p>
    <w:p w14:paraId="305B066D">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2"/>
          <w:szCs w:val="22"/>
          <w:highlight w:val="none"/>
          <w:lang w:val="en-US" w:eastAsia="zh-CN"/>
        </w:rPr>
        <w:t>监管部门</w:t>
      </w:r>
      <w:r>
        <w:rPr>
          <w:rFonts w:hint="eastAsia" w:ascii="宋体" w:hAnsi="宋体" w:eastAsia="宋体" w:cs="宋体"/>
          <w:color w:val="auto"/>
          <w:sz w:val="22"/>
          <w:szCs w:val="22"/>
          <w:highlight w:val="none"/>
        </w:rPr>
        <w:t>投诉。</w:t>
      </w:r>
    </w:p>
    <w:p w14:paraId="2D69796C">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2.其他事项：（1）需要落实的政府采购政策：包括节约资源、保护环境、支持创新、促进中小企业发展等。详见</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的第二部分总则。（2）电子招投标的说明：①电子招投标：本项目以数据电文形式，依托“政府采购云平台（www.lecaiyun.com）”进行招投标活动，不接受纸质投标文件；②投标准备：注册账号--点击“商家入驻”，进行政府采购供应商资料填写；申领CA数字证书---申领流程详见“浙江省企业采购服务信息网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供应商在开标前应确保成为浙江省政府采购网正式注册入库供应商，并完成CA数字证书办理。完成CA数字证书办理在资料齐全的情况下预计7个工作日左右，请各供应商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供应商按照平台提示和招标文件的规定在半小时内完成在线解密。⑨具体操作指南：详见乐采云平台“服务中心-帮助文档-项目采购-操作流程-电子招投标-政府采购项目电子交易管理操作指南-供应商”。</w:t>
      </w:r>
    </w:p>
    <w:p w14:paraId="243F7FD6">
      <w:pPr>
        <w:keepNext w:val="0"/>
        <w:keepLines w:val="0"/>
        <w:pageBreakBefore w:val="0"/>
        <w:kinsoku/>
        <w:wordWrap/>
        <w:overflowPunct/>
        <w:topLinePunct w:val="0"/>
        <w:bidi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七、对本次采购提出询问、质疑、投诉，请按以下方式联系</w:t>
      </w:r>
    </w:p>
    <w:p w14:paraId="3004CDA1">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1.采购人信息</w:t>
      </w:r>
    </w:p>
    <w:p w14:paraId="147CD5F6">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cs="宋体"/>
          <w:color w:val="auto"/>
          <w:sz w:val="22"/>
          <w:szCs w:val="22"/>
          <w:highlight w:val="none"/>
          <w:lang w:eastAsia="zh-CN"/>
        </w:rPr>
        <w:t>宁波市奉化区</w:t>
      </w:r>
      <w:r>
        <w:rPr>
          <w:rFonts w:hint="eastAsia" w:ascii="宋体" w:hAnsi="宋体" w:eastAsia="宋体" w:cs="宋体"/>
          <w:color w:val="auto"/>
          <w:sz w:val="22"/>
          <w:szCs w:val="22"/>
          <w:highlight w:val="none"/>
          <w:lang w:eastAsia="zh-CN"/>
        </w:rPr>
        <w:t>教育发展投资有限责任公司</w:t>
      </w:r>
    </w:p>
    <w:p w14:paraId="35E4D0B2">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址：宁波市奉化区桥西岸路 128 号</w:t>
      </w:r>
    </w:p>
    <w:p w14:paraId="3E038C24">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传 真：/</w:t>
      </w:r>
    </w:p>
    <w:p w14:paraId="78BD5145">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项目联系人（询问）：</w:t>
      </w:r>
      <w:r>
        <w:rPr>
          <w:rFonts w:hint="eastAsia" w:ascii="宋体" w:hAnsi="宋体" w:cs="宋体"/>
          <w:color w:val="auto"/>
          <w:sz w:val="22"/>
          <w:szCs w:val="22"/>
          <w:highlight w:val="none"/>
          <w:lang w:val="en-US" w:eastAsia="zh-CN"/>
        </w:rPr>
        <w:t>王</w:t>
      </w:r>
      <w:r>
        <w:rPr>
          <w:rFonts w:hint="eastAsia" w:ascii="宋体" w:hAnsi="宋体" w:eastAsia="宋体" w:cs="宋体"/>
          <w:color w:val="auto"/>
          <w:sz w:val="22"/>
          <w:szCs w:val="22"/>
          <w:highlight w:val="none"/>
          <w:lang w:val="en-US" w:eastAsia="zh-CN"/>
        </w:rPr>
        <w:t>老师</w:t>
      </w:r>
    </w:p>
    <w:p w14:paraId="559A3361">
      <w:pPr>
        <w:spacing w:line="360" w:lineRule="auto"/>
        <w:ind w:firstLine="48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项目联系方式（询问）：</w:t>
      </w:r>
      <w:r>
        <w:rPr>
          <w:rFonts w:hint="eastAsia" w:ascii="宋体" w:hAnsi="宋体" w:cs="宋体"/>
          <w:color w:val="auto"/>
          <w:sz w:val="22"/>
          <w:szCs w:val="22"/>
          <w:highlight w:val="none"/>
          <w:lang w:val="en-US" w:eastAsia="zh-CN"/>
        </w:rPr>
        <w:t>15958879052</w:t>
      </w:r>
    </w:p>
    <w:p w14:paraId="56418A93">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2.采购代理机构信息            </w:t>
      </w:r>
    </w:p>
    <w:p w14:paraId="1DFBD417">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名    称：</w:t>
      </w:r>
      <w:r>
        <w:rPr>
          <w:rFonts w:hint="eastAsia" w:ascii="宋体" w:hAnsi="宋体" w:eastAsia="宋体" w:cs="宋体"/>
          <w:color w:val="auto"/>
          <w:sz w:val="22"/>
          <w:szCs w:val="22"/>
          <w:highlight w:val="none"/>
          <w:lang w:val="en-US" w:eastAsia="zh-CN"/>
        </w:rPr>
        <w:t>宁波众昕工程管理有限公司</w:t>
      </w:r>
    </w:p>
    <w:p w14:paraId="1221CE50">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w:t>
      </w:r>
      <w:r>
        <w:rPr>
          <w:rFonts w:hint="eastAsia" w:ascii="宋体" w:hAnsi="宋体" w:eastAsia="宋体" w:cs="宋体"/>
          <w:color w:val="auto"/>
          <w:sz w:val="22"/>
          <w:szCs w:val="22"/>
          <w:highlight w:val="none"/>
          <w:lang w:val="en-US" w:eastAsia="zh-CN"/>
        </w:rPr>
        <w:t>宁波市奉化区大成路728号</w:t>
      </w:r>
    </w:p>
    <w:p w14:paraId="5A824499">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传    真：/</w:t>
      </w:r>
    </w:p>
    <w:p w14:paraId="20B541E7">
      <w:pPr>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项目联系人（询问）：</w:t>
      </w:r>
      <w:r>
        <w:rPr>
          <w:rFonts w:hint="eastAsia" w:ascii="宋体" w:hAnsi="宋体" w:eastAsia="宋体" w:cs="宋体"/>
          <w:color w:val="auto"/>
          <w:sz w:val="22"/>
          <w:szCs w:val="22"/>
          <w:highlight w:val="none"/>
          <w:lang w:val="en-US" w:eastAsia="zh-CN"/>
        </w:rPr>
        <w:t>陈先生</w:t>
      </w:r>
    </w:p>
    <w:p w14:paraId="178703BB">
      <w:pPr>
        <w:spacing w:line="360" w:lineRule="auto"/>
        <w:ind w:firstLine="48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项目联系方式（询问）：</w:t>
      </w:r>
      <w:r>
        <w:rPr>
          <w:rFonts w:hint="eastAsia" w:ascii="宋体" w:hAnsi="宋体" w:eastAsia="宋体" w:cs="宋体"/>
          <w:color w:val="auto"/>
          <w:sz w:val="22"/>
          <w:szCs w:val="22"/>
          <w:highlight w:val="none"/>
          <w:lang w:val="en-US" w:eastAsia="zh-CN"/>
        </w:rPr>
        <w:t>0574-88980165</w:t>
      </w:r>
    </w:p>
    <w:p w14:paraId="56CE7BE3">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3.监督管理部门            </w:t>
      </w:r>
    </w:p>
    <w:p w14:paraId="2994CE69">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名称：教育局监察（信访）室</w:t>
      </w:r>
    </w:p>
    <w:p w14:paraId="2EF6BA32">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址：宁波市奉化区桥西岸路128号</w:t>
      </w:r>
    </w:p>
    <w:p w14:paraId="2206544C">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联系人：毛</w:t>
      </w:r>
      <w:r>
        <w:rPr>
          <w:rFonts w:hint="eastAsia" w:ascii="宋体" w:hAnsi="宋体" w:eastAsia="宋体" w:cs="宋体"/>
          <w:color w:val="auto"/>
          <w:sz w:val="22"/>
          <w:szCs w:val="22"/>
          <w:highlight w:val="none"/>
          <w:lang w:val="en-US" w:eastAsia="zh-CN"/>
        </w:rPr>
        <w:t xml:space="preserve">先生  </w:t>
      </w:r>
      <w:r>
        <w:rPr>
          <w:rFonts w:hint="eastAsia" w:ascii="宋体" w:hAnsi="宋体" w:eastAsia="宋体" w:cs="宋体"/>
          <w:color w:val="auto"/>
          <w:sz w:val="22"/>
          <w:szCs w:val="22"/>
          <w:highlight w:val="none"/>
          <w:lang w:eastAsia="zh-CN"/>
        </w:rPr>
        <w:t xml:space="preserve">    </w:t>
      </w:r>
    </w:p>
    <w:p w14:paraId="6AC6190C">
      <w:pPr>
        <w:spacing w:line="360" w:lineRule="auto"/>
        <w:ind w:firstLine="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联系方式：0574-88523822       </w:t>
      </w:r>
    </w:p>
    <w:p w14:paraId="41E469F8">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若对项目采购电子交易系统操作有疑问，可登录</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（https://</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/），点击右侧咨询小采，获取采小蜜智能服务管家帮助，或拨打</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服务热线</w:t>
      </w:r>
      <w:r>
        <w:rPr>
          <w:rFonts w:hint="eastAsia" w:ascii="宋体" w:hAnsi="宋体" w:eastAsia="宋体" w:cs="宋体"/>
          <w:color w:val="auto"/>
          <w:sz w:val="22"/>
          <w:szCs w:val="22"/>
          <w:highlight w:val="none"/>
          <w:lang w:val="en-US" w:eastAsia="zh-CN"/>
        </w:rPr>
        <w:t>95763</w:t>
      </w:r>
      <w:r>
        <w:rPr>
          <w:rFonts w:hint="eastAsia" w:ascii="宋体" w:hAnsi="宋体" w:eastAsia="宋体" w:cs="宋体"/>
          <w:color w:val="auto"/>
          <w:sz w:val="22"/>
          <w:szCs w:val="22"/>
          <w:highlight w:val="none"/>
        </w:rPr>
        <w:t>获取热线服务帮助。</w:t>
      </w:r>
    </w:p>
    <w:p w14:paraId="1DC598E5">
      <w:pPr>
        <w:spacing w:line="360" w:lineRule="auto"/>
        <w:jc w:val="center"/>
        <w:outlineLvl w:val="0"/>
        <w:rPr>
          <w:rFonts w:hint="eastAsia" w:asciiTheme="minorEastAsia" w:hAnsiTheme="minorEastAsia" w:eastAsiaTheme="minorEastAsia" w:cstheme="minorEastAsia"/>
          <w:b/>
          <w:color w:val="auto"/>
          <w:sz w:val="40"/>
          <w:szCs w:val="21"/>
          <w:highlight w:val="none"/>
        </w:rPr>
      </w:pPr>
    </w:p>
    <w:p w14:paraId="0936AECA">
      <w:pPr>
        <w:spacing w:line="360" w:lineRule="auto"/>
        <w:jc w:val="center"/>
        <w:outlineLvl w:val="0"/>
        <w:rPr>
          <w:rFonts w:hint="eastAsia" w:asciiTheme="minorEastAsia" w:hAnsiTheme="minorEastAsia" w:eastAsiaTheme="minorEastAsia" w:cstheme="minorEastAsia"/>
          <w:b/>
          <w:color w:val="auto"/>
          <w:sz w:val="40"/>
          <w:szCs w:val="21"/>
          <w:highlight w:val="none"/>
        </w:rPr>
      </w:pPr>
    </w:p>
    <w:p w14:paraId="09044453">
      <w:pPr>
        <w:spacing w:line="360" w:lineRule="auto"/>
        <w:jc w:val="center"/>
        <w:outlineLvl w:val="0"/>
        <w:rPr>
          <w:rFonts w:hint="eastAsia" w:asciiTheme="minorEastAsia" w:hAnsiTheme="minorEastAsia" w:eastAsiaTheme="minorEastAsia" w:cstheme="minorEastAsia"/>
          <w:b/>
          <w:color w:val="auto"/>
          <w:sz w:val="40"/>
          <w:szCs w:val="21"/>
          <w:highlight w:val="none"/>
        </w:rPr>
      </w:pPr>
    </w:p>
    <w:p w14:paraId="22027349">
      <w:pPr>
        <w:spacing w:line="360" w:lineRule="auto"/>
        <w:jc w:val="center"/>
        <w:outlineLvl w:val="0"/>
        <w:rPr>
          <w:rFonts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第二部分</w:t>
      </w:r>
      <w:bookmarkEnd w:id="8"/>
      <w:r>
        <w:rPr>
          <w:rFonts w:hint="eastAsia" w:asciiTheme="minorEastAsia" w:hAnsiTheme="minorEastAsia" w:eastAsiaTheme="minorEastAsia" w:cstheme="minorEastAsia"/>
          <w:b/>
          <w:color w:val="auto"/>
          <w:sz w:val="40"/>
          <w:szCs w:val="21"/>
          <w:highlight w:val="none"/>
        </w:rPr>
        <w:t xml:space="preserve"> 响应须知</w:t>
      </w:r>
      <w:bookmarkEnd w:id="9"/>
    </w:p>
    <w:p w14:paraId="69BD0C24">
      <w:pPr>
        <w:snapToGrid w:val="0"/>
        <w:spacing w:line="360" w:lineRule="auto"/>
        <w:jc w:val="center"/>
        <w:rPr>
          <w:rFonts w:asciiTheme="minorEastAsia" w:hAnsiTheme="minorEastAsia" w:eastAsiaTheme="minorEastAsia" w:cstheme="minorEastAsia"/>
          <w:b/>
          <w:color w:val="auto"/>
          <w:sz w:val="36"/>
          <w:szCs w:val="21"/>
          <w:highlight w:val="none"/>
        </w:rPr>
      </w:pPr>
      <w:r>
        <w:rPr>
          <w:rFonts w:hint="eastAsia" w:asciiTheme="minorEastAsia" w:hAnsiTheme="minorEastAsia" w:eastAsiaTheme="minorEastAsia" w:cstheme="minorEastAsia"/>
          <w:b/>
          <w:color w:val="auto"/>
          <w:sz w:val="36"/>
          <w:szCs w:val="21"/>
          <w:highlight w:val="none"/>
        </w:rPr>
        <w:t>前附表</w:t>
      </w:r>
    </w:p>
    <w:tbl>
      <w:tblPr>
        <w:tblStyle w:val="25"/>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C050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01ECF9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5E024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48A43B1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本项目的特别规定</w:t>
            </w:r>
          </w:p>
        </w:tc>
      </w:tr>
      <w:tr w14:paraId="2390E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3" w:hRule="atLeast"/>
          <w:tblHeader/>
        </w:trPr>
        <w:tc>
          <w:tcPr>
            <w:tcW w:w="629" w:type="dxa"/>
            <w:tcBorders>
              <w:top w:val="single" w:color="auto" w:sz="4" w:space="0"/>
              <w:left w:val="single" w:color="auto" w:sz="4" w:space="0"/>
              <w:bottom w:val="single" w:color="auto" w:sz="4" w:space="0"/>
              <w:right w:val="single" w:color="auto" w:sz="4" w:space="0"/>
            </w:tcBorders>
          </w:tcPr>
          <w:p w14:paraId="64D80BF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rPr>
            </w:pPr>
          </w:p>
          <w:p w14:paraId="080342A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rPr>
            </w:pPr>
          </w:p>
          <w:p w14:paraId="44FBF54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rPr>
            </w:pPr>
          </w:p>
          <w:p w14:paraId="4928D59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rPr>
            </w:pPr>
          </w:p>
          <w:p w14:paraId="679E82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rPr>
            </w:pPr>
          </w:p>
          <w:p w14:paraId="6CC9224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20FC1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430D382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有关本项目实施所需的所有费用（含税费）均计入报价。</w:t>
            </w:r>
            <w:r>
              <w:rPr>
                <w:rFonts w:hint="eastAsia" w:ascii="宋体" w:hAnsi="宋体" w:eastAsia="宋体" w:cs="宋体"/>
                <w:color w:val="auto"/>
                <w:sz w:val="22"/>
                <w:szCs w:val="22"/>
                <w:highlight w:val="none"/>
              </w:rPr>
              <w:t>报价一览表是报价的唯一载体</w:t>
            </w:r>
            <w:r>
              <w:rPr>
                <w:rFonts w:hint="eastAsia" w:ascii="宋体" w:hAnsi="宋体" w:eastAsia="宋体" w:cs="宋体"/>
                <w:color w:val="auto"/>
                <w:kern w:val="0"/>
                <w:sz w:val="22"/>
                <w:szCs w:val="22"/>
                <w:highlight w:val="none"/>
                <w:lang w:val="zh-CN"/>
              </w:rPr>
              <w:t>。</w:t>
            </w:r>
            <w:r>
              <w:rPr>
                <w:rFonts w:hint="eastAsia" w:ascii="宋体" w:hAnsi="宋体" w:eastAsia="宋体" w:cs="宋体"/>
                <w:b/>
                <w:bCs/>
                <w:color w:val="auto"/>
                <w:kern w:val="0"/>
                <w:sz w:val="22"/>
                <w:szCs w:val="22"/>
                <w:highlight w:val="none"/>
                <w:lang w:val="zh-CN"/>
              </w:rPr>
              <w:t>响应文件中</w:t>
            </w:r>
            <w:r>
              <w:rPr>
                <w:rFonts w:hint="eastAsia" w:ascii="宋体" w:hAnsi="宋体" w:cs="宋体"/>
                <w:b/>
                <w:bCs/>
                <w:color w:val="auto"/>
                <w:kern w:val="0"/>
                <w:sz w:val="22"/>
                <w:szCs w:val="22"/>
                <w:highlight w:val="none"/>
                <w:lang w:val="en-US" w:eastAsia="zh-CN"/>
              </w:rPr>
              <w:t>价格采用综合折扣率报价。</w:t>
            </w:r>
          </w:p>
          <w:p w14:paraId="64227F1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响应报价出现下列情形的，响应无效：</w:t>
            </w:r>
          </w:p>
          <w:p w14:paraId="7AA2DB7F">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jc w:val="lef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响应文件出现不是唯一的、有选择性响应报价的；</w:t>
            </w:r>
          </w:p>
          <w:p w14:paraId="584AD1A1">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
                <w:color w:val="auto"/>
                <w:kern w:val="0"/>
                <w:sz w:val="22"/>
                <w:szCs w:val="22"/>
                <w:highlight w:val="none"/>
                <w:lang w:val="zh-CN"/>
              </w:rPr>
              <w:t>响应报价超过采购文件中规定的</w:t>
            </w:r>
            <w:r>
              <w:rPr>
                <w:rFonts w:hint="eastAsia" w:ascii="宋体" w:hAnsi="宋体" w:cs="宋体"/>
                <w:b/>
                <w:color w:val="auto"/>
                <w:kern w:val="0"/>
                <w:sz w:val="22"/>
                <w:szCs w:val="22"/>
                <w:highlight w:val="none"/>
                <w:lang w:val="en-US" w:eastAsia="zh-CN"/>
              </w:rPr>
              <w:t>最高综合折扣率95%的</w:t>
            </w:r>
            <w:r>
              <w:rPr>
                <w:rFonts w:hint="eastAsia" w:ascii="宋体" w:hAnsi="宋体" w:eastAsia="宋体" w:cs="宋体"/>
                <w:b/>
                <w:color w:val="auto"/>
                <w:kern w:val="0"/>
                <w:sz w:val="22"/>
                <w:szCs w:val="22"/>
                <w:highlight w:val="none"/>
                <w:lang w:val="zh-CN"/>
              </w:rPr>
              <w:t>；</w:t>
            </w:r>
          </w:p>
          <w:p w14:paraId="5284BFFE">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2"/>
                <w:szCs w:val="22"/>
                <w:highlight w:val="none"/>
              </w:rPr>
              <w:t>;</w:t>
            </w:r>
          </w:p>
          <w:p w14:paraId="36C93982">
            <w:pPr>
              <w:keepNext w:val="0"/>
              <w:keepLines w:val="0"/>
              <w:pageBreakBefore w:val="0"/>
              <w:widowControl w:val="0"/>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供应商对根据修正原则修正后的报价不确认的</w:t>
            </w:r>
            <w:r>
              <w:rPr>
                <w:rFonts w:hint="eastAsia" w:ascii="宋体" w:hAnsi="宋体" w:eastAsia="宋体" w:cs="宋体"/>
                <w:b/>
                <w:color w:val="auto"/>
                <w:sz w:val="22"/>
                <w:szCs w:val="22"/>
                <w:highlight w:val="none"/>
              </w:rPr>
              <w:t>。</w:t>
            </w:r>
          </w:p>
        </w:tc>
      </w:tr>
      <w:tr w14:paraId="38548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2C971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95BF69">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69F8BB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不同意分包。</w:t>
            </w:r>
          </w:p>
        </w:tc>
      </w:tr>
      <w:tr w14:paraId="2C33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E92CD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2F810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507612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资格证明文件：见</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文件第二部分9.1。</w:t>
            </w:r>
          </w:p>
          <w:p w14:paraId="585BAA0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资格证明文件不全的或者不符合</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文件标明的资格要求的</w:t>
            </w:r>
            <w:r>
              <w:rPr>
                <w:rFonts w:hint="eastAsia" w:ascii="宋体" w:hAnsi="宋体" w:eastAsia="宋体" w:cs="宋体"/>
                <w:color w:val="auto"/>
                <w:sz w:val="22"/>
                <w:szCs w:val="22"/>
                <w:highlight w:val="none"/>
                <w:lang w:val="zh-CN"/>
              </w:rPr>
              <w:t>，视为供应商不具备</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lang w:val="zh-CN"/>
              </w:rPr>
              <w:t>文件中规定的资格要求，响应无效。</w:t>
            </w:r>
          </w:p>
        </w:tc>
      </w:tr>
      <w:tr w14:paraId="5252F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2399539">
            <w:pPr>
              <w:keepNext w:val="0"/>
              <w:keepLines w:val="0"/>
              <w:pageBreakBefore w:val="0"/>
              <w:widowControl w:val="0"/>
              <w:kinsoku/>
              <w:wordWrap/>
              <w:overflowPunct/>
              <w:topLinePunct w:val="0"/>
              <w:autoSpaceDE/>
              <w:autoSpaceDN/>
              <w:bidi w:val="0"/>
              <w:adjustRightInd/>
              <w:snapToGrid w:val="0"/>
              <w:spacing w:line="400" w:lineRule="exact"/>
              <w:ind w:firstLine="220" w:firstLineChars="1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90BD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3908EA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不组织。</w:t>
            </w:r>
          </w:p>
        </w:tc>
      </w:tr>
      <w:tr w14:paraId="090DC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BE8E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13733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61098E2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不要求提供。</w:t>
            </w:r>
          </w:p>
        </w:tc>
      </w:tr>
      <w:tr w14:paraId="31468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07BF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80B0BB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10B1F5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color w:val="auto"/>
                <w:sz w:val="22"/>
                <w:szCs w:val="22"/>
                <w:highlight w:val="none"/>
              </w:rPr>
              <w:t>不组织。</w:t>
            </w:r>
          </w:p>
        </w:tc>
      </w:tr>
      <w:tr w14:paraId="54402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0C907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B113B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666708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本项目不允许采购进口产品。</w:t>
            </w:r>
          </w:p>
        </w:tc>
      </w:tr>
      <w:tr w14:paraId="15AFE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12078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B253DC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760C30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标的：</w:t>
            </w:r>
            <w:r>
              <w:rPr>
                <w:rFonts w:hint="eastAsia" w:ascii="宋体" w:hAnsi="宋体" w:cs="宋体"/>
                <w:color w:val="auto"/>
                <w:kern w:val="0"/>
                <w:sz w:val="22"/>
                <w:szCs w:val="22"/>
                <w:highlight w:val="none"/>
                <w:lang w:eastAsia="zh-CN"/>
              </w:rPr>
              <w:t>奉化区方桥街道中心幼儿园校园改造项目</w:t>
            </w:r>
            <w:r>
              <w:rPr>
                <w:rFonts w:hint="eastAsia" w:ascii="宋体" w:hAnsi="宋体" w:eastAsia="宋体" w:cs="宋体"/>
                <w:color w:val="auto"/>
                <w:kern w:val="0"/>
                <w:sz w:val="22"/>
                <w:szCs w:val="22"/>
                <w:highlight w:val="none"/>
              </w:rPr>
              <w:t>，属于</w:t>
            </w:r>
            <w:r>
              <w:rPr>
                <w:rFonts w:hint="eastAsia" w:ascii="宋体" w:hAnsi="宋体" w:cs="宋体"/>
                <w:color w:val="auto"/>
                <w:kern w:val="0"/>
                <w:sz w:val="22"/>
                <w:szCs w:val="22"/>
                <w:highlight w:val="none"/>
                <w:u w:val="single"/>
                <w:lang w:val="en-US" w:eastAsia="zh-CN"/>
              </w:rPr>
              <w:t>建筑</w:t>
            </w:r>
            <w:r>
              <w:rPr>
                <w:rFonts w:hint="eastAsia" w:ascii="宋体" w:hAnsi="宋体" w:eastAsia="宋体" w:cs="宋体"/>
                <w:color w:val="auto"/>
                <w:kern w:val="0"/>
                <w:sz w:val="22"/>
                <w:szCs w:val="22"/>
                <w:highlight w:val="none"/>
              </w:rPr>
              <w:t>行业；</w:t>
            </w:r>
          </w:p>
        </w:tc>
      </w:tr>
      <w:tr w14:paraId="5367D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267E19F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0AAF394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6664E3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color w:val="auto"/>
                <w:sz w:val="22"/>
                <w:szCs w:val="22"/>
                <w:highlight w:val="none"/>
              </w:rPr>
              <w:t>本采购</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根据国家发改委发改办价格[2003]857号通知和原国家计委计价格[2002]1980号文件规定的</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rPr>
              <w:t>招标费率标准收取</w:t>
            </w:r>
            <w:r>
              <w:rPr>
                <w:rFonts w:hint="eastAsia" w:ascii="宋体" w:hAnsi="宋体" w:eastAsia="宋体" w:cs="宋体"/>
                <w:color w:val="auto"/>
                <w:sz w:val="22"/>
                <w:szCs w:val="22"/>
                <w:highlight w:val="none"/>
                <w:lang w:eastAsia="zh-CN"/>
              </w:rPr>
              <w:t>代理服务费</w:t>
            </w:r>
            <w:r>
              <w:rPr>
                <w:rFonts w:hint="eastAsia" w:ascii="宋体" w:hAnsi="宋体" w:eastAsia="宋体" w:cs="宋体"/>
                <w:color w:val="auto"/>
                <w:sz w:val="22"/>
                <w:szCs w:val="22"/>
                <w:highlight w:val="none"/>
              </w:rPr>
              <w:t>，成交人应在本公司发出成交通知书5个工作日内向本采购</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支付代理服务费。代理服务费只收现金、银行票汇款、电汇款。</w:t>
            </w:r>
          </w:p>
        </w:tc>
      </w:tr>
      <w:bookmarkEnd w:id="10"/>
    </w:tbl>
    <w:p w14:paraId="0A379E1A">
      <w:pPr>
        <w:adjustRightInd/>
        <w:spacing w:line="360" w:lineRule="auto"/>
        <w:ind w:firstLine="4326" w:firstLineChars="1197"/>
        <w:outlineLvl w:val="0"/>
        <w:rPr>
          <w:rFonts w:hint="eastAsia" w:asciiTheme="minorEastAsia" w:hAnsiTheme="minorEastAsia" w:eastAsiaTheme="minorEastAsia" w:cstheme="minorEastAsia"/>
          <w:b/>
          <w:color w:val="auto"/>
          <w:sz w:val="36"/>
          <w:szCs w:val="21"/>
          <w:highlight w:val="none"/>
        </w:rPr>
      </w:pPr>
      <w:bookmarkStart w:id="11" w:name="第三部分"/>
      <w:bookmarkStart w:id="12" w:name="_Toc164416483"/>
      <w:bookmarkStart w:id="13" w:name="第四部分"/>
      <w:r>
        <w:rPr>
          <w:rFonts w:hint="eastAsia" w:asciiTheme="minorEastAsia" w:hAnsiTheme="minorEastAsia" w:eastAsiaTheme="minorEastAsia" w:cstheme="minorEastAsia"/>
          <w:b/>
          <w:color w:val="auto"/>
          <w:sz w:val="36"/>
          <w:szCs w:val="21"/>
          <w:highlight w:val="none"/>
        </w:rPr>
        <w:t>一、总则</w:t>
      </w:r>
    </w:p>
    <w:p w14:paraId="5EF25F7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适用范围</w:t>
      </w:r>
    </w:p>
    <w:p w14:paraId="5CFB8F4E">
      <w:pPr>
        <w:snapToGrid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文件适用于该项目的</w:t>
      </w:r>
      <w:r>
        <w:rPr>
          <w:rFonts w:hint="eastAsia" w:asciiTheme="minorEastAsia" w:hAnsiTheme="minorEastAsia" w:eastAsiaTheme="minorEastAsia" w:cstheme="minorEastAsia"/>
          <w:color w:val="auto"/>
          <w:sz w:val="22"/>
          <w:szCs w:val="22"/>
          <w:highlight w:val="none"/>
          <w:lang w:eastAsia="zh-CN"/>
        </w:rPr>
        <w:t>采购</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响应文件开启</w:t>
      </w:r>
      <w:r>
        <w:rPr>
          <w:rFonts w:hint="eastAsia" w:asciiTheme="minorEastAsia" w:hAnsiTheme="minorEastAsia" w:eastAsiaTheme="minorEastAsia" w:cstheme="minorEastAsia"/>
          <w:color w:val="auto"/>
          <w:sz w:val="22"/>
          <w:szCs w:val="22"/>
          <w:highlight w:val="none"/>
        </w:rPr>
        <w:t>、资格审查及信用信息查询、评</w:t>
      </w:r>
      <w:r>
        <w:rPr>
          <w:rFonts w:hint="eastAsia" w:asciiTheme="minorEastAsia" w:hAnsiTheme="minorEastAsia" w:eastAsiaTheme="minorEastAsia" w:cstheme="minorEastAsia"/>
          <w:color w:val="auto"/>
          <w:sz w:val="22"/>
          <w:szCs w:val="22"/>
          <w:highlight w:val="none"/>
          <w:lang w:eastAsia="zh-CN"/>
        </w:rPr>
        <w:t>审</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成交供应商确定</w:t>
      </w:r>
      <w:r>
        <w:rPr>
          <w:rFonts w:hint="eastAsia" w:asciiTheme="minorEastAsia" w:hAnsiTheme="minorEastAsia" w:eastAsiaTheme="minorEastAsia" w:cstheme="minorEastAsia"/>
          <w:color w:val="auto"/>
          <w:sz w:val="22"/>
          <w:szCs w:val="22"/>
          <w:highlight w:val="none"/>
        </w:rPr>
        <w:t>、合同、验收等行为（法律、法规另有规定的，从其规定）。</w:t>
      </w:r>
    </w:p>
    <w:p w14:paraId="4FAF7E4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定义</w:t>
      </w:r>
    </w:p>
    <w:p w14:paraId="24183C55">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 “采购人”系指竞争性磋商公告中载明的本项目的采购人。</w:t>
      </w:r>
    </w:p>
    <w:p w14:paraId="066D6A2E">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 “采购</w:t>
      </w:r>
      <w:r>
        <w:rPr>
          <w:rFonts w:hint="eastAsia" w:asciiTheme="minorEastAsia" w:hAnsiTheme="minorEastAsia" w:eastAsiaTheme="minorEastAsia" w:cstheme="minorEastAsia"/>
          <w:color w:val="auto"/>
          <w:sz w:val="22"/>
          <w:szCs w:val="22"/>
          <w:highlight w:val="none"/>
          <w:lang w:eastAsia="zh-CN"/>
        </w:rPr>
        <w:t>代理</w:t>
      </w:r>
      <w:r>
        <w:rPr>
          <w:rFonts w:hint="eastAsia" w:asciiTheme="minorEastAsia" w:hAnsiTheme="minorEastAsia" w:eastAsiaTheme="minorEastAsia" w:cstheme="minorEastAsia"/>
          <w:color w:val="auto"/>
          <w:sz w:val="22"/>
          <w:szCs w:val="22"/>
          <w:highlight w:val="none"/>
        </w:rPr>
        <w:t>机构”系指竞争性磋商公告中载明的本项目的采购</w:t>
      </w:r>
      <w:r>
        <w:rPr>
          <w:rFonts w:hint="eastAsia" w:asciiTheme="minorEastAsia" w:hAnsiTheme="minorEastAsia" w:eastAsiaTheme="minorEastAsia" w:cstheme="minorEastAsia"/>
          <w:color w:val="auto"/>
          <w:sz w:val="22"/>
          <w:szCs w:val="22"/>
          <w:highlight w:val="none"/>
          <w:lang w:eastAsia="zh-CN"/>
        </w:rPr>
        <w:t>代理</w:t>
      </w:r>
      <w:r>
        <w:rPr>
          <w:rFonts w:hint="eastAsia" w:asciiTheme="minorEastAsia" w:hAnsiTheme="minorEastAsia" w:eastAsiaTheme="minorEastAsia" w:cstheme="minorEastAsia"/>
          <w:color w:val="auto"/>
          <w:sz w:val="22"/>
          <w:szCs w:val="22"/>
          <w:highlight w:val="none"/>
        </w:rPr>
        <w:t>机构。</w:t>
      </w:r>
    </w:p>
    <w:p w14:paraId="49B48F74">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 “</w:t>
      </w:r>
      <w:r>
        <w:rPr>
          <w:rFonts w:hint="eastAsia" w:asciiTheme="minorEastAsia" w:hAnsiTheme="minorEastAsia" w:eastAsiaTheme="minorEastAsia" w:cstheme="minorEastAsia"/>
          <w:color w:val="auto"/>
          <w:sz w:val="22"/>
          <w:szCs w:val="22"/>
          <w:highlight w:val="none"/>
          <w:lang w:val="zh-CN"/>
        </w:rPr>
        <w:t>供应商</w:t>
      </w:r>
      <w:r>
        <w:rPr>
          <w:rFonts w:hint="eastAsia" w:asciiTheme="minorEastAsia" w:hAnsiTheme="minorEastAsia" w:eastAsiaTheme="minorEastAsia" w:cstheme="minorEastAsia"/>
          <w:color w:val="auto"/>
          <w:sz w:val="22"/>
          <w:szCs w:val="22"/>
          <w:highlight w:val="none"/>
        </w:rPr>
        <w:t>”系指是指响应</w:t>
      </w:r>
      <w:r>
        <w:rPr>
          <w:rFonts w:hint="eastAsia" w:asciiTheme="minorEastAsia" w:hAnsiTheme="minorEastAsia" w:eastAsiaTheme="minorEastAsia" w:cstheme="minorEastAsia"/>
          <w:color w:val="auto"/>
          <w:sz w:val="22"/>
          <w:szCs w:val="22"/>
          <w:highlight w:val="none"/>
          <w:lang w:eastAsia="zh-CN"/>
        </w:rPr>
        <w:t>采购</w:t>
      </w:r>
      <w:r>
        <w:rPr>
          <w:rFonts w:hint="eastAsia" w:asciiTheme="minorEastAsia" w:hAnsiTheme="minorEastAsia" w:eastAsiaTheme="minorEastAsia" w:cstheme="minorEastAsia"/>
          <w:color w:val="auto"/>
          <w:sz w:val="22"/>
          <w:szCs w:val="22"/>
          <w:highlight w:val="none"/>
        </w:rPr>
        <w:t>、参加</w:t>
      </w:r>
      <w:r>
        <w:rPr>
          <w:rFonts w:hint="eastAsia" w:asciiTheme="minorEastAsia" w:hAnsiTheme="minorEastAsia" w:eastAsiaTheme="minorEastAsia" w:cstheme="minorEastAsia"/>
          <w:color w:val="auto"/>
          <w:sz w:val="22"/>
          <w:szCs w:val="22"/>
          <w:highlight w:val="none"/>
          <w:lang w:eastAsia="zh-CN"/>
        </w:rPr>
        <w:t>磋商</w:t>
      </w:r>
      <w:r>
        <w:rPr>
          <w:rFonts w:hint="eastAsia" w:asciiTheme="minorEastAsia" w:hAnsiTheme="minorEastAsia" w:eastAsiaTheme="minorEastAsia" w:cstheme="minorEastAsia"/>
          <w:color w:val="auto"/>
          <w:sz w:val="22"/>
          <w:szCs w:val="22"/>
          <w:highlight w:val="none"/>
        </w:rPr>
        <w:t>竞争的法人、其他组织或者自然人。</w:t>
      </w:r>
    </w:p>
    <w:p w14:paraId="4B94B13C">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 “负责人”系指法人企业的法定负责人，或其他组织为法律、行政法规规定代表单位行使职权的主要负责人，或自然人本人。</w:t>
      </w:r>
    </w:p>
    <w:p w14:paraId="6B618F33">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2.5“电子签名”系指数据电文中以电子形式所含、所附用于识别签名人身份并表明签名人认可其中内容的数据；“公章”系指单位法定名称章。</w:t>
      </w:r>
    </w:p>
    <w:p w14:paraId="09DE755A">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2.6“电子交易平台”是指本项目采购活动所依托的采购云平台（https://</w:t>
      </w:r>
      <w:r>
        <w:rPr>
          <w:rFonts w:hint="eastAsia" w:asciiTheme="minorEastAsia" w:hAnsiTheme="minorEastAsia" w:eastAsiaTheme="minorEastAsia" w:cstheme="minorEastAsia"/>
          <w:color w:val="auto"/>
          <w:sz w:val="22"/>
          <w:szCs w:val="22"/>
          <w:highlight w:val="none"/>
          <w:lang w:eastAsia="zh-CN"/>
        </w:rPr>
        <w:t>www.lecaiyun.com</w:t>
      </w:r>
      <w:r>
        <w:rPr>
          <w:rFonts w:hint="eastAsia" w:asciiTheme="minorEastAsia" w:hAnsiTheme="minorEastAsia" w:eastAsiaTheme="minorEastAsia" w:cstheme="minorEastAsia"/>
          <w:color w:val="auto"/>
          <w:sz w:val="22"/>
          <w:szCs w:val="22"/>
          <w:highlight w:val="none"/>
        </w:rPr>
        <w:t>/）</w:t>
      </w:r>
    </w:p>
    <w:p w14:paraId="4E02B983">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 “▲” 系指实质性要求条款，“</w:t>
      </w:r>
      <w:r>
        <w:rPr>
          <w:rFonts w:hint="eastAsia" w:ascii="宋体" w:hAnsi="宋体" w:eastAsia="宋体" w:cs="宋体"/>
          <w:color w:val="auto"/>
          <w:kern w:val="0"/>
          <w:sz w:val="22"/>
          <w:szCs w:val="22"/>
          <w:highlight w:val="none"/>
        </w:rPr>
        <w:sym w:font="Wingdings" w:char="F0FE"/>
      </w:r>
      <w:r>
        <w:rPr>
          <w:rFonts w:hint="eastAsia" w:asciiTheme="minorEastAsia" w:hAnsiTheme="minorEastAsia" w:eastAsiaTheme="minorEastAsia" w:cstheme="minorEastAsia"/>
          <w:color w:val="auto"/>
          <w:sz w:val="22"/>
          <w:szCs w:val="22"/>
          <w:highlight w:val="none"/>
        </w:rPr>
        <w:t>” 系指适用本项目的要求，“</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sz w:val="22"/>
          <w:szCs w:val="22"/>
          <w:highlight w:val="none"/>
        </w:rPr>
        <w:t>” 系指不适用本项目的要求。</w:t>
      </w:r>
    </w:p>
    <w:p w14:paraId="03B039B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采购项目需要落实的政府采购政策</w:t>
      </w:r>
    </w:p>
    <w:p w14:paraId="4AA20865">
      <w:pPr>
        <w:numPr>
          <w:ilvl w:val="1"/>
          <w:numId w:val="2"/>
        </w:num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本项目不允许采购进口产品。</w:t>
      </w:r>
    </w:p>
    <w:p w14:paraId="4C920F17">
      <w:pPr>
        <w:numPr>
          <w:ilvl w:val="0"/>
          <w:numId w:val="0"/>
        </w:num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 支持绿色发展</w:t>
      </w:r>
    </w:p>
    <w:p w14:paraId="0DC5D987">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3.3支持中小企业发展</w:t>
      </w:r>
    </w:p>
    <w:p w14:paraId="0A1955C6">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6C9065">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符合中小企业划分标准的个体工商户，在政府采购活动中视同中小企业。</w:t>
      </w:r>
    </w:p>
    <w:p w14:paraId="185834F0">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sz w:val="22"/>
          <w:szCs w:val="22"/>
          <w:highlight w:val="none"/>
        </w:rPr>
        <w:t>3.3.2</w:t>
      </w:r>
      <w:r>
        <w:rPr>
          <w:rFonts w:hint="eastAsia" w:asciiTheme="minorEastAsia" w:hAnsiTheme="minorEastAsia" w:eastAsiaTheme="minorEastAsia" w:cstheme="minorEastAsia"/>
          <w:color w:val="auto"/>
          <w:kern w:val="0"/>
          <w:sz w:val="22"/>
          <w:szCs w:val="22"/>
          <w:highlight w:val="none"/>
        </w:rPr>
        <w:t>在政府采购活动中，</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提供的货物、工程或者服务符合下列情形的，享受中小企业扶持政策：</w:t>
      </w:r>
    </w:p>
    <w:p w14:paraId="6389665C">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3.3.2.1在货物采购项目中，货物由中小企业制造，即货物由中小企业生产且使用该中小企业商号或者注册商标；</w:t>
      </w:r>
    </w:p>
    <w:p w14:paraId="4D7BAD66">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3.3.2.2在工程采购项目中，工程由中小企业承建，即工程施工单位为中小企业；</w:t>
      </w:r>
    </w:p>
    <w:p w14:paraId="4B243490">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3.3.2.3在服务采购项目中，服务由中小企业承接，即提供服务的人员为中小企业依照《中华人民共和国劳动合同法》订立劳动合同的从业人员。</w:t>
      </w:r>
    </w:p>
    <w:p w14:paraId="0755D92F">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在货物采购项目中，</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提供的货物既有中小企业制造货物，也有大型企业制造货物的，不享受中小企业扶持政策。</w:t>
      </w:r>
    </w:p>
    <w:p w14:paraId="29B2E9C7">
      <w:pPr>
        <w:widowControl/>
        <w:spacing w:line="360" w:lineRule="auto"/>
        <w:ind w:firstLine="440" w:firstLineChars="200"/>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以联合体形式参加政府采购活动，联合体各方均为中小企业的，联合体视同中小企业。其中，联合体各方均为小微企业的，联合体视同小微企业。</w:t>
      </w:r>
    </w:p>
    <w:p w14:paraId="3D4D8AAA">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2"/>
          <w:szCs w:val="22"/>
          <w:highlight w:val="none"/>
          <w:lang w:eastAsia="zh-CN"/>
        </w:rPr>
        <w:t>谈判</w:t>
      </w:r>
      <w:r>
        <w:rPr>
          <w:rFonts w:hint="eastAsia" w:asciiTheme="minorEastAsia" w:hAnsiTheme="minorEastAsia" w:eastAsiaTheme="minorEastAsia" w:cstheme="minorEastAsia"/>
          <w:color w:val="auto"/>
          <w:sz w:val="22"/>
          <w:szCs w:val="22"/>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%（工程项目为 2%）的扣除，用扣除后的价格参加评审。组成联合体或者接受分包的小微企业与联合体内其他企业、分包企业之间存在直接控股、管理关系的，不享受价格扣除优惠政策。</w:t>
      </w:r>
    </w:p>
    <w:p w14:paraId="035374E0">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3.3.4符合《关于促进残疾人就业政府采购政策的通知》（财库〔2017〕141号）规定的条件并提供《残疾人福利性单位声明函》的残疾人福利性单位视同小型、微型企业；</w:t>
      </w:r>
    </w:p>
    <w:p w14:paraId="6A6232F6">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A6661D">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3.3.6可享受中小企业扶持政策的</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应按照</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文件格式要求提供《中小企业声明函》，</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提供的《中小企业声明函》与实际情况不符的，不享受中小企业扶持政策。声明内容不实的，属于提供虚假材料谋取中标、成交的，依法承担法律责任。</w:t>
      </w:r>
    </w:p>
    <w:p w14:paraId="58ECF3E5">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3.3.7中小企业享受扶持政策获得政府采购合同的，小微企业不得将合同分包给大中型企业，中型企业不得将合同分包给大型企业。</w:t>
      </w:r>
    </w:p>
    <w:p w14:paraId="2D8826D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特别说明</w:t>
      </w:r>
    </w:p>
    <w:p w14:paraId="02FC8EFA">
      <w:pPr>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4.1</w:t>
      </w:r>
      <w:r>
        <w:rPr>
          <w:rFonts w:hint="eastAsia" w:asciiTheme="minorEastAsia" w:hAnsiTheme="minorEastAsia" w:eastAsiaTheme="minorEastAsia" w:cstheme="minorEastAsia"/>
          <w:color w:val="auto"/>
          <w:sz w:val="22"/>
          <w:szCs w:val="22"/>
          <w:highlight w:val="none"/>
        </w:rPr>
        <w:t>关于分公司</w:t>
      </w:r>
      <w:r>
        <w:rPr>
          <w:rFonts w:hint="eastAsia" w:asciiTheme="minorEastAsia" w:hAnsiTheme="minorEastAsia" w:eastAsiaTheme="minorEastAsia" w:cstheme="minorEastAsia"/>
          <w:color w:val="auto"/>
          <w:sz w:val="22"/>
          <w:szCs w:val="22"/>
          <w:highlight w:val="none"/>
          <w:lang w:eastAsia="zh-CN"/>
        </w:rPr>
        <w:t>磋商响应</w:t>
      </w:r>
    </w:p>
    <w:p w14:paraId="00CAD866">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2"/>
          <w:szCs w:val="22"/>
          <w:highlight w:val="none"/>
          <w:lang w:eastAsia="zh-CN"/>
        </w:rPr>
        <w:t>以</w:t>
      </w:r>
      <w:r>
        <w:rPr>
          <w:rFonts w:hint="eastAsia" w:asciiTheme="minorEastAsia" w:hAnsiTheme="minorEastAsia" w:eastAsiaTheme="minorEastAsia" w:cstheme="minorEastAsia"/>
          <w:color w:val="auto"/>
          <w:sz w:val="22"/>
          <w:szCs w:val="22"/>
          <w:highlight w:val="none"/>
        </w:rPr>
        <w:t xml:space="preserve">法人身份参加。 </w:t>
      </w:r>
    </w:p>
    <w:p w14:paraId="45093518">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4.2关于知识产权</w:t>
      </w:r>
    </w:p>
    <w:p w14:paraId="1BE5E6F1">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4.2.</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必须保证，采购人在中华人民共和国境内使用</w:t>
      </w:r>
      <w:r>
        <w:rPr>
          <w:rFonts w:hint="eastAsia" w:asciiTheme="minorEastAsia" w:hAnsiTheme="minorEastAsia" w:eastAsiaTheme="minorEastAsia" w:cstheme="minorEastAsia"/>
          <w:color w:val="auto"/>
          <w:sz w:val="22"/>
          <w:szCs w:val="22"/>
          <w:highlight w:val="none"/>
          <w:lang w:eastAsia="zh-CN"/>
        </w:rPr>
        <w:t>磋商响应</w:t>
      </w:r>
      <w:r>
        <w:rPr>
          <w:rFonts w:hint="eastAsia" w:asciiTheme="minorEastAsia" w:hAnsiTheme="minorEastAsia" w:eastAsiaTheme="minorEastAsia" w:cstheme="minorEastAsia"/>
          <w:color w:val="auto"/>
          <w:sz w:val="22"/>
          <w:szCs w:val="22"/>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承担。</w:t>
      </w:r>
    </w:p>
    <w:p w14:paraId="7531146E">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4.2.</w:t>
      </w: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lang w:eastAsia="zh-CN"/>
        </w:rPr>
        <w:t>磋商</w:t>
      </w:r>
      <w:r>
        <w:rPr>
          <w:rFonts w:hint="eastAsia" w:asciiTheme="minorEastAsia" w:hAnsiTheme="minorEastAsia" w:eastAsiaTheme="minorEastAsia" w:cstheme="minorEastAsia"/>
          <w:color w:val="auto"/>
          <w:sz w:val="22"/>
          <w:szCs w:val="22"/>
          <w:highlight w:val="none"/>
        </w:rPr>
        <w:t>报价应包含所有应向所有权人支付的专利权、商标权或其它知识产权的一切相关费用。</w:t>
      </w:r>
    </w:p>
    <w:p w14:paraId="66DBF4F5">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4.2.</w:t>
      </w: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承担所有责任及费用。</w:t>
      </w:r>
    </w:p>
    <w:p w14:paraId="3C3A37F7">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4.3</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lang w:val="en-US" w:eastAsia="zh-CN"/>
        </w:rPr>
        <w:t>的风险</w:t>
      </w:r>
    </w:p>
    <w:p w14:paraId="0A349970">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4.3.</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应详细阅读</w:t>
      </w:r>
      <w:r>
        <w:rPr>
          <w:rFonts w:hint="eastAsia" w:asciiTheme="minorEastAsia" w:hAnsiTheme="minorEastAsia" w:eastAsiaTheme="minorEastAsia" w:cstheme="minorEastAsia"/>
          <w:color w:val="auto"/>
          <w:sz w:val="22"/>
          <w:szCs w:val="22"/>
          <w:highlight w:val="none"/>
          <w:lang w:eastAsia="zh-CN"/>
        </w:rPr>
        <w:t>竞争性磋商文件</w:t>
      </w:r>
      <w:r>
        <w:rPr>
          <w:rFonts w:hint="eastAsia" w:asciiTheme="minorEastAsia" w:hAnsiTheme="minorEastAsia" w:eastAsiaTheme="minorEastAsia" w:cstheme="minorEastAsia"/>
          <w:color w:val="auto"/>
          <w:sz w:val="22"/>
          <w:szCs w:val="22"/>
          <w:highlight w:val="none"/>
        </w:rPr>
        <w:t>中的全部内容和要求，按照</w:t>
      </w:r>
      <w:r>
        <w:rPr>
          <w:rFonts w:hint="eastAsia" w:asciiTheme="minorEastAsia" w:hAnsiTheme="minorEastAsia" w:eastAsiaTheme="minorEastAsia" w:cstheme="minorEastAsia"/>
          <w:color w:val="auto"/>
          <w:sz w:val="22"/>
          <w:szCs w:val="22"/>
          <w:highlight w:val="none"/>
          <w:lang w:eastAsia="zh-CN"/>
        </w:rPr>
        <w:t>竞争性磋商文件</w:t>
      </w:r>
      <w:r>
        <w:rPr>
          <w:rFonts w:hint="eastAsia" w:asciiTheme="minorEastAsia" w:hAnsiTheme="minorEastAsia" w:eastAsiaTheme="minorEastAsia" w:cstheme="minorEastAsia"/>
          <w:color w:val="auto"/>
          <w:sz w:val="22"/>
          <w:szCs w:val="22"/>
          <w:highlight w:val="none"/>
        </w:rPr>
        <w:t>的要求提交</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文件，没有按照</w:t>
      </w:r>
      <w:r>
        <w:rPr>
          <w:rFonts w:hint="eastAsia" w:asciiTheme="minorEastAsia" w:hAnsiTheme="minorEastAsia" w:eastAsiaTheme="minorEastAsia" w:cstheme="minorEastAsia"/>
          <w:color w:val="auto"/>
          <w:sz w:val="22"/>
          <w:szCs w:val="22"/>
          <w:highlight w:val="none"/>
          <w:lang w:eastAsia="zh-CN"/>
        </w:rPr>
        <w:t>竞争性磋商文件</w:t>
      </w:r>
      <w:r>
        <w:rPr>
          <w:rFonts w:hint="eastAsia" w:asciiTheme="minorEastAsia" w:hAnsiTheme="minorEastAsia" w:eastAsiaTheme="minorEastAsia" w:cstheme="minorEastAsia"/>
          <w:color w:val="auto"/>
          <w:sz w:val="22"/>
          <w:szCs w:val="22"/>
          <w:highlight w:val="none"/>
        </w:rPr>
        <w:t>要求提供</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文件和资料导致的风险由</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承担,并对所提供的全部资料的真实性承担法律责任。</w:t>
      </w:r>
    </w:p>
    <w:p w14:paraId="2B39D3D5">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4.3.</w:t>
      </w: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无论因何种原因导致本次采购活动终止致</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损失的，相关责任人均不承担任何责任。</w:t>
      </w:r>
    </w:p>
    <w:p w14:paraId="7506FE9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询问、质疑、投诉</w:t>
      </w:r>
    </w:p>
    <w:p w14:paraId="3ADC7272">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.1供应商询问</w:t>
      </w:r>
    </w:p>
    <w:p w14:paraId="39927EB9">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DC9966">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.2供应商质疑</w:t>
      </w:r>
    </w:p>
    <w:p w14:paraId="5F55BF26">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w:t>
      </w:r>
      <w:r>
        <w:rPr>
          <w:rFonts w:hint="eastAsia" w:asciiTheme="minorEastAsia" w:hAnsiTheme="minorEastAsia" w:eastAsiaTheme="minorEastAsia" w:cstheme="minorEastAsia"/>
          <w:color w:val="auto"/>
          <w:sz w:val="22"/>
          <w:szCs w:val="22"/>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文件的，可以对该文件提出质疑。</w:t>
      </w:r>
    </w:p>
    <w:p w14:paraId="25E21875">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w:t>
      </w:r>
      <w:r>
        <w:rPr>
          <w:rFonts w:hint="eastAsia" w:asciiTheme="minorEastAsia" w:hAnsiTheme="minorEastAsia" w:eastAsiaTheme="minorEastAsia" w:cstheme="minorEastAsia"/>
          <w:color w:val="auto"/>
          <w:sz w:val="22"/>
          <w:szCs w:val="22"/>
          <w:highlight w:val="none"/>
          <w:lang w:val="en-US" w:eastAsia="zh-CN"/>
        </w:rPr>
        <w:t>.2供应商认为</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2"/>
          <w:szCs w:val="22"/>
          <w:highlight w:val="none"/>
        </w:rPr>
        <w:t>采购</w:t>
      </w:r>
      <w:r>
        <w:rPr>
          <w:rFonts w:hint="eastAsia" w:asciiTheme="minorEastAsia" w:hAnsiTheme="minorEastAsia" w:eastAsiaTheme="minorEastAsia" w:cstheme="minorEastAsia"/>
          <w:color w:val="auto"/>
          <w:sz w:val="22"/>
          <w:szCs w:val="22"/>
          <w:highlight w:val="none"/>
          <w:lang w:eastAsia="zh-CN"/>
        </w:rPr>
        <w:t>代理</w:t>
      </w:r>
      <w:r>
        <w:rPr>
          <w:rFonts w:hint="eastAsia" w:asciiTheme="minorEastAsia" w:hAnsiTheme="minorEastAsia" w:eastAsiaTheme="minorEastAsia" w:cstheme="minorEastAsia"/>
          <w:color w:val="auto"/>
          <w:sz w:val="22"/>
          <w:szCs w:val="22"/>
          <w:highlight w:val="none"/>
        </w:rPr>
        <w:t>机构</w:t>
      </w:r>
      <w:r>
        <w:rPr>
          <w:rFonts w:hint="eastAsia" w:asciiTheme="minorEastAsia" w:hAnsiTheme="minorEastAsia" w:eastAsiaTheme="minorEastAsia" w:cstheme="minorEastAsia"/>
          <w:color w:val="auto"/>
          <w:sz w:val="22"/>
          <w:szCs w:val="22"/>
          <w:highlight w:val="none"/>
          <w:lang w:val="en-US" w:eastAsia="zh-CN"/>
        </w:rPr>
        <w:t>提出质疑，否则，采购人或者</w:t>
      </w:r>
      <w:r>
        <w:rPr>
          <w:rFonts w:hint="eastAsia" w:asciiTheme="minorEastAsia" w:hAnsiTheme="minorEastAsia" w:eastAsiaTheme="minorEastAsia" w:cstheme="minorEastAsia"/>
          <w:color w:val="auto"/>
          <w:sz w:val="22"/>
          <w:szCs w:val="22"/>
          <w:highlight w:val="none"/>
        </w:rPr>
        <w:t>采购</w:t>
      </w:r>
      <w:r>
        <w:rPr>
          <w:rFonts w:hint="eastAsia" w:asciiTheme="minorEastAsia" w:hAnsiTheme="minorEastAsia" w:eastAsiaTheme="minorEastAsia" w:cstheme="minorEastAsia"/>
          <w:color w:val="auto"/>
          <w:sz w:val="22"/>
          <w:szCs w:val="22"/>
          <w:highlight w:val="none"/>
          <w:lang w:eastAsia="zh-CN"/>
        </w:rPr>
        <w:t>代理</w:t>
      </w:r>
      <w:r>
        <w:rPr>
          <w:rFonts w:hint="eastAsia" w:asciiTheme="minorEastAsia" w:hAnsiTheme="minorEastAsia" w:eastAsiaTheme="minorEastAsia" w:cstheme="minorEastAsia"/>
          <w:color w:val="auto"/>
          <w:sz w:val="22"/>
          <w:szCs w:val="22"/>
          <w:highlight w:val="none"/>
        </w:rPr>
        <w:t>机构</w:t>
      </w:r>
      <w:r>
        <w:rPr>
          <w:rFonts w:hint="eastAsia" w:asciiTheme="minorEastAsia" w:hAnsiTheme="minorEastAsia" w:eastAsiaTheme="minorEastAsia" w:cstheme="minorEastAsia"/>
          <w:color w:val="auto"/>
          <w:sz w:val="22"/>
          <w:szCs w:val="22"/>
          <w:highlight w:val="none"/>
          <w:lang w:val="en-US" w:eastAsia="zh-CN"/>
        </w:rPr>
        <w:t>不予受理：</w:t>
      </w:r>
    </w:p>
    <w:p w14:paraId="4C1C3BAC">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5.2.2.1对</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文件提出质疑的，质疑期限为供应商获得</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文件之日或者</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文件公告期限届满之日起计算。</w:t>
      </w:r>
    </w:p>
    <w:p w14:paraId="4EA57D47">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5.2.2.2对采购过程提出质疑的，质疑期限为各采购程序环节结束之日起计算。</w:t>
      </w:r>
    </w:p>
    <w:p w14:paraId="154323F5">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5.2.2.3对采购结果提出质疑的，质疑期限自采购结果公告期限届满之日起计算。</w:t>
      </w:r>
    </w:p>
    <w:p w14:paraId="6BEC2C6F">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5.2.2.4对同一采购程序环节的质疑，供应商须一次性提出。</w:t>
      </w:r>
    </w:p>
    <w:p w14:paraId="1F2C750E">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w:t>
      </w:r>
      <w:r>
        <w:rPr>
          <w:rFonts w:hint="eastAsia" w:asciiTheme="minorEastAsia" w:hAnsiTheme="minorEastAsia" w:eastAsiaTheme="minorEastAsia" w:cstheme="minorEastAsia"/>
          <w:color w:val="auto"/>
          <w:sz w:val="22"/>
          <w:szCs w:val="22"/>
          <w:highlight w:val="none"/>
          <w:lang w:val="en-US" w:eastAsia="zh-CN"/>
        </w:rPr>
        <w:t>供应商提出质疑应当提交质疑函和必要的证明材料。质疑函应当包括下列内容：</w:t>
      </w:r>
    </w:p>
    <w:p w14:paraId="3387D8BF">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.2.3.1供应商的姓名或者名称、地址、邮编、联系人及联系电话；</w:t>
      </w:r>
    </w:p>
    <w:p w14:paraId="1F14DD02">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.2.3.2质疑项目的名称、编号；</w:t>
      </w:r>
    </w:p>
    <w:p w14:paraId="3F9DE309">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.2.3.3具体、明确的质疑事项和与质疑事项相关的请求；</w:t>
      </w:r>
    </w:p>
    <w:p w14:paraId="45FB7C10">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.2.3.4事实依据；</w:t>
      </w:r>
    </w:p>
    <w:p w14:paraId="7B34C6D5">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.2.3.5必要的法律依据；</w:t>
      </w:r>
    </w:p>
    <w:p w14:paraId="06590B08">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.2.3.6提出质疑的日期。</w:t>
      </w:r>
    </w:p>
    <w:p w14:paraId="494921D1">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5.2.3.7对</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文件提出质疑的需要提供在乐采云平台获取</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文件的截图。</w:t>
      </w:r>
    </w:p>
    <w:p w14:paraId="3A5120A6">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3386C2AD">
      <w:pPr>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质疑函范本请到浙江企业采购信息服务网下载专区下载。</w:t>
      </w:r>
    </w:p>
    <w:p w14:paraId="49A949F4">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w:t>
      </w:r>
      <w:r>
        <w:rPr>
          <w:rFonts w:hint="eastAsia" w:asciiTheme="minorEastAsia" w:hAnsiTheme="minorEastAsia" w:eastAsiaTheme="minorEastAsia" w:cstheme="minorEastAsia"/>
          <w:color w:val="auto"/>
          <w:sz w:val="22"/>
          <w:szCs w:val="22"/>
          <w:highlight w:val="none"/>
          <w:lang w:val="en-US" w:eastAsia="zh-CN"/>
        </w:rPr>
        <w:t>.4采购人或者</w:t>
      </w:r>
      <w:r>
        <w:rPr>
          <w:rFonts w:hint="eastAsia" w:asciiTheme="minorEastAsia" w:hAnsiTheme="minorEastAsia" w:eastAsiaTheme="minorEastAsia" w:cstheme="minorEastAsia"/>
          <w:color w:val="auto"/>
          <w:sz w:val="22"/>
          <w:szCs w:val="22"/>
          <w:highlight w:val="none"/>
        </w:rPr>
        <w:t>采购</w:t>
      </w:r>
      <w:r>
        <w:rPr>
          <w:rFonts w:hint="eastAsia" w:asciiTheme="minorEastAsia" w:hAnsiTheme="minorEastAsia" w:eastAsiaTheme="minorEastAsia" w:cstheme="minorEastAsia"/>
          <w:color w:val="auto"/>
          <w:sz w:val="22"/>
          <w:szCs w:val="22"/>
          <w:highlight w:val="none"/>
          <w:lang w:eastAsia="zh-CN"/>
        </w:rPr>
        <w:t>代理</w:t>
      </w:r>
      <w:r>
        <w:rPr>
          <w:rFonts w:hint="eastAsia" w:asciiTheme="minorEastAsia" w:hAnsiTheme="minorEastAsia" w:eastAsiaTheme="minorEastAsia" w:cstheme="minorEastAsia"/>
          <w:color w:val="auto"/>
          <w:sz w:val="22"/>
          <w:szCs w:val="22"/>
          <w:highlight w:val="none"/>
        </w:rPr>
        <w:t>机构</w:t>
      </w:r>
      <w:r>
        <w:rPr>
          <w:rFonts w:hint="eastAsia" w:asciiTheme="minorEastAsia" w:hAnsiTheme="minorEastAsia" w:eastAsiaTheme="minorEastAsia" w:cstheme="minorEastAsia"/>
          <w:color w:val="auto"/>
          <w:sz w:val="22"/>
          <w:szCs w:val="22"/>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44A1076D">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.2</w:t>
      </w:r>
      <w:r>
        <w:rPr>
          <w:rFonts w:hint="eastAsia" w:asciiTheme="minorEastAsia" w:hAnsiTheme="minorEastAsia" w:eastAsiaTheme="minorEastAsia" w:cstheme="minorEastAsia"/>
          <w:color w:val="auto"/>
          <w:sz w:val="22"/>
          <w:szCs w:val="22"/>
          <w:highlight w:val="none"/>
          <w:lang w:val="en-US" w:eastAsia="zh-CN"/>
        </w:rPr>
        <w:t>.5询问或者质疑事项可能影响采购结果的，采购人应当暂停签订合同，已经签订合同的，应当中止履行合同。</w:t>
      </w:r>
    </w:p>
    <w:p w14:paraId="6CE7EAC8">
      <w:pPr>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lang w:val="zh-CN" w:eastAsia="zh-CN"/>
        </w:rPr>
        <w:t>.3供应商投诉</w:t>
      </w:r>
    </w:p>
    <w:p w14:paraId="6E12633E">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5BBC86A3">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5.3.</w:t>
      </w:r>
      <w:r>
        <w:rPr>
          <w:rFonts w:hint="eastAsia" w:asciiTheme="minorEastAsia" w:hAnsiTheme="minorEastAsia" w:eastAsiaTheme="minorEastAsia" w:cstheme="minorEastAsia"/>
          <w:color w:val="auto"/>
          <w:sz w:val="22"/>
          <w:szCs w:val="22"/>
          <w:highlight w:val="none"/>
          <w:lang w:val="zh-CN" w:eastAsia="zh-CN"/>
        </w:rPr>
        <w:t>2</w:t>
      </w:r>
      <w:r>
        <w:rPr>
          <w:rFonts w:hint="eastAsia" w:asciiTheme="minorEastAsia" w:hAnsiTheme="minorEastAsia" w:eastAsiaTheme="minorEastAsia" w:cstheme="minorEastAsia"/>
          <w:color w:val="auto"/>
          <w:sz w:val="22"/>
          <w:szCs w:val="22"/>
          <w:highlight w:val="none"/>
          <w:lang w:val="en-US" w:eastAsia="zh-CN"/>
        </w:rPr>
        <w:t>供应商投诉的事项不得超出已质疑事项的范围，基于质疑答复内容提出的投诉事项除外。</w:t>
      </w:r>
    </w:p>
    <w:p w14:paraId="40D4E6A7">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5.3.3供应商投诉应当有明确的请求和必要的证明材料。</w:t>
      </w:r>
    </w:p>
    <w:p w14:paraId="1D2A066D">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5.3.4 以联合体形式参加政府采购活动的，其投诉应当由组成联合体的所有供应商共同提出。</w:t>
      </w:r>
    </w:p>
    <w:p w14:paraId="1CB352B6">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5.3.5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 </w:t>
      </w:r>
    </w:p>
    <w:p w14:paraId="63CB3B2A">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投诉书范本请到浙江企业采购信息服务网下载专区下载。</w:t>
      </w:r>
    </w:p>
    <w:p w14:paraId="48FCB7CE">
      <w:pPr>
        <w:spacing w:line="360" w:lineRule="auto"/>
        <w:ind w:firstLine="440" w:firstLineChars="200"/>
        <w:rPr>
          <w:rFonts w:hint="eastAsia" w:asciiTheme="minorEastAsia" w:hAnsiTheme="minorEastAsia" w:eastAsiaTheme="minorEastAsia" w:cstheme="minorEastAsia"/>
          <w:b/>
          <w:color w:val="auto"/>
          <w:sz w:val="36"/>
          <w:szCs w:val="21"/>
          <w:highlight w:val="none"/>
        </w:rPr>
      </w:pP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b/>
          <w:color w:val="auto"/>
          <w:sz w:val="36"/>
          <w:szCs w:val="21"/>
          <w:highlight w:val="none"/>
        </w:rPr>
        <w:t xml:space="preserve">   </w:t>
      </w:r>
      <w:r>
        <w:rPr>
          <w:rFonts w:hint="eastAsia" w:asciiTheme="minorEastAsia" w:hAnsiTheme="minorEastAsia" w:eastAsiaTheme="minorEastAsia" w:cstheme="minorEastAsia"/>
          <w:b/>
          <w:color w:val="auto"/>
          <w:sz w:val="36"/>
          <w:szCs w:val="21"/>
          <w:highlight w:val="none"/>
        </w:rPr>
        <w:br w:type="page"/>
      </w:r>
    </w:p>
    <w:p w14:paraId="2530F4B3">
      <w:pPr>
        <w:adjustRightInd/>
        <w:spacing w:line="360" w:lineRule="auto"/>
        <w:jc w:val="center"/>
        <w:outlineLvl w:val="0"/>
        <w:rPr>
          <w:rFonts w:hint="eastAsia" w:asciiTheme="minorEastAsia" w:hAnsiTheme="minorEastAsia" w:eastAsiaTheme="minorEastAsia" w:cstheme="minorEastAsia"/>
          <w:b/>
          <w:color w:val="auto"/>
          <w:sz w:val="36"/>
          <w:szCs w:val="21"/>
          <w:highlight w:val="none"/>
        </w:rPr>
      </w:pPr>
      <w:r>
        <w:rPr>
          <w:rFonts w:hint="eastAsia" w:asciiTheme="minorEastAsia" w:hAnsiTheme="minorEastAsia" w:eastAsiaTheme="minorEastAsia" w:cstheme="minorEastAsia"/>
          <w:b/>
          <w:color w:val="auto"/>
          <w:sz w:val="36"/>
          <w:szCs w:val="21"/>
          <w:highlight w:val="none"/>
        </w:rPr>
        <w:t>二、</w:t>
      </w:r>
      <w:r>
        <w:rPr>
          <w:rFonts w:hint="eastAsia" w:asciiTheme="minorEastAsia" w:hAnsiTheme="minorEastAsia" w:eastAsiaTheme="minorEastAsia" w:cstheme="minorEastAsia"/>
          <w:b/>
          <w:color w:val="auto"/>
          <w:sz w:val="36"/>
          <w:szCs w:val="21"/>
          <w:highlight w:val="none"/>
          <w:lang w:eastAsia="zh-CN"/>
        </w:rPr>
        <w:t>竞争性磋商</w:t>
      </w:r>
      <w:r>
        <w:rPr>
          <w:rFonts w:hint="eastAsia" w:asciiTheme="minorEastAsia" w:hAnsiTheme="minorEastAsia" w:eastAsiaTheme="minorEastAsia" w:cstheme="minorEastAsia"/>
          <w:b/>
          <w:color w:val="auto"/>
          <w:sz w:val="36"/>
          <w:szCs w:val="21"/>
          <w:highlight w:val="none"/>
        </w:rPr>
        <w:t>文件的构成、澄清、修改</w:t>
      </w:r>
    </w:p>
    <w:p w14:paraId="1297AD7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eastAsia="zh-CN"/>
        </w:rPr>
        <w:t>竞争性磋商</w:t>
      </w:r>
      <w:r>
        <w:rPr>
          <w:rFonts w:hint="eastAsia" w:asciiTheme="minorEastAsia" w:hAnsiTheme="minorEastAsia" w:eastAsiaTheme="minorEastAsia" w:cstheme="minorEastAsia"/>
          <w:b/>
          <w:color w:val="auto"/>
          <w:sz w:val="22"/>
          <w:szCs w:val="22"/>
          <w:highlight w:val="none"/>
        </w:rPr>
        <w:t>文件的构成</w:t>
      </w:r>
    </w:p>
    <w:p w14:paraId="1BE6B432">
      <w:pPr>
        <w:pStyle w:val="12"/>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 xml:space="preserve">.1 </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文件包括下列文件及附件：</w:t>
      </w:r>
    </w:p>
    <w:p w14:paraId="01CA5257">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6.1.1 竞争性磋商公告；</w:t>
      </w:r>
    </w:p>
    <w:p w14:paraId="42B545E6">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6.1.2 </w:t>
      </w:r>
      <w:r>
        <w:rPr>
          <w:rFonts w:hint="eastAsia" w:asciiTheme="minorEastAsia" w:hAnsiTheme="minorEastAsia" w:eastAsiaTheme="minorEastAsia" w:cstheme="minorEastAsia"/>
          <w:color w:val="auto"/>
          <w:sz w:val="22"/>
          <w:szCs w:val="22"/>
          <w:highlight w:val="none"/>
          <w:lang w:val="zh-CN" w:eastAsia="zh-CN"/>
        </w:rPr>
        <w:t>响应</w:t>
      </w:r>
      <w:r>
        <w:rPr>
          <w:rFonts w:hint="eastAsia" w:asciiTheme="minorEastAsia" w:hAnsiTheme="minorEastAsia" w:eastAsiaTheme="minorEastAsia" w:cstheme="minorEastAsia"/>
          <w:color w:val="auto"/>
          <w:sz w:val="22"/>
          <w:szCs w:val="22"/>
          <w:highlight w:val="none"/>
          <w:lang w:val="en-US" w:eastAsia="zh-CN"/>
        </w:rPr>
        <w:t>须知；</w:t>
      </w:r>
    </w:p>
    <w:p w14:paraId="5D26DAA8">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6.1.3 采购需求；</w:t>
      </w:r>
    </w:p>
    <w:p w14:paraId="504FDB5D">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6.1.4 评审办法；</w:t>
      </w:r>
    </w:p>
    <w:p w14:paraId="412F38C2">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6.1.5 拟签订的合同文本；</w:t>
      </w:r>
    </w:p>
    <w:p w14:paraId="723E29BD">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6.1.6 工程量清单及图纸；</w:t>
      </w:r>
    </w:p>
    <w:p w14:paraId="2F4D6F7C">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6.1.7 技术标准和要求；</w:t>
      </w:r>
    </w:p>
    <w:p w14:paraId="58FEC803">
      <w:pPr>
        <w:pStyle w:val="12"/>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6.1.8 应提交的有关格式范例。</w:t>
      </w:r>
    </w:p>
    <w:p w14:paraId="0DE62808">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.2与本项目有关的</w:t>
      </w:r>
      <w:r>
        <w:rPr>
          <w:rFonts w:hint="eastAsia" w:asciiTheme="minorEastAsia" w:hAnsiTheme="minorEastAsia" w:eastAsiaTheme="minorEastAsia" w:cstheme="minorEastAsia"/>
          <w:bCs/>
          <w:color w:val="auto"/>
          <w:sz w:val="22"/>
          <w:szCs w:val="22"/>
          <w:highlight w:val="none"/>
        </w:rPr>
        <w:t>澄清或者修改的内容为</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bCs/>
          <w:color w:val="auto"/>
          <w:sz w:val="22"/>
          <w:szCs w:val="22"/>
          <w:highlight w:val="none"/>
        </w:rPr>
        <w:t>文件的组成部分</w:t>
      </w:r>
      <w:r>
        <w:rPr>
          <w:rFonts w:hint="eastAsia" w:asciiTheme="minorEastAsia" w:hAnsiTheme="minorEastAsia" w:eastAsiaTheme="minorEastAsia" w:cstheme="minorEastAsia"/>
          <w:color w:val="auto"/>
          <w:sz w:val="22"/>
          <w:szCs w:val="22"/>
          <w:highlight w:val="none"/>
        </w:rPr>
        <w:t>。</w:t>
      </w:r>
    </w:p>
    <w:p w14:paraId="03761D8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eastAsia="zh-CN"/>
        </w:rPr>
        <w:t>竞争性磋商</w:t>
      </w:r>
      <w:r>
        <w:rPr>
          <w:rFonts w:hint="eastAsia" w:asciiTheme="minorEastAsia" w:hAnsiTheme="minorEastAsia" w:eastAsiaTheme="minorEastAsia" w:cstheme="minorEastAsia"/>
          <w:b/>
          <w:color w:val="auto"/>
          <w:sz w:val="22"/>
          <w:szCs w:val="22"/>
          <w:highlight w:val="none"/>
        </w:rPr>
        <w:t>文件的澄清、修改</w:t>
      </w:r>
    </w:p>
    <w:p w14:paraId="7001C1AE">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7.1 采购人对</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4520E72E">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7.2 更正公告为</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文件的收受人，不再采用其它方式传达相关信息, 若因未能及时了解到上述网站上发布的相关信息而导致的一切后果自行承担。</w:t>
      </w:r>
    </w:p>
    <w:p w14:paraId="0810AE92">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7.3 如更正公告有重新发布电子</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文件的，</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lang w:val="en-US" w:eastAsia="zh-CN"/>
        </w:rPr>
        <w:t>应下载最新发布的电子</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文件制作响应文件。</w:t>
      </w:r>
    </w:p>
    <w:p w14:paraId="5B5453C9">
      <w:pPr>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7.4 已获取</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文件的潜在</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lang w:val="en-US" w:eastAsia="zh-CN"/>
        </w:rPr>
        <w:t>在规定的时间内未对</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lang w:val="en-US" w:eastAsia="zh-CN"/>
        </w:rPr>
        <w:t>。</w:t>
      </w:r>
    </w:p>
    <w:p w14:paraId="280D31C2">
      <w:pPr>
        <w:adjustRightInd/>
        <w:spacing w:line="360" w:lineRule="auto"/>
        <w:jc w:val="center"/>
        <w:outlineLvl w:val="0"/>
        <w:rPr>
          <w:rFonts w:hint="eastAsia" w:asciiTheme="minorEastAsia" w:hAnsiTheme="minorEastAsia" w:eastAsiaTheme="minorEastAsia" w:cstheme="minorEastAsia"/>
          <w:b/>
          <w:color w:val="auto"/>
          <w:sz w:val="32"/>
          <w:szCs w:val="21"/>
          <w:highlight w:val="none"/>
          <w:lang w:eastAsia="zh-CN"/>
        </w:rPr>
      </w:pPr>
      <w:r>
        <w:rPr>
          <w:rFonts w:hint="eastAsia" w:asciiTheme="minorEastAsia" w:hAnsiTheme="minorEastAsia" w:eastAsiaTheme="minorEastAsia" w:cstheme="minorEastAsia"/>
          <w:b/>
          <w:color w:val="auto"/>
          <w:sz w:val="32"/>
          <w:szCs w:val="21"/>
          <w:highlight w:val="none"/>
        </w:rPr>
        <w:br w:type="page"/>
      </w:r>
      <w:r>
        <w:rPr>
          <w:rFonts w:hint="eastAsia" w:asciiTheme="minorEastAsia" w:hAnsiTheme="minorEastAsia" w:eastAsiaTheme="minorEastAsia" w:cstheme="minorEastAsia"/>
          <w:b/>
          <w:color w:val="auto"/>
          <w:sz w:val="32"/>
          <w:szCs w:val="21"/>
          <w:highlight w:val="none"/>
        </w:rPr>
        <w:t>三、</w:t>
      </w:r>
      <w:r>
        <w:rPr>
          <w:rFonts w:hint="eastAsia" w:asciiTheme="minorEastAsia" w:hAnsiTheme="minorEastAsia" w:eastAsiaTheme="minorEastAsia" w:cstheme="minorEastAsia"/>
          <w:b/>
          <w:color w:val="auto"/>
          <w:sz w:val="32"/>
          <w:szCs w:val="21"/>
          <w:highlight w:val="none"/>
          <w:lang w:eastAsia="zh-CN"/>
        </w:rPr>
        <w:t>响应</w:t>
      </w:r>
    </w:p>
    <w:p w14:paraId="6F5100F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文件的语言</w:t>
      </w:r>
    </w:p>
    <w:p w14:paraId="44D1A082">
      <w:pPr>
        <w:autoSpaceDE w:val="0"/>
        <w:autoSpaceDN w:val="0"/>
        <w:spacing w:line="360" w:lineRule="auto"/>
        <w:ind w:firstLine="440" w:firstLineChars="20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文件及</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与采购有关的来往通知、函件和文件均应使用中文。</w:t>
      </w:r>
    </w:p>
    <w:p w14:paraId="74901A6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文件的组成</w:t>
      </w:r>
    </w:p>
    <w:p w14:paraId="3CD43695">
      <w:pPr>
        <w:snapToGrid w:val="0"/>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9</w:t>
      </w: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b/>
          <w:bCs/>
          <w:color w:val="auto"/>
          <w:sz w:val="22"/>
          <w:szCs w:val="22"/>
          <w:highlight w:val="none"/>
          <w:lang w:val="en-US" w:eastAsia="zh-CN"/>
        </w:rPr>
        <w:t xml:space="preserve"> </w:t>
      </w:r>
      <w:r>
        <w:rPr>
          <w:rFonts w:hint="eastAsia" w:asciiTheme="minorEastAsia" w:hAnsiTheme="minorEastAsia" w:eastAsiaTheme="minorEastAsia" w:cstheme="minorEastAsia"/>
          <w:b/>
          <w:bCs/>
          <w:color w:val="auto"/>
          <w:sz w:val="22"/>
          <w:szCs w:val="22"/>
          <w:highlight w:val="none"/>
        </w:rPr>
        <w:t>资格文件：</w:t>
      </w:r>
    </w:p>
    <w:p w14:paraId="7A8EBC5B">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9.1.1有效的企业法人营业执照（或事业法人登记证）、其他组织（个体工商户）的营业执照或者民办非企业单位登记证书；</w:t>
      </w:r>
    </w:p>
    <w:p w14:paraId="283C4B90">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9.1.2符合参加政府采购活动应当具备的一般条件的承诺函(格式见第八部分)；</w:t>
      </w:r>
    </w:p>
    <w:p w14:paraId="3A795094">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9.1.3本项目的特定资格要求。</w:t>
      </w:r>
    </w:p>
    <w:p w14:paraId="7C682252">
      <w:pPr>
        <w:snapToGrid w:val="0"/>
        <w:spacing w:line="360" w:lineRule="auto"/>
        <w:ind w:firstLine="440" w:firstLineChars="200"/>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9.1.4其他资料（如有）</w:t>
      </w:r>
    </w:p>
    <w:p w14:paraId="444FE68E">
      <w:pPr>
        <w:snapToGrid w:val="0"/>
        <w:spacing w:line="360" w:lineRule="auto"/>
        <w:ind w:firstLine="442" w:firstLineChars="200"/>
        <w:rPr>
          <w:rFonts w:hint="eastAsia" w:asciiTheme="minorEastAsia" w:hAnsiTheme="minorEastAsia" w:eastAsiaTheme="minorEastAsia" w:cstheme="minorEastAsia"/>
          <w:b/>
          <w:bCs/>
          <w:color w:val="auto"/>
          <w:sz w:val="22"/>
          <w:szCs w:val="22"/>
          <w:highlight w:val="none"/>
          <w:lang w:val="zh-CN" w:eastAsia="zh-CN"/>
        </w:rPr>
      </w:pPr>
      <w:r>
        <w:rPr>
          <w:rFonts w:hint="eastAsia" w:asciiTheme="minorEastAsia" w:hAnsiTheme="minorEastAsia" w:eastAsiaTheme="minorEastAsia" w:cstheme="minorEastAsia"/>
          <w:b/>
          <w:bCs/>
          <w:color w:val="auto"/>
          <w:sz w:val="22"/>
          <w:szCs w:val="22"/>
          <w:highlight w:val="none"/>
          <w:lang w:val="en-US" w:eastAsia="zh-CN"/>
        </w:rPr>
        <w:t>9</w:t>
      </w:r>
      <w:r>
        <w:rPr>
          <w:rFonts w:hint="eastAsia" w:asciiTheme="minorEastAsia" w:hAnsiTheme="minorEastAsia" w:eastAsiaTheme="minorEastAsia" w:cstheme="minorEastAsia"/>
          <w:b/>
          <w:bCs/>
          <w:color w:val="auto"/>
          <w:sz w:val="22"/>
          <w:szCs w:val="22"/>
          <w:highlight w:val="none"/>
          <w:lang w:val="zh-CN" w:eastAsia="zh-CN"/>
        </w:rPr>
        <w:t>.</w:t>
      </w:r>
      <w:r>
        <w:rPr>
          <w:rFonts w:hint="eastAsia" w:asciiTheme="minorEastAsia" w:hAnsiTheme="minorEastAsia" w:eastAsiaTheme="minorEastAsia" w:cstheme="minorEastAsia"/>
          <w:b/>
          <w:bCs/>
          <w:color w:val="auto"/>
          <w:sz w:val="22"/>
          <w:szCs w:val="22"/>
          <w:highlight w:val="none"/>
          <w:lang w:val="en-US" w:eastAsia="zh-CN"/>
        </w:rPr>
        <w:t>2</w:t>
      </w:r>
      <w:r>
        <w:rPr>
          <w:rFonts w:hint="eastAsia" w:asciiTheme="minorEastAsia" w:hAnsiTheme="minorEastAsia" w:eastAsiaTheme="minorEastAsia" w:cstheme="minorEastAsia"/>
          <w:b/>
          <w:bCs/>
          <w:color w:val="auto"/>
          <w:sz w:val="22"/>
          <w:szCs w:val="22"/>
          <w:highlight w:val="none"/>
          <w:lang w:val="zh-CN" w:eastAsia="zh-CN"/>
        </w:rPr>
        <w:t xml:space="preserve"> </w:t>
      </w:r>
      <w:r>
        <w:rPr>
          <w:rFonts w:hint="eastAsia" w:asciiTheme="minorEastAsia" w:hAnsiTheme="minorEastAsia" w:eastAsiaTheme="minorEastAsia" w:cstheme="minorEastAsia"/>
          <w:b/>
          <w:bCs/>
          <w:color w:val="auto"/>
          <w:sz w:val="22"/>
          <w:szCs w:val="22"/>
          <w:highlight w:val="none"/>
          <w:lang w:val="en-US" w:eastAsia="zh-CN"/>
        </w:rPr>
        <w:t>商务技术</w:t>
      </w:r>
      <w:r>
        <w:rPr>
          <w:rFonts w:hint="eastAsia" w:asciiTheme="minorEastAsia" w:hAnsiTheme="minorEastAsia" w:eastAsiaTheme="minorEastAsia" w:cstheme="minorEastAsia"/>
          <w:b/>
          <w:bCs/>
          <w:color w:val="auto"/>
          <w:sz w:val="22"/>
          <w:szCs w:val="22"/>
          <w:highlight w:val="none"/>
          <w:lang w:val="zh-CN" w:eastAsia="zh-CN"/>
        </w:rPr>
        <w:t>文件：</w:t>
      </w:r>
    </w:p>
    <w:p w14:paraId="78CF9A5B">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9.2.1 评分索引表；</w:t>
      </w:r>
    </w:p>
    <w:p w14:paraId="20770EF4">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9.2.2符合性自查表；</w:t>
      </w:r>
    </w:p>
    <w:p w14:paraId="3E618531">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9.2.3 磋商函；</w:t>
      </w:r>
      <w:r>
        <w:rPr>
          <w:rFonts w:hint="eastAsia" w:asciiTheme="minorEastAsia" w:hAnsiTheme="minorEastAsia" w:eastAsiaTheme="minorEastAsia" w:cstheme="minorEastAsia"/>
          <w:color w:val="auto"/>
          <w:sz w:val="22"/>
          <w:szCs w:val="22"/>
          <w:highlight w:val="none"/>
          <w:lang w:val="zh-CN" w:eastAsia="zh-CN"/>
        </w:rPr>
        <w:t xml:space="preserve"> </w:t>
      </w:r>
    </w:p>
    <w:p w14:paraId="08E3A6C2">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9.2.4 授权委托书；</w:t>
      </w:r>
    </w:p>
    <w:p w14:paraId="310DF858">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9.2.5 供应商基本情况表；</w:t>
      </w:r>
    </w:p>
    <w:p w14:paraId="021A13AC">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9.2.6 距采购人最近或者能为本项目提供最优服务的网点情况表；</w:t>
      </w:r>
    </w:p>
    <w:p w14:paraId="18524F2E">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lang w:val="zh-CN" w:eastAsia="zh-CN"/>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lang w:val="zh-CN" w:eastAsia="zh-CN"/>
        </w:rPr>
        <w:t>.</w:t>
      </w:r>
      <w:r>
        <w:rPr>
          <w:rFonts w:hint="eastAsia" w:asciiTheme="minorEastAsia" w:hAnsiTheme="minorEastAsia" w:eastAsiaTheme="minorEastAsia" w:cstheme="minorEastAsia"/>
          <w:color w:val="auto"/>
          <w:sz w:val="22"/>
          <w:szCs w:val="22"/>
          <w:highlight w:val="none"/>
          <w:lang w:val="en-US" w:eastAsia="zh-CN"/>
        </w:rPr>
        <w:t>7 评标标准相应的商务技术资料；</w:t>
      </w:r>
    </w:p>
    <w:p w14:paraId="6BFBEC02">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9.2.8 商务响应表；</w:t>
      </w:r>
    </w:p>
    <w:p w14:paraId="44BEFCBB">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9.2.9 技术响应表；</w:t>
      </w:r>
    </w:p>
    <w:p w14:paraId="300567EA">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9.2.10 主要材料（设备）品牌响应表；</w:t>
      </w:r>
    </w:p>
    <w:p w14:paraId="5DD4B397">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9.2.11同类业绩情况一览表；</w:t>
      </w:r>
    </w:p>
    <w:p w14:paraId="686C9979">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9.2.12</w:t>
      </w:r>
      <w:r>
        <w:rPr>
          <w:rFonts w:hint="eastAsia" w:asciiTheme="minorEastAsia" w:hAnsiTheme="minorEastAsia" w:eastAsiaTheme="minorEastAsia" w:cstheme="minorEastAsia"/>
          <w:color w:val="auto"/>
          <w:sz w:val="22"/>
          <w:szCs w:val="22"/>
          <w:highlight w:val="none"/>
          <w:lang w:val="zh-CN" w:eastAsia="zh-CN"/>
        </w:rPr>
        <w:t>政府采购供应商廉洁自律承诺书；</w:t>
      </w:r>
    </w:p>
    <w:p w14:paraId="742646E1">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9.2.13其他资料（如有）。</w:t>
      </w:r>
    </w:p>
    <w:p w14:paraId="5162298E">
      <w:pPr>
        <w:snapToGrid w:val="0"/>
        <w:spacing w:line="360" w:lineRule="auto"/>
        <w:ind w:firstLine="442" w:firstLineChars="200"/>
        <w:rPr>
          <w:rFonts w:hint="eastAsia" w:asciiTheme="minorEastAsia" w:hAnsiTheme="minorEastAsia" w:eastAsiaTheme="minorEastAsia" w:cstheme="minorEastAsia"/>
          <w:b/>
          <w:bCs/>
          <w:color w:val="auto"/>
          <w:sz w:val="22"/>
          <w:szCs w:val="22"/>
          <w:highlight w:val="none"/>
          <w:u w:val="single"/>
          <w:lang w:val="zh-CN"/>
        </w:rPr>
      </w:pPr>
      <w:r>
        <w:rPr>
          <w:rFonts w:hint="eastAsia" w:asciiTheme="minorEastAsia" w:hAnsiTheme="minorEastAsia" w:eastAsiaTheme="minorEastAsia" w:cstheme="minorEastAsia"/>
          <w:b/>
          <w:bCs/>
          <w:color w:val="auto"/>
          <w:kern w:val="0"/>
          <w:sz w:val="22"/>
          <w:szCs w:val="22"/>
          <w:highlight w:val="none"/>
          <w:lang w:val="en-US" w:eastAsia="zh-CN"/>
        </w:rPr>
        <w:t>9</w:t>
      </w:r>
      <w:r>
        <w:rPr>
          <w:rFonts w:hint="eastAsia" w:asciiTheme="minorEastAsia" w:hAnsiTheme="minorEastAsia" w:eastAsiaTheme="minorEastAsia" w:cstheme="minorEastAsia"/>
          <w:b/>
          <w:bCs/>
          <w:color w:val="auto"/>
          <w:kern w:val="0"/>
          <w:sz w:val="22"/>
          <w:szCs w:val="22"/>
          <w:highlight w:val="none"/>
          <w:lang w:val="zh-CN"/>
        </w:rPr>
        <w:t>.</w:t>
      </w:r>
      <w:r>
        <w:rPr>
          <w:rFonts w:hint="eastAsia" w:asciiTheme="minorEastAsia" w:hAnsiTheme="minorEastAsia" w:eastAsiaTheme="minorEastAsia" w:cstheme="minorEastAsia"/>
          <w:b/>
          <w:bCs/>
          <w:color w:val="auto"/>
          <w:kern w:val="0"/>
          <w:sz w:val="22"/>
          <w:szCs w:val="22"/>
          <w:highlight w:val="none"/>
        </w:rPr>
        <w:t>3</w:t>
      </w:r>
      <w:r>
        <w:rPr>
          <w:rFonts w:hint="eastAsia" w:asciiTheme="minorEastAsia" w:hAnsiTheme="minorEastAsia" w:eastAsiaTheme="minorEastAsia" w:cstheme="minorEastAsia"/>
          <w:b/>
          <w:bCs/>
          <w:color w:val="auto"/>
          <w:kern w:val="0"/>
          <w:sz w:val="22"/>
          <w:szCs w:val="22"/>
          <w:highlight w:val="none"/>
          <w:lang w:val="en-US" w:eastAsia="zh-CN"/>
        </w:rPr>
        <w:t xml:space="preserve"> </w:t>
      </w:r>
      <w:r>
        <w:rPr>
          <w:rFonts w:hint="eastAsia" w:asciiTheme="minorEastAsia" w:hAnsiTheme="minorEastAsia" w:eastAsiaTheme="minorEastAsia" w:cstheme="minorEastAsia"/>
          <w:b/>
          <w:bCs/>
          <w:color w:val="auto"/>
          <w:sz w:val="22"/>
          <w:szCs w:val="22"/>
          <w:highlight w:val="none"/>
        </w:rPr>
        <w:t xml:space="preserve">报价文件： </w:t>
      </w:r>
    </w:p>
    <w:p w14:paraId="5F82BF3B">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9.3.1 报价一览表；</w:t>
      </w:r>
    </w:p>
    <w:p w14:paraId="0C8CD359">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9.3.2 中小企业声明函（如有）；</w:t>
      </w:r>
    </w:p>
    <w:p w14:paraId="36D050BD">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9.3.3残疾人福利性单位声明函（如有）；</w:t>
      </w:r>
    </w:p>
    <w:p w14:paraId="298CC9DC">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9.3.4监狱企业的证明文件（如有）；</w:t>
      </w:r>
    </w:p>
    <w:p w14:paraId="48C19CC3">
      <w:pPr>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9.3.5 政府采购统计基础信息表；</w:t>
      </w:r>
    </w:p>
    <w:p w14:paraId="7B557E02">
      <w:pPr>
        <w:pStyle w:val="32"/>
        <w:rPr>
          <w:rFonts w:hint="default"/>
          <w:color w:val="auto"/>
          <w:sz w:val="32"/>
          <w:szCs w:val="28"/>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9.3.6其他资料（如有）</w:t>
      </w:r>
    </w:p>
    <w:p w14:paraId="263745B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响应文件的编制</w:t>
      </w:r>
    </w:p>
    <w:p w14:paraId="7444ED64">
      <w:pPr>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w:t>
      </w:r>
      <w:r>
        <w:rPr>
          <w:rFonts w:hint="eastAsia" w:asciiTheme="minorEastAsia" w:hAnsiTheme="minorEastAsia" w:eastAsiaTheme="minorEastAsia" w:cstheme="minorEastAsia"/>
          <w:color w:val="auto"/>
          <w:kern w:val="0"/>
          <w:sz w:val="22"/>
          <w:szCs w:val="22"/>
          <w:highlight w:val="none"/>
          <w:lang w:val="en-US" w:eastAsia="zh-CN"/>
        </w:rPr>
        <w:t>0</w:t>
      </w:r>
      <w:r>
        <w:rPr>
          <w:rFonts w:hint="eastAsia" w:asciiTheme="minorEastAsia" w:hAnsiTheme="minorEastAsia" w:eastAsiaTheme="minorEastAsia" w:cstheme="minorEastAsia"/>
          <w:color w:val="auto"/>
          <w:kern w:val="0"/>
          <w:sz w:val="22"/>
          <w:szCs w:val="22"/>
          <w:highlight w:val="none"/>
          <w:lang w:val="zh-CN"/>
        </w:rPr>
        <w:t>.1响应文件分为资格文件、商务技术文件、报价文件三部分。各供应商在编制响应文件时请按照竞争性磋商文件第</w:t>
      </w:r>
      <w:r>
        <w:rPr>
          <w:rFonts w:hint="eastAsia" w:asciiTheme="minorEastAsia" w:hAnsiTheme="minorEastAsia" w:eastAsiaTheme="minorEastAsia" w:cstheme="minorEastAsia"/>
          <w:color w:val="auto"/>
          <w:kern w:val="0"/>
          <w:sz w:val="22"/>
          <w:szCs w:val="22"/>
          <w:highlight w:val="none"/>
          <w:lang w:val="en-US" w:eastAsia="zh-CN"/>
        </w:rPr>
        <w:t>八</w:t>
      </w:r>
      <w:r>
        <w:rPr>
          <w:rFonts w:hint="eastAsia" w:asciiTheme="minorEastAsia" w:hAnsiTheme="minorEastAsia" w:eastAsiaTheme="minorEastAsia" w:cstheme="minorEastAsia"/>
          <w:color w:val="auto"/>
          <w:kern w:val="0"/>
          <w:sz w:val="22"/>
          <w:szCs w:val="22"/>
          <w:highlight w:val="none"/>
          <w:lang w:val="zh-CN"/>
        </w:rPr>
        <w:t>部分规定的格式进行。</w:t>
      </w:r>
      <w:r>
        <w:rPr>
          <w:rFonts w:hint="eastAsia" w:asciiTheme="minorEastAsia" w:hAnsiTheme="minorEastAsia" w:eastAsiaTheme="minorEastAsia" w:cstheme="minorEastAsia"/>
          <w:color w:val="auto"/>
          <w:kern w:val="0"/>
          <w:sz w:val="22"/>
          <w:szCs w:val="22"/>
          <w:highlight w:val="none"/>
          <w:lang w:val="en-US" w:eastAsia="zh-CN"/>
        </w:rPr>
        <w:t>未有规定格式的资料，</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2"/>
          <w:szCs w:val="22"/>
          <w:highlight w:val="none"/>
          <w:lang w:val="zh-CN"/>
        </w:rPr>
        <w:t>混乱的编排导致响应文件被误读或磋商小组查找不到有效文件是供应商的风险。</w:t>
      </w:r>
    </w:p>
    <w:p w14:paraId="1A9C9F49">
      <w:pPr>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10.2供应商进行电子投标应安装客户端软件—“</w:t>
      </w:r>
      <w:r>
        <w:rPr>
          <w:rFonts w:hint="eastAsia" w:asciiTheme="minorEastAsia" w:hAnsiTheme="minorEastAsia" w:eastAsiaTheme="minorEastAsia" w:cstheme="minorEastAsia"/>
          <w:color w:val="auto"/>
          <w:kern w:val="0"/>
          <w:sz w:val="22"/>
          <w:szCs w:val="22"/>
          <w:highlight w:val="none"/>
          <w:lang w:val="en-US" w:eastAsia="zh-CN"/>
        </w:rPr>
        <w:t>乐采云</w:t>
      </w:r>
      <w:r>
        <w:rPr>
          <w:rFonts w:hint="eastAsia" w:asciiTheme="minorEastAsia" w:hAnsiTheme="minorEastAsia" w:eastAsiaTheme="minorEastAsia" w:cstheme="minorEastAsia"/>
          <w:color w:val="auto"/>
          <w:kern w:val="0"/>
          <w:sz w:val="22"/>
          <w:szCs w:val="22"/>
          <w:highlight w:val="none"/>
          <w:lang w:val="zh-CN"/>
        </w:rPr>
        <w:t>乐采云电子交易客户端”（</w:t>
      </w:r>
      <w:r>
        <w:rPr>
          <w:rFonts w:hint="eastAsia" w:asciiTheme="minorEastAsia" w:hAnsiTheme="minorEastAsia" w:eastAsiaTheme="minorEastAsia" w:cstheme="minorEastAsia"/>
          <w:color w:val="auto"/>
          <w:kern w:val="0"/>
          <w:sz w:val="22"/>
          <w:szCs w:val="22"/>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2"/>
          <w:szCs w:val="22"/>
          <w:highlight w:val="none"/>
          <w:lang w:val="zh-CN"/>
        </w:rPr>
        <w:t>），并按照招标文件和电子交易平台的要求编制并加密投标文件。供应商未按规定加密的投标文件，电子交易平台将拒收并提示。</w:t>
      </w:r>
    </w:p>
    <w:p w14:paraId="298357BD">
      <w:pPr>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10.3使用“乐采云电子交易客户端”需要提前申领CA数字证书，申领流程请自行前往“浙江企业采购信息服务网-下载专区-电子交易客户端-CA驱动和申领流程”进行查阅。</w:t>
      </w:r>
    </w:p>
    <w:p w14:paraId="245D763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投</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文件的签署、盖章</w:t>
      </w:r>
    </w:p>
    <w:p w14:paraId="454BF7DE">
      <w:pPr>
        <w:pStyle w:val="52"/>
        <w:snapToGrid w:val="0"/>
        <w:spacing w:before="0" w:line="360" w:lineRule="auto"/>
        <w:ind w:firstLine="48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文件按照</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文件第</w:t>
      </w:r>
      <w:r>
        <w:rPr>
          <w:rFonts w:hint="eastAsia" w:asciiTheme="minorEastAsia" w:hAnsiTheme="minorEastAsia" w:eastAsiaTheme="minorEastAsia" w:cstheme="minorEastAsia"/>
          <w:color w:val="auto"/>
          <w:sz w:val="22"/>
          <w:szCs w:val="22"/>
          <w:highlight w:val="none"/>
          <w:lang w:val="en-US" w:eastAsia="zh-CN"/>
        </w:rPr>
        <w:t>八</w:t>
      </w:r>
      <w:r>
        <w:rPr>
          <w:rFonts w:hint="eastAsia" w:asciiTheme="minorEastAsia" w:hAnsiTheme="minorEastAsia" w:eastAsiaTheme="minorEastAsia" w:cstheme="minorEastAsia"/>
          <w:color w:val="auto"/>
          <w:sz w:val="22"/>
          <w:szCs w:val="22"/>
          <w:highlight w:val="none"/>
        </w:rPr>
        <w:t>部分格式要求进行签署、盖章。</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供应商</w:t>
      </w:r>
      <w:r>
        <w:rPr>
          <w:rFonts w:hint="eastAsia" w:asciiTheme="minorEastAsia" w:hAnsiTheme="minorEastAsia" w:eastAsiaTheme="minorEastAsia" w:cstheme="minorEastAsia"/>
          <w:b/>
          <w:color w:val="auto"/>
          <w:sz w:val="22"/>
          <w:szCs w:val="22"/>
          <w:highlight w:val="none"/>
        </w:rPr>
        <w:t>的</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文件未按照</w:t>
      </w:r>
      <w:r>
        <w:rPr>
          <w:rFonts w:hint="eastAsia" w:asciiTheme="minorEastAsia" w:hAnsiTheme="minorEastAsia" w:eastAsiaTheme="minorEastAsia" w:cstheme="minorEastAsia"/>
          <w:b/>
          <w:color w:val="auto"/>
          <w:sz w:val="22"/>
          <w:szCs w:val="22"/>
          <w:highlight w:val="none"/>
          <w:lang w:eastAsia="zh-CN"/>
        </w:rPr>
        <w:t>竞争性磋商</w:t>
      </w:r>
      <w:r>
        <w:rPr>
          <w:rFonts w:hint="eastAsia" w:asciiTheme="minorEastAsia" w:hAnsiTheme="minorEastAsia" w:eastAsiaTheme="minorEastAsia" w:cstheme="minorEastAsia"/>
          <w:b/>
          <w:color w:val="auto"/>
          <w:sz w:val="22"/>
          <w:szCs w:val="22"/>
          <w:highlight w:val="none"/>
        </w:rPr>
        <w:t>文件要求签署、盖章的，其</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无效</w:t>
      </w:r>
      <w:r>
        <w:rPr>
          <w:rFonts w:hint="eastAsia" w:asciiTheme="minorEastAsia" w:hAnsiTheme="minorEastAsia" w:eastAsiaTheme="minorEastAsia" w:cstheme="minorEastAsia"/>
          <w:color w:val="auto"/>
          <w:sz w:val="22"/>
          <w:szCs w:val="22"/>
          <w:highlight w:val="none"/>
        </w:rPr>
        <w:t>。</w:t>
      </w:r>
    </w:p>
    <w:p w14:paraId="4EDC4962">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.2为确保网上操作合法、有效和安全，</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应当在</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截止时间前完成在“政府采购云平台”的身份认证，确保在电子投标过程中能够对相关数据电文进行加密和使用电子签名。</w:t>
      </w:r>
    </w:p>
    <w:p w14:paraId="6D8466C8">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文件对</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文件签署、盖章的要求适用于电子签名。</w:t>
      </w:r>
    </w:p>
    <w:p w14:paraId="62A707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响应文件的提交、补充、修改、撤回</w:t>
      </w:r>
    </w:p>
    <w:p w14:paraId="423A1774">
      <w:pPr>
        <w:pStyle w:val="52"/>
        <w:spacing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.1 供应商应当在</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截止时间前完成</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文件的传输递交，并可以补充、修改或者撤回</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文件。补充或者修改</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文件的，应当先行撤回原文件，补充、修改后重新传输递交。</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截止时间前未完成传输的，视为撤回</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截止时间后递交的</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文件，电子交易平台将拒收。</w:t>
      </w:r>
    </w:p>
    <w:p w14:paraId="4CAE8EBC">
      <w:pPr>
        <w:pStyle w:val="52"/>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.2电子交易平台收到</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文件，将妥善保存并即时向供应商发出确认回执通知。在</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截止时间前，除供应商补充、修改或者撤回</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文件外，任何单位和个人不得解密或提取</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w:t>
      </w:r>
    </w:p>
    <w:p w14:paraId="114FA78A">
      <w:pPr>
        <w:pStyle w:val="52"/>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.3采购人、</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可以视情况延长</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文件提交的截止时间。在上述情况下，</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与</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以前在</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截止期方面的全部权利、责任和义务，将适用于延长至新的</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截止期。</w:t>
      </w:r>
    </w:p>
    <w:p w14:paraId="737E0E1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响应有效期</w:t>
      </w:r>
    </w:p>
    <w:p w14:paraId="4C2DB410">
      <w:pPr>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有效期为从提交</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文件的截止之日起90天。▲</w:t>
      </w:r>
      <w:r>
        <w:rPr>
          <w:rFonts w:hint="eastAsia" w:asciiTheme="minorEastAsia" w:hAnsiTheme="minorEastAsia" w:eastAsiaTheme="minorEastAsia" w:cstheme="minorEastAsia"/>
          <w:b/>
          <w:color w:val="auto"/>
          <w:sz w:val="22"/>
          <w:szCs w:val="22"/>
          <w:highlight w:val="none"/>
          <w:lang w:eastAsia="zh-CN"/>
        </w:rPr>
        <w:t>供应商</w:t>
      </w:r>
      <w:r>
        <w:rPr>
          <w:rFonts w:hint="eastAsia" w:asciiTheme="minorEastAsia" w:hAnsiTheme="minorEastAsia" w:eastAsiaTheme="minorEastAsia" w:cstheme="minorEastAsia"/>
          <w:b/>
          <w:color w:val="auto"/>
          <w:sz w:val="22"/>
          <w:szCs w:val="22"/>
          <w:highlight w:val="none"/>
        </w:rPr>
        <w:t>的</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文件中承诺的</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有效期少于</w:t>
      </w:r>
      <w:r>
        <w:rPr>
          <w:rFonts w:hint="eastAsia" w:asciiTheme="minorEastAsia" w:hAnsiTheme="minorEastAsia" w:eastAsiaTheme="minorEastAsia" w:cstheme="minorEastAsia"/>
          <w:b/>
          <w:color w:val="auto"/>
          <w:sz w:val="22"/>
          <w:szCs w:val="22"/>
          <w:highlight w:val="none"/>
          <w:lang w:eastAsia="zh-CN"/>
        </w:rPr>
        <w:t>竞争性磋商</w:t>
      </w:r>
      <w:r>
        <w:rPr>
          <w:rFonts w:hint="eastAsia" w:asciiTheme="minorEastAsia" w:hAnsiTheme="minorEastAsia" w:eastAsiaTheme="minorEastAsia" w:cstheme="minorEastAsia"/>
          <w:b/>
          <w:color w:val="auto"/>
          <w:sz w:val="22"/>
          <w:szCs w:val="22"/>
          <w:highlight w:val="none"/>
        </w:rPr>
        <w:t>文件中载明的</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有效期的，</w:t>
      </w:r>
      <w:r>
        <w:rPr>
          <w:rFonts w:hint="eastAsia" w:asciiTheme="minorEastAsia" w:hAnsiTheme="minorEastAsia" w:eastAsiaTheme="minorEastAsia" w:cstheme="minorEastAsia"/>
          <w:b/>
          <w:color w:val="auto"/>
          <w:sz w:val="22"/>
          <w:szCs w:val="22"/>
          <w:highlight w:val="none"/>
          <w:lang w:eastAsia="zh-CN"/>
        </w:rPr>
        <w:t>响应</w:t>
      </w:r>
      <w:r>
        <w:rPr>
          <w:rFonts w:hint="eastAsia" w:asciiTheme="minorEastAsia" w:hAnsiTheme="minorEastAsia" w:eastAsiaTheme="minorEastAsia" w:cstheme="minorEastAsia"/>
          <w:b/>
          <w:color w:val="auto"/>
          <w:sz w:val="22"/>
          <w:szCs w:val="22"/>
          <w:highlight w:val="none"/>
        </w:rPr>
        <w:t>无效。</w:t>
      </w:r>
    </w:p>
    <w:p w14:paraId="4E695000">
      <w:pPr>
        <w:pStyle w:val="52"/>
        <w:spacing w:before="0" w:line="360" w:lineRule="auto"/>
        <w:ind w:firstLine="643"/>
        <w:rPr>
          <w:rFonts w:hint="eastAsia" w:asciiTheme="minorEastAsia" w:hAnsiTheme="minorEastAsia" w:eastAsiaTheme="minorEastAsia" w:cstheme="minorEastAsia"/>
          <w:b/>
          <w:color w:val="auto"/>
          <w:sz w:val="36"/>
          <w:szCs w:val="21"/>
          <w:highlight w:val="none"/>
        </w:rPr>
      </w:pPr>
    </w:p>
    <w:p w14:paraId="6CDAF8A5">
      <w:pPr>
        <w:pStyle w:val="52"/>
        <w:spacing w:before="0" w:line="360" w:lineRule="auto"/>
        <w:ind w:left="0" w:leftChars="0" w:firstLine="0" w:firstLineChars="0"/>
        <w:jc w:val="center"/>
        <w:rPr>
          <w:rFonts w:hint="eastAsia" w:asciiTheme="minorEastAsia" w:hAnsiTheme="minorEastAsia" w:eastAsiaTheme="minorEastAsia" w:cstheme="minorEastAsia"/>
          <w:b/>
          <w:color w:val="auto"/>
          <w:sz w:val="36"/>
          <w:szCs w:val="21"/>
          <w:highlight w:val="none"/>
        </w:rPr>
      </w:pPr>
      <w:r>
        <w:rPr>
          <w:rFonts w:hint="eastAsia" w:asciiTheme="minorEastAsia" w:hAnsiTheme="minorEastAsia" w:eastAsiaTheme="minorEastAsia" w:cstheme="minorEastAsia"/>
          <w:b/>
          <w:color w:val="auto"/>
          <w:sz w:val="36"/>
          <w:szCs w:val="21"/>
          <w:highlight w:val="none"/>
        </w:rPr>
        <w:t>四、</w:t>
      </w:r>
      <w:r>
        <w:rPr>
          <w:rFonts w:hint="eastAsia" w:asciiTheme="minorEastAsia" w:hAnsiTheme="minorEastAsia" w:eastAsiaTheme="minorEastAsia" w:cstheme="minorEastAsia"/>
          <w:b/>
          <w:color w:val="auto"/>
          <w:sz w:val="36"/>
          <w:szCs w:val="21"/>
          <w:highlight w:val="none"/>
          <w:lang w:eastAsia="zh-CN"/>
        </w:rPr>
        <w:t>响应文件开启</w:t>
      </w:r>
      <w:r>
        <w:rPr>
          <w:rFonts w:hint="eastAsia" w:asciiTheme="minorEastAsia" w:hAnsiTheme="minorEastAsia" w:eastAsiaTheme="minorEastAsia" w:cstheme="minorEastAsia"/>
          <w:b/>
          <w:color w:val="auto"/>
          <w:sz w:val="36"/>
          <w:szCs w:val="21"/>
          <w:highlight w:val="none"/>
        </w:rPr>
        <w:t>、资格审查与信用信息查询</w:t>
      </w:r>
    </w:p>
    <w:p w14:paraId="4CDC021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 xml:space="preserve">响应文件开启 </w:t>
      </w:r>
    </w:p>
    <w:p w14:paraId="767DD772">
      <w:pPr>
        <w:pStyle w:val="47"/>
        <w:spacing w:before="0" w:line="360" w:lineRule="auto"/>
        <w:ind w:left="0" w:firstLine="440" w:firstLineChars="200"/>
        <w:contextualSpacing/>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按照</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文件规定的时间通过电子交易平台组织</w:t>
      </w:r>
      <w:r>
        <w:rPr>
          <w:rFonts w:hint="eastAsia" w:asciiTheme="minorEastAsia" w:hAnsiTheme="minorEastAsia" w:eastAsiaTheme="minorEastAsia" w:cstheme="minorEastAsia"/>
          <w:color w:val="auto"/>
          <w:sz w:val="22"/>
          <w:szCs w:val="22"/>
          <w:highlight w:val="none"/>
          <w:lang w:val="en-US" w:eastAsia="zh-CN"/>
        </w:rPr>
        <w:t>响应文件开启</w:t>
      </w:r>
      <w:r>
        <w:rPr>
          <w:rFonts w:hint="eastAsia" w:asciiTheme="minorEastAsia" w:hAnsiTheme="minorEastAsia" w:eastAsiaTheme="minorEastAsia" w:cstheme="minorEastAsia"/>
          <w:color w:val="auto"/>
          <w:sz w:val="22"/>
          <w:szCs w:val="22"/>
          <w:highlight w:val="none"/>
        </w:rPr>
        <w:t>，所有</w:t>
      </w:r>
      <w:r>
        <w:rPr>
          <w:rFonts w:hint="eastAsia" w:asciiTheme="minorEastAsia" w:hAnsiTheme="minorEastAsia" w:eastAsiaTheme="minorEastAsia" w:cstheme="minorEastAsia"/>
          <w:color w:val="auto"/>
          <w:sz w:val="22"/>
          <w:szCs w:val="22"/>
          <w:highlight w:val="none"/>
          <w:lang w:val="zh-CN"/>
        </w:rPr>
        <w:t>供应商</w:t>
      </w:r>
      <w:r>
        <w:rPr>
          <w:rFonts w:hint="eastAsia" w:asciiTheme="minorEastAsia" w:hAnsiTheme="minorEastAsia" w:eastAsiaTheme="minorEastAsia" w:cstheme="minorEastAsia"/>
          <w:color w:val="auto"/>
          <w:sz w:val="22"/>
          <w:szCs w:val="22"/>
          <w:highlight w:val="none"/>
        </w:rPr>
        <w:t>均应当准时在线参加。</w:t>
      </w:r>
      <w:r>
        <w:rPr>
          <w:rFonts w:hint="eastAsia" w:asciiTheme="minorEastAsia" w:hAnsiTheme="minorEastAsia" w:eastAsiaTheme="minorEastAsia" w:cstheme="minorEastAsia"/>
          <w:color w:val="auto"/>
          <w:sz w:val="22"/>
          <w:szCs w:val="22"/>
          <w:highlight w:val="none"/>
          <w:lang w:val="zh-CN"/>
        </w:rPr>
        <w:t>供应商</w:t>
      </w:r>
      <w:r>
        <w:rPr>
          <w:rFonts w:hint="eastAsia" w:asciiTheme="minorEastAsia" w:hAnsiTheme="minorEastAsia" w:eastAsiaTheme="minorEastAsia" w:cstheme="minorEastAsia"/>
          <w:color w:val="auto"/>
          <w:sz w:val="22"/>
          <w:szCs w:val="22"/>
          <w:highlight w:val="none"/>
        </w:rPr>
        <w:t>不足3家的，不得开</w:t>
      </w:r>
      <w:r>
        <w:rPr>
          <w:rFonts w:hint="eastAsia" w:asciiTheme="minorEastAsia" w:hAnsiTheme="minorEastAsia" w:eastAsiaTheme="minorEastAsia" w:cstheme="minorEastAsia"/>
          <w:color w:val="auto"/>
          <w:sz w:val="22"/>
          <w:szCs w:val="22"/>
          <w:highlight w:val="none"/>
          <w:lang w:eastAsia="zh-CN"/>
        </w:rPr>
        <w:t>启响应文件</w:t>
      </w:r>
      <w:r>
        <w:rPr>
          <w:rFonts w:hint="eastAsia" w:asciiTheme="minorEastAsia" w:hAnsiTheme="minorEastAsia" w:eastAsiaTheme="minorEastAsia" w:cstheme="minorEastAsia"/>
          <w:color w:val="auto"/>
          <w:sz w:val="22"/>
          <w:szCs w:val="22"/>
          <w:highlight w:val="none"/>
        </w:rPr>
        <w:t>。</w:t>
      </w:r>
    </w:p>
    <w:p w14:paraId="17BCEE0C">
      <w:pPr>
        <w:pStyle w:val="47"/>
        <w:spacing w:before="0" w:line="360" w:lineRule="auto"/>
        <w:ind w:left="0" w:firstLine="220" w:firstLineChars="100"/>
        <w:contextualSpacing/>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1</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.2开</w:t>
      </w:r>
      <w:r>
        <w:rPr>
          <w:rFonts w:hint="eastAsia" w:asciiTheme="minorEastAsia" w:hAnsiTheme="minorEastAsia" w:eastAsiaTheme="minorEastAsia" w:cstheme="minorEastAsia"/>
          <w:color w:val="auto"/>
          <w:sz w:val="22"/>
          <w:szCs w:val="22"/>
          <w:highlight w:val="none"/>
          <w:lang w:eastAsia="zh-CN"/>
        </w:rPr>
        <w:t>启响应文件</w:t>
      </w:r>
      <w:r>
        <w:rPr>
          <w:rFonts w:hint="eastAsia" w:asciiTheme="minorEastAsia" w:hAnsiTheme="minorEastAsia" w:eastAsiaTheme="minorEastAsia" w:cstheme="minorEastAsia"/>
          <w:color w:val="auto"/>
          <w:sz w:val="22"/>
          <w:szCs w:val="22"/>
          <w:highlight w:val="none"/>
        </w:rPr>
        <w:t>时，电子交易平台按</w:t>
      </w:r>
      <w:r>
        <w:rPr>
          <w:rFonts w:hint="eastAsia" w:asciiTheme="minorEastAsia" w:hAnsiTheme="minorEastAsia" w:eastAsiaTheme="minorEastAsia" w:cstheme="minorEastAsia"/>
          <w:color w:val="auto"/>
          <w:sz w:val="22"/>
          <w:szCs w:val="22"/>
          <w:highlight w:val="none"/>
          <w:lang w:eastAsia="zh-CN"/>
        </w:rPr>
        <w:t>响应文件</w:t>
      </w:r>
      <w:r>
        <w:rPr>
          <w:rFonts w:hint="eastAsia" w:asciiTheme="minorEastAsia" w:hAnsiTheme="minorEastAsia" w:eastAsiaTheme="minorEastAsia" w:cstheme="minorEastAsia"/>
          <w:color w:val="auto"/>
          <w:sz w:val="22"/>
          <w:szCs w:val="22"/>
          <w:highlight w:val="none"/>
        </w:rPr>
        <w:t>开</w:t>
      </w:r>
      <w:r>
        <w:rPr>
          <w:rFonts w:hint="eastAsia" w:asciiTheme="minorEastAsia" w:hAnsiTheme="minorEastAsia" w:eastAsiaTheme="minorEastAsia" w:cstheme="minorEastAsia"/>
          <w:color w:val="auto"/>
          <w:sz w:val="22"/>
          <w:szCs w:val="22"/>
          <w:highlight w:val="none"/>
          <w:lang w:eastAsia="zh-CN"/>
        </w:rPr>
        <w:t>启</w:t>
      </w:r>
      <w:r>
        <w:rPr>
          <w:rFonts w:hint="eastAsia" w:asciiTheme="minorEastAsia" w:hAnsiTheme="minorEastAsia" w:eastAsiaTheme="minorEastAsia" w:cstheme="minorEastAsia"/>
          <w:color w:val="auto"/>
          <w:sz w:val="22"/>
          <w:szCs w:val="22"/>
          <w:highlight w:val="none"/>
        </w:rPr>
        <w:t>时间自动提取所有</w:t>
      </w:r>
      <w:r>
        <w:rPr>
          <w:rFonts w:hint="eastAsia" w:asciiTheme="minorEastAsia" w:hAnsiTheme="minorEastAsia" w:eastAsiaTheme="minorEastAsia" w:cstheme="minorEastAsia"/>
          <w:color w:val="auto"/>
          <w:sz w:val="22"/>
          <w:szCs w:val="22"/>
          <w:highlight w:val="none"/>
          <w:lang w:eastAsia="zh-CN"/>
        </w:rPr>
        <w:t>响应</w:t>
      </w:r>
      <w:r>
        <w:rPr>
          <w:rFonts w:hint="eastAsia" w:asciiTheme="minorEastAsia" w:hAnsiTheme="minorEastAsia" w:eastAsiaTheme="minorEastAsia" w:cstheme="minorEastAsia"/>
          <w:color w:val="auto"/>
          <w:sz w:val="22"/>
          <w:szCs w:val="22"/>
          <w:highlight w:val="none"/>
        </w:rPr>
        <w:t>文件。</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依托电子交易平台发起开始解密指令，</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sz w:val="22"/>
          <w:szCs w:val="22"/>
          <w:highlight w:val="none"/>
        </w:rPr>
        <w:t>按照平台提示和</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文件的规定在半小时内完成在线解密。</w:t>
      </w:r>
    </w:p>
    <w:p w14:paraId="2B2DEC3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资格审查</w:t>
      </w:r>
    </w:p>
    <w:p w14:paraId="4501FE51">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sz w:val="22"/>
          <w:szCs w:val="22"/>
          <w:highlight w:val="none"/>
          <w:lang w:eastAsia="zh-CN"/>
        </w:rPr>
        <w:t>响应文件</w:t>
      </w:r>
      <w:r>
        <w:rPr>
          <w:rFonts w:hint="eastAsia" w:asciiTheme="minorEastAsia" w:hAnsiTheme="minorEastAsia" w:eastAsiaTheme="minorEastAsia" w:cstheme="minorEastAsia"/>
          <w:color w:val="auto"/>
          <w:sz w:val="22"/>
          <w:szCs w:val="22"/>
          <w:highlight w:val="none"/>
        </w:rPr>
        <w:t>开</w:t>
      </w:r>
      <w:r>
        <w:rPr>
          <w:rFonts w:hint="eastAsia" w:asciiTheme="minorEastAsia" w:hAnsiTheme="minorEastAsia" w:eastAsiaTheme="minorEastAsia" w:cstheme="minorEastAsia"/>
          <w:color w:val="auto"/>
          <w:sz w:val="22"/>
          <w:szCs w:val="22"/>
          <w:highlight w:val="none"/>
          <w:lang w:eastAsia="zh-CN"/>
        </w:rPr>
        <w:t>启</w:t>
      </w:r>
      <w:r>
        <w:rPr>
          <w:rFonts w:hint="eastAsia" w:asciiTheme="minorEastAsia" w:hAnsiTheme="minorEastAsia" w:eastAsiaTheme="minorEastAsia" w:cstheme="minorEastAsia"/>
          <w:color w:val="auto"/>
          <w:kern w:val="0"/>
          <w:sz w:val="22"/>
          <w:szCs w:val="22"/>
          <w:highlight w:val="none"/>
        </w:rPr>
        <w:t>后，采购人或</w:t>
      </w:r>
      <w:r>
        <w:rPr>
          <w:rFonts w:hint="eastAsia" w:asciiTheme="minorEastAsia" w:hAnsiTheme="minorEastAsia" w:eastAsiaTheme="minorEastAsia" w:cstheme="minorEastAsia"/>
          <w:color w:val="auto"/>
          <w:kern w:val="0"/>
          <w:sz w:val="22"/>
          <w:szCs w:val="22"/>
          <w:highlight w:val="none"/>
          <w:lang w:eastAsia="zh-CN"/>
        </w:rPr>
        <w:t>采购代理机构</w:t>
      </w:r>
      <w:r>
        <w:rPr>
          <w:rFonts w:hint="eastAsia" w:asciiTheme="minorEastAsia" w:hAnsiTheme="minorEastAsia" w:eastAsiaTheme="minorEastAsia" w:cstheme="minorEastAsia"/>
          <w:color w:val="auto"/>
          <w:kern w:val="0"/>
          <w:sz w:val="22"/>
          <w:szCs w:val="22"/>
          <w:highlight w:val="none"/>
        </w:rPr>
        <w:t>依据法律法规和</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rPr>
        <w:t>文件的规定，对</w:t>
      </w:r>
      <w:r>
        <w:rPr>
          <w:rFonts w:hint="eastAsia" w:asciiTheme="minorEastAsia" w:hAnsiTheme="minorEastAsia" w:eastAsiaTheme="minorEastAsia" w:cstheme="minorEastAsia"/>
          <w:color w:val="auto"/>
          <w:kern w:val="0"/>
          <w:sz w:val="22"/>
          <w:szCs w:val="22"/>
          <w:highlight w:val="none"/>
          <w:lang w:eastAsia="zh-CN"/>
        </w:rPr>
        <w:t>供应商</w:t>
      </w:r>
      <w:r>
        <w:rPr>
          <w:rFonts w:hint="eastAsia" w:asciiTheme="minorEastAsia" w:hAnsiTheme="minorEastAsia" w:eastAsiaTheme="minorEastAsia" w:cstheme="minorEastAsia"/>
          <w:color w:val="auto"/>
          <w:kern w:val="0"/>
          <w:sz w:val="22"/>
          <w:szCs w:val="22"/>
          <w:highlight w:val="none"/>
        </w:rPr>
        <w:t>的资格条件进行审查。</w:t>
      </w:r>
    </w:p>
    <w:p w14:paraId="17A6D300">
      <w:pPr>
        <w:pStyle w:val="52"/>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对未通过资格审查的</w:t>
      </w:r>
      <w:r>
        <w:rPr>
          <w:rFonts w:hint="eastAsia" w:asciiTheme="minorEastAsia" w:hAnsiTheme="minorEastAsia" w:eastAsiaTheme="minorEastAsia" w:cstheme="minorEastAsia"/>
          <w:color w:val="auto"/>
          <w:sz w:val="22"/>
          <w:szCs w:val="22"/>
          <w:highlight w:val="none"/>
          <w:lang w:eastAsia="zh-CN"/>
        </w:rPr>
        <w:t>供应商</w:t>
      </w:r>
      <w:r>
        <w:rPr>
          <w:rFonts w:hint="eastAsia" w:asciiTheme="minorEastAsia" w:hAnsiTheme="minorEastAsia" w:eastAsiaTheme="minorEastAsia" w:cstheme="minorEastAsia"/>
          <w:color w:val="auto"/>
          <w:sz w:val="22"/>
          <w:szCs w:val="22"/>
          <w:highlight w:val="none"/>
        </w:rPr>
        <w:t>，采购人或</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告知其未通过的原因。</w:t>
      </w:r>
    </w:p>
    <w:p w14:paraId="18474995">
      <w:pPr>
        <w:pStyle w:val="52"/>
        <w:spacing w:before="0" w:line="360" w:lineRule="auto"/>
        <w:ind w:firstLine="48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合格</w:t>
      </w:r>
      <w:r>
        <w:rPr>
          <w:rFonts w:hint="eastAsia" w:asciiTheme="minorEastAsia" w:hAnsiTheme="minorEastAsia" w:eastAsiaTheme="minorEastAsia" w:cstheme="minorEastAsia"/>
          <w:color w:val="auto"/>
          <w:sz w:val="22"/>
          <w:szCs w:val="22"/>
          <w:highlight w:val="none"/>
          <w:lang w:eastAsia="zh-CN"/>
        </w:rPr>
        <w:t>供应商</w:t>
      </w:r>
      <w:r>
        <w:rPr>
          <w:rFonts w:hint="eastAsia" w:asciiTheme="minorEastAsia" w:hAnsiTheme="minorEastAsia" w:eastAsiaTheme="minorEastAsia" w:cstheme="minorEastAsia"/>
          <w:color w:val="auto"/>
          <w:sz w:val="22"/>
          <w:szCs w:val="22"/>
          <w:highlight w:val="none"/>
        </w:rPr>
        <w:t>不足3家的，不再</w:t>
      </w:r>
      <w:r>
        <w:rPr>
          <w:rFonts w:hint="eastAsia" w:asciiTheme="minorEastAsia" w:hAnsiTheme="minorEastAsia" w:eastAsiaTheme="minorEastAsia" w:cstheme="minorEastAsia"/>
          <w:color w:val="auto"/>
          <w:sz w:val="22"/>
          <w:szCs w:val="22"/>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6EB3015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信用信息查询</w:t>
      </w:r>
    </w:p>
    <w:p w14:paraId="6F4FC750">
      <w:pPr>
        <w:pStyle w:val="52"/>
        <w:spacing w:before="0" w:line="360" w:lineRule="auto"/>
        <w:ind w:firstLine="495"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rPr>
        <w:t>16</w:t>
      </w:r>
      <w:r>
        <w:rPr>
          <w:rFonts w:hint="eastAsia" w:asciiTheme="minorEastAsia" w:hAnsiTheme="minorEastAsia" w:eastAsiaTheme="minorEastAsia" w:cstheme="minorEastAsia"/>
          <w:color w:val="auto"/>
          <w:kern w:val="0"/>
          <w:sz w:val="22"/>
          <w:szCs w:val="22"/>
          <w:highlight w:val="none"/>
        </w:rPr>
        <w:t>.1信用信息查询渠道及截止时间：</w:t>
      </w:r>
      <w:r>
        <w:rPr>
          <w:rFonts w:hint="eastAsia" w:asciiTheme="minorEastAsia" w:hAnsiTheme="minorEastAsia" w:eastAsiaTheme="minorEastAsia" w:cstheme="minorEastAsia"/>
          <w:color w:val="auto"/>
          <w:kern w:val="0"/>
          <w:sz w:val="22"/>
          <w:szCs w:val="22"/>
          <w:highlight w:val="none"/>
          <w:lang w:eastAsia="zh-CN"/>
        </w:rPr>
        <w:t>采购代理机构</w:t>
      </w:r>
      <w:r>
        <w:rPr>
          <w:rFonts w:hint="eastAsia" w:asciiTheme="minorEastAsia" w:hAnsiTheme="minorEastAsia" w:eastAsiaTheme="minorEastAsia" w:cstheme="minorEastAsia"/>
          <w:color w:val="auto"/>
          <w:kern w:val="0"/>
          <w:sz w:val="22"/>
          <w:szCs w:val="22"/>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2"/>
          <w:szCs w:val="22"/>
          <w:highlight w:val="none"/>
          <w:lang w:eastAsia="zh-CN"/>
        </w:rPr>
        <w:t>供应商响应</w:t>
      </w:r>
      <w:r>
        <w:rPr>
          <w:rFonts w:hint="eastAsia" w:asciiTheme="minorEastAsia" w:hAnsiTheme="minorEastAsia" w:eastAsiaTheme="minorEastAsia" w:cstheme="minorEastAsia"/>
          <w:color w:val="auto"/>
          <w:kern w:val="0"/>
          <w:sz w:val="22"/>
          <w:szCs w:val="22"/>
          <w:highlight w:val="none"/>
        </w:rPr>
        <w:t>截止时间当天的信用记录。</w:t>
      </w:r>
    </w:p>
    <w:p w14:paraId="068B763D">
      <w:pPr>
        <w:pStyle w:val="52"/>
        <w:spacing w:before="0" w:line="360" w:lineRule="auto"/>
        <w:ind w:firstLine="495"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rPr>
        <w:t>16</w:t>
      </w:r>
      <w:r>
        <w:rPr>
          <w:rFonts w:hint="eastAsia" w:asciiTheme="minorEastAsia" w:hAnsiTheme="minorEastAsia" w:eastAsiaTheme="minorEastAsia" w:cstheme="minorEastAsia"/>
          <w:color w:val="auto"/>
          <w:kern w:val="0"/>
          <w:sz w:val="22"/>
          <w:szCs w:val="22"/>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将被拒绝参与政府采购活动。</w:t>
      </w:r>
    </w:p>
    <w:p w14:paraId="6403FBAF">
      <w:pPr>
        <w:snapToGrid w:val="0"/>
        <w:spacing w:line="360" w:lineRule="auto"/>
        <w:jc w:val="center"/>
        <w:outlineLvl w:val="0"/>
        <w:rPr>
          <w:rFonts w:hint="eastAsia" w:asciiTheme="minorEastAsia" w:hAnsiTheme="minorEastAsia" w:eastAsiaTheme="minorEastAsia" w:cstheme="minorEastAsia"/>
          <w:b/>
          <w:color w:val="auto"/>
          <w:sz w:val="40"/>
          <w:szCs w:val="40"/>
          <w:highlight w:val="none"/>
          <w:lang w:eastAsia="zh-CN"/>
        </w:rPr>
      </w:pPr>
      <w:r>
        <w:rPr>
          <w:rFonts w:hint="eastAsia" w:asciiTheme="minorEastAsia" w:hAnsiTheme="minorEastAsia" w:eastAsiaTheme="minorEastAsia" w:cstheme="minorEastAsia"/>
          <w:b/>
          <w:color w:val="auto"/>
          <w:sz w:val="40"/>
          <w:szCs w:val="40"/>
          <w:highlight w:val="none"/>
        </w:rPr>
        <w:t>五、评</w:t>
      </w:r>
      <w:r>
        <w:rPr>
          <w:rFonts w:hint="eastAsia" w:asciiTheme="minorEastAsia" w:hAnsiTheme="minorEastAsia" w:eastAsiaTheme="minorEastAsia" w:cstheme="minorEastAsia"/>
          <w:b/>
          <w:color w:val="auto"/>
          <w:sz w:val="40"/>
          <w:szCs w:val="40"/>
          <w:highlight w:val="none"/>
          <w:lang w:eastAsia="zh-CN"/>
        </w:rPr>
        <w:t>审</w:t>
      </w:r>
    </w:p>
    <w:p w14:paraId="1160868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bookmarkStart w:id="14" w:name="_Toc91899903"/>
      <w:r>
        <w:rPr>
          <w:rFonts w:hint="eastAsia" w:asciiTheme="minorEastAsia" w:hAnsiTheme="minorEastAsia" w:eastAsiaTheme="minorEastAsia" w:cstheme="minorEastAsia"/>
          <w:b/>
          <w:color w:val="auto"/>
          <w:sz w:val="22"/>
          <w:szCs w:val="22"/>
          <w:highlight w:val="none"/>
          <w:lang w:val="en-US" w:eastAsia="zh-CN"/>
        </w:rPr>
        <w:t>磋商小组</w:t>
      </w:r>
    </w:p>
    <w:p w14:paraId="1EAC5FCB">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17.1 本次采购依法组建磋商小组。磋商小组由采购人代表和评审专家组成，评审专家从专家库随机抽取。</w:t>
      </w:r>
    </w:p>
    <w:p w14:paraId="1C7D95A6">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51275F45">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 评审专家有下列情形之一的，受到邀请应主动提出回避，采购当事人也可以要求该评审专家回避：</w:t>
      </w:r>
    </w:p>
    <w:p w14:paraId="46EAB71F">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17.3.1 参加采购活动前三年内，与供应商存在劳动关系，或者担任过供应商的董事、监事，或者是供应商的控股股东或实际控制人；</w:t>
      </w:r>
    </w:p>
    <w:p w14:paraId="40C68A12">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17.3.2 与供应商的法定代表人或者负责人有夫妻、直系血亲、三代以内旁系血亲或者近姻亲关系；</w:t>
      </w:r>
    </w:p>
    <w:p w14:paraId="0771D065">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17.3.3 任职单位与参加该采购项目供应商存在行政隶属关系；</w:t>
      </w:r>
    </w:p>
    <w:p w14:paraId="32C5F51D">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17.3.4 曾经参加过该采购项目的进口产品或招标文件、采购需求、采购方式的论证和咨询服务工作；</w:t>
      </w:r>
    </w:p>
    <w:p w14:paraId="35FBAACA">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17.3.5 是参加该采购项目供应商的上级主管部门、控股或参股单位的工作人员，或与该供应商存在其他经济利益关系；</w:t>
      </w:r>
    </w:p>
    <w:p w14:paraId="2F3DDEFC">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17.3.6 评标委员会成员之间具有配偶、近亲属关系等；</w:t>
      </w:r>
    </w:p>
    <w:p w14:paraId="4C61DED3">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17.3.7 法律、法规、规章规定应当回避以及其他可能影响政府采购活动公平、公正进行的关系。</w:t>
      </w:r>
    </w:p>
    <w:p w14:paraId="113CD49A">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3A543EA8">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7BB2A37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评标</w:t>
      </w:r>
    </w:p>
    <w:p w14:paraId="21575E0B">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2"/>
          <w:szCs w:val="22"/>
          <w:highlight w:val="none"/>
          <w:lang w:val="zh-CN" w:eastAsia="zh-CN"/>
        </w:rPr>
        <w:t>供应商</w:t>
      </w:r>
      <w:r>
        <w:rPr>
          <w:rFonts w:hint="eastAsia" w:asciiTheme="minorEastAsia" w:hAnsiTheme="minorEastAsia" w:eastAsiaTheme="minorEastAsia" w:cstheme="minorEastAsia"/>
          <w:color w:val="auto"/>
          <w:kern w:val="0"/>
          <w:sz w:val="22"/>
          <w:szCs w:val="22"/>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2"/>
          <w:szCs w:val="22"/>
          <w:highlight w:val="none"/>
          <w:lang w:val="zh-CN" w:eastAsia="zh-CN"/>
        </w:rPr>
        <w:t>供应商</w:t>
      </w:r>
      <w:r>
        <w:rPr>
          <w:rFonts w:hint="eastAsia" w:asciiTheme="minorEastAsia" w:hAnsiTheme="minorEastAsia" w:eastAsiaTheme="minorEastAsia" w:cstheme="minorEastAsia"/>
          <w:color w:val="auto"/>
          <w:kern w:val="0"/>
          <w:sz w:val="22"/>
          <w:szCs w:val="22"/>
          <w:highlight w:val="none"/>
          <w:lang w:val="en-US" w:eastAsia="zh-CN"/>
        </w:rPr>
        <w:t>，按照评审因素的量化指标推荐综合得分排名第一的为中标候选人。</w:t>
      </w:r>
    </w:p>
    <w:p w14:paraId="539112EF">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2"/>
          <w:szCs w:val="22"/>
          <w:highlight w:val="none"/>
          <w:lang w:val="zh-CN" w:eastAsia="zh-CN"/>
        </w:rPr>
        <w:t>供应商</w:t>
      </w:r>
      <w:r>
        <w:rPr>
          <w:rFonts w:hint="eastAsia" w:asciiTheme="minorEastAsia" w:hAnsiTheme="minorEastAsia" w:eastAsiaTheme="minorEastAsia" w:cstheme="minorEastAsia"/>
          <w:color w:val="auto"/>
          <w:kern w:val="0"/>
          <w:sz w:val="22"/>
          <w:szCs w:val="22"/>
          <w:highlight w:val="none"/>
          <w:lang w:val="en-US" w:eastAsia="zh-CN"/>
        </w:rPr>
        <w:t>为排名第一的中标候选人。</w:t>
      </w:r>
    </w:p>
    <w:p w14:paraId="25065C06">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详见招标文件第四部分评标办法。</w:t>
      </w:r>
    </w:p>
    <w:p w14:paraId="19969C5D">
      <w:pPr>
        <w:spacing w:line="360" w:lineRule="auto"/>
        <w:rPr>
          <w:rFonts w:hint="eastAsia" w:asciiTheme="minorEastAsia" w:hAnsiTheme="minorEastAsia" w:eastAsiaTheme="minorEastAsia" w:cstheme="minorEastAsia"/>
          <w:b/>
          <w:color w:val="auto"/>
          <w:sz w:val="28"/>
          <w:szCs w:val="28"/>
          <w:highlight w:val="none"/>
        </w:rPr>
      </w:pPr>
    </w:p>
    <w:p w14:paraId="48F01F94">
      <w:pPr>
        <w:snapToGrid w:val="0"/>
        <w:spacing w:line="360" w:lineRule="auto"/>
        <w:jc w:val="center"/>
        <w:outlineLvl w:val="0"/>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六、定 标</w:t>
      </w:r>
    </w:p>
    <w:p w14:paraId="45F0AF8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确定成交供应商</w:t>
      </w:r>
    </w:p>
    <w:p w14:paraId="220432BA">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color w:val="auto"/>
          <w:kern w:val="0"/>
          <w:sz w:val="22"/>
          <w:szCs w:val="22"/>
          <w:highlight w:val="none"/>
          <w:lang w:val="en-US" w:eastAsia="zh-CN"/>
        </w:rPr>
        <w:t>本项目由磋商小组直接</w:t>
      </w:r>
      <w:r>
        <w:rPr>
          <w:color w:val="auto"/>
          <w:kern w:val="0"/>
          <w:sz w:val="22"/>
          <w:szCs w:val="22"/>
          <w:highlight w:val="none"/>
        </w:rPr>
        <w:t>确定评审报告排序第一的供应商为成交供应商。</w:t>
      </w:r>
    </w:p>
    <w:p w14:paraId="32B601E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成交通知与成交结果公告</w:t>
      </w:r>
    </w:p>
    <w:p w14:paraId="4AEF8D3C">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15B1F419">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2BAE8CC4">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20.3公告期限为1个工作日。</w:t>
      </w:r>
    </w:p>
    <w:p w14:paraId="6A27B02F">
      <w:pPr>
        <w:snapToGrid w:val="0"/>
        <w:spacing w:line="360" w:lineRule="auto"/>
        <w:jc w:val="both"/>
        <w:rPr>
          <w:rFonts w:hint="eastAsia" w:asciiTheme="minorEastAsia" w:hAnsiTheme="minorEastAsia" w:eastAsiaTheme="minorEastAsia" w:cstheme="minorEastAsia"/>
          <w:b/>
          <w:color w:val="auto"/>
          <w:sz w:val="36"/>
          <w:szCs w:val="28"/>
          <w:highlight w:val="none"/>
        </w:rPr>
      </w:pPr>
    </w:p>
    <w:p w14:paraId="55F84B9D">
      <w:pPr>
        <w:snapToGrid w:val="0"/>
        <w:spacing w:line="360" w:lineRule="auto"/>
        <w:ind w:left="120" w:leftChars="57" w:firstLine="542" w:firstLineChars="150"/>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七、合同授予</w:t>
      </w:r>
    </w:p>
    <w:p w14:paraId="58CF0D8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合同授予</w:t>
      </w:r>
    </w:p>
    <w:p w14:paraId="21D017DE">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合同主要条款详见第五部分拟签订的合同文本。</w:t>
      </w:r>
    </w:p>
    <w:p w14:paraId="4E60426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合同的签订</w:t>
      </w:r>
    </w:p>
    <w:p w14:paraId="189FAA95">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1A557781">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zh-CN" w:eastAsia="zh-CN"/>
        </w:rPr>
        <w:t>2</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47526609">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22.3如签订合同并生效后，供应商无故拒绝或延期，除按照合同条款处理外，列入不良行为记录名单，并给予通报。</w:t>
      </w:r>
    </w:p>
    <w:p w14:paraId="74C2815F">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22.4</w:t>
      </w:r>
      <w:r>
        <w:rPr>
          <w:rFonts w:hint="eastAsia" w:asciiTheme="minorEastAsia" w:hAnsiTheme="minorEastAsia" w:eastAsiaTheme="minorEastAsia" w:cstheme="minorEastAsia"/>
          <w:color w:val="auto"/>
          <w:kern w:val="0"/>
          <w:sz w:val="22"/>
          <w:szCs w:val="22"/>
          <w:highlight w:val="none"/>
          <w:lang w:val="zh-CN" w:eastAsia="zh-CN"/>
        </w:rPr>
        <w:t>成交</w:t>
      </w:r>
      <w:r>
        <w:rPr>
          <w:rFonts w:hint="eastAsia" w:asciiTheme="minorEastAsia" w:hAnsiTheme="minorEastAsia" w:eastAsiaTheme="minorEastAsia" w:cstheme="minorEastAsia"/>
          <w:color w:val="auto"/>
          <w:kern w:val="0"/>
          <w:sz w:val="22"/>
          <w:szCs w:val="22"/>
          <w:highlight w:val="none"/>
          <w:lang w:val="en-US" w:eastAsia="zh-CN"/>
        </w:rPr>
        <w:t>供应商拒绝与采购人签订合同的，列入不良行为记录名单，采购人、采购代理机构重新开展政府采购活动。</w:t>
      </w:r>
    </w:p>
    <w:p w14:paraId="6D7B5ABF">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22.5采购合同由采购人与</w:t>
      </w:r>
      <w:r>
        <w:rPr>
          <w:rFonts w:hint="eastAsia" w:asciiTheme="minorEastAsia" w:hAnsiTheme="minorEastAsia" w:eastAsiaTheme="minorEastAsia" w:cstheme="minorEastAsia"/>
          <w:color w:val="auto"/>
          <w:kern w:val="0"/>
          <w:sz w:val="22"/>
          <w:szCs w:val="22"/>
          <w:highlight w:val="none"/>
          <w:lang w:val="zh-CN" w:eastAsia="zh-CN"/>
        </w:rPr>
        <w:t>成交</w:t>
      </w:r>
      <w:r>
        <w:rPr>
          <w:rFonts w:hint="eastAsia" w:asciiTheme="minorEastAsia" w:hAnsiTheme="minorEastAsia" w:eastAsiaTheme="minorEastAsia" w:cstheme="minorEastAsia"/>
          <w:color w:val="auto"/>
          <w:kern w:val="0"/>
          <w:sz w:val="22"/>
          <w:szCs w:val="22"/>
          <w:highlight w:val="none"/>
          <w:lang w:val="en-US" w:eastAsia="zh-CN"/>
        </w:rPr>
        <w:t>供应商根据竞争性磋商文件、响应文件等内容通过政府采购电子交易平台在线签订，自动备案。</w:t>
      </w:r>
    </w:p>
    <w:p w14:paraId="1D75B18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default"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履约保证金</w:t>
      </w:r>
    </w:p>
    <w:p w14:paraId="1C399FA3">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拟签订的合同文本要求成交供应商提交履约保证金的，成交供应商应当以支票、汇票、本票或者银行、保险公司出具的保函等非现金形式提交。履约保证金的数额不得超过采购合同金额的1%。鼓励和支持成交供应商以银行、保险公司出具的保函形式提供履约保证金。采购人不得拒收履约保函。</w:t>
      </w:r>
    </w:p>
    <w:p w14:paraId="705E6E80">
      <w:pPr>
        <w:pStyle w:val="52"/>
        <w:spacing w:before="0" w:line="360" w:lineRule="auto"/>
        <w:ind w:firstLine="480"/>
        <w:rPr>
          <w:rFonts w:hint="eastAsia" w:asciiTheme="minorEastAsia" w:hAnsiTheme="minorEastAsia" w:eastAsiaTheme="minorEastAsia" w:cstheme="minorEastAsia"/>
          <w:color w:val="auto"/>
          <w:kern w:val="0"/>
          <w:sz w:val="22"/>
          <w:szCs w:val="22"/>
          <w:highlight w:val="none"/>
          <w:lang w:val="en-US" w:eastAsia="zh-CN"/>
        </w:rPr>
      </w:pPr>
    </w:p>
    <w:p w14:paraId="4FECD328">
      <w:pPr>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6"/>
          <w:szCs w:val="28"/>
          <w:highlight w:val="none"/>
        </w:rPr>
        <w:t>八、电子交易活动的中止</w:t>
      </w:r>
    </w:p>
    <w:p w14:paraId="6E49853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电子交易活动的中止</w:t>
      </w:r>
    </w:p>
    <w:p w14:paraId="55BE3B9B">
      <w:pPr>
        <w:tabs>
          <w:tab w:val="left" w:pos="0"/>
        </w:tabs>
        <w:spacing w:line="360" w:lineRule="auto"/>
        <w:ind w:firstLine="48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2"/>
          <w:szCs w:val="22"/>
          <w:highlight w:val="none"/>
          <w:lang w:eastAsia="zh-CN"/>
        </w:rPr>
        <w:t>采购代理机构</w:t>
      </w:r>
      <w:r>
        <w:rPr>
          <w:rFonts w:hint="eastAsia" w:asciiTheme="minorEastAsia" w:hAnsiTheme="minorEastAsia" w:eastAsiaTheme="minorEastAsia" w:cstheme="minorEastAsia"/>
          <w:color w:val="auto"/>
          <w:kern w:val="0"/>
          <w:sz w:val="22"/>
          <w:szCs w:val="22"/>
          <w:highlight w:val="none"/>
        </w:rPr>
        <w:t>可中止电子交易活动：</w:t>
      </w:r>
    </w:p>
    <w:p w14:paraId="1FA480D2">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 xml:space="preserve">.1电子交易平台发生故障而无法登录访问的； </w:t>
      </w:r>
    </w:p>
    <w:p w14:paraId="37DE2880">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387D1486">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392C31A6">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 xml:space="preserve">.4病毒发作导致不能进行正常操作的； </w:t>
      </w:r>
    </w:p>
    <w:p w14:paraId="1A260E06">
      <w:pPr>
        <w:pStyle w:val="52"/>
        <w:snapToGrid w:val="0"/>
        <w:spacing w:before="0" w:line="360" w:lineRule="auto"/>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.5其他无法保证电子交易的公平、公正和安全的情况。</w:t>
      </w:r>
    </w:p>
    <w:p w14:paraId="641E7AE0">
      <w:pPr>
        <w:snapToGrid w:val="0"/>
        <w:spacing w:line="360" w:lineRule="auto"/>
        <w:jc w:val="both"/>
        <w:rPr>
          <w:rFonts w:hint="eastAsia" w:asciiTheme="minorEastAsia" w:hAnsiTheme="minorEastAsia" w:eastAsiaTheme="minorEastAsia" w:cstheme="minorEastAsia"/>
          <w:b/>
          <w:color w:val="auto"/>
          <w:sz w:val="36"/>
          <w:szCs w:val="28"/>
          <w:highlight w:val="none"/>
        </w:rPr>
      </w:pPr>
    </w:p>
    <w:p w14:paraId="3510DBBA">
      <w:pPr>
        <w:snapToGrid w:val="0"/>
        <w:spacing w:line="360" w:lineRule="auto"/>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九、验收</w:t>
      </w:r>
    </w:p>
    <w:p w14:paraId="3752897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42" w:firstLineChars="200"/>
        <w:jc w:val="left"/>
        <w:textAlignment w:val="auto"/>
        <w:outlineLvl w:val="1"/>
        <w:rPr>
          <w:rFonts w:hint="eastAsia" w:asciiTheme="minorEastAsia" w:hAnsiTheme="minorEastAsia" w:eastAsiaTheme="minorEastAsia" w:cstheme="minorEastAsia"/>
          <w:b/>
          <w:color w:val="auto"/>
          <w:sz w:val="22"/>
          <w:szCs w:val="22"/>
          <w:highlight w:val="none"/>
          <w:lang w:val="en-US" w:eastAsia="zh-CN"/>
        </w:rPr>
      </w:pPr>
      <w:r>
        <w:rPr>
          <w:rFonts w:hint="eastAsia" w:asciiTheme="minorEastAsia" w:hAnsiTheme="minorEastAsia" w:eastAsiaTheme="minorEastAsia" w:cstheme="minorEastAsia"/>
          <w:b/>
          <w:color w:val="auto"/>
          <w:sz w:val="22"/>
          <w:szCs w:val="22"/>
          <w:highlight w:val="none"/>
          <w:lang w:val="en-US" w:eastAsia="zh-CN"/>
        </w:rPr>
        <w:t>验收</w:t>
      </w:r>
    </w:p>
    <w:p w14:paraId="3E3ABBCB">
      <w:pPr>
        <w:tabs>
          <w:tab w:val="left" w:pos="0"/>
        </w:tabs>
        <w:spacing w:line="360" w:lineRule="auto"/>
        <w:ind w:firstLine="48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0AB0AB">
      <w:pPr>
        <w:tabs>
          <w:tab w:val="left" w:pos="0"/>
        </w:tabs>
        <w:spacing w:line="360" w:lineRule="auto"/>
        <w:ind w:firstLine="48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rPr>
        <w:t>严格按照采购合同开展履约验收。采购人成立验收小组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7F42EA98">
      <w:pPr>
        <w:tabs>
          <w:tab w:val="left" w:pos="0"/>
        </w:tabs>
        <w:spacing w:line="360" w:lineRule="auto"/>
        <w:ind w:firstLine="48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color w:val="auto"/>
          <w:kern w:val="0"/>
          <w:sz w:val="22"/>
          <w:szCs w:val="22"/>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w:t>
      </w:r>
      <w:r>
        <w:rPr>
          <w:rFonts w:hint="eastAsia" w:asciiTheme="minorEastAsia" w:hAnsiTheme="minorEastAsia" w:eastAsiaTheme="minorEastAsia" w:cstheme="minorEastAsia"/>
          <w:color w:val="auto"/>
          <w:kern w:val="0"/>
          <w:sz w:val="22"/>
          <w:szCs w:val="22"/>
          <w:highlight w:val="none"/>
          <w:lang w:val="en-US" w:eastAsia="zh-CN"/>
        </w:rPr>
        <w:t>监管部门</w:t>
      </w:r>
      <w:r>
        <w:rPr>
          <w:rFonts w:hint="eastAsia" w:asciiTheme="minorEastAsia" w:hAnsiTheme="minorEastAsia" w:eastAsiaTheme="minorEastAsia" w:cstheme="minorEastAsia"/>
          <w:color w:val="auto"/>
          <w:kern w:val="0"/>
          <w:sz w:val="22"/>
          <w:szCs w:val="22"/>
          <w:highlight w:val="none"/>
        </w:rPr>
        <w:t>。</w:t>
      </w:r>
      <w:bookmarkEnd w:id="11"/>
      <w:bookmarkEnd w:id="12"/>
      <w:bookmarkEnd w:id="14"/>
      <w:bookmarkStart w:id="15" w:name="_Hlt68072998"/>
      <w:bookmarkEnd w:id="15"/>
      <w:bookmarkStart w:id="16" w:name="_Hlt75236101"/>
      <w:bookmarkEnd w:id="16"/>
      <w:bookmarkStart w:id="17" w:name="_Hlt75236290"/>
      <w:bookmarkEnd w:id="17"/>
      <w:bookmarkStart w:id="18" w:name="_Hlt75236011"/>
      <w:bookmarkEnd w:id="18"/>
      <w:bookmarkStart w:id="19" w:name="_Hlt74730295"/>
      <w:bookmarkEnd w:id="19"/>
      <w:bookmarkStart w:id="20" w:name="_Hlt68073093"/>
      <w:bookmarkEnd w:id="20"/>
      <w:bookmarkStart w:id="21" w:name="_Hlt74729768"/>
      <w:bookmarkEnd w:id="21"/>
      <w:bookmarkStart w:id="22" w:name="_Hlt74714665"/>
      <w:bookmarkEnd w:id="22"/>
      <w:bookmarkStart w:id="23" w:name="_Hlt74707468"/>
      <w:bookmarkEnd w:id="23"/>
      <w:bookmarkStart w:id="24" w:name="_Hlt68057669"/>
      <w:bookmarkEnd w:id="24"/>
      <w:bookmarkStart w:id="25" w:name="_Hlt68072990"/>
      <w:bookmarkEnd w:id="25"/>
      <w:bookmarkStart w:id="26" w:name="_Hlt68403820"/>
      <w:bookmarkEnd w:id="26"/>
    </w:p>
    <w:p w14:paraId="0837ED52">
      <w:pPr>
        <w:tabs>
          <w:tab w:val="left" w:pos="0"/>
        </w:tabs>
        <w:spacing w:line="360" w:lineRule="auto"/>
        <w:ind w:firstLine="48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br w:type="page"/>
      </w:r>
    </w:p>
    <w:p w14:paraId="7C8D5767">
      <w:pPr>
        <w:tabs>
          <w:tab w:val="left" w:pos="0"/>
        </w:tabs>
        <w:spacing w:line="360" w:lineRule="auto"/>
        <w:ind w:firstLine="723"/>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40"/>
          <w:szCs w:val="40"/>
          <w:highlight w:val="none"/>
        </w:rPr>
        <w:t xml:space="preserve">第三部分  </w:t>
      </w:r>
      <w:bookmarkStart w:id="27" w:name="_Hlk128151554"/>
      <w:r>
        <w:rPr>
          <w:rFonts w:hint="eastAsia" w:asciiTheme="minorEastAsia" w:hAnsiTheme="minorEastAsia" w:eastAsiaTheme="minorEastAsia" w:cstheme="minorEastAsia"/>
          <w:b/>
          <w:color w:val="auto"/>
          <w:sz w:val="36"/>
          <w:szCs w:val="36"/>
          <w:highlight w:val="none"/>
        </w:rPr>
        <w:t>采购需求</w:t>
      </w:r>
    </w:p>
    <w:p w14:paraId="2A914F51">
      <w:pPr>
        <w:spacing w:beforeLines="50" w:line="360" w:lineRule="auto"/>
        <w:ind w:firstLine="442" w:firstLineChars="200"/>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一、项目概况</w:t>
      </w:r>
    </w:p>
    <w:p w14:paraId="47B89F51">
      <w:pPr>
        <w:spacing w:line="360" w:lineRule="auto"/>
        <w:ind w:firstLine="440" w:firstLineChars="200"/>
        <w:jc w:val="left"/>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1、采购范围：</w:t>
      </w:r>
      <w:r>
        <w:rPr>
          <w:rFonts w:hint="eastAsia" w:ascii="宋体" w:hAnsi="宋体" w:cs="宋体"/>
          <w:color w:val="auto"/>
          <w:kern w:val="0"/>
          <w:sz w:val="22"/>
          <w:szCs w:val="22"/>
          <w:highlight w:val="none"/>
          <w:u w:val="none"/>
          <w:lang w:val="en-US" w:eastAsia="zh-CN"/>
        </w:rPr>
        <w:t>施工图范围内的建筑、结构、装修、给排水及室外附属等（具体详见图纸及工程量清单）。</w:t>
      </w:r>
    </w:p>
    <w:p w14:paraId="1512BBAB">
      <w:pPr>
        <w:spacing w:beforeLines="50" w:line="360" w:lineRule="auto"/>
        <w:ind w:firstLine="440" w:firstLineChars="200"/>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2、最高限价：3385639元，最高综合折扣率：95%。</w:t>
      </w:r>
    </w:p>
    <w:p w14:paraId="09F5707C">
      <w:pPr>
        <w:spacing w:beforeLines="50" w:line="360" w:lineRule="auto"/>
        <w:ind w:firstLine="440" w:firstLineChars="200"/>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3、图纸及清单：详见附件：图纸、工程量清单。</w:t>
      </w:r>
    </w:p>
    <w:p w14:paraId="5E9C31C4">
      <w:pPr>
        <w:spacing w:beforeLines="50" w:line="360" w:lineRule="auto"/>
        <w:ind w:firstLine="442" w:firstLineChars="200"/>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二、技术条款要求</w:t>
      </w:r>
    </w:p>
    <w:p w14:paraId="670E57D9">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1、技术参数及标准</w:t>
      </w:r>
    </w:p>
    <w:p w14:paraId="0530D72E">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依据设计施工图纸和工程量清单要求，本工程项目的材料、设备、施工必须达到现行中华人民共和国及省、市、行业的一切有关法规、规范的要求。</w:t>
      </w:r>
    </w:p>
    <w:p w14:paraId="6E66F44C">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2、服务内容及标准</w:t>
      </w:r>
    </w:p>
    <w:p w14:paraId="6895EFCC">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完成本项目工程量清单、施工图纸以及采购人要求范围内的所有工作并达到合格标准；</w:t>
      </w:r>
    </w:p>
    <w:p w14:paraId="6130F5C1">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3、安全要求</w:t>
      </w:r>
    </w:p>
    <w:p w14:paraId="66EDD69E">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（1）施工过程中，施工单位须做好安全防护工作，保证施工人员和过往行人、车辆的安全，由此产生的安全责任及费用均由施工单位负责。</w:t>
      </w:r>
    </w:p>
    <w:p w14:paraId="22B2D629">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施工期间，施工单位应做好防火、防盗等措施，减少对周边建筑物、构筑物、地下管线的影响及扰民现象的产生，绝不影响采购人日常工作，做好安全防护工作，文明施工，保证项目的顺利推进；否则由此造成的不良结果所导致工期拖延、质量影响及一切经济损失和纠纷调解等后果均由施工单位负责，与采购人无关。</w:t>
      </w:r>
    </w:p>
    <w:p w14:paraId="7D946B2E">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（3）施工单位必须为其施工人员投保人员工伤保险和</w:t>
      </w:r>
      <w:r>
        <w:rPr>
          <w:rFonts w:hint="eastAsia" w:ascii="宋体" w:hAnsi="宋体" w:cs="宋体"/>
          <w:bCs/>
          <w:color w:val="auto"/>
          <w:sz w:val="22"/>
          <w:szCs w:val="22"/>
          <w:highlight w:val="none"/>
          <w:lang w:eastAsia="zh-CN"/>
        </w:rPr>
        <w:t>安全责任险</w:t>
      </w:r>
      <w:r>
        <w:rPr>
          <w:rFonts w:hint="eastAsia" w:ascii="宋体" w:hAnsi="宋体" w:eastAsia="宋体" w:cs="宋体"/>
          <w:bCs/>
          <w:color w:val="auto"/>
          <w:sz w:val="22"/>
          <w:szCs w:val="22"/>
          <w:highlight w:val="none"/>
        </w:rPr>
        <w:t xml:space="preserve">，费用自理。施工期间，发生的一切工伤事故均由施工单位自负，采购人概不负责。  </w:t>
      </w:r>
    </w:p>
    <w:p w14:paraId="673E3034">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4、环保要求</w:t>
      </w:r>
    </w:p>
    <w:p w14:paraId="5E70234A">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要求施工单位制定详实的施工方案，确保在工程施工期间有效控制现场的扬尘、噪音、水、光等污染，按规范要求处置各类废弃物。</w:t>
      </w:r>
    </w:p>
    <w:p w14:paraId="23224867">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5、安全文明施工要求</w:t>
      </w:r>
    </w:p>
    <w:p w14:paraId="30A90942">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合同履行期间必须保证施工单位（含所有参与本项目的人员）、项目所在地及第三方的安全，做到文明施工、规范施工。期间若发生安全责任事故或被相关部门查处的，一切责任及经济赔偿由施工单位承担，由此给采购人造成损失的，由施工单位予以赔偿。</w:t>
      </w:r>
    </w:p>
    <w:p w14:paraId="11F21933">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工程其他要求</w:t>
      </w:r>
    </w:p>
    <w:p w14:paraId="38001FBF">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（1）供应商应按照磋商文件要求响应，供应商应将产品及材料的品牌、产地、规格、技术参数</w:t>
      </w:r>
      <w:r>
        <w:rPr>
          <w:rFonts w:hint="eastAsia" w:ascii="宋体" w:hAnsi="宋体" w:eastAsia="宋体" w:cs="宋体"/>
          <w:bCs/>
          <w:color w:val="auto"/>
          <w:sz w:val="22"/>
          <w:szCs w:val="22"/>
          <w:highlight w:val="none"/>
          <w:lang w:eastAsia="zh-CN"/>
        </w:rPr>
        <w:t>详实</w:t>
      </w:r>
      <w:r>
        <w:rPr>
          <w:rFonts w:hint="eastAsia" w:ascii="宋体" w:hAnsi="宋体" w:eastAsia="宋体" w:cs="宋体"/>
          <w:bCs/>
          <w:color w:val="auto"/>
          <w:sz w:val="22"/>
          <w:szCs w:val="22"/>
          <w:highlight w:val="none"/>
        </w:rPr>
        <w:t>体现在响应文件中。</w:t>
      </w:r>
    </w:p>
    <w:p w14:paraId="008BC0A3">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（2）成交供应商不得将承包工程转包和个人挂靠，施工中如发现转包、挂靠及其他违约行为的，采购人将没收其履约保证金，并终止合同。由此造成的损失均由成交供应商自行承担。</w:t>
      </w:r>
    </w:p>
    <w:p w14:paraId="4C5DFA9D">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（3）除采购人提供外，所有材料、设备均由成交供应商负责采购、运输和保管并承担相应费用。成交供应商应对其采购的材料和设备负责，要求如下：</w:t>
      </w:r>
    </w:p>
    <w:p w14:paraId="371B9FCF">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1）成交供应商在定购产品及材料前，其品牌和质量应与响应文件相符，经采购人书面确认后方可采购。如采用不合格、劣质、假冒品牌的材料和设备，一经发现，采购人有权制止使用，并</w:t>
      </w:r>
      <w:r>
        <w:rPr>
          <w:rFonts w:hint="eastAsia" w:ascii="宋体" w:hAnsi="宋体" w:eastAsia="宋体" w:cs="宋体"/>
          <w:bCs/>
          <w:color w:val="auto"/>
          <w:sz w:val="22"/>
          <w:szCs w:val="22"/>
          <w:highlight w:val="none"/>
          <w:lang w:val="en-US" w:eastAsia="zh-CN"/>
        </w:rPr>
        <w:t>按合同约定</w:t>
      </w:r>
      <w:r>
        <w:rPr>
          <w:rFonts w:hint="eastAsia" w:ascii="宋体" w:hAnsi="宋体" w:eastAsia="宋体" w:cs="宋体"/>
          <w:bCs/>
          <w:color w:val="auto"/>
          <w:sz w:val="22"/>
          <w:szCs w:val="22"/>
          <w:highlight w:val="none"/>
        </w:rPr>
        <w:t>处以违约金，从履约保证金中扣除，情节严重的可解除合同并追究赔偿。无论采购人是否发现或制止，采用不合格、劣质、假冒品牌的材料和设备造成的一切后果由成交供应商承担。</w:t>
      </w:r>
    </w:p>
    <w:p w14:paraId="4CEFB9E7">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2）成交供应商未按要求确定产品及材料，以次充好或使用假冒伪劣产品的，必须承担工程的返工损失和工期及质量违约责任。</w:t>
      </w:r>
    </w:p>
    <w:p w14:paraId="6A522EDE">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3）主要设备或者材料进场安装前，应由采购人代表或其委托的第三方机构进行初验，确认无误后方可进场施工。</w:t>
      </w:r>
    </w:p>
    <w:p w14:paraId="562AE895">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）如采购人对成交供应商提供的产品及材料质量存在异议，由采购人委托第三方进行检测。如检测结果合格，检测费用由采购人承担；检测结果不合格，费用则由成交供应商负责。</w:t>
      </w:r>
    </w:p>
    <w:p w14:paraId="30197165">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成交供应商应做好原有设施的保护工作。在拆除原有设施时，按顺序记好次序，整齐堆放，并有专员对原有设施进行看护。在恢复安装时，保证原有设施的性能依旧完好并无破损的情况，如发生原有设施损坏、无法照常工作的，须照价赔偿并负责修复，直至其性能达到采购人要求。</w:t>
      </w:r>
    </w:p>
    <w:p w14:paraId="12B5761D">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成交供应商进场后对划定的施工区域内原已建成的各类管线加强保护，并对场地内原有生活垃圾、杂物、建筑垃圾等由成交供应商负责清理外运，费用包含在施工组织措施费及</w:t>
      </w:r>
      <w:r>
        <w:rPr>
          <w:rFonts w:hint="eastAsia" w:ascii="宋体" w:hAnsi="宋体" w:cs="宋体"/>
          <w:bCs/>
          <w:color w:val="auto"/>
          <w:sz w:val="22"/>
          <w:szCs w:val="22"/>
          <w:highlight w:val="none"/>
          <w:lang w:eastAsia="zh-CN"/>
        </w:rPr>
        <w:t>合同价款</w:t>
      </w:r>
      <w:r>
        <w:rPr>
          <w:rFonts w:hint="eastAsia" w:ascii="宋体" w:hAnsi="宋体" w:eastAsia="宋体" w:cs="宋体"/>
          <w:bCs/>
          <w:color w:val="auto"/>
          <w:sz w:val="22"/>
          <w:szCs w:val="22"/>
          <w:highlight w:val="none"/>
        </w:rPr>
        <w:t>中。成交供应商必须负责实施地点的产品保护和清洁工作，直至验收合格、正常运行并交付采购人为止。在项目实施过程中，如建筑结构或其它设备被损坏，成交供应商将负责修理或赔偿损失。</w:t>
      </w:r>
    </w:p>
    <w:p w14:paraId="104D45D5">
      <w:pPr>
        <w:adjustRightInd w:val="0"/>
        <w:snapToGrid w:val="0"/>
        <w:spacing w:line="360" w:lineRule="auto"/>
        <w:ind w:firstLine="440" w:firstLineChars="200"/>
        <w:jc w:val="left"/>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成交供应商必须及时支付民工工资，如因民工工资纠纷对采购人造成负面影响的，采购人有权对成交供应商处以一定的经济处罚。</w:t>
      </w:r>
    </w:p>
    <w:p w14:paraId="12B5A093">
      <w:pPr>
        <w:tabs>
          <w:tab w:val="left" w:pos="4915"/>
        </w:tabs>
        <w:spacing w:line="360" w:lineRule="auto"/>
        <w:ind w:firstLine="442" w:firstLineChars="200"/>
        <w:rPr>
          <w:rFonts w:hint="eastAsia" w:ascii="宋体" w:hAnsi="宋体" w:eastAsia="宋体" w:cs="宋体"/>
          <w:bCs/>
          <w:color w:val="auto"/>
          <w:sz w:val="22"/>
          <w:szCs w:val="22"/>
          <w:highlight w:val="none"/>
        </w:rPr>
      </w:pPr>
      <w:r>
        <w:rPr>
          <w:rFonts w:hint="eastAsia" w:ascii="宋体" w:hAnsi="宋体" w:cs="宋体"/>
          <w:b/>
          <w:color w:val="auto"/>
          <w:sz w:val="22"/>
          <w:szCs w:val="22"/>
          <w:highlight w:val="none"/>
        </w:rPr>
        <w:t>▲</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项目班子配备：</w:t>
      </w:r>
      <w:r>
        <w:rPr>
          <w:rFonts w:hint="eastAsia" w:ascii="宋体" w:hAnsi="宋体" w:eastAsia="宋体" w:cs="宋体"/>
          <w:bCs/>
          <w:color w:val="auto"/>
          <w:sz w:val="22"/>
          <w:szCs w:val="22"/>
          <w:highlight w:val="none"/>
          <w:lang w:val="en-US" w:eastAsia="zh-CN"/>
        </w:rPr>
        <w:t>施工单位须按规定配备足够的项目组成员，其中</w:t>
      </w:r>
      <w:r>
        <w:rPr>
          <w:rFonts w:hint="eastAsia" w:cs="宋体"/>
          <w:color w:val="auto"/>
          <w:sz w:val="22"/>
          <w:szCs w:val="22"/>
          <w:highlight w:val="none"/>
        </w:rPr>
        <w:t>项目负责人：具</w:t>
      </w:r>
      <w:r>
        <w:rPr>
          <w:rFonts w:hint="eastAsia" w:ascii="Times New Roman" w:hAnsi="Times New Roman" w:cs="宋体"/>
          <w:color w:val="auto"/>
          <w:sz w:val="22"/>
          <w:szCs w:val="22"/>
          <w:highlight w:val="none"/>
        </w:rPr>
        <w:t>有</w:t>
      </w:r>
      <w:r>
        <w:rPr>
          <w:rFonts w:hint="eastAsia" w:ascii="Times New Roman" w:hAnsi="Times New Roman" w:cs="宋体"/>
          <w:color w:val="auto"/>
          <w:sz w:val="22"/>
          <w:szCs w:val="22"/>
          <w:highlight w:val="none"/>
          <w:lang w:val="en-US" w:eastAsia="zh-CN"/>
        </w:rPr>
        <w:t>建筑</w:t>
      </w:r>
      <w:r>
        <w:rPr>
          <w:rFonts w:hint="eastAsia" w:ascii="Times New Roman" w:hAnsi="Times New Roman" w:cs="宋体"/>
          <w:color w:val="auto"/>
          <w:sz w:val="22"/>
          <w:szCs w:val="22"/>
          <w:highlight w:val="none"/>
        </w:rPr>
        <w:t>工程专业注册建造师贰级及以上证书，并具有有效的</w:t>
      </w:r>
      <w:r>
        <w:rPr>
          <w:rFonts w:hint="eastAsia" w:cs="宋体"/>
          <w:color w:val="auto"/>
          <w:sz w:val="22"/>
          <w:szCs w:val="22"/>
          <w:highlight w:val="none"/>
        </w:rPr>
        <w:t>《安全生产考核合格证书》</w:t>
      </w:r>
      <w:r>
        <w:rPr>
          <w:rFonts w:hint="eastAsia" w:ascii="Times New Roman" w:hAnsi="Times New Roman" w:cs="宋体"/>
          <w:color w:val="auto"/>
          <w:sz w:val="22"/>
          <w:szCs w:val="22"/>
          <w:highlight w:val="none"/>
        </w:rPr>
        <w:t>（B证）；（</w:t>
      </w:r>
      <w:r>
        <w:rPr>
          <w:rFonts w:hint="eastAsia" w:ascii="Times New Roman" w:hAnsi="Times New Roman" w:cs="宋体"/>
          <w:color w:val="auto"/>
          <w:sz w:val="22"/>
          <w:szCs w:val="22"/>
          <w:highlight w:val="none"/>
          <w:lang w:eastAsia="zh-CN"/>
        </w:rPr>
        <w:t>磋商响应文件</w:t>
      </w:r>
      <w:r>
        <w:rPr>
          <w:rFonts w:hint="eastAsia" w:ascii="Times New Roman" w:hAnsi="Times New Roman" w:cs="宋体"/>
          <w:color w:val="auto"/>
          <w:sz w:val="22"/>
          <w:szCs w:val="22"/>
          <w:highlight w:val="none"/>
        </w:rPr>
        <w:t>中提供相关证书证明材料）</w:t>
      </w:r>
      <w:r>
        <w:rPr>
          <w:rFonts w:hint="eastAsia" w:ascii="Times New Roman" w:hAnsi="Times New Roman" w:cs="宋体"/>
          <w:color w:val="auto"/>
          <w:sz w:val="22"/>
          <w:szCs w:val="22"/>
          <w:highlight w:val="none"/>
          <w:lang w:eastAsia="zh-CN"/>
        </w:rPr>
        <w:t>；</w:t>
      </w:r>
      <w:r>
        <w:rPr>
          <w:rFonts w:hint="eastAsia" w:cs="宋体"/>
          <w:color w:val="auto"/>
          <w:sz w:val="22"/>
          <w:szCs w:val="22"/>
          <w:highlight w:val="none"/>
        </w:rPr>
        <w:t>项目专职安全员</w:t>
      </w:r>
      <w:r>
        <w:rPr>
          <w:rFonts w:hint="eastAsia" w:cs="宋体"/>
          <w:color w:val="auto"/>
          <w:sz w:val="22"/>
          <w:szCs w:val="22"/>
          <w:highlight w:val="none"/>
          <w:lang w:val="en-US" w:eastAsia="zh-CN"/>
        </w:rPr>
        <w:t>1</w:t>
      </w:r>
      <w:r>
        <w:rPr>
          <w:rFonts w:hint="eastAsia" w:cs="宋体"/>
          <w:color w:val="auto"/>
          <w:sz w:val="22"/>
          <w:szCs w:val="22"/>
          <w:highlight w:val="none"/>
        </w:rPr>
        <w:t>名：具备有效的《安全生产考核合格证书》（C证）</w:t>
      </w:r>
      <w:r>
        <w:rPr>
          <w:rFonts w:hint="eastAsia" w:ascii="宋体" w:hAnsi="宋体" w:cs="宋体"/>
          <w:bCs/>
          <w:color w:val="auto"/>
          <w:sz w:val="22"/>
          <w:szCs w:val="22"/>
          <w:highlight w:val="none"/>
        </w:rPr>
        <w:t>。</w:t>
      </w:r>
      <w:r>
        <w:rPr>
          <w:rFonts w:hint="eastAsia" w:ascii="Times New Roman" w:hAnsi="Times New Roman" w:cs="宋体"/>
          <w:color w:val="auto"/>
          <w:sz w:val="22"/>
          <w:szCs w:val="22"/>
          <w:highlight w:val="none"/>
        </w:rPr>
        <w:t>（</w:t>
      </w:r>
      <w:r>
        <w:rPr>
          <w:rFonts w:hint="eastAsia" w:ascii="Times New Roman" w:hAnsi="Times New Roman" w:cs="宋体"/>
          <w:color w:val="auto"/>
          <w:sz w:val="22"/>
          <w:szCs w:val="22"/>
          <w:highlight w:val="none"/>
          <w:lang w:eastAsia="zh-CN"/>
        </w:rPr>
        <w:t>磋商响应文件</w:t>
      </w:r>
      <w:r>
        <w:rPr>
          <w:rFonts w:hint="eastAsia" w:ascii="Times New Roman" w:hAnsi="Times New Roman" w:cs="宋体"/>
          <w:color w:val="auto"/>
          <w:sz w:val="22"/>
          <w:szCs w:val="22"/>
          <w:highlight w:val="none"/>
        </w:rPr>
        <w:t>中提供相关证书证明材料）</w:t>
      </w:r>
      <w:r>
        <w:rPr>
          <w:rFonts w:hint="eastAsia" w:ascii="Times New Roman" w:hAnsi="Times New Roman" w:cs="宋体"/>
          <w:color w:val="auto"/>
          <w:sz w:val="22"/>
          <w:szCs w:val="22"/>
          <w:highlight w:val="none"/>
          <w:lang w:eastAsia="zh-CN"/>
        </w:rPr>
        <w:t>。</w:t>
      </w:r>
      <w:r>
        <w:rPr>
          <w:rFonts w:hint="eastAsia" w:ascii="宋体" w:hAnsi="宋体" w:eastAsia="宋体" w:cs="宋体"/>
          <w:bCs/>
          <w:color w:val="auto"/>
          <w:sz w:val="22"/>
          <w:szCs w:val="22"/>
          <w:highlight w:val="none"/>
          <w:lang w:val="en-US" w:eastAsia="zh-CN"/>
        </w:rPr>
        <w:t>项目组成员</w:t>
      </w:r>
      <w:r>
        <w:rPr>
          <w:rFonts w:hint="eastAsia" w:ascii="宋体" w:hAnsi="宋体" w:eastAsia="宋体" w:cs="宋体"/>
          <w:bCs/>
          <w:color w:val="auto"/>
          <w:sz w:val="22"/>
          <w:szCs w:val="22"/>
          <w:highlight w:val="none"/>
        </w:rPr>
        <w:t>均应有本企业有效的社保证明（</w:t>
      </w:r>
      <w:r>
        <w:rPr>
          <w:rFonts w:hint="eastAsia" w:ascii="宋体" w:hAnsi="宋体" w:cs="宋体"/>
          <w:bCs/>
          <w:color w:val="auto"/>
          <w:sz w:val="22"/>
          <w:szCs w:val="22"/>
          <w:highlight w:val="none"/>
          <w:lang w:val="en-US" w:eastAsia="zh-CN"/>
        </w:rPr>
        <w:t>2025年3、4、5月</w:t>
      </w:r>
      <w:r>
        <w:rPr>
          <w:rFonts w:hint="eastAsia" w:ascii="宋体" w:hAnsi="宋体" w:eastAsia="宋体" w:cs="宋体"/>
          <w:bCs/>
          <w:color w:val="auto"/>
          <w:sz w:val="22"/>
          <w:szCs w:val="22"/>
          <w:highlight w:val="none"/>
        </w:rPr>
        <w:t>内任意一个月）。如因故无法提供社保证明，须提供能证明是本企业在职人员的相关证明材料；</w:t>
      </w:r>
    </w:p>
    <w:p w14:paraId="18FC0C11">
      <w:pPr>
        <w:spacing w:line="336"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材料（设备）约定品牌范围一览表：</w:t>
      </w:r>
    </w:p>
    <w:p w14:paraId="753B32B8">
      <w:pPr>
        <w:spacing w:line="360" w:lineRule="auto"/>
        <w:ind w:firstLine="440" w:firstLineChars="200"/>
        <w:contextualSpacing/>
        <w:jc w:val="left"/>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备注：材料推荐品牌是</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人认为最适合本招标项目的产品，</w:t>
      </w:r>
      <w:r>
        <w:rPr>
          <w:rFonts w:hint="eastAsia" w:ascii="宋体" w:hAnsi="宋体" w:eastAsia="宋体" w:cs="宋体"/>
          <w:b w:val="0"/>
          <w:bCs w:val="0"/>
          <w:color w:val="auto"/>
          <w:sz w:val="22"/>
          <w:szCs w:val="22"/>
          <w:highlight w:val="none"/>
          <w:lang w:val="en-US" w:eastAsia="zh-CN"/>
        </w:rPr>
        <w:t>供应商</w:t>
      </w:r>
      <w:r>
        <w:rPr>
          <w:rFonts w:hint="eastAsia" w:ascii="宋体" w:hAnsi="宋体" w:eastAsia="宋体" w:cs="宋体"/>
          <w:b w:val="0"/>
          <w:bCs w:val="0"/>
          <w:color w:val="auto"/>
          <w:sz w:val="22"/>
          <w:szCs w:val="22"/>
          <w:highlight w:val="none"/>
        </w:rPr>
        <w:t>应积极响应；</w:t>
      </w:r>
      <w:r>
        <w:rPr>
          <w:rFonts w:hint="eastAsia" w:ascii="宋体" w:hAnsi="宋体" w:eastAsia="宋体" w:cs="宋体"/>
          <w:b/>
          <w:bCs/>
          <w:color w:val="auto"/>
          <w:sz w:val="22"/>
          <w:szCs w:val="22"/>
          <w:highlight w:val="none"/>
          <w:u w:val="thick"/>
          <w:lang w:val="en-US" w:eastAsia="zh-CN"/>
        </w:rPr>
        <w:t>供应商</w:t>
      </w:r>
      <w:r>
        <w:rPr>
          <w:rFonts w:hint="eastAsia" w:ascii="宋体" w:hAnsi="宋体" w:eastAsia="宋体" w:cs="宋体"/>
          <w:b/>
          <w:bCs/>
          <w:color w:val="auto"/>
          <w:sz w:val="22"/>
          <w:szCs w:val="22"/>
          <w:highlight w:val="none"/>
          <w:u w:val="thick"/>
        </w:rPr>
        <w:t>也可以选择品牌与产品性能不低于</w:t>
      </w:r>
      <w:r>
        <w:rPr>
          <w:rFonts w:hint="eastAsia" w:ascii="宋体" w:hAnsi="宋体" w:eastAsia="宋体" w:cs="宋体"/>
          <w:b/>
          <w:bCs/>
          <w:color w:val="auto"/>
          <w:sz w:val="22"/>
          <w:szCs w:val="22"/>
          <w:highlight w:val="none"/>
          <w:u w:val="thick"/>
          <w:lang w:val="en-US" w:eastAsia="zh-CN"/>
        </w:rPr>
        <w:t>采购</w:t>
      </w:r>
      <w:r>
        <w:rPr>
          <w:rFonts w:hint="eastAsia" w:ascii="宋体" w:hAnsi="宋体" w:eastAsia="宋体" w:cs="宋体"/>
          <w:b/>
          <w:bCs/>
          <w:color w:val="auto"/>
          <w:sz w:val="22"/>
          <w:szCs w:val="22"/>
          <w:highlight w:val="none"/>
          <w:u w:val="thick"/>
        </w:rPr>
        <w:t>人选用要求的其他品牌，</w:t>
      </w:r>
      <w:r>
        <w:rPr>
          <w:rFonts w:hint="eastAsia" w:ascii="宋体" w:hAnsi="宋体" w:eastAsia="宋体" w:cs="宋体"/>
          <w:b w:val="0"/>
          <w:bCs w:val="0"/>
          <w:color w:val="auto"/>
          <w:sz w:val="22"/>
          <w:szCs w:val="22"/>
          <w:highlight w:val="none"/>
        </w:rPr>
        <w:t>进场时需要经过</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人及监理的确认。</w:t>
      </w:r>
    </w:p>
    <w:tbl>
      <w:tblPr>
        <w:tblStyle w:val="25"/>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0"/>
        <w:gridCol w:w="3211"/>
        <w:gridCol w:w="5029"/>
      </w:tblGrid>
      <w:tr w14:paraId="407A1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bottom w:val="single" w:color="000000" w:sz="4" w:space="0"/>
              <w:right w:val="single" w:color="000000" w:sz="4" w:space="0"/>
            </w:tcBorders>
            <w:shd w:val="clear" w:color="auto" w:fill="auto"/>
            <w:tcMar>
              <w:top w:w="10" w:type="dxa"/>
              <w:left w:w="10" w:type="dxa"/>
              <w:right w:w="10" w:type="dxa"/>
            </w:tcMar>
            <w:vAlign w:val="center"/>
          </w:tcPr>
          <w:p w14:paraId="5F18FD38">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Style w:val="70"/>
                <w:rFonts w:hint="eastAsia" w:ascii="宋体" w:hAnsi="宋体" w:eastAsia="宋体" w:cs="宋体"/>
                <w:color w:val="auto"/>
                <w:sz w:val="22"/>
                <w:szCs w:val="22"/>
                <w:highlight w:val="none"/>
                <w:lang w:val="en-US" w:eastAsia="zh-CN" w:bidi="ar"/>
              </w:rPr>
              <w:t>序号</w:t>
            </w:r>
          </w:p>
        </w:tc>
        <w:tc>
          <w:tcPr>
            <w:tcW w:w="3211"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08B4B">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Style w:val="70"/>
                <w:rFonts w:hint="eastAsia" w:ascii="宋体" w:hAnsi="宋体" w:eastAsia="宋体" w:cs="宋体"/>
                <w:color w:val="auto"/>
                <w:sz w:val="22"/>
                <w:szCs w:val="22"/>
                <w:highlight w:val="none"/>
                <w:lang w:val="en-US" w:eastAsia="zh-CN" w:bidi="ar"/>
              </w:rPr>
              <w:t>项目/材料名称</w:t>
            </w:r>
          </w:p>
        </w:tc>
        <w:tc>
          <w:tcPr>
            <w:tcW w:w="5029" w:type="dxa"/>
            <w:tcBorders>
              <w:left w:val="single" w:color="000000" w:sz="4" w:space="0"/>
              <w:bottom w:val="single" w:color="000000" w:sz="4" w:space="0"/>
            </w:tcBorders>
            <w:shd w:val="clear" w:color="auto" w:fill="auto"/>
            <w:tcMar>
              <w:top w:w="10" w:type="dxa"/>
              <w:left w:w="10" w:type="dxa"/>
              <w:right w:w="10" w:type="dxa"/>
            </w:tcMar>
            <w:vAlign w:val="center"/>
          </w:tcPr>
          <w:p w14:paraId="306E7233">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Style w:val="70"/>
                <w:rFonts w:hint="eastAsia" w:ascii="宋体" w:hAnsi="宋体" w:eastAsia="宋体" w:cs="宋体"/>
                <w:color w:val="auto"/>
                <w:sz w:val="22"/>
                <w:szCs w:val="22"/>
                <w:highlight w:val="none"/>
                <w:lang w:val="en-US" w:eastAsia="zh-CN" w:bidi="ar"/>
              </w:rPr>
              <w:t>参考品牌</w:t>
            </w:r>
          </w:p>
        </w:tc>
      </w:tr>
      <w:tr w14:paraId="00182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DEFEC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87AA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抛光砖</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02416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蒙娜丽莎、冠军、马可波罗</w:t>
            </w:r>
          </w:p>
        </w:tc>
      </w:tr>
      <w:tr w14:paraId="1643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82168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23F6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防滑地砖</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C2520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蒙娜丽莎、冠军、马可波罗</w:t>
            </w:r>
          </w:p>
        </w:tc>
      </w:tr>
      <w:tr w14:paraId="3930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B3913B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336C0">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防滑抛光砖</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3F612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蒙娜丽莎、冠军、马可波罗</w:t>
            </w:r>
          </w:p>
        </w:tc>
      </w:tr>
      <w:tr w14:paraId="32AA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530E73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6D379">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双组份聚氨酯防水涂料</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648B1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东方雨虹、科顺、华美</w:t>
            </w:r>
          </w:p>
        </w:tc>
      </w:tr>
      <w:tr w14:paraId="40EE9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08E98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74B3F">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聚合物水泥基复合防水涂料</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CA526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东方雨虹、科顺、华美</w:t>
            </w:r>
          </w:p>
        </w:tc>
      </w:tr>
      <w:tr w14:paraId="2C9E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3E456B">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16108">
            <w:pPr>
              <w:keepNext w:val="0"/>
              <w:keepLines w:val="0"/>
              <w:widowControl/>
              <w:suppressLineNumbers w:val="0"/>
              <w:jc w:val="left"/>
              <w:textAlignment w:val="center"/>
              <w:rPr>
                <w:rStyle w:val="72"/>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单组份聚氨酯防水涂料</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C2143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sz w:val="22"/>
                <w:szCs w:val="22"/>
                <w:highlight w:val="none"/>
              </w:rPr>
              <w:t>东方雨虹、科顺、华美</w:t>
            </w:r>
          </w:p>
        </w:tc>
      </w:tr>
      <w:tr w14:paraId="22E14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3D4FBD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02BE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无机涂料</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71A797">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华润、立邦、三棵树</w:t>
            </w:r>
          </w:p>
        </w:tc>
      </w:tr>
      <w:tr w14:paraId="6F0E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669BF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EA8B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防霉无机涂料</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3ED30A">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华润、立邦、三棵树</w:t>
            </w:r>
          </w:p>
        </w:tc>
      </w:tr>
      <w:tr w14:paraId="00472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09DEFD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8CBBC">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90系列断桥隔热铝合金推拉窗 </w:t>
            </w:r>
          </w:p>
          <w:p w14:paraId="6C5E1D9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型材壁厚1.8mm </w:t>
            </w:r>
          </w:p>
          <w:p w14:paraId="12FEF4F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配6中透光LOW-E+12A+6中空玻璃</w:t>
            </w:r>
          </w:p>
        </w:tc>
        <w:tc>
          <w:tcPr>
            <w:tcW w:w="5029" w:type="dxa"/>
            <w:vMerge w:val="restart"/>
            <w:tcBorders>
              <w:top w:val="single" w:color="000000" w:sz="4" w:space="0"/>
              <w:left w:val="single" w:color="000000" w:sz="4" w:space="0"/>
            </w:tcBorders>
            <w:shd w:val="clear" w:color="auto" w:fill="auto"/>
            <w:tcMar>
              <w:top w:w="10" w:type="dxa"/>
              <w:left w:w="10" w:type="dxa"/>
              <w:right w:w="10" w:type="dxa"/>
            </w:tcMar>
            <w:vAlign w:val="center"/>
          </w:tcPr>
          <w:p w14:paraId="577BCF97">
            <w:pPr>
              <w:keepNext w:val="0"/>
              <w:keepLines w:val="0"/>
              <w:widowControl/>
              <w:suppressLineNumbers w:val="0"/>
              <w:jc w:val="both"/>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1、型材采用栋梁铝业、博奥铝业、浙东铝业；</w:t>
            </w:r>
          </w:p>
          <w:p w14:paraId="71287BCC">
            <w:pPr>
              <w:keepNext w:val="0"/>
              <w:keepLines w:val="0"/>
              <w:widowControl/>
              <w:suppressLineNumbers w:val="0"/>
              <w:jc w:val="both"/>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2、中空玻璃采用江花、利江、蓝星；                         </w:t>
            </w:r>
          </w:p>
          <w:p w14:paraId="5F94CD71">
            <w:pPr>
              <w:keepNext w:val="0"/>
              <w:keepLines w:val="0"/>
              <w:widowControl/>
              <w:suppressLineNumbers w:val="0"/>
              <w:jc w:val="both"/>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3、五金配件采用青岛立兴、国强、联鑫；</w:t>
            </w:r>
          </w:p>
        </w:tc>
      </w:tr>
      <w:tr w14:paraId="0072C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9B4FC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B1FF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90系列铝合金平开门 </w:t>
            </w:r>
          </w:p>
          <w:p w14:paraId="0C116F8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型材壁厚2.2mm </w:t>
            </w:r>
          </w:p>
          <w:p w14:paraId="11CDFB5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配12mm厚钢化玻璃</w:t>
            </w:r>
          </w:p>
        </w:tc>
        <w:tc>
          <w:tcPr>
            <w:tcW w:w="5029" w:type="dxa"/>
            <w:vMerge w:val="continue"/>
            <w:tcBorders>
              <w:left w:val="single" w:color="000000" w:sz="4" w:space="0"/>
            </w:tcBorders>
            <w:shd w:val="clear" w:color="auto" w:fill="auto"/>
            <w:tcMar>
              <w:top w:w="10" w:type="dxa"/>
              <w:left w:w="10" w:type="dxa"/>
              <w:right w:w="10" w:type="dxa"/>
            </w:tcMar>
            <w:vAlign w:val="center"/>
          </w:tcPr>
          <w:p w14:paraId="0CD0E34B">
            <w:pPr>
              <w:keepNext w:val="0"/>
              <w:keepLines w:val="0"/>
              <w:widowControl/>
              <w:suppressLineNumbers w:val="0"/>
              <w:jc w:val="center"/>
              <w:textAlignment w:val="center"/>
              <w:rPr>
                <w:rFonts w:hint="eastAsia" w:ascii="宋体" w:hAnsi="宋体" w:eastAsia="宋体" w:cs="宋体"/>
                <w:sz w:val="22"/>
                <w:szCs w:val="22"/>
                <w:highlight w:val="none"/>
              </w:rPr>
            </w:pPr>
          </w:p>
        </w:tc>
      </w:tr>
      <w:tr w14:paraId="5452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D680F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8843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90系列铝合金隔断 </w:t>
            </w:r>
          </w:p>
          <w:p w14:paraId="005CA4EF">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型材壁厚2.2mm </w:t>
            </w:r>
          </w:p>
          <w:p w14:paraId="099EC1F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配12mm厚钢化玻璃(地坪以上至1000mm处为双面1.8厚配套铝板饰面)</w:t>
            </w:r>
          </w:p>
        </w:tc>
        <w:tc>
          <w:tcPr>
            <w:tcW w:w="5029" w:type="dxa"/>
            <w:vMerge w:val="continue"/>
            <w:tcBorders>
              <w:left w:val="single" w:color="000000" w:sz="4" w:space="0"/>
              <w:bottom w:val="single" w:color="000000" w:sz="4" w:space="0"/>
            </w:tcBorders>
            <w:shd w:val="clear" w:color="auto" w:fill="auto"/>
            <w:tcMar>
              <w:top w:w="10" w:type="dxa"/>
              <w:left w:w="10" w:type="dxa"/>
              <w:right w:w="10" w:type="dxa"/>
            </w:tcMar>
            <w:vAlign w:val="center"/>
          </w:tcPr>
          <w:p w14:paraId="628FAB54">
            <w:pPr>
              <w:keepNext w:val="0"/>
              <w:keepLines w:val="0"/>
              <w:widowControl/>
              <w:suppressLineNumbers w:val="0"/>
              <w:jc w:val="center"/>
              <w:textAlignment w:val="center"/>
              <w:rPr>
                <w:rFonts w:hint="eastAsia" w:ascii="宋体" w:hAnsi="宋体" w:eastAsia="宋体" w:cs="宋体"/>
                <w:sz w:val="22"/>
                <w:szCs w:val="22"/>
                <w:highlight w:val="none"/>
              </w:rPr>
            </w:pPr>
          </w:p>
        </w:tc>
      </w:tr>
      <w:tr w14:paraId="1BDE8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C544A4C">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2</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21914">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成套洗脸盆</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D53FF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r>
      <w:tr w14:paraId="06DB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01B1D5">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13</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157D2D">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成套洗涤盆</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15286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r>
      <w:tr w14:paraId="77B2A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245ED2">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AEF0D">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成套瓷蹲式大便器</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1A9FE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r>
      <w:tr w14:paraId="03DFE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8A01077">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15</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FD02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成套连体坐便器</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C8511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r>
      <w:tr w14:paraId="0BD0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87A0057">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16</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25C00">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成套挂式小便器</w:t>
            </w:r>
          </w:p>
        </w:tc>
        <w:tc>
          <w:tcPr>
            <w:tcW w:w="502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32BFC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r>
    </w:tbl>
    <w:p w14:paraId="1607EB04">
      <w:pPr>
        <w:spacing w:line="360" w:lineRule="auto"/>
        <w:ind w:firstLine="420"/>
        <w:jc w:val="left"/>
        <w:rPr>
          <w:rFonts w:hint="eastAsia" w:ascii="宋体" w:hAnsi="宋体" w:cs="宋体"/>
          <w:b/>
          <w:bCs w:val="0"/>
          <w:color w:val="auto"/>
          <w:sz w:val="22"/>
          <w:szCs w:val="22"/>
          <w:highlight w:val="none"/>
          <w:lang w:val="en-US" w:eastAsia="zh-CN"/>
        </w:rPr>
      </w:pPr>
    </w:p>
    <w:p w14:paraId="74B61466">
      <w:pPr>
        <w:spacing w:line="360" w:lineRule="auto"/>
        <w:ind w:firstLine="420"/>
        <w:jc w:val="left"/>
        <w:rPr>
          <w:rFonts w:hint="eastAsia" w:ascii="宋体" w:hAnsi="宋体" w:cs="宋体"/>
          <w:b/>
          <w:bCs w:val="0"/>
          <w:color w:val="auto"/>
          <w:sz w:val="22"/>
          <w:szCs w:val="22"/>
          <w:highlight w:val="none"/>
          <w:lang w:val="en-US" w:eastAsia="zh-CN"/>
        </w:rPr>
      </w:pPr>
    </w:p>
    <w:p w14:paraId="752AA116">
      <w:pPr>
        <w:spacing w:line="360" w:lineRule="auto"/>
        <w:ind w:firstLine="420"/>
        <w:jc w:val="left"/>
        <w:rPr>
          <w:rFonts w:hint="eastAsia" w:ascii="宋体" w:hAnsi="宋体" w:cs="宋体"/>
          <w:b/>
          <w:bCs w:val="0"/>
          <w:color w:val="auto"/>
          <w:sz w:val="22"/>
          <w:szCs w:val="22"/>
          <w:highlight w:val="none"/>
          <w:lang w:val="en-US" w:eastAsia="zh-CN"/>
        </w:rPr>
      </w:pPr>
    </w:p>
    <w:p w14:paraId="3C8F604D">
      <w:pPr>
        <w:spacing w:line="360" w:lineRule="auto"/>
        <w:ind w:firstLine="420"/>
        <w:jc w:val="left"/>
        <w:rPr>
          <w:rFonts w:hint="eastAsia" w:ascii="宋体" w:hAnsi="宋体" w:cs="宋体"/>
          <w:b/>
          <w:bCs w:val="0"/>
          <w:color w:val="auto"/>
          <w:sz w:val="22"/>
          <w:szCs w:val="22"/>
          <w:highlight w:val="none"/>
          <w:lang w:val="en-US" w:eastAsia="zh-CN"/>
        </w:rPr>
      </w:pPr>
    </w:p>
    <w:p w14:paraId="65074F9E">
      <w:pPr>
        <w:spacing w:line="360" w:lineRule="auto"/>
        <w:ind w:firstLine="420"/>
        <w:jc w:val="left"/>
        <w:rPr>
          <w:rFonts w:hint="eastAsia" w:ascii="宋体" w:hAnsi="宋体" w:cs="宋体"/>
          <w:b/>
          <w:bCs w:val="0"/>
          <w:color w:val="auto"/>
          <w:sz w:val="22"/>
          <w:szCs w:val="22"/>
          <w:highlight w:val="none"/>
          <w:lang w:val="en-US" w:eastAsia="zh-CN"/>
        </w:rPr>
      </w:pPr>
    </w:p>
    <w:p w14:paraId="07261BCD">
      <w:pPr>
        <w:spacing w:line="360" w:lineRule="auto"/>
        <w:ind w:firstLine="420"/>
        <w:jc w:val="left"/>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三、商务要求</w:t>
      </w:r>
    </w:p>
    <w:bookmarkEnd w:id="27"/>
    <w:tbl>
      <w:tblPr>
        <w:tblStyle w:val="25"/>
        <w:tblW w:w="8563"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075"/>
      </w:tblGrid>
      <w:tr w14:paraId="79FC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8" w:type="dxa"/>
            <w:noWrap w:val="0"/>
            <w:vAlign w:val="center"/>
          </w:tcPr>
          <w:p w14:paraId="2B6779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项目</w:t>
            </w:r>
          </w:p>
        </w:tc>
        <w:tc>
          <w:tcPr>
            <w:tcW w:w="7075" w:type="dxa"/>
            <w:noWrap w:val="0"/>
            <w:vAlign w:val="center"/>
          </w:tcPr>
          <w:p w14:paraId="42624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商务条款要求</w:t>
            </w:r>
          </w:p>
        </w:tc>
      </w:tr>
      <w:tr w14:paraId="6A7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488" w:type="dxa"/>
            <w:noWrap w:val="0"/>
            <w:vAlign w:val="center"/>
          </w:tcPr>
          <w:p w14:paraId="056762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履约保证金</w:t>
            </w:r>
          </w:p>
        </w:tc>
        <w:tc>
          <w:tcPr>
            <w:tcW w:w="7075" w:type="dxa"/>
            <w:noWrap w:val="0"/>
            <w:vAlign w:val="center"/>
          </w:tcPr>
          <w:p w14:paraId="0BD820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履约保证金金额：签约合同金额的1%</w:t>
            </w:r>
          </w:p>
          <w:p w14:paraId="04389C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履约保证金形式：电汇、银行支票、银行保函、保险公司担保等形式。于签订合同的同时缴纳给采购人，项目竣工验收后退回。</w:t>
            </w:r>
          </w:p>
        </w:tc>
      </w:tr>
      <w:tr w14:paraId="78C4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8" w:type="dxa"/>
            <w:noWrap w:val="0"/>
            <w:vAlign w:val="center"/>
          </w:tcPr>
          <w:p w14:paraId="70CFA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质量要求</w:t>
            </w:r>
          </w:p>
        </w:tc>
        <w:tc>
          <w:tcPr>
            <w:tcW w:w="7075" w:type="dxa"/>
            <w:noWrap w:val="0"/>
            <w:vAlign w:val="center"/>
          </w:tcPr>
          <w:p w14:paraId="6BE168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达到国家和行业施工验收规范一次性验收合格</w:t>
            </w:r>
          </w:p>
        </w:tc>
      </w:tr>
      <w:tr w14:paraId="0618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8" w:type="dxa"/>
            <w:noWrap w:val="0"/>
            <w:vAlign w:val="center"/>
          </w:tcPr>
          <w:p w14:paraId="75071D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安全要求</w:t>
            </w:r>
          </w:p>
        </w:tc>
        <w:tc>
          <w:tcPr>
            <w:tcW w:w="7075" w:type="dxa"/>
            <w:noWrap w:val="0"/>
            <w:vAlign w:val="center"/>
          </w:tcPr>
          <w:p w14:paraId="4416A1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合格</w:t>
            </w:r>
          </w:p>
        </w:tc>
      </w:tr>
      <w:tr w14:paraId="35CE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8" w:type="dxa"/>
            <w:noWrap w:val="0"/>
            <w:vAlign w:val="center"/>
          </w:tcPr>
          <w:p w14:paraId="5716C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缺陷责任期（工程质量保修期）</w:t>
            </w:r>
          </w:p>
        </w:tc>
        <w:tc>
          <w:tcPr>
            <w:tcW w:w="7075" w:type="dxa"/>
            <w:noWrap w:val="0"/>
            <w:vAlign w:val="center"/>
          </w:tcPr>
          <w:p w14:paraId="73A8F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自工程接受证书中写明的全部工程完工日开始算起（发包人提前验收并签发接受证书的单位工程和部分工程，若未投入正常使用，其缺陷责任期亦按全部工程的完工日开始起算），本工程质量缺陷责任期为2年。</w:t>
            </w:r>
          </w:p>
        </w:tc>
      </w:tr>
      <w:tr w14:paraId="06F1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88" w:type="dxa"/>
            <w:noWrap w:val="0"/>
            <w:vAlign w:val="center"/>
          </w:tcPr>
          <w:p w14:paraId="46E43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付款条件</w:t>
            </w:r>
          </w:p>
        </w:tc>
        <w:tc>
          <w:tcPr>
            <w:tcW w:w="7075" w:type="dxa"/>
            <w:noWrap w:val="0"/>
            <w:vAlign w:val="center"/>
          </w:tcPr>
          <w:p w14:paraId="494B27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在合同签订生效后一周内，支付合同价款的10%（预付款不扣回，后期转为进度款)；待工程竣工验收合格且收到发票后15个工作日内支付至合同价款的85%；待竣工结算经采购人委托的造价咨询机构审核通过后且收到发票后15个工作日内支付至结算审核价款的98.5%，余款在工程缺陷责任期满后15个工作日内付清。</w:t>
            </w:r>
          </w:p>
          <w:p w14:paraId="0F5DB2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注：采购人支付项目费用前，供应商应当提供等额、有效增值税专用发票，否则采购人有权延期付款且不承担违约责任。</w:t>
            </w:r>
          </w:p>
        </w:tc>
      </w:tr>
      <w:tr w14:paraId="3FAD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88" w:type="dxa"/>
            <w:noWrap w:val="0"/>
            <w:vAlign w:val="center"/>
          </w:tcPr>
          <w:p w14:paraId="74A59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施工工期及地点</w:t>
            </w:r>
          </w:p>
        </w:tc>
        <w:tc>
          <w:tcPr>
            <w:tcW w:w="7075" w:type="dxa"/>
            <w:noWrap w:val="0"/>
            <w:vAlign w:val="center"/>
          </w:tcPr>
          <w:p w14:paraId="0D3080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施工工期：合同签订后50日历天内完工</w:t>
            </w:r>
          </w:p>
          <w:p w14:paraId="198EAD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rPr>
              <w:t>施工地点：业主指定地点。</w:t>
            </w:r>
          </w:p>
        </w:tc>
      </w:tr>
      <w:tr w14:paraId="5F5C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488" w:type="dxa"/>
            <w:noWrap w:val="0"/>
            <w:vAlign w:val="center"/>
          </w:tcPr>
          <w:p w14:paraId="71026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验收</w:t>
            </w:r>
          </w:p>
        </w:tc>
        <w:tc>
          <w:tcPr>
            <w:tcW w:w="7075" w:type="dxa"/>
            <w:noWrap w:val="0"/>
            <w:vAlign w:val="center"/>
          </w:tcPr>
          <w:p w14:paraId="1179D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工程验收：成交供应商在完成合同约定的工作内容，并自检合格，经采购人复查同意，达到设计和规范要求，可申请工程验收。采购人按国家、行业规范标准、地方规定、工程验收程序组织验收。成交供应商对所施工的工程要保证及时通过国家认可的机构组织的质量验收，保证根据采购人的要求及时交验，否则承担由此给采购人造成的损失。</w:t>
            </w:r>
          </w:p>
        </w:tc>
      </w:tr>
      <w:tr w14:paraId="7110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88" w:type="dxa"/>
            <w:shd w:val="clear" w:color="auto" w:fill="auto"/>
            <w:noWrap w:val="0"/>
            <w:vAlign w:val="center"/>
          </w:tcPr>
          <w:p w14:paraId="317F5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报价方式</w:t>
            </w:r>
          </w:p>
        </w:tc>
        <w:tc>
          <w:tcPr>
            <w:tcW w:w="7075" w:type="dxa"/>
            <w:shd w:val="clear" w:color="auto" w:fill="auto"/>
            <w:noWrap w:val="0"/>
            <w:vAlign w:val="center"/>
          </w:tcPr>
          <w:p w14:paraId="4EAB8AA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0"/>
              <w:jc w:val="both"/>
              <w:textAlignment w:val="auto"/>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按竞争性磋商文件第六部分“工程量清单”的价格报统一综合折扣率（</w:t>
            </w:r>
            <w:r>
              <w:rPr>
                <w:rFonts w:hint="eastAsia" w:asciiTheme="minorEastAsia" w:hAnsiTheme="minorEastAsia" w:eastAsiaTheme="minorEastAsia" w:cstheme="minorEastAsia"/>
                <w:b/>
                <w:bCs/>
                <w:color w:val="auto"/>
                <w:kern w:val="0"/>
                <w:sz w:val="22"/>
                <w:szCs w:val="22"/>
                <w:highlight w:val="none"/>
                <w:lang w:val="en-US" w:eastAsia="zh-CN"/>
              </w:rPr>
              <w:t>如有小数的，保留至一位小数</w:t>
            </w:r>
            <w:r>
              <w:rPr>
                <w:rFonts w:hint="eastAsia" w:asciiTheme="minorEastAsia" w:hAnsiTheme="minorEastAsia" w:eastAsiaTheme="minorEastAsia" w:cstheme="minorEastAsia"/>
                <w:b w:val="0"/>
                <w:bCs w:val="0"/>
                <w:color w:val="auto"/>
                <w:kern w:val="0"/>
                <w:sz w:val="22"/>
                <w:szCs w:val="22"/>
                <w:highlight w:val="none"/>
                <w:lang w:val="en-US" w:eastAsia="zh-CN"/>
              </w:rPr>
              <w:t>）</w:t>
            </w:r>
            <w:r>
              <w:rPr>
                <w:rFonts w:hint="eastAsia" w:asciiTheme="minorEastAsia" w:hAnsiTheme="minorEastAsia" w:eastAsiaTheme="minorEastAsia" w:cstheme="minorEastAsia"/>
                <w:color w:val="auto"/>
                <w:kern w:val="0"/>
                <w:sz w:val="22"/>
                <w:szCs w:val="22"/>
                <w:highlight w:val="none"/>
                <w:lang w:val="en-US" w:eastAsia="zh-CN"/>
              </w:rPr>
              <w:t>。综合折扣率不得高于95%。</w:t>
            </w:r>
            <w:r>
              <w:rPr>
                <w:rFonts w:hint="eastAsia" w:asciiTheme="minorEastAsia" w:hAnsiTheme="minorEastAsia" w:eastAsiaTheme="minorEastAsia" w:cstheme="minorEastAsia"/>
                <w:b/>
                <w:bCs/>
                <w:color w:val="auto"/>
                <w:sz w:val="22"/>
                <w:szCs w:val="22"/>
                <w:highlight w:val="none"/>
                <w:lang w:val="en-US" w:eastAsia="zh-CN"/>
              </w:rPr>
              <w:t>本项目实际工程预算价为3563830元，综合折扣率依据工程预算价格报价。</w:t>
            </w:r>
          </w:p>
          <w:p w14:paraId="60D612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rPr>
              <w:t>本工程实行工程量清单固定综合单价，工程量按实际结算。</w:t>
            </w:r>
          </w:p>
        </w:tc>
      </w:tr>
      <w:tr w14:paraId="5E8E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88" w:type="dxa"/>
            <w:shd w:val="clear" w:color="auto" w:fill="auto"/>
            <w:noWrap w:val="0"/>
            <w:vAlign w:val="center"/>
          </w:tcPr>
          <w:p w14:paraId="54A75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zh-CN" w:eastAsia="zh-CN"/>
              </w:rPr>
              <w:t>签约合同价</w:t>
            </w:r>
          </w:p>
        </w:tc>
        <w:tc>
          <w:tcPr>
            <w:tcW w:w="7075" w:type="dxa"/>
            <w:shd w:val="clear" w:color="auto" w:fill="auto"/>
            <w:noWrap w:val="0"/>
            <w:vAlign w:val="center"/>
          </w:tcPr>
          <w:p w14:paraId="3EA6A5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bCs w:val="0"/>
                <w:color w:val="auto"/>
                <w:sz w:val="22"/>
                <w:szCs w:val="22"/>
                <w:highlight w:val="none"/>
                <w:lang w:val="zh-CN" w:eastAsia="zh-CN"/>
              </w:rPr>
              <w:t>签约合同价</w:t>
            </w:r>
            <w:r>
              <w:rPr>
                <w:rFonts w:hint="eastAsia" w:asciiTheme="minorEastAsia" w:hAnsiTheme="minorEastAsia" w:eastAsiaTheme="minorEastAsia" w:cstheme="minorEastAsia"/>
                <w:b/>
                <w:bCs w:val="0"/>
                <w:color w:val="auto"/>
                <w:sz w:val="22"/>
                <w:szCs w:val="22"/>
                <w:highlight w:val="none"/>
                <w:lang w:val="en-US" w:eastAsia="zh-CN"/>
              </w:rPr>
              <w:t>=3563830×综合折扣率，本项目的预算金额为3500000元，实际工程预算价为3563830元。</w:t>
            </w:r>
          </w:p>
        </w:tc>
      </w:tr>
    </w:tbl>
    <w:p w14:paraId="3326471C">
      <w:pPr>
        <w:jc w:val="center"/>
        <w:rPr>
          <w:rFonts w:hint="eastAsia" w:asciiTheme="minorEastAsia" w:hAnsiTheme="minorEastAsia" w:eastAsiaTheme="minorEastAsia" w:cstheme="minorEastAsia"/>
          <w:b/>
          <w:color w:val="auto"/>
          <w:sz w:val="40"/>
          <w:szCs w:val="40"/>
          <w:highlight w:val="none"/>
        </w:rPr>
      </w:pPr>
    </w:p>
    <w:p w14:paraId="0D06BAFA">
      <w:pPr>
        <w:jc w:val="center"/>
        <w:rPr>
          <w:rFonts w:hint="eastAsia" w:asciiTheme="minorEastAsia" w:hAnsiTheme="minorEastAsia" w:eastAsiaTheme="minorEastAsia" w:cstheme="minorEastAsia"/>
          <w:b/>
          <w:color w:val="auto"/>
          <w:sz w:val="40"/>
          <w:szCs w:val="40"/>
          <w:highlight w:val="none"/>
        </w:rPr>
      </w:pPr>
    </w:p>
    <w:p w14:paraId="0A5177CF">
      <w:pPr>
        <w:jc w:val="center"/>
        <w:rPr>
          <w:rFonts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 xml:space="preserve">第四部分   </w:t>
      </w:r>
      <w:bookmarkStart w:id="28" w:name="_Toc184308103"/>
      <w:bookmarkEnd w:id="28"/>
      <w:bookmarkStart w:id="29" w:name="_Toc184313272"/>
      <w:bookmarkEnd w:id="29"/>
      <w:bookmarkStart w:id="30" w:name="_Toc184313280"/>
      <w:bookmarkEnd w:id="30"/>
      <w:bookmarkStart w:id="31" w:name="_Toc184313299"/>
      <w:bookmarkEnd w:id="31"/>
      <w:bookmarkStart w:id="32" w:name="_Toc184313291"/>
      <w:bookmarkEnd w:id="32"/>
      <w:bookmarkStart w:id="33" w:name="_Toc184310280"/>
      <w:bookmarkEnd w:id="33"/>
      <w:bookmarkStart w:id="34" w:name="_Toc184310343"/>
      <w:bookmarkEnd w:id="34"/>
      <w:bookmarkStart w:id="35" w:name="_Toc184314458"/>
      <w:bookmarkEnd w:id="35"/>
      <w:bookmarkStart w:id="36" w:name="_Toc184313268"/>
      <w:bookmarkEnd w:id="36"/>
      <w:bookmarkStart w:id="37" w:name="_Toc184313267"/>
      <w:bookmarkEnd w:id="37"/>
      <w:bookmarkStart w:id="38" w:name="_Toc184314465"/>
      <w:bookmarkEnd w:id="38"/>
      <w:bookmarkStart w:id="39" w:name="_Toc184310300"/>
      <w:bookmarkEnd w:id="39"/>
      <w:bookmarkStart w:id="40" w:name="_Toc184313258"/>
      <w:bookmarkEnd w:id="40"/>
      <w:bookmarkStart w:id="41" w:name="_Toc184308086"/>
      <w:bookmarkEnd w:id="41"/>
      <w:bookmarkStart w:id="42" w:name="_Toc184314469"/>
      <w:bookmarkEnd w:id="42"/>
      <w:bookmarkStart w:id="43" w:name="_Toc184312105"/>
      <w:bookmarkEnd w:id="43"/>
      <w:bookmarkStart w:id="44" w:name="_Toc184313300"/>
      <w:bookmarkEnd w:id="44"/>
      <w:bookmarkStart w:id="45" w:name="_Toc184313257"/>
      <w:bookmarkEnd w:id="45"/>
      <w:bookmarkStart w:id="46" w:name="_Toc184308108"/>
      <w:bookmarkEnd w:id="46"/>
      <w:bookmarkStart w:id="47" w:name="_Toc184314440"/>
      <w:bookmarkEnd w:id="47"/>
      <w:bookmarkStart w:id="48" w:name="_Toc184310309"/>
      <w:bookmarkEnd w:id="48"/>
      <w:bookmarkStart w:id="49" w:name="_Toc184312082"/>
      <w:bookmarkEnd w:id="49"/>
      <w:bookmarkStart w:id="50" w:name="_Toc184310306"/>
      <w:bookmarkEnd w:id="50"/>
      <w:bookmarkStart w:id="51" w:name="_Toc184313290"/>
      <w:bookmarkEnd w:id="51"/>
      <w:bookmarkStart w:id="52" w:name="_Toc184314420"/>
      <w:bookmarkEnd w:id="52"/>
      <w:bookmarkStart w:id="53" w:name="_Toc184308082"/>
      <w:bookmarkEnd w:id="53"/>
      <w:bookmarkStart w:id="54" w:name="_Toc184313284"/>
      <w:bookmarkEnd w:id="54"/>
      <w:bookmarkStart w:id="55" w:name="_Toc184312138"/>
      <w:bookmarkEnd w:id="55"/>
      <w:bookmarkStart w:id="56" w:name="_Toc184314428"/>
      <w:bookmarkEnd w:id="56"/>
      <w:bookmarkStart w:id="57" w:name="_Toc184313295"/>
      <w:bookmarkEnd w:id="57"/>
      <w:bookmarkStart w:id="58" w:name="_Toc184312137"/>
      <w:bookmarkEnd w:id="58"/>
      <w:bookmarkStart w:id="59" w:name="_Toc184310342"/>
      <w:bookmarkEnd w:id="59"/>
      <w:bookmarkStart w:id="60" w:name="_Toc184310307"/>
      <w:bookmarkEnd w:id="60"/>
      <w:bookmarkStart w:id="61" w:name="_Toc184312111"/>
      <w:bookmarkEnd w:id="61"/>
      <w:bookmarkStart w:id="62" w:name="_Toc184314454"/>
      <w:bookmarkEnd w:id="62"/>
      <w:bookmarkStart w:id="63" w:name="_Toc184313241"/>
      <w:bookmarkEnd w:id="63"/>
      <w:bookmarkStart w:id="64" w:name="_Toc184314442"/>
      <w:bookmarkEnd w:id="64"/>
      <w:bookmarkStart w:id="65" w:name="_Toc184314413"/>
      <w:bookmarkEnd w:id="65"/>
      <w:bookmarkStart w:id="66" w:name="_Toc184310330"/>
      <w:bookmarkEnd w:id="66"/>
      <w:bookmarkStart w:id="67" w:name="_Toc184308043"/>
      <w:bookmarkEnd w:id="67"/>
      <w:bookmarkStart w:id="68" w:name="_Toc184312091"/>
      <w:bookmarkEnd w:id="68"/>
      <w:bookmarkStart w:id="69" w:name="_Toc184308058"/>
      <w:bookmarkEnd w:id="69"/>
      <w:bookmarkStart w:id="70" w:name="_Toc184308096"/>
      <w:bookmarkEnd w:id="70"/>
      <w:bookmarkStart w:id="71" w:name="_Toc184313279"/>
      <w:bookmarkEnd w:id="71"/>
      <w:bookmarkStart w:id="72" w:name="_Toc184313238"/>
      <w:bookmarkEnd w:id="72"/>
      <w:bookmarkStart w:id="73" w:name="_Toc184312086"/>
      <w:bookmarkEnd w:id="73"/>
      <w:bookmarkStart w:id="74" w:name="_Toc184314480"/>
      <w:bookmarkEnd w:id="74"/>
      <w:bookmarkStart w:id="75" w:name="_Toc184312104"/>
      <w:bookmarkEnd w:id="75"/>
      <w:bookmarkStart w:id="76" w:name="_Toc184308069"/>
      <w:bookmarkEnd w:id="76"/>
      <w:bookmarkStart w:id="77" w:name="_Toc184313307"/>
      <w:bookmarkEnd w:id="77"/>
      <w:bookmarkStart w:id="78" w:name="_Toc184310272"/>
      <w:bookmarkEnd w:id="78"/>
      <w:bookmarkStart w:id="79" w:name="_Toc184308087"/>
      <w:bookmarkEnd w:id="79"/>
      <w:bookmarkStart w:id="80" w:name="_Toc184308048"/>
      <w:bookmarkEnd w:id="80"/>
      <w:bookmarkStart w:id="81" w:name="_Toc184314436"/>
      <w:bookmarkEnd w:id="81"/>
      <w:bookmarkStart w:id="82" w:name="_Toc184314473"/>
      <w:bookmarkEnd w:id="82"/>
      <w:bookmarkStart w:id="83" w:name="_Toc184310299"/>
      <w:bookmarkEnd w:id="83"/>
      <w:bookmarkStart w:id="84" w:name="_Toc184308063"/>
      <w:bookmarkEnd w:id="84"/>
      <w:bookmarkStart w:id="85" w:name="_Toc184314415"/>
      <w:bookmarkEnd w:id="85"/>
      <w:bookmarkStart w:id="86" w:name="_Toc184312123"/>
      <w:bookmarkEnd w:id="86"/>
      <w:bookmarkStart w:id="87" w:name="_Toc184312135"/>
      <w:bookmarkEnd w:id="87"/>
      <w:bookmarkStart w:id="88" w:name="_Toc184314435"/>
      <w:bookmarkEnd w:id="88"/>
      <w:bookmarkStart w:id="89" w:name="_Toc184310323"/>
      <w:bookmarkEnd w:id="89"/>
      <w:bookmarkStart w:id="90" w:name="_Toc184312093"/>
      <w:bookmarkEnd w:id="90"/>
      <w:bookmarkStart w:id="91" w:name="_Toc184313278"/>
      <w:bookmarkEnd w:id="91"/>
      <w:bookmarkStart w:id="92" w:name="_Toc184314432"/>
      <w:bookmarkEnd w:id="92"/>
      <w:bookmarkStart w:id="93" w:name="_Toc184313264"/>
      <w:bookmarkEnd w:id="93"/>
      <w:bookmarkStart w:id="94" w:name="_Toc184313302"/>
      <w:bookmarkEnd w:id="94"/>
      <w:bookmarkStart w:id="95" w:name="_Toc184312079"/>
      <w:bookmarkEnd w:id="95"/>
      <w:bookmarkStart w:id="96" w:name="_Toc184310334"/>
      <w:bookmarkEnd w:id="96"/>
      <w:bookmarkStart w:id="97" w:name="_Toc184314449"/>
      <w:bookmarkEnd w:id="97"/>
      <w:bookmarkStart w:id="98" w:name="_Toc184310304"/>
      <w:bookmarkEnd w:id="98"/>
      <w:bookmarkStart w:id="99" w:name="_Toc184313249"/>
      <w:bookmarkEnd w:id="99"/>
      <w:bookmarkStart w:id="100" w:name="_Toc184313243"/>
      <w:bookmarkEnd w:id="100"/>
      <w:bookmarkStart w:id="101" w:name="_Toc184312125"/>
      <w:bookmarkEnd w:id="101"/>
      <w:bookmarkStart w:id="102" w:name="_Toc184312088"/>
      <w:bookmarkEnd w:id="102"/>
      <w:bookmarkStart w:id="103" w:name="_Toc184313288"/>
      <w:bookmarkEnd w:id="103"/>
      <w:bookmarkStart w:id="104" w:name="_Toc184312095"/>
      <w:bookmarkEnd w:id="104"/>
      <w:bookmarkStart w:id="105" w:name="_Toc184310315"/>
      <w:bookmarkEnd w:id="105"/>
      <w:bookmarkStart w:id="106" w:name="_Toc184314476"/>
      <w:bookmarkEnd w:id="106"/>
      <w:bookmarkStart w:id="107" w:name="_Toc184314419"/>
      <w:bookmarkEnd w:id="107"/>
      <w:bookmarkStart w:id="108" w:name="_Toc184312132"/>
      <w:bookmarkEnd w:id="108"/>
      <w:bookmarkStart w:id="109" w:name="_Toc184308056"/>
      <w:bookmarkEnd w:id="109"/>
      <w:bookmarkStart w:id="110" w:name="_Toc184308072"/>
      <w:bookmarkEnd w:id="110"/>
      <w:bookmarkStart w:id="111" w:name="_Toc184310288"/>
      <w:bookmarkEnd w:id="111"/>
      <w:bookmarkStart w:id="112" w:name="_Toc184310311"/>
      <w:bookmarkEnd w:id="112"/>
      <w:bookmarkStart w:id="113" w:name="_Toc184312127"/>
      <w:bookmarkEnd w:id="113"/>
      <w:bookmarkStart w:id="114" w:name="_Toc184313303"/>
      <w:bookmarkEnd w:id="114"/>
      <w:bookmarkStart w:id="115" w:name="_Toc184313283"/>
      <w:bookmarkEnd w:id="115"/>
      <w:bookmarkStart w:id="116" w:name="_Toc184312098"/>
      <w:bookmarkEnd w:id="116"/>
      <w:bookmarkStart w:id="117" w:name="_Toc184308040"/>
      <w:bookmarkEnd w:id="117"/>
      <w:bookmarkStart w:id="118" w:name="_Toc184312102"/>
      <w:bookmarkEnd w:id="118"/>
      <w:bookmarkStart w:id="119" w:name="_Toc184312129"/>
      <w:bookmarkEnd w:id="119"/>
      <w:bookmarkStart w:id="120" w:name="_Toc184310322"/>
      <w:bookmarkEnd w:id="120"/>
      <w:bookmarkStart w:id="121" w:name="_Toc184308055"/>
      <w:bookmarkEnd w:id="121"/>
      <w:bookmarkStart w:id="122" w:name="_Toc184313305"/>
      <w:bookmarkEnd w:id="122"/>
      <w:bookmarkStart w:id="123" w:name="_Toc184312101"/>
      <w:bookmarkEnd w:id="123"/>
      <w:bookmarkStart w:id="124" w:name="_Toc184312085"/>
      <w:bookmarkEnd w:id="124"/>
      <w:bookmarkStart w:id="125" w:name="_Toc184314482"/>
      <w:bookmarkEnd w:id="125"/>
      <w:bookmarkStart w:id="126" w:name="_Toc184312080"/>
      <w:bookmarkEnd w:id="126"/>
      <w:bookmarkStart w:id="127" w:name="_Toc184312112"/>
      <w:bookmarkEnd w:id="127"/>
      <w:bookmarkStart w:id="128" w:name="_Toc184310281"/>
      <w:bookmarkEnd w:id="128"/>
      <w:bookmarkStart w:id="129" w:name="_Toc184314478"/>
      <w:bookmarkEnd w:id="129"/>
      <w:bookmarkStart w:id="130" w:name="_Toc184310321"/>
      <w:bookmarkEnd w:id="130"/>
      <w:bookmarkStart w:id="131" w:name="_Toc184312077"/>
      <w:bookmarkEnd w:id="131"/>
      <w:bookmarkStart w:id="132" w:name="_Toc184313245"/>
      <w:bookmarkEnd w:id="132"/>
      <w:bookmarkStart w:id="133" w:name="_Toc184310303"/>
      <w:bookmarkEnd w:id="133"/>
      <w:bookmarkStart w:id="134" w:name="_Toc184308053"/>
      <w:bookmarkEnd w:id="134"/>
      <w:bookmarkStart w:id="135" w:name="_Toc184313301"/>
      <w:bookmarkEnd w:id="135"/>
      <w:bookmarkStart w:id="136" w:name="_Toc184310308"/>
      <w:bookmarkEnd w:id="136"/>
      <w:bookmarkStart w:id="137" w:name="_Toc184313256"/>
      <w:bookmarkEnd w:id="137"/>
      <w:bookmarkStart w:id="138" w:name="_Toc184313309"/>
      <w:bookmarkEnd w:id="138"/>
      <w:bookmarkStart w:id="139" w:name="_Toc184310344"/>
      <w:bookmarkEnd w:id="139"/>
      <w:bookmarkStart w:id="140" w:name="_Toc184314416"/>
      <w:bookmarkEnd w:id="140"/>
      <w:bookmarkStart w:id="141" w:name="_Toc184308091"/>
      <w:bookmarkEnd w:id="141"/>
      <w:bookmarkStart w:id="142" w:name="_Toc184308107"/>
      <w:bookmarkEnd w:id="142"/>
      <w:bookmarkStart w:id="143" w:name="_Toc184314443"/>
      <w:bookmarkEnd w:id="143"/>
      <w:bookmarkStart w:id="144" w:name="_Toc184313266"/>
      <w:bookmarkEnd w:id="144"/>
      <w:bookmarkStart w:id="145" w:name="_Toc184312115"/>
      <w:bookmarkEnd w:id="145"/>
      <w:bookmarkStart w:id="146" w:name="_Toc184308073"/>
      <w:bookmarkEnd w:id="146"/>
      <w:bookmarkStart w:id="147" w:name="_Toc184312131"/>
      <w:bookmarkEnd w:id="147"/>
      <w:bookmarkStart w:id="148" w:name="_Toc184308065"/>
      <w:bookmarkEnd w:id="148"/>
      <w:bookmarkStart w:id="149" w:name="_Toc184314434"/>
      <w:bookmarkEnd w:id="149"/>
      <w:bookmarkStart w:id="150" w:name="_Toc184310275"/>
      <w:bookmarkEnd w:id="150"/>
      <w:bookmarkStart w:id="151" w:name="_Toc184313239"/>
      <w:bookmarkEnd w:id="151"/>
      <w:bookmarkStart w:id="152" w:name="_Toc184314474"/>
      <w:bookmarkEnd w:id="152"/>
      <w:bookmarkStart w:id="153" w:name="_Toc184313296"/>
      <w:bookmarkEnd w:id="153"/>
      <w:bookmarkStart w:id="154" w:name="_Toc184308062"/>
      <w:bookmarkEnd w:id="154"/>
      <w:bookmarkStart w:id="155" w:name="_Toc184314463"/>
      <w:bookmarkEnd w:id="155"/>
      <w:bookmarkStart w:id="156" w:name="_Toc184314430"/>
      <w:bookmarkEnd w:id="156"/>
      <w:bookmarkStart w:id="157" w:name="_Toc184308037"/>
      <w:bookmarkEnd w:id="157"/>
      <w:bookmarkStart w:id="158" w:name="_Toc184308057"/>
      <w:bookmarkEnd w:id="158"/>
      <w:bookmarkStart w:id="159" w:name="_Toc184312084"/>
      <w:bookmarkEnd w:id="159"/>
      <w:bookmarkStart w:id="160" w:name="_Toc184314457"/>
      <w:bookmarkEnd w:id="160"/>
      <w:bookmarkStart w:id="161" w:name="_Toc184312089"/>
      <w:bookmarkEnd w:id="161"/>
      <w:bookmarkStart w:id="162" w:name="_Toc184308100"/>
      <w:bookmarkEnd w:id="162"/>
      <w:bookmarkStart w:id="163" w:name="_Toc184312083"/>
      <w:bookmarkEnd w:id="163"/>
      <w:bookmarkStart w:id="164" w:name="_Toc184310273"/>
      <w:bookmarkEnd w:id="164"/>
      <w:bookmarkStart w:id="165" w:name="_Toc184314475"/>
      <w:bookmarkEnd w:id="165"/>
      <w:bookmarkStart w:id="166" w:name="_Toc184314410"/>
      <w:bookmarkEnd w:id="166"/>
      <w:bookmarkStart w:id="167" w:name="_Toc184310302"/>
      <w:bookmarkEnd w:id="167"/>
      <w:bookmarkStart w:id="168" w:name="_Toc184314452"/>
      <w:bookmarkEnd w:id="168"/>
      <w:bookmarkStart w:id="169" w:name="_Toc184314431"/>
      <w:bookmarkEnd w:id="169"/>
      <w:bookmarkStart w:id="170" w:name="_Toc184310298"/>
      <w:bookmarkEnd w:id="170"/>
      <w:bookmarkStart w:id="171" w:name="_Toc184314418"/>
      <w:bookmarkEnd w:id="171"/>
      <w:bookmarkStart w:id="172" w:name="_Toc184314445"/>
      <w:bookmarkEnd w:id="172"/>
      <w:bookmarkStart w:id="173" w:name="_Toc184312109"/>
      <w:bookmarkEnd w:id="173"/>
      <w:bookmarkStart w:id="174" w:name="_Toc184314471"/>
      <w:bookmarkEnd w:id="174"/>
      <w:bookmarkStart w:id="175" w:name="_Toc184313260"/>
      <w:bookmarkEnd w:id="175"/>
      <w:bookmarkStart w:id="176" w:name="_Toc184308093"/>
      <w:bookmarkEnd w:id="176"/>
      <w:bookmarkStart w:id="177" w:name="_Toc184312073"/>
      <w:bookmarkEnd w:id="177"/>
      <w:bookmarkStart w:id="178" w:name="_Toc184310285"/>
      <w:bookmarkEnd w:id="178"/>
      <w:bookmarkStart w:id="179" w:name="_Toc184312126"/>
      <w:bookmarkEnd w:id="179"/>
      <w:bookmarkStart w:id="180" w:name="_Toc184308095"/>
      <w:bookmarkEnd w:id="180"/>
      <w:bookmarkStart w:id="181" w:name="_Toc184310312"/>
      <w:bookmarkEnd w:id="181"/>
      <w:bookmarkStart w:id="182" w:name="_Toc184313277"/>
      <w:bookmarkEnd w:id="182"/>
      <w:bookmarkStart w:id="183" w:name="_Toc184312133"/>
      <w:bookmarkEnd w:id="183"/>
      <w:bookmarkStart w:id="184" w:name="_Toc184314417"/>
      <w:bookmarkEnd w:id="184"/>
      <w:bookmarkStart w:id="185" w:name="_Toc184308085"/>
      <w:bookmarkEnd w:id="185"/>
      <w:bookmarkStart w:id="186" w:name="_Toc184308090"/>
      <w:bookmarkEnd w:id="186"/>
      <w:bookmarkStart w:id="187" w:name="_Toc184310324"/>
      <w:bookmarkEnd w:id="187"/>
      <w:bookmarkStart w:id="188" w:name="_Toc184310310"/>
      <w:bookmarkEnd w:id="188"/>
      <w:bookmarkStart w:id="189" w:name="_Toc184308074"/>
      <w:bookmarkEnd w:id="189"/>
      <w:bookmarkStart w:id="190" w:name="_Toc184312108"/>
      <w:bookmarkEnd w:id="190"/>
      <w:bookmarkStart w:id="191" w:name="_Toc184314468"/>
      <w:bookmarkEnd w:id="191"/>
      <w:bookmarkStart w:id="192" w:name="_Toc184310325"/>
      <w:bookmarkEnd w:id="192"/>
      <w:bookmarkStart w:id="193" w:name="_Toc184310276"/>
      <w:bookmarkEnd w:id="193"/>
      <w:bookmarkStart w:id="194" w:name="_Toc184312090"/>
      <w:bookmarkEnd w:id="194"/>
      <w:bookmarkStart w:id="195" w:name="_Toc184314450"/>
      <w:bookmarkEnd w:id="195"/>
      <w:bookmarkStart w:id="196" w:name="_Toc184308050"/>
      <w:bookmarkEnd w:id="196"/>
      <w:bookmarkStart w:id="197" w:name="_Toc184308081"/>
      <w:bookmarkEnd w:id="197"/>
      <w:bookmarkStart w:id="198" w:name="_Toc184308049"/>
      <w:bookmarkEnd w:id="198"/>
      <w:bookmarkStart w:id="199" w:name="_Toc184308045"/>
      <w:bookmarkEnd w:id="199"/>
      <w:bookmarkStart w:id="200" w:name="_Toc184308064"/>
      <w:bookmarkEnd w:id="200"/>
      <w:bookmarkStart w:id="201" w:name="_Toc184314424"/>
      <w:bookmarkEnd w:id="201"/>
      <w:bookmarkStart w:id="202" w:name="_Toc184310274"/>
      <w:bookmarkEnd w:id="202"/>
      <w:bookmarkStart w:id="203" w:name="_Toc184308106"/>
      <w:bookmarkEnd w:id="203"/>
      <w:bookmarkStart w:id="204" w:name="_Toc184313282"/>
      <w:bookmarkEnd w:id="204"/>
      <w:bookmarkStart w:id="205" w:name="_Toc184312117"/>
      <w:bookmarkEnd w:id="205"/>
      <w:bookmarkStart w:id="206" w:name="_Toc184314479"/>
      <w:bookmarkEnd w:id="206"/>
      <w:bookmarkStart w:id="207" w:name="_Toc184313261"/>
      <w:bookmarkEnd w:id="207"/>
      <w:bookmarkStart w:id="208" w:name="_Toc184314422"/>
      <w:bookmarkEnd w:id="208"/>
      <w:bookmarkStart w:id="209" w:name="_Toc184308060"/>
      <w:bookmarkEnd w:id="209"/>
      <w:bookmarkStart w:id="210" w:name="_Toc184312122"/>
      <w:bookmarkEnd w:id="210"/>
      <w:bookmarkStart w:id="211" w:name="_Toc184314477"/>
      <w:bookmarkEnd w:id="211"/>
      <w:bookmarkStart w:id="212" w:name="_Toc184310278"/>
      <w:bookmarkEnd w:id="212"/>
      <w:bookmarkStart w:id="213" w:name="_Toc184313247"/>
      <w:bookmarkEnd w:id="213"/>
      <w:bookmarkStart w:id="214" w:name="_Toc184312072"/>
      <w:bookmarkEnd w:id="214"/>
      <w:bookmarkStart w:id="215" w:name="_Toc184310293"/>
      <w:bookmarkEnd w:id="215"/>
      <w:bookmarkStart w:id="216" w:name="_Toc184310318"/>
      <w:bookmarkEnd w:id="216"/>
      <w:bookmarkStart w:id="217" w:name="_Toc184312120"/>
      <w:bookmarkEnd w:id="217"/>
      <w:bookmarkStart w:id="218" w:name="_Toc184308071"/>
      <w:bookmarkEnd w:id="218"/>
      <w:bookmarkStart w:id="219" w:name="_Toc184310333"/>
      <w:bookmarkEnd w:id="219"/>
      <w:bookmarkStart w:id="220" w:name="_Toc184313304"/>
      <w:bookmarkEnd w:id="220"/>
      <w:bookmarkStart w:id="221" w:name="_Toc184312069"/>
      <w:bookmarkEnd w:id="221"/>
      <w:bookmarkStart w:id="222" w:name="_Toc184308088"/>
      <w:bookmarkEnd w:id="222"/>
      <w:bookmarkStart w:id="223" w:name="_Toc184314456"/>
      <w:bookmarkEnd w:id="223"/>
      <w:bookmarkStart w:id="224" w:name="_Toc184310332"/>
      <w:bookmarkEnd w:id="224"/>
      <w:bookmarkStart w:id="225" w:name="_Toc184312067"/>
      <w:bookmarkEnd w:id="225"/>
      <w:bookmarkStart w:id="226" w:name="_Toc184312092"/>
      <w:bookmarkEnd w:id="226"/>
      <w:bookmarkStart w:id="227" w:name="_Toc184308078"/>
      <w:bookmarkEnd w:id="227"/>
      <w:bookmarkStart w:id="228" w:name="_Toc184312130"/>
      <w:bookmarkEnd w:id="228"/>
      <w:bookmarkStart w:id="229" w:name="_Toc184314412"/>
      <w:bookmarkEnd w:id="229"/>
      <w:bookmarkStart w:id="230" w:name="_Toc184310335"/>
      <w:bookmarkEnd w:id="230"/>
      <w:bookmarkStart w:id="231" w:name="_Toc184314453"/>
      <w:bookmarkEnd w:id="231"/>
      <w:bookmarkStart w:id="232" w:name="_Toc184310329"/>
      <w:bookmarkEnd w:id="232"/>
      <w:bookmarkStart w:id="233" w:name="_Toc184312099"/>
      <w:bookmarkEnd w:id="233"/>
      <w:bookmarkStart w:id="234" w:name="_Toc184308080"/>
      <w:bookmarkEnd w:id="234"/>
      <w:bookmarkStart w:id="235" w:name="_Toc184313274"/>
      <w:bookmarkEnd w:id="235"/>
      <w:bookmarkStart w:id="236" w:name="_Toc184308076"/>
      <w:bookmarkEnd w:id="236"/>
      <w:bookmarkStart w:id="237" w:name="_Toc184314427"/>
      <w:bookmarkEnd w:id="237"/>
      <w:bookmarkStart w:id="238" w:name="_Toc184313262"/>
      <w:bookmarkEnd w:id="238"/>
      <w:bookmarkStart w:id="239" w:name="_Toc184314481"/>
      <w:bookmarkEnd w:id="239"/>
      <w:bookmarkStart w:id="240" w:name="_Toc184310336"/>
      <w:bookmarkEnd w:id="240"/>
      <w:bookmarkStart w:id="241" w:name="_Toc184312134"/>
      <w:bookmarkEnd w:id="241"/>
      <w:bookmarkStart w:id="242" w:name="_Toc184308061"/>
      <w:bookmarkEnd w:id="242"/>
      <w:bookmarkStart w:id="243" w:name="_Toc184312139"/>
      <w:bookmarkEnd w:id="243"/>
      <w:bookmarkStart w:id="244" w:name="_Toc184314425"/>
      <w:bookmarkEnd w:id="244"/>
      <w:bookmarkStart w:id="245" w:name="_Toc184308102"/>
      <w:bookmarkEnd w:id="245"/>
      <w:bookmarkStart w:id="246" w:name="_Toc184308068"/>
      <w:bookmarkEnd w:id="246"/>
      <w:bookmarkStart w:id="247" w:name="_Toc184313265"/>
      <w:bookmarkEnd w:id="247"/>
      <w:bookmarkStart w:id="248" w:name="_Toc184310327"/>
      <w:bookmarkEnd w:id="248"/>
      <w:bookmarkStart w:id="249" w:name="_Toc184308105"/>
      <w:bookmarkEnd w:id="249"/>
      <w:bookmarkStart w:id="250" w:name="_Toc184313270"/>
      <w:bookmarkEnd w:id="250"/>
      <w:bookmarkStart w:id="251" w:name="_Toc184310295"/>
      <w:bookmarkEnd w:id="251"/>
      <w:bookmarkStart w:id="252" w:name="_Toc184314414"/>
      <w:bookmarkEnd w:id="252"/>
      <w:bookmarkStart w:id="253" w:name="_Toc184313240"/>
      <w:bookmarkEnd w:id="253"/>
      <w:bookmarkStart w:id="254" w:name="_Toc184314460"/>
      <w:bookmarkEnd w:id="254"/>
      <w:bookmarkStart w:id="255" w:name="_Toc184310284"/>
      <w:bookmarkEnd w:id="255"/>
      <w:bookmarkStart w:id="256" w:name="_Toc184312114"/>
      <w:bookmarkEnd w:id="256"/>
      <w:bookmarkStart w:id="257" w:name="_Toc184308036"/>
      <w:bookmarkEnd w:id="257"/>
      <w:bookmarkStart w:id="258" w:name="_Toc184308104"/>
      <w:bookmarkEnd w:id="258"/>
      <w:bookmarkStart w:id="259" w:name="_Toc184310317"/>
      <w:bookmarkEnd w:id="259"/>
      <w:bookmarkStart w:id="260" w:name="_Toc184313293"/>
      <w:bookmarkEnd w:id="260"/>
      <w:bookmarkStart w:id="261" w:name="_Toc184312074"/>
      <w:bookmarkEnd w:id="261"/>
      <w:bookmarkStart w:id="262" w:name="_Toc184313308"/>
      <w:bookmarkEnd w:id="262"/>
      <w:bookmarkStart w:id="263" w:name="_Toc184314426"/>
      <w:bookmarkEnd w:id="263"/>
      <w:bookmarkStart w:id="264" w:name="_Toc184313306"/>
      <w:bookmarkEnd w:id="264"/>
      <w:bookmarkStart w:id="265" w:name="_Toc184313273"/>
      <w:bookmarkEnd w:id="265"/>
      <w:bookmarkStart w:id="266" w:name="_Toc184308044"/>
      <w:bookmarkEnd w:id="266"/>
      <w:bookmarkStart w:id="267" w:name="_Toc184308047"/>
      <w:bookmarkEnd w:id="267"/>
      <w:bookmarkStart w:id="268" w:name="_Toc184310316"/>
      <w:bookmarkEnd w:id="268"/>
      <w:bookmarkStart w:id="269" w:name="_Toc184310279"/>
      <w:bookmarkEnd w:id="269"/>
      <w:bookmarkStart w:id="270" w:name="_Toc184310294"/>
      <w:bookmarkEnd w:id="270"/>
      <w:bookmarkStart w:id="271" w:name="_Toc184312124"/>
      <w:bookmarkEnd w:id="271"/>
      <w:bookmarkStart w:id="272" w:name="_Toc184313246"/>
      <w:bookmarkEnd w:id="272"/>
      <w:bookmarkStart w:id="273" w:name="_Toc184308077"/>
      <w:bookmarkEnd w:id="273"/>
      <w:bookmarkStart w:id="274" w:name="_Toc184310339"/>
      <w:bookmarkEnd w:id="274"/>
      <w:bookmarkStart w:id="275" w:name="_Toc184310331"/>
      <w:bookmarkEnd w:id="275"/>
      <w:bookmarkStart w:id="276" w:name="_Toc184314439"/>
      <w:bookmarkEnd w:id="276"/>
      <w:bookmarkStart w:id="277" w:name="_Toc184313251"/>
      <w:bookmarkEnd w:id="277"/>
      <w:bookmarkStart w:id="278" w:name="_Toc184310286"/>
      <w:bookmarkEnd w:id="278"/>
      <w:bookmarkStart w:id="279" w:name="_Toc184312070"/>
      <w:bookmarkEnd w:id="279"/>
      <w:bookmarkStart w:id="280" w:name="_Toc184312106"/>
      <w:bookmarkEnd w:id="280"/>
      <w:bookmarkStart w:id="281" w:name="_Toc184314467"/>
      <w:bookmarkEnd w:id="281"/>
      <w:bookmarkStart w:id="282" w:name="_Toc184312116"/>
      <w:bookmarkEnd w:id="282"/>
      <w:bookmarkStart w:id="283" w:name="_Toc184313310"/>
      <w:bookmarkEnd w:id="283"/>
      <w:bookmarkStart w:id="284" w:name="_Toc184308052"/>
      <w:bookmarkEnd w:id="284"/>
      <w:bookmarkStart w:id="285" w:name="_Toc184312094"/>
      <w:bookmarkEnd w:id="285"/>
      <w:bookmarkStart w:id="286" w:name="_Toc184314447"/>
      <w:bookmarkEnd w:id="286"/>
      <w:bookmarkStart w:id="287" w:name="_Toc184312113"/>
      <w:bookmarkEnd w:id="287"/>
      <w:bookmarkStart w:id="288" w:name="_Toc184314438"/>
      <w:bookmarkEnd w:id="288"/>
      <w:bookmarkStart w:id="289" w:name="_Toc184314433"/>
      <w:bookmarkEnd w:id="289"/>
      <w:bookmarkStart w:id="290" w:name="_Toc184310282"/>
      <w:bookmarkEnd w:id="290"/>
      <w:bookmarkStart w:id="291" w:name="_Toc184310301"/>
      <w:bookmarkEnd w:id="291"/>
      <w:bookmarkStart w:id="292" w:name="_Toc184308038"/>
      <w:bookmarkEnd w:id="292"/>
      <w:bookmarkStart w:id="293" w:name="_Toc184314472"/>
      <w:bookmarkEnd w:id="293"/>
      <w:bookmarkStart w:id="294" w:name="_Toc184314464"/>
      <w:bookmarkEnd w:id="294"/>
      <w:bookmarkStart w:id="295" w:name="_Toc184312103"/>
      <w:bookmarkEnd w:id="295"/>
      <w:bookmarkStart w:id="296" w:name="_Toc184313254"/>
      <w:bookmarkEnd w:id="296"/>
      <w:bookmarkStart w:id="297" w:name="_Toc184313269"/>
      <w:bookmarkEnd w:id="297"/>
      <w:bookmarkStart w:id="298" w:name="_Toc184312087"/>
      <w:bookmarkEnd w:id="298"/>
      <w:bookmarkStart w:id="299" w:name="_Toc184310320"/>
      <w:bookmarkEnd w:id="299"/>
      <w:bookmarkStart w:id="300" w:name="_Toc184313286"/>
      <w:bookmarkEnd w:id="300"/>
      <w:bookmarkStart w:id="301" w:name="_Toc184312068"/>
      <w:bookmarkEnd w:id="301"/>
      <w:bookmarkStart w:id="302" w:name="_Toc184310297"/>
      <w:bookmarkEnd w:id="302"/>
      <w:bookmarkStart w:id="303" w:name="_Toc184314448"/>
      <w:bookmarkEnd w:id="303"/>
      <w:bookmarkStart w:id="304" w:name="_Toc184310340"/>
      <w:bookmarkEnd w:id="304"/>
      <w:bookmarkStart w:id="305" w:name="_Toc184308042"/>
      <w:bookmarkEnd w:id="305"/>
      <w:bookmarkStart w:id="306" w:name="_Toc184313259"/>
      <w:bookmarkEnd w:id="306"/>
      <w:bookmarkStart w:id="307" w:name="_Toc184314444"/>
      <w:bookmarkEnd w:id="307"/>
      <w:bookmarkStart w:id="308" w:name="_Toc184310319"/>
      <w:bookmarkEnd w:id="308"/>
      <w:bookmarkStart w:id="309" w:name="_Toc184313250"/>
      <w:bookmarkEnd w:id="309"/>
      <w:bookmarkStart w:id="310" w:name="_Toc184313248"/>
      <w:bookmarkEnd w:id="310"/>
      <w:bookmarkStart w:id="311" w:name="_Toc184313285"/>
      <w:bookmarkEnd w:id="311"/>
      <w:bookmarkStart w:id="312" w:name="_Toc184312075"/>
      <w:bookmarkEnd w:id="312"/>
      <w:bookmarkStart w:id="313" w:name="_Toc184308054"/>
      <w:bookmarkEnd w:id="313"/>
      <w:bookmarkStart w:id="314" w:name="_Toc184310292"/>
      <w:bookmarkEnd w:id="314"/>
      <w:bookmarkStart w:id="315" w:name="_Toc184310287"/>
      <w:bookmarkEnd w:id="315"/>
      <w:bookmarkStart w:id="316" w:name="_Toc184314446"/>
      <w:bookmarkEnd w:id="316"/>
      <w:bookmarkStart w:id="317" w:name="_Toc184312071"/>
      <w:bookmarkEnd w:id="317"/>
      <w:bookmarkStart w:id="318" w:name="_Toc184314466"/>
      <w:bookmarkEnd w:id="318"/>
      <w:bookmarkStart w:id="319" w:name="_Toc184313289"/>
      <w:bookmarkEnd w:id="319"/>
      <w:bookmarkStart w:id="320" w:name="_Toc184310290"/>
      <w:bookmarkEnd w:id="320"/>
      <w:bookmarkStart w:id="321" w:name="_Toc184310291"/>
      <w:bookmarkEnd w:id="321"/>
      <w:bookmarkStart w:id="322" w:name="_Toc184314455"/>
      <w:bookmarkEnd w:id="322"/>
      <w:bookmarkStart w:id="323" w:name="_Toc184310289"/>
      <w:bookmarkEnd w:id="323"/>
      <w:bookmarkStart w:id="324" w:name="_Toc184313252"/>
      <w:bookmarkEnd w:id="324"/>
      <w:bookmarkStart w:id="325" w:name="_Toc184310326"/>
      <w:bookmarkEnd w:id="325"/>
      <w:bookmarkStart w:id="326" w:name="_Toc184313253"/>
      <w:bookmarkEnd w:id="326"/>
      <w:bookmarkStart w:id="327" w:name="_Toc184308094"/>
      <w:bookmarkEnd w:id="327"/>
      <w:bookmarkStart w:id="328" w:name="_Toc184310314"/>
      <w:bookmarkEnd w:id="328"/>
      <w:bookmarkStart w:id="329" w:name="_Toc184310337"/>
      <w:bookmarkEnd w:id="329"/>
      <w:bookmarkStart w:id="330" w:name="_Toc184312081"/>
      <w:bookmarkEnd w:id="330"/>
      <w:bookmarkStart w:id="331" w:name="_Toc184313281"/>
      <w:bookmarkEnd w:id="331"/>
      <w:bookmarkStart w:id="332" w:name="_Toc184313271"/>
      <w:bookmarkEnd w:id="332"/>
      <w:bookmarkStart w:id="333" w:name="_Toc184308079"/>
      <w:bookmarkEnd w:id="333"/>
      <w:bookmarkStart w:id="334" w:name="_Toc184308039"/>
      <w:bookmarkEnd w:id="334"/>
      <w:bookmarkStart w:id="335" w:name="_Toc184308089"/>
      <w:bookmarkEnd w:id="335"/>
      <w:bookmarkStart w:id="336" w:name="_Toc184310313"/>
      <w:bookmarkEnd w:id="336"/>
      <w:bookmarkStart w:id="337" w:name="_Toc184313263"/>
      <w:bookmarkEnd w:id="337"/>
      <w:bookmarkStart w:id="338" w:name="_Toc184314411"/>
      <w:bookmarkEnd w:id="338"/>
      <w:bookmarkStart w:id="339" w:name="_Toc184312121"/>
      <w:bookmarkEnd w:id="339"/>
      <w:bookmarkStart w:id="340" w:name="_Toc184312128"/>
      <w:bookmarkEnd w:id="340"/>
      <w:bookmarkStart w:id="341" w:name="_Toc184308041"/>
      <w:bookmarkEnd w:id="341"/>
      <w:bookmarkStart w:id="342" w:name="_Toc184308067"/>
      <w:bookmarkEnd w:id="342"/>
      <w:bookmarkStart w:id="343" w:name="_Toc184308097"/>
      <w:bookmarkEnd w:id="343"/>
      <w:bookmarkStart w:id="344" w:name="_Toc184314451"/>
      <w:bookmarkEnd w:id="344"/>
      <w:bookmarkStart w:id="345" w:name="_Toc184310277"/>
      <w:bookmarkEnd w:id="345"/>
      <w:bookmarkStart w:id="346" w:name="_Toc184308075"/>
      <w:bookmarkEnd w:id="346"/>
      <w:bookmarkStart w:id="347" w:name="_Toc184314437"/>
      <w:bookmarkEnd w:id="347"/>
      <w:bookmarkStart w:id="348" w:name="_Toc184313292"/>
      <w:bookmarkEnd w:id="348"/>
      <w:bookmarkStart w:id="349" w:name="_Toc184313275"/>
      <w:bookmarkEnd w:id="349"/>
      <w:bookmarkStart w:id="350" w:name="_Toc184312136"/>
      <w:bookmarkEnd w:id="350"/>
      <w:bookmarkStart w:id="351" w:name="_Toc184312078"/>
      <w:bookmarkEnd w:id="351"/>
      <w:bookmarkStart w:id="352" w:name="_Toc184314462"/>
      <w:bookmarkEnd w:id="352"/>
      <w:bookmarkStart w:id="353" w:name="_Toc184308051"/>
      <w:bookmarkEnd w:id="353"/>
      <w:bookmarkStart w:id="354" w:name="_Toc184312110"/>
      <w:bookmarkEnd w:id="354"/>
      <w:bookmarkStart w:id="355" w:name="_Toc184308070"/>
      <w:bookmarkEnd w:id="355"/>
      <w:bookmarkStart w:id="356" w:name="_Toc184308066"/>
      <w:bookmarkEnd w:id="356"/>
      <w:bookmarkStart w:id="357" w:name="_Toc184312096"/>
      <w:bookmarkEnd w:id="357"/>
      <w:bookmarkStart w:id="358" w:name="_Toc184312076"/>
      <w:bookmarkEnd w:id="358"/>
      <w:bookmarkStart w:id="359" w:name="_Toc184313255"/>
      <w:bookmarkEnd w:id="359"/>
      <w:bookmarkStart w:id="360" w:name="_Toc184313276"/>
      <w:bookmarkEnd w:id="360"/>
      <w:bookmarkStart w:id="361" w:name="_Toc184308101"/>
      <w:bookmarkEnd w:id="361"/>
      <w:bookmarkStart w:id="362" w:name="_Toc184314461"/>
      <w:bookmarkEnd w:id="362"/>
      <w:bookmarkStart w:id="363" w:name="_Toc184310328"/>
      <w:bookmarkEnd w:id="363"/>
      <w:bookmarkStart w:id="364" w:name="_Toc184313244"/>
      <w:bookmarkEnd w:id="364"/>
      <w:bookmarkStart w:id="365" w:name="_Toc184308046"/>
      <w:bookmarkEnd w:id="365"/>
      <w:bookmarkStart w:id="366" w:name="_Toc184308084"/>
      <w:bookmarkEnd w:id="366"/>
      <w:bookmarkStart w:id="367" w:name="_Toc184314421"/>
      <w:bookmarkEnd w:id="367"/>
      <w:bookmarkStart w:id="368" w:name="_Toc184308099"/>
      <w:bookmarkEnd w:id="368"/>
      <w:bookmarkStart w:id="369" w:name="_Toc184314429"/>
      <w:bookmarkEnd w:id="369"/>
      <w:bookmarkStart w:id="370" w:name="_Toc184312119"/>
      <w:bookmarkEnd w:id="370"/>
      <w:bookmarkStart w:id="371" w:name="_Toc184313294"/>
      <w:bookmarkEnd w:id="371"/>
      <w:bookmarkStart w:id="372" w:name="_Toc184310283"/>
      <w:bookmarkEnd w:id="372"/>
      <w:bookmarkStart w:id="373" w:name="_Toc184312097"/>
      <w:bookmarkEnd w:id="373"/>
      <w:bookmarkStart w:id="374" w:name="_Toc184308092"/>
      <w:bookmarkEnd w:id="374"/>
      <w:bookmarkStart w:id="375" w:name="_Toc184310296"/>
      <w:bookmarkEnd w:id="375"/>
      <w:bookmarkStart w:id="376" w:name="_Toc184310341"/>
      <w:bookmarkEnd w:id="376"/>
      <w:bookmarkStart w:id="377" w:name="_Toc184314470"/>
      <w:bookmarkEnd w:id="377"/>
      <w:bookmarkStart w:id="378" w:name="_Toc184314423"/>
      <w:bookmarkEnd w:id="378"/>
      <w:bookmarkStart w:id="379" w:name="_Toc184310338"/>
      <w:bookmarkEnd w:id="379"/>
      <w:bookmarkStart w:id="380" w:name="_Toc184308098"/>
      <w:bookmarkEnd w:id="380"/>
      <w:bookmarkStart w:id="381" w:name="_Toc184314441"/>
      <w:bookmarkEnd w:id="381"/>
      <w:bookmarkStart w:id="382" w:name="_Toc184313287"/>
      <w:bookmarkEnd w:id="382"/>
      <w:bookmarkStart w:id="383" w:name="_Toc184313298"/>
      <w:bookmarkEnd w:id="383"/>
      <w:bookmarkStart w:id="384" w:name="_Toc184308059"/>
      <w:bookmarkEnd w:id="384"/>
      <w:bookmarkStart w:id="385" w:name="_Toc184308083"/>
      <w:bookmarkEnd w:id="385"/>
      <w:bookmarkStart w:id="386" w:name="_Toc184312107"/>
      <w:bookmarkEnd w:id="386"/>
      <w:bookmarkStart w:id="387" w:name="_Toc184312118"/>
      <w:bookmarkEnd w:id="387"/>
      <w:bookmarkStart w:id="388" w:name="_Toc184313297"/>
      <w:bookmarkEnd w:id="388"/>
      <w:bookmarkStart w:id="389" w:name="_Toc184312100"/>
      <w:bookmarkEnd w:id="389"/>
      <w:bookmarkStart w:id="390" w:name="_Toc184310305"/>
      <w:bookmarkEnd w:id="390"/>
      <w:bookmarkStart w:id="391" w:name="_Toc184313242"/>
      <w:bookmarkEnd w:id="391"/>
      <w:bookmarkStart w:id="392" w:name="_Toc184314459"/>
      <w:bookmarkEnd w:id="392"/>
      <w:r>
        <w:rPr>
          <w:rFonts w:hint="eastAsia" w:asciiTheme="minorEastAsia" w:hAnsiTheme="minorEastAsia" w:eastAsiaTheme="minorEastAsia" w:cstheme="minorEastAsia"/>
          <w:b/>
          <w:color w:val="auto"/>
          <w:sz w:val="40"/>
          <w:szCs w:val="40"/>
          <w:highlight w:val="none"/>
        </w:rPr>
        <w:t>评审办法</w:t>
      </w:r>
    </w:p>
    <w:p w14:paraId="01C328B7">
      <w:pPr>
        <w:snapToGrid w:val="0"/>
        <w:spacing w:line="360" w:lineRule="auto"/>
        <w:jc w:val="center"/>
        <w:rPr>
          <w:rFonts w:asciiTheme="minorEastAsia" w:hAnsiTheme="minorEastAsia" w:eastAsiaTheme="minorEastAsia" w:cstheme="minorEastAsia"/>
          <w:color w:val="auto"/>
          <w:sz w:val="32"/>
          <w:szCs w:val="28"/>
          <w:highlight w:val="none"/>
        </w:rPr>
      </w:pPr>
      <w:r>
        <w:rPr>
          <w:rFonts w:hint="eastAsia" w:asciiTheme="minorEastAsia" w:hAnsiTheme="minorEastAsia" w:eastAsiaTheme="minorEastAsia" w:cstheme="minorEastAsia"/>
          <w:b/>
          <w:color w:val="auto"/>
          <w:sz w:val="36"/>
          <w:szCs w:val="21"/>
          <w:highlight w:val="none"/>
        </w:rPr>
        <w:t>评审办法前附表</w:t>
      </w:r>
    </w:p>
    <w:tbl>
      <w:tblPr>
        <w:tblStyle w:val="25"/>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70"/>
        <w:gridCol w:w="7367"/>
      </w:tblGrid>
      <w:tr w14:paraId="7ACE6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8" w:type="dxa"/>
            <w:noWrap w:val="0"/>
            <w:vAlign w:val="center"/>
          </w:tcPr>
          <w:p w14:paraId="09832DEC">
            <w:pPr>
              <w:pageBreakBefore w:val="0"/>
              <w:kinsoku/>
              <w:wordWrap/>
              <w:overflowPunct/>
              <w:topLinePunct w:val="0"/>
              <w:bidi w:val="0"/>
              <w:spacing w:line="360" w:lineRule="auto"/>
              <w:rPr>
                <w:color w:val="auto"/>
                <w:sz w:val="22"/>
                <w:szCs w:val="22"/>
                <w:highlight w:val="none"/>
              </w:rPr>
            </w:pPr>
          </w:p>
        </w:tc>
        <w:tc>
          <w:tcPr>
            <w:tcW w:w="1270" w:type="dxa"/>
            <w:noWrap w:val="0"/>
            <w:vAlign w:val="center"/>
          </w:tcPr>
          <w:p w14:paraId="4E66078B">
            <w:pPr>
              <w:pageBreakBefore w:val="0"/>
              <w:kinsoku/>
              <w:wordWrap/>
              <w:overflowPunct/>
              <w:topLinePunct w:val="0"/>
              <w:bidi w:val="0"/>
              <w:spacing w:line="360" w:lineRule="auto"/>
              <w:jc w:val="center"/>
              <w:rPr>
                <w:color w:val="auto"/>
                <w:sz w:val="22"/>
                <w:szCs w:val="22"/>
                <w:highlight w:val="none"/>
              </w:rPr>
            </w:pPr>
            <w:r>
              <w:rPr>
                <w:rFonts w:hint="eastAsia"/>
                <w:color w:val="auto"/>
                <w:sz w:val="22"/>
                <w:szCs w:val="28"/>
                <w:highlight w:val="none"/>
              </w:rPr>
              <w:t>项目</w:t>
            </w:r>
          </w:p>
        </w:tc>
        <w:tc>
          <w:tcPr>
            <w:tcW w:w="7367" w:type="dxa"/>
            <w:noWrap w:val="0"/>
            <w:vAlign w:val="center"/>
          </w:tcPr>
          <w:p w14:paraId="16C0CB67">
            <w:pPr>
              <w:pageBreakBefore w:val="0"/>
              <w:tabs>
                <w:tab w:val="left" w:pos="4915"/>
              </w:tabs>
              <w:kinsoku/>
              <w:wordWrap/>
              <w:overflowPunct/>
              <w:topLinePunct w:val="0"/>
              <w:bidi w:val="0"/>
              <w:spacing w:line="360" w:lineRule="auto"/>
              <w:jc w:val="center"/>
              <w:rPr>
                <w:color w:val="auto"/>
                <w:sz w:val="22"/>
                <w:szCs w:val="22"/>
                <w:highlight w:val="none"/>
              </w:rPr>
            </w:pPr>
            <w:r>
              <w:rPr>
                <w:rFonts w:hint="eastAsia"/>
                <w:color w:val="auto"/>
                <w:sz w:val="22"/>
                <w:szCs w:val="28"/>
                <w:highlight w:val="none"/>
              </w:rPr>
              <w:t>评分细则</w:t>
            </w:r>
          </w:p>
        </w:tc>
      </w:tr>
      <w:tr w14:paraId="6FE4A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748" w:type="dxa"/>
            <w:vMerge w:val="restart"/>
            <w:noWrap w:val="0"/>
            <w:vAlign w:val="center"/>
          </w:tcPr>
          <w:p w14:paraId="72E9F242">
            <w:pPr>
              <w:pageBreakBefore w:val="0"/>
              <w:kinsoku/>
              <w:wordWrap/>
              <w:overflowPunct/>
              <w:topLinePunct w:val="0"/>
              <w:bidi w:val="0"/>
              <w:spacing w:line="360" w:lineRule="auto"/>
              <w:rPr>
                <w:color w:val="auto"/>
                <w:sz w:val="22"/>
                <w:szCs w:val="22"/>
                <w:highlight w:val="none"/>
              </w:rPr>
            </w:pPr>
            <w:r>
              <w:rPr>
                <w:color w:val="auto"/>
                <w:sz w:val="22"/>
                <w:szCs w:val="22"/>
                <w:highlight w:val="none"/>
              </w:rPr>
              <w:t>技术资信</w:t>
            </w:r>
            <w:r>
              <w:rPr>
                <w:rFonts w:hint="eastAsia"/>
                <w:color w:val="auto"/>
                <w:sz w:val="22"/>
                <w:szCs w:val="22"/>
                <w:highlight w:val="none"/>
              </w:rPr>
              <w:t>部分</w:t>
            </w:r>
            <w:r>
              <w:rPr>
                <w:rFonts w:hint="eastAsia"/>
                <w:color w:val="auto"/>
                <w:sz w:val="22"/>
                <w:szCs w:val="22"/>
                <w:highlight w:val="none"/>
                <w:lang w:val="en-US" w:eastAsia="zh-CN"/>
              </w:rPr>
              <w:t>65</w:t>
            </w:r>
            <w:r>
              <w:rPr>
                <w:color w:val="auto"/>
                <w:sz w:val="22"/>
                <w:szCs w:val="22"/>
                <w:highlight w:val="none"/>
              </w:rPr>
              <w:t>分</w:t>
            </w:r>
          </w:p>
        </w:tc>
        <w:tc>
          <w:tcPr>
            <w:tcW w:w="1270" w:type="dxa"/>
            <w:noWrap w:val="0"/>
            <w:vAlign w:val="center"/>
          </w:tcPr>
          <w:p w14:paraId="2D3F487F">
            <w:pPr>
              <w:pageBreakBefore w:val="0"/>
              <w:kinsoku/>
              <w:wordWrap/>
              <w:overflowPunct/>
              <w:topLinePunct w:val="0"/>
              <w:bidi w:val="0"/>
              <w:spacing w:line="360" w:lineRule="auto"/>
              <w:jc w:val="center"/>
              <w:rPr>
                <w:rFonts w:hint="eastAsia" w:eastAsia="宋体"/>
                <w:color w:val="auto"/>
                <w:sz w:val="22"/>
                <w:szCs w:val="22"/>
                <w:highlight w:val="none"/>
                <w:lang w:eastAsia="zh-CN"/>
              </w:rPr>
            </w:pPr>
            <w:r>
              <w:rPr>
                <w:rFonts w:hint="eastAsia"/>
                <w:color w:val="auto"/>
                <w:sz w:val="22"/>
                <w:szCs w:val="22"/>
                <w:highlight w:val="none"/>
                <w:lang w:val="en-US" w:eastAsia="zh-CN"/>
              </w:rPr>
              <w:t>项目主要</w:t>
            </w:r>
            <w:r>
              <w:rPr>
                <w:color w:val="auto"/>
                <w:sz w:val="22"/>
                <w:szCs w:val="22"/>
                <w:highlight w:val="none"/>
              </w:rPr>
              <w:t>技术</w:t>
            </w:r>
            <w:r>
              <w:rPr>
                <w:rFonts w:hint="eastAsia"/>
                <w:color w:val="auto"/>
                <w:sz w:val="22"/>
                <w:szCs w:val="22"/>
                <w:highlight w:val="none"/>
                <w:lang w:val="en-US" w:eastAsia="zh-CN"/>
              </w:rPr>
              <w:t>要求</w:t>
            </w:r>
          </w:p>
          <w:p w14:paraId="1C7FB905">
            <w:pPr>
              <w:pageBreakBefore w:val="0"/>
              <w:kinsoku/>
              <w:wordWrap/>
              <w:overflowPunct/>
              <w:topLinePunct w:val="0"/>
              <w:bidi w:val="0"/>
              <w:spacing w:line="360" w:lineRule="auto"/>
              <w:jc w:val="center"/>
              <w:rPr>
                <w:color w:val="auto"/>
                <w:sz w:val="22"/>
                <w:szCs w:val="22"/>
                <w:highlight w:val="none"/>
              </w:rPr>
            </w:pPr>
            <w:r>
              <w:rPr>
                <w:color w:val="auto"/>
                <w:sz w:val="22"/>
                <w:szCs w:val="22"/>
                <w:highlight w:val="none"/>
              </w:rPr>
              <w:t>响应情况</w:t>
            </w:r>
          </w:p>
          <w:p w14:paraId="412B9133">
            <w:pPr>
              <w:pageBreakBefore w:val="0"/>
              <w:kinsoku/>
              <w:wordWrap/>
              <w:overflowPunct/>
              <w:topLinePunct w:val="0"/>
              <w:bidi w:val="0"/>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lang w:val="en-US" w:eastAsia="zh-CN"/>
              </w:rPr>
              <w:t>9</w:t>
            </w:r>
            <w:r>
              <w:rPr>
                <w:color w:val="auto"/>
                <w:sz w:val="22"/>
                <w:szCs w:val="22"/>
                <w:highlight w:val="none"/>
              </w:rPr>
              <w:t>分）</w:t>
            </w:r>
          </w:p>
        </w:tc>
        <w:tc>
          <w:tcPr>
            <w:tcW w:w="7367" w:type="dxa"/>
            <w:noWrap w:val="0"/>
            <w:vAlign w:val="center"/>
          </w:tcPr>
          <w:p w14:paraId="74CD9554">
            <w:pPr>
              <w:pageBreakBefore w:val="0"/>
              <w:numPr>
                <w:ilvl w:val="0"/>
                <w:numId w:val="0"/>
              </w:numPr>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1、项目技术要求</w:t>
            </w:r>
            <w:r>
              <w:rPr>
                <w:rFonts w:hint="eastAsia" w:cs="宋体"/>
                <w:color w:val="auto"/>
                <w:sz w:val="22"/>
                <w:szCs w:val="22"/>
                <w:highlight w:val="none"/>
              </w:rPr>
              <w:t>响应情况（</w:t>
            </w:r>
            <w:r>
              <w:rPr>
                <w:rFonts w:hint="eastAsia" w:cs="宋体"/>
                <w:color w:val="auto"/>
                <w:sz w:val="22"/>
                <w:szCs w:val="22"/>
                <w:highlight w:val="none"/>
                <w:lang w:val="en-US" w:eastAsia="zh-CN"/>
              </w:rPr>
              <w:t>9</w:t>
            </w:r>
            <w:r>
              <w:rPr>
                <w:rFonts w:hint="eastAsia" w:cs="宋体"/>
                <w:color w:val="auto"/>
                <w:sz w:val="22"/>
                <w:szCs w:val="22"/>
                <w:highlight w:val="none"/>
              </w:rPr>
              <w:t>分）</w:t>
            </w:r>
          </w:p>
          <w:p w14:paraId="7F99C7C9">
            <w:pPr>
              <w:pageBreakBefore w:val="0"/>
              <w:numPr>
                <w:ilvl w:val="0"/>
                <w:numId w:val="0"/>
              </w:numPr>
              <w:tabs>
                <w:tab w:val="left" w:pos="4915"/>
              </w:tabs>
              <w:kinsoku/>
              <w:wordWrap/>
              <w:overflowPunct/>
              <w:topLinePunct w:val="0"/>
              <w:bidi w:val="0"/>
              <w:spacing w:line="360" w:lineRule="auto"/>
              <w:rPr>
                <w:rFonts w:hint="default" w:cs="宋体"/>
                <w:color w:val="auto"/>
                <w:sz w:val="22"/>
                <w:szCs w:val="22"/>
                <w:highlight w:val="none"/>
                <w:lang w:val="en-US" w:eastAsia="zh-CN"/>
              </w:rPr>
            </w:pPr>
            <w:r>
              <w:rPr>
                <w:rFonts w:hint="eastAsia" w:ascii="Calibri" w:hAnsi="Calibri" w:eastAsia="宋体" w:cs="宋体"/>
                <w:color w:val="auto"/>
                <w:kern w:val="2"/>
                <w:sz w:val="22"/>
                <w:szCs w:val="22"/>
                <w:highlight w:val="none"/>
                <w:lang w:val="en-US" w:eastAsia="zh-CN" w:bidi="ar-SA"/>
              </w:rPr>
              <w:t>响应文件对“采购文件第三部分采购需求”的响应情况：全部满足采购文件要求的得</w:t>
            </w:r>
            <w:r>
              <w:rPr>
                <w:rFonts w:hint="eastAsia" w:cs="宋体"/>
                <w:color w:val="auto"/>
                <w:kern w:val="2"/>
                <w:sz w:val="22"/>
                <w:szCs w:val="22"/>
                <w:highlight w:val="none"/>
                <w:lang w:val="en-US" w:eastAsia="zh-CN" w:bidi="ar-SA"/>
              </w:rPr>
              <w:t>9</w:t>
            </w:r>
            <w:r>
              <w:rPr>
                <w:rFonts w:hint="eastAsia" w:ascii="Calibri" w:hAnsi="Calibri" w:eastAsia="宋体" w:cs="宋体"/>
                <w:color w:val="auto"/>
                <w:kern w:val="2"/>
                <w:sz w:val="22"/>
                <w:szCs w:val="22"/>
                <w:highlight w:val="none"/>
                <w:lang w:val="en-US" w:eastAsia="zh-CN" w:bidi="ar-SA"/>
              </w:rPr>
              <w:t>分，每负偏离一项扣1分，扣完为止。标有“▲”的</w:t>
            </w:r>
            <w:r>
              <w:rPr>
                <w:rFonts w:hint="eastAsia" w:eastAsia="宋体" w:cs="宋体"/>
                <w:color w:val="auto"/>
                <w:kern w:val="2"/>
                <w:sz w:val="22"/>
                <w:szCs w:val="22"/>
                <w:highlight w:val="none"/>
                <w:lang w:val="en-US" w:eastAsia="zh-CN" w:bidi="ar-SA"/>
              </w:rPr>
              <w:t>要求有</w:t>
            </w:r>
            <w:r>
              <w:rPr>
                <w:rFonts w:hint="eastAsia" w:ascii="Calibri" w:hAnsi="Calibri" w:eastAsia="宋体" w:cs="宋体"/>
                <w:color w:val="auto"/>
                <w:kern w:val="2"/>
                <w:sz w:val="22"/>
                <w:szCs w:val="22"/>
                <w:highlight w:val="none"/>
                <w:lang w:val="en-US" w:eastAsia="zh-CN" w:bidi="ar-SA"/>
              </w:rPr>
              <w:t>负偏离</w:t>
            </w:r>
            <w:r>
              <w:rPr>
                <w:rFonts w:hint="eastAsia" w:eastAsia="宋体" w:cs="宋体"/>
                <w:color w:val="auto"/>
                <w:kern w:val="2"/>
                <w:sz w:val="22"/>
                <w:szCs w:val="22"/>
                <w:highlight w:val="none"/>
                <w:lang w:val="en-US" w:eastAsia="zh-CN" w:bidi="ar-SA"/>
              </w:rPr>
              <w:t>的</w:t>
            </w:r>
            <w:r>
              <w:rPr>
                <w:rFonts w:hint="eastAsia" w:ascii="Calibri" w:hAnsi="Calibri" w:eastAsia="宋体" w:cs="宋体"/>
                <w:color w:val="auto"/>
                <w:kern w:val="2"/>
                <w:sz w:val="22"/>
                <w:szCs w:val="22"/>
                <w:highlight w:val="none"/>
                <w:lang w:val="en-US" w:eastAsia="zh-CN" w:bidi="ar-SA"/>
              </w:rPr>
              <w:t>作无效标处理。</w:t>
            </w:r>
          </w:p>
        </w:tc>
      </w:tr>
      <w:tr w14:paraId="2774D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748" w:type="dxa"/>
            <w:vMerge w:val="continue"/>
            <w:noWrap w:val="0"/>
            <w:vAlign w:val="center"/>
          </w:tcPr>
          <w:p w14:paraId="767EB492">
            <w:pPr>
              <w:pageBreakBefore w:val="0"/>
              <w:widowControl/>
              <w:kinsoku/>
              <w:wordWrap/>
              <w:overflowPunct/>
              <w:topLinePunct w:val="0"/>
              <w:bidi w:val="0"/>
              <w:spacing w:line="360" w:lineRule="auto"/>
              <w:jc w:val="left"/>
              <w:rPr>
                <w:color w:val="auto"/>
                <w:sz w:val="22"/>
                <w:szCs w:val="22"/>
                <w:highlight w:val="none"/>
              </w:rPr>
            </w:pPr>
          </w:p>
        </w:tc>
        <w:tc>
          <w:tcPr>
            <w:tcW w:w="1270" w:type="dxa"/>
            <w:vMerge w:val="restart"/>
            <w:noWrap w:val="0"/>
            <w:vAlign w:val="center"/>
          </w:tcPr>
          <w:p w14:paraId="59122158">
            <w:pPr>
              <w:pageBreakBefore w:val="0"/>
              <w:kinsoku/>
              <w:wordWrap/>
              <w:overflowPunct/>
              <w:topLinePunct w:val="0"/>
              <w:bidi w:val="0"/>
              <w:spacing w:line="360" w:lineRule="auto"/>
              <w:jc w:val="center"/>
              <w:rPr>
                <w:rFonts w:hint="eastAsia"/>
                <w:color w:val="auto"/>
                <w:sz w:val="22"/>
                <w:szCs w:val="22"/>
                <w:highlight w:val="none"/>
              </w:rPr>
            </w:pPr>
            <w:r>
              <w:rPr>
                <w:rFonts w:hint="eastAsia"/>
                <w:color w:val="auto"/>
                <w:sz w:val="22"/>
                <w:szCs w:val="22"/>
                <w:highlight w:val="none"/>
              </w:rPr>
              <w:t>施工组织</w:t>
            </w:r>
            <w:r>
              <w:rPr>
                <w:rFonts w:hint="eastAsia"/>
                <w:color w:val="auto"/>
                <w:sz w:val="22"/>
                <w:szCs w:val="22"/>
                <w:highlight w:val="none"/>
                <w:lang w:val="en-US" w:eastAsia="zh-CN"/>
              </w:rPr>
              <w:t>设计</w:t>
            </w:r>
            <w:r>
              <w:rPr>
                <w:rFonts w:hint="eastAsia"/>
                <w:color w:val="auto"/>
                <w:sz w:val="22"/>
                <w:szCs w:val="22"/>
                <w:highlight w:val="none"/>
              </w:rPr>
              <w:t>方案</w:t>
            </w:r>
          </w:p>
          <w:p w14:paraId="61709F7C">
            <w:pPr>
              <w:pageBreakBefore w:val="0"/>
              <w:kinsoku/>
              <w:wordWrap/>
              <w:overflowPunct/>
              <w:topLinePunct w:val="0"/>
              <w:bidi w:val="0"/>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lang w:val="en-US" w:eastAsia="zh-CN"/>
              </w:rPr>
              <w:t>35</w:t>
            </w:r>
            <w:r>
              <w:rPr>
                <w:color w:val="auto"/>
                <w:sz w:val="22"/>
                <w:szCs w:val="22"/>
                <w:highlight w:val="none"/>
              </w:rPr>
              <w:t>分）</w:t>
            </w:r>
          </w:p>
        </w:tc>
        <w:tc>
          <w:tcPr>
            <w:tcW w:w="7367" w:type="dxa"/>
            <w:noWrap w:val="0"/>
            <w:vAlign w:val="center"/>
          </w:tcPr>
          <w:p w14:paraId="3BCAE3DE">
            <w:pPr>
              <w:pageBreakBefore w:val="0"/>
              <w:numPr>
                <w:ilvl w:val="0"/>
                <w:numId w:val="0"/>
              </w:numPr>
              <w:tabs>
                <w:tab w:val="left" w:pos="4915"/>
              </w:tabs>
              <w:kinsoku/>
              <w:wordWrap/>
              <w:overflowPunct/>
              <w:topLinePunct w:val="0"/>
              <w:bidi w:val="0"/>
              <w:spacing w:line="360" w:lineRule="auto"/>
              <w:rPr>
                <w:rFonts w:hint="eastAsia" w:cs="宋体"/>
                <w:color w:val="auto"/>
                <w:sz w:val="22"/>
                <w:szCs w:val="22"/>
                <w:highlight w:val="none"/>
                <w:lang w:val="en-US" w:eastAsia="zh-CN"/>
              </w:rPr>
            </w:pPr>
            <w:r>
              <w:rPr>
                <w:rFonts w:hint="eastAsia" w:ascii="Calibri" w:hAnsi="Calibri" w:eastAsia="宋体" w:cs="宋体"/>
                <w:color w:val="auto"/>
                <w:kern w:val="2"/>
                <w:sz w:val="22"/>
                <w:szCs w:val="22"/>
                <w:lang w:val="en-US" w:eastAsia="zh-CN" w:bidi="ar-SA"/>
              </w:rPr>
              <w:t>2、</w:t>
            </w:r>
            <w:r>
              <w:rPr>
                <w:rFonts w:hint="eastAsia" w:cs="宋体"/>
                <w:color w:val="auto"/>
                <w:sz w:val="22"/>
                <w:szCs w:val="22"/>
                <w:highlight w:val="none"/>
                <w:lang w:val="en-US" w:eastAsia="zh-CN"/>
              </w:rPr>
              <w:t>项目背景调查（5分）</w:t>
            </w:r>
          </w:p>
          <w:p w14:paraId="307114D7">
            <w:pPr>
              <w:pageBreakBefore w:val="0"/>
              <w:numPr>
                <w:ilvl w:val="0"/>
                <w:numId w:val="0"/>
              </w:numPr>
              <w:tabs>
                <w:tab w:val="left" w:pos="4915"/>
              </w:tabs>
              <w:kinsoku/>
              <w:wordWrap/>
              <w:overflowPunct/>
              <w:topLinePunct w:val="0"/>
              <w:bidi w:val="0"/>
              <w:spacing w:line="360" w:lineRule="auto"/>
              <w:rPr>
                <w:rFonts w:hint="default" w:eastAsia="宋体" w:cs="宋体"/>
                <w:color w:val="auto"/>
                <w:sz w:val="22"/>
                <w:szCs w:val="22"/>
                <w:highlight w:val="none"/>
                <w:lang w:val="en-US" w:eastAsia="zh-CN"/>
              </w:rPr>
            </w:pPr>
            <w:r>
              <w:rPr>
                <w:rFonts w:hint="eastAsia" w:cs="宋体"/>
                <w:color w:val="auto"/>
                <w:sz w:val="22"/>
                <w:szCs w:val="22"/>
                <w:highlight w:val="none"/>
              </w:rPr>
              <w:t>评委对</w:t>
            </w:r>
            <w:r>
              <w:rPr>
                <w:rFonts w:hint="eastAsia" w:cs="宋体"/>
                <w:color w:val="auto"/>
                <w:sz w:val="22"/>
                <w:szCs w:val="22"/>
                <w:highlight w:val="none"/>
                <w:lang w:val="en-US" w:eastAsia="zh-CN"/>
              </w:rPr>
              <w:t>供应商根据目前项目情况所进行的调查和分析</w:t>
            </w:r>
            <w:r>
              <w:rPr>
                <w:rFonts w:hint="eastAsia" w:cs="宋体"/>
                <w:color w:val="auto"/>
                <w:sz w:val="22"/>
                <w:szCs w:val="22"/>
                <w:highlight w:val="none"/>
              </w:rPr>
              <w:t>进行综合评议并打分：方案完全符合本项目需求</w:t>
            </w:r>
            <w:r>
              <w:rPr>
                <w:rFonts w:hint="eastAsia" w:cs="宋体"/>
                <w:color w:val="auto"/>
                <w:sz w:val="22"/>
                <w:szCs w:val="22"/>
                <w:highlight w:val="none"/>
                <w:lang w:eastAsia="zh-CN"/>
              </w:rPr>
              <w:t>、</w:t>
            </w:r>
            <w:r>
              <w:rPr>
                <w:rFonts w:hint="eastAsia" w:cs="宋体"/>
                <w:color w:val="auto"/>
                <w:sz w:val="22"/>
                <w:szCs w:val="22"/>
                <w:highlight w:val="none"/>
                <w:lang w:val="en-US" w:eastAsia="zh-CN"/>
              </w:rPr>
              <w:t>调查充分、分析全面</w:t>
            </w:r>
            <w:r>
              <w:rPr>
                <w:rFonts w:hint="eastAsia" w:cs="宋体"/>
                <w:color w:val="auto"/>
                <w:sz w:val="22"/>
                <w:szCs w:val="22"/>
                <w:highlight w:val="none"/>
              </w:rPr>
              <w:t>的得5分</w:t>
            </w:r>
            <w:r>
              <w:rPr>
                <w:rFonts w:hint="eastAsia" w:cs="宋体"/>
                <w:color w:val="auto"/>
                <w:sz w:val="22"/>
                <w:szCs w:val="22"/>
                <w:highlight w:val="none"/>
                <w:lang w:eastAsia="zh-CN"/>
              </w:rPr>
              <w:t>；</w:t>
            </w:r>
            <w:r>
              <w:rPr>
                <w:rFonts w:hint="eastAsia" w:cs="宋体"/>
                <w:color w:val="auto"/>
                <w:sz w:val="22"/>
                <w:szCs w:val="22"/>
                <w:highlight w:val="none"/>
              </w:rPr>
              <w:t>方案能满足项目的</w:t>
            </w:r>
            <w:r>
              <w:rPr>
                <w:rFonts w:hint="eastAsia" w:cs="宋体"/>
                <w:color w:val="auto"/>
                <w:sz w:val="22"/>
                <w:szCs w:val="22"/>
                <w:highlight w:val="none"/>
                <w:lang w:val="en-US" w:eastAsia="zh-CN"/>
              </w:rPr>
              <w:t>主体</w:t>
            </w:r>
            <w:r>
              <w:rPr>
                <w:rFonts w:hint="eastAsia" w:cs="宋体"/>
                <w:color w:val="auto"/>
                <w:sz w:val="22"/>
                <w:szCs w:val="22"/>
                <w:highlight w:val="none"/>
              </w:rPr>
              <w:t>需求，</w:t>
            </w:r>
            <w:r>
              <w:rPr>
                <w:rFonts w:hint="eastAsia" w:cs="宋体"/>
                <w:color w:val="auto"/>
                <w:sz w:val="22"/>
                <w:szCs w:val="22"/>
                <w:highlight w:val="none"/>
                <w:lang w:val="en-US" w:eastAsia="zh-CN"/>
              </w:rPr>
              <w:t>调查不够充分、分析不够全面</w:t>
            </w:r>
            <w:r>
              <w:rPr>
                <w:rFonts w:hint="eastAsia" w:cs="宋体"/>
                <w:color w:val="auto"/>
                <w:sz w:val="22"/>
                <w:szCs w:val="22"/>
                <w:highlight w:val="none"/>
              </w:rPr>
              <w:t>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方案有明显缺漏项</w:t>
            </w:r>
            <w:r>
              <w:rPr>
                <w:rFonts w:hint="eastAsia" w:cs="宋体"/>
                <w:color w:val="auto"/>
                <w:sz w:val="22"/>
                <w:szCs w:val="22"/>
                <w:highlight w:val="none"/>
                <w:lang w:val="en-US" w:eastAsia="zh-CN"/>
              </w:rPr>
              <w:t>或没有针对性</w:t>
            </w:r>
            <w:r>
              <w:rPr>
                <w:rFonts w:hint="eastAsia" w:cs="宋体"/>
                <w:color w:val="auto"/>
                <w:sz w:val="22"/>
                <w:szCs w:val="22"/>
                <w:highlight w:val="none"/>
              </w:rPr>
              <w:t>，</w:t>
            </w:r>
            <w:r>
              <w:rPr>
                <w:rFonts w:hint="eastAsia" w:cs="宋体"/>
                <w:color w:val="auto"/>
                <w:sz w:val="22"/>
                <w:szCs w:val="22"/>
                <w:highlight w:val="none"/>
                <w:lang w:val="en-US" w:eastAsia="zh-CN"/>
              </w:rPr>
              <w:t>难以</w:t>
            </w:r>
            <w:r>
              <w:rPr>
                <w:rFonts w:hint="eastAsia" w:cs="宋体"/>
                <w:color w:val="auto"/>
                <w:sz w:val="22"/>
                <w:szCs w:val="22"/>
                <w:highlight w:val="none"/>
              </w:rPr>
              <w:t>保证满足项目</w:t>
            </w:r>
            <w:r>
              <w:rPr>
                <w:rFonts w:hint="eastAsia" w:cs="宋体"/>
                <w:color w:val="auto"/>
                <w:sz w:val="22"/>
                <w:szCs w:val="22"/>
                <w:highlight w:val="none"/>
                <w:lang w:val="en-US" w:eastAsia="zh-CN"/>
              </w:rPr>
              <w:t>实施</w:t>
            </w:r>
            <w:r>
              <w:rPr>
                <w:rFonts w:hint="eastAsia" w:cs="宋体"/>
                <w:color w:val="auto"/>
                <w:sz w:val="22"/>
                <w:szCs w:val="22"/>
                <w:highlight w:val="none"/>
              </w:rPr>
              <w:t>的得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1E654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48" w:type="dxa"/>
            <w:vMerge w:val="continue"/>
            <w:noWrap w:val="0"/>
            <w:vAlign w:val="center"/>
          </w:tcPr>
          <w:p w14:paraId="08AF7AD4">
            <w:pPr>
              <w:pageBreakBefore w:val="0"/>
              <w:widowControl/>
              <w:kinsoku/>
              <w:wordWrap/>
              <w:overflowPunct/>
              <w:topLinePunct w:val="0"/>
              <w:bidi w:val="0"/>
              <w:spacing w:line="360" w:lineRule="auto"/>
              <w:jc w:val="left"/>
              <w:rPr>
                <w:color w:val="auto"/>
                <w:sz w:val="22"/>
                <w:szCs w:val="22"/>
                <w:highlight w:val="none"/>
              </w:rPr>
            </w:pPr>
          </w:p>
        </w:tc>
        <w:tc>
          <w:tcPr>
            <w:tcW w:w="1270" w:type="dxa"/>
            <w:vMerge w:val="continue"/>
            <w:noWrap w:val="0"/>
            <w:vAlign w:val="center"/>
          </w:tcPr>
          <w:p w14:paraId="26F85D69">
            <w:pPr>
              <w:pageBreakBefore w:val="0"/>
              <w:widowControl/>
              <w:kinsoku/>
              <w:wordWrap/>
              <w:overflowPunct/>
              <w:topLinePunct w:val="0"/>
              <w:bidi w:val="0"/>
              <w:spacing w:line="360" w:lineRule="auto"/>
              <w:jc w:val="left"/>
              <w:rPr>
                <w:color w:val="auto"/>
                <w:sz w:val="22"/>
                <w:szCs w:val="22"/>
                <w:highlight w:val="none"/>
              </w:rPr>
            </w:pPr>
          </w:p>
        </w:tc>
        <w:tc>
          <w:tcPr>
            <w:tcW w:w="7367" w:type="dxa"/>
            <w:noWrap w:val="0"/>
            <w:vAlign w:val="center"/>
          </w:tcPr>
          <w:p w14:paraId="2594B41C">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3、</w:t>
            </w:r>
            <w:r>
              <w:rPr>
                <w:rFonts w:hint="eastAsia" w:cs="宋体"/>
                <w:color w:val="auto"/>
                <w:sz w:val="22"/>
                <w:szCs w:val="22"/>
                <w:highlight w:val="none"/>
              </w:rPr>
              <w:t>整体施工组织</w:t>
            </w:r>
            <w:r>
              <w:rPr>
                <w:rFonts w:hint="eastAsia" w:cs="宋体"/>
                <w:color w:val="auto"/>
                <w:sz w:val="22"/>
                <w:szCs w:val="22"/>
                <w:highlight w:val="none"/>
                <w:lang w:val="en-US" w:eastAsia="zh-CN"/>
              </w:rPr>
              <w:t>实施</w:t>
            </w:r>
            <w:r>
              <w:rPr>
                <w:rFonts w:hint="eastAsia" w:cs="宋体"/>
                <w:color w:val="auto"/>
                <w:sz w:val="22"/>
                <w:szCs w:val="22"/>
                <w:highlight w:val="none"/>
              </w:rPr>
              <w:t>方案（5分）</w:t>
            </w:r>
          </w:p>
          <w:p w14:paraId="28FF1F9E">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2"/>
                <w:szCs w:val="22"/>
                <w:highlight w:val="none"/>
                <w:lang w:val="en-US" w:eastAsia="zh-CN" w:bidi="ar-SA"/>
              </w:rPr>
            </w:pPr>
            <w:r>
              <w:rPr>
                <w:rFonts w:hint="eastAsia" w:cs="宋体"/>
                <w:color w:val="auto"/>
                <w:sz w:val="22"/>
                <w:szCs w:val="22"/>
                <w:highlight w:val="none"/>
              </w:rPr>
              <w:t>评委对</w:t>
            </w:r>
            <w:r>
              <w:rPr>
                <w:rFonts w:hint="eastAsia" w:cs="宋体"/>
                <w:color w:val="auto"/>
                <w:sz w:val="22"/>
                <w:szCs w:val="22"/>
                <w:highlight w:val="none"/>
                <w:lang w:val="en-US" w:eastAsia="zh-CN"/>
              </w:rPr>
              <w:t>供应商提供</w:t>
            </w:r>
            <w:r>
              <w:rPr>
                <w:rFonts w:hint="eastAsia" w:cs="宋体"/>
                <w:color w:val="auto"/>
                <w:sz w:val="22"/>
                <w:szCs w:val="22"/>
                <w:highlight w:val="none"/>
              </w:rPr>
              <w:t>整体施工组织</w:t>
            </w:r>
            <w:r>
              <w:rPr>
                <w:rFonts w:hint="eastAsia" w:cs="宋体"/>
                <w:color w:val="auto"/>
                <w:sz w:val="22"/>
                <w:szCs w:val="22"/>
                <w:highlight w:val="none"/>
                <w:lang w:val="en-US" w:eastAsia="zh-CN"/>
              </w:rPr>
              <w:t>实施</w:t>
            </w:r>
            <w:r>
              <w:rPr>
                <w:rFonts w:hint="eastAsia" w:cs="宋体"/>
                <w:color w:val="auto"/>
                <w:sz w:val="22"/>
                <w:szCs w:val="22"/>
                <w:highlight w:val="none"/>
              </w:rPr>
              <w:t>方案</w:t>
            </w:r>
            <w:r>
              <w:rPr>
                <w:rFonts w:hint="eastAsia" w:cs="宋体"/>
                <w:color w:val="auto"/>
                <w:sz w:val="22"/>
                <w:szCs w:val="22"/>
                <w:highlight w:val="none"/>
                <w:lang w:val="en-US" w:eastAsia="zh-CN"/>
              </w:rPr>
              <w:t>实施</w:t>
            </w:r>
            <w:r>
              <w:rPr>
                <w:rFonts w:hint="eastAsia" w:cs="宋体"/>
                <w:color w:val="auto"/>
                <w:sz w:val="22"/>
                <w:szCs w:val="22"/>
                <w:highlight w:val="none"/>
              </w:rPr>
              <w:t>进行综合评议并打分：方案完全符合本项目需求</w:t>
            </w:r>
            <w:r>
              <w:rPr>
                <w:rFonts w:hint="eastAsia" w:cs="宋体"/>
                <w:color w:val="auto"/>
                <w:sz w:val="22"/>
                <w:szCs w:val="22"/>
                <w:highlight w:val="none"/>
                <w:lang w:eastAsia="zh-CN"/>
              </w:rPr>
              <w:t>、</w:t>
            </w:r>
            <w:r>
              <w:rPr>
                <w:rFonts w:hint="eastAsia" w:cs="宋体"/>
                <w:color w:val="auto"/>
                <w:sz w:val="22"/>
                <w:szCs w:val="22"/>
                <w:highlight w:val="none"/>
                <w:lang w:val="en-US" w:eastAsia="zh-CN"/>
              </w:rPr>
              <w:t>工程关键节点分析准确、把控得当</w:t>
            </w:r>
            <w:r>
              <w:rPr>
                <w:rFonts w:hint="eastAsia" w:cs="宋体"/>
                <w:color w:val="auto"/>
                <w:sz w:val="22"/>
                <w:szCs w:val="22"/>
                <w:highlight w:val="none"/>
              </w:rPr>
              <w:t>的得5分</w:t>
            </w:r>
            <w:r>
              <w:rPr>
                <w:rFonts w:hint="eastAsia" w:cs="宋体"/>
                <w:color w:val="auto"/>
                <w:sz w:val="22"/>
                <w:szCs w:val="22"/>
                <w:highlight w:val="none"/>
                <w:lang w:eastAsia="zh-CN"/>
              </w:rPr>
              <w:t>；</w:t>
            </w:r>
            <w:r>
              <w:rPr>
                <w:rFonts w:hint="eastAsia" w:cs="宋体"/>
                <w:color w:val="auto"/>
                <w:sz w:val="22"/>
                <w:szCs w:val="22"/>
                <w:highlight w:val="none"/>
              </w:rPr>
              <w:t>方案能满足项目的</w:t>
            </w:r>
            <w:r>
              <w:rPr>
                <w:rFonts w:hint="eastAsia" w:cs="宋体"/>
                <w:color w:val="auto"/>
                <w:sz w:val="22"/>
                <w:szCs w:val="22"/>
                <w:highlight w:val="none"/>
                <w:lang w:val="en-US" w:eastAsia="zh-CN"/>
              </w:rPr>
              <w:t>主体</w:t>
            </w:r>
            <w:r>
              <w:rPr>
                <w:rFonts w:hint="eastAsia" w:cs="宋体"/>
                <w:color w:val="auto"/>
                <w:sz w:val="22"/>
                <w:szCs w:val="22"/>
                <w:highlight w:val="none"/>
              </w:rPr>
              <w:t>需求，</w:t>
            </w:r>
            <w:r>
              <w:rPr>
                <w:rFonts w:hint="eastAsia" w:cs="宋体"/>
                <w:color w:val="auto"/>
                <w:sz w:val="22"/>
                <w:szCs w:val="22"/>
                <w:highlight w:val="none"/>
                <w:lang w:val="en-US" w:eastAsia="zh-CN"/>
              </w:rPr>
              <w:t>工程关键节点把控不够明确</w:t>
            </w:r>
            <w:r>
              <w:rPr>
                <w:rFonts w:hint="eastAsia" w:cs="宋体"/>
                <w:color w:val="auto"/>
                <w:sz w:val="22"/>
                <w:szCs w:val="22"/>
                <w:highlight w:val="none"/>
              </w:rPr>
              <w:t>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方案有明显缺漏项</w:t>
            </w:r>
            <w:r>
              <w:rPr>
                <w:rFonts w:hint="eastAsia" w:cs="宋体"/>
                <w:color w:val="auto"/>
                <w:sz w:val="22"/>
                <w:szCs w:val="22"/>
                <w:highlight w:val="none"/>
                <w:lang w:val="en-US" w:eastAsia="zh-CN"/>
              </w:rPr>
              <w:t>或没有针对性</w:t>
            </w:r>
            <w:r>
              <w:rPr>
                <w:rFonts w:hint="eastAsia" w:cs="宋体"/>
                <w:color w:val="auto"/>
                <w:sz w:val="22"/>
                <w:szCs w:val="22"/>
                <w:highlight w:val="none"/>
              </w:rPr>
              <w:t>，</w:t>
            </w:r>
            <w:r>
              <w:rPr>
                <w:rFonts w:hint="eastAsia" w:cs="宋体"/>
                <w:color w:val="auto"/>
                <w:sz w:val="22"/>
                <w:szCs w:val="22"/>
                <w:highlight w:val="none"/>
                <w:lang w:val="en-US" w:eastAsia="zh-CN"/>
              </w:rPr>
              <w:t>难以</w:t>
            </w:r>
            <w:r>
              <w:rPr>
                <w:rFonts w:hint="eastAsia" w:cs="宋体"/>
                <w:color w:val="auto"/>
                <w:sz w:val="22"/>
                <w:szCs w:val="22"/>
                <w:highlight w:val="none"/>
              </w:rPr>
              <w:t>保证满足项目</w:t>
            </w:r>
            <w:r>
              <w:rPr>
                <w:rFonts w:hint="eastAsia" w:cs="宋体"/>
                <w:color w:val="auto"/>
                <w:sz w:val="22"/>
                <w:szCs w:val="22"/>
                <w:highlight w:val="none"/>
                <w:lang w:val="en-US" w:eastAsia="zh-CN"/>
              </w:rPr>
              <w:t>实施</w:t>
            </w:r>
            <w:r>
              <w:rPr>
                <w:rFonts w:hint="eastAsia" w:cs="宋体"/>
                <w:color w:val="auto"/>
                <w:sz w:val="22"/>
                <w:szCs w:val="22"/>
                <w:highlight w:val="none"/>
              </w:rPr>
              <w:t>的得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4093B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748" w:type="dxa"/>
            <w:vMerge w:val="continue"/>
            <w:noWrap w:val="0"/>
            <w:vAlign w:val="center"/>
          </w:tcPr>
          <w:p w14:paraId="2A8BC362">
            <w:pPr>
              <w:pageBreakBefore w:val="0"/>
              <w:widowControl/>
              <w:kinsoku/>
              <w:wordWrap/>
              <w:overflowPunct/>
              <w:topLinePunct w:val="0"/>
              <w:bidi w:val="0"/>
              <w:spacing w:line="360" w:lineRule="auto"/>
              <w:jc w:val="left"/>
              <w:rPr>
                <w:color w:val="auto"/>
                <w:sz w:val="22"/>
                <w:szCs w:val="22"/>
                <w:highlight w:val="none"/>
              </w:rPr>
            </w:pPr>
          </w:p>
        </w:tc>
        <w:tc>
          <w:tcPr>
            <w:tcW w:w="1270" w:type="dxa"/>
            <w:vMerge w:val="continue"/>
            <w:noWrap w:val="0"/>
            <w:vAlign w:val="center"/>
          </w:tcPr>
          <w:p w14:paraId="19304315">
            <w:pPr>
              <w:pageBreakBefore w:val="0"/>
              <w:widowControl/>
              <w:kinsoku/>
              <w:wordWrap/>
              <w:overflowPunct/>
              <w:topLinePunct w:val="0"/>
              <w:bidi w:val="0"/>
              <w:spacing w:line="360" w:lineRule="auto"/>
              <w:jc w:val="left"/>
              <w:rPr>
                <w:color w:val="auto"/>
                <w:sz w:val="22"/>
                <w:szCs w:val="22"/>
                <w:highlight w:val="none"/>
              </w:rPr>
            </w:pPr>
          </w:p>
        </w:tc>
        <w:tc>
          <w:tcPr>
            <w:tcW w:w="7367" w:type="dxa"/>
            <w:noWrap w:val="0"/>
            <w:vAlign w:val="center"/>
          </w:tcPr>
          <w:p w14:paraId="7C2D2E9B">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4、</w:t>
            </w:r>
            <w:r>
              <w:rPr>
                <w:rFonts w:hint="eastAsia" w:cs="宋体"/>
                <w:color w:val="auto"/>
                <w:sz w:val="22"/>
                <w:szCs w:val="22"/>
                <w:highlight w:val="none"/>
              </w:rPr>
              <w:t>工程质量保证措施（5分）</w:t>
            </w:r>
          </w:p>
          <w:p w14:paraId="2FE8EE96">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2"/>
                <w:szCs w:val="22"/>
                <w:highlight w:val="none"/>
                <w:lang w:val="en-US" w:eastAsia="zh-CN" w:bidi="ar-SA"/>
              </w:rPr>
            </w:pPr>
            <w:r>
              <w:rPr>
                <w:rFonts w:hint="eastAsia" w:cs="宋体"/>
                <w:color w:val="auto"/>
                <w:sz w:val="22"/>
                <w:szCs w:val="22"/>
                <w:highlight w:val="none"/>
              </w:rPr>
              <w:t>评委对</w:t>
            </w:r>
            <w:r>
              <w:rPr>
                <w:rFonts w:hint="eastAsia" w:cs="宋体"/>
                <w:color w:val="auto"/>
                <w:sz w:val="22"/>
                <w:szCs w:val="22"/>
                <w:highlight w:val="none"/>
                <w:lang w:val="en-US" w:eastAsia="zh-CN"/>
              </w:rPr>
              <w:t>供应商提供</w:t>
            </w:r>
            <w:r>
              <w:rPr>
                <w:rFonts w:hint="eastAsia" w:cs="宋体"/>
                <w:color w:val="auto"/>
                <w:sz w:val="22"/>
                <w:szCs w:val="22"/>
                <w:highlight w:val="none"/>
              </w:rPr>
              <w:t>工程质量保证措施进行综合评议并打分：</w:t>
            </w:r>
            <w:r>
              <w:rPr>
                <w:rFonts w:hint="eastAsia" w:cs="宋体"/>
                <w:color w:val="auto"/>
                <w:sz w:val="22"/>
                <w:szCs w:val="22"/>
                <w:highlight w:val="none"/>
                <w:lang w:val="en-US" w:eastAsia="zh-CN"/>
              </w:rPr>
              <w:t>各项保证</w:t>
            </w:r>
            <w:r>
              <w:rPr>
                <w:rFonts w:hint="eastAsia" w:cs="宋体"/>
                <w:color w:val="auto"/>
                <w:sz w:val="22"/>
                <w:szCs w:val="22"/>
                <w:highlight w:val="none"/>
              </w:rPr>
              <w:t>措施有力</w:t>
            </w:r>
            <w:r>
              <w:rPr>
                <w:rFonts w:hint="eastAsia" w:cs="宋体"/>
                <w:color w:val="auto"/>
                <w:sz w:val="22"/>
                <w:szCs w:val="22"/>
                <w:highlight w:val="none"/>
                <w:lang w:eastAsia="zh-CN"/>
              </w:rPr>
              <w:t>、</w:t>
            </w:r>
            <w:r>
              <w:rPr>
                <w:rFonts w:hint="eastAsia" w:cs="宋体"/>
                <w:color w:val="auto"/>
                <w:sz w:val="22"/>
                <w:szCs w:val="22"/>
                <w:highlight w:val="none"/>
                <w:lang w:val="en-US" w:eastAsia="zh-CN"/>
              </w:rPr>
              <w:t>符合行业规范</w:t>
            </w:r>
            <w:r>
              <w:rPr>
                <w:rFonts w:hint="eastAsia" w:cs="宋体"/>
                <w:color w:val="auto"/>
                <w:sz w:val="22"/>
                <w:szCs w:val="22"/>
                <w:highlight w:val="none"/>
              </w:rPr>
              <w:t>、符合本项目需求的得</w:t>
            </w:r>
            <w:r>
              <w:rPr>
                <w:rFonts w:hint="eastAsia" w:cs="宋体"/>
                <w:color w:val="auto"/>
                <w:sz w:val="22"/>
                <w:szCs w:val="22"/>
                <w:highlight w:val="none"/>
                <w:lang w:val="en-US" w:eastAsia="zh-CN"/>
              </w:rPr>
              <w:t>5</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措施上有</w:t>
            </w:r>
            <w:r>
              <w:rPr>
                <w:rFonts w:hint="eastAsia" w:cs="宋体"/>
                <w:color w:val="auto"/>
                <w:sz w:val="22"/>
                <w:szCs w:val="22"/>
                <w:highlight w:val="none"/>
                <w:lang w:val="en-US" w:eastAsia="zh-CN"/>
              </w:rPr>
              <w:t>部分非主体内容的欠缺</w:t>
            </w:r>
            <w:r>
              <w:rPr>
                <w:rFonts w:hint="eastAsia" w:cs="宋体"/>
                <w:color w:val="auto"/>
                <w:sz w:val="22"/>
                <w:szCs w:val="22"/>
                <w:highlight w:val="none"/>
              </w:rPr>
              <w:t>，</w:t>
            </w:r>
            <w:r>
              <w:rPr>
                <w:rFonts w:hint="eastAsia" w:cs="宋体"/>
                <w:color w:val="auto"/>
                <w:sz w:val="22"/>
                <w:szCs w:val="22"/>
                <w:highlight w:val="none"/>
                <w:lang w:val="en-US" w:eastAsia="zh-CN"/>
              </w:rPr>
              <w:t>尚不影响履约</w:t>
            </w:r>
            <w:r>
              <w:rPr>
                <w:rFonts w:hint="eastAsia" w:cs="宋体"/>
                <w:color w:val="auto"/>
                <w:sz w:val="22"/>
                <w:szCs w:val="22"/>
                <w:highlight w:val="none"/>
              </w:rPr>
              <w:t>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措施</w:t>
            </w:r>
            <w:r>
              <w:rPr>
                <w:rFonts w:hint="eastAsia" w:cs="宋体"/>
                <w:color w:val="auto"/>
                <w:sz w:val="22"/>
                <w:szCs w:val="22"/>
                <w:highlight w:val="none"/>
                <w:lang w:val="en-US" w:eastAsia="zh-CN"/>
              </w:rPr>
              <w:t>上有主体内容的缺项</w:t>
            </w:r>
            <w:r>
              <w:rPr>
                <w:rFonts w:hint="eastAsia" w:cs="宋体"/>
                <w:color w:val="auto"/>
                <w:sz w:val="22"/>
                <w:szCs w:val="22"/>
                <w:highlight w:val="none"/>
              </w:rPr>
              <w:t>或缺少具体</w:t>
            </w:r>
            <w:r>
              <w:rPr>
                <w:rFonts w:hint="eastAsia" w:cs="宋体"/>
                <w:color w:val="auto"/>
                <w:sz w:val="22"/>
                <w:szCs w:val="22"/>
                <w:highlight w:val="none"/>
                <w:lang w:val="en-US" w:eastAsia="zh-CN"/>
              </w:rPr>
              <w:t>有效的保证措施</w:t>
            </w:r>
            <w:r>
              <w:rPr>
                <w:rFonts w:hint="eastAsia" w:cs="宋体"/>
                <w:color w:val="auto"/>
                <w:sz w:val="22"/>
                <w:szCs w:val="22"/>
                <w:highlight w:val="none"/>
              </w:rPr>
              <w:t>，</w:t>
            </w:r>
            <w:r>
              <w:rPr>
                <w:rFonts w:hint="eastAsia" w:cs="宋体"/>
                <w:color w:val="auto"/>
                <w:sz w:val="22"/>
                <w:szCs w:val="22"/>
                <w:highlight w:val="none"/>
                <w:lang w:val="en-US" w:eastAsia="zh-CN"/>
              </w:rPr>
              <w:t>难以</w:t>
            </w:r>
            <w:r>
              <w:rPr>
                <w:rFonts w:hint="eastAsia" w:cs="宋体"/>
                <w:color w:val="auto"/>
                <w:sz w:val="22"/>
                <w:szCs w:val="22"/>
                <w:highlight w:val="none"/>
              </w:rPr>
              <w:t>保证满足项目需求的得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66F07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14:paraId="38254A3B">
            <w:pPr>
              <w:pageBreakBefore w:val="0"/>
              <w:widowControl/>
              <w:kinsoku/>
              <w:wordWrap/>
              <w:overflowPunct/>
              <w:topLinePunct w:val="0"/>
              <w:bidi w:val="0"/>
              <w:spacing w:line="360" w:lineRule="auto"/>
              <w:jc w:val="left"/>
              <w:rPr>
                <w:color w:val="auto"/>
                <w:sz w:val="22"/>
                <w:szCs w:val="22"/>
                <w:highlight w:val="none"/>
              </w:rPr>
            </w:pPr>
          </w:p>
        </w:tc>
        <w:tc>
          <w:tcPr>
            <w:tcW w:w="1270" w:type="dxa"/>
            <w:vMerge w:val="continue"/>
            <w:noWrap w:val="0"/>
            <w:vAlign w:val="center"/>
          </w:tcPr>
          <w:p w14:paraId="29A5FDA9">
            <w:pPr>
              <w:pageBreakBefore w:val="0"/>
              <w:widowControl/>
              <w:kinsoku/>
              <w:wordWrap/>
              <w:overflowPunct/>
              <w:topLinePunct w:val="0"/>
              <w:bidi w:val="0"/>
              <w:spacing w:line="360" w:lineRule="auto"/>
              <w:jc w:val="left"/>
              <w:rPr>
                <w:color w:val="auto"/>
                <w:sz w:val="22"/>
                <w:szCs w:val="22"/>
                <w:highlight w:val="none"/>
              </w:rPr>
            </w:pPr>
          </w:p>
        </w:tc>
        <w:tc>
          <w:tcPr>
            <w:tcW w:w="7367" w:type="dxa"/>
            <w:noWrap w:val="0"/>
            <w:vAlign w:val="center"/>
          </w:tcPr>
          <w:p w14:paraId="45715CF6">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5、</w:t>
            </w:r>
            <w:r>
              <w:rPr>
                <w:rFonts w:hint="eastAsia" w:cs="宋体"/>
                <w:color w:val="auto"/>
                <w:sz w:val="22"/>
                <w:szCs w:val="22"/>
                <w:highlight w:val="none"/>
              </w:rPr>
              <w:t>施工进度管理与控制</w:t>
            </w:r>
            <w:r>
              <w:rPr>
                <w:rFonts w:hint="eastAsia" w:cs="宋体"/>
                <w:color w:val="auto"/>
                <w:sz w:val="22"/>
                <w:szCs w:val="22"/>
                <w:highlight w:val="none"/>
                <w:lang w:val="en-US" w:eastAsia="zh-CN"/>
              </w:rPr>
              <w:t>方案</w:t>
            </w:r>
            <w:r>
              <w:rPr>
                <w:rFonts w:hint="eastAsia" w:cs="宋体"/>
                <w:color w:val="auto"/>
                <w:sz w:val="22"/>
                <w:szCs w:val="22"/>
                <w:highlight w:val="none"/>
              </w:rPr>
              <w:t>（5分）</w:t>
            </w:r>
          </w:p>
          <w:p w14:paraId="37E02C45">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2"/>
                <w:szCs w:val="22"/>
                <w:highlight w:val="none"/>
                <w:lang w:val="en-US" w:eastAsia="zh-CN" w:bidi="ar-SA"/>
              </w:rPr>
            </w:pPr>
            <w:r>
              <w:rPr>
                <w:rFonts w:hint="eastAsia" w:cs="宋体"/>
                <w:color w:val="auto"/>
                <w:sz w:val="22"/>
                <w:szCs w:val="22"/>
                <w:highlight w:val="none"/>
              </w:rPr>
              <w:t>评委对</w:t>
            </w:r>
            <w:r>
              <w:rPr>
                <w:rFonts w:hint="eastAsia" w:cs="宋体"/>
                <w:color w:val="auto"/>
                <w:sz w:val="22"/>
                <w:szCs w:val="22"/>
                <w:highlight w:val="none"/>
                <w:lang w:val="en-US" w:eastAsia="zh-CN"/>
              </w:rPr>
              <w:t>供应商提供</w:t>
            </w:r>
            <w:r>
              <w:rPr>
                <w:rFonts w:hint="eastAsia" w:cs="宋体"/>
                <w:color w:val="auto"/>
                <w:sz w:val="22"/>
                <w:szCs w:val="22"/>
                <w:highlight w:val="none"/>
              </w:rPr>
              <w:t>施工进度管理与控制</w:t>
            </w:r>
            <w:r>
              <w:rPr>
                <w:rFonts w:hint="eastAsia" w:cs="宋体"/>
                <w:color w:val="auto"/>
                <w:sz w:val="22"/>
                <w:szCs w:val="22"/>
                <w:highlight w:val="none"/>
                <w:lang w:val="en-US" w:eastAsia="zh-CN"/>
              </w:rPr>
              <w:t>方案</w:t>
            </w:r>
            <w:r>
              <w:rPr>
                <w:rFonts w:hint="eastAsia" w:cs="宋体"/>
                <w:color w:val="auto"/>
                <w:sz w:val="22"/>
                <w:szCs w:val="22"/>
                <w:highlight w:val="none"/>
              </w:rPr>
              <w:t>进行综合评议并打分：</w:t>
            </w:r>
            <w:r>
              <w:rPr>
                <w:rFonts w:hint="eastAsia" w:cs="宋体"/>
                <w:color w:val="auto"/>
                <w:sz w:val="22"/>
                <w:szCs w:val="22"/>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p>
        </w:tc>
      </w:tr>
      <w:tr w14:paraId="1B3FD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14:paraId="5BDAF502">
            <w:pPr>
              <w:pageBreakBefore w:val="0"/>
              <w:widowControl/>
              <w:kinsoku/>
              <w:wordWrap/>
              <w:overflowPunct/>
              <w:topLinePunct w:val="0"/>
              <w:bidi w:val="0"/>
              <w:spacing w:line="360" w:lineRule="auto"/>
              <w:jc w:val="left"/>
              <w:rPr>
                <w:color w:val="auto"/>
                <w:sz w:val="22"/>
                <w:szCs w:val="22"/>
                <w:highlight w:val="none"/>
              </w:rPr>
            </w:pPr>
          </w:p>
        </w:tc>
        <w:tc>
          <w:tcPr>
            <w:tcW w:w="1270" w:type="dxa"/>
            <w:vMerge w:val="continue"/>
            <w:noWrap w:val="0"/>
            <w:vAlign w:val="center"/>
          </w:tcPr>
          <w:p w14:paraId="4AC93BF6">
            <w:pPr>
              <w:pageBreakBefore w:val="0"/>
              <w:widowControl/>
              <w:kinsoku/>
              <w:wordWrap/>
              <w:overflowPunct/>
              <w:topLinePunct w:val="0"/>
              <w:bidi w:val="0"/>
              <w:spacing w:line="360" w:lineRule="auto"/>
              <w:jc w:val="left"/>
              <w:rPr>
                <w:color w:val="auto"/>
                <w:sz w:val="22"/>
                <w:szCs w:val="22"/>
                <w:highlight w:val="none"/>
              </w:rPr>
            </w:pPr>
          </w:p>
        </w:tc>
        <w:tc>
          <w:tcPr>
            <w:tcW w:w="7367" w:type="dxa"/>
            <w:noWrap w:val="0"/>
            <w:vAlign w:val="center"/>
          </w:tcPr>
          <w:p w14:paraId="50FF9E1E">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6、</w:t>
            </w:r>
            <w:r>
              <w:rPr>
                <w:rFonts w:hint="eastAsia" w:cs="宋体"/>
                <w:color w:val="auto"/>
                <w:sz w:val="22"/>
                <w:szCs w:val="22"/>
                <w:highlight w:val="none"/>
              </w:rPr>
              <w:t>安全生产、文明施工措施（5分）</w:t>
            </w:r>
          </w:p>
          <w:p w14:paraId="36B2B130">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2"/>
                <w:szCs w:val="22"/>
                <w:highlight w:val="none"/>
                <w:lang w:val="en-US" w:eastAsia="zh-CN" w:bidi="ar-SA"/>
              </w:rPr>
            </w:pPr>
            <w:r>
              <w:rPr>
                <w:rFonts w:hint="eastAsia" w:cs="宋体"/>
                <w:color w:val="auto"/>
                <w:sz w:val="22"/>
                <w:szCs w:val="22"/>
                <w:highlight w:val="none"/>
              </w:rPr>
              <w:t>评委对</w:t>
            </w:r>
            <w:r>
              <w:rPr>
                <w:rFonts w:hint="eastAsia" w:cs="宋体"/>
                <w:color w:val="auto"/>
                <w:sz w:val="22"/>
                <w:szCs w:val="22"/>
                <w:highlight w:val="none"/>
                <w:lang w:val="en-US" w:eastAsia="zh-CN"/>
              </w:rPr>
              <w:t>供应商提供</w:t>
            </w:r>
            <w:r>
              <w:rPr>
                <w:rFonts w:hint="eastAsia" w:cs="宋体"/>
                <w:color w:val="auto"/>
                <w:sz w:val="22"/>
                <w:szCs w:val="22"/>
                <w:highlight w:val="none"/>
              </w:rPr>
              <w:t>安全生产、文明施工措施进行综合评议并打分：</w:t>
            </w:r>
            <w:r>
              <w:rPr>
                <w:rFonts w:hint="eastAsia" w:cs="宋体"/>
                <w:color w:val="auto"/>
                <w:sz w:val="22"/>
                <w:szCs w:val="22"/>
                <w:highlight w:val="none"/>
                <w:lang w:val="en-US" w:eastAsia="zh-CN"/>
              </w:rPr>
              <w:t>对施工噪音、施工震动、施工扬尘等防治</w:t>
            </w:r>
            <w:r>
              <w:rPr>
                <w:rFonts w:hint="eastAsia" w:cs="宋体"/>
                <w:color w:val="auto"/>
                <w:sz w:val="22"/>
                <w:szCs w:val="22"/>
                <w:highlight w:val="none"/>
              </w:rPr>
              <w:t>措施</w:t>
            </w:r>
            <w:r>
              <w:rPr>
                <w:rFonts w:hint="eastAsia" w:cs="宋体"/>
                <w:color w:val="auto"/>
                <w:sz w:val="22"/>
                <w:szCs w:val="22"/>
                <w:highlight w:val="none"/>
                <w:lang w:val="en-US" w:eastAsia="zh-CN"/>
              </w:rPr>
              <w:t>具体有效</w:t>
            </w:r>
            <w:r>
              <w:rPr>
                <w:rFonts w:hint="eastAsia" w:cs="宋体"/>
                <w:color w:val="auto"/>
                <w:sz w:val="22"/>
                <w:szCs w:val="22"/>
                <w:highlight w:val="none"/>
              </w:rPr>
              <w:t>、符合本项目需求的得</w:t>
            </w:r>
            <w:r>
              <w:rPr>
                <w:rFonts w:hint="eastAsia" w:cs="宋体"/>
                <w:color w:val="auto"/>
                <w:sz w:val="22"/>
                <w:szCs w:val="22"/>
                <w:highlight w:val="none"/>
                <w:lang w:val="en-US" w:eastAsia="zh-CN"/>
              </w:rPr>
              <w:t>5</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措施上</w:t>
            </w:r>
            <w:r>
              <w:rPr>
                <w:rFonts w:hint="eastAsia" w:cs="宋体"/>
                <w:color w:val="auto"/>
                <w:sz w:val="22"/>
                <w:szCs w:val="22"/>
                <w:highlight w:val="none"/>
                <w:lang w:val="en-US" w:eastAsia="zh-CN"/>
              </w:rPr>
              <w:t>存在细节</w:t>
            </w:r>
            <w:r>
              <w:rPr>
                <w:rFonts w:hint="eastAsia" w:cs="宋体"/>
                <w:color w:val="auto"/>
                <w:sz w:val="22"/>
                <w:szCs w:val="22"/>
                <w:highlight w:val="none"/>
              </w:rPr>
              <w:t>部分欠缺，</w:t>
            </w:r>
            <w:r>
              <w:rPr>
                <w:rFonts w:hint="eastAsia" w:cs="宋体"/>
                <w:color w:val="auto"/>
                <w:sz w:val="22"/>
                <w:szCs w:val="22"/>
                <w:highlight w:val="none"/>
                <w:lang w:val="en-US" w:eastAsia="zh-CN"/>
              </w:rPr>
              <w:t>尚不影响履约</w:t>
            </w:r>
            <w:r>
              <w:rPr>
                <w:rFonts w:hint="eastAsia" w:cs="宋体"/>
                <w:color w:val="auto"/>
                <w:sz w:val="22"/>
                <w:szCs w:val="22"/>
                <w:highlight w:val="none"/>
              </w:rPr>
              <w:t>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措施</w:t>
            </w:r>
            <w:r>
              <w:rPr>
                <w:rFonts w:hint="eastAsia" w:cs="宋体"/>
                <w:color w:val="auto"/>
                <w:sz w:val="22"/>
                <w:szCs w:val="22"/>
                <w:highlight w:val="none"/>
                <w:lang w:val="en-US" w:eastAsia="zh-CN"/>
              </w:rPr>
              <w:t>有缺项</w:t>
            </w:r>
            <w:r>
              <w:rPr>
                <w:rFonts w:hint="eastAsia" w:cs="宋体"/>
                <w:color w:val="auto"/>
                <w:sz w:val="22"/>
                <w:szCs w:val="22"/>
                <w:highlight w:val="none"/>
              </w:rPr>
              <w:t>或缺少</w:t>
            </w:r>
            <w:r>
              <w:rPr>
                <w:rFonts w:hint="eastAsia" w:cs="宋体"/>
                <w:color w:val="auto"/>
                <w:sz w:val="22"/>
                <w:szCs w:val="22"/>
                <w:highlight w:val="none"/>
                <w:lang w:val="en-US" w:eastAsia="zh-CN"/>
              </w:rPr>
              <w:t>有效防治手段</w:t>
            </w:r>
            <w:r>
              <w:rPr>
                <w:rFonts w:hint="eastAsia" w:cs="宋体"/>
                <w:color w:val="auto"/>
                <w:sz w:val="22"/>
                <w:szCs w:val="22"/>
                <w:highlight w:val="none"/>
              </w:rPr>
              <w:t>，</w:t>
            </w:r>
            <w:r>
              <w:rPr>
                <w:rFonts w:hint="eastAsia" w:cs="宋体"/>
                <w:color w:val="auto"/>
                <w:sz w:val="22"/>
                <w:szCs w:val="22"/>
                <w:highlight w:val="none"/>
                <w:lang w:val="en-US" w:eastAsia="zh-CN"/>
              </w:rPr>
              <w:t>难以</w:t>
            </w:r>
            <w:r>
              <w:rPr>
                <w:rFonts w:hint="eastAsia" w:cs="宋体"/>
                <w:color w:val="auto"/>
                <w:sz w:val="22"/>
                <w:szCs w:val="22"/>
                <w:highlight w:val="none"/>
              </w:rPr>
              <w:t>保证项目</w:t>
            </w:r>
            <w:r>
              <w:rPr>
                <w:rFonts w:hint="eastAsia" w:cs="宋体"/>
                <w:color w:val="auto"/>
                <w:sz w:val="22"/>
                <w:szCs w:val="22"/>
                <w:highlight w:val="none"/>
                <w:lang w:val="en-US" w:eastAsia="zh-CN"/>
              </w:rPr>
              <w:t>实施</w:t>
            </w:r>
            <w:r>
              <w:rPr>
                <w:rFonts w:hint="eastAsia" w:cs="宋体"/>
                <w:color w:val="auto"/>
                <w:sz w:val="22"/>
                <w:szCs w:val="22"/>
                <w:highlight w:val="none"/>
              </w:rPr>
              <w:t>的得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129C8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48" w:type="dxa"/>
            <w:vMerge w:val="continue"/>
            <w:noWrap w:val="0"/>
            <w:vAlign w:val="center"/>
          </w:tcPr>
          <w:p w14:paraId="459E939B">
            <w:pPr>
              <w:pageBreakBefore w:val="0"/>
              <w:widowControl/>
              <w:kinsoku/>
              <w:wordWrap/>
              <w:overflowPunct/>
              <w:topLinePunct w:val="0"/>
              <w:bidi w:val="0"/>
              <w:spacing w:line="360" w:lineRule="auto"/>
              <w:jc w:val="left"/>
              <w:rPr>
                <w:color w:val="auto"/>
                <w:sz w:val="22"/>
                <w:szCs w:val="22"/>
                <w:highlight w:val="none"/>
              </w:rPr>
            </w:pPr>
          </w:p>
        </w:tc>
        <w:tc>
          <w:tcPr>
            <w:tcW w:w="1270" w:type="dxa"/>
            <w:vMerge w:val="continue"/>
            <w:noWrap w:val="0"/>
            <w:vAlign w:val="center"/>
          </w:tcPr>
          <w:p w14:paraId="72BC2A2B">
            <w:pPr>
              <w:pageBreakBefore w:val="0"/>
              <w:widowControl/>
              <w:kinsoku/>
              <w:wordWrap/>
              <w:overflowPunct/>
              <w:topLinePunct w:val="0"/>
              <w:bidi w:val="0"/>
              <w:spacing w:line="360" w:lineRule="auto"/>
              <w:jc w:val="left"/>
              <w:rPr>
                <w:color w:val="auto"/>
                <w:sz w:val="22"/>
                <w:szCs w:val="22"/>
                <w:highlight w:val="none"/>
              </w:rPr>
            </w:pPr>
          </w:p>
        </w:tc>
        <w:tc>
          <w:tcPr>
            <w:tcW w:w="7367" w:type="dxa"/>
            <w:noWrap w:val="0"/>
            <w:vAlign w:val="center"/>
          </w:tcPr>
          <w:p w14:paraId="1E905251">
            <w:pPr>
              <w:pageBreakBefore w:val="0"/>
              <w:tabs>
                <w:tab w:val="left" w:pos="4915"/>
              </w:tabs>
              <w:kinsoku/>
              <w:wordWrap/>
              <w:overflowPunct/>
              <w:topLinePunct w:val="0"/>
              <w:bidi w:val="0"/>
              <w:spacing w:line="360" w:lineRule="auto"/>
              <w:rPr>
                <w:rFonts w:hint="eastAsia" w:eastAsia="宋体" w:cs="宋体"/>
                <w:color w:val="auto"/>
                <w:sz w:val="22"/>
                <w:szCs w:val="22"/>
                <w:highlight w:val="none"/>
                <w:lang w:val="en-US" w:eastAsia="zh-CN"/>
              </w:rPr>
            </w:pPr>
            <w:r>
              <w:rPr>
                <w:rFonts w:hint="eastAsia" w:eastAsia="宋体" w:cs="宋体"/>
                <w:color w:val="auto"/>
                <w:sz w:val="22"/>
                <w:szCs w:val="22"/>
                <w:highlight w:val="none"/>
                <w:lang w:val="en-US" w:eastAsia="zh-CN"/>
              </w:rPr>
              <w:t>7、工程</w:t>
            </w:r>
            <w:r>
              <w:rPr>
                <w:rFonts w:hint="eastAsia" w:eastAsia="宋体" w:cs="宋体"/>
                <w:color w:val="auto"/>
                <w:sz w:val="22"/>
                <w:szCs w:val="22"/>
                <w:highlight w:val="none"/>
              </w:rPr>
              <w:t>重难点分析及解决</w:t>
            </w:r>
            <w:r>
              <w:rPr>
                <w:rFonts w:hint="eastAsia" w:eastAsia="宋体" w:cs="宋体"/>
                <w:color w:val="auto"/>
                <w:sz w:val="22"/>
                <w:szCs w:val="22"/>
                <w:highlight w:val="none"/>
                <w:lang w:val="en-US" w:eastAsia="zh-CN"/>
              </w:rPr>
              <w:t>方</w:t>
            </w:r>
            <w:r>
              <w:rPr>
                <w:rFonts w:hint="eastAsia" w:eastAsia="宋体" w:cs="宋体"/>
                <w:color w:val="auto"/>
                <w:sz w:val="22"/>
                <w:szCs w:val="22"/>
                <w:highlight w:val="none"/>
              </w:rPr>
              <w:t>案（</w:t>
            </w:r>
            <w:r>
              <w:rPr>
                <w:rFonts w:hint="eastAsia" w:eastAsia="宋体" w:cs="宋体"/>
                <w:color w:val="auto"/>
                <w:sz w:val="22"/>
                <w:szCs w:val="22"/>
                <w:highlight w:val="none"/>
                <w:lang w:val="en-US" w:eastAsia="zh-CN"/>
              </w:rPr>
              <w:t>5</w:t>
            </w:r>
            <w:r>
              <w:rPr>
                <w:rFonts w:hint="eastAsia" w:eastAsia="宋体" w:cs="宋体"/>
                <w:color w:val="auto"/>
                <w:sz w:val="22"/>
                <w:szCs w:val="22"/>
                <w:highlight w:val="none"/>
              </w:rPr>
              <w:t>分）</w:t>
            </w:r>
          </w:p>
          <w:p w14:paraId="24558170">
            <w:pPr>
              <w:pageBreakBefore w:val="0"/>
              <w:tabs>
                <w:tab w:val="left" w:pos="4915"/>
              </w:tabs>
              <w:kinsoku/>
              <w:wordWrap/>
              <w:overflowPunct/>
              <w:topLinePunct w:val="0"/>
              <w:bidi w:val="0"/>
              <w:spacing w:line="360" w:lineRule="auto"/>
              <w:rPr>
                <w:rFonts w:hint="eastAsia" w:eastAsia="宋体" w:cs="宋体"/>
                <w:color w:val="auto"/>
                <w:sz w:val="22"/>
                <w:szCs w:val="22"/>
                <w:highlight w:val="none"/>
                <w:lang w:val="en-US" w:eastAsia="zh-CN"/>
              </w:rPr>
            </w:pPr>
            <w:r>
              <w:rPr>
                <w:rFonts w:hint="eastAsia" w:cs="宋体"/>
                <w:color w:val="auto"/>
                <w:sz w:val="22"/>
                <w:szCs w:val="22"/>
                <w:highlight w:val="none"/>
              </w:rPr>
              <w:t>评委对</w:t>
            </w:r>
            <w:r>
              <w:rPr>
                <w:rFonts w:hint="eastAsia" w:cs="宋体"/>
                <w:color w:val="auto"/>
                <w:sz w:val="22"/>
                <w:szCs w:val="22"/>
                <w:highlight w:val="none"/>
                <w:lang w:val="en-US" w:eastAsia="zh-CN"/>
              </w:rPr>
              <w:t>供应商</w:t>
            </w:r>
            <w:r>
              <w:rPr>
                <w:rFonts w:hint="eastAsia" w:eastAsia="宋体" w:cs="宋体"/>
                <w:color w:val="auto"/>
                <w:sz w:val="22"/>
                <w:szCs w:val="22"/>
                <w:highlight w:val="none"/>
                <w:lang w:val="en-US" w:eastAsia="zh-CN"/>
              </w:rPr>
              <w:t>根据投标人提供</w:t>
            </w:r>
            <w:r>
              <w:rPr>
                <w:rFonts w:hint="eastAsia" w:eastAsia="宋体" w:cs="宋体"/>
                <w:color w:val="auto"/>
                <w:sz w:val="22"/>
                <w:szCs w:val="22"/>
                <w:highlight w:val="none"/>
              </w:rPr>
              <w:t>的重难点分析及解决方案</w:t>
            </w:r>
            <w:r>
              <w:rPr>
                <w:rFonts w:hint="eastAsia" w:eastAsia="宋体" w:cs="宋体"/>
                <w:color w:val="auto"/>
                <w:sz w:val="22"/>
                <w:szCs w:val="22"/>
                <w:highlight w:val="none"/>
                <w:lang w:val="en-US" w:eastAsia="zh-CN"/>
              </w:rPr>
              <w:t>进行评议：</w:t>
            </w:r>
            <w:r>
              <w:rPr>
                <w:rFonts w:hint="eastAsia" w:eastAsia="宋体" w:cs="宋体"/>
                <w:color w:val="auto"/>
                <w:sz w:val="22"/>
                <w:szCs w:val="22"/>
                <w:highlight w:val="none"/>
              </w:rPr>
              <w:t>重</w:t>
            </w:r>
            <w:r>
              <w:rPr>
                <w:rFonts w:hint="eastAsia" w:eastAsia="宋体" w:cs="宋体"/>
                <w:color w:val="auto"/>
                <w:sz w:val="22"/>
                <w:szCs w:val="22"/>
                <w:highlight w:val="none"/>
                <w:lang w:val="en-US" w:eastAsia="zh-CN"/>
              </w:rPr>
              <w:t>难点分析内容</w:t>
            </w:r>
            <w:r>
              <w:rPr>
                <w:rFonts w:hint="eastAsia" w:eastAsia="宋体" w:cs="宋体"/>
                <w:color w:val="auto"/>
                <w:sz w:val="22"/>
                <w:szCs w:val="22"/>
                <w:highlight w:val="none"/>
              </w:rPr>
              <w:t>详细、科学、合理</w:t>
            </w:r>
            <w:r>
              <w:rPr>
                <w:rFonts w:hint="eastAsia" w:eastAsia="宋体" w:cs="宋体"/>
                <w:color w:val="auto"/>
                <w:sz w:val="22"/>
                <w:szCs w:val="22"/>
                <w:highlight w:val="none"/>
                <w:lang w:eastAsia="zh-CN"/>
              </w:rPr>
              <w:t>，</w:t>
            </w:r>
            <w:r>
              <w:rPr>
                <w:rFonts w:hint="eastAsia" w:eastAsia="宋体" w:cs="宋体"/>
                <w:color w:val="auto"/>
                <w:sz w:val="22"/>
                <w:szCs w:val="22"/>
                <w:highlight w:val="none"/>
              </w:rPr>
              <w:t>解决措施</w:t>
            </w:r>
            <w:r>
              <w:rPr>
                <w:rFonts w:hint="eastAsia" w:eastAsia="宋体" w:cs="宋体"/>
                <w:color w:val="auto"/>
                <w:sz w:val="22"/>
                <w:szCs w:val="22"/>
                <w:highlight w:val="none"/>
                <w:lang w:val="en-US" w:eastAsia="zh-CN"/>
              </w:rPr>
              <w:t>完善且</w:t>
            </w:r>
            <w:r>
              <w:rPr>
                <w:rFonts w:hint="eastAsia" w:eastAsia="宋体" w:cs="宋体"/>
                <w:color w:val="auto"/>
                <w:sz w:val="22"/>
                <w:szCs w:val="22"/>
                <w:highlight w:val="none"/>
              </w:rPr>
              <w:t>具有较强的操作性</w:t>
            </w:r>
            <w:r>
              <w:rPr>
                <w:rFonts w:hint="eastAsia" w:eastAsia="宋体" w:cs="宋体"/>
                <w:color w:val="auto"/>
                <w:sz w:val="22"/>
                <w:szCs w:val="22"/>
                <w:highlight w:val="none"/>
                <w:lang w:val="en-US" w:eastAsia="zh-CN"/>
              </w:rPr>
              <w:t>得5分；</w:t>
            </w:r>
            <w:r>
              <w:rPr>
                <w:rFonts w:hint="eastAsia" w:eastAsia="宋体" w:cs="宋体"/>
                <w:color w:val="auto"/>
                <w:sz w:val="22"/>
                <w:szCs w:val="22"/>
                <w:highlight w:val="none"/>
              </w:rPr>
              <w:t>重</w:t>
            </w:r>
            <w:r>
              <w:rPr>
                <w:rFonts w:hint="eastAsia" w:eastAsia="宋体" w:cs="宋体"/>
                <w:color w:val="auto"/>
                <w:sz w:val="22"/>
                <w:szCs w:val="22"/>
                <w:highlight w:val="none"/>
                <w:lang w:val="en-US" w:eastAsia="zh-CN"/>
              </w:rPr>
              <w:t>难点分析内容细节部分欠缺，</w:t>
            </w:r>
            <w:r>
              <w:rPr>
                <w:rFonts w:hint="eastAsia" w:eastAsia="宋体" w:cs="宋体"/>
                <w:color w:val="auto"/>
                <w:sz w:val="22"/>
                <w:szCs w:val="22"/>
                <w:highlight w:val="none"/>
              </w:rPr>
              <w:t>解决措施</w:t>
            </w:r>
            <w:r>
              <w:rPr>
                <w:rFonts w:hint="eastAsia" w:eastAsia="宋体" w:cs="宋体"/>
                <w:color w:val="auto"/>
                <w:sz w:val="22"/>
                <w:szCs w:val="22"/>
                <w:highlight w:val="none"/>
                <w:lang w:val="en-US" w:eastAsia="zh-CN"/>
              </w:rPr>
              <w:t>操作性一般的得3分；</w:t>
            </w:r>
            <w:r>
              <w:rPr>
                <w:rFonts w:hint="eastAsia" w:eastAsia="宋体" w:cs="宋体"/>
                <w:color w:val="auto"/>
                <w:sz w:val="22"/>
                <w:szCs w:val="22"/>
                <w:highlight w:val="none"/>
              </w:rPr>
              <w:t>重</w:t>
            </w:r>
            <w:r>
              <w:rPr>
                <w:rFonts w:hint="eastAsia" w:eastAsia="宋体" w:cs="宋体"/>
                <w:color w:val="auto"/>
                <w:sz w:val="22"/>
                <w:szCs w:val="22"/>
                <w:highlight w:val="none"/>
                <w:lang w:val="en-US" w:eastAsia="zh-CN"/>
              </w:rPr>
              <w:t>难点分析内容有明显的不合理处、操作性差难以保证项目实施的得1分。未提供</w:t>
            </w:r>
            <w:r>
              <w:rPr>
                <w:rFonts w:hint="eastAsia" w:eastAsia="宋体" w:cs="宋体"/>
                <w:color w:val="auto"/>
                <w:sz w:val="22"/>
                <w:szCs w:val="22"/>
                <w:highlight w:val="none"/>
              </w:rPr>
              <w:t>不得分</w:t>
            </w:r>
            <w:r>
              <w:rPr>
                <w:rFonts w:hint="eastAsia" w:eastAsia="宋体" w:cs="宋体"/>
                <w:color w:val="auto"/>
                <w:sz w:val="22"/>
                <w:szCs w:val="22"/>
                <w:highlight w:val="none"/>
                <w:lang w:eastAsia="zh-CN"/>
              </w:rPr>
              <w:t>。</w:t>
            </w:r>
          </w:p>
        </w:tc>
      </w:tr>
      <w:tr w14:paraId="27E3D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48" w:type="dxa"/>
            <w:vMerge w:val="continue"/>
            <w:noWrap w:val="0"/>
            <w:vAlign w:val="center"/>
          </w:tcPr>
          <w:p w14:paraId="66758F03">
            <w:pPr>
              <w:pageBreakBefore w:val="0"/>
              <w:widowControl/>
              <w:kinsoku/>
              <w:wordWrap/>
              <w:overflowPunct/>
              <w:topLinePunct w:val="0"/>
              <w:bidi w:val="0"/>
              <w:spacing w:line="360" w:lineRule="auto"/>
              <w:jc w:val="left"/>
              <w:rPr>
                <w:color w:val="auto"/>
                <w:sz w:val="22"/>
                <w:szCs w:val="22"/>
                <w:highlight w:val="none"/>
              </w:rPr>
            </w:pPr>
          </w:p>
        </w:tc>
        <w:tc>
          <w:tcPr>
            <w:tcW w:w="1270" w:type="dxa"/>
            <w:vMerge w:val="continue"/>
            <w:noWrap w:val="0"/>
            <w:vAlign w:val="center"/>
          </w:tcPr>
          <w:p w14:paraId="2DEA1A41">
            <w:pPr>
              <w:pageBreakBefore w:val="0"/>
              <w:widowControl/>
              <w:kinsoku/>
              <w:wordWrap/>
              <w:overflowPunct/>
              <w:topLinePunct w:val="0"/>
              <w:bidi w:val="0"/>
              <w:spacing w:line="360" w:lineRule="auto"/>
              <w:jc w:val="left"/>
              <w:rPr>
                <w:color w:val="auto"/>
                <w:sz w:val="22"/>
                <w:szCs w:val="22"/>
                <w:highlight w:val="none"/>
              </w:rPr>
            </w:pPr>
          </w:p>
        </w:tc>
        <w:tc>
          <w:tcPr>
            <w:tcW w:w="7367" w:type="dxa"/>
            <w:noWrap w:val="0"/>
            <w:vAlign w:val="center"/>
          </w:tcPr>
          <w:p w14:paraId="77855B7D">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8、</w:t>
            </w:r>
            <w:r>
              <w:rPr>
                <w:rFonts w:hint="eastAsia" w:cs="宋体"/>
                <w:color w:val="auto"/>
                <w:sz w:val="22"/>
                <w:szCs w:val="22"/>
                <w:highlight w:val="none"/>
              </w:rPr>
              <w:t>环保管理体系和措施（5分）</w:t>
            </w:r>
          </w:p>
          <w:p w14:paraId="50BB1F29">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2"/>
                <w:szCs w:val="22"/>
                <w:highlight w:val="none"/>
                <w:lang w:val="en-US" w:eastAsia="zh-CN" w:bidi="ar-SA"/>
              </w:rPr>
            </w:pPr>
            <w:r>
              <w:rPr>
                <w:rFonts w:hint="eastAsia" w:cs="宋体"/>
                <w:color w:val="auto"/>
                <w:sz w:val="22"/>
                <w:szCs w:val="22"/>
                <w:highlight w:val="none"/>
              </w:rPr>
              <w:t>评委对环保管理体系和措施进行综合评议并打分：</w:t>
            </w:r>
            <w:r>
              <w:rPr>
                <w:rFonts w:hint="eastAsia" w:cs="宋体"/>
                <w:color w:val="auto"/>
                <w:sz w:val="22"/>
                <w:szCs w:val="22"/>
                <w:highlight w:val="none"/>
                <w:lang w:val="en-US" w:eastAsia="zh-CN"/>
              </w:rPr>
              <w:t>环保管理体系健全有效</w:t>
            </w:r>
            <w:r>
              <w:rPr>
                <w:rFonts w:hint="eastAsia" w:cs="宋体"/>
                <w:color w:val="auto"/>
                <w:sz w:val="22"/>
                <w:szCs w:val="22"/>
                <w:highlight w:val="none"/>
              </w:rPr>
              <w:t>、措施</w:t>
            </w:r>
            <w:r>
              <w:rPr>
                <w:rFonts w:hint="eastAsia" w:cs="宋体"/>
                <w:color w:val="auto"/>
                <w:sz w:val="22"/>
                <w:szCs w:val="22"/>
                <w:highlight w:val="none"/>
                <w:lang w:val="en-US" w:eastAsia="zh-CN"/>
              </w:rPr>
              <w:t>具体细致</w:t>
            </w:r>
            <w:r>
              <w:rPr>
                <w:rFonts w:hint="eastAsia" w:cs="宋体"/>
                <w:color w:val="auto"/>
                <w:sz w:val="22"/>
                <w:szCs w:val="22"/>
                <w:highlight w:val="none"/>
              </w:rPr>
              <w:t>、符合本项目需求的得</w:t>
            </w:r>
            <w:r>
              <w:rPr>
                <w:rFonts w:hint="eastAsia" w:cs="宋体"/>
                <w:color w:val="auto"/>
                <w:sz w:val="22"/>
                <w:szCs w:val="22"/>
                <w:highlight w:val="none"/>
                <w:lang w:val="en-US" w:eastAsia="zh-CN"/>
              </w:rPr>
              <w:t>5</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体系及</w:t>
            </w:r>
            <w:r>
              <w:rPr>
                <w:rFonts w:hint="eastAsia" w:cs="宋体"/>
                <w:color w:val="auto"/>
                <w:sz w:val="22"/>
                <w:szCs w:val="22"/>
                <w:highlight w:val="none"/>
              </w:rPr>
              <w:t>措施上有部分欠缺，</w:t>
            </w:r>
            <w:r>
              <w:rPr>
                <w:rFonts w:hint="eastAsia" w:cs="宋体"/>
                <w:color w:val="auto"/>
                <w:sz w:val="22"/>
                <w:szCs w:val="22"/>
                <w:highlight w:val="none"/>
                <w:lang w:val="en-US" w:eastAsia="zh-CN"/>
              </w:rPr>
              <w:t>但尚不影响实施</w:t>
            </w:r>
            <w:r>
              <w:rPr>
                <w:rFonts w:hint="eastAsia" w:cs="宋体"/>
                <w:color w:val="auto"/>
                <w:sz w:val="22"/>
                <w:szCs w:val="22"/>
                <w:highlight w:val="none"/>
              </w:rPr>
              <w:t>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体系及</w:t>
            </w:r>
            <w:r>
              <w:rPr>
                <w:rFonts w:hint="eastAsia" w:cs="宋体"/>
                <w:color w:val="auto"/>
                <w:sz w:val="22"/>
                <w:szCs w:val="22"/>
                <w:highlight w:val="none"/>
              </w:rPr>
              <w:t>措施</w:t>
            </w:r>
            <w:r>
              <w:rPr>
                <w:rFonts w:hint="eastAsia" w:cs="宋体"/>
                <w:color w:val="auto"/>
                <w:sz w:val="22"/>
                <w:szCs w:val="22"/>
                <w:highlight w:val="none"/>
                <w:lang w:val="en-US" w:eastAsia="zh-CN"/>
              </w:rPr>
              <w:t>有明显缺漏项</w:t>
            </w:r>
            <w:r>
              <w:rPr>
                <w:rFonts w:hint="eastAsia" w:cs="宋体"/>
                <w:color w:val="auto"/>
                <w:sz w:val="22"/>
                <w:szCs w:val="22"/>
                <w:highlight w:val="none"/>
              </w:rPr>
              <w:t>，</w:t>
            </w:r>
            <w:r>
              <w:rPr>
                <w:rFonts w:hint="eastAsia" w:cs="宋体"/>
                <w:color w:val="auto"/>
                <w:sz w:val="22"/>
                <w:szCs w:val="22"/>
                <w:highlight w:val="none"/>
                <w:lang w:val="en-US" w:eastAsia="zh-CN"/>
              </w:rPr>
              <w:t>或过于笼统</w:t>
            </w:r>
            <w:r>
              <w:rPr>
                <w:rFonts w:hint="eastAsia" w:cs="宋体"/>
                <w:color w:val="auto"/>
                <w:sz w:val="22"/>
                <w:szCs w:val="22"/>
                <w:highlight w:val="none"/>
              </w:rPr>
              <w:t>无法保证项目</w:t>
            </w:r>
            <w:r>
              <w:rPr>
                <w:rFonts w:hint="eastAsia" w:cs="宋体"/>
                <w:color w:val="auto"/>
                <w:sz w:val="22"/>
                <w:szCs w:val="22"/>
                <w:highlight w:val="none"/>
                <w:lang w:val="en-US" w:eastAsia="zh-CN"/>
              </w:rPr>
              <w:t>实施</w:t>
            </w:r>
            <w:r>
              <w:rPr>
                <w:rFonts w:hint="eastAsia" w:cs="宋体"/>
                <w:color w:val="auto"/>
                <w:sz w:val="22"/>
                <w:szCs w:val="22"/>
                <w:highlight w:val="none"/>
              </w:rPr>
              <w:t>的得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321F6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14:paraId="4EB64836">
            <w:pPr>
              <w:pageBreakBefore w:val="0"/>
              <w:widowControl/>
              <w:kinsoku/>
              <w:wordWrap/>
              <w:overflowPunct/>
              <w:topLinePunct w:val="0"/>
              <w:bidi w:val="0"/>
              <w:spacing w:line="360" w:lineRule="auto"/>
              <w:jc w:val="left"/>
              <w:rPr>
                <w:color w:val="auto"/>
                <w:sz w:val="22"/>
                <w:szCs w:val="22"/>
                <w:highlight w:val="none"/>
              </w:rPr>
            </w:pPr>
          </w:p>
        </w:tc>
        <w:tc>
          <w:tcPr>
            <w:tcW w:w="1270" w:type="dxa"/>
            <w:noWrap w:val="0"/>
            <w:vAlign w:val="center"/>
          </w:tcPr>
          <w:p w14:paraId="4C33EA03">
            <w:pPr>
              <w:pageBreakBefore w:val="0"/>
              <w:kinsoku/>
              <w:wordWrap/>
              <w:overflowPunct/>
              <w:topLinePunct w:val="0"/>
              <w:bidi w:val="0"/>
              <w:spacing w:line="360" w:lineRule="auto"/>
              <w:jc w:val="center"/>
              <w:rPr>
                <w:rFonts w:hint="eastAsia"/>
                <w:color w:val="auto"/>
                <w:sz w:val="22"/>
                <w:szCs w:val="22"/>
                <w:highlight w:val="none"/>
              </w:rPr>
            </w:pPr>
            <w:r>
              <w:rPr>
                <w:rFonts w:hint="eastAsia" w:cs="宋体"/>
                <w:color w:val="auto"/>
                <w:sz w:val="22"/>
                <w:szCs w:val="22"/>
                <w:highlight w:val="none"/>
                <w:lang w:val="en-US" w:eastAsia="zh-CN"/>
              </w:rPr>
              <w:t>项目团队</w:t>
            </w:r>
            <w:r>
              <w:rPr>
                <w:rFonts w:hint="eastAsia" w:cs="宋体"/>
                <w:color w:val="auto"/>
                <w:sz w:val="22"/>
                <w:szCs w:val="22"/>
                <w:highlight w:val="none"/>
              </w:rPr>
              <w:t>配备</w:t>
            </w:r>
            <w:r>
              <w:rPr>
                <w:rFonts w:hint="eastAsia" w:cs="宋体"/>
                <w:color w:val="auto"/>
                <w:sz w:val="22"/>
                <w:szCs w:val="22"/>
                <w:highlight w:val="none"/>
                <w:lang w:val="en-US" w:eastAsia="zh-CN"/>
              </w:rPr>
              <w:t>方案</w:t>
            </w:r>
            <w:r>
              <w:rPr>
                <w:rFonts w:hint="eastAsia"/>
                <w:color w:val="auto"/>
                <w:sz w:val="22"/>
                <w:szCs w:val="22"/>
                <w:highlight w:val="none"/>
              </w:rPr>
              <w:t>（</w:t>
            </w:r>
            <w:r>
              <w:rPr>
                <w:rFonts w:hint="eastAsia"/>
                <w:color w:val="auto"/>
                <w:sz w:val="22"/>
                <w:szCs w:val="22"/>
                <w:highlight w:val="none"/>
                <w:lang w:val="en-US" w:eastAsia="zh-CN"/>
              </w:rPr>
              <w:t>5</w:t>
            </w:r>
            <w:r>
              <w:rPr>
                <w:rFonts w:hint="eastAsia"/>
                <w:color w:val="auto"/>
                <w:sz w:val="22"/>
                <w:szCs w:val="22"/>
                <w:highlight w:val="none"/>
              </w:rPr>
              <w:t>分）</w:t>
            </w:r>
          </w:p>
        </w:tc>
        <w:tc>
          <w:tcPr>
            <w:tcW w:w="7367" w:type="dxa"/>
            <w:noWrap w:val="0"/>
            <w:vAlign w:val="center"/>
          </w:tcPr>
          <w:p w14:paraId="428F3C23">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9、项目团队</w:t>
            </w:r>
            <w:r>
              <w:rPr>
                <w:rFonts w:hint="eastAsia" w:cs="宋体"/>
                <w:color w:val="auto"/>
                <w:sz w:val="22"/>
                <w:szCs w:val="22"/>
                <w:highlight w:val="none"/>
              </w:rPr>
              <w:t>配备</w:t>
            </w:r>
            <w:r>
              <w:rPr>
                <w:rFonts w:hint="eastAsia" w:cs="宋体"/>
                <w:color w:val="auto"/>
                <w:sz w:val="22"/>
                <w:szCs w:val="22"/>
                <w:highlight w:val="none"/>
                <w:lang w:val="en-US" w:eastAsia="zh-CN"/>
              </w:rPr>
              <w:t>方案</w:t>
            </w:r>
            <w:r>
              <w:rPr>
                <w:rFonts w:hint="eastAsia" w:cs="宋体"/>
                <w:color w:val="auto"/>
                <w:sz w:val="22"/>
                <w:szCs w:val="22"/>
                <w:highlight w:val="none"/>
              </w:rPr>
              <w:t>（</w:t>
            </w:r>
            <w:r>
              <w:rPr>
                <w:rFonts w:hint="eastAsia" w:cs="宋体"/>
                <w:color w:val="auto"/>
                <w:sz w:val="22"/>
                <w:szCs w:val="22"/>
                <w:highlight w:val="none"/>
                <w:lang w:val="en-US" w:eastAsia="zh-CN"/>
              </w:rPr>
              <w:t>5</w:t>
            </w:r>
            <w:r>
              <w:rPr>
                <w:rFonts w:hint="eastAsia" w:cs="宋体"/>
                <w:color w:val="auto"/>
                <w:sz w:val="22"/>
                <w:szCs w:val="22"/>
                <w:highlight w:val="none"/>
              </w:rPr>
              <w:t>分）</w:t>
            </w:r>
          </w:p>
          <w:p w14:paraId="73D5253D">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rPr>
              <w:t>评委对</w:t>
            </w:r>
            <w:r>
              <w:rPr>
                <w:rFonts w:hint="eastAsia" w:cs="宋体"/>
                <w:color w:val="auto"/>
                <w:sz w:val="22"/>
                <w:szCs w:val="22"/>
                <w:highlight w:val="none"/>
                <w:lang w:val="en-US" w:eastAsia="zh-CN"/>
              </w:rPr>
              <w:t>项目团队</w:t>
            </w:r>
            <w:r>
              <w:rPr>
                <w:rFonts w:hint="eastAsia" w:cs="宋体"/>
                <w:color w:val="auto"/>
                <w:sz w:val="22"/>
                <w:szCs w:val="22"/>
                <w:highlight w:val="none"/>
              </w:rPr>
              <w:t>配备</w:t>
            </w:r>
            <w:r>
              <w:rPr>
                <w:rFonts w:hint="eastAsia" w:cs="宋体"/>
                <w:color w:val="auto"/>
                <w:sz w:val="22"/>
                <w:szCs w:val="22"/>
                <w:highlight w:val="none"/>
                <w:lang w:val="en-US" w:eastAsia="zh-CN"/>
              </w:rPr>
              <w:t>方案</w:t>
            </w:r>
            <w:r>
              <w:rPr>
                <w:rFonts w:hint="eastAsia" w:cs="宋体"/>
                <w:color w:val="auto"/>
                <w:sz w:val="22"/>
                <w:szCs w:val="22"/>
                <w:highlight w:val="none"/>
              </w:rPr>
              <w:t>进行综合评议并打分：人员配置</w:t>
            </w:r>
            <w:r>
              <w:rPr>
                <w:rFonts w:hint="eastAsia" w:cs="宋体"/>
                <w:color w:val="auto"/>
                <w:sz w:val="22"/>
                <w:szCs w:val="22"/>
                <w:highlight w:val="none"/>
                <w:lang w:val="en-US" w:eastAsia="zh-CN"/>
              </w:rPr>
              <w:t>满足</w:t>
            </w:r>
            <w:r>
              <w:rPr>
                <w:rFonts w:hint="eastAsia" w:cs="宋体"/>
                <w:color w:val="auto"/>
                <w:sz w:val="22"/>
                <w:szCs w:val="22"/>
                <w:highlight w:val="none"/>
              </w:rPr>
              <w:t>项目需求、人员经过</w:t>
            </w:r>
            <w:r>
              <w:rPr>
                <w:rFonts w:hint="eastAsia" w:cs="宋体"/>
                <w:color w:val="auto"/>
                <w:sz w:val="22"/>
                <w:szCs w:val="22"/>
                <w:highlight w:val="none"/>
                <w:lang w:val="en-US" w:eastAsia="zh-CN"/>
              </w:rPr>
              <w:t>规范</w:t>
            </w:r>
            <w:r>
              <w:rPr>
                <w:rFonts w:hint="eastAsia" w:cs="宋体"/>
                <w:color w:val="auto"/>
                <w:sz w:val="22"/>
                <w:szCs w:val="22"/>
                <w:highlight w:val="none"/>
              </w:rPr>
              <w:t>的上岗前培训</w:t>
            </w:r>
            <w:r>
              <w:rPr>
                <w:rFonts w:hint="eastAsia" w:cs="宋体"/>
                <w:color w:val="auto"/>
                <w:sz w:val="22"/>
                <w:szCs w:val="22"/>
                <w:highlight w:val="none"/>
                <w:lang w:val="en-US" w:eastAsia="zh-CN"/>
              </w:rPr>
              <w:t>并考试合格</w:t>
            </w:r>
            <w:r>
              <w:rPr>
                <w:rFonts w:hint="eastAsia" w:cs="宋体"/>
                <w:color w:val="auto"/>
                <w:sz w:val="22"/>
                <w:szCs w:val="22"/>
                <w:highlight w:val="none"/>
              </w:rPr>
              <w:t>的得</w:t>
            </w:r>
            <w:r>
              <w:rPr>
                <w:rFonts w:hint="eastAsia" w:cs="宋体"/>
                <w:color w:val="auto"/>
                <w:sz w:val="22"/>
                <w:szCs w:val="22"/>
                <w:highlight w:val="none"/>
                <w:lang w:val="en-US" w:eastAsia="zh-CN"/>
              </w:rPr>
              <w:t>5</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人员配置满足项目需求的、上岗培训不足的得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rPr>
              <w:t>人员配置</w:t>
            </w:r>
            <w:r>
              <w:rPr>
                <w:rFonts w:hint="eastAsia" w:cs="宋体"/>
                <w:color w:val="auto"/>
                <w:sz w:val="22"/>
                <w:szCs w:val="22"/>
                <w:highlight w:val="none"/>
                <w:lang w:val="en-US" w:eastAsia="zh-CN"/>
              </w:rPr>
              <w:t>难以</w:t>
            </w:r>
            <w:r>
              <w:rPr>
                <w:rFonts w:hint="eastAsia" w:cs="宋体"/>
                <w:color w:val="auto"/>
                <w:sz w:val="22"/>
                <w:szCs w:val="22"/>
                <w:highlight w:val="none"/>
              </w:rPr>
              <w:t>满足项目需求、或未经上岗前培训的得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22B50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48" w:type="dxa"/>
            <w:vMerge w:val="continue"/>
            <w:noWrap w:val="0"/>
            <w:vAlign w:val="center"/>
          </w:tcPr>
          <w:p w14:paraId="25938FD8">
            <w:pPr>
              <w:pageBreakBefore w:val="0"/>
              <w:widowControl/>
              <w:kinsoku/>
              <w:wordWrap/>
              <w:overflowPunct/>
              <w:topLinePunct w:val="0"/>
              <w:bidi w:val="0"/>
              <w:spacing w:line="360" w:lineRule="auto"/>
              <w:jc w:val="left"/>
              <w:rPr>
                <w:color w:val="auto"/>
                <w:sz w:val="22"/>
                <w:szCs w:val="22"/>
                <w:highlight w:val="none"/>
              </w:rPr>
            </w:pPr>
          </w:p>
        </w:tc>
        <w:tc>
          <w:tcPr>
            <w:tcW w:w="1270" w:type="dxa"/>
            <w:noWrap w:val="0"/>
            <w:vAlign w:val="center"/>
          </w:tcPr>
          <w:p w14:paraId="41B35C52">
            <w:pPr>
              <w:pageBreakBefore w:val="0"/>
              <w:kinsoku/>
              <w:wordWrap/>
              <w:overflowPunct/>
              <w:topLinePunct w:val="0"/>
              <w:bidi w:val="0"/>
              <w:spacing w:line="360" w:lineRule="auto"/>
              <w:rPr>
                <w:rFonts w:ascii="Calibri" w:hAnsi="Calibri" w:cs="Calibri"/>
                <w:color w:val="auto"/>
                <w:sz w:val="22"/>
                <w:szCs w:val="22"/>
                <w:highlight w:val="none"/>
              </w:rPr>
            </w:pPr>
            <w:r>
              <w:rPr>
                <w:rFonts w:hint="eastAsia" w:ascii="Calibri" w:hAnsi="Calibri" w:cs="Calibri"/>
                <w:color w:val="auto"/>
                <w:sz w:val="22"/>
                <w:szCs w:val="22"/>
                <w:highlight w:val="none"/>
              </w:rPr>
              <w:t>售后服务方案（</w:t>
            </w:r>
            <w:r>
              <w:rPr>
                <w:rFonts w:hint="eastAsia" w:ascii="Calibri" w:hAnsi="Calibri" w:cs="Calibri"/>
                <w:color w:val="auto"/>
                <w:sz w:val="22"/>
                <w:szCs w:val="22"/>
                <w:highlight w:val="none"/>
                <w:lang w:val="en-US" w:eastAsia="zh-CN"/>
              </w:rPr>
              <w:t>5</w:t>
            </w:r>
            <w:r>
              <w:rPr>
                <w:rFonts w:hint="eastAsia" w:ascii="Calibri" w:hAnsi="Calibri" w:cs="Calibri"/>
                <w:color w:val="auto"/>
                <w:sz w:val="22"/>
                <w:szCs w:val="22"/>
                <w:highlight w:val="none"/>
              </w:rPr>
              <w:t>分）</w:t>
            </w:r>
          </w:p>
        </w:tc>
        <w:tc>
          <w:tcPr>
            <w:tcW w:w="7367" w:type="dxa"/>
            <w:noWrap w:val="0"/>
            <w:vAlign w:val="center"/>
          </w:tcPr>
          <w:p w14:paraId="726DE0B1">
            <w:pPr>
              <w:pageBreakBefore w:val="0"/>
              <w:tabs>
                <w:tab w:val="left" w:pos="4915"/>
              </w:tabs>
              <w:kinsoku/>
              <w:wordWrap/>
              <w:overflowPunct/>
              <w:topLinePunct w:val="0"/>
              <w:bidi w:val="0"/>
              <w:spacing w:line="360" w:lineRule="auto"/>
              <w:rPr>
                <w:rFonts w:hint="eastAsia" w:cs="宋体"/>
                <w:color w:val="auto"/>
                <w:sz w:val="22"/>
                <w:szCs w:val="22"/>
                <w:highlight w:val="none"/>
              </w:rPr>
            </w:pPr>
            <w:r>
              <w:rPr>
                <w:rFonts w:hint="eastAsia" w:cs="Calibri"/>
                <w:color w:val="auto"/>
                <w:sz w:val="22"/>
                <w:szCs w:val="22"/>
                <w:highlight w:val="none"/>
                <w:lang w:val="en-US" w:eastAsia="zh-CN"/>
              </w:rPr>
              <w:t>10</w:t>
            </w:r>
            <w:r>
              <w:rPr>
                <w:rFonts w:hint="eastAsia" w:ascii="Calibri" w:hAnsi="Calibri" w:cs="Calibri"/>
                <w:color w:val="auto"/>
                <w:sz w:val="22"/>
                <w:szCs w:val="22"/>
                <w:highlight w:val="none"/>
                <w:lang w:val="en-US" w:eastAsia="zh-CN"/>
              </w:rPr>
              <w:t>、</w:t>
            </w:r>
            <w:r>
              <w:rPr>
                <w:rFonts w:hint="eastAsia" w:ascii="Calibri" w:hAnsi="Calibri" w:cs="Calibri"/>
                <w:color w:val="auto"/>
                <w:sz w:val="22"/>
                <w:szCs w:val="22"/>
                <w:highlight w:val="none"/>
              </w:rPr>
              <w:t>售后服务方案</w:t>
            </w:r>
            <w:r>
              <w:rPr>
                <w:rFonts w:hint="eastAsia" w:cs="宋体"/>
                <w:color w:val="auto"/>
                <w:sz w:val="22"/>
                <w:szCs w:val="22"/>
                <w:highlight w:val="none"/>
              </w:rPr>
              <w:t>（</w:t>
            </w:r>
            <w:r>
              <w:rPr>
                <w:rFonts w:hint="eastAsia" w:cs="宋体"/>
                <w:color w:val="auto"/>
                <w:sz w:val="22"/>
                <w:szCs w:val="22"/>
                <w:highlight w:val="none"/>
                <w:lang w:val="en-US" w:eastAsia="zh-CN"/>
              </w:rPr>
              <w:t>5</w:t>
            </w:r>
            <w:r>
              <w:rPr>
                <w:rFonts w:hint="eastAsia" w:cs="宋体"/>
                <w:color w:val="auto"/>
                <w:sz w:val="22"/>
                <w:szCs w:val="22"/>
                <w:highlight w:val="none"/>
              </w:rPr>
              <w:t>分）</w:t>
            </w:r>
          </w:p>
          <w:p w14:paraId="76C6F861">
            <w:pPr>
              <w:pageBreakBefore w:val="0"/>
              <w:kinsoku/>
              <w:wordWrap/>
              <w:overflowPunct/>
              <w:topLinePunct w:val="0"/>
              <w:bidi w:val="0"/>
              <w:spacing w:line="360" w:lineRule="auto"/>
              <w:rPr>
                <w:rFonts w:hint="eastAsia" w:cs="宋体"/>
                <w:color w:val="auto"/>
                <w:sz w:val="22"/>
                <w:szCs w:val="22"/>
                <w:highlight w:val="none"/>
              </w:rPr>
            </w:pPr>
            <w:r>
              <w:rPr>
                <w:rFonts w:hint="eastAsia" w:cs="宋体"/>
                <w:color w:val="auto"/>
                <w:sz w:val="22"/>
                <w:szCs w:val="22"/>
                <w:highlight w:val="none"/>
                <w:lang w:val="en-US" w:eastAsia="zh-CN"/>
              </w:rPr>
              <w:t>评委对</w:t>
            </w:r>
            <w:r>
              <w:rPr>
                <w:rFonts w:hint="eastAsia" w:cs="宋体"/>
                <w:color w:val="auto"/>
                <w:sz w:val="22"/>
                <w:szCs w:val="22"/>
                <w:highlight w:val="none"/>
              </w:rPr>
              <w:t>售后服务</w:t>
            </w:r>
            <w:r>
              <w:rPr>
                <w:rFonts w:hint="eastAsia" w:cs="宋体"/>
                <w:color w:val="auto"/>
                <w:sz w:val="22"/>
                <w:szCs w:val="22"/>
                <w:highlight w:val="none"/>
                <w:lang w:val="en-US" w:eastAsia="zh-CN"/>
              </w:rPr>
              <w:t>方案进行综合评议并打分</w:t>
            </w:r>
            <w:r>
              <w:rPr>
                <w:rFonts w:hint="eastAsia" w:cs="宋体"/>
                <w:color w:val="auto"/>
                <w:sz w:val="22"/>
                <w:szCs w:val="22"/>
                <w:highlight w:val="none"/>
              </w:rPr>
              <w:t>：</w:t>
            </w:r>
            <w:r>
              <w:rPr>
                <w:rFonts w:hint="eastAsia" w:cs="宋体"/>
                <w:color w:val="auto"/>
                <w:sz w:val="22"/>
                <w:szCs w:val="22"/>
                <w:highlight w:val="none"/>
                <w:lang w:val="en-US" w:eastAsia="zh-CN"/>
              </w:rPr>
              <w:t>服务</w:t>
            </w:r>
            <w:r>
              <w:rPr>
                <w:rFonts w:hint="eastAsia" w:cs="宋体"/>
                <w:color w:val="auto"/>
                <w:sz w:val="22"/>
                <w:szCs w:val="22"/>
                <w:highlight w:val="none"/>
              </w:rPr>
              <w:t>保障</w:t>
            </w:r>
            <w:r>
              <w:rPr>
                <w:rFonts w:hint="eastAsia" w:cs="宋体"/>
                <w:color w:val="auto"/>
                <w:sz w:val="22"/>
                <w:szCs w:val="22"/>
                <w:highlight w:val="none"/>
                <w:lang w:val="en-US" w:eastAsia="zh-CN"/>
              </w:rPr>
              <w:t>体系完备、方</w:t>
            </w:r>
            <w:r>
              <w:rPr>
                <w:rFonts w:hint="eastAsia" w:cs="宋体"/>
                <w:color w:val="auto"/>
                <w:sz w:val="22"/>
                <w:szCs w:val="22"/>
                <w:highlight w:val="none"/>
              </w:rPr>
              <w:t>案内容完全符合本项目需求得</w:t>
            </w:r>
            <w:r>
              <w:rPr>
                <w:rFonts w:hint="eastAsia" w:cs="宋体"/>
                <w:color w:val="auto"/>
                <w:sz w:val="22"/>
                <w:szCs w:val="22"/>
                <w:highlight w:val="none"/>
                <w:lang w:val="en-US" w:eastAsia="zh-CN"/>
              </w:rPr>
              <w:t>5</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有服务保障体系但部分</w:t>
            </w:r>
            <w:r>
              <w:rPr>
                <w:rFonts w:hint="eastAsia" w:cs="宋体"/>
                <w:color w:val="auto"/>
                <w:sz w:val="22"/>
                <w:szCs w:val="22"/>
                <w:highlight w:val="none"/>
              </w:rPr>
              <w:t>内容有欠缺、但尚不影响履约得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val="en-US" w:eastAsia="zh-CN"/>
              </w:rPr>
              <w:t>没有服务保障体系或方案</w:t>
            </w:r>
            <w:r>
              <w:rPr>
                <w:rFonts w:hint="eastAsia" w:cs="宋体"/>
                <w:color w:val="auto"/>
                <w:sz w:val="22"/>
                <w:szCs w:val="22"/>
                <w:highlight w:val="none"/>
              </w:rPr>
              <w:t>内容</w:t>
            </w:r>
            <w:r>
              <w:rPr>
                <w:rFonts w:hint="eastAsia" w:cs="宋体"/>
                <w:color w:val="auto"/>
                <w:sz w:val="22"/>
                <w:szCs w:val="22"/>
                <w:highlight w:val="none"/>
                <w:lang w:val="en-US" w:eastAsia="zh-CN"/>
              </w:rPr>
              <w:t>存在明显缺漏项</w:t>
            </w:r>
            <w:r>
              <w:rPr>
                <w:rFonts w:hint="eastAsia" w:cs="宋体"/>
                <w:color w:val="auto"/>
                <w:sz w:val="22"/>
                <w:szCs w:val="22"/>
                <w:highlight w:val="none"/>
              </w:rPr>
              <w:t>、不</w:t>
            </w:r>
            <w:r>
              <w:rPr>
                <w:rFonts w:hint="eastAsia" w:cs="宋体"/>
                <w:color w:val="auto"/>
                <w:sz w:val="22"/>
                <w:szCs w:val="22"/>
                <w:highlight w:val="none"/>
                <w:lang w:val="en-US" w:eastAsia="zh-CN"/>
              </w:rPr>
              <w:t>符合规范的</w:t>
            </w:r>
            <w:r>
              <w:rPr>
                <w:rFonts w:hint="eastAsia" w:cs="宋体"/>
                <w:color w:val="auto"/>
                <w:sz w:val="22"/>
                <w:szCs w:val="22"/>
                <w:highlight w:val="none"/>
              </w:rPr>
              <w:t>得</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r>
              <w:rPr>
                <w:rFonts w:hint="eastAsia" w:cs="宋体"/>
                <w:color w:val="auto"/>
                <w:sz w:val="22"/>
                <w:szCs w:val="22"/>
                <w:highlight w:val="none"/>
              </w:rPr>
              <w:t>。</w:t>
            </w:r>
          </w:p>
        </w:tc>
      </w:tr>
      <w:tr w14:paraId="4ED90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48" w:type="dxa"/>
            <w:vMerge w:val="continue"/>
            <w:noWrap w:val="0"/>
            <w:vAlign w:val="center"/>
          </w:tcPr>
          <w:p w14:paraId="4286DC0B">
            <w:pPr>
              <w:pageBreakBefore w:val="0"/>
              <w:widowControl/>
              <w:kinsoku/>
              <w:wordWrap/>
              <w:overflowPunct/>
              <w:topLinePunct w:val="0"/>
              <w:bidi w:val="0"/>
              <w:spacing w:line="360" w:lineRule="auto"/>
              <w:jc w:val="left"/>
              <w:rPr>
                <w:color w:val="auto"/>
                <w:sz w:val="22"/>
                <w:szCs w:val="22"/>
                <w:highlight w:val="none"/>
              </w:rPr>
            </w:pPr>
          </w:p>
        </w:tc>
        <w:tc>
          <w:tcPr>
            <w:tcW w:w="1270" w:type="dxa"/>
            <w:noWrap w:val="0"/>
            <w:vAlign w:val="center"/>
          </w:tcPr>
          <w:p w14:paraId="36E6BB70">
            <w:pPr>
              <w:pageBreakBefore w:val="0"/>
              <w:tabs>
                <w:tab w:val="left" w:pos="4915"/>
              </w:tabs>
              <w:kinsoku/>
              <w:wordWrap/>
              <w:overflowPunct/>
              <w:topLinePunct w:val="0"/>
              <w:bidi w:val="0"/>
              <w:spacing w:line="360" w:lineRule="auto"/>
              <w:rPr>
                <w:rFonts w:hint="eastAsia" w:ascii="Calibri" w:hAnsi="Calibri" w:cs="Calibri"/>
                <w:color w:val="auto"/>
                <w:sz w:val="22"/>
                <w:szCs w:val="22"/>
                <w:highlight w:val="none"/>
              </w:rPr>
            </w:pPr>
            <w:r>
              <w:rPr>
                <w:rFonts w:hint="eastAsia" w:ascii="Calibri" w:hAnsi="Calibri" w:cs="Calibri"/>
                <w:color w:val="auto"/>
                <w:sz w:val="22"/>
                <w:szCs w:val="22"/>
                <w:highlight w:val="none"/>
              </w:rPr>
              <w:t>突发性事件应急预案</w:t>
            </w:r>
            <w:r>
              <w:rPr>
                <w:rFonts w:hint="eastAsia" w:ascii="Calibri" w:hAnsi="Calibri" w:cs="Calibri"/>
                <w:color w:val="auto"/>
                <w:sz w:val="22"/>
                <w:szCs w:val="22"/>
                <w:highlight w:val="none"/>
                <w:lang w:eastAsia="zh-CN"/>
              </w:rPr>
              <w:t>（</w:t>
            </w:r>
            <w:r>
              <w:rPr>
                <w:rFonts w:hint="eastAsia" w:ascii="Calibri" w:hAnsi="Calibri" w:cs="Calibri"/>
                <w:color w:val="auto"/>
                <w:sz w:val="22"/>
                <w:szCs w:val="22"/>
                <w:highlight w:val="none"/>
                <w:lang w:val="en-US" w:eastAsia="zh-CN"/>
              </w:rPr>
              <w:t>5分</w:t>
            </w:r>
            <w:r>
              <w:rPr>
                <w:rFonts w:hint="eastAsia" w:ascii="Calibri" w:hAnsi="Calibri" w:cs="Calibri"/>
                <w:color w:val="auto"/>
                <w:sz w:val="22"/>
                <w:szCs w:val="22"/>
                <w:highlight w:val="none"/>
                <w:lang w:eastAsia="zh-CN"/>
              </w:rPr>
              <w:t>）</w:t>
            </w:r>
          </w:p>
        </w:tc>
        <w:tc>
          <w:tcPr>
            <w:tcW w:w="7367" w:type="dxa"/>
            <w:noWrap w:val="0"/>
            <w:vAlign w:val="center"/>
          </w:tcPr>
          <w:p w14:paraId="2276E236">
            <w:pPr>
              <w:pageBreakBefore w:val="0"/>
              <w:kinsoku/>
              <w:wordWrap/>
              <w:overflowPunct/>
              <w:topLinePunct w:val="0"/>
              <w:bidi w:val="0"/>
              <w:spacing w:line="360" w:lineRule="auto"/>
              <w:rPr>
                <w:rFonts w:hint="eastAsia" w:cs="宋体"/>
                <w:color w:val="auto"/>
                <w:sz w:val="22"/>
                <w:szCs w:val="22"/>
                <w:highlight w:val="none"/>
                <w:lang w:val="en-US" w:eastAsia="zh-CN"/>
              </w:rPr>
            </w:pPr>
            <w:r>
              <w:rPr>
                <w:rFonts w:hint="eastAsia" w:cs="宋体"/>
                <w:color w:val="auto"/>
                <w:sz w:val="22"/>
                <w:szCs w:val="22"/>
                <w:highlight w:val="none"/>
                <w:lang w:val="en-US" w:eastAsia="zh-CN"/>
              </w:rPr>
              <w:t>11、</w:t>
            </w:r>
            <w:r>
              <w:rPr>
                <w:rFonts w:hint="eastAsia" w:ascii="Calibri" w:hAnsi="Calibri" w:cs="Calibri"/>
                <w:color w:val="auto"/>
                <w:sz w:val="22"/>
                <w:szCs w:val="22"/>
                <w:highlight w:val="none"/>
              </w:rPr>
              <w:t>突发性事件应急预案</w:t>
            </w:r>
            <w:r>
              <w:rPr>
                <w:rFonts w:hint="eastAsia" w:ascii="Calibri" w:hAnsi="Calibri" w:cs="Calibri"/>
                <w:color w:val="auto"/>
                <w:sz w:val="22"/>
                <w:szCs w:val="22"/>
                <w:highlight w:val="none"/>
                <w:lang w:eastAsia="zh-CN"/>
              </w:rPr>
              <w:t>（</w:t>
            </w:r>
            <w:r>
              <w:rPr>
                <w:rFonts w:hint="eastAsia" w:ascii="Calibri" w:hAnsi="Calibri" w:cs="Calibri"/>
                <w:color w:val="auto"/>
                <w:sz w:val="22"/>
                <w:szCs w:val="22"/>
                <w:highlight w:val="none"/>
                <w:lang w:val="en-US" w:eastAsia="zh-CN"/>
              </w:rPr>
              <w:t>5分</w:t>
            </w:r>
            <w:r>
              <w:rPr>
                <w:rFonts w:hint="eastAsia" w:ascii="Calibri" w:hAnsi="Calibri" w:cs="Calibri"/>
                <w:color w:val="auto"/>
                <w:sz w:val="22"/>
                <w:szCs w:val="22"/>
                <w:highlight w:val="none"/>
                <w:lang w:eastAsia="zh-CN"/>
              </w:rPr>
              <w:t>）</w:t>
            </w:r>
          </w:p>
          <w:p w14:paraId="6A4F3FBE">
            <w:pPr>
              <w:pageBreakBefore w:val="0"/>
              <w:kinsoku/>
              <w:wordWrap/>
              <w:overflowPunct/>
              <w:topLinePunct w:val="0"/>
              <w:bidi w:val="0"/>
              <w:spacing w:line="360" w:lineRule="auto"/>
              <w:rPr>
                <w:color w:val="auto"/>
                <w:sz w:val="22"/>
                <w:szCs w:val="22"/>
                <w:highlight w:val="none"/>
              </w:rPr>
            </w:pPr>
            <w:r>
              <w:rPr>
                <w:rFonts w:hint="eastAsia" w:cs="宋体"/>
                <w:color w:val="auto"/>
                <w:sz w:val="22"/>
                <w:szCs w:val="22"/>
                <w:highlight w:val="none"/>
              </w:rPr>
              <w:t>评委对突发性事件应急预案进行综合评议并打分</w:t>
            </w:r>
            <w:r>
              <w:rPr>
                <w:rFonts w:hint="eastAsia" w:cs="宋体"/>
                <w:color w:val="auto"/>
                <w:sz w:val="22"/>
                <w:szCs w:val="22"/>
                <w:highlight w:val="none"/>
                <w:lang w:eastAsia="zh-CN"/>
              </w:rPr>
              <w:t>：</w:t>
            </w:r>
            <w:r>
              <w:rPr>
                <w:rFonts w:hint="eastAsia" w:cs="宋体"/>
                <w:color w:val="auto"/>
                <w:sz w:val="22"/>
                <w:szCs w:val="22"/>
                <w:highlight w:val="none"/>
              </w:rPr>
              <w:t>应急预案内容完全符合本项目需求</w:t>
            </w:r>
            <w:r>
              <w:rPr>
                <w:rFonts w:hint="eastAsia" w:cs="宋体"/>
                <w:color w:val="auto"/>
                <w:sz w:val="22"/>
                <w:szCs w:val="22"/>
                <w:highlight w:val="none"/>
                <w:lang w:eastAsia="zh-CN"/>
              </w:rPr>
              <w:t>、</w:t>
            </w:r>
            <w:r>
              <w:rPr>
                <w:rFonts w:hint="eastAsia" w:cs="宋体"/>
                <w:color w:val="auto"/>
                <w:sz w:val="22"/>
                <w:szCs w:val="22"/>
                <w:highlight w:val="none"/>
                <w:lang w:val="en-US" w:eastAsia="zh-CN"/>
              </w:rPr>
              <w:t>应急</w:t>
            </w:r>
            <w:r>
              <w:rPr>
                <w:rFonts w:hint="eastAsia" w:cs="宋体"/>
                <w:color w:val="auto"/>
                <w:sz w:val="22"/>
                <w:szCs w:val="22"/>
                <w:highlight w:val="none"/>
              </w:rPr>
              <w:t>保障</w:t>
            </w:r>
            <w:r>
              <w:rPr>
                <w:rFonts w:hint="eastAsia" w:cs="宋体"/>
                <w:color w:val="auto"/>
                <w:sz w:val="22"/>
                <w:szCs w:val="22"/>
                <w:highlight w:val="none"/>
                <w:lang w:val="en-US" w:eastAsia="zh-CN"/>
              </w:rPr>
              <w:t>体系完备得5</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预案</w:t>
            </w:r>
            <w:r>
              <w:rPr>
                <w:rFonts w:hint="eastAsia" w:cs="宋体"/>
                <w:color w:val="auto"/>
                <w:sz w:val="22"/>
                <w:szCs w:val="22"/>
                <w:highlight w:val="none"/>
              </w:rPr>
              <w:t>有</w:t>
            </w:r>
            <w:r>
              <w:rPr>
                <w:rFonts w:hint="eastAsia" w:cs="宋体"/>
                <w:color w:val="auto"/>
                <w:sz w:val="22"/>
                <w:szCs w:val="22"/>
                <w:highlight w:val="none"/>
                <w:lang w:val="en-US" w:eastAsia="zh-CN"/>
              </w:rPr>
              <w:t>部分非主体内容的欠缺</w:t>
            </w:r>
            <w:r>
              <w:rPr>
                <w:rFonts w:hint="eastAsia" w:cs="宋体"/>
                <w:color w:val="auto"/>
                <w:sz w:val="22"/>
                <w:szCs w:val="22"/>
                <w:highlight w:val="none"/>
              </w:rPr>
              <w:t>，</w:t>
            </w:r>
            <w:r>
              <w:rPr>
                <w:rFonts w:hint="eastAsia" w:cs="宋体"/>
                <w:color w:val="auto"/>
                <w:sz w:val="22"/>
                <w:szCs w:val="22"/>
                <w:highlight w:val="none"/>
                <w:lang w:val="en-US" w:eastAsia="zh-CN"/>
              </w:rPr>
              <w:t>尚不影响实施</w:t>
            </w:r>
            <w:r>
              <w:rPr>
                <w:rFonts w:hint="eastAsia" w:cs="宋体"/>
                <w:color w:val="auto"/>
                <w:sz w:val="22"/>
                <w:szCs w:val="22"/>
                <w:highlight w:val="none"/>
              </w:rPr>
              <w:t>的得</w:t>
            </w:r>
            <w:r>
              <w:rPr>
                <w:rFonts w:hint="eastAsia" w:cs="宋体"/>
                <w:color w:val="auto"/>
                <w:sz w:val="22"/>
                <w:szCs w:val="22"/>
                <w:highlight w:val="none"/>
                <w:lang w:val="en-US" w:eastAsia="zh-CN"/>
              </w:rPr>
              <w:t>3</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预案不全</w:t>
            </w:r>
            <w:r>
              <w:rPr>
                <w:rFonts w:hint="eastAsia" w:cs="宋体"/>
                <w:color w:val="auto"/>
                <w:sz w:val="22"/>
                <w:szCs w:val="22"/>
                <w:highlight w:val="none"/>
              </w:rPr>
              <w:t>或</w:t>
            </w:r>
            <w:r>
              <w:rPr>
                <w:rFonts w:hint="eastAsia" w:cs="宋体"/>
                <w:color w:val="auto"/>
                <w:sz w:val="22"/>
                <w:szCs w:val="22"/>
                <w:highlight w:val="none"/>
                <w:lang w:val="en-US" w:eastAsia="zh-CN"/>
              </w:rPr>
              <w:t>过于笼统</w:t>
            </w:r>
            <w:r>
              <w:rPr>
                <w:rFonts w:hint="eastAsia" w:cs="宋体"/>
                <w:color w:val="auto"/>
                <w:sz w:val="22"/>
                <w:szCs w:val="22"/>
                <w:highlight w:val="none"/>
              </w:rPr>
              <w:t>，</w:t>
            </w:r>
            <w:r>
              <w:rPr>
                <w:rFonts w:hint="eastAsia" w:cs="宋体"/>
                <w:color w:val="auto"/>
                <w:sz w:val="22"/>
                <w:szCs w:val="22"/>
                <w:highlight w:val="none"/>
                <w:lang w:val="en-US" w:eastAsia="zh-CN"/>
              </w:rPr>
              <w:t>难以</w:t>
            </w:r>
            <w:r>
              <w:rPr>
                <w:rFonts w:hint="eastAsia" w:cs="宋体"/>
                <w:color w:val="auto"/>
                <w:sz w:val="22"/>
                <w:szCs w:val="22"/>
                <w:highlight w:val="none"/>
              </w:rPr>
              <w:t>保证项目</w:t>
            </w:r>
            <w:r>
              <w:rPr>
                <w:rFonts w:hint="eastAsia" w:cs="宋体"/>
                <w:color w:val="auto"/>
                <w:sz w:val="22"/>
                <w:szCs w:val="22"/>
                <w:highlight w:val="none"/>
                <w:lang w:val="en-US" w:eastAsia="zh-CN"/>
              </w:rPr>
              <w:t>实施</w:t>
            </w:r>
            <w:r>
              <w:rPr>
                <w:rFonts w:hint="eastAsia" w:cs="宋体"/>
                <w:color w:val="auto"/>
                <w:sz w:val="22"/>
                <w:szCs w:val="22"/>
                <w:highlight w:val="none"/>
              </w:rPr>
              <w:t>的</w:t>
            </w:r>
            <w:r>
              <w:rPr>
                <w:rFonts w:hint="eastAsia" w:cs="宋体"/>
                <w:color w:val="auto"/>
                <w:sz w:val="22"/>
                <w:szCs w:val="22"/>
                <w:highlight w:val="none"/>
                <w:lang w:val="en-US" w:eastAsia="zh-CN"/>
              </w:rPr>
              <w:t>1</w:t>
            </w:r>
            <w:r>
              <w:rPr>
                <w:rFonts w:hint="eastAsia" w:cs="宋体"/>
                <w:color w:val="auto"/>
                <w:sz w:val="22"/>
                <w:szCs w:val="22"/>
                <w:highlight w:val="none"/>
              </w:rPr>
              <w:t>分</w:t>
            </w:r>
            <w:r>
              <w:rPr>
                <w:rFonts w:hint="eastAsia" w:cs="宋体"/>
                <w:color w:val="auto"/>
                <w:sz w:val="22"/>
                <w:szCs w:val="22"/>
                <w:highlight w:val="none"/>
                <w:lang w:eastAsia="zh-CN"/>
              </w:rPr>
              <w:t>；</w:t>
            </w:r>
            <w:r>
              <w:rPr>
                <w:rFonts w:hint="eastAsia" w:cs="宋体"/>
                <w:color w:val="auto"/>
                <w:sz w:val="22"/>
                <w:szCs w:val="22"/>
                <w:highlight w:val="none"/>
                <w:lang w:val="en-US" w:eastAsia="zh-CN"/>
              </w:rPr>
              <w:t>未提供方案的得0分。</w:t>
            </w:r>
          </w:p>
        </w:tc>
      </w:tr>
      <w:tr w14:paraId="4EEF9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48" w:type="dxa"/>
            <w:vMerge w:val="continue"/>
            <w:noWrap w:val="0"/>
            <w:vAlign w:val="center"/>
          </w:tcPr>
          <w:p w14:paraId="7DA5E66E">
            <w:pPr>
              <w:pageBreakBefore w:val="0"/>
              <w:widowControl/>
              <w:kinsoku/>
              <w:wordWrap/>
              <w:overflowPunct/>
              <w:topLinePunct w:val="0"/>
              <w:bidi w:val="0"/>
              <w:spacing w:line="360" w:lineRule="auto"/>
              <w:jc w:val="left"/>
              <w:rPr>
                <w:color w:val="auto"/>
                <w:sz w:val="22"/>
                <w:szCs w:val="22"/>
                <w:highlight w:val="none"/>
              </w:rPr>
            </w:pPr>
          </w:p>
        </w:tc>
        <w:tc>
          <w:tcPr>
            <w:tcW w:w="1270" w:type="dxa"/>
            <w:noWrap w:val="0"/>
            <w:vAlign w:val="center"/>
          </w:tcPr>
          <w:p w14:paraId="37870846">
            <w:pPr>
              <w:pageBreakBefore w:val="0"/>
              <w:kinsoku/>
              <w:wordWrap/>
              <w:overflowPunct/>
              <w:topLinePunct w:val="0"/>
              <w:bidi w:val="0"/>
              <w:spacing w:line="360" w:lineRule="auto"/>
              <w:rPr>
                <w:rFonts w:hint="eastAsia" w:eastAsia="宋体" w:cs="宋体"/>
                <w:color w:val="auto"/>
                <w:sz w:val="22"/>
                <w:szCs w:val="22"/>
                <w:highlight w:val="none"/>
                <w:lang w:val="en-US" w:eastAsia="zh-CN"/>
              </w:rPr>
            </w:pPr>
            <w:r>
              <w:rPr>
                <w:rFonts w:hint="eastAsia" w:eastAsia="宋体" w:cs="宋体"/>
                <w:color w:val="auto"/>
                <w:sz w:val="22"/>
                <w:szCs w:val="22"/>
                <w:highlight w:val="none"/>
                <w:lang w:val="en-US" w:eastAsia="zh-CN"/>
              </w:rPr>
              <w:t>企业综合实力（3分）</w:t>
            </w:r>
          </w:p>
        </w:tc>
        <w:tc>
          <w:tcPr>
            <w:tcW w:w="7367" w:type="dxa"/>
            <w:noWrap w:val="0"/>
            <w:vAlign w:val="center"/>
          </w:tcPr>
          <w:p w14:paraId="3EC143BA">
            <w:pPr>
              <w:pageBreakBefore w:val="0"/>
              <w:kinsoku/>
              <w:wordWrap/>
              <w:overflowPunct/>
              <w:topLinePunct w:val="0"/>
              <w:bidi w:val="0"/>
              <w:spacing w:line="360" w:lineRule="auto"/>
              <w:rPr>
                <w:rFonts w:hint="eastAsia" w:eastAsia="宋体" w:cs="宋体"/>
                <w:color w:val="auto"/>
                <w:sz w:val="22"/>
                <w:szCs w:val="22"/>
                <w:highlight w:val="none"/>
                <w:lang w:val="en-US" w:eastAsia="zh-CN"/>
              </w:rPr>
            </w:pPr>
            <w:r>
              <w:rPr>
                <w:rFonts w:hint="eastAsia" w:eastAsia="宋体" w:cs="宋体"/>
                <w:color w:val="auto"/>
                <w:sz w:val="22"/>
                <w:szCs w:val="22"/>
                <w:highlight w:val="none"/>
                <w:lang w:val="en-US" w:eastAsia="zh-CN"/>
              </w:rPr>
              <w:t>12、企业综合实力（3分）</w:t>
            </w:r>
          </w:p>
          <w:p w14:paraId="31507033">
            <w:pPr>
              <w:pageBreakBefore w:val="0"/>
              <w:kinsoku/>
              <w:wordWrap/>
              <w:overflowPunct/>
              <w:topLinePunct w:val="0"/>
              <w:bidi w:val="0"/>
              <w:spacing w:line="360" w:lineRule="auto"/>
              <w:rPr>
                <w:rFonts w:hint="eastAsia" w:eastAsia="宋体" w:cs="宋体"/>
                <w:color w:val="auto"/>
                <w:sz w:val="22"/>
                <w:szCs w:val="22"/>
                <w:highlight w:val="none"/>
                <w:lang w:val="en-US" w:eastAsia="zh-CN"/>
              </w:rPr>
            </w:pPr>
            <w:r>
              <w:rPr>
                <w:rFonts w:hint="eastAsia" w:eastAsia="宋体" w:cs="宋体"/>
                <w:color w:val="auto"/>
                <w:sz w:val="22"/>
                <w:szCs w:val="22"/>
                <w:highlight w:val="none"/>
                <w:lang w:val="en-US" w:eastAsia="zh-CN"/>
              </w:rPr>
              <w:t>投标人具有质量管理体系认证证书、环境管理体系认证证书、职业健康安全管理体系认证证书，每具有1个得1分，最多得3分。</w:t>
            </w:r>
          </w:p>
          <w:p w14:paraId="77CA739B">
            <w:pPr>
              <w:pageBreakBefore w:val="0"/>
              <w:kinsoku/>
              <w:wordWrap/>
              <w:overflowPunct/>
              <w:topLinePunct w:val="0"/>
              <w:bidi w:val="0"/>
              <w:spacing w:line="360" w:lineRule="auto"/>
              <w:rPr>
                <w:rFonts w:hint="default" w:eastAsia="宋体" w:cs="宋体"/>
                <w:color w:val="auto"/>
                <w:sz w:val="22"/>
                <w:szCs w:val="22"/>
                <w:highlight w:val="none"/>
                <w:lang w:val="en-US" w:eastAsia="zh-CN"/>
              </w:rPr>
            </w:pPr>
            <w:r>
              <w:rPr>
                <w:rFonts w:hint="eastAsia" w:eastAsia="宋体" w:cs="宋体"/>
                <w:color w:val="auto"/>
                <w:sz w:val="22"/>
                <w:szCs w:val="22"/>
                <w:highlight w:val="none"/>
                <w:lang w:val="en-US" w:eastAsia="zh-CN"/>
              </w:rPr>
              <w:t>注：</w:t>
            </w:r>
            <w:r>
              <w:rPr>
                <w:rFonts w:hint="eastAsia" w:cs="宋体"/>
                <w:color w:val="auto"/>
                <w:sz w:val="22"/>
                <w:szCs w:val="22"/>
                <w:highlight w:val="none"/>
                <w:lang w:val="en-US" w:eastAsia="zh-CN"/>
              </w:rPr>
              <w:t>响应</w:t>
            </w:r>
            <w:r>
              <w:rPr>
                <w:rFonts w:hint="eastAsia" w:eastAsia="宋体" w:cs="宋体"/>
                <w:color w:val="auto"/>
                <w:sz w:val="22"/>
                <w:szCs w:val="22"/>
                <w:highlight w:val="none"/>
                <w:lang w:val="en-US" w:eastAsia="zh-CN"/>
              </w:rPr>
              <w:t>文件中提供有效的证书复印件，未提供者不得分。</w:t>
            </w:r>
          </w:p>
        </w:tc>
      </w:tr>
      <w:tr w14:paraId="5E7E5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48" w:type="dxa"/>
            <w:vMerge w:val="continue"/>
            <w:noWrap w:val="0"/>
            <w:vAlign w:val="center"/>
          </w:tcPr>
          <w:p w14:paraId="75F033A7">
            <w:pPr>
              <w:pageBreakBefore w:val="0"/>
              <w:widowControl/>
              <w:kinsoku/>
              <w:wordWrap/>
              <w:overflowPunct/>
              <w:topLinePunct w:val="0"/>
              <w:bidi w:val="0"/>
              <w:spacing w:line="360" w:lineRule="auto"/>
              <w:jc w:val="left"/>
              <w:rPr>
                <w:color w:val="auto"/>
                <w:sz w:val="22"/>
                <w:szCs w:val="22"/>
                <w:highlight w:val="none"/>
              </w:rPr>
            </w:pPr>
          </w:p>
        </w:tc>
        <w:tc>
          <w:tcPr>
            <w:tcW w:w="1270" w:type="dxa"/>
            <w:shd w:val="clear" w:color="auto" w:fill="auto"/>
            <w:noWrap w:val="0"/>
            <w:vAlign w:val="center"/>
          </w:tcPr>
          <w:p w14:paraId="51AB5C6C">
            <w:pPr>
              <w:pageBreakBefore w:val="0"/>
              <w:kinsoku/>
              <w:wordWrap/>
              <w:overflowPunct/>
              <w:topLinePunct w:val="0"/>
              <w:bidi w:val="0"/>
              <w:spacing w:line="360" w:lineRule="auto"/>
              <w:jc w:val="center"/>
              <w:rPr>
                <w:rFonts w:hint="eastAsia" w:ascii="Calibri" w:hAnsi="Calibri"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业绩（2分）</w:t>
            </w:r>
          </w:p>
        </w:tc>
        <w:tc>
          <w:tcPr>
            <w:tcW w:w="7367" w:type="dxa"/>
            <w:shd w:val="clear" w:color="auto" w:fill="auto"/>
            <w:noWrap w:val="0"/>
            <w:vAlign w:val="center"/>
          </w:tcPr>
          <w:p w14:paraId="534DC853">
            <w:pPr>
              <w:pageBreakBefore w:val="0"/>
              <w:kinsoku/>
              <w:wordWrap/>
              <w:overflowPunct/>
              <w:topLinePunct w:val="0"/>
              <w:bidi w:val="0"/>
              <w:spacing w:line="360" w:lineRule="auto"/>
              <w:rPr>
                <w:rFonts w:hint="eastAsia" w:cs="宋体"/>
                <w:color w:val="auto"/>
                <w:sz w:val="22"/>
                <w:szCs w:val="22"/>
                <w:highlight w:val="none"/>
                <w:lang w:val="en-US" w:eastAsia="zh-CN"/>
              </w:rPr>
            </w:pPr>
            <w:r>
              <w:rPr>
                <w:rFonts w:hint="eastAsia" w:cs="宋体"/>
                <w:color w:val="auto"/>
                <w:sz w:val="22"/>
                <w:szCs w:val="22"/>
                <w:highlight w:val="none"/>
                <w:lang w:val="en-US" w:eastAsia="zh-CN"/>
              </w:rPr>
              <w:t>13、业绩（2分）</w:t>
            </w:r>
          </w:p>
          <w:p w14:paraId="6C212A63">
            <w:pPr>
              <w:pageBreakBefore w:val="0"/>
              <w:kinsoku/>
              <w:wordWrap/>
              <w:overflowPunct/>
              <w:topLinePunct w:val="0"/>
              <w:bidi w:val="0"/>
              <w:spacing w:line="360" w:lineRule="auto"/>
              <w:rPr>
                <w:rFonts w:hint="eastAsia" w:cs="宋体"/>
                <w:color w:val="auto"/>
                <w:sz w:val="22"/>
                <w:szCs w:val="22"/>
                <w:highlight w:val="none"/>
                <w:lang w:val="en-US" w:eastAsia="zh-CN"/>
              </w:rPr>
            </w:pPr>
            <w:r>
              <w:rPr>
                <w:rFonts w:hint="eastAsia" w:cs="宋体"/>
                <w:color w:val="auto"/>
                <w:sz w:val="22"/>
                <w:szCs w:val="22"/>
                <w:highlight w:val="none"/>
                <w:lang w:val="en-US" w:eastAsia="zh-CN"/>
              </w:rPr>
              <w:t>供应商自2022年1月1日以来承担过房屋建筑工程类项目的，每提供一个项目业绩合同得1分，最高得2分。</w:t>
            </w:r>
          </w:p>
          <w:p w14:paraId="0BA5BC5F">
            <w:pPr>
              <w:pageBreakBefore w:val="0"/>
              <w:kinsoku/>
              <w:wordWrap/>
              <w:overflowPunct/>
              <w:topLinePunct w:val="0"/>
              <w:bidi w:val="0"/>
              <w:spacing w:line="360" w:lineRule="auto"/>
              <w:rPr>
                <w:rFonts w:hint="eastAsia" w:ascii="Calibri" w:hAnsi="Calibri" w:eastAsia="宋体" w:cs="宋体"/>
                <w:color w:val="auto"/>
                <w:kern w:val="2"/>
                <w:sz w:val="22"/>
                <w:szCs w:val="22"/>
                <w:highlight w:val="none"/>
                <w:lang w:val="en-US" w:eastAsia="zh-CN" w:bidi="ar-SA"/>
              </w:rPr>
            </w:pPr>
            <w:r>
              <w:rPr>
                <w:rFonts w:hint="eastAsia" w:cs="宋体"/>
                <w:color w:val="auto"/>
                <w:sz w:val="22"/>
                <w:szCs w:val="22"/>
                <w:highlight w:val="none"/>
                <w:lang w:val="en-US" w:eastAsia="zh-CN"/>
              </w:rPr>
              <w:t>注：响应文件中需同时提供中标（成交）通知（确认）书和施工合同复印件，未提供或提供不全均不得分。</w:t>
            </w:r>
          </w:p>
        </w:tc>
      </w:tr>
      <w:tr w14:paraId="2D63F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48" w:type="dxa"/>
            <w:vMerge w:val="continue"/>
            <w:noWrap w:val="0"/>
            <w:vAlign w:val="center"/>
          </w:tcPr>
          <w:p w14:paraId="5FF67E76">
            <w:pPr>
              <w:pageBreakBefore w:val="0"/>
              <w:widowControl/>
              <w:kinsoku/>
              <w:wordWrap/>
              <w:overflowPunct/>
              <w:topLinePunct w:val="0"/>
              <w:bidi w:val="0"/>
              <w:spacing w:line="360" w:lineRule="auto"/>
              <w:jc w:val="left"/>
              <w:rPr>
                <w:color w:val="auto"/>
                <w:sz w:val="22"/>
                <w:szCs w:val="22"/>
                <w:highlight w:val="none"/>
              </w:rPr>
            </w:pPr>
          </w:p>
        </w:tc>
        <w:tc>
          <w:tcPr>
            <w:tcW w:w="1270" w:type="dxa"/>
            <w:noWrap w:val="0"/>
            <w:vAlign w:val="center"/>
          </w:tcPr>
          <w:p w14:paraId="6CF821C6">
            <w:pPr>
              <w:pageBreakBefore w:val="0"/>
              <w:kinsoku/>
              <w:wordWrap/>
              <w:overflowPunct/>
              <w:topLinePunct w:val="0"/>
              <w:bidi w:val="0"/>
              <w:spacing w:line="360" w:lineRule="auto"/>
              <w:jc w:val="center"/>
              <w:rPr>
                <w:color w:val="auto"/>
                <w:sz w:val="22"/>
                <w:szCs w:val="22"/>
                <w:highlight w:val="none"/>
              </w:rPr>
            </w:pPr>
            <w:r>
              <w:rPr>
                <w:rFonts w:hint="eastAsia" w:hAnsi="宋体" w:cs="Calibri"/>
                <w:color w:val="auto"/>
                <w:sz w:val="22"/>
                <w:szCs w:val="22"/>
                <w:highlight w:val="none"/>
              </w:rPr>
              <w:t>政策性加分（1分）</w:t>
            </w:r>
          </w:p>
        </w:tc>
        <w:tc>
          <w:tcPr>
            <w:tcW w:w="7367" w:type="dxa"/>
            <w:noWrap w:val="0"/>
            <w:vAlign w:val="center"/>
          </w:tcPr>
          <w:p w14:paraId="79F4D73D">
            <w:pPr>
              <w:pageBreakBefore w:val="0"/>
              <w:kinsoku/>
              <w:wordWrap/>
              <w:overflowPunct/>
              <w:topLinePunct w:val="0"/>
              <w:bidi w:val="0"/>
              <w:spacing w:line="360" w:lineRule="auto"/>
              <w:rPr>
                <w:rFonts w:hint="eastAsia"/>
                <w:color w:val="auto"/>
                <w:sz w:val="22"/>
                <w:szCs w:val="22"/>
                <w:highlight w:val="none"/>
                <w:lang w:val="en-US" w:eastAsia="zh-CN"/>
              </w:rPr>
            </w:pPr>
            <w:r>
              <w:rPr>
                <w:rFonts w:hint="eastAsia"/>
                <w:color w:val="auto"/>
                <w:sz w:val="22"/>
                <w:szCs w:val="22"/>
                <w:highlight w:val="none"/>
                <w:lang w:val="en-US" w:eastAsia="zh-CN"/>
              </w:rPr>
              <w:t>14、</w:t>
            </w:r>
            <w:r>
              <w:rPr>
                <w:rFonts w:hint="eastAsia" w:hAnsi="宋体" w:cs="Calibri"/>
                <w:color w:val="auto"/>
                <w:sz w:val="22"/>
                <w:szCs w:val="22"/>
                <w:highlight w:val="none"/>
              </w:rPr>
              <w:t>政策性加分（1分）</w:t>
            </w:r>
          </w:p>
          <w:p w14:paraId="1E7443C0">
            <w:pPr>
              <w:pageBreakBefore w:val="0"/>
              <w:kinsoku/>
              <w:wordWrap/>
              <w:overflowPunct/>
              <w:topLinePunct w:val="0"/>
              <w:bidi w:val="0"/>
              <w:spacing w:line="360" w:lineRule="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供应商是国家认定的少数民族地区企业的加</w:t>
            </w:r>
            <w:r>
              <w:rPr>
                <w:rFonts w:hint="eastAsia" w:ascii="Times New Roman" w:hAnsi="Times New Roman" w:eastAsia="宋体"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rPr>
              <w:t>分。</w:t>
            </w:r>
          </w:p>
          <w:p w14:paraId="1F80269B">
            <w:pPr>
              <w:pageBreakBefore w:val="0"/>
              <w:kinsoku/>
              <w:wordWrap/>
              <w:overflowPunct/>
              <w:topLinePunct w:val="0"/>
              <w:bidi w:val="0"/>
              <w:spacing w:line="360" w:lineRule="auto"/>
              <w:rPr>
                <w:rFonts w:hint="eastAsia" w:eastAsia="宋体"/>
                <w:color w:val="auto"/>
                <w:sz w:val="22"/>
                <w:szCs w:val="22"/>
                <w:highlight w:val="none"/>
                <w:lang w:eastAsia="zh-CN"/>
              </w:rPr>
            </w:pPr>
            <w:r>
              <w:rPr>
                <w:rFonts w:hint="eastAsia" w:ascii="Times New Roman" w:hAnsi="Times New Roman" w:eastAsia="宋体" w:cs="Times New Roman"/>
                <w:color w:val="auto"/>
                <w:sz w:val="22"/>
                <w:szCs w:val="22"/>
                <w:highlight w:val="none"/>
              </w:rPr>
              <w:t>提供证明文件复印件并加盖公章。</w:t>
            </w:r>
          </w:p>
        </w:tc>
      </w:tr>
      <w:tr w14:paraId="24763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48" w:type="dxa"/>
            <w:noWrap w:val="0"/>
            <w:vAlign w:val="center"/>
          </w:tcPr>
          <w:p w14:paraId="0A0A0BAC">
            <w:pPr>
              <w:pageBreakBefore w:val="0"/>
              <w:widowControl/>
              <w:kinsoku/>
              <w:wordWrap/>
              <w:overflowPunct/>
              <w:topLinePunct w:val="0"/>
              <w:bidi w:val="0"/>
              <w:spacing w:line="360" w:lineRule="auto"/>
              <w:jc w:val="left"/>
              <w:rPr>
                <w:color w:val="auto"/>
                <w:sz w:val="22"/>
                <w:szCs w:val="22"/>
                <w:highlight w:val="none"/>
              </w:rPr>
            </w:pPr>
            <w:r>
              <w:rPr>
                <w:color w:val="auto"/>
                <w:sz w:val="22"/>
                <w:szCs w:val="22"/>
                <w:highlight w:val="none"/>
              </w:rPr>
              <w:t>价格</w:t>
            </w:r>
            <w:r>
              <w:rPr>
                <w:rFonts w:hint="eastAsia"/>
                <w:color w:val="auto"/>
                <w:sz w:val="22"/>
                <w:szCs w:val="22"/>
                <w:highlight w:val="none"/>
              </w:rPr>
              <w:t>部分</w:t>
            </w:r>
            <w:r>
              <w:rPr>
                <w:rFonts w:hint="eastAsia"/>
                <w:color w:val="auto"/>
                <w:sz w:val="22"/>
                <w:szCs w:val="22"/>
                <w:highlight w:val="none"/>
                <w:lang w:val="en-US" w:eastAsia="zh-CN"/>
              </w:rPr>
              <w:t>35</w:t>
            </w:r>
            <w:r>
              <w:rPr>
                <w:color w:val="auto"/>
                <w:sz w:val="22"/>
                <w:szCs w:val="22"/>
                <w:highlight w:val="none"/>
              </w:rPr>
              <w:t>分</w:t>
            </w:r>
          </w:p>
        </w:tc>
        <w:tc>
          <w:tcPr>
            <w:tcW w:w="1270" w:type="dxa"/>
            <w:noWrap w:val="0"/>
            <w:vAlign w:val="center"/>
          </w:tcPr>
          <w:p w14:paraId="14217202">
            <w:pPr>
              <w:pageBreakBefore w:val="0"/>
              <w:kinsoku/>
              <w:wordWrap/>
              <w:overflowPunct/>
              <w:topLinePunct w:val="0"/>
              <w:bidi w:val="0"/>
              <w:spacing w:line="360" w:lineRule="auto"/>
              <w:jc w:val="center"/>
              <w:rPr>
                <w:color w:val="auto"/>
                <w:sz w:val="22"/>
                <w:szCs w:val="22"/>
                <w:highlight w:val="none"/>
              </w:rPr>
            </w:pPr>
            <w:r>
              <w:rPr>
                <w:color w:val="auto"/>
                <w:sz w:val="22"/>
                <w:szCs w:val="22"/>
                <w:highlight w:val="none"/>
              </w:rPr>
              <w:t>投标报价（</w:t>
            </w:r>
            <w:r>
              <w:rPr>
                <w:rFonts w:hint="eastAsia"/>
                <w:color w:val="auto"/>
                <w:sz w:val="22"/>
                <w:szCs w:val="22"/>
                <w:highlight w:val="none"/>
                <w:lang w:val="en-US" w:eastAsia="zh-CN"/>
              </w:rPr>
              <w:t>35</w:t>
            </w:r>
            <w:r>
              <w:rPr>
                <w:color w:val="auto"/>
                <w:sz w:val="22"/>
                <w:szCs w:val="22"/>
                <w:highlight w:val="none"/>
              </w:rPr>
              <w:t>分）</w:t>
            </w:r>
          </w:p>
        </w:tc>
        <w:tc>
          <w:tcPr>
            <w:tcW w:w="7367" w:type="dxa"/>
            <w:noWrap w:val="0"/>
            <w:vAlign w:val="center"/>
          </w:tcPr>
          <w:p w14:paraId="60CD1B53">
            <w:pPr>
              <w:pageBreakBefore w:val="0"/>
              <w:kinsoku/>
              <w:wordWrap/>
              <w:overflowPunct/>
              <w:topLinePunct w:val="0"/>
              <w:bidi w:val="0"/>
              <w:spacing w:line="360" w:lineRule="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rPr>
              <w:t>满足磋商文件要求且最</w:t>
            </w:r>
            <w:r>
              <w:rPr>
                <w:rFonts w:hint="eastAsia" w:ascii="Times New Roman" w:hAnsi="Times New Roman" w:eastAsia="宋体" w:cs="Times New Roman"/>
                <w:color w:val="auto"/>
                <w:sz w:val="22"/>
                <w:szCs w:val="22"/>
                <w:highlight w:val="none"/>
                <w:lang w:val="en-US" w:eastAsia="zh-CN"/>
              </w:rPr>
              <w:t>终综合折扣率</w:t>
            </w:r>
            <w:r>
              <w:rPr>
                <w:rFonts w:hint="eastAsia" w:ascii="Times New Roman" w:hAnsi="Times New Roman" w:eastAsia="宋体" w:cs="Times New Roman"/>
                <w:color w:val="auto"/>
                <w:sz w:val="22"/>
                <w:szCs w:val="22"/>
                <w:highlight w:val="none"/>
              </w:rPr>
              <w:t>最低的价格为磋商基准价，其价格分为满分。其他供应商的价格分统一按照下列公式计算：</w:t>
            </w:r>
          </w:p>
          <w:p w14:paraId="33304E2B">
            <w:pPr>
              <w:pageBreakBefore w:val="0"/>
              <w:kinsoku/>
              <w:wordWrap/>
              <w:overflowPunct/>
              <w:topLinePunct w:val="0"/>
              <w:bidi w:val="0"/>
              <w:spacing w:line="360" w:lineRule="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磋商报价得分=（磋商基准价/</w:t>
            </w:r>
            <w:r>
              <w:rPr>
                <w:rFonts w:hint="eastAsia" w:ascii="Times New Roman" w:hAnsi="Times New Roman" w:cs="Times New Roman"/>
                <w:color w:val="auto"/>
                <w:sz w:val="22"/>
                <w:szCs w:val="22"/>
                <w:highlight w:val="none"/>
                <w:lang w:val="en-US" w:eastAsia="zh-CN"/>
              </w:rPr>
              <w:t>参与评审的</w:t>
            </w:r>
            <w:r>
              <w:rPr>
                <w:rFonts w:hint="eastAsia" w:ascii="Times New Roman" w:hAnsi="Times New Roman" w:eastAsia="宋体" w:cs="Times New Roman"/>
                <w:color w:val="auto"/>
                <w:sz w:val="22"/>
                <w:szCs w:val="22"/>
                <w:highlight w:val="none"/>
              </w:rPr>
              <w:t>最</w:t>
            </w:r>
            <w:r>
              <w:rPr>
                <w:rFonts w:hint="eastAsia" w:ascii="Times New Roman" w:hAnsi="Times New Roman" w:eastAsia="宋体" w:cs="Times New Roman"/>
                <w:color w:val="auto"/>
                <w:sz w:val="22"/>
                <w:szCs w:val="22"/>
                <w:highlight w:val="none"/>
                <w:lang w:val="en-US" w:eastAsia="zh-CN"/>
              </w:rPr>
              <w:t>终综合折扣率</w:t>
            </w:r>
            <w:r>
              <w:rPr>
                <w:rFonts w:hint="eastAsia" w:ascii="Times New Roman" w:hAnsi="Times New Roman" w:eastAsia="宋体" w:cs="Times New Roman"/>
                <w:color w:val="auto"/>
                <w:sz w:val="22"/>
                <w:szCs w:val="22"/>
                <w:highlight w:val="none"/>
              </w:rPr>
              <w:t xml:space="preserve">）×价格权值×100 </w:t>
            </w:r>
          </w:p>
          <w:p w14:paraId="12035784">
            <w:pPr>
              <w:pStyle w:val="32"/>
              <w:ind w:left="0" w:leftChars="0" w:firstLine="0" w:firstLineChars="0"/>
              <w:rPr>
                <w:rFonts w:hint="eastAsia" w:eastAsia="宋体"/>
                <w:color w:val="auto"/>
                <w:sz w:val="32"/>
                <w:szCs w:val="28"/>
                <w:highlight w:val="none"/>
                <w:lang w:val="en-US" w:eastAsia="zh-CN"/>
              </w:rPr>
            </w:pPr>
            <w:r>
              <w:rPr>
                <w:rFonts w:hint="eastAsia" w:ascii="Times New Roman" w:hAnsi="Times New Roman" w:eastAsia="宋体" w:cs="Times New Roman"/>
                <w:color w:val="auto"/>
                <w:kern w:val="2"/>
                <w:sz w:val="22"/>
                <w:szCs w:val="22"/>
                <w:highlight w:val="none"/>
                <w:lang w:val="en-US" w:eastAsia="zh-CN" w:bidi="ar-SA"/>
              </w:rPr>
              <w:t>参与评审的最终综合折扣率=投标报价×（1-小微企业价格扣除优惠值）</w:t>
            </w:r>
          </w:p>
        </w:tc>
      </w:tr>
      <w:tr w14:paraId="4D670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48" w:type="dxa"/>
            <w:noWrap w:val="0"/>
            <w:vAlign w:val="center"/>
          </w:tcPr>
          <w:p w14:paraId="0E75A98D">
            <w:pPr>
              <w:pageBreakBefore w:val="0"/>
              <w:widowControl/>
              <w:kinsoku/>
              <w:wordWrap/>
              <w:overflowPunct/>
              <w:topLinePunct w:val="0"/>
              <w:bidi w:val="0"/>
              <w:spacing w:line="360" w:lineRule="auto"/>
              <w:jc w:val="left"/>
              <w:rPr>
                <w:color w:val="auto"/>
                <w:sz w:val="22"/>
                <w:szCs w:val="22"/>
                <w:highlight w:val="none"/>
              </w:rPr>
            </w:pPr>
          </w:p>
        </w:tc>
        <w:tc>
          <w:tcPr>
            <w:tcW w:w="1270" w:type="dxa"/>
            <w:noWrap w:val="0"/>
            <w:vAlign w:val="center"/>
          </w:tcPr>
          <w:p w14:paraId="25DC363E">
            <w:pPr>
              <w:pageBreakBefore w:val="0"/>
              <w:kinsoku/>
              <w:wordWrap/>
              <w:overflowPunct/>
              <w:topLinePunct w:val="0"/>
              <w:bidi w:val="0"/>
              <w:spacing w:line="360" w:lineRule="auto"/>
              <w:jc w:val="center"/>
              <w:rPr>
                <w:color w:val="auto"/>
                <w:sz w:val="22"/>
                <w:szCs w:val="22"/>
                <w:highlight w:val="none"/>
              </w:rPr>
            </w:pPr>
            <w:r>
              <w:rPr>
                <w:color w:val="auto"/>
                <w:sz w:val="22"/>
                <w:szCs w:val="22"/>
                <w:highlight w:val="none"/>
              </w:rPr>
              <w:t>总</w:t>
            </w:r>
            <w:r>
              <w:rPr>
                <w:rFonts w:hint="eastAsia"/>
                <w:color w:val="auto"/>
                <w:sz w:val="22"/>
                <w:szCs w:val="22"/>
                <w:highlight w:val="none"/>
              </w:rPr>
              <w:t xml:space="preserve"> </w:t>
            </w:r>
            <w:r>
              <w:rPr>
                <w:color w:val="auto"/>
                <w:sz w:val="22"/>
                <w:szCs w:val="22"/>
                <w:highlight w:val="none"/>
              </w:rPr>
              <w:t>分</w:t>
            </w:r>
          </w:p>
        </w:tc>
        <w:tc>
          <w:tcPr>
            <w:tcW w:w="7367" w:type="dxa"/>
            <w:noWrap w:val="0"/>
            <w:vAlign w:val="center"/>
          </w:tcPr>
          <w:p w14:paraId="24E6A01B">
            <w:pPr>
              <w:pStyle w:val="7"/>
              <w:pageBreakBefore w:val="0"/>
              <w:kinsoku/>
              <w:wordWrap/>
              <w:overflowPunct/>
              <w:topLinePunct w:val="0"/>
              <w:bidi w:val="0"/>
              <w:spacing w:line="360" w:lineRule="auto"/>
              <w:ind w:firstLine="0" w:firstLineChars="0"/>
              <w:rPr>
                <w:color w:val="auto"/>
                <w:sz w:val="32"/>
                <w:szCs w:val="22"/>
                <w:highlight w:val="none"/>
              </w:rPr>
            </w:pPr>
          </w:p>
        </w:tc>
      </w:tr>
    </w:tbl>
    <w:p w14:paraId="0D714CCC">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b/>
          <w:color w:val="auto"/>
          <w:sz w:val="22"/>
          <w:szCs w:val="22"/>
          <w:highlight w:val="none"/>
        </w:rPr>
        <w:t>备注：</w:t>
      </w:r>
      <w:r>
        <w:rPr>
          <w:rFonts w:hint="eastAsia" w:asciiTheme="minorEastAsia" w:hAnsiTheme="minorEastAsia" w:eastAsiaTheme="minorEastAsia" w:cstheme="minorEastAsia"/>
          <w:color w:val="auto"/>
          <w:kern w:val="0"/>
          <w:sz w:val="22"/>
          <w:szCs w:val="22"/>
          <w:highlight w:val="none"/>
          <w:lang w:val="zh-CN"/>
        </w:rPr>
        <w:t>供应商编制响应文件（商务技术文件部分）时，建议按此目录（序号和内容）提供评标标准相应的商务技术资料。</w:t>
      </w:r>
    </w:p>
    <w:p w14:paraId="583C5248">
      <w:pPr>
        <w:snapToGrid w:val="0"/>
        <w:spacing w:line="360" w:lineRule="auto"/>
        <w:ind w:left="120" w:leftChars="57" w:firstLine="542" w:firstLineChars="150"/>
        <w:jc w:val="center"/>
        <w:rPr>
          <w:rFonts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一、评审方法</w:t>
      </w:r>
    </w:p>
    <w:bookmarkEnd w:id="13"/>
    <w:p w14:paraId="1C1B9F37">
      <w:pPr>
        <w:adjustRightInd/>
        <w:spacing w:line="360" w:lineRule="auto"/>
        <w:ind w:firstLine="433" w:firstLineChars="196"/>
        <w:rPr>
          <w:rFonts w:hint="eastAsia" w:asciiTheme="minorEastAsia" w:hAnsiTheme="minorEastAsia" w:eastAsiaTheme="minorEastAsia" w:cstheme="minorEastAsia"/>
          <w:color w:val="auto"/>
          <w:kern w:val="0"/>
          <w:sz w:val="22"/>
          <w:szCs w:val="22"/>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2"/>
          <w:szCs w:val="22"/>
          <w:highlight w:val="none"/>
        </w:rPr>
        <w:t>1.本项目采用综合评分法。</w:t>
      </w:r>
      <w:r>
        <w:rPr>
          <w:rFonts w:hint="eastAsia" w:asciiTheme="minorEastAsia" w:hAnsiTheme="minorEastAsia" w:eastAsiaTheme="minorEastAsia" w:cstheme="minorEastAsia"/>
          <w:color w:val="auto"/>
          <w:kern w:val="0"/>
          <w:sz w:val="22"/>
          <w:szCs w:val="22"/>
          <w:highlight w:val="none"/>
        </w:rPr>
        <w:t>综合评分法，是指</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文件满足</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为</w:t>
      </w:r>
      <w:r>
        <w:rPr>
          <w:rFonts w:hint="eastAsia" w:asciiTheme="minorEastAsia" w:hAnsiTheme="minorEastAsia" w:eastAsiaTheme="minorEastAsia" w:cstheme="minorEastAsia"/>
          <w:color w:val="auto"/>
          <w:kern w:val="0"/>
          <w:sz w:val="22"/>
          <w:szCs w:val="22"/>
          <w:highlight w:val="none"/>
          <w:lang w:eastAsia="zh-CN"/>
        </w:rPr>
        <w:t>成交候选供应商</w:t>
      </w:r>
      <w:r>
        <w:rPr>
          <w:rFonts w:hint="eastAsia" w:asciiTheme="minorEastAsia" w:hAnsiTheme="minorEastAsia" w:eastAsiaTheme="minorEastAsia" w:cstheme="minorEastAsia"/>
          <w:color w:val="auto"/>
          <w:kern w:val="0"/>
          <w:sz w:val="22"/>
          <w:szCs w:val="22"/>
          <w:highlight w:val="none"/>
        </w:rPr>
        <w:t>的评标方法。</w:t>
      </w:r>
    </w:p>
    <w:p w14:paraId="5DC3CB1E">
      <w:pPr>
        <w:snapToGrid w:val="0"/>
        <w:spacing w:line="360" w:lineRule="auto"/>
        <w:ind w:left="120" w:leftChars="57" w:firstLine="542" w:firstLineChars="150"/>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二、评标标准</w:t>
      </w:r>
    </w:p>
    <w:p w14:paraId="2C67992D">
      <w:pPr>
        <w:spacing w:line="360" w:lineRule="auto"/>
        <w:ind w:firstLine="433" w:firstLineChars="196"/>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color w:val="auto"/>
          <w:sz w:val="22"/>
          <w:szCs w:val="22"/>
          <w:highlight w:val="none"/>
        </w:rPr>
        <w:t>评标标准：</w:t>
      </w:r>
      <w:r>
        <w:rPr>
          <w:rFonts w:hint="eastAsia" w:asciiTheme="minorEastAsia" w:hAnsiTheme="minorEastAsia" w:eastAsiaTheme="minorEastAsia" w:cstheme="minorEastAsia"/>
          <w:color w:val="auto"/>
          <w:kern w:val="0"/>
          <w:sz w:val="22"/>
          <w:szCs w:val="22"/>
          <w:highlight w:val="none"/>
        </w:rPr>
        <w:t>见评标办法前附表。</w:t>
      </w:r>
    </w:p>
    <w:p w14:paraId="7D7E1E71">
      <w:pPr>
        <w:snapToGrid w:val="0"/>
        <w:spacing w:line="360" w:lineRule="auto"/>
        <w:ind w:left="120" w:leftChars="57" w:firstLine="542" w:firstLineChars="150"/>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三、评标程序</w:t>
      </w:r>
    </w:p>
    <w:p w14:paraId="7FFDD263">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default" w:asciiTheme="minorEastAsia" w:hAnsiTheme="minorEastAsia" w:eastAsiaTheme="minorEastAsia" w:cstheme="minorEastAsia"/>
          <w:b w:val="0"/>
          <w:bCs/>
          <w:color w:val="auto"/>
          <w:kern w:val="0"/>
          <w:sz w:val="22"/>
          <w:szCs w:val="22"/>
          <w:highlight w:val="none"/>
          <w:lang w:val="en-US" w:eastAsia="zh-CN"/>
        </w:rPr>
      </w:pPr>
      <w:r>
        <w:rPr>
          <w:rFonts w:hint="eastAsia" w:asciiTheme="minorEastAsia" w:hAnsiTheme="minorEastAsia" w:eastAsiaTheme="minorEastAsia" w:cstheme="minorEastAsia"/>
          <w:b/>
          <w:color w:val="auto"/>
          <w:kern w:val="0"/>
          <w:sz w:val="22"/>
          <w:szCs w:val="22"/>
          <w:highlight w:val="none"/>
          <w:lang w:val="en-US" w:eastAsia="zh-CN"/>
        </w:rPr>
        <w:t>3.1资格审查。</w:t>
      </w:r>
      <w:r>
        <w:rPr>
          <w:rFonts w:hint="eastAsia" w:asciiTheme="minorEastAsia" w:hAnsiTheme="minorEastAsia" w:eastAsiaTheme="minorEastAsia" w:cstheme="minorEastAsia"/>
          <w:b w:val="0"/>
          <w:bCs/>
          <w:color w:val="auto"/>
          <w:kern w:val="0"/>
          <w:sz w:val="22"/>
          <w:szCs w:val="22"/>
          <w:highlight w:val="none"/>
          <w:lang w:val="en-US" w:eastAsia="zh-CN"/>
        </w:rPr>
        <w:t>磋商小组应当对</w:t>
      </w:r>
      <w:r>
        <w:rPr>
          <w:rFonts w:hint="eastAsia" w:asciiTheme="minorEastAsia" w:hAnsiTheme="minorEastAsia" w:eastAsiaTheme="minorEastAsia" w:cstheme="minorEastAsia"/>
          <w:b w:val="0"/>
          <w:bCs/>
          <w:color w:val="auto"/>
          <w:kern w:val="0"/>
          <w:sz w:val="22"/>
          <w:szCs w:val="22"/>
          <w:highlight w:val="none"/>
          <w:lang w:val="zh-CN" w:eastAsia="zh-CN"/>
        </w:rPr>
        <w:t>供应商</w:t>
      </w:r>
      <w:r>
        <w:rPr>
          <w:rFonts w:hint="eastAsia" w:asciiTheme="minorEastAsia" w:hAnsiTheme="minorEastAsia" w:eastAsiaTheme="minorEastAsia" w:cstheme="minorEastAsia"/>
          <w:b w:val="0"/>
          <w:bCs/>
          <w:color w:val="auto"/>
          <w:kern w:val="0"/>
          <w:sz w:val="22"/>
          <w:szCs w:val="22"/>
          <w:highlight w:val="none"/>
          <w:lang w:val="en-US" w:eastAsia="zh-CN"/>
        </w:rPr>
        <w:t>的资格响应文件进行审查，以确定其是否满足竞争性磋商文件的实质性要求。不满足竞争性磋商文件的实质性要求的，响应无效。</w:t>
      </w:r>
    </w:p>
    <w:p w14:paraId="3C9DBD53">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2</w:t>
      </w:r>
      <w:r>
        <w:rPr>
          <w:rFonts w:hint="eastAsia" w:asciiTheme="minorEastAsia" w:hAnsiTheme="minorEastAsia" w:eastAsiaTheme="minorEastAsia" w:cstheme="minorEastAsia"/>
          <w:b/>
          <w:color w:val="auto"/>
          <w:kern w:val="0"/>
          <w:sz w:val="22"/>
          <w:szCs w:val="22"/>
          <w:highlight w:val="none"/>
        </w:rPr>
        <w:t>符合性审查。</w:t>
      </w:r>
      <w:r>
        <w:rPr>
          <w:rFonts w:hint="eastAsia" w:asciiTheme="minorEastAsia" w:hAnsiTheme="minorEastAsia" w:eastAsiaTheme="minorEastAsia" w:cstheme="minorEastAsia"/>
          <w:color w:val="auto"/>
          <w:kern w:val="0"/>
          <w:sz w:val="22"/>
          <w:szCs w:val="22"/>
          <w:highlight w:val="none"/>
          <w:lang w:eastAsia="zh-CN"/>
        </w:rPr>
        <w:t>磋商小组</w:t>
      </w:r>
      <w:r>
        <w:rPr>
          <w:rFonts w:hint="eastAsia" w:asciiTheme="minorEastAsia" w:hAnsiTheme="minorEastAsia" w:eastAsiaTheme="minorEastAsia" w:cstheme="minorEastAsia"/>
          <w:color w:val="auto"/>
          <w:kern w:val="0"/>
          <w:sz w:val="22"/>
          <w:szCs w:val="22"/>
          <w:highlight w:val="none"/>
        </w:rPr>
        <w:t>应当对符合资格的</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的</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文件进行符合性审查，以确定其是否满足</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rPr>
        <w:t>文件的实质性要求。不满足</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rPr>
        <w:t>文件的实质性要求的，</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无效。</w:t>
      </w:r>
    </w:p>
    <w:p w14:paraId="0AD103CE">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3</w:t>
      </w:r>
      <w:r>
        <w:rPr>
          <w:rFonts w:hint="eastAsia" w:asciiTheme="minorEastAsia" w:hAnsiTheme="minorEastAsia" w:eastAsiaTheme="minorEastAsia" w:cstheme="minorEastAsia"/>
          <w:b/>
          <w:color w:val="auto"/>
          <w:kern w:val="0"/>
          <w:sz w:val="22"/>
          <w:szCs w:val="22"/>
          <w:highlight w:val="none"/>
        </w:rPr>
        <w:t>磋商</w:t>
      </w:r>
    </w:p>
    <w:p w14:paraId="16326D90">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color w:val="auto"/>
          <w:kern w:val="0"/>
          <w:sz w:val="22"/>
          <w:szCs w:val="22"/>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2"/>
          <w:szCs w:val="22"/>
          <w:highlight w:val="none"/>
        </w:rPr>
        <w:t>项目需求的技术、服务条款”以及“合同条款”进行实质性变动</w:t>
      </w:r>
      <w:r>
        <w:rPr>
          <w:rFonts w:hint="eastAsia" w:asciiTheme="minorEastAsia" w:hAnsiTheme="minorEastAsia" w:eastAsiaTheme="minorEastAsia" w:cstheme="minorEastAsia"/>
          <w:color w:val="auto"/>
          <w:kern w:val="0"/>
          <w:sz w:val="22"/>
          <w:szCs w:val="22"/>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06E8FB3C">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rPr>
        <w:t>3.3.2</w:t>
      </w:r>
      <w:r>
        <w:rPr>
          <w:rFonts w:hint="eastAsia" w:asciiTheme="minorEastAsia" w:hAnsiTheme="minorEastAsia" w:eastAsiaTheme="minorEastAsia" w:cstheme="minorEastAsia"/>
          <w:b/>
          <w:bCs/>
          <w:color w:val="auto"/>
          <w:kern w:val="0"/>
          <w:sz w:val="22"/>
          <w:szCs w:val="22"/>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2"/>
          <w:szCs w:val="22"/>
          <w:highlight w:val="none"/>
        </w:rPr>
        <w:t>。已提交响应文件的供应商，在提交最终报价之前，可以根据磋商情况退出磋商。</w:t>
      </w:r>
    </w:p>
    <w:p w14:paraId="4CBF68C9">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color w:val="auto"/>
          <w:kern w:val="0"/>
          <w:sz w:val="22"/>
          <w:szCs w:val="22"/>
          <w:highlight w:val="none"/>
        </w:rPr>
        <w:t>.3经磋商确定最终采购需求和提交最后报价的供应商后，由磋商小组采用综合评分法对提交最后报价的供应商的响应文件和最后报价进行综合评分。</w:t>
      </w:r>
    </w:p>
    <w:p w14:paraId="1A21CACA">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4</w:t>
      </w:r>
      <w:r>
        <w:rPr>
          <w:rFonts w:hint="eastAsia" w:asciiTheme="minorEastAsia" w:hAnsiTheme="minorEastAsia" w:eastAsiaTheme="minorEastAsia" w:cstheme="minorEastAsia"/>
          <w:b/>
          <w:color w:val="auto"/>
          <w:kern w:val="0"/>
          <w:sz w:val="22"/>
          <w:szCs w:val="22"/>
          <w:highlight w:val="none"/>
        </w:rPr>
        <w:t xml:space="preserve"> </w:t>
      </w:r>
      <w:r>
        <w:rPr>
          <w:rFonts w:hint="eastAsia" w:asciiTheme="minorEastAsia" w:hAnsiTheme="minorEastAsia" w:eastAsiaTheme="minorEastAsia" w:cstheme="minorEastAsia"/>
          <w:b/>
          <w:color w:val="auto"/>
          <w:kern w:val="0"/>
          <w:sz w:val="22"/>
          <w:szCs w:val="22"/>
          <w:highlight w:val="none"/>
          <w:lang w:eastAsia="zh-CN"/>
        </w:rPr>
        <w:t>商务技术</w:t>
      </w:r>
      <w:r>
        <w:rPr>
          <w:rFonts w:hint="eastAsia" w:asciiTheme="minorEastAsia" w:hAnsiTheme="minorEastAsia" w:eastAsiaTheme="minorEastAsia" w:cstheme="minorEastAsia"/>
          <w:b/>
          <w:color w:val="auto"/>
          <w:kern w:val="0"/>
          <w:sz w:val="22"/>
          <w:szCs w:val="22"/>
          <w:highlight w:val="none"/>
        </w:rPr>
        <w:t>评</w:t>
      </w:r>
      <w:r>
        <w:rPr>
          <w:rFonts w:hint="eastAsia" w:asciiTheme="minorEastAsia" w:hAnsiTheme="minorEastAsia" w:eastAsiaTheme="minorEastAsia" w:cstheme="minorEastAsia"/>
          <w:b/>
          <w:color w:val="auto"/>
          <w:kern w:val="0"/>
          <w:sz w:val="22"/>
          <w:szCs w:val="22"/>
          <w:highlight w:val="none"/>
          <w:lang w:eastAsia="zh-CN"/>
        </w:rPr>
        <w:t>审</w:t>
      </w:r>
      <w:r>
        <w:rPr>
          <w:rFonts w:hint="eastAsia" w:asciiTheme="minorEastAsia" w:hAnsiTheme="minorEastAsia" w:eastAsiaTheme="minorEastAsia" w:cstheme="minorEastAsia"/>
          <w:b/>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eastAsia="zh-CN"/>
        </w:rPr>
        <w:t>磋商小组</w:t>
      </w:r>
      <w:r>
        <w:rPr>
          <w:rFonts w:hint="eastAsia" w:asciiTheme="minorEastAsia" w:hAnsiTheme="minorEastAsia" w:eastAsiaTheme="minorEastAsia" w:cstheme="minorEastAsia"/>
          <w:color w:val="auto"/>
          <w:kern w:val="0"/>
          <w:sz w:val="22"/>
          <w:szCs w:val="22"/>
          <w:highlight w:val="none"/>
        </w:rPr>
        <w:t>应当按照</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rPr>
        <w:t>文件中规定的评标方法和标准，对符合性审查合格的</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文件进行商务和技术评估。</w:t>
      </w:r>
    </w:p>
    <w:p w14:paraId="6863F325">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5</w:t>
      </w:r>
      <w:r>
        <w:rPr>
          <w:rFonts w:hint="eastAsia" w:asciiTheme="minorEastAsia" w:hAnsiTheme="minorEastAsia" w:eastAsiaTheme="minorEastAsia" w:cstheme="minorEastAsia"/>
          <w:b/>
          <w:color w:val="auto"/>
          <w:kern w:val="0"/>
          <w:sz w:val="22"/>
          <w:szCs w:val="22"/>
          <w:highlight w:val="none"/>
        </w:rPr>
        <w:t>汇总商务技术得分。</w:t>
      </w:r>
      <w:r>
        <w:rPr>
          <w:rFonts w:hint="eastAsia" w:asciiTheme="minorEastAsia" w:hAnsiTheme="minorEastAsia" w:eastAsiaTheme="minorEastAsia" w:cstheme="minorEastAsia"/>
          <w:color w:val="auto"/>
          <w:kern w:val="0"/>
          <w:sz w:val="22"/>
          <w:szCs w:val="22"/>
          <w:highlight w:val="none"/>
          <w:lang w:eastAsia="zh-CN"/>
        </w:rPr>
        <w:t>磋商小组</w:t>
      </w:r>
      <w:r>
        <w:rPr>
          <w:rFonts w:hint="eastAsia" w:asciiTheme="minorEastAsia" w:hAnsiTheme="minorEastAsia" w:eastAsiaTheme="minorEastAsia" w:cstheme="minorEastAsia"/>
          <w:color w:val="auto"/>
          <w:kern w:val="0"/>
          <w:sz w:val="22"/>
          <w:szCs w:val="22"/>
          <w:highlight w:val="none"/>
        </w:rPr>
        <w:t>各成员应当独立对每个</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的商务和技术文件进行评价，并汇总商务技术得分情况。</w:t>
      </w:r>
    </w:p>
    <w:p w14:paraId="3071442D">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6</w:t>
      </w:r>
      <w:r>
        <w:rPr>
          <w:rFonts w:hint="eastAsia" w:asciiTheme="minorEastAsia" w:hAnsiTheme="minorEastAsia" w:eastAsiaTheme="minorEastAsia" w:cstheme="minorEastAsia"/>
          <w:b/>
          <w:color w:val="auto"/>
          <w:kern w:val="0"/>
          <w:sz w:val="22"/>
          <w:szCs w:val="22"/>
          <w:highlight w:val="none"/>
        </w:rPr>
        <w:t>报价评审。</w:t>
      </w:r>
    </w:p>
    <w:p w14:paraId="38B1A2D9">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磋商小组对供应商提交的报价进行评审。</w:t>
      </w:r>
    </w:p>
    <w:p w14:paraId="1AFA14D7">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文件报价出现前后不一致的，按照下列规定修正：</w:t>
      </w:r>
    </w:p>
    <w:p w14:paraId="3927B55D">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.1.1</w:t>
      </w:r>
      <w:r>
        <w:rPr>
          <w:rFonts w:hint="eastAsia" w:asciiTheme="minorEastAsia" w:hAnsiTheme="minorEastAsia" w:eastAsiaTheme="minorEastAsia" w:cstheme="minorEastAsia"/>
          <w:color w:val="auto"/>
          <w:kern w:val="0"/>
          <w:sz w:val="22"/>
          <w:szCs w:val="22"/>
          <w:highlight w:val="none"/>
          <w:lang w:val="en-US" w:eastAsia="zh-CN"/>
        </w:rPr>
        <w:t>电子交易平台生成的开标记录表</w:t>
      </w:r>
      <w:r>
        <w:rPr>
          <w:rFonts w:hint="eastAsia" w:asciiTheme="minorEastAsia" w:hAnsiTheme="minorEastAsia" w:eastAsiaTheme="minorEastAsia" w:cstheme="minorEastAsia"/>
          <w:color w:val="auto"/>
          <w:kern w:val="0"/>
          <w:sz w:val="22"/>
          <w:szCs w:val="22"/>
          <w:highlight w:val="none"/>
        </w:rPr>
        <w:t>(报价表)内容</w:t>
      </w:r>
      <w:r>
        <w:rPr>
          <w:rFonts w:hint="eastAsia" w:asciiTheme="minorEastAsia" w:hAnsiTheme="minorEastAsia" w:eastAsiaTheme="minorEastAsia" w:cstheme="minorEastAsia"/>
          <w:color w:val="auto"/>
          <w:kern w:val="0"/>
          <w:sz w:val="22"/>
          <w:szCs w:val="22"/>
          <w:highlight w:val="none"/>
          <w:lang w:val="en-US" w:eastAsia="zh-CN"/>
        </w:rPr>
        <w:t>与响应文件中</w:t>
      </w:r>
      <w:r>
        <w:rPr>
          <w:rFonts w:hint="eastAsia" w:asciiTheme="minorEastAsia" w:hAnsiTheme="minorEastAsia" w:eastAsiaTheme="minorEastAsia" w:cstheme="minorEastAsia"/>
          <w:color w:val="auto"/>
          <w:kern w:val="0"/>
          <w:sz w:val="22"/>
          <w:szCs w:val="22"/>
          <w:highlight w:val="none"/>
          <w:lang w:eastAsia="zh-CN"/>
        </w:rPr>
        <w:t>报价一览表</w:t>
      </w:r>
      <w:r>
        <w:rPr>
          <w:rFonts w:hint="eastAsia" w:asciiTheme="minorEastAsia" w:hAnsiTheme="minorEastAsia" w:eastAsiaTheme="minorEastAsia" w:cstheme="minorEastAsia"/>
          <w:color w:val="auto"/>
          <w:kern w:val="0"/>
          <w:sz w:val="22"/>
          <w:szCs w:val="22"/>
          <w:highlight w:val="none"/>
        </w:rPr>
        <w:t>(报价表)</w:t>
      </w:r>
      <w:r>
        <w:rPr>
          <w:rFonts w:hint="eastAsia" w:asciiTheme="minorEastAsia" w:hAnsiTheme="minorEastAsia" w:eastAsiaTheme="minorEastAsia" w:cstheme="minorEastAsia"/>
          <w:color w:val="auto"/>
          <w:kern w:val="0"/>
          <w:sz w:val="22"/>
          <w:szCs w:val="22"/>
          <w:highlight w:val="none"/>
          <w:lang w:val="en-US" w:eastAsia="zh-CN"/>
        </w:rPr>
        <w:t>不一致的，以响应文件中</w:t>
      </w:r>
      <w:r>
        <w:rPr>
          <w:rFonts w:hint="eastAsia" w:asciiTheme="minorEastAsia" w:hAnsiTheme="minorEastAsia" w:eastAsiaTheme="minorEastAsia" w:cstheme="minorEastAsia"/>
          <w:color w:val="auto"/>
          <w:kern w:val="0"/>
          <w:sz w:val="22"/>
          <w:szCs w:val="22"/>
          <w:highlight w:val="none"/>
          <w:lang w:eastAsia="zh-CN"/>
        </w:rPr>
        <w:t>报价一览表</w:t>
      </w:r>
      <w:r>
        <w:rPr>
          <w:rFonts w:hint="eastAsia" w:asciiTheme="minorEastAsia" w:hAnsiTheme="minorEastAsia" w:eastAsiaTheme="minorEastAsia" w:cstheme="minorEastAsia"/>
          <w:color w:val="auto"/>
          <w:kern w:val="0"/>
          <w:sz w:val="22"/>
          <w:szCs w:val="22"/>
          <w:highlight w:val="none"/>
        </w:rPr>
        <w:t>(报价表)</w:t>
      </w:r>
      <w:r>
        <w:rPr>
          <w:rFonts w:hint="eastAsia" w:asciiTheme="minorEastAsia" w:hAnsiTheme="minorEastAsia" w:eastAsiaTheme="minorEastAsia" w:cstheme="minorEastAsia"/>
          <w:color w:val="auto"/>
          <w:kern w:val="0"/>
          <w:sz w:val="22"/>
          <w:szCs w:val="22"/>
          <w:highlight w:val="none"/>
          <w:lang w:val="en-US" w:eastAsia="zh-CN"/>
        </w:rPr>
        <w:t>为准</w:t>
      </w:r>
      <w:r>
        <w:rPr>
          <w:rFonts w:hint="eastAsia" w:asciiTheme="minorEastAsia" w:hAnsiTheme="minorEastAsia" w:eastAsiaTheme="minorEastAsia" w:cstheme="minorEastAsia"/>
          <w:color w:val="auto"/>
          <w:kern w:val="0"/>
          <w:sz w:val="22"/>
          <w:szCs w:val="22"/>
          <w:highlight w:val="none"/>
          <w:lang w:eastAsia="zh-CN"/>
        </w:rPr>
        <w:t>；</w:t>
      </w:r>
    </w:p>
    <w:p w14:paraId="2EDC33FE">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.1.2</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文件中</w:t>
      </w:r>
      <w:r>
        <w:rPr>
          <w:rFonts w:hint="eastAsia" w:asciiTheme="minorEastAsia" w:hAnsiTheme="minorEastAsia" w:eastAsiaTheme="minorEastAsia" w:cstheme="minorEastAsia"/>
          <w:color w:val="auto"/>
          <w:kern w:val="0"/>
          <w:sz w:val="22"/>
          <w:szCs w:val="22"/>
          <w:highlight w:val="none"/>
          <w:lang w:eastAsia="zh-CN"/>
        </w:rPr>
        <w:t>报价一览表</w:t>
      </w:r>
      <w:r>
        <w:rPr>
          <w:rFonts w:hint="eastAsia" w:asciiTheme="minorEastAsia" w:hAnsiTheme="minorEastAsia" w:eastAsiaTheme="minorEastAsia" w:cstheme="minorEastAsia"/>
          <w:color w:val="auto"/>
          <w:kern w:val="0"/>
          <w:sz w:val="22"/>
          <w:szCs w:val="22"/>
          <w:highlight w:val="none"/>
        </w:rPr>
        <w:t>(报价表)内容与</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文件中相应内容不一致的，以</w:t>
      </w:r>
      <w:r>
        <w:rPr>
          <w:rFonts w:hint="eastAsia" w:asciiTheme="minorEastAsia" w:hAnsiTheme="minorEastAsia" w:eastAsiaTheme="minorEastAsia" w:cstheme="minorEastAsia"/>
          <w:color w:val="auto"/>
          <w:kern w:val="0"/>
          <w:sz w:val="22"/>
          <w:szCs w:val="22"/>
          <w:highlight w:val="none"/>
          <w:lang w:eastAsia="zh-CN"/>
        </w:rPr>
        <w:t>报价一览表</w:t>
      </w:r>
      <w:r>
        <w:rPr>
          <w:rFonts w:hint="eastAsia" w:asciiTheme="minorEastAsia" w:hAnsiTheme="minorEastAsia" w:eastAsiaTheme="minorEastAsia" w:cstheme="minorEastAsia"/>
          <w:color w:val="auto"/>
          <w:kern w:val="0"/>
          <w:sz w:val="22"/>
          <w:szCs w:val="22"/>
          <w:highlight w:val="none"/>
        </w:rPr>
        <w:t>(报价表)为准</w:t>
      </w:r>
      <w:r>
        <w:rPr>
          <w:rFonts w:hint="eastAsia" w:asciiTheme="minorEastAsia" w:hAnsiTheme="minorEastAsia" w:eastAsiaTheme="minorEastAsia" w:cstheme="minorEastAsia"/>
          <w:color w:val="auto"/>
          <w:kern w:val="0"/>
          <w:sz w:val="22"/>
          <w:szCs w:val="22"/>
          <w:highlight w:val="none"/>
          <w:lang w:eastAsia="zh-CN"/>
        </w:rPr>
        <w:t>；</w:t>
      </w:r>
    </w:p>
    <w:p w14:paraId="6FA32854">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.1.3</w:t>
      </w:r>
      <w:r>
        <w:rPr>
          <w:rFonts w:hint="eastAsia" w:asciiTheme="minorEastAsia" w:hAnsiTheme="minorEastAsia" w:eastAsiaTheme="minorEastAsia" w:cstheme="minorEastAsia"/>
          <w:color w:val="auto"/>
          <w:kern w:val="0"/>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rPr>
        <w:t>大写金额和小写金额不一致的，以大写金额为准;</w:t>
      </w:r>
    </w:p>
    <w:p w14:paraId="6552465A">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.1.4</w:t>
      </w:r>
      <w:r>
        <w:rPr>
          <w:rFonts w:hint="eastAsia" w:asciiTheme="minorEastAsia" w:hAnsiTheme="minorEastAsia" w:eastAsiaTheme="minorEastAsia" w:cstheme="minorEastAsia"/>
          <w:color w:val="auto"/>
          <w:kern w:val="0"/>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rPr>
        <w:t>单价金额小数点或者百分比有明显错位的，以</w:t>
      </w:r>
      <w:r>
        <w:rPr>
          <w:rFonts w:hint="eastAsia" w:asciiTheme="minorEastAsia" w:hAnsiTheme="minorEastAsia" w:eastAsiaTheme="minorEastAsia" w:cstheme="minorEastAsia"/>
          <w:color w:val="auto"/>
          <w:kern w:val="0"/>
          <w:sz w:val="22"/>
          <w:szCs w:val="22"/>
          <w:highlight w:val="none"/>
          <w:lang w:eastAsia="zh-CN"/>
        </w:rPr>
        <w:t>报价一览表</w:t>
      </w:r>
      <w:r>
        <w:rPr>
          <w:rFonts w:hint="eastAsia" w:asciiTheme="minorEastAsia" w:hAnsiTheme="minorEastAsia" w:eastAsiaTheme="minorEastAsia" w:cstheme="minorEastAsia"/>
          <w:color w:val="auto"/>
          <w:kern w:val="0"/>
          <w:sz w:val="22"/>
          <w:szCs w:val="22"/>
          <w:highlight w:val="none"/>
        </w:rPr>
        <w:t>的总价为准，并修改单价;</w:t>
      </w:r>
    </w:p>
    <w:p w14:paraId="7F990742">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rPr>
        <w:t>3.6.1.5</w:t>
      </w:r>
      <w:r>
        <w:rPr>
          <w:rFonts w:hint="eastAsia" w:asciiTheme="minorEastAsia" w:hAnsiTheme="minorEastAsia" w:eastAsiaTheme="minorEastAsia" w:cstheme="minorEastAsia"/>
          <w:color w:val="auto"/>
          <w:kern w:val="0"/>
          <w:sz w:val="22"/>
          <w:szCs w:val="22"/>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确认后产生约束力。</w:t>
      </w:r>
    </w:p>
    <w:p w14:paraId="3427550B">
      <w:pPr>
        <w:keepNext w:val="0"/>
        <w:keepLines w:val="0"/>
        <w:pageBreakBefore w:val="0"/>
        <w:kinsoku/>
        <w:wordWrap/>
        <w:overflowPunct/>
        <w:topLinePunct w:val="0"/>
        <w:autoSpaceDE/>
        <w:autoSpaceDN/>
        <w:bidi w:val="0"/>
        <w:snapToGrid w:val="0"/>
        <w:spacing w:line="360" w:lineRule="auto"/>
        <w:ind w:left="0" w:leftChars="0" w:firstLine="440" w:firstLineChars="200"/>
        <w:jc w:val="lef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文件出现不是唯一的、有选择性</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报价的，</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无效。</w:t>
      </w:r>
    </w:p>
    <w:p w14:paraId="5B3C375D">
      <w:pPr>
        <w:keepNext w:val="0"/>
        <w:keepLines w:val="0"/>
        <w:pageBreakBefore w:val="0"/>
        <w:kinsoku/>
        <w:wordWrap/>
        <w:overflowPunct/>
        <w:topLinePunct w:val="0"/>
        <w:autoSpaceDE/>
        <w:autoSpaceDN/>
        <w:bidi w:val="0"/>
        <w:snapToGrid w:val="0"/>
        <w:spacing w:line="360" w:lineRule="auto"/>
        <w:ind w:left="0" w:leftChars="0" w:firstLine="440" w:firstLineChars="200"/>
        <w:jc w:val="lef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报价超过</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rPr>
        <w:t>文件中规定的预算金额或者最高限价的，</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无效。</w:t>
      </w:r>
    </w:p>
    <w:p w14:paraId="7F3A6F7A">
      <w:pPr>
        <w:pStyle w:val="52"/>
        <w:keepNext w:val="0"/>
        <w:keepLines w:val="0"/>
        <w:pageBreakBefore w:val="0"/>
        <w:kinsoku/>
        <w:wordWrap/>
        <w:overflowPunct/>
        <w:topLinePunct w:val="0"/>
        <w:autoSpaceDE/>
        <w:autoSpaceDN/>
        <w:bidi w:val="0"/>
        <w:spacing w:before="0"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rPr>
        <w:t>.4</w:t>
      </w:r>
      <w:r>
        <w:rPr>
          <w:rFonts w:hint="eastAsia" w:asciiTheme="minorEastAsia" w:hAnsiTheme="minorEastAsia" w:eastAsiaTheme="minorEastAsia" w:cstheme="minorEastAsia"/>
          <w:color w:val="auto"/>
          <w:kern w:val="0"/>
          <w:sz w:val="22"/>
          <w:szCs w:val="22"/>
          <w:highlight w:val="none"/>
          <w:lang w:eastAsia="zh-CN"/>
        </w:rPr>
        <w:t>磋商小组</w:t>
      </w:r>
      <w:r>
        <w:rPr>
          <w:rFonts w:hint="eastAsia" w:asciiTheme="minorEastAsia" w:hAnsiTheme="minorEastAsia" w:eastAsiaTheme="minorEastAsia" w:cstheme="minorEastAsia"/>
          <w:color w:val="auto"/>
          <w:kern w:val="0"/>
          <w:sz w:val="22"/>
          <w:szCs w:val="22"/>
          <w:highlight w:val="none"/>
        </w:rPr>
        <w:t>认为</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的报价明显低于其他通过符合性审查</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2"/>
          <w:szCs w:val="22"/>
          <w:highlight w:val="none"/>
          <w:lang w:val="en-US" w:eastAsia="zh-CN"/>
        </w:rPr>
        <w:t>30分钟</w:t>
      </w:r>
      <w:r>
        <w:rPr>
          <w:rFonts w:hint="eastAsia" w:asciiTheme="minorEastAsia" w:hAnsiTheme="minorEastAsia" w:eastAsiaTheme="minorEastAsia" w:cstheme="minorEastAsia"/>
          <w:color w:val="auto"/>
          <w:kern w:val="0"/>
          <w:sz w:val="22"/>
          <w:szCs w:val="22"/>
          <w:highlight w:val="none"/>
        </w:rPr>
        <w:t>内提供书面说明，必要时提交相关证明材料;</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不能证明其报价合理性的，</w:t>
      </w:r>
      <w:r>
        <w:rPr>
          <w:rFonts w:hint="eastAsia" w:asciiTheme="minorEastAsia" w:hAnsiTheme="minorEastAsia" w:eastAsiaTheme="minorEastAsia" w:cstheme="minorEastAsia"/>
          <w:color w:val="auto"/>
          <w:kern w:val="0"/>
          <w:sz w:val="22"/>
          <w:szCs w:val="22"/>
          <w:highlight w:val="none"/>
          <w:lang w:eastAsia="zh-CN"/>
        </w:rPr>
        <w:t>磋商小组</w:t>
      </w:r>
      <w:r>
        <w:rPr>
          <w:rFonts w:hint="eastAsia" w:asciiTheme="minorEastAsia" w:hAnsiTheme="minorEastAsia" w:eastAsiaTheme="minorEastAsia" w:cstheme="minorEastAsia"/>
          <w:color w:val="auto"/>
          <w:kern w:val="0"/>
          <w:sz w:val="22"/>
          <w:szCs w:val="22"/>
          <w:highlight w:val="none"/>
        </w:rPr>
        <w:t>应当将其作为无效</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处理。</w:t>
      </w:r>
    </w:p>
    <w:p w14:paraId="34A4CEC2">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b/>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7</w:t>
      </w:r>
      <w:r>
        <w:rPr>
          <w:rFonts w:hint="eastAsia" w:asciiTheme="minorEastAsia" w:hAnsiTheme="minorEastAsia" w:eastAsiaTheme="minorEastAsia" w:cstheme="minorEastAsia"/>
          <w:b/>
          <w:bCs/>
          <w:color w:val="auto"/>
          <w:kern w:val="0"/>
          <w:sz w:val="22"/>
          <w:szCs w:val="22"/>
          <w:highlight w:val="none"/>
          <w:lang w:val="en-US" w:eastAsia="zh-CN" w:bidi="ar-SA"/>
        </w:rPr>
        <w:t>综合评议。</w:t>
      </w:r>
      <w:r>
        <w:rPr>
          <w:rFonts w:hint="eastAsia" w:asciiTheme="minorEastAsia" w:hAnsiTheme="minorEastAsia" w:eastAsiaTheme="minorEastAsia" w:cstheme="minorEastAsia"/>
          <w:color w:val="auto"/>
          <w:kern w:val="0"/>
          <w:sz w:val="22"/>
          <w:szCs w:val="22"/>
          <w:highlight w:val="none"/>
          <w:lang w:val="en-US" w:eastAsia="zh-CN" w:bidi="ar-SA"/>
        </w:rPr>
        <w:t>评分汇总（汇总各评委的评分，计算所有评委评出的总分的算术平均值作为供应商的综合得分）；按综合得分从高到低排序。</w:t>
      </w:r>
    </w:p>
    <w:p w14:paraId="2D0F051B">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8</w:t>
      </w:r>
      <w:r>
        <w:rPr>
          <w:rFonts w:hint="eastAsia" w:asciiTheme="minorEastAsia" w:hAnsiTheme="minorEastAsia" w:eastAsiaTheme="minorEastAsia" w:cstheme="minorEastAsia"/>
          <w:b/>
          <w:bCs/>
          <w:color w:val="auto"/>
          <w:kern w:val="0"/>
          <w:sz w:val="22"/>
          <w:szCs w:val="22"/>
          <w:highlight w:val="none"/>
          <w:lang w:val="en-US" w:eastAsia="zh-CN" w:bidi="ar-SA"/>
        </w:rPr>
        <w:t>磋商小组根据综合评分情况</w:t>
      </w:r>
      <w:r>
        <w:rPr>
          <w:rFonts w:hint="eastAsia" w:asciiTheme="minorEastAsia" w:hAnsiTheme="minorEastAsia" w:eastAsiaTheme="minorEastAsia" w:cstheme="minorEastAsia"/>
          <w:color w:val="auto"/>
          <w:kern w:val="0"/>
          <w:sz w:val="22"/>
          <w:szCs w:val="22"/>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466DC2DD">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3.</w:t>
      </w:r>
      <w:r>
        <w:rPr>
          <w:rFonts w:hint="eastAsia" w:asciiTheme="minorEastAsia" w:hAnsiTheme="minorEastAsia" w:eastAsiaTheme="minorEastAsia" w:cstheme="minorEastAsia"/>
          <w:b/>
          <w:color w:val="auto"/>
          <w:kern w:val="0"/>
          <w:sz w:val="22"/>
          <w:szCs w:val="22"/>
          <w:highlight w:val="none"/>
          <w:lang w:val="en-US" w:eastAsia="zh-CN"/>
        </w:rPr>
        <w:t>9</w:t>
      </w:r>
      <w:r>
        <w:rPr>
          <w:rFonts w:hint="eastAsia" w:asciiTheme="minorEastAsia" w:hAnsiTheme="minorEastAsia" w:eastAsiaTheme="minorEastAsia" w:cstheme="minorEastAsia"/>
          <w:b/>
          <w:color w:val="auto"/>
          <w:kern w:val="0"/>
          <w:sz w:val="22"/>
          <w:szCs w:val="22"/>
          <w:highlight w:val="none"/>
        </w:rPr>
        <w:t>编写评标报告。</w:t>
      </w:r>
      <w:r>
        <w:rPr>
          <w:rFonts w:hint="eastAsia" w:asciiTheme="minorEastAsia" w:hAnsiTheme="minorEastAsia" w:eastAsiaTheme="minorEastAsia" w:cstheme="minorEastAsia"/>
          <w:color w:val="auto"/>
          <w:kern w:val="0"/>
          <w:sz w:val="22"/>
          <w:szCs w:val="22"/>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9B73FF">
      <w:pPr>
        <w:snapToGrid w:val="0"/>
        <w:spacing w:line="360" w:lineRule="auto"/>
        <w:ind w:left="120" w:leftChars="57" w:firstLine="542" w:firstLineChars="150"/>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四、评标中的其他事项</w:t>
      </w:r>
    </w:p>
    <w:p w14:paraId="1276D16E">
      <w:pPr>
        <w:pStyle w:val="52"/>
        <w:keepNext w:val="0"/>
        <w:keepLines w:val="0"/>
        <w:pageBreakBefore w:val="0"/>
        <w:kinsoku/>
        <w:wordWrap/>
        <w:overflowPunct/>
        <w:topLinePunct w:val="0"/>
        <w:autoSpaceDE/>
        <w:autoSpaceDN/>
        <w:bidi w:val="0"/>
        <w:spacing w:before="0"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rPr>
        <w:t>4.1</w:t>
      </w:r>
      <w:r>
        <w:rPr>
          <w:rFonts w:hint="eastAsia" w:asciiTheme="minorEastAsia" w:hAnsiTheme="minorEastAsia" w:eastAsiaTheme="minorEastAsia" w:cstheme="minorEastAsia"/>
          <w:b/>
          <w:color w:val="auto"/>
          <w:kern w:val="0"/>
          <w:sz w:val="22"/>
          <w:szCs w:val="22"/>
          <w:highlight w:val="none"/>
          <w:lang w:eastAsia="zh-CN"/>
        </w:rPr>
        <w:t>响应</w:t>
      </w:r>
      <w:r>
        <w:rPr>
          <w:rFonts w:hint="eastAsia" w:asciiTheme="minorEastAsia" w:hAnsiTheme="minorEastAsia" w:eastAsiaTheme="minorEastAsia" w:cstheme="minorEastAsia"/>
          <w:b/>
          <w:color w:val="auto"/>
          <w:kern w:val="0"/>
          <w:sz w:val="22"/>
          <w:szCs w:val="22"/>
          <w:highlight w:val="none"/>
        </w:rPr>
        <w:t>澄清、说明或者补正。</w:t>
      </w:r>
      <w:r>
        <w:rPr>
          <w:rFonts w:hint="eastAsia" w:asciiTheme="minorEastAsia" w:hAnsiTheme="minorEastAsia" w:eastAsiaTheme="minorEastAsia" w:cstheme="minorEastAsia"/>
          <w:color w:val="auto"/>
          <w:kern w:val="0"/>
          <w:sz w:val="22"/>
          <w:szCs w:val="22"/>
          <w:highlight w:val="none"/>
        </w:rPr>
        <w:t>对于</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作出必要的澄清、说明或者补正的，</w:t>
      </w:r>
      <w:r>
        <w:rPr>
          <w:rFonts w:hint="eastAsia" w:asciiTheme="minorEastAsia" w:hAnsiTheme="minorEastAsia" w:eastAsiaTheme="minorEastAsia" w:cstheme="minorEastAsia"/>
          <w:color w:val="auto"/>
          <w:kern w:val="0"/>
          <w:sz w:val="22"/>
          <w:szCs w:val="22"/>
          <w:highlight w:val="none"/>
          <w:lang w:eastAsia="zh-CN"/>
        </w:rPr>
        <w:t>磋商小组</w:t>
      </w:r>
      <w:r>
        <w:rPr>
          <w:rFonts w:hint="eastAsia" w:asciiTheme="minorEastAsia" w:hAnsiTheme="minorEastAsia" w:eastAsiaTheme="minorEastAsia" w:cstheme="minorEastAsia"/>
          <w:color w:val="auto"/>
          <w:kern w:val="0"/>
          <w:sz w:val="22"/>
          <w:szCs w:val="22"/>
          <w:highlight w:val="none"/>
        </w:rPr>
        <w:t>和</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通过电子交易平台交换数据电文，</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提交澄清、说明或补正的时间不得少于半小时，</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已经明确表示澄清说明或补正完毕的除外。</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rPr>
        <w:t>的澄清、说明或者补正不得超出</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文件的范围或者改变</w:t>
      </w:r>
      <w:r>
        <w:rPr>
          <w:rFonts w:hint="eastAsia" w:asciiTheme="minorEastAsia" w:hAnsiTheme="minorEastAsia" w:eastAsiaTheme="minorEastAsia" w:cstheme="minorEastAsia"/>
          <w:color w:val="auto"/>
          <w:kern w:val="0"/>
          <w:sz w:val="22"/>
          <w:szCs w:val="22"/>
          <w:highlight w:val="none"/>
          <w:lang w:eastAsia="zh-CN"/>
        </w:rPr>
        <w:t>响应</w:t>
      </w:r>
      <w:r>
        <w:rPr>
          <w:rFonts w:hint="eastAsia" w:asciiTheme="minorEastAsia" w:hAnsiTheme="minorEastAsia" w:eastAsiaTheme="minorEastAsia" w:cstheme="minorEastAsia"/>
          <w:color w:val="auto"/>
          <w:kern w:val="0"/>
          <w:sz w:val="22"/>
          <w:szCs w:val="22"/>
          <w:highlight w:val="none"/>
        </w:rPr>
        <w:t>文件的实质性内容。</w:t>
      </w:r>
    </w:p>
    <w:p w14:paraId="3E7BEC74">
      <w:pPr>
        <w:pStyle w:val="10"/>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4.2</w:t>
      </w:r>
      <w:r>
        <w:rPr>
          <w:rFonts w:hint="eastAsia" w:asciiTheme="minorEastAsia" w:hAnsiTheme="minorEastAsia" w:eastAsiaTheme="minorEastAsia" w:cstheme="minorEastAsia"/>
          <w:b/>
          <w:color w:val="auto"/>
          <w:kern w:val="0"/>
          <w:sz w:val="22"/>
          <w:szCs w:val="22"/>
          <w:highlight w:val="none"/>
          <w:lang w:eastAsia="zh-CN"/>
        </w:rPr>
        <w:t>响应</w:t>
      </w:r>
      <w:r>
        <w:rPr>
          <w:rFonts w:hint="eastAsia" w:asciiTheme="minorEastAsia" w:hAnsiTheme="minorEastAsia" w:eastAsiaTheme="minorEastAsia" w:cstheme="minorEastAsia"/>
          <w:b/>
          <w:color w:val="auto"/>
          <w:kern w:val="0"/>
          <w:sz w:val="22"/>
          <w:szCs w:val="22"/>
          <w:highlight w:val="none"/>
        </w:rPr>
        <w:t>无效</w:t>
      </w:r>
      <w:r>
        <w:rPr>
          <w:rFonts w:hint="eastAsia" w:asciiTheme="minorEastAsia" w:hAnsiTheme="minorEastAsia" w:eastAsiaTheme="minorEastAsia" w:cstheme="minorEastAsia"/>
          <w:b/>
          <w:color w:val="auto"/>
          <w:kern w:val="0"/>
          <w:sz w:val="22"/>
          <w:szCs w:val="22"/>
          <w:highlight w:val="none"/>
          <w:lang w:val="en-US" w:eastAsia="zh-CN"/>
        </w:rPr>
        <w:t>的情形</w:t>
      </w:r>
      <w:r>
        <w:rPr>
          <w:rFonts w:hint="eastAsia" w:asciiTheme="minorEastAsia" w:hAnsiTheme="minorEastAsia" w:eastAsiaTheme="minorEastAsia" w:cstheme="minorEastAsia"/>
          <w:b/>
          <w:color w:val="auto"/>
          <w:kern w:val="0"/>
          <w:sz w:val="22"/>
          <w:szCs w:val="22"/>
          <w:highlight w:val="none"/>
        </w:rPr>
        <w:t>。</w:t>
      </w:r>
    </w:p>
    <w:p w14:paraId="1CACC0E6">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4.2.1 没有响应</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文件要求的，应认定其响应无效。</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bidi="ar-SA"/>
        </w:rPr>
        <w:t>修改、补正响应文件后，不影响磋商小组对其响应文件所作的评价和评分结果。</w:t>
      </w:r>
    </w:p>
    <w:p w14:paraId="076E645A">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4.2.2 在电子开评标时，如发现下列情形之一的，将被视为无效响应文件：</w:t>
      </w:r>
    </w:p>
    <w:p w14:paraId="66E0B6A3">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4.2.2.1电子投标文件解密失败的；</w:t>
      </w:r>
    </w:p>
    <w:p w14:paraId="6504A7A6">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4.2.2.2响应文件未按</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文件要求加密、签字、盖章的；</w:t>
      </w:r>
    </w:p>
    <w:p w14:paraId="3D37A5C1">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 在资格审查、符合性审查和商务评审时，如发现下列情形之一的，将被视为无效响应文件：</w:t>
      </w:r>
    </w:p>
    <w:p w14:paraId="6E00CAE6">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4.2.3.1 资格证明文件不全的或者不符合</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文件标明的资格要求的；</w:t>
      </w:r>
    </w:p>
    <w:p w14:paraId="4A617CBF">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4.2.3.2 响应文件未按</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文件要求签署、盖章的；</w:t>
      </w:r>
    </w:p>
    <w:p w14:paraId="253CE032">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4.2.3.3 响应代表人未能出具身份证明或身份证明与法定代表授权委托书不符的。</w:t>
      </w:r>
    </w:p>
    <w:p w14:paraId="60F25222">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4.2.3.4 响应文件格式不规范、项目不齐全或者内容虚假的；</w:t>
      </w:r>
    </w:p>
    <w:p w14:paraId="306DD8A5">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文件要求的（经磋商小组认定并允许其当场更正的笔误除外）；</w:t>
      </w:r>
    </w:p>
    <w:p w14:paraId="1B141D4C">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文件要求的；</w:t>
      </w:r>
    </w:p>
    <w:p w14:paraId="7CC87995">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4.2.3.7 带“▲”的条款不能满足</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文件要求、未实质性响应</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kern w:val="0"/>
          <w:sz w:val="22"/>
          <w:szCs w:val="22"/>
          <w:highlight w:val="none"/>
          <w:lang w:val="en-US" w:eastAsia="zh-CN" w:bidi="ar-SA"/>
        </w:rPr>
        <w:t>文件要求或者响应文件有采购人不能接受的附加条件的；</w:t>
      </w:r>
    </w:p>
    <w:p w14:paraId="2EEC9E16">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4.2.3.8 单位负责人为同一人或者存在直接控股、管理关系的不同供应商参加同一合同项下的政府采购活动的；</w:t>
      </w:r>
    </w:p>
    <w:p w14:paraId="1319D844">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4.2.3.9 为采购项目提供整体设计、规范编制或者项目管理、监理、检测等服务的供应商参加该采购项目的其他采购活动的；</w:t>
      </w:r>
    </w:p>
    <w:p w14:paraId="3C41A647">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4.2.3.10 商务技术文件中出现本项目磋商报价或单价的。</w:t>
      </w:r>
    </w:p>
    <w:p w14:paraId="27F9A253">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4.3.在技术评审时，如发现下列情形之一的，将被视为无效响应文件：</w:t>
      </w:r>
    </w:p>
    <w:p w14:paraId="4BEF70C0">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4.3.1未提供或未如实提供磋商货物的技术参数，或者响应文件标明的响应或偏离与事实不符或虚假响应的；</w:t>
      </w:r>
    </w:p>
    <w:p w14:paraId="22980338">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4.3.2 明显不符合竞争性磋商文件要求的规格型号、质量标准，或者与竞争性磋商文件中标“▲”的技术指标、主要功能项目发生实质性偏离的；</w:t>
      </w:r>
    </w:p>
    <w:p w14:paraId="004D8DC7">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4.3.3 允许偏离的技术、性能指标或辅助功能项目发生负偏离达/项（含）以上的；</w:t>
      </w:r>
    </w:p>
    <w:p w14:paraId="109A622E">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4.3.4 技术方案不明确，存在一个或一个以上备选（替代）技术方案的；</w:t>
      </w:r>
    </w:p>
    <w:p w14:paraId="77085B63">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4.3.5 与其他参加本次磋商</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bidi="ar-SA"/>
        </w:rPr>
        <w:t>的响应文件（技术文件）的文字表述内容差错相同2处以上的；</w:t>
      </w:r>
    </w:p>
    <w:p w14:paraId="635CC809">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bidi="ar-SA"/>
        </w:rPr>
        <w:t>未按竞争性磋商文件要求提供国家确定的认证机构出具的、处于有效期之内的节能产品认证证书的。</w:t>
      </w:r>
    </w:p>
    <w:p w14:paraId="61B25A8F">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4.4 在报价评审时，如发现下列情形之一的，响应文件将被视为无效：</w:t>
      </w:r>
    </w:p>
    <w:p w14:paraId="268DDD10">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4.4.1 未采用人民币报价或者未按照竞争性磋商文件标明的币种报价的；</w:t>
      </w:r>
    </w:p>
    <w:p w14:paraId="3F41D382">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4.4.2 报价超出最高综合折扣率的；</w:t>
      </w:r>
    </w:p>
    <w:p w14:paraId="0CFD13A3">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4.4.3 磋商报价具有选择性的；</w:t>
      </w:r>
    </w:p>
    <w:p w14:paraId="00BDD69F">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4.4.4 磋商报价中出现缺项、漏项或被磋商小组认定为有可能影响产品质量或者不能诚信履约的且不能在合理的时间内证明其报价合理性的；</w:t>
      </w:r>
    </w:p>
    <w:p w14:paraId="223D4B97">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4.4.5供应商对根据修正原则修正后的报价不确认的。</w:t>
      </w:r>
    </w:p>
    <w:p w14:paraId="0374F680">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4.5其他无效情形：</w:t>
      </w:r>
    </w:p>
    <w:p w14:paraId="4F29449F">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4.5.1 不同</w:t>
      </w:r>
      <w:r>
        <w:rPr>
          <w:rFonts w:hint="eastAsia" w:asciiTheme="minorEastAsia" w:hAnsiTheme="minorEastAsia" w:eastAsiaTheme="minorEastAsia" w:cstheme="minorEastAsia"/>
          <w:color w:val="auto"/>
          <w:kern w:val="0"/>
          <w:sz w:val="22"/>
          <w:szCs w:val="22"/>
          <w:highlight w:val="none"/>
          <w:lang w:val="zh-CN"/>
        </w:rPr>
        <w:t>供应商</w:t>
      </w:r>
      <w:r>
        <w:rPr>
          <w:rFonts w:hint="eastAsia" w:asciiTheme="minorEastAsia" w:hAnsiTheme="minorEastAsia" w:eastAsiaTheme="minorEastAsia" w:cstheme="minorEastAsia"/>
          <w:color w:val="auto"/>
          <w:kern w:val="0"/>
          <w:sz w:val="22"/>
          <w:szCs w:val="22"/>
          <w:highlight w:val="none"/>
          <w:lang w:val="en-US" w:eastAsia="zh-CN" w:bidi="ar-SA"/>
        </w:rPr>
        <w:t>的响应文件出自同一终端设备或在相同Internet主机分配地址（相同IP地址）进行网上报名、磋商的；</w:t>
      </w:r>
    </w:p>
    <w:p w14:paraId="6624445A">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rPr>
        <w:t xml:space="preserve">4.5.2 </w:t>
      </w:r>
      <w:r>
        <w:rPr>
          <w:rFonts w:hint="eastAsia" w:asciiTheme="minorEastAsia" w:hAnsiTheme="minorEastAsia" w:eastAsiaTheme="minorEastAsia" w:cstheme="minorEastAsia"/>
          <w:color w:val="auto"/>
          <w:kern w:val="0"/>
          <w:sz w:val="22"/>
          <w:szCs w:val="22"/>
          <w:highlight w:val="none"/>
        </w:rPr>
        <w:t>法律、法规、规章（适用本市的）及省级以上规范性文件（适用本市的）规定的其他无效情形。</w:t>
      </w:r>
    </w:p>
    <w:p w14:paraId="0E999CCD">
      <w:pPr>
        <w:keepNext w:val="0"/>
        <w:keepLines w:val="0"/>
        <w:pageBreakBefore w:val="0"/>
        <w:kinsoku/>
        <w:wordWrap/>
        <w:overflowPunct/>
        <w:topLinePunct w:val="0"/>
        <w:autoSpaceDE/>
        <w:autoSpaceDN/>
        <w:bidi w:val="0"/>
        <w:spacing w:line="360" w:lineRule="auto"/>
        <w:ind w:left="0" w:leftChars="0" w:firstLine="442"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2"/>
          <w:sz w:val="22"/>
          <w:szCs w:val="22"/>
          <w:highlight w:val="none"/>
          <w:lang w:val="en-US" w:eastAsia="zh-CN" w:bidi="ar-SA"/>
        </w:rPr>
        <w:t>5.采购终止的情形。</w:t>
      </w:r>
      <w:r>
        <w:rPr>
          <w:rFonts w:hint="eastAsia" w:asciiTheme="minorEastAsia" w:hAnsiTheme="minorEastAsia" w:eastAsiaTheme="minorEastAsia" w:cstheme="minorEastAsia"/>
          <w:color w:val="auto"/>
          <w:kern w:val="0"/>
          <w:sz w:val="22"/>
          <w:szCs w:val="22"/>
          <w:highlight w:val="none"/>
        </w:rPr>
        <w:t>在本项目磋商采购中，出现下列情形之一的，应当终止竞争性磋商采购活动，发布项目终止公告并说明原因，重新开展采购活动：</w:t>
      </w:r>
    </w:p>
    <w:p w14:paraId="3E807DC7">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5.1因情况变化，不再符合规定的竞争性磋商采购方式适用情形的；</w:t>
      </w:r>
    </w:p>
    <w:p w14:paraId="72428EFF">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5.2出现影响采购公正的违法、违规行为的；</w:t>
      </w:r>
    </w:p>
    <w:p w14:paraId="2729736E">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30C837F8">
      <w:pPr>
        <w:keepNext w:val="0"/>
        <w:keepLines w:val="0"/>
        <w:pageBreakBefore w:val="0"/>
        <w:kinsoku/>
        <w:wordWrap/>
        <w:overflowPunct/>
        <w:topLinePunct w:val="0"/>
        <w:autoSpaceDE/>
        <w:autoSpaceDN/>
        <w:bidi w:val="0"/>
        <w:spacing w:line="360" w:lineRule="auto"/>
        <w:ind w:left="0" w:leftChars="0"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5.4电子交易平台无法正常运行，无法保证电子交易的公平、公正和安全的情况。</w:t>
      </w:r>
    </w:p>
    <w:p w14:paraId="3FD852CE">
      <w:pPr>
        <w:pStyle w:val="10"/>
        <w:keepNext w:val="0"/>
        <w:keepLines w:val="0"/>
        <w:pageBreakBefore w:val="0"/>
        <w:kinsoku/>
        <w:wordWrap/>
        <w:overflowPunct/>
        <w:topLinePunct w:val="0"/>
        <w:autoSpaceDE/>
        <w:autoSpaceDN/>
        <w:bidi w:val="0"/>
        <w:snapToGrid w:val="0"/>
        <w:spacing w:line="360" w:lineRule="auto"/>
        <w:ind w:left="0" w:leftChars="0"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6.修改</w:t>
      </w:r>
      <w:r>
        <w:rPr>
          <w:rFonts w:hint="eastAsia" w:asciiTheme="minorEastAsia" w:hAnsiTheme="minorEastAsia" w:eastAsiaTheme="minorEastAsia" w:cstheme="minorEastAsia"/>
          <w:b/>
          <w:color w:val="auto"/>
          <w:sz w:val="22"/>
          <w:szCs w:val="22"/>
          <w:highlight w:val="none"/>
          <w:lang w:eastAsia="zh-CN"/>
        </w:rPr>
        <w:t>竞争性磋商</w:t>
      </w:r>
      <w:r>
        <w:rPr>
          <w:rFonts w:hint="eastAsia" w:asciiTheme="minorEastAsia" w:hAnsiTheme="minorEastAsia" w:eastAsiaTheme="minorEastAsia" w:cstheme="minorEastAsia"/>
          <w:b/>
          <w:color w:val="auto"/>
          <w:sz w:val="22"/>
          <w:szCs w:val="22"/>
          <w:highlight w:val="none"/>
        </w:rPr>
        <w:t>文件，重新组织采购活动。</w:t>
      </w:r>
      <w:r>
        <w:rPr>
          <w:rFonts w:hint="eastAsia" w:asciiTheme="minorEastAsia" w:hAnsiTheme="minorEastAsia" w:eastAsiaTheme="minorEastAsia" w:cstheme="minorEastAsia"/>
          <w:color w:val="auto"/>
          <w:sz w:val="22"/>
          <w:szCs w:val="22"/>
          <w:highlight w:val="none"/>
          <w:lang w:eastAsia="zh-CN"/>
        </w:rPr>
        <w:t>磋商小组</w:t>
      </w:r>
      <w:r>
        <w:rPr>
          <w:rFonts w:hint="eastAsia" w:asciiTheme="minorEastAsia" w:hAnsiTheme="minorEastAsia" w:eastAsiaTheme="minorEastAsia" w:cstheme="minorEastAsia"/>
          <w:color w:val="auto"/>
          <w:sz w:val="22"/>
          <w:szCs w:val="22"/>
          <w:highlight w:val="none"/>
        </w:rPr>
        <w:t>发现</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文件存在歧义、重大缺陷导致评标工作无法进行，或者</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文件内容违反国家有关强制性规定的，将停止评标工作，并与采购人、</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沟通并作书面记录。采购人、</w:t>
      </w:r>
      <w:r>
        <w:rPr>
          <w:rFonts w:hint="eastAsia" w:asciiTheme="minorEastAsia" w:hAnsiTheme="minorEastAsia" w:eastAsiaTheme="minorEastAsia" w:cstheme="minorEastAsia"/>
          <w:color w:val="auto"/>
          <w:sz w:val="22"/>
          <w:szCs w:val="22"/>
          <w:highlight w:val="none"/>
          <w:lang w:eastAsia="zh-CN"/>
        </w:rPr>
        <w:t>采购代理机构</w:t>
      </w:r>
      <w:r>
        <w:rPr>
          <w:rFonts w:hint="eastAsia" w:asciiTheme="minorEastAsia" w:hAnsiTheme="minorEastAsia" w:eastAsiaTheme="minorEastAsia" w:cstheme="minorEastAsia"/>
          <w:color w:val="auto"/>
          <w:sz w:val="22"/>
          <w:szCs w:val="22"/>
          <w:highlight w:val="none"/>
        </w:rPr>
        <w:t>确认后，将修改</w:t>
      </w:r>
      <w:r>
        <w:rPr>
          <w:rFonts w:hint="eastAsia" w:asciiTheme="minorEastAsia" w:hAnsiTheme="minorEastAsia" w:eastAsiaTheme="minorEastAsia" w:cstheme="minorEastAsia"/>
          <w:color w:val="auto"/>
          <w:sz w:val="22"/>
          <w:szCs w:val="22"/>
          <w:highlight w:val="none"/>
          <w:lang w:eastAsia="zh-CN"/>
        </w:rPr>
        <w:t>竞争性磋商</w:t>
      </w:r>
      <w:r>
        <w:rPr>
          <w:rFonts w:hint="eastAsia" w:asciiTheme="minorEastAsia" w:hAnsiTheme="minorEastAsia" w:eastAsiaTheme="minorEastAsia" w:cstheme="minorEastAsia"/>
          <w:color w:val="auto"/>
          <w:sz w:val="22"/>
          <w:szCs w:val="22"/>
          <w:highlight w:val="none"/>
        </w:rPr>
        <w:t>文件，重新组织采购活动。</w:t>
      </w:r>
    </w:p>
    <w:p w14:paraId="4BF738E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7.重新开展采购。</w:t>
      </w:r>
      <w:r>
        <w:rPr>
          <w:rFonts w:hint="eastAsia" w:asciiTheme="minorEastAsia" w:hAnsiTheme="minorEastAsia" w:eastAsiaTheme="minorEastAsia" w:cstheme="minorEastAsia"/>
          <w:color w:val="auto"/>
          <w:sz w:val="22"/>
          <w:szCs w:val="22"/>
          <w:highlight w:val="none"/>
        </w:rPr>
        <w:t>有政府采购法第七十一条、第七十二条规定的违法行为之一，影响或者可能影响中标、成交结果的，依照下列规定处理：</w:t>
      </w:r>
    </w:p>
    <w:p w14:paraId="4EE7926D">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7.1未确定</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或者</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人的，终止本次政府采购活动，重新开展政府采购活动。</w:t>
      </w:r>
    </w:p>
    <w:p w14:paraId="1B01523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7.2已确定</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或者</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人但尚未签订政府采购合同的，</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或者成交结果无效，重新开展政府采购活动。</w:t>
      </w:r>
    </w:p>
    <w:p w14:paraId="20D4CCF8">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7.3政府采购合同已签订但尚未履行的，撤销合同，重新开展政府采购活动。</w:t>
      </w:r>
    </w:p>
    <w:p w14:paraId="349EB60D">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7.4政府采购合同已经履行，给采购人、供应商造成损失的，由责任人承担赔偿责任。</w:t>
      </w:r>
    </w:p>
    <w:p w14:paraId="55560776">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7.5政府采购当事人有其他违反政府采购法</w:t>
      </w:r>
      <w:r>
        <w:rPr>
          <w:rFonts w:hint="eastAsia" w:asciiTheme="minorEastAsia" w:hAnsiTheme="minorEastAsia" w:eastAsiaTheme="minorEastAsia" w:cstheme="minorEastAsia"/>
          <w:color w:val="auto"/>
          <w:kern w:val="0"/>
          <w:sz w:val="22"/>
          <w:szCs w:val="22"/>
          <w:highlight w:val="none"/>
        </w:rPr>
        <w:t>或者政府采购法实施条例等法律法规规定</w:t>
      </w:r>
      <w:r>
        <w:rPr>
          <w:rFonts w:hint="eastAsia" w:asciiTheme="minorEastAsia" w:hAnsiTheme="minorEastAsia" w:eastAsiaTheme="minorEastAsia" w:cstheme="minorEastAsia"/>
          <w:color w:val="auto"/>
          <w:sz w:val="22"/>
          <w:szCs w:val="22"/>
          <w:highlight w:val="none"/>
        </w:rPr>
        <w:t>的行为，经改正后仍然影响或者可能影响中标、成交结果或者依法被认定为中标、成交无效的，依照7.1-7.4规定处理。</w:t>
      </w:r>
    </w:p>
    <w:p w14:paraId="547CE874">
      <w:pPr>
        <w:pStyle w:val="10"/>
        <w:numPr>
          <w:ilvl w:val="0"/>
          <w:numId w:val="0"/>
        </w:numPr>
        <w:adjustRightInd w:val="0"/>
        <w:snapToGrid w:val="0"/>
        <w:spacing w:line="360" w:lineRule="auto"/>
        <w:jc w:val="center"/>
        <w:rPr>
          <w:rFonts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br w:type="page"/>
      </w:r>
      <w:r>
        <w:rPr>
          <w:rFonts w:hint="eastAsia" w:asciiTheme="minorEastAsia" w:hAnsiTheme="minorEastAsia" w:eastAsiaTheme="minorEastAsia" w:cstheme="minorEastAsia"/>
          <w:b/>
          <w:color w:val="auto"/>
          <w:sz w:val="40"/>
          <w:szCs w:val="40"/>
          <w:highlight w:val="none"/>
          <w:lang w:val="en-US" w:eastAsia="zh-CN"/>
        </w:rPr>
        <w:t>五、拟签订的合同文本（工程类）</w:t>
      </w:r>
    </w:p>
    <w:p w14:paraId="7EB514C7">
      <w:pPr>
        <w:pStyle w:val="53"/>
        <w:ind w:left="0" w:leftChars="0" w:firstLine="0" w:firstLineChars="0"/>
        <w:rPr>
          <w:rFonts w:asciiTheme="minorEastAsia" w:hAnsiTheme="minorEastAsia" w:eastAsiaTheme="minorEastAsia" w:cstheme="minorEastAsia"/>
          <w:color w:val="auto"/>
          <w:sz w:val="28"/>
          <w:szCs w:val="28"/>
          <w:highlight w:val="none"/>
        </w:rPr>
      </w:pPr>
    </w:p>
    <w:p w14:paraId="0E81F92A">
      <w:pPr>
        <w:pStyle w:val="53"/>
        <w:rPr>
          <w:rFonts w:asciiTheme="minorEastAsia" w:hAnsiTheme="minorEastAsia" w:eastAsiaTheme="minorEastAsia" w:cstheme="minorEastAsia"/>
          <w:color w:val="auto"/>
          <w:sz w:val="28"/>
          <w:szCs w:val="28"/>
          <w:highlight w:val="none"/>
        </w:rPr>
      </w:pPr>
    </w:p>
    <w:p w14:paraId="1B7C5F27">
      <w:pPr>
        <w:pStyle w:val="53"/>
        <w:ind w:left="0" w:leftChars="0" w:firstLine="0" w:firstLineChars="0"/>
        <w:rPr>
          <w:rFonts w:asciiTheme="minorEastAsia" w:hAnsiTheme="minorEastAsia" w:eastAsiaTheme="minorEastAsia" w:cstheme="minorEastAsia"/>
          <w:color w:val="auto"/>
          <w:sz w:val="28"/>
          <w:szCs w:val="28"/>
          <w:highlight w:val="none"/>
        </w:rPr>
      </w:pPr>
    </w:p>
    <w:p w14:paraId="3C5F46B8">
      <w:pPr>
        <w:spacing w:before="120" w:line="360" w:lineRule="auto"/>
        <w:rPr>
          <w:rFonts w:asciiTheme="minorEastAsia" w:hAnsiTheme="minorEastAsia" w:eastAsiaTheme="minorEastAsia" w:cstheme="minorEastAsia"/>
          <w:color w:val="auto"/>
          <w:sz w:val="28"/>
          <w:szCs w:val="28"/>
          <w:highlight w:val="none"/>
        </w:rPr>
      </w:pPr>
    </w:p>
    <w:p w14:paraId="4CE36DDE">
      <w:pPr>
        <w:spacing w:before="120" w:line="360" w:lineRule="auto"/>
        <w:ind w:left="960" w:firstLine="720" w:firstLineChars="3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val="en-US" w:eastAsia="zh-CN"/>
        </w:rPr>
        <w:t>奉化区方桥街道中心幼儿园校园改造项目</w:t>
      </w:r>
    </w:p>
    <w:p w14:paraId="41308582">
      <w:pPr>
        <w:pStyle w:val="45"/>
        <w:spacing w:before="120"/>
        <w:rPr>
          <w:rFonts w:asciiTheme="minorEastAsia" w:hAnsiTheme="minorEastAsia" w:eastAsiaTheme="minorEastAsia" w:cstheme="minorEastAsia"/>
          <w:color w:val="auto"/>
          <w:sz w:val="24"/>
          <w:szCs w:val="24"/>
          <w:highlight w:val="none"/>
        </w:rPr>
      </w:pPr>
    </w:p>
    <w:p w14:paraId="3A60FA57">
      <w:pPr>
        <w:pStyle w:val="45"/>
        <w:spacing w:before="120"/>
        <w:rPr>
          <w:rFonts w:asciiTheme="minorEastAsia" w:hAnsiTheme="minorEastAsia" w:eastAsiaTheme="minorEastAsia" w:cstheme="minorEastAsia"/>
          <w:color w:val="auto"/>
          <w:sz w:val="24"/>
          <w:szCs w:val="24"/>
          <w:highlight w:val="none"/>
        </w:rPr>
      </w:pPr>
    </w:p>
    <w:p w14:paraId="523ACC02">
      <w:pPr>
        <w:spacing w:line="360" w:lineRule="auto"/>
        <w:rPr>
          <w:rFonts w:asciiTheme="minorEastAsia" w:hAnsiTheme="minorEastAsia" w:eastAsiaTheme="minorEastAsia" w:cstheme="minorEastAsia"/>
          <w:color w:val="auto"/>
          <w:sz w:val="24"/>
          <w:szCs w:val="24"/>
          <w:highlight w:val="none"/>
        </w:rPr>
      </w:pPr>
    </w:p>
    <w:p w14:paraId="0192E383">
      <w:pPr>
        <w:spacing w:before="120" w:line="600" w:lineRule="auto"/>
        <w:ind w:left="960" w:firstLine="720" w:firstLineChars="3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DF48949">
      <w:pPr>
        <w:spacing w:before="120" w:line="600" w:lineRule="auto"/>
        <w:ind w:left="960"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rPr>
        <w:t xml:space="preserve">                                       </w:t>
      </w:r>
    </w:p>
    <w:p w14:paraId="72A6A1B6">
      <w:pPr>
        <w:spacing w:before="120" w:line="600" w:lineRule="auto"/>
        <w:ind w:firstLine="1680" w:firstLineChars="7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签订地：</w:t>
      </w:r>
      <w:r>
        <w:rPr>
          <w:rFonts w:hint="eastAsia" w:asciiTheme="minorEastAsia" w:hAnsiTheme="minorEastAsia" w:eastAsiaTheme="minorEastAsia" w:cstheme="minorEastAsia"/>
          <w:color w:val="auto"/>
          <w:sz w:val="24"/>
          <w:szCs w:val="24"/>
          <w:highlight w:val="none"/>
          <w:u w:val="single"/>
        </w:rPr>
        <w:t xml:space="preserve">                                     </w:t>
      </w:r>
    </w:p>
    <w:p w14:paraId="59AF04EF">
      <w:pPr>
        <w:spacing w:before="120" w:line="600" w:lineRule="auto"/>
        <w:ind w:firstLine="1680" w:firstLineChars="7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728F592D">
      <w:pPr>
        <w:spacing w:line="360" w:lineRule="auto"/>
        <w:ind w:firstLine="480"/>
        <w:jc w:val="center"/>
        <w:outlineLvl w:val="1"/>
        <w:rPr>
          <w:rFonts w:ascii="宋体" w:hAnsi="宋体" w:cs="宋体"/>
          <w:color w:val="auto"/>
          <w:sz w:val="30"/>
          <w:szCs w:val="30"/>
          <w:highlight w:val="none"/>
        </w:rPr>
      </w:pPr>
      <w:r>
        <w:rPr>
          <w:rFonts w:hint="eastAsia" w:asciiTheme="minorEastAsia" w:hAnsiTheme="minorEastAsia" w:eastAsiaTheme="minorEastAsia" w:cstheme="minorEastAsia"/>
          <w:color w:val="auto"/>
          <w:sz w:val="28"/>
          <w:szCs w:val="28"/>
          <w:highlight w:val="none"/>
          <w:u w:val="single"/>
          <w:lang w:val="zh-CN"/>
        </w:rPr>
        <w:br w:type="page"/>
      </w:r>
      <w:r>
        <w:rPr>
          <w:rFonts w:hint="eastAsia" w:ascii="宋体" w:hAnsi="宋体" w:cs="宋体"/>
          <w:color w:val="auto"/>
          <w:sz w:val="30"/>
          <w:szCs w:val="30"/>
          <w:highlight w:val="none"/>
        </w:rPr>
        <w:t>第一部分  协 议 书</w:t>
      </w:r>
    </w:p>
    <w:p w14:paraId="197A981D">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发包人（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eastAsia="zh-CN"/>
        </w:rPr>
        <w:t>宁波市奉化区教育发展投资有限责任公司</w:t>
      </w:r>
    </w:p>
    <w:p w14:paraId="71AB1E2B">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承包人（</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58596EB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2968A940">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一、工程概况</w:t>
      </w:r>
    </w:p>
    <w:p w14:paraId="6DD24DAC">
      <w:pPr>
        <w:spacing w:line="360" w:lineRule="auto"/>
        <w:ind w:left="1679" w:leftChars="228" w:hanging="1200" w:hangingChars="5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工程名称：</w:t>
      </w:r>
      <w:r>
        <w:rPr>
          <w:rFonts w:hint="eastAsia" w:ascii="宋体" w:hAnsi="宋体" w:cs="宋体"/>
          <w:color w:val="auto"/>
          <w:sz w:val="24"/>
          <w:szCs w:val="24"/>
          <w:highlight w:val="none"/>
          <w:u w:val="single"/>
          <w:lang w:eastAsia="zh-CN"/>
        </w:rPr>
        <w:t>奉化区方桥街道中心幼儿园校园改造项目</w:t>
      </w:r>
    </w:p>
    <w:p w14:paraId="6D2512CA">
      <w:pPr>
        <w:spacing w:line="360" w:lineRule="auto"/>
        <w:ind w:left="1679" w:leftChars="228" w:hanging="1200" w:hangingChars="500"/>
        <w:rPr>
          <w:rFonts w:ascii="宋体" w:hAnsi="宋体" w:cs="宋体"/>
          <w:color w:val="auto"/>
          <w:sz w:val="24"/>
          <w:szCs w:val="24"/>
          <w:highlight w:val="none"/>
          <w:u w:val="single"/>
        </w:rPr>
      </w:pPr>
      <w:r>
        <w:rPr>
          <w:rFonts w:hint="eastAsia" w:ascii="宋体" w:hAnsi="宋体" w:cs="宋体"/>
          <w:color w:val="auto"/>
          <w:sz w:val="24"/>
          <w:szCs w:val="24"/>
          <w:highlight w:val="none"/>
        </w:rPr>
        <w:t>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2DDF3C9E">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工程内容：</w:t>
      </w:r>
      <w:r>
        <w:rPr>
          <w:rFonts w:hint="eastAsia" w:ascii="宋体" w:hAnsi="宋体" w:cs="宋体"/>
          <w:color w:val="auto"/>
          <w:sz w:val="24"/>
          <w:szCs w:val="24"/>
          <w:highlight w:val="none"/>
          <w:u w:val="single"/>
          <w:lang w:val="en-US" w:eastAsia="zh-CN"/>
        </w:rPr>
        <w:t>详见图纸及工程量清单</w:t>
      </w:r>
    </w:p>
    <w:p w14:paraId="6EB4ACA9">
      <w:pPr>
        <w:spacing w:line="360" w:lineRule="auto"/>
        <w:ind w:left="1919" w:leftChars="228" w:hanging="1440" w:hangingChars="6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工程立项批准文号：</w:t>
      </w:r>
      <w:r>
        <w:rPr>
          <w:rFonts w:hint="eastAsia" w:ascii="宋体" w:hAnsi="宋体" w:cs="宋体"/>
          <w:color w:val="auto"/>
          <w:sz w:val="24"/>
          <w:szCs w:val="24"/>
          <w:highlight w:val="none"/>
          <w:u w:val="single"/>
          <w:lang w:val="en-US" w:eastAsia="zh-CN"/>
        </w:rPr>
        <w:t xml:space="preserve">                   </w:t>
      </w:r>
    </w:p>
    <w:p w14:paraId="1E3A171D">
      <w:pPr>
        <w:spacing w:line="360" w:lineRule="auto"/>
        <w:ind w:left="1919" w:leftChars="228" w:hanging="1440" w:hangingChars="6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资金来源：</w:t>
      </w:r>
      <w:r>
        <w:rPr>
          <w:rFonts w:hint="eastAsia" w:ascii="宋体" w:hAnsi="宋体" w:cs="宋体"/>
          <w:color w:val="auto"/>
          <w:sz w:val="24"/>
          <w:szCs w:val="24"/>
          <w:highlight w:val="none"/>
          <w:u w:val="single"/>
          <w:lang w:val="en-US" w:eastAsia="zh-CN"/>
        </w:rPr>
        <w:t xml:space="preserve">       </w:t>
      </w:r>
    </w:p>
    <w:p w14:paraId="03F7CFB8">
      <w:pPr>
        <w:spacing w:line="360" w:lineRule="auto"/>
        <w:ind w:left="551"/>
        <w:rPr>
          <w:rFonts w:ascii="宋体" w:hAnsi="宋体" w:cs="宋体"/>
          <w:color w:val="auto"/>
          <w:sz w:val="24"/>
          <w:szCs w:val="24"/>
          <w:highlight w:val="none"/>
        </w:rPr>
      </w:pPr>
      <w:r>
        <w:rPr>
          <w:rFonts w:hint="eastAsia" w:ascii="宋体" w:hAnsi="宋体" w:cs="宋体"/>
          <w:color w:val="auto"/>
          <w:sz w:val="24"/>
          <w:szCs w:val="24"/>
          <w:highlight w:val="none"/>
        </w:rPr>
        <w:t>二、工程承包范围</w:t>
      </w:r>
    </w:p>
    <w:p w14:paraId="71B00425">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承包范围</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p>
    <w:p w14:paraId="0D98904F">
      <w:pPr>
        <w:pStyle w:val="67"/>
        <w:spacing w:line="360" w:lineRule="auto"/>
        <w:ind w:firstLine="480" w:firstLineChars="200"/>
        <w:rPr>
          <w:rFonts w:cs="宋体"/>
          <w:color w:val="auto"/>
          <w:sz w:val="24"/>
          <w:szCs w:val="24"/>
          <w:highlight w:val="none"/>
        </w:rPr>
      </w:pPr>
      <w:r>
        <w:rPr>
          <w:rFonts w:hint="eastAsia" w:cs="宋体"/>
          <w:color w:val="auto"/>
          <w:sz w:val="24"/>
          <w:szCs w:val="24"/>
          <w:highlight w:val="none"/>
        </w:rPr>
        <w:t>三、合同工期</w:t>
      </w:r>
    </w:p>
    <w:p w14:paraId="355A717D">
      <w:pPr>
        <w:spacing w:line="360" w:lineRule="auto"/>
        <w:ind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日(具体以监理开工令为准)</w:t>
      </w:r>
    </w:p>
    <w:p w14:paraId="3B2BB507">
      <w:pPr>
        <w:spacing w:line="360" w:lineRule="auto"/>
        <w:ind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合同工期总日历天数：</w:t>
      </w:r>
      <w:r>
        <w:rPr>
          <w:rFonts w:hint="eastAsia" w:ascii="宋体" w:hAnsi="宋体" w:cs="宋体"/>
          <w:color w:val="auto"/>
          <w:sz w:val="24"/>
          <w:szCs w:val="24"/>
          <w:highlight w:val="none"/>
          <w:u w:val="single"/>
          <w:lang w:val="en-US" w:eastAsia="zh-CN"/>
        </w:rPr>
        <w:t xml:space="preserve">   日历天</w:t>
      </w:r>
      <w:r>
        <w:rPr>
          <w:rFonts w:hint="eastAsia" w:ascii="宋体" w:hAnsi="宋体" w:cs="宋体"/>
          <w:color w:val="auto"/>
          <w:sz w:val="24"/>
          <w:szCs w:val="24"/>
          <w:highlight w:val="none"/>
        </w:rPr>
        <w:t>。</w:t>
      </w:r>
    </w:p>
    <w:p w14:paraId="552789E1">
      <w:pPr>
        <w:spacing w:line="360" w:lineRule="auto"/>
        <w:ind w:firstLine="460" w:firstLineChars="192"/>
        <w:rPr>
          <w:rFonts w:ascii="宋体" w:hAnsi="宋体" w:cs="宋体"/>
          <w:b/>
          <w:color w:val="auto"/>
          <w:sz w:val="24"/>
          <w:szCs w:val="24"/>
          <w:highlight w:val="none"/>
        </w:rPr>
      </w:pPr>
      <w:r>
        <w:rPr>
          <w:rFonts w:hint="eastAsia" w:ascii="宋体" w:hAnsi="宋体" w:cs="宋体"/>
          <w:color w:val="auto"/>
          <w:sz w:val="24"/>
          <w:szCs w:val="24"/>
          <w:highlight w:val="none"/>
        </w:rPr>
        <w:t>若实际开工日期由于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原因或不可抗力因素造成滞后,则以</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正式批准的实际开工之日为准。</w:t>
      </w:r>
    </w:p>
    <w:p w14:paraId="7EE0CCEA">
      <w:pPr>
        <w:spacing w:line="360" w:lineRule="auto"/>
        <w:ind w:firstLine="544" w:firstLineChars="227"/>
        <w:rPr>
          <w:rFonts w:ascii="宋体" w:hAnsi="宋体" w:cs="宋体"/>
          <w:color w:val="auto"/>
          <w:sz w:val="24"/>
          <w:szCs w:val="24"/>
          <w:highlight w:val="none"/>
        </w:rPr>
      </w:pPr>
      <w:r>
        <w:rPr>
          <w:rFonts w:hint="eastAsia" w:ascii="宋体" w:hAnsi="宋体" w:cs="宋体"/>
          <w:color w:val="auto"/>
          <w:sz w:val="24"/>
          <w:szCs w:val="24"/>
          <w:highlight w:val="none"/>
        </w:rPr>
        <w:t>四、质量与安全要求</w:t>
      </w:r>
    </w:p>
    <w:p w14:paraId="366CB802">
      <w:pPr>
        <w:spacing w:line="360" w:lineRule="auto"/>
        <w:ind w:firstLine="544" w:firstLineChars="227"/>
        <w:rPr>
          <w:rFonts w:ascii="宋体" w:hAnsi="宋体" w:cs="宋体"/>
          <w:color w:val="auto"/>
          <w:sz w:val="24"/>
          <w:szCs w:val="24"/>
          <w:highlight w:val="none"/>
        </w:rPr>
      </w:pPr>
      <w:r>
        <w:rPr>
          <w:rFonts w:hint="eastAsia" w:ascii="宋体" w:hAnsi="宋体" w:cs="宋体"/>
          <w:color w:val="auto"/>
          <w:sz w:val="24"/>
          <w:szCs w:val="24"/>
          <w:highlight w:val="none"/>
        </w:rPr>
        <w:t>1、达到国家和行业施工验收规范一次性验收合格。</w:t>
      </w:r>
    </w:p>
    <w:p w14:paraId="448B19FA">
      <w:pPr>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2、工程安全要求：合格。</w:t>
      </w:r>
    </w:p>
    <w:p w14:paraId="20F6C450">
      <w:pPr>
        <w:spacing w:line="360" w:lineRule="auto"/>
        <w:ind w:left="551"/>
        <w:rPr>
          <w:rFonts w:ascii="宋体" w:hAnsi="宋体" w:cs="宋体"/>
          <w:color w:val="auto"/>
          <w:sz w:val="24"/>
          <w:szCs w:val="24"/>
          <w:highlight w:val="none"/>
        </w:rPr>
      </w:pPr>
      <w:r>
        <w:rPr>
          <w:rFonts w:hint="eastAsia" w:ascii="宋体" w:hAnsi="宋体" w:cs="宋体"/>
          <w:color w:val="auto"/>
          <w:sz w:val="24"/>
          <w:szCs w:val="24"/>
          <w:highlight w:val="none"/>
        </w:rPr>
        <w:t>五、合同价款</w:t>
      </w:r>
    </w:p>
    <w:p w14:paraId="0AD0001B">
      <w:pPr>
        <w:spacing w:line="360" w:lineRule="auto"/>
        <w:ind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金额（大写）：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 ，</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元。综合</w:t>
      </w:r>
      <w:r>
        <w:rPr>
          <w:rFonts w:hint="eastAsia" w:ascii="宋体" w:hAnsi="宋体" w:cs="宋体"/>
          <w:color w:val="auto"/>
          <w:sz w:val="24"/>
          <w:szCs w:val="24"/>
          <w:highlight w:val="none"/>
          <w:lang w:eastAsia="zh-CN"/>
        </w:rPr>
        <w:t>折扣</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ECE4659">
      <w:pPr>
        <w:spacing w:line="360" w:lineRule="auto"/>
        <w:ind w:firstLine="460" w:firstLineChars="192"/>
        <w:rPr>
          <w:rFonts w:ascii="宋体" w:hAnsi="宋体" w:cs="宋体"/>
          <w:color w:val="auto"/>
          <w:sz w:val="24"/>
          <w:szCs w:val="24"/>
          <w:highlight w:val="none"/>
          <w:u w:val="single"/>
        </w:rPr>
      </w:pPr>
      <w:r>
        <w:rPr>
          <w:rFonts w:hint="eastAsia" w:ascii="宋体" w:hAnsi="宋体" w:cs="宋体"/>
          <w:color w:val="auto"/>
          <w:sz w:val="24"/>
          <w:szCs w:val="24"/>
          <w:highlight w:val="none"/>
        </w:rPr>
        <w:t>合同价格类型：</w:t>
      </w:r>
      <w:r>
        <w:rPr>
          <w:rFonts w:hint="eastAsia" w:ascii="宋体" w:hAnsi="宋体" w:cs="宋体"/>
          <w:color w:val="auto"/>
          <w:sz w:val="24"/>
          <w:szCs w:val="24"/>
          <w:highlight w:val="none"/>
          <w:u w:val="single"/>
        </w:rPr>
        <w:t>单价合同</w:t>
      </w:r>
      <w:r>
        <w:rPr>
          <w:rFonts w:hint="eastAsia" w:ascii="宋体" w:hAnsi="宋体" w:cs="宋体"/>
          <w:color w:val="auto"/>
          <w:sz w:val="24"/>
          <w:szCs w:val="24"/>
          <w:highlight w:val="none"/>
          <w:u w:val="none"/>
          <w:lang w:eastAsia="zh-CN"/>
        </w:rPr>
        <w:t>，</w:t>
      </w:r>
      <w:r>
        <w:rPr>
          <w:rFonts w:hint="eastAsia" w:ascii="宋体" w:hAnsi="宋体" w:cs="宋体"/>
          <w:bCs/>
          <w:color w:val="auto"/>
          <w:sz w:val="24"/>
          <w:szCs w:val="24"/>
          <w:highlight w:val="none"/>
        </w:rPr>
        <w:t>工程量按实结算。</w:t>
      </w:r>
    </w:p>
    <w:p w14:paraId="07624A46">
      <w:pPr>
        <w:spacing w:line="360" w:lineRule="auto"/>
        <w:ind w:left="551"/>
        <w:rPr>
          <w:rFonts w:ascii="宋体" w:hAnsi="宋体" w:cs="宋体"/>
          <w:color w:val="auto"/>
          <w:sz w:val="24"/>
          <w:szCs w:val="24"/>
          <w:highlight w:val="none"/>
        </w:rPr>
      </w:pPr>
      <w:r>
        <w:rPr>
          <w:rFonts w:hint="eastAsia" w:ascii="宋体" w:hAnsi="宋体" w:cs="宋体"/>
          <w:color w:val="auto"/>
          <w:sz w:val="24"/>
          <w:szCs w:val="24"/>
          <w:highlight w:val="none"/>
        </w:rPr>
        <w:t>六、组成合同的文件</w:t>
      </w:r>
    </w:p>
    <w:p w14:paraId="34BB3204">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组成本合同的文件包括：</w:t>
      </w:r>
    </w:p>
    <w:p w14:paraId="08617DA4">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1、本协议书</w:t>
      </w:r>
    </w:p>
    <w:p w14:paraId="79047B3A">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2、成交确认书</w:t>
      </w:r>
    </w:p>
    <w:p w14:paraId="3C229F6B">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3、本合同专用条款及其附件</w:t>
      </w:r>
    </w:p>
    <w:p w14:paraId="04B8E953">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4、交易公告及其附件</w:t>
      </w:r>
    </w:p>
    <w:p w14:paraId="7354B0A9">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5、本合同通用条款</w:t>
      </w:r>
    </w:p>
    <w:p w14:paraId="7DB07D73">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6、标准、规范及有关技术文件</w:t>
      </w:r>
    </w:p>
    <w:p w14:paraId="123F6747">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7、图纸</w:t>
      </w:r>
    </w:p>
    <w:p w14:paraId="6AE9B801">
      <w:pPr>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8、工程量清单或预算书</w:t>
      </w:r>
    </w:p>
    <w:p w14:paraId="03C750D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双方有关工程的洽商、变更等书面协议或文件视为本合同的组成部分。</w:t>
      </w:r>
    </w:p>
    <w:p w14:paraId="2561E53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本协议书中有关词语含义与本合同第二部分《通用条款》中分别赋予它们的定义相同。</w:t>
      </w:r>
    </w:p>
    <w:p w14:paraId="37173E7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八、承包人向发包人承诺按照合同约定进行施工、竣工并在质量保修期内承担工程质量保修责任。</w:t>
      </w:r>
    </w:p>
    <w:p w14:paraId="363724C9">
      <w:pPr>
        <w:spacing w:line="44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九、发包人向承包人承诺按照合同约定的期限和方式支付合同价款及其他应当支付的款项。</w:t>
      </w:r>
    </w:p>
    <w:p w14:paraId="3D550B7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十、合同生效</w:t>
      </w:r>
    </w:p>
    <w:p w14:paraId="591158B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合同订立时间：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67F643C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合同订立地点：宁波市奉化区 </w:t>
      </w:r>
    </w:p>
    <w:p w14:paraId="08E1F29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本合同双方约定</w:t>
      </w:r>
      <w:r>
        <w:rPr>
          <w:rFonts w:hint="eastAsia" w:ascii="宋体" w:hAnsi="宋体" w:cs="宋体"/>
          <w:color w:val="auto"/>
          <w:sz w:val="24"/>
          <w:szCs w:val="24"/>
          <w:highlight w:val="none"/>
          <w:u w:val="single"/>
        </w:rPr>
        <w:t>加盖双方单位印章并经法定代表人或其委托代理人签字，并按约定提供履约担保</w:t>
      </w:r>
      <w:r>
        <w:rPr>
          <w:rFonts w:hint="eastAsia" w:ascii="宋体" w:hAnsi="宋体" w:cs="宋体"/>
          <w:color w:val="auto"/>
          <w:sz w:val="24"/>
          <w:szCs w:val="24"/>
          <w:highlight w:val="none"/>
        </w:rPr>
        <w:t>后生效。</w:t>
      </w:r>
    </w:p>
    <w:p w14:paraId="3590B7D4">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十一、合同份数</w:t>
      </w:r>
    </w:p>
    <w:p w14:paraId="11F5EF08">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份，发包方</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份，承包方</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见证人一份</w:t>
      </w:r>
      <w:r>
        <w:rPr>
          <w:rFonts w:hint="eastAsia" w:ascii="宋体" w:hAnsi="宋体"/>
          <w:color w:val="auto"/>
          <w:sz w:val="24"/>
          <w:szCs w:val="24"/>
          <w:highlight w:val="none"/>
        </w:rPr>
        <w:t>。</w:t>
      </w:r>
    </w:p>
    <w:p w14:paraId="6B218A57">
      <w:pPr>
        <w:autoSpaceDE w:val="0"/>
        <w:autoSpaceDN w:val="0"/>
        <w:adjustRightInd w:val="0"/>
        <w:spacing w:line="380" w:lineRule="exact"/>
        <w:ind w:firstLine="480" w:firstLineChars="200"/>
        <w:rPr>
          <w:rFonts w:ascii="宋体" w:hAnsi="宋体" w:cs="宋体"/>
          <w:color w:val="auto"/>
          <w:sz w:val="24"/>
          <w:szCs w:val="24"/>
          <w:highlight w:val="none"/>
        </w:rPr>
      </w:pPr>
    </w:p>
    <w:p w14:paraId="0A99E224">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发包人名称（公章）：                      承包人名称（公章）：</w:t>
      </w:r>
    </w:p>
    <w:p w14:paraId="33DA320E">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p>
    <w:p w14:paraId="6E67AF20">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统一社会信用代码：                       统一社会信用代码或身份证号码：</w:t>
      </w:r>
    </w:p>
    <w:p w14:paraId="075C4AFA">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住所：                                   住所：</w:t>
      </w:r>
    </w:p>
    <w:p w14:paraId="0D46AED6">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w:t>
      </w:r>
      <w:r>
        <w:rPr>
          <w:rFonts w:hint="eastAsia" w:ascii="宋体" w:hAnsi="宋体" w:cs="宋体"/>
          <w:color w:val="auto"/>
          <w:sz w:val="22"/>
          <w:szCs w:val="22"/>
          <w:highlight w:val="none"/>
          <w:lang w:val="en-US" w:eastAsia="zh-CN"/>
        </w:rPr>
        <w:t>或盖章</w:t>
      </w:r>
      <w:r>
        <w:rPr>
          <w:rFonts w:hint="eastAsia" w:ascii="宋体" w:hAnsi="宋体" w:eastAsia="宋体" w:cs="宋体"/>
          <w:color w:val="auto"/>
          <w:sz w:val="22"/>
          <w:szCs w:val="22"/>
          <w:highlight w:val="none"/>
          <w:lang w:val="zh-CN"/>
        </w:rPr>
        <w:t>）：     法定代表人或授权代表（签字</w:t>
      </w:r>
      <w:r>
        <w:rPr>
          <w:rFonts w:hint="eastAsia" w:ascii="宋体" w:hAnsi="宋体" w:cs="宋体"/>
          <w:color w:val="auto"/>
          <w:sz w:val="22"/>
          <w:szCs w:val="22"/>
          <w:highlight w:val="none"/>
          <w:lang w:val="en-US" w:eastAsia="zh-CN"/>
        </w:rPr>
        <w:t>或盖章</w:t>
      </w:r>
      <w:r>
        <w:rPr>
          <w:rFonts w:hint="eastAsia" w:ascii="宋体" w:hAnsi="宋体" w:eastAsia="宋体" w:cs="宋体"/>
          <w:color w:val="auto"/>
          <w:sz w:val="22"/>
          <w:szCs w:val="22"/>
          <w:highlight w:val="none"/>
          <w:lang w:val="zh-CN"/>
        </w:rPr>
        <w:t xml:space="preserve">）: </w:t>
      </w:r>
    </w:p>
    <w:p w14:paraId="194B10D7">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联系人：                                 联系人：</w:t>
      </w:r>
    </w:p>
    <w:p w14:paraId="57482C5C">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约定送达地址：                           约定送达地址：</w:t>
      </w:r>
    </w:p>
    <w:p w14:paraId="003B7F26">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邮政编码：                               邮政编码：</w:t>
      </w:r>
    </w:p>
    <w:p w14:paraId="78C425AF">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电话:                                    电话: </w:t>
      </w:r>
    </w:p>
    <w:p w14:paraId="2C0F7AB3">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传真:                                    传真:</w:t>
      </w:r>
    </w:p>
    <w:p w14:paraId="40CE21FB">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见证人（公章）：采购代理机构名称</w:t>
      </w:r>
    </w:p>
    <w:p w14:paraId="315E7B60">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 xml:space="preserve">住所：                             </w:t>
      </w:r>
    </w:p>
    <w:p w14:paraId="2E20A2FB">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 xml:space="preserve">法定代表人或授权代表（签字）：       </w:t>
      </w:r>
      <w:r>
        <w:rPr>
          <w:rFonts w:hint="eastAsia" w:ascii="宋体" w:hAnsi="宋体" w:eastAsia="宋体" w:cs="宋体"/>
          <w:color w:val="auto"/>
          <w:sz w:val="22"/>
          <w:szCs w:val="22"/>
          <w:highlight w:val="none"/>
          <w:lang w:val="en-US" w:eastAsia="zh-CN"/>
        </w:rPr>
        <w:t xml:space="preserve"> </w:t>
      </w:r>
    </w:p>
    <w:p w14:paraId="43B54C9E">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 xml:space="preserve">联系人：                                                                    </w:t>
      </w:r>
    </w:p>
    <w:p w14:paraId="2801B63D">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电话:</w:t>
      </w:r>
    </w:p>
    <w:p w14:paraId="6DB27D94">
      <w:pPr>
        <w:spacing w:line="360" w:lineRule="auto"/>
        <w:ind w:firstLine="422"/>
        <w:jc w:val="center"/>
        <w:rPr>
          <w:rFonts w:hint="eastAsia" w:ascii="宋体" w:hAnsi="宋体" w:cs="宋体"/>
          <w:b/>
          <w:bCs/>
          <w:color w:val="auto"/>
          <w:sz w:val="24"/>
          <w:szCs w:val="24"/>
          <w:highlight w:val="none"/>
        </w:rPr>
      </w:pPr>
    </w:p>
    <w:p w14:paraId="28CAE8FD">
      <w:pPr>
        <w:spacing w:line="360" w:lineRule="auto"/>
        <w:ind w:firstLine="422"/>
        <w:jc w:val="center"/>
        <w:rPr>
          <w:rFonts w:hint="eastAsia" w:ascii="宋体" w:hAnsi="宋体" w:cs="宋体"/>
          <w:b/>
          <w:bCs/>
          <w:color w:val="auto"/>
          <w:sz w:val="24"/>
          <w:szCs w:val="24"/>
          <w:highlight w:val="none"/>
        </w:rPr>
      </w:pPr>
    </w:p>
    <w:p w14:paraId="0C4F3736">
      <w:pPr>
        <w:spacing w:line="360" w:lineRule="auto"/>
        <w:ind w:firstLine="422"/>
        <w:jc w:val="center"/>
        <w:rPr>
          <w:rFonts w:hint="eastAsia" w:ascii="宋体" w:hAnsi="宋体" w:cs="宋体"/>
          <w:b/>
          <w:bCs/>
          <w:color w:val="auto"/>
          <w:sz w:val="24"/>
          <w:szCs w:val="24"/>
          <w:highlight w:val="none"/>
        </w:rPr>
      </w:pPr>
    </w:p>
    <w:p w14:paraId="1987B46B">
      <w:pPr>
        <w:spacing w:line="360" w:lineRule="auto"/>
        <w:ind w:firstLine="422"/>
        <w:jc w:val="center"/>
        <w:rPr>
          <w:rFonts w:hint="eastAsia" w:ascii="宋体" w:hAnsi="宋体" w:cs="宋体"/>
          <w:b/>
          <w:bCs/>
          <w:color w:val="auto"/>
          <w:sz w:val="24"/>
          <w:szCs w:val="24"/>
          <w:highlight w:val="none"/>
        </w:rPr>
      </w:pPr>
    </w:p>
    <w:p w14:paraId="79618D9C">
      <w:pPr>
        <w:spacing w:line="360" w:lineRule="auto"/>
        <w:ind w:firstLine="422"/>
        <w:jc w:val="center"/>
        <w:rPr>
          <w:rFonts w:hint="eastAsia" w:ascii="宋体" w:hAnsi="宋体" w:cs="宋体"/>
          <w:b/>
          <w:bCs/>
          <w:color w:val="auto"/>
          <w:sz w:val="24"/>
          <w:szCs w:val="24"/>
          <w:highlight w:val="none"/>
        </w:rPr>
      </w:pPr>
    </w:p>
    <w:p w14:paraId="7CF7AC70">
      <w:pPr>
        <w:spacing w:line="360" w:lineRule="auto"/>
        <w:ind w:firstLine="422"/>
        <w:jc w:val="center"/>
        <w:rPr>
          <w:rFonts w:hint="eastAsia" w:ascii="宋体" w:hAnsi="宋体" w:cs="宋体"/>
          <w:b/>
          <w:bCs/>
          <w:color w:val="auto"/>
          <w:sz w:val="24"/>
          <w:szCs w:val="24"/>
          <w:highlight w:val="none"/>
        </w:rPr>
      </w:pPr>
    </w:p>
    <w:p w14:paraId="238365E0">
      <w:pPr>
        <w:spacing w:line="360" w:lineRule="auto"/>
        <w:ind w:firstLine="422"/>
        <w:jc w:val="center"/>
        <w:rPr>
          <w:rFonts w:hint="eastAsia" w:ascii="宋体" w:hAnsi="宋体" w:cs="宋体"/>
          <w:b/>
          <w:bCs/>
          <w:color w:val="auto"/>
          <w:sz w:val="24"/>
          <w:szCs w:val="24"/>
          <w:highlight w:val="none"/>
        </w:rPr>
      </w:pPr>
    </w:p>
    <w:p w14:paraId="13EE4B13">
      <w:pPr>
        <w:spacing w:line="360" w:lineRule="auto"/>
        <w:ind w:firstLine="422"/>
        <w:jc w:val="center"/>
        <w:rPr>
          <w:rFonts w:hint="eastAsia" w:ascii="宋体" w:hAnsi="宋体" w:cs="宋体"/>
          <w:b/>
          <w:bCs/>
          <w:color w:val="auto"/>
          <w:sz w:val="24"/>
          <w:szCs w:val="24"/>
          <w:highlight w:val="none"/>
        </w:rPr>
      </w:pPr>
    </w:p>
    <w:p w14:paraId="1A59980F">
      <w:pPr>
        <w:spacing w:line="360" w:lineRule="auto"/>
        <w:ind w:firstLine="422"/>
        <w:jc w:val="center"/>
        <w:rPr>
          <w:rFonts w:hint="eastAsia" w:ascii="宋体" w:hAnsi="宋体" w:cs="宋体"/>
          <w:b/>
          <w:bCs/>
          <w:color w:val="auto"/>
          <w:sz w:val="24"/>
          <w:szCs w:val="24"/>
          <w:highlight w:val="none"/>
        </w:rPr>
      </w:pPr>
    </w:p>
    <w:p w14:paraId="4B40EE67">
      <w:pPr>
        <w:spacing w:line="360" w:lineRule="auto"/>
        <w:ind w:firstLine="422"/>
        <w:jc w:val="center"/>
        <w:rPr>
          <w:rFonts w:hint="eastAsia" w:ascii="宋体" w:hAnsi="宋体" w:cs="宋体"/>
          <w:b/>
          <w:bCs/>
          <w:color w:val="auto"/>
          <w:sz w:val="24"/>
          <w:szCs w:val="24"/>
          <w:highlight w:val="none"/>
        </w:rPr>
      </w:pPr>
    </w:p>
    <w:p w14:paraId="7B3DED8C">
      <w:pPr>
        <w:spacing w:line="360" w:lineRule="auto"/>
        <w:ind w:firstLine="422"/>
        <w:jc w:val="center"/>
        <w:rPr>
          <w:rFonts w:hint="eastAsia" w:ascii="宋体" w:hAnsi="宋体" w:cs="宋体"/>
          <w:b/>
          <w:bCs/>
          <w:color w:val="auto"/>
          <w:sz w:val="24"/>
          <w:szCs w:val="24"/>
          <w:highlight w:val="none"/>
        </w:rPr>
      </w:pPr>
    </w:p>
    <w:p w14:paraId="40258A49">
      <w:pPr>
        <w:spacing w:line="360" w:lineRule="auto"/>
        <w:ind w:firstLine="422"/>
        <w:jc w:val="center"/>
        <w:rPr>
          <w:rFonts w:hint="eastAsia" w:ascii="宋体" w:hAnsi="宋体" w:cs="宋体"/>
          <w:b/>
          <w:bCs/>
          <w:color w:val="auto"/>
          <w:sz w:val="24"/>
          <w:szCs w:val="24"/>
          <w:highlight w:val="none"/>
        </w:rPr>
      </w:pPr>
    </w:p>
    <w:p w14:paraId="7E571748">
      <w:pPr>
        <w:spacing w:line="360" w:lineRule="auto"/>
        <w:ind w:firstLine="422"/>
        <w:jc w:val="center"/>
        <w:rPr>
          <w:rFonts w:hint="eastAsia" w:ascii="宋体" w:hAnsi="宋体" w:cs="宋体"/>
          <w:b/>
          <w:bCs/>
          <w:color w:val="auto"/>
          <w:sz w:val="24"/>
          <w:szCs w:val="24"/>
          <w:highlight w:val="none"/>
        </w:rPr>
      </w:pPr>
    </w:p>
    <w:p w14:paraId="6F79745B">
      <w:pPr>
        <w:spacing w:line="360" w:lineRule="auto"/>
        <w:ind w:firstLine="422"/>
        <w:jc w:val="center"/>
        <w:rPr>
          <w:rFonts w:hint="eastAsia" w:ascii="宋体" w:hAnsi="宋体" w:cs="宋体"/>
          <w:b/>
          <w:bCs/>
          <w:color w:val="auto"/>
          <w:sz w:val="24"/>
          <w:szCs w:val="24"/>
          <w:highlight w:val="none"/>
        </w:rPr>
      </w:pPr>
    </w:p>
    <w:p w14:paraId="3063398F">
      <w:pPr>
        <w:spacing w:line="360" w:lineRule="auto"/>
        <w:ind w:firstLine="422"/>
        <w:jc w:val="center"/>
        <w:rPr>
          <w:rFonts w:hint="eastAsia" w:ascii="宋体" w:hAnsi="宋体" w:cs="宋体"/>
          <w:b/>
          <w:bCs/>
          <w:color w:val="auto"/>
          <w:sz w:val="24"/>
          <w:szCs w:val="24"/>
          <w:highlight w:val="none"/>
        </w:rPr>
      </w:pPr>
    </w:p>
    <w:p w14:paraId="0DED0090">
      <w:pPr>
        <w:spacing w:line="360" w:lineRule="auto"/>
        <w:ind w:firstLine="422"/>
        <w:jc w:val="center"/>
        <w:rPr>
          <w:rFonts w:hint="eastAsia" w:ascii="宋体" w:hAnsi="宋体" w:cs="宋体"/>
          <w:b/>
          <w:bCs/>
          <w:color w:val="auto"/>
          <w:sz w:val="24"/>
          <w:szCs w:val="24"/>
          <w:highlight w:val="none"/>
        </w:rPr>
      </w:pPr>
    </w:p>
    <w:p w14:paraId="16311D70">
      <w:pPr>
        <w:spacing w:line="360" w:lineRule="auto"/>
        <w:ind w:firstLine="422"/>
        <w:jc w:val="center"/>
        <w:rPr>
          <w:rFonts w:hint="eastAsia" w:ascii="宋体" w:hAnsi="宋体" w:cs="宋体"/>
          <w:b/>
          <w:bCs/>
          <w:color w:val="auto"/>
          <w:sz w:val="24"/>
          <w:szCs w:val="24"/>
          <w:highlight w:val="none"/>
        </w:rPr>
      </w:pPr>
    </w:p>
    <w:p w14:paraId="02152850">
      <w:pPr>
        <w:spacing w:line="360" w:lineRule="auto"/>
        <w:ind w:firstLine="422"/>
        <w:jc w:val="center"/>
        <w:rPr>
          <w:rFonts w:hint="eastAsia" w:ascii="宋体" w:hAnsi="宋体" w:cs="宋体"/>
          <w:b/>
          <w:bCs/>
          <w:color w:val="auto"/>
          <w:sz w:val="24"/>
          <w:szCs w:val="24"/>
          <w:highlight w:val="none"/>
        </w:rPr>
      </w:pPr>
    </w:p>
    <w:p w14:paraId="3B6D793A">
      <w:pPr>
        <w:spacing w:line="360" w:lineRule="auto"/>
        <w:ind w:firstLine="422"/>
        <w:jc w:val="center"/>
        <w:rPr>
          <w:rFonts w:hint="eastAsia" w:ascii="宋体" w:hAnsi="宋体" w:cs="宋体"/>
          <w:b/>
          <w:bCs/>
          <w:color w:val="auto"/>
          <w:sz w:val="24"/>
          <w:szCs w:val="24"/>
          <w:highlight w:val="none"/>
        </w:rPr>
      </w:pPr>
    </w:p>
    <w:p w14:paraId="07E74787">
      <w:pPr>
        <w:spacing w:line="360" w:lineRule="auto"/>
        <w:ind w:firstLine="422"/>
        <w:jc w:val="center"/>
        <w:rPr>
          <w:rFonts w:hint="eastAsia" w:ascii="宋体" w:hAnsi="宋体" w:cs="宋体"/>
          <w:b/>
          <w:bCs/>
          <w:color w:val="auto"/>
          <w:sz w:val="24"/>
          <w:szCs w:val="24"/>
          <w:highlight w:val="none"/>
        </w:rPr>
      </w:pPr>
    </w:p>
    <w:p w14:paraId="369DA859">
      <w:pPr>
        <w:spacing w:line="360" w:lineRule="auto"/>
        <w:ind w:firstLine="422"/>
        <w:jc w:val="center"/>
        <w:rPr>
          <w:rFonts w:hint="eastAsia" w:ascii="宋体" w:hAnsi="宋体" w:cs="宋体"/>
          <w:b/>
          <w:bCs/>
          <w:color w:val="auto"/>
          <w:sz w:val="24"/>
          <w:szCs w:val="24"/>
          <w:highlight w:val="none"/>
        </w:rPr>
      </w:pPr>
    </w:p>
    <w:p w14:paraId="3E2E1C8F">
      <w:pPr>
        <w:spacing w:line="360" w:lineRule="auto"/>
        <w:ind w:firstLine="422"/>
        <w:jc w:val="center"/>
        <w:rPr>
          <w:rFonts w:hint="eastAsia" w:ascii="宋体" w:hAnsi="宋体" w:cs="宋体"/>
          <w:b/>
          <w:bCs/>
          <w:color w:val="auto"/>
          <w:sz w:val="24"/>
          <w:szCs w:val="24"/>
          <w:highlight w:val="none"/>
        </w:rPr>
      </w:pPr>
    </w:p>
    <w:p w14:paraId="722E717E">
      <w:pPr>
        <w:spacing w:line="360" w:lineRule="auto"/>
        <w:ind w:firstLine="422"/>
        <w:jc w:val="center"/>
        <w:rPr>
          <w:rFonts w:hint="eastAsia" w:ascii="宋体" w:hAnsi="宋体" w:cs="宋体"/>
          <w:b/>
          <w:bCs/>
          <w:color w:val="auto"/>
          <w:sz w:val="24"/>
          <w:szCs w:val="24"/>
          <w:highlight w:val="none"/>
        </w:rPr>
      </w:pPr>
    </w:p>
    <w:p w14:paraId="7712608E">
      <w:pPr>
        <w:spacing w:line="360" w:lineRule="auto"/>
        <w:ind w:firstLine="422"/>
        <w:jc w:val="center"/>
        <w:rPr>
          <w:rFonts w:hint="eastAsia" w:ascii="宋体" w:hAnsi="宋体" w:cs="宋体"/>
          <w:b/>
          <w:bCs/>
          <w:color w:val="auto"/>
          <w:sz w:val="24"/>
          <w:szCs w:val="24"/>
          <w:highlight w:val="none"/>
        </w:rPr>
      </w:pPr>
    </w:p>
    <w:p w14:paraId="336058FC">
      <w:pPr>
        <w:spacing w:line="360" w:lineRule="auto"/>
        <w:ind w:firstLine="422"/>
        <w:jc w:val="center"/>
        <w:rPr>
          <w:rFonts w:hint="eastAsia" w:ascii="宋体" w:hAnsi="宋体" w:cs="宋体"/>
          <w:b/>
          <w:bCs/>
          <w:color w:val="auto"/>
          <w:sz w:val="24"/>
          <w:szCs w:val="24"/>
          <w:highlight w:val="none"/>
        </w:rPr>
      </w:pPr>
    </w:p>
    <w:p w14:paraId="4559DBFA">
      <w:pPr>
        <w:pageBreakBefore w:val="0"/>
        <w:widowControl w:val="0"/>
        <w:kinsoku/>
        <w:wordWrap/>
        <w:overflowPunct/>
        <w:topLinePunct w:val="0"/>
        <w:bidi w:val="0"/>
        <w:spacing w:line="360" w:lineRule="auto"/>
        <w:ind w:left="0" w:leftChars="0" w:right="0" w:rightChars="0" w:firstLine="422"/>
        <w:jc w:val="center"/>
        <w:textAlignment w:val="auto"/>
        <w:rPr>
          <w:rFonts w:ascii="宋体" w:hAnsi="宋体" w:cs="宋体"/>
          <w:b/>
          <w:color w:val="auto"/>
          <w:sz w:val="24"/>
          <w:szCs w:val="24"/>
          <w:highlight w:val="none"/>
        </w:rPr>
      </w:pPr>
      <w:r>
        <w:rPr>
          <w:rFonts w:hint="eastAsia" w:ascii="宋体" w:hAnsi="宋体" w:cs="宋体"/>
          <w:b/>
          <w:bCs/>
          <w:color w:val="auto"/>
          <w:sz w:val="24"/>
          <w:szCs w:val="24"/>
          <w:highlight w:val="none"/>
        </w:rPr>
        <w:t>第二部分</w:t>
      </w:r>
      <w:r>
        <w:rPr>
          <w:rFonts w:hint="eastAsia" w:ascii="宋体" w:hAnsi="宋体" w:cs="宋体"/>
          <w:b/>
          <w:color w:val="auto"/>
          <w:sz w:val="24"/>
          <w:szCs w:val="24"/>
          <w:highlight w:val="none"/>
        </w:rPr>
        <w:t xml:space="preserve"> 通用合同条款</w:t>
      </w:r>
    </w:p>
    <w:p w14:paraId="7A76BC6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通用合同条款直接引用建市[2017]214号“住房城乡建设部、工商总局关于印发建设工程施工合同（示范文本）的通知”附件《建设工程施工合同（示范文本）（GF-2017-0201）第二部分“通用合同条款”内容。</w:t>
      </w:r>
    </w:p>
    <w:p w14:paraId="079BF950">
      <w:pPr>
        <w:pageBreakBefore w:val="0"/>
        <w:widowControl w:val="0"/>
        <w:kinsoku/>
        <w:wordWrap/>
        <w:overflowPunct/>
        <w:topLinePunct w:val="0"/>
        <w:bidi w:val="0"/>
        <w:spacing w:line="360" w:lineRule="auto"/>
        <w:ind w:left="0" w:leftChars="0" w:right="0" w:rightChars="0"/>
        <w:textAlignment w:val="auto"/>
        <w:rPr>
          <w:rFonts w:ascii="宋体" w:hAnsi="宋体" w:cs="宋体"/>
          <w:color w:val="auto"/>
          <w:sz w:val="24"/>
          <w:szCs w:val="24"/>
          <w:highlight w:val="none"/>
        </w:rPr>
      </w:pPr>
    </w:p>
    <w:p w14:paraId="1288BBF5">
      <w:pPr>
        <w:pStyle w:val="4"/>
        <w:pageBreakBefore w:val="0"/>
        <w:widowControl w:val="0"/>
        <w:kinsoku/>
        <w:wordWrap/>
        <w:overflowPunct/>
        <w:topLinePunct w:val="0"/>
        <w:bidi w:val="0"/>
        <w:spacing w:before="0" w:after="0" w:line="360" w:lineRule="auto"/>
        <w:ind w:left="0" w:leftChars="0" w:right="0" w:rightChars="0" w:firstLine="422"/>
        <w:jc w:val="center"/>
        <w:textAlignment w:val="auto"/>
        <w:rPr>
          <w:rFonts w:ascii="宋体" w:hAnsi="宋体" w:cs="宋体"/>
          <w:color w:val="auto"/>
          <w:sz w:val="24"/>
          <w:szCs w:val="24"/>
          <w:highlight w:val="none"/>
        </w:rPr>
      </w:pPr>
      <w:bookmarkStart w:id="395" w:name="_Toc364853223"/>
      <w:r>
        <w:rPr>
          <w:rFonts w:hint="eastAsia" w:ascii="宋体" w:hAnsi="宋体" w:cs="宋体"/>
          <w:color w:val="auto"/>
          <w:sz w:val="24"/>
          <w:szCs w:val="24"/>
          <w:highlight w:val="none"/>
        </w:rPr>
        <w:t>第三部分 专用合同条款</w:t>
      </w:r>
      <w:bookmarkEnd w:id="395"/>
    </w:p>
    <w:p w14:paraId="73D2126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olor w:val="auto"/>
          <w:kern w:val="0"/>
          <w:sz w:val="24"/>
          <w:szCs w:val="24"/>
          <w:highlight w:val="none"/>
        </w:rPr>
      </w:pPr>
      <w:bookmarkStart w:id="396" w:name="_Toc364853224"/>
      <w:r>
        <w:rPr>
          <w:rFonts w:hint="eastAsia" w:ascii="宋体" w:hAnsi="宋体"/>
          <w:color w:val="auto"/>
          <w:kern w:val="0"/>
          <w:sz w:val="24"/>
          <w:szCs w:val="24"/>
          <w:highlight w:val="none"/>
        </w:rPr>
        <w:t>以下主要专用合同条款根据建市[2017]214号“住房城乡建设部、工商总局关于印发建设工程施工合同（示范文本）的通知”附件《建设工程施工合同（示范文本）（GF-2017-0201）第三部分“专用合同条款”的格式与内容确定，除</w:t>
      </w:r>
      <w:r>
        <w:rPr>
          <w:rFonts w:hint="eastAsia" w:ascii="宋体" w:hAnsi="宋体"/>
          <w:color w:val="auto"/>
          <w:kern w:val="0"/>
          <w:sz w:val="24"/>
          <w:szCs w:val="24"/>
          <w:highlight w:val="none"/>
          <w:lang w:val="en-US" w:eastAsia="zh-CN"/>
        </w:rPr>
        <w:t>发包人</w:t>
      </w:r>
      <w:r>
        <w:rPr>
          <w:rFonts w:hint="eastAsia" w:ascii="宋体" w:hAnsi="宋体"/>
          <w:color w:val="auto"/>
          <w:kern w:val="0"/>
          <w:sz w:val="24"/>
          <w:szCs w:val="24"/>
          <w:highlight w:val="none"/>
        </w:rPr>
        <w:t>和</w:t>
      </w:r>
      <w:r>
        <w:rPr>
          <w:rFonts w:hint="eastAsia" w:ascii="宋体" w:hAnsi="宋体"/>
          <w:color w:val="auto"/>
          <w:kern w:val="0"/>
          <w:sz w:val="24"/>
          <w:szCs w:val="24"/>
          <w:highlight w:val="none"/>
          <w:lang w:val="en-US" w:eastAsia="zh-CN"/>
        </w:rPr>
        <w:t>承包</w:t>
      </w:r>
      <w:r>
        <w:rPr>
          <w:rFonts w:hint="eastAsia" w:ascii="宋体" w:hAnsi="宋体"/>
          <w:color w:val="auto"/>
          <w:kern w:val="0"/>
          <w:sz w:val="24"/>
          <w:szCs w:val="24"/>
          <w:highlight w:val="none"/>
        </w:rPr>
        <w:t>人在合同谈判期间有补充约定外，本合同的专用合同条款按以下条款执行。</w:t>
      </w:r>
    </w:p>
    <w:p w14:paraId="625746AE">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 一般约定</w:t>
      </w:r>
      <w:bookmarkEnd w:id="396"/>
    </w:p>
    <w:p w14:paraId="282F404F">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 xml:space="preserve">1.3 法律 </w:t>
      </w:r>
    </w:p>
    <w:p w14:paraId="1A22E4A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适用于合同的其他规范性文件：浙江省、宁波市有关工程建设的法规、规章及规范性文件。</w:t>
      </w:r>
    </w:p>
    <w:p w14:paraId="7DA3C284">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1.4 标准和规范</w:t>
      </w:r>
    </w:p>
    <w:p w14:paraId="51D1632A">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1.4.1适用于工程的标准规范包括：浙江省、宁波市工程建设相关的施工及验收规范和标准</w:t>
      </w:r>
      <w:r>
        <w:rPr>
          <w:rFonts w:hint="eastAsia" w:ascii="宋体" w:hAnsi="宋体" w:cs="宋体"/>
          <w:color w:val="auto"/>
          <w:sz w:val="24"/>
          <w:szCs w:val="24"/>
          <w:highlight w:val="none"/>
          <w:lang w:eastAsia="zh-CN"/>
        </w:rPr>
        <w:t>，在合同签署生效后，如果上述标准规范及文件作了修改或颁布实施新的规范标准，则承包人应遵守上述修改后或颁布的规范标准</w:t>
      </w:r>
      <w:r>
        <w:rPr>
          <w:rFonts w:hint="eastAsia" w:ascii="宋体" w:hAnsi="宋体" w:cs="宋体"/>
          <w:color w:val="auto"/>
          <w:sz w:val="24"/>
          <w:szCs w:val="24"/>
          <w:highlight w:val="none"/>
        </w:rPr>
        <w:t>。</w:t>
      </w:r>
    </w:p>
    <w:p w14:paraId="561A4A25">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1.5 合同文件的优先顺序</w:t>
      </w:r>
    </w:p>
    <w:p w14:paraId="33EDF3F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合同文件的优先解释顺序执行通用条款。</w:t>
      </w:r>
    </w:p>
    <w:p w14:paraId="4753D96E">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1.6 图纸和承包人文件</w:t>
      </w:r>
      <w:r>
        <w:rPr>
          <w:rFonts w:hint="eastAsia" w:hAnsi="宋体" w:cs="宋体"/>
          <w:color w:val="auto"/>
          <w:sz w:val="24"/>
          <w:szCs w:val="24"/>
          <w:highlight w:val="none"/>
        </w:rPr>
        <w:tab/>
      </w:r>
    </w:p>
    <w:p w14:paraId="452A04C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1.6.1图纸的提供</w:t>
      </w:r>
    </w:p>
    <w:p w14:paraId="1D849226">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s="宋体"/>
          <w:color w:val="auto"/>
          <w:sz w:val="24"/>
          <w:szCs w:val="24"/>
          <w:highlight w:val="none"/>
          <w:lang w:val="en-US" w:eastAsia="zh-CN"/>
        </w:rPr>
        <w:t>项目开工前7天内</w:t>
      </w:r>
      <w:r>
        <w:rPr>
          <w:rFonts w:hint="eastAsia" w:ascii="宋体" w:hAnsi="宋体" w:cs="宋体"/>
          <w:color w:val="auto"/>
          <w:sz w:val="24"/>
          <w:szCs w:val="24"/>
          <w:highlight w:val="none"/>
        </w:rPr>
        <w:t>；</w:t>
      </w:r>
    </w:p>
    <w:p w14:paraId="197208A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发包人向承包人提供图纸的数量：一式五套；</w:t>
      </w:r>
    </w:p>
    <w:p w14:paraId="0BF10F6A">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发包人向承包人提供图纸的内容：工程承包范围内的各专业工程。</w:t>
      </w:r>
    </w:p>
    <w:p w14:paraId="0C59532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1.6.4 承包人文件</w:t>
      </w:r>
    </w:p>
    <w:p w14:paraId="3DAFA6D7">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需要由承包人提供的文件，包括：施工组织设计、工程进度计划、专项施工方案、加工图、大样图、协调配合图等；</w:t>
      </w:r>
    </w:p>
    <w:p w14:paraId="3CD8A90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承包人提供的文件的期限为：施工组织设计、工程进度计划在工程开工前7天，其他文件在相应专项工程或部位施工前7天；</w:t>
      </w:r>
    </w:p>
    <w:p w14:paraId="76EFE453">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承包人提供的文件的数量为：一式五套；</w:t>
      </w:r>
    </w:p>
    <w:p w14:paraId="0EE99F1A">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1.6.5 现场图纸准备</w:t>
      </w:r>
    </w:p>
    <w:p w14:paraId="6D0FBA5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关于现场图纸准备的约定：承包人在施工现场保存至少一套完整的图纸和承包人文件。</w:t>
      </w:r>
    </w:p>
    <w:p w14:paraId="258D4FA6">
      <w:pPr>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1.7联络</w:t>
      </w:r>
    </w:p>
    <w:p w14:paraId="3AE2DD2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1.7.1发包人和承包人应当在通用条款规定的时间内将与合同有关的通知、批准、证明、证书、指示、指令、要求、请求、同意、意见、确定和决定等书面函件送达对方当事人。</w:t>
      </w:r>
    </w:p>
    <w:p w14:paraId="72000E3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1.7.2发包人接收文件的地点：</w:t>
      </w:r>
      <w:r>
        <w:rPr>
          <w:rFonts w:hint="eastAsia" w:ascii="宋体" w:hAnsi="宋体" w:cs="宋体"/>
          <w:color w:val="auto"/>
          <w:sz w:val="24"/>
          <w:szCs w:val="24"/>
          <w:highlight w:val="none"/>
          <w:u w:val="single"/>
        </w:rPr>
        <w:t>发包人驻项目办公所在地</w:t>
      </w:r>
      <w:r>
        <w:rPr>
          <w:rFonts w:hint="eastAsia" w:ascii="宋体" w:hAnsi="宋体" w:cs="宋体"/>
          <w:color w:val="auto"/>
          <w:sz w:val="24"/>
          <w:szCs w:val="24"/>
          <w:highlight w:val="none"/>
        </w:rPr>
        <w:t>；</w:t>
      </w:r>
    </w:p>
    <w:p w14:paraId="38C945B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发包人指定的接收人为：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0FD82D7">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承包人接收文件的地点：</w:t>
      </w:r>
      <w:r>
        <w:rPr>
          <w:rFonts w:hint="eastAsia" w:ascii="宋体" w:hAnsi="宋体" w:cs="宋体"/>
          <w:color w:val="auto"/>
          <w:sz w:val="24"/>
          <w:szCs w:val="24"/>
          <w:highlight w:val="none"/>
          <w:u w:val="single"/>
        </w:rPr>
        <w:t>承包人驻项目办公所在地</w:t>
      </w:r>
      <w:r>
        <w:rPr>
          <w:rFonts w:hint="eastAsia" w:ascii="宋体" w:hAnsi="宋体" w:cs="宋体"/>
          <w:color w:val="auto"/>
          <w:sz w:val="24"/>
          <w:szCs w:val="24"/>
          <w:highlight w:val="none"/>
        </w:rPr>
        <w:t>；</w:t>
      </w:r>
    </w:p>
    <w:p w14:paraId="3DC0BCC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承包人指定的接收人为：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7A5EF3">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监理人接收文件的地点：</w:t>
      </w:r>
      <w:r>
        <w:rPr>
          <w:rFonts w:hint="eastAsia" w:ascii="宋体" w:hAnsi="宋体" w:cs="宋体"/>
          <w:color w:val="auto"/>
          <w:sz w:val="24"/>
          <w:szCs w:val="24"/>
          <w:highlight w:val="none"/>
          <w:u w:val="single"/>
        </w:rPr>
        <w:t>承包人驻项目办公所在地</w:t>
      </w:r>
      <w:r>
        <w:rPr>
          <w:rFonts w:hint="eastAsia" w:ascii="宋体" w:hAnsi="宋体" w:cs="宋体"/>
          <w:color w:val="auto"/>
          <w:sz w:val="24"/>
          <w:szCs w:val="24"/>
          <w:highlight w:val="none"/>
        </w:rPr>
        <w:t>；</w:t>
      </w:r>
    </w:p>
    <w:p w14:paraId="66A34CD2">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监理人指定的接收人为：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C0F134">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1.10 交通运输</w:t>
      </w:r>
    </w:p>
    <w:p w14:paraId="6B24E8E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1.10.1 出入现场的权利：执行通用条款。</w:t>
      </w:r>
    </w:p>
    <w:p w14:paraId="5FEE4CE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1.10.3 关于场外交通和场内交通边界的约定：</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38B2D06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1.10.4 超大件和超重件的运输</w:t>
      </w:r>
    </w:p>
    <w:p w14:paraId="6602771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hAnsi="宋体" w:cs="宋体"/>
          <w:color w:val="auto"/>
          <w:sz w:val="24"/>
          <w:szCs w:val="24"/>
          <w:highlight w:val="none"/>
          <w:u w:val="single"/>
        </w:rPr>
        <w:t>承包人</w:t>
      </w:r>
      <w:r>
        <w:rPr>
          <w:rFonts w:hint="eastAsia" w:ascii="宋体" w:hAnsi="宋体" w:cs="宋体"/>
          <w:color w:val="auto"/>
          <w:sz w:val="24"/>
          <w:szCs w:val="24"/>
          <w:highlight w:val="none"/>
        </w:rPr>
        <w:t xml:space="preserve">承担。 </w:t>
      </w:r>
    </w:p>
    <w:p w14:paraId="3888728E">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1.11 知识产权</w:t>
      </w:r>
    </w:p>
    <w:p w14:paraId="4A112AD4">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关于本合同的知识产权、使用及使用费用约定：执行通用条款。</w:t>
      </w:r>
    </w:p>
    <w:p w14:paraId="62C26F4F">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1.13工程量清单错误的修正</w:t>
      </w:r>
    </w:p>
    <w:p w14:paraId="7D2F9BCA">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bookmarkStart w:id="397" w:name="_Toc364853225"/>
      <w:r>
        <w:rPr>
          <w:rFonts w:hint="eastAsia" w:ascii="宋体" w:hAnsi="宋体" w:cs="宋体"/>
          <w:color w:val="auto"/>
          <w:sz w:val="24"/>
          <w:szCs w:val="24"/>
          <w:highlight w:val="none"/>
        </w:rPr>
        <w:t>允许对下列工程量清单的错误进行调整：（1）工程量清单存在缺项、漏项；（2）任一招标工程量清单项目的工程量有偏差；（3）未按照国家现行计量规范强制性规定计量。</w:t>
      </w:r>
    </w:p>
    <w:p w14:paraId="5457D53E">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2. 发包人</w:t>
      </w:r>
      <w:bookmarkEnd w:id="397"/>
    </w:p>
    <w:p w14:paraId="1E15D9E6">
      <w:pPr>
        <w:pStyle w:val="68"/>
        <w:pageBreakBefore w:val="0"/>
        <w:widowControl w:val="0"/>
        <w:kinsoku/>
        <w:wordWrap/>
        <w:overflowPunct/>
        <w:topLinePunct w:val="0"/>
        <w:bidi w:val="0"/>
        <w:spacing w:line="360" w:lineRule="auto"/>
        <w:ind w:left="0" w:leftChars="0" w:right="0" w:rightChars="0" w:firstLine="458"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63E556B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发包人代表姓名：</w:t>
      </w:r>
      <w:r>
        <w:rPr>
          <w:rFonts w:hint="eastAsia" w:ascii="宋体" w:hAnsi="宋体" w:eastAsia="宋体" w:cs="宋体"/>
          <w:color w:val="auto"/>
          <w:sz w:val="24"/>
          <w:szCs w:val="24"/>
          <w:highlight w:val="none"/>
          <w:u w:val="single"/>
        </w:rPr>
        <w:t xml:space="preserve">                     </w:t>
      </w:r>
    </w:p>
    <w:p w14:paraId="02B146D8">
      <w:pPr>
        <w:pStyle w:val="68"/>
        <w:pageBreakBefore w:val="0"/>
        <w:widowControl w:val="0"/>
        <w:kinsoku/>
        <w:wordWrap/>
        <w:overflowPunct/>
        <w:topLinePunct w:val="0"/>
        <w:bidi w:val="0"/>
        <w:spacing w:line="360" w:lineRule="auto"/>
        <w:ind w:left="0" w:leftChars="0" w:right="0" w:rightChars="0" w:firstLine="458" w:firstLineChars="19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0789602">
      <w:pPr>
        <w:pStyle w:val="68"/>
        <w:pageBreakBefore w:val="0"/>
        <w:widowControl w:val="0"/>
        <w:kinsoku/>
        <w:wordWrap/>
        <w:overflowPunct/>
        <w:topLinePunct w:val="0"/>
        <w:bidi w:val="0"/>
        <w:spacing w:line="360" w:lineRule="auto"/>
        <w:ind w:left="0" w:leftChars="0" w:right="0" w:rightChars="0" w:firstLine="458"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1FAE14DF">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609978AC">
      <w:pPr>
        <w:pStyle w:val="68"/>
        <w:pageBreakBefore w:val="0"/>
        <w:widowControl w:val="0"/>
        <w:kinsoku/>
        <w:wordWrap/>
        <w:overflowPunct/>
        <w:topLinePunct w:val="0"/>
        <w:bidi w:val="0"/>
        <w:spacing w:line="360" w:lineRule="auto"/>
        <w:ind w:left="0" w:leftChars="0" w:right="0" w:rightChars="0" w:firstLine="458"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47A8D03">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398" w:name="_Toc364853226"/>
      <w:r>
        <w:rPr>
          <w:rFonts w:hint="eastAsia" w:ascii="宋体" w:hAnsi="宋体" w:eastAsia="宋体" w:cs="宋体"/>
          <w:color w:val="auto"/>
          <w:sz w:val="24"/>
          <w:szCs w:val="24"/>
          <w:highlight w:val="none"/>
        </w:rPr>
        <w:t>按《宁波市房屋建筑和市政基础设施工程担保管理办法（试行）》规定，发包人</w:t>
      </w:r>
      <w:r>
        <w:rPr>
          <w:rFonts w:hint="eastAsia" w:ascii="宋体" w:hAnsi="宋体" w:eastAsia="宋体" w:cs="宋体"/>
          <w:color w:val="auto"/>
          <w:kern w:val="0"/>
          <w:sz w:val="24"/>
          <w:szCs w:val="24"/>
          <w:highlight w:val="none"/>
          <w:u w:val="single"/>
        </w:rPr>
        <w:t xml:space="preserve">不需 </w:t>
      </w:r>
      <w:r>
        <w:rPr>
          <w:rFonts w:hint="eastAsia" w:ascii="宋体" w:hAnsi="宋体" w:eastAsia="宋体" w:cs="宋体"/>
          <w:color w:val="auto"/>
          <w:sz w:val="24"/>
          <w:szCs w:val="24"/>
          <w:highlight w:val="none"/>
        </w:rPr>
        <w:t>向承包人提供合同款的支付担保。</w:t>
      </w:r>
    </w:p>
    <w:p w14:paraId="4563F023">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3. 承包人</w:t>
      </w:r>
      <w:bookmarkEnd w:id="398"/>
    </w:p>
    <w:p w14:paraId="76DD0B91">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3.1 承包人的一般义务</w:t>
      </w:r>
    </w:p>
    <w:p w14:paraId="0925D557">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承包人应在具备竣工验收合格条件后2个月内按宁波市奉化区城建档案归档要求向发包人提交竣工资料，至少包括纸质及电子资料各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套，为此产生的费用由承包人承担。</w:t>
      </w:r>
    </w:p>
    <w:p w14:paraId="1ADFFAAF">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（10）承包人应履行的其他义务：严格执行建筑节能相关法律法规，在施工过程中资源，杜绝浪费。</w:t>
      </w:r>
    </w:p>
    <w:p w14:paraId="3499A1B3">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（11）自行解决因采取施工措施须借用的红线外临时用地。承包人在退还周边配套项目</w:t>
      </w:r>
      <w:r>
        <w:rPr>
          <w:rFonts w:hint="eastAsia" w:ascii="宋体" w:hAnsi="宋体" w:cs="宋体"/>
          <w:color w:val="auto"/>
          <w:sz w:val="24"/>
          <w:szCs w:val="24"/>
          <w:highlight w:val="none"/>
          <w:lang w:val="en-US" w:eastAsia="zh-CN"/>
        </w:rPr>
        <w:t>使</w:t>
      </w:r>
      <w:r>
        <w:rPr>
          <w:rFonts w:hint="eastAsia" w:ascii="宋体" w:hAnsi="宋体" w:cs="宋体"/>
          <w:color w:val="auto"/>
          <w:sz w:val="24"/>
          <w:szCs w:val="24"/>
          <w:highlight w:val="none"/>
        </w:rPr>
        <w:t>用过的临时用地前应恢复该临时用地原有的使用功能，如因承包人撤离前未按要求进行恢复或未达到使用标准，将由发包人委托第三方对其进行恢复,所产生的费用将从应付给承包人的任何款项中扣除。</w:t>
      </w:r>
    </w:p>
    <w:p w14:paraId="4A5380F0">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（12）承包人在实际开工前向监理人提供有关人员的上岗证及有关设备的年检合格证</w:t>
      </w:r>
      <w:r>
        <w:rPr>
          <w:rFonts w:hint="eastAsia" w:ascii="宋体" w:hAnsi="宋体" w:cs="宋体"/>
          <w:color w:val="auto"/>
          <w:sz w:val="24"/>
          <w:szCs w:val="24"/>
          <w:highlight w:val="none"/>
          <w:lang w:eastAsia="zh-CN"/>
        </w:rPr>
        <w:t>。</w:t>
      </w:r>
    </w:p>
    <w:p w14:paraId="047E2FE2">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（13）承包人应根据工程实际情况配备供电设备，费用已包含在合同价</w:t>
      </w:r>
      <w:r>
        <w:rPr>
          <w:rFonts w:hint="eastAsia" w:ascii="宋体" w:hAnsi="宋体" w:cs="宋体"/>
          <w:color w:val="auto"/>
          <w:sz w:val="24"/>
          <w:szCs w:val="24"/>
          <w:highlight w:val="none"/>
          <w:lang w:val="en-US" w:eastAsia="zh-CN"/>
        </w:rPr>
        <w:t>款</w:t>
      </w:r>
      <w:r>
        <w:rPr>
          <w:rFonts w:hint="eastAsia" w:ascii="宋体" w:hAnsi="宋体" w:cs="宋体"/>
          <w:color w:val="auto"/>
          <w:sz w:val="24"/>
          <w:szCs w:val="24"/>
          <w:highlight w:val="none"/>
        </w:rPr>
        <w:t>中，不得因停电影响施工。水、电装表由承包人负责，费用已包含在合同价</w:t>
      </w:r>
      <w:r>
        <w:rPr>
          <w:rFonts w:hint="eastAsia" w:ascii="宋体" w:hAnsi="宋体" w:cs="宋体"/>
          <w:color w:val="auto"/>
          <w:sz w:val="24"/>
          <w:szCs w:val="24"/>
          <w:highlight w:val="none"/>
          <w:lang w:val="en-US" w:eastAsia="zh-CN"/>
        </w:rPr>
        <w:t>款</w:t>
      </w:r>
      <w:r>
        <w:rPr>
          <w:rFonts w:hint="eastAsia" w:ascii="宋体" w:hAnsi="宋体" w:cs="宋体"/>
          <w:color w:val="auto"/>
          <w:sz w:val="24"/>
          <w:szCs w:val="24"/>
          <w:highlight w:val="none"/>
        </w:rPr>
        <w:t>中，电讯设备由承包人自行解决，费用由承包人自理，施工期间的用水、用电的日常管理与费用由承包人自行负责。前述用水、用电发生的设备采购及安装费、相应材料费、材料设备折旧费等费用由承包人自理，发包人不另行支付，设备材料的产权归承包人，使用过程中的保管、安全等费用由承包人自行负责，与发包人无涉。承包人应充分考虑工程进度，注意维护相关设备，不得因停水、停电影响施工。</w:t>
      </w:r>
    </w:p>
    <w:p w14:paraId="078F184A">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（14）承包人应协调并处理好与工程所在地地方政府、附近有关单位、附近居民的关系，做好与周边和谐共建工作。</w:t>
      </w:r>
    </w:p>
    <w:p w14:paraId="734A2C79">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（15）涉及周边地块开发，应妥善处理好与相应主管部门的关系，事先与相关主管部门协调，妥善处理因工程交叉、衔接规划等因素所引起的干扰问题</w:t>
      </w:r>
    </w:p>
    <w:p w14:paraId="222502E3">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）在施工过程中与公安、市政、环保、排污排水、交通、治安、绿化、卫生、工程所在地相关部门方面的关系由承包人自己处理并承担相应的费用。</w:t>
      </w:r>
    </w:p>
    <w:p w14:paraId="58CBB520">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）承包人须无条件配合发包人和上级部门对本项目的各项检查落实工作。</w:t>
      </w:r>
    </w:p>
    <w:p w14:paraId="49E240A8">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）承包人在竣工验收前现场应达到以下要求：多余材料、半成品、自有设备撤离现场、所有临时设施全部拆除，并清理完毕，费用由承包人自理。</w:t>
      </w:r>
    </w:p>
    <w:p w14:paraId="3C6D638C">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（19）承包人提供的办公和生活房屋及设施应满足发包人、项目管理和监理人有关人员的工作需要，费用包含在合同价款中（包括办公用设施、电话、网络资源及空调，由承包人负责实施）。</w:t>
      </w:r>
    </w:p>
    <w:p w14:paraId="2B294458">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（20）保证施工现场清洁符合环境卫生管理的有关规定。</w:t>
      </w:r>
    </w:p>
    <w:p w14:paraId="468AD6ED">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rPr>
      </w:pPr>
      <w:r>
        <w:rPr>
          <w:rFonts w:hint="eastAsia" w:hAnsi="宋体" w:cs="宋体"/>
          <w:color w:val="auto"/>
          <w:sz w:val="24"/>
          <w:szCs w:val="24"/>
          <w:highlight w:val="none"/>
        </w:rPr>
        <w:t>3.2 项目经理</w:t>
      </w:r>
    </w:p>
    <w:p w14:paraId="5716B379">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u w:val="single"/>
        </w:rPr>
      </w:pPr>
      <w:r>
        <w:rPr>
          <w:rFonts w:hint="eastAsia" w:hAnsi="宋体" w:cs="宋体"/>
          <w:color w:val="auto"/>
          <w:sz w:val="24"/>
          <w:szCs w:val="24"/>
          <w:highlight w:val="none"/>
        </w:rPr>
        <w:t>项目经理姓名：</w:t>
      </w:r>
      <w:r>
        <w:rPr>
          <w:rFonts w:hint="eastAsia" w:hAnsi="宋体" w:cs="宋体"/>
          <w:color w:val="auto"/>
          <w:sz w:val="24"/>
          <w:szCs w:val="24"/>
          <w:highlight w:val="none"/>
          <w:u w:val="single"/>
        </w:rPr>
        <w:t xml:space="preserve">                      </w:t>
      </w:r>
    </w:p>
    <w:p w14:paraId="7C4D66EB">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u w:val="single"/>
        </w:rPr>
      </w:pPr>
      <w:r>
        <w:rPr>
          <w:rFonts w:hint="eastAsia" w:hAnsi="宋体" w:cs="宋体"/>
          <w:color w:val="auto"/>
          <w:sz w:val="24"/>
          <w:szCs w:val="24"/>
          <w:highlight w:val="none"/>
        </w:rPr>
        <w:t>身份证号码：</w:t>
      </w:r>
      <w:r>
        <w:rPr>
          <w:rFonts w:hint="eastAsia" w:hAnsi="宋体" w:cs="宋体"/>
          <w:color w:val="auto"/>
          <w:sz w:val="24"/>
          <w:szCs w:val="24"/>
          <w:highlight w:val="none"/>
          <w:u w:val="single"/>
        </w:rPr>
        <w:t xml:space="preserve">                      </w:t>
      </w:r>
    </w:p>
    <w:p w14:paraId="77C98E59">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u w:val="single"/>
        </w:rPr>
      </w:pPr>
      <w:r>
        <w:rPr>
          <w:rFonts w:hint="eastAsia" w:hAnsi="宋体" w:cs="宋体"/>
          <w:color w:val="auto"/>
          <w:sz w:val="24"/>
          <w:szCs w:val="24"/>
          <w:highlight w:val="none"/>
        </w:rPr>
        <w:t>联系电话：</w:t>
      </w:r>
      <w:r>
        <w:rPr>
          <w:rFonts w:hint="eastAsia" w:hAnsi="宋体" w:cs="宋体"/>
          <w:color w:val="auto"/>
          <w:sz w:val="24"/>
          <w:szCs w:val="24"/>
          <w:highlight w:val="none"/>
          <w:u w:val="single"/>
        </w:rPr>
        <w:t xml:space="preserve">                       </w:t>
      </w:r>
    </w:p>
    <w:p w14:paraId="554223AC">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u w:val="single"/>
        </w:rPr>
      </w:pPr>
      <w:r>
        <w:rPr>
          <w:rFonts w:hint="eastAsia" w:hAnsi="宋体" w:cs="宋体"/>
          <w:color w:val="auto"/>
          <w:sz w:val="24"/>
          <w:szCs w:val="24"/>
          <w:highlight w:val="none"/>
        </w:rPr>
        <w:t>安全员姓名：</w:t>
      </w:r>
      <w:r>
        <w:rPr>
          <w:rFonts w:hint="eastAsia" w:hAnsi="宋体" w:cs="宋体"/>
          <w:color w:val="auto"/>
          <w:sz w:val="24"/>
          <w:szCs w:val="24"/>
          <w:highlight w:val="none"/>
          <w:u w:val="single"/>
        </w:rPr>
        <w:t xml:space="preserve">                      </w:t>
      </w:r>
    </w:p>
    <w:p w14:paraId="6F58787B">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u w:val="single"/>
        </w:rPr>
      </w:pPr>
      <w:r>
        <w:rPr>
          <w:rFonts w:hint="eastAsia" w:hAnsi="宋体" w:cs="宋体"/>
          <w:color w:val="auto"/>
          <w:sz w:val="24"/>
          <w:szCs w:val="24"/>
          <w:highlight w:val="none"/>
        </w:rPr>
        <w:t>身份证号码：</w:t>
      </w:r>
      <w:r>
        <w:rPr>
          <w:rFonts w:hint="eastAsia" w:hAnsi="宋体" w:cs="宋体"/>
          <w:color w:val="auto"/>
          <w:sz w:val="24"/>
          <w:szCs w:val="24"/>
          <w:highlight w:val="none"/>
          <w:u w:val="single"/>
        </w:rPr>
        <w:t xml:space="preserve">                      </w:t>
      </w:r>
    </w:p>
    <w:p w14:paraId="36573CC1">
      <w:pPr>
        <w:pStyle w:val="68"/>
        <w:pageBreakBefore w:val="0"/>
        <w:widowControl w:val="0"/>
        <w:kinsoku/>
        <w:wordWrap/>
        <w:overflowPunct/>
        <w:topLinePunct w:val="0"/>
        <w:bidi w:val="0"/>
        <w:spacing w:line="360" w:lineRule="auto"/>
        <w:ind w:left="0" w:leftChars="0" w:right="0" w:rightChars="0" w:firstLine="455" w:firstLineChars="189"/>
        <w:textAlignment w:val="auto"/>
        <w:rPr>
          <w:rFonts w:hAnsi="宋体" w:cs="宋体"/>
          <w:color w:val="auto"/>
          <w:sz w:val="24"/>
          <w:szCs w:val="24"/>
          <w:highlight w:val="none"/>
        </w:rPr>
      </w:pPr>
      <w:r>
        <w:rPr>
          <w:rFonts w:hint="eastAsia" w:hAnsi="宋体" w:cs="宋体"/>
          <w:color w:val="auto"/>
          <w:sz w:val="24"/>
          <w:szCs w:val="24"/>
          <w:highlight w:val="none"/>
        </w:rPr>
        <w:t>联系电话：</w:t>
      </w:r>
      <w:r>
        <w:rPr>
          <w:rFonts w:hint="eastAsia" w:hAnsi="宋体" w:cs="宋体"/>
          <w:color w:val="auto"/>
          <w:sz w:val="24"/>
          <w:szCs w:val="24"/>
          <w:highlight w:val="none"/>
          <w:u w:val="single"/>
        </w:rPr>
        <w:t xml:space="preserve">                        </w:t>
      </w:r>
    </w:p>
    <w:p w14:paraId="3115D0DB">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3.2.1承包人委派的项目</w:t>
      </w:r>
      <w:r>
        <w:rPr>
          <w:rFonts w:hint="eastAsia" w:ascii="宋体" w:hAnsi="宋体" w:cs="宋体"/>
          <w:color w:val="auto"/>
          <w:sz w:val="24"/>
          <w:szCs w:val="24"/>
          <w:highlight w:val="none"/>
        </w:rPr>
        <w:t>经理</w:t>
      </w:r>
      <w:r>
        <w:rPr>
          <w:rFonts w:hint="eastAsia" w:ascii="宋体" w:hAnsi="宋体" w:cs="宋体"/>
          <w:color w:val="auto"/>
          <w:kern w:val="0"/>
          <w:sz w:val="24"/>
          <w:szCs w:val="24"/>
          <w:highlight w:val="none"/>
        </w:rPr>
        <w:t>及其执业行为应遵守通用条款约定，违反约定的，按本专用条款约定，承担违约责任。</w:t>
      </w:r>
    </w:p>
    <w:p w14:paraId="667D4445">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34AE4C0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（2）承包人对项目经理的授权范围如下：在承</w:t>
      </w:r>
      <w:r>
        <w:rPr>
          <w:rFonts w:hint="eastAsia" w:ascii="宋体" w:hAnsi="宋体" w:cs="宋体"/>
          <w:color w:val="auto"/>
          <w:kern w:val="0"/>
          <w:sz w:val="24"/>
          <w:szCs w:val="24"/>
          <w:highlight w:val="none"/>
        </w:rPr>
        <w:t>包人授权范围内履行承包人的职权，对工程建设的质量、安全、工期以及工程造价控制负责，所有上报给发包人的文件均需项目经理签字。</w:t>
      </w:r>
    </w:p>
    <w:p w14:paraId="72BFB6C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（3）承包人未提交劳动合同，以及没有为项目经理缴纳社会保险证明的违约责任：发包人有权解除合同，由此造成的费用增加和工期延误损失均由承包人承担。</w:t>
      </w:r>
    </w:p>
    <w:p w14:paraId="7FC29EDC">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（4）关于项目经理每月在施工现场的时间要求：每月在施工现场时间不得少于</w:t>
      </w:r>
      <w:r>
        <w:rPr>
          <w:rFonts w:hint="eastAsia" w:ascii="宋体" w:hAnsi="宋体" w:cs="宋体"/>
          <w:color w:val="auto"/>
          <w:kern w:val="0"/>
          <w:sz w:val="24"/>
          <w:szCs w:val="24"/>
          <w:highlight w:val="none"/>
          <w:u w:val="single"/>
        </w:rPr>
        <w:t xml:space="preserve"> 25</w:t>
      </w:r>
      <w:r>
        <w:rPr>
          <w:rFonts w:hint="eastAsia" w:ascii="宋体" w:hAnsi="宋体" w:cs="宋体"/>
          <w:color w:val="auto"/>
          <w:kern w:val="0"/>
          <w:sz w:val="24"/>
          <w:szCs w:val="24"/>
          <w:highlight w:val="none"/>
        </w:rPr>
        <w:t>天，每天工作时间不得少于</w:t>
      </w:r>
      <w:r>
        <w:rPr>
          <w:rFonts w:hint="eastAsia" w:ascii="宋体" w:hAnsi="宋体" w:cs="宋体"/>
          <w:color w:val="auto"/>
          <w:kern w:val="0"/>
          <w:sz w:val="24"/>
          <w:szCs w:val="24"/>
          <w:highlight w:val="none"/>
          <w:u w:val="single"/>
        </w:rPr>
        <w:t xml:space="preserve"> 8 </w:t>
      </w:r>
      <w:r>
        <w:rPr>
          <w:rFonts w:hint="eastAsia" w:ascii="宋体" w:hAnsi="宋体" w:cs="宋体"/>
          <w:color w:val="auto"/>
          <w:kern w:val="0"/>
          <w:sz w:val="24"/>
          <w:szCs w:val="24"/>
          <w:highlight w:val="none"/>
        </w:rPr>
        <w:t>小时，且重要工程例会及验收环节等必须由项目经理参加</w:t>
      </w:r>
      <w:r>
        <w:rPr>
          <w:rFonts w:hint="eastAsia" w:ascii="宋体" w:hAnsi="宋体" w:cs="宋体"/>
          <w:color w:val="auto"/>
          <w:kern w:val="0"/>
          <w:sz w:val="24"/>
          <w:szCs w:val="24"/>
          <w:highlight w:val="none"/>
          <w:lang w:eastAsia="zh-CN"/>
        </w:rPr>
        <w:t>，否则发包人有权按缺勤处理。每少一天处违约金</w:t>
      </w:r>
      <w:r>
        <w:rPr>
          <w:rFonts w:hint="eastAsia" w:ascii="宋体" w:hAnsi="宋体" w:cs="宋体"/>
          <w:color w:val="auto"/>
          <w:kern w:val="0"/>
          <w:sz w:val="24"/>
          <w:szCs w:val="24"/>
          <w:highlight w:val="none"/>
          <w:u w:val="single"/>
          <w:lang w:eastAsia="zh-CN"/>
        </w:rPr>
        <w:t xml:space="preserve"> </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eastAsia="zh-CN"/>
        </w:rPr>
        <w:t xml:space="preserve">000 </w:t>
      </w:r>
      <w:r>
        <w:rPr>
          <w:rFonts w:hint="eastAsia" w:ascii="宋体" w:hAnsi="宋体" w:cs="宋体"/>
          <w:color w:val="auto"/>
          <w:kern w:val="0"/>
          <w:sz w:val="24"/>
          <w:szCs w:val="24"/>
          <w:highlight w:val="none"/>
          <w:lang w:eastAsia="zh-CN"/>
        </w:rPr>
        <w:t>元。重要会议未参加的，按</w:t>
      </w:r>
      <w:r>
        <w:rPr>
          <w:rFonts w:hint="eastAsia" w:ascii="宋体" w:hAnsi="宋体" w:cs="宋体"/>
          <w:color w:val="auto"/>
          <w:kern w:val="0"/>
          <w:sz w:val="24"/>
          <w:szCs w:val="24"/>
          <w:highlight w:val="none"/>
          <w:u w:val="single"/>
          <w:lang w:eastAsia="zh-CN"/>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lang w:eastAsia="zh-CN"/>
        </w:rPr>
        <w:t xml:space="preserve">000 </w:t>
      </w:r>
      <w:r>
        <w:rPr>
          <w:rFonts w:hint="eastAsia" w:ascii="宋体" w:hAnsi="宋体" w:cs="宋体"/>
          <w:color w:val="auto"/>
          <w:kern w:val="0"/>
          <w:sz w:val="24"/>
          <w:szCs w:val="24"/>
          <w:highlight w:val="none"/>
          <w:lang w:eastAsia="zh-CN"/>
        </w:rPr>
        <w:t>元/次进行处罚。</w:t>
      </w:r>
    </w:p>
    <w:p w14:paraId="21A3A9F9">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违约金从“未履行项目经理及主要施工管理人员到场承诺限额”中扣除，该项限额不足时，发包人有权向承包人追偿。</w:t>
      </w:r>
    </w:p>
    <w:p w14:paraId="1128C04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（5）项目经理未经批准，擅自离开施工现场的违约责任：处违约金</w:t>
      </w:r>
      <w:r>
        <w:rPr>
          <w:rFonts w:hint="eastAsia" w:ascii="宋体" w:hAnsi="宋体" w:cs="宋体"/>
          <w:color w:val="auto"/>
          <w:kern w:val="0"/>
          <w:sz w:val="24"/>
          <w:szCs w:val="24"/>
          <w:highlight w:val="none"/>
          <w:u w:val="single"/>
        </w:rPr>
        <w:t>1000</w:t>
      </w:r>
      <w:r>
        <w:rPr>
          <w:rFonts w:hint="eastAsia" w:ascii="宋体" w:hAnsi="宋体" w:cs="宋体"/>
          <w:color w:val="auto"/>
          <w:kern w:val="0"/>
          <w:sz w:val="24"/>
          <w:szCs w:val="24"/>
          <w:highlight w:val="none"/>
        </w:rPr>
        <w:t>元/次，违约金从前附表中承诺的“未履行项目经理及主要施工管理人员到场承诺违约金限额”中扣除，该项限额不足时，发包人有权向承包人追偿。</w:t>
      </w:r>
    </w:p>
    <w:p w14:paraId="6DF08F72">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发包人对项目经理擅自离开施工现场的违约处理，应根据监理人对项目经理的考勤结果进行。</w:t>
      </w:r>
    </w:p>
    <w:p w14:paraId="6BB2085E">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3.2.3 承包人擅自更换项目经理的违约责任：处违约金</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rPr>
        <w:t xml:space="preserve">0000 </w:t>
      </w:r>
      <w:r>
        <w:rPr>
          <w:rFonts w:hint="eastAsia" w:ascii="宋体" w:hAnsi="宋体" w:cs="宋体"/>
          <w:color w:val="auto"/>
          <w:kern w:val="0"/>
          <w:sz w:val="24"/>
          <w:szCs w:val="24"/>
          <w:highlight w:val="none"/>
        </w:rPr>
        <w:t>元/次，违约金从前附表中承诺的“未履行项目经理及主要施工管理人员到场承诺违约金限额”中扣除，该项限额不足时，发包人有权向承包人追偿，且有权拒绝接受其擅自更换的项目经理。</w:t>
      </w:r>
    </w:p>
    <w:p w14:paraId="73AD3AD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7488047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3.3 承包人人员</w:t>
      </w:r>
    </w:p>
    <w:p w14:paraId="6713AE0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承包人应接到开工通知后7天内提交与</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时所承诺的人员一致的</w:t>
      </w:r>
      <w:r>
        <w:rPr>
          <w:rFonts w:hint="eastAsia" w:ascii="宋体" w:hAnsi="宋体" w:cs="宋体"/>
          <w:color w:val="auto"/>
          <w:kern w:val="0"/>
          <w:sz w:val="24"/>
          <w:szCs w:val="24"/>
          <w:highlight w:val="none"/>
        </w:rPr>
        <w:t>项目管理机构及施工现场管理人员安排报告。</w:t>
      </w:r>
    </w:p>
    <w:p w14:paraId="0BC67A9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19FA8AE4">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66F87882">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1912394B">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承包人主要施工管理人员擅自离开施工现场的违约责任：处违约金</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000元/人/次，违约金从前附表中承诺的“未履行项目经理及主要施工管理人员到场承诺违约金限额”中扣除，该项限额不足时，发包人有权向承包人追偿。</w:t>
      </w:r>
    </w:p>
    <w:p w14:paraId="79AFCC7F">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3.5 分包</w:t>
      </w:r>
    </w:p>
    <w:p w14:paraId="02144F11">
      <w:pPr>
        <w:pStyle w:val="68"/>
        <w:pageBreakBefore w:val="0"/>
        <w:widowControl w:val="0"/>
        <w:kinsoku/>
        <w:wordWrap/>
        <w:overflowPunct/>
        <w:topLinePunct w:val="0"/>
        <w:bidi w:val="0"/>
        <w:spacing w:line="360" w:lineRule="auto"/>
        <w:ind w:left="0" w:leftChars="0" w:right="0" w:rightChars="0" w:firstLine="456" w:firstLineChars="190"/>
        <w:textAlignment w:val="auto"/>
        <w:rPr>
          <w:rFonts w:hAnsi="宋体" w:cs="宋体"/>
          <w:b w:val="0"/>
          <w:bCs/>
          <w:color w:val="auto"/>
          <w:kern w:val="0"/>
          <w:sz w:val="24"/>
          <w:szCs w:val="24"/>
          <w:highlight w:val="none"/>
        </w:rPr>
      </w:pPr>
      <w:r>
        <w:rPr>
          <w:rFonts w:hint="eastAsia" w:hAnsi="宋体" w:cs="宋体"/>
          <w:b w:val="0"/>
          <w:bCs/>
          <w:color w:val="auto"/>
          <w:kern w:val="0"/>
          <w:sz w:val="24"/>
          <w:szCs w:val="24"/>
          <w:highlight w:val="none"/>
        </w:rPr>
        <w:t>不允许。</w:t>
      </w:r>
    </w:p>
    <w:p w14:paraId="0D092E6A">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3.6 工程照管与成品、半成品保护</w:t>
      </w:r>
    </w:p>
    <w:p w14:paraId="061E49F6">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工程照管与成品、半成品保护有关约定：执行通用条款。</w:t>
      </w:r>
    </w:p>
    <w:p w14:paraId="6801ED65">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bookmarkStart w:id="399" w:name="_Toc364853227"/>
      <w:r>
        <w:rPr>
          <w:rFonts w:hint="eastAsia" w:hAnsi="宋体" w:cs="宋体"/>
          <w:color w:val="auto"/>
          <w:sz w:val="24"/>
          <w:szCs w:val="24"/>
          <w:highlight w:val="none"/>
        </w:rPr>
        <w:t>3.7 履约担保</w:t>
      </w:r>
    </w:p>
    <w:p w14:paraId="779E0663">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（1）承包人提供的履约担保形式为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(A</w:t>
      </w:r>
      <w:r>
        <w:rPr>
          <w:rFonts w:hint="eastAsia" w:ascii="宋体" w:hAnsi="宋体" w:cs="宋体"/>
          <w:color w:val="auto"/>
          <w:kern w:val="0"/>
          <w:sz w:val="24"/>
          <w:szCs w:val="24"/>
          <w:highlight w:val="none"/>
        </w:rPr>
        <w:t xml:space="preserve">、履约保证金电汇、/  </w:t>
      </w:r>
      <w:r>
        <w:rPr>
          <w:rFonts w:hint="eastAsia" w:ascii="宋体" w:hAnsi="宋体" w:cs="宋体"/>
          <w:color w:val="auto"/>
          <w:kern w:val="0"/>
          <w:sz w:val="24"/>
          <w:szCs w:val="24"/>
          <w:highlight w:val="none"/>
          <w:lang w:val="en-US" w:eastAsia="zh-CN"/>
        </w:rPr>
        <w:t>B</w:t>
      </w:r>
      <w:r>
        <w:rPr>
          <w:rFonts w:hint="eastAsia" w:ascii="宋体" w:hAnsi="宋体" w:cs="宋体"/>
          <w:color w:val="auto"/>
          <w:kern w:val="0"/>
          <w:sz w:val="24"/>
          <w:szCs w:val="24"/>
          <w:highlight w:val="none"/>
        </w:rPr>
        <w:t xml:space="preserve">、银行支票、/ </w:t>
      </w:r>
      <w:r>
        <w:rPr>
          <w:rFonts w:hint="eastAsia" w:ascii="宋体" w:hAnsi="宋体" w:cs="宋体"/>
          <w:color w:val="auto"/>
          <w:kern w:val="0"/>
          <w:sz w:val="24"/>
          <w:szCs w:val="24"/>
          <w:highlight w:val="none"/>
          <w:lang w:val="en-US" w:eastAsia="zh-CN"/>
        </w:rPr>
        <w:t>C</w:t>
      </w:r>
      <w:r>
        <w:rPr>
          <w:rFonts w:hint="eastAsia" w:ascii="宋体" w:hAnsi="宋体" w:cs="宋体"/>
          <w:color w:val="auto"/>
          <w:kern w:val="0"/>
          <w:sz w:val="24"/>
          <w:szCs w:val="24"/>
          <w:highlight w:val="none"/>
        </w:rPr>
        <w:t xml:space="preserve">、银行保函、/  </w:t>
      </w:r>
      <w:r>
        <w:rPr>
          <w:rFonts w:hint="eastAsia" w:ascii="宋体" w:hAnsi="宋体" w:cs="宋体"/>
          <w:color w:val="auto"/>
          <w:kern w:val="0"/>
          <w:sz w:val="24"/>
          <w:szCs w:val="24"/>
          <w:highlight w:val="none"/>
          <w:lang w:val="en-US" w:eastAsia="zh-CN"/>
        </w:rPr>
        <w:t>D</w:t>
      </w:r>
      <w:r>
        <w:rPr>
          <w:rFonts w:hint="eastAsia" w:ascii="宋体" w:hAnsi="宋体" w:cs="宋体"/>
          <w:color w:val="auto"/>
          <w:kern w:val="0"/>
          <w:sz w:val="24"/>
          <w:szCs w:val="24"/>
          <w:highlight w:val="none"/>
        </w:rPr>
        <w:t>、保险公司担保</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 xml:space="preserve">。                </w:t>
      </w:r>
    </w:p>
    <w:p w14:paraId="08F9D922">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①提供履约保证金的，承包人在签订合同的同时向发包人提交合同价款的</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%（即 元）的履约保证金；</w:t>
      </w:r>
    </w:p>
    <w:p w14:paraId="40FD327F">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（2）履约担保期限自合同生效之日起至发包人签认并由监理人向承包人出具工程接收证书之日止。</w:t>
      </w:r>
    </w:p>
    <w:p w14:paraId="2A149243">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63A4F47E">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履约保证金形式的</w:t>
      </w:r>
      <w:r>
        <w:rPr>
          <w:rFonts w:hint="eastAsia" w:ascii="宋体" w:hAnsi="宋体" w:cs="宋体"/>
          <w:color w:val="auto"/>
          <w:kern w:val="0"/>
          <w:sz w:val="24"/>
          <w:szCs w:val="24"/>
          <w:highlight w:val="none"/>
        </w:rPr>
        <w:t>履约担保在工程竣工验收合格后28天内予以退还。</w:t>
      </w:r>
    </w:p>
    <w:p w14:paraId="4A90908B">
      <w:pPr>
        <w:pStyle w:val="68"/>
        <w:pageBreakBefore w:val="0"/>
        <w:widowControl w:val="0"/>
        <w:kinsoku/>
        <w:wordWrap/>
        <w:overflowPunct/>
        <w:topLinePunct w:val="0"/>
        <w:bidi w:val="0"/>
        <w:spacing w:line="360" w:lineRule="auto"/>
        <w:ind w:left="0" w:leftChars="0" w:right="0" w:rightChars="0" w:firstLine="120" w:firstLineChars="50"/>
        <w:textAlignment w:val="auto"/>
        <w:rPr>
          <w:rFonts w:hAnsi="宋体" w:cs="宋体"/>
          <w:b w:val="0"/>
          <w:color w:val="auto"/>
          <w:kern w:val="0"/>
          <w:sz w:val="24"/>
          <w:szCs w:val="24"/>
          <w:highlight w:val="none"/>
        </w:rPr>
      </w:pPr>
      <w:r>
        <w:rPr>
          <w:rFonts w:hint="eastAsia" w:hAnsi="宋体" w:cs="宋体"/>
          <w:color w:val="auto"/>
          <w:sz w:val="24"/>
          <w:szCs w:val="24"/>
          <w:highlight w:val="none"/>
        </w:rPr>
        <w:t>4. 监理人</w:t>
      </w:r>
      <w:bookmarkEnd w:id="399"/>
    </w:p>
    <w:p w14:paraId="3DE21076">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4.1监理人的一般规定</w:t>
      </w:r>
    </w:p>
    <w:p w14:paraId="10C849FD">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关于监理人的监理内容：工程建设监理合同授予监理人的权利。</w:t>
      </w:r>
    </w:p>
    <w:p w14:paraId="4B83D0E2">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关于监理人的监理权限：涉及费用、工期、图纸更改等工程变更指令和付款、暂停工程施工指令的下达权需取得发包人书面批准方可执行。 </w:t>
      </w:r>
    </w:p>
    <w:p w14:paraId="44C1EFB5">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关于监理人在施工现场的办公场所、生活场所的提供和费用承担的约定：执行通用条款。</w:t>
      </w:r>
    </w:p>
    <w:p w14:paraId="44ECEA1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4.4 商定或确定</w:t>
      </w:r>
    </w:p>
    <w:p w14:paraId="68623B9F">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bookmarkStart w:id="400" w:name="_Toc364853228"/>
      <w:r>
        <w:rPr>
          <w:rFonts w:hint="eastAsia" w:ascii="宋体" w:hAnsi="宋体" w:cs="宋体"/>
          <w:color w:val="auto"/>
          <w:kern w:val="0"/>
          <w:sz w:val="24"/>
          <w:szCs w:val="24"/>
          <w:highlight w:val="none"/>
        </w:rPr>
        <w:t>当合同当事人对需要商定或确定的事项不能达成一致时，总监理工程师应按照合同约定作出公正确定，应在合同当事人会商之日起 7 天内提供书面确定意见。</w:t>
      </w:r>
    </w:p>
    <w:p w14:paraId="0F8E1C43">
      <w:pPr>
        <w:pageBreakBefore w:val="0"/>
        <w:widowControl w:val="0"/>
        <w:kinsoku/>
        <w:wordWrap/>
        <w:overflowPunct/>
        <w:topLinePunct w:val="0"/>
        <w:bidi w:val="0"/>
        <w:spacing w:line="360" w:lineRule="auto"/>
        <w:ind w:left="0" w:leftChars="0" w:right="0" w:rightChars="0" w:firstLine="118" w:firstLineChars="49"/>
        <w:textAlignment w:val="auto"/>
        <w:rPr>
          <w:rFonts w:ascii="宋体" w:hAnsi="宋体" w:cs="宋体"/>
          <w:b/>
          <w:color w:val="auto"/>
          <w:kern w:val="0"/>
          <w:sz w:val="24"/>
          <w:szCs w:val="24"/>
          <w:highlight w:val="none"/>
        </w:rPr>
      </w:pPr>
      <w:r>
        <w:rPr>
          <w:rFonts w:hint="eastAsia" w:ascii="宋体" w:hAnsi="宋体" w:cs="宋体"/>
          <w:b/>
          <w:color w:val="auto"/>
          <w:sz w:val="24"/>
          <w:szCs w:val="24"/>
          <w:highlight w:val="none"/>
        </w:rPr>
        <w:t>5. 工程质量</w:t>
      </w:r>
      <w:bookmarkEnd w:id="400"/>
    </w:p>
    <w:p w14:paraId="1D652AE8">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5.1 质量要求:</w:t>
      </w:r>
      <w:r>
        <w:rPr>
          <w:rFonts w:hint="eastAsia" w:ascii="宋体" w:hAnsi="宋体" w:cs="宋体"/>
          <w:color w:val="auto"/>
          <w:kern w:val="0"/>
          <w:sz w:val="24"/>
          <w:szCs w:val="24"/>
          <w:highlight w:val="none"/>
          <w:u w:val="single"/>
        </w:rPr>
        <w:t>达到国家和行业施工验收规范一次性验收合格</w:t>
      </w:r>
    </w:p>
    <w:p w14:paraId="344E8262">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5.1.1 特殊质量标准和要求：</w:t>
      </w:r>
      <w:r>
        <w:rPr>
          <w:rFonts w:hint="eastAsia" w:ascii="宋体" w:hAnsi="宋体" w:cs="宋体"/>
          <w:color w:val="auto"/>
          <w:kern w:val="0"/>
          <w:sz w:val="24"/>
          <w:szCs w:val="24"/>
          <w:highlight w:val="none"/>
          <w:u w:val="single"/>
        </w:rPr>
        <w:t xml:space="preserve">     无   </w:t>
      </w:r>
      <w:r>
        <w:rPr>
          <w:rFonts w:hint="eastAsia" w:ascii="宋体" w:hAnsi="宋体" w:cs="宋体"/>
          <w:color w:val="auto"/>
          <w:kern w:val="0"/>
          <w:sz w:val="24"/>
          <w:szCs w:val="24"/>
          <w:highlight w:val="none"/>
        </w:rPr>
        <w:t>。</w:t>
      </w:r>
    </w:p>
    <w:p w14:paraId="39429332">
      <w:pPr>
        <w:pStyle w:val="68"/>
        <w:pageBreakBefore w:val="0"/>
        <w:widowControl w:val="0"/>
        <w:kinsoku/>
        <w:wordWrap/>
        <w:overflowPunct/>
        <w:topLinePunct w:val="0"/>
        <w:bidi w:val="0"/>
        <w:spacing w:line="360" w:lineRule="auto"/>
        <w:ind w:left="0" w:leftChars="0" w:right="0" w:rightChars="0" w:firstLine="456" w:firstLineChars="190"/>
        <w:textAlignment w:val="auto"/>
        <w:rPr>
          <w:rFonts w:hAnsi="宋体" w:cs="宋体"/>
          <w:b w:val="0"/>
          <w:color w:val="auto"/>
          <w:sz w:val="24"/>
          <w:szCs w:val="24"/>
          <w:highlight w:val="none"/>
        </w:rPr>
      </w:pPr>
      <w:r>
        <w:rPr>
          <w:rFonts w:hint="eastAsia" w:hAnsi="宋体" w:cs="宋体"/>
          <w:b w:val="0"/>
          <w:color w:val="auto"/>
          <w:sz w:val="24"/>
          <w:szCs w:val="24"/>
          <w:highlight w:val="none"/>
        </w:rPr>
        <w:t>5.3 隐蔽工程检查</w:t>
      </w:r>
    </w:p>
    <w:p w14:paraId="38341D3C">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bookmarkStart w:id="401" w:name="_Toc364853229"/>
      <w:r>
        <w:rPr>
          <w:rFonts w:hint="eastAsia" w:ascii="宋体" w:hAnsi="宋体" w:cs="宋体"/>
          <w:color w:val="auto"/>
          <w:kern w:val="0"/>
          <w:sz w:val="24"/>
          <w:szCs w:val="24"/>
          <w:highlight w:val="none"/>
        </w:rPr>
        <w:t>5.3.2承包人提前通知监理人隐蔽工程检查的期限的约定：承包人应在共同检查前</w:t>
      </w:r>
      <w:r>
        <w:rPr>
          <w:rFonts w:hint="eastAsia" w:ascii="宋体" w:hAnsi="宋体" w:cs="宋体"/>
          <w:color w:val="auto"/>
          <w:kern w:val="0"/>
          <w:sz w:val="24"/>
          <w:szCs w:val="24"/>
          <w:highlight w:val="none"/>
          <w:u w:val="single"/>
        </w:rPr>
        <w:t xml:space="preserve">24 </w:t>
      </w:r>
      <w:r>
        <w:rPr>
          <w:rFonts w:hint="eastAsia" w:ascii="宋体" w:hAnsi="宋体" w:cs="宋体"/>
          <w:color w:val="auto"/>
          <w:kern w:val="0"/>
          <w:sz w:val="24"/>
          <w:szCs w:val="24"/>
          <w:highlight w:val="none"/>
        </w:rPr>
        <w:t>小时书面通知监理人检查。</w:t>
      </w:r>
    </w:p>
    <w:p w14:paraId="272FC142">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监理人不能按时进行检查时，应提前</w:t>
      </w:r>
      <w:r>
        <w:rPr>
          <w:rFonts w:hint="eastAsia" w:ascii="宋体" w:hAnsi="宋体" w:cs="宋体"/>
          <w:color w:val="auto"/>
          <w:kern w:val="0"/>
          <w:sz w:val="24"/>
          <w:szCs w:val="24"/>
          <w:highlight w:val="none"/>
          <w:u w:val="single"/>
        </w:rPr>
        <w:t xml:space="preserve">  24 </w:t>
      </w:r>
      <w:r>
        <w:rPr>
          <w:rFonts w:hint="eastAsia" w:ascii="宋体" w:hAnsi="宋体" w:cs="宋体"/>
          <w:color w:val="auto"/>
          <w:kern w:val="0"/>
          <w:sz w:val="24"/>
          <w:szCs w:val="24"/>
          <w:highlight w:val="none"/>
        </w:rPr>
        <w:t>小时提交书面延期要求。延期最长不得超过：</w:t>
      </w:r>
      <w:r>
        <w:rPr>
          <w:rFonts w:hint="eastAsia" w:ascii="宋体" w:hAnsi="宋体" w:cs="宋体"/>
          <w:color w:val="auto"/>
          <w:kern w:val="0"/>
          <w:sz w:val="24"/>
          <w:szCs w:val="24"/>
          <w:highlight w:val="none"/>
          <w:u w:val="single"/>
        </w:rPr>
        <w:t xml:space="preserve"> 48</w:t>
      </w:r>
      <w:r>
        <w:rPr>
          <w:rFonts w:hint="eastAsia" w:ascii="宋体" w:hAnsi="宋体" w:cs="宋体"/>
          <w:color w:val="auto"/>
          <w:kern w:val="0"/>
          <w:sz w:val="24"/>
          <w:szCs w:val="24"/>
          <w:highlight w:val="none"/>
        </w:rPr>
        <w:t>小时。</w:t>
      </w:r>
    </w:p>
    <w:p w14:paraId="5508365E">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6. 安全文明施工与环境保护</w:t>
      </w:r>
      <w:bookmarkEnd w:id="401"/>
    </w:p>
    <w:p w14:paraId="49D7B4B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bookmarkStart w:id="402" w:name="_Toc364853230"/>
      <w:r>
        <w:rPr>
          <w:rFonts w:hint="eastAsia" w:ascii="宋体" w:hAnsi="宋体" w:cs="宋体"/>
          <w:color w:val="auto"/>
          <w:sz w:val="24"/>
          <w:szCs w:val="24"/>
          <w:highlight w:val="none"/>
        </w:rPr>
        <w:t>6.1安全文明施工</w:t>
      </w:r>
    </w:p>
    <w:p w14:paraId="1814C50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项目安全生产的达标目标及相应事项的约定：合格。</w:t>
      </w:r>
    </w:p>
    <w:p w14:paraId="18A15DF7">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施工期间由于承包人违反安全操作规范，发生重大死亡及其它事故，发包人将根据事故的严重程度对承包人予以处罚；被政府部门处罚的，承包人承担一切责任。</w:t>
      </w:r>
    </w:p>
    <w:p w14:paraId="5585D1A7">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6.1.1.1 承包方未履行安全文明施工发生以下情况之一的，视为承包方未履行安全生产文明施工违约，承包方须支付合同价款的1% ：</w:t>
      </w:r>
    </w:p>
    <w:p w14:paraId="0839B22E">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(1)未达到合同要求的安全等级要求（安全等级以宁波市奉化区住房和城乡建设局文件和上级文件为准）；</w:t>
      </w:r>
    </w:p>
    <w:p w14:paraId="55FF2E7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（2）在施工期间，施工单位发生事故等级为一般事故及以上生产安全责任事故（事故等级和责任按按国务院第493号令和行政部门的事故调查报告认定）；</w:t>
      </w:r>
    </w:p>
    <w:p w14:paraId="28799EB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6.1.1.2在施工期间，发现承包方现场管理混乱的，每发现一次扣除合同价款</w:t>
      </w:r>
      <w:r>
        <w:rPr>
          <w:rFonts w:hint="eastAsia" w:ascii="宋体" w:hAnsi="宋体" w:cs="宋体"/>
          <w:color w:val="auto"/>
          <w:sz w:val="24"/>
          <w:szCs w:val="24"/>
          <w:highlight w:val="none"/>
          <w:lang w:val="en-US" w:eastAsia="zh-CN"/>
        </w:rPr>
        <w:t>3000元</w:t>
      </w:r>
      <w:r>
        <w:rPr>
          <w:rFonts w:hint="eastAsia" w:ascii="宋体" w:hAnsi="宋体" w:cs="宋体"/>
          <w:color w:val="auto"/>
          <w:sz w:val="24"/>
          <w:szCs w:val="24"/>
          <w:highlight w:val="none"/>
        </w:rPr>
        <w:t>。</w:t>
      </w:r>
    </w:p>
    <w:p w14:paraId="4268B0F5">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6.1.1.3承包方对安全隐患整改不力，对发包方、监理单位及上级部门提出的安全隐患整改不到位的，每发现一次扣合同价款</w:t>
      </w:r>
      <w:r>
        <w:rPr>
          <w:rFonts w:hint="eastAsia" w:ascii="宋体" w:hAnsi="宋体" w:cs="宋体"/>
          <w:color w:val="auto"/>
          <w:sz w:val="24"/>
          <w:szCs w:val="24"/>
          <w:highlight w:val="none"/>
          <w:lang w:val="en-US" w:eastAsia="zh-CN"/>
        </w:rPr>
        <w:t>3000元</w:t>
      </w:r>
      <w:r>
        <w:rPr>
          <w:rFonts w:hint="eastAsia" w:ascii="宋体" w:hAnsi="宋体" w:cs="宋体"/>
          <w:color w:val="auto"/>
          <w:sz w:val="24"/>
          <w:szCs w:val="24"/>
          <w:highlight w:val="none"/>
        </w:rPr>
        <w:t>。</w:t>
      </w:r>
    </w:p>
    <w:p w14:paraId="7479DCA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注：以上（6.1.1.2和6.1.1.3）条款出现累计三次及以上相同问题或情况的，除执行上述条款约定的扣款外，还须另行扣除合同价款</w:t>
      </w:r>
      <w:r>
        <w:rPr>
          <w:rFonts w:hint="eastAsia" w:ascii="宋体" w:hAnsi="宋体" w:cs="宋体"/>
          <w:color w:val="auto"/>
          <w:sz w:val="24"/>
          <w:szCs w:val="24"/>
          <w:highlight w:val="none"/>
          <w:lang w:val="en-US" w:eastAsia="zh-CN"/>
        </w:rPr>
        <w:t>2000元</w:t>
      </w:r>
      <w:r>
        <w:rPr>
          <w:rFonts w:hint="eastAsia" w:ascii="宋体" w:hAnsi="宋体" w:cs="宋体"/>
          <w:color w:val="auto"/>
          <w:sz w:val="24"/>
          <w:szCs w:val="24"/>
          <w:highlight w:val="none"/>
        </w:rPr>
        <w:t>。</w:t>
      </w:r>
    </w:p>
    <w:p w14:paraId="3A22CF5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6.1.4 关于治安保卫的特别约定：执行通用条款。</w:t>
      </w:r>
    </w:p>
    <w:p w14:paraId="7615A3B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6.1.5文明施工应按《宁波市建设工程文明施工管理规定》文件要求执行。</w:t>
      </w:r>
    </w:p>
    <w:p w14:paraId="21185C7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6.1.6 关于安全文明施工费相关约定：市区一般工程考虑。</w:t>
      </w:r>
    </w:p>
    <w:p w14:paraId="5E37B643">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7. 工期和进度</w:t>
      </w:r>
      <w:bookmarkEnd w:id="402"/>
    </w:p>
    <w:p w14:paraId="7E907C41">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7.1 施工组织设计</w:t>
      </w:r>
    </w:p>
    <w:p w14:paraId="1C4262B3">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7.1.1 合同当事人约定的施工组织设计应包括的其他内容：</w:t>
      </w:r>
      <w:r>
        <w:rPr>
          <w:rFonts w:hint="eastAsia" w:ascii="宋体" w:hAnsi="宋体" w:cs="宋体"/>
          <w:color w:val="auto"/>
          <w:kern w:val="0"/>
          <w:sz w:val="24"/>
          <w:szCs w:val="24"/>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4"/>
          <w:szCs w:val="24"/>
          <w:highlight w:val="none"/>
        </w:rPr>
        <w:t>。</w:t>
      </w:r>
    </w:p>
    <w:p w14:paraId="0116C567">
      <w:pPr>
        <w:pageBreakBefore w:val="0"/>
        <w:widowControl w:val="0"/>
        <w:kinsoku/>
        <w:wordWrap/>
        <w:overflowPunct/>
        <w:topLinePunct w:val="0"/>
        <w:bidi w:val="0"/>
        <w:spacing w:line="360" w:lineRule="auto"/>
        <w:ind w:left="0" w:leftChars="0" w:right="0" w:rightChars="0" w:firstLine="504" w:firstLineChars="21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7.1.2 施工组织设计的提交和修改：按通用条款约定执行。</w:t>
      </w:r>
    </w:p>
    <w:p w14:paraId="6E6124D6">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7.2 施工进度计划</w:t>
      </w:r>
    </w:p>
    <w:p w14:paraId="28639986">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施工进度计划的编制和修订：按通用条款约定执行。</w:t>
      </w:r>
    </w:p>
    <w:p w14:paraId="6FE79329">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7.3 开工</w:t>
      </w:r>
    </w:p>
    <w:p w14:paraId="6D30AA5A">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7.3.1 开工准备</w:t>
      </w:r>
    </w:p>
    <w:p w14:paraId="386C4F0B">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关于承包人提交工程开工报审表的期限：按第7.1款[施工组织设计]约定的时间。</w:t>
      </w:r>
    </w:p>
    <w:p w14:paraId="3B72C40F">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关于发包人应完成的其他开工准备工作及期限：在第7.3.2项[开工通知]载明的开工日期前7天获得开工所需的各项行政审批和许可手续。</w:t>
      </w:r>
    </w:p>
    <w:p w14:paraId="6EE61F87">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关于承包人应完成的其他开工准备工作及期限： 在第7.3.2项[开工通知]载明的开工日期前7天签订材料、工程设备、周转材料等的采购合同，确定劳动力、材料、机械的进场安排。</w:t>
      </w:r>
    </w:p>
    <w:p w14:paraId="7E49C5A4">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7.3.2 开工通知</w:t>
      </w:r>
    </w:p>
    <w:p w14:paraId="011E0314">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因发包人原因造成监理人未能在通用条款规定的期限内发出开工通知的，承包人有权提出价格调整要求，或者解除合同。</w:t>
      </w:r>
    </w:p>
    <w:p w14:paraId="0D96CB62">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7.4 测量放线</w:t>
      </w:r>
    </w:p>
    <w:p w14:paraId="38C32BF3">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7.4.1 发包人通过监理人向承包人提供测量基准点、基准线和水准点及其书面资料的期限：不得晚于在第7.3.2项[开工通知]载明的开工日期前7天。</w:t>
      </w:r>
    </w:p>
    <w:p w14:paraId="61689EB5">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7.5 工期延误</w:t>
      </w:r>
    </w:p>
    <w:p w14:paraId="18CBDA9C">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b w:val="0"/>
          <w:color w:val="auto"/>
          <w:sz w:val="24"/>
          <w:szCs w:val="24"/>
          <w:highlight w:val="none"/>
        </w:rPr>
      </w:pPr>
      <w:r>
        <w:rPr>
          <w:rFonts w:hint="eastAsia" w:hAnsi="宋体" w:cs="宋体"/>
          <w:color w:val="auto"/>
          <w:sz w:val="24"/>
          <w:szCs w:val="24"/>
          <w:highlight w:val="none"/>
        </w:rPr>
        <w:t xml:space="preserve">7.5.1 </w:t>
      </w:r>
      <w:r>
        <w:rPr>
          <w:rFonts w:hint="eastAsia" w:hAnsi="宋体" w:cs="宋体"/>
          <w:b w:val="0"/>
          <w:color w:val="auto"/>
          <w:sz w:val="24"/>
          <w:szCs w:val="24"/>
          <w:highlight w:val="none"/>
        </w:rPr>
        <w:t>因发包人原因导致工期延误</w:t>
      </w:r>
    </w:p>
    <w:p w14:paraId="2EC03EFD">
      <w:pPr>
        <w:pStyle w:val="68"/>
        <w:pageBreakBefore w:val="0"/>
        <w:widowControl w:val="0"/>
        <w:kinsoku/>
        <w:wordWrap/>
        <w:overflowPunct/>
        <w:topLinePunct w:val="0"/>
        <w:bidi w:val="0"/>
        <w:spacing w:line="360" w:lineRule="auto"/>
        <w:ind w:left="0" w:leftChars="0" w:right="0" w:rightChars="0" w:firstLine="456" w:firstLineChars="190"/>
        <w:textAlignment w:val="auto"/>
        <w:rPr>
          <w:rFonts w:hAnsi="宋体" w:cs="宋体"/>
          <w:color w:val="auto"/>
          <w:sz w:val="24"/>
          <w:szCs w:val="24"/>
          <w:highlight w:val="none"/>
        </w:rPr>
      </w:pPr>
      <w:r>
        <w:rPr>
          <w:rFonts w:hint="eastAsia" w:hAnsi="宋体" w:cs="宋体"/>
          <w:b w:val="0"/>
          <w:color w:val="auto"/>
          <w:sz w:val="24"/>
          <w:szCs w:val="24"/>
          <w:highlight w:val="none"/>
        </w:rPr>
        <w:t>（7）因发包人原因导致工期延误的其他情形：</w:t>
      </w:r>
      <w:r>
        <w:rPr>
          <w:rFonts w:hint="eastAsia" w:hAnsi="宋体" w:cs="宋体"/>
          <w:b w:val="0"/>
          <w:color w:val="auto"/>
          <w:sz w:val="24"/>
          <w:szCs w:val="24"/>
          <w:highlight w:val="none"/>
          <w:u w:val="single"/>
        </w:rPr>
        <w:t xml:space="preserve">  无  </w:t>
      </w:r>
      <w:r>
        <w:rPr>
          <w:rFonts w:hint="eastAsia" w:hAnsi="宋体" w:cs="宋体"/>
          <w:b w:val="0"/>
          <w:color w:val="auto"/>
          <w:sz w:val="24"/>
          <w:szCs w:val="24"/>
          <w:highlight w:val="none"/>
        </w:rPr>
        <w:t>。</w:t>
      </w:r>
    </w:p>
    <w:p w14:paraId="51B99BF7">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7.5.2 因承包人原因导致工期延误</w:t>
      </w:r>
    </w:p>
    <w:p w14:paraId="6F8B8594">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因承包人原因造成工期延误，逾期竣工违约金为</w:t>
      </w:r>
      <w:r>
        <w:rPr>
          <w:rFonts w:hint="eastAsia" w:ascii="宋体" w:hAnsi="宋体" w:cs="宋体"/>
          <w:color w:val="auto"/>
          <w:kern w:val="0"/>
          <w:sz w:val="24"/>
          <w:szCs w:val="24"/>
          <w:highlight w:val="none"/>
          <w:u w:val="single"/>
        </w:rPr>
        <w:t>1000</w:t>
      </w:r>
      <w:r>
        <w:rPr>
          <w:rFonts w:hint="eastAsia" w:ascii="宋体" w:hAnsi="宋体" w:cs="宋体"/>
          <w:color w:val="auto"/>
          <w:kern w:val="0"/>
          <w:sz w:val="24"/>
          <w:szCs w:val="24"/>
          <w:highlight w:val="none"/>
        </w:rPr>
        <w:t>元/天。</w:t>
      </w:r>
    </w:p>
    <w:p w14:paraId="2F27FFE4">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因承包人原因造成工期延误，逾期竣工违约金的上限为合同价款的</w:t>
      </w:r>
      <w:r>
        <w:rPr>
          <w:rFonts w:hint="eastAsia" w:ascii="宋体" w:hAnsi="宋体" w:cs="宋体"/>
          <w:color w:val="auto"/>
          <w:kern w:val="0"/>
          <w:sz w:val="24"/>
          <w:szCs w:val="24"/>
          <w:highlight w:val="none"/>
          <w:u w:val="single"/>
        </w:rPr>
        <w:t xml:space="preserve"> 2 </w:t>
      </w:r>
      <w:r>
        <w:rPr>
          <w:rFonts w:hint="eastAsia" w:ascii="宋体" w:hAnsi="宋体" w:cs="宋体"/>
          <w:color w:val="auto"/>
          <w:kern w:val="0"/>
          <w:sz w:val="24"/>
          <w:szCs w:val="24"/>
          <w:highlight w:val="none"/>
        </w:rPr>
        <w:t>%。</w:t>
      </w:r>
    </w:p>
    <w:p w14:paraId="2F2808B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7.6 不利物质条件</w:t>
      </w:r>
    </w:p>
    <w:p w14:paraId="00E39CE2">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不利物质条件的其他情形和有关约定：地勘资料未设计的地下管道、地雷、岩层等，但不包括气候条件。</w:t>
      </w:r>
    </w:p>
    <w:p w14:paraId="1B8ECEC0">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7.7异常恶劣的气候条件</w:t>
      </w:r>
    </w:p>
    <w:p w14:paraId="32977CA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发包人和承包人同意以下情形视为异常恶劣的气候条件：</w:t>
      </w:r>
    </w:p>
    <w:p w14:paraId="259A64B8">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（1）12小时内降雨量达到50mm以上；</w:t>
      </w:r>
    </w:p>
    <w:p w14:paraId="6CAA3009">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（2）风速达到8级及以上的热带风暴（或台风）；</w:t>
      </w:r>
    </w:p>
    <w:p w14:paraId="74883715">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（3）日最高气温超过38度或低于零下10度；</w:t>
      </w:r>
    </w:p>
    <w:p w14:paraId="5E7376C8">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（4）造成工程损坏的冰雹和12小时内降雪量达到4mm及以上的大雪灾害。</w:t>
      </w:r>
    </w:p>
    <w:p w14:paraId="60EF17C1">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（5）政府有关部门通知停工的其它恶劣气候条件。</w:t>
      </w:r>
    </w:p>
    <w:p w14:paraId="023EE70A">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7.9 提前竣工的奖励</w:t>
      </w:r>
    </w:p>
    <w:p w14:paraId="26B36CD5">
      <w:pPr>
        <w:pageBreakBefore w:val="0"/>
        <w:widowControl w:val="0"/>
        <w:kinsoku/>
        <w:wordWrap/>
        <w:overflowPunct/>
        <w:topLinePunct w:val="0"/>
        <w:autoSpaceDE w:val="0"/>
        <w:autoSpaceDN w:val="0"/>
        <w:bidi w:val="0"/>
        <w:adjustRightInd w:val="0"/>
        <w:spacing w:line="360" w:lineRule="auto"/>
        <w:ind w:left="240" w:leftChars="0" w:right="0" w:rightChars="0" w:hanging="240" w:hangingChars="1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7.9.2 提前竣工的奖励：提前竣工奖励为</w:t>
      </w:r>
      <w:r>
        <w:rPr>
          <w:rFonts w:hint="eastAsia" w:ascii="宋体" w:hAnsi="宋体" w:cs="宋体"/>
          <w:color w:val="auto"/>
          <w:kern w:val="0"/>
          <w:sz w:val="24"/>
          <w:szCs w:val="24"/>
          <w:highlight w:val="none"/>
          <w:u w:val="single"/>
        </w:rPr>
        <w:t xml:space="preserve">  0 </w:t>
      </w:r>
      <w:r>
        <w:rPr>
          <w:rFonts w:hint="eastAsia" w:ascii="宋体" w:hAnsi="宋体" w:cs="宋体"/>
          <w:color w:val="auto"/>
          <w:kern w:val="0"/>
          <w:sz w:val="24"/>
          <w:szCs w:val="24"/>
          <w:highlight w:val="none"/>
        </w:rPr>
        <w:t>元/天。</w:t>
      </w:r>
      <w:bookmarkStart w:id="403" w:name="_Toc364853231"/>
    </w:p>
    <w:p w14:paraId="25B70B4F">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8. 材料与设备</w:t>
      </w:r>
      <w:bookmarkEnd w:id="403"/>
    </w:p>
    <w:p w14:paraId="0B72D512">
      <w:pPr>
        <w:pStyle w:val="68"/>
        <w:pageBreakBefore w:val="0"/>
        <w:widowControl w:val="0"/>
        <w:kinsoku/>
        <w:wordWrap/>
        <w:overflowPunct/>
        <w:topLinePunct w:val="0"/>
        <w:bidi w:val="0"/>
        <w:spacing w:line="360" w:lineRule="auto"/>
        <w:ind w:left="0" w:leftChars="0" w:right="0" w:rightChars="0" w:firstLine="354" w:firstLineChars="147"/>
        <w:textAlignment w:val="auto"/>
        <w:rPr>
          <w:rFonts w:hAnsi="宋体" w:cs="宋体"/>
          <w:color w:val="auto"/>
          <w:sz w:val="24"/>
          <w:szCs w:val="24"/>
          <w:highlight w:val="none"/>
        </w:rPr>
      </w:pPr>
      <w:r>
        <w:rPr>
          <w:rFonts w:hint="eastAsia" w:hAnsi="宋体" w:cs="宋体"/>
          <w:color w:val="auto"/>
          <w:sz w:val="24"/>
          <w:szCs w:val="24"/>
          <w:highlight w:val="none"/>
        </w:rPr>
        <w:t xml:space="preserve"> 8.2承包人采购材料与工程设备</w:t>
      </w:r>
    </w:p>
    <w:p w14:paraId="0E3B81D9">
      <w:pPr>
        <w:pStyle w:val="68"/>
        <w:pageBreakBefore w:val="0"/>
        <w:widowControl w:val="0"/>
        <w:kinsoku/>
        <w:wordWrap/>
        <w:overflowPunct/>
        <w:topLinePunct w:val="0"/>
        <w:bidi w:val="0"/>
        <w:spacing w:line="360" w:lineRule="auto"/>
        <w:ind w:left="0" w:leftChars="0" w:right="0" w:rightChars="0" w:firstLine="420"/>
        <w:textAlignment w:val="auto"/>
        <w:rPr>
          <w:rFonts w:hAnsi="宋体" w:cs="宋体"/>
          <w:b w:val="0"/>
          <w:color w:val="auto"/>
          <w:sz w:val="24"/>
          <w:szCs w:val="24"/>
          <w:highlight w:val="none"/>
        </w:rPr>
      </w:pPr>
      <w:r>
        <w:rPr>
          <w:rFonts w:hint="eastAsia" w:hAnsi="宋体" w:cs="宋体"/>
          <w:b w:val="0"/>
          <w:color w:val="auto"/>
          <w:sz w:val="24"/>
          <w:szCs w:val="24"/>
          <w:highlight w:val="none"/>
        </w:rPr>
        <w:t>承包人负责采购材料、工程设备的，应按照设计和有关标准要求采购，并提供产品合格证明及出厂证明，对材料、工程设备质量负责。</w:t>
      </w:r>
    </w:p>
    <w:p w14:paraId="47CD3D4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8.4材料与工程设备的保管与使用</w:t>
      </w:r>
    </w:p>
    <w:p w14:paraId="320516F4">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bookmarkStart w:id="404" w:name="_Toc292559878"/>
      <w:bookmarkStart w:id="405" w:name="_Toc292559373"/>
      <w:r>
        <w:rPr>
          <w:rFonts w:hint="eastAsia" w:ascii="宋体" w:hAnsi="宋体" w:cs="宋体"/>
          <w:color w:val="auto"/>
          <w:kern w:val="0"/>
          <w:sz w:val="24"/>
          <w:szCs w:val="24"/>
          <w:highlight w:val="none"/>
        </w:rPr>
        <w:t>.4.1保管费用承担：执行通用条款。</w:t>
      </w:r>
      <w:bookmarkEnd w:id="404"/>
      <w:bookmarkEnd w:id="405"/>
    </w:p>
    <w:p w14:paraId="386CAC3D">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8.8 施工设备和临时设施</w:t>
      </w:r>
    </w:p>
    <w:p w14:paraId="5242126A">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8.8.1 承包人提供的施工设备和临时设施</w:t>
      </w:r>
    </w:p>
    <w:p w14:paraId="28582861">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关于修建临时设施费用承担的约定：执行通用条款。</w:t>
      </w:r>
      <w:bookmarkStart w:id="406" w:name="_Toc364853232"/>
    </w:p>
    <w:bookmarkEnd w:id="406"/>
    <w:p w14:paraId="3D22AD69">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bookmarkStart w:id="407" w:name="_Toc364853233"/>
      <w:r>
        <w:rPr>
          <w:rFonts w:hint="eastAsia" w:ascii="宋体" w:hAnsi="宋体" w:cs="宋体"/>
          <w:color w:val="auto"/>
          <w:sz w:val="24"/>
          <w:szCs w:val="24"/>
          <w:highlight w:val="none"/>
        </w:rPr>
        <w:t>10. 变更</w:t>
      </w:r>
    </w:p>
    <w:p w14:paraId="028CB5CF">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10.1变更的范围</w:t>
      </w:r>
    </w:p>
    <w:p w14:paraId="49D7AEA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合同双方当事人约定：合同履行过程中发生以下情形时，应按照本条约定进行合同变更。</w:t>
      </w:r>
    </w:p>
    <w:p w14:paraId="14B9F227">
      <w:pPr>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1）、法律法规以及政府主管部门的政策性调整；</w:t>
      </w:r>
    </w:p>
    <w:p w14:paraId="24A08F2C">
      <w:pPr>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2）、增加或减少合同中任何工作，或追加额外的工作；</w:t>
      </w:r>
    </w:p>
    <w:p w14:paraId="32AA7165">
      <w:pPr>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3）、取消合同中任何工作，但转由他人实施的工作除外；</w:t>
      </w:r>
    </w:p>
    <w:p w14:paraId="63F38494">
      <w:pPr>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4)、改变合同中任何工作的质量标准或其他特性；</w:t>
      </w:r>
    </w:p>
    <w:p w14:paraId="642C11AA">
      <w:pPr>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5)、改变工程的基线、标高、位置和尺寸；</w:t>
      </w:r>
    </w:p>
    <w:p w14:paraId="085A1E94">
      <w:pPr>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6)、改变工程的时间安排或实施顺序。</w:t>
      </w:r>
    </w:p>
    <w:p w14:paraId="4A702B57">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10.4 变更估价</w:t>
      </w:r>
    </w:p>
    <w:p w14:paraId="06E106CA">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10.4.1 变更估价原则</w:t>
      </w:r>
    </w:p>
    <w:p w14:paraId="2E50CCC1">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10.4.1.1 关于变更估价的约定：</w:t>
      </w:r>
    </w:p>
    <w:p w14:paraId="1171DB5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（1）工程预算书有相同项目的，按照相同项目单价结合</w:t>
      </w:r>
      <w:r>
        <w:rPr>
          <w:rFonts w:hint="eastAsia" w:ascii="宋体" w:hAnsi="宋体" w:cs="宋体"/>
          <w:b/>
          <w:color w:val="auto"/>
          <w:kern w:val="0"/>
          <w:sz w:val="24"/>
          <w:szCs w:val="24"/>
          <w:highlight w:val="none"/>
        </w:rPr>
        <w:t>综合折扣率</w:t>
      </w:r>
      <w:r>
        <w:rPr>
          <w:rFonts w:hint="eastAsia" w:ascii="宋体" w:hAnsi="宋体" w:cs="宋体"/>
          <w:color w:val="auto"/>
          <w:kern w:val="0"/>
          <w:sz w:val="24"/>
          <w:szCs w:val="24"/>
          <w:highlight w:val="none"/>
        </w:rPr>
        <w:t>认定；</w:t>
      </w:r>
    </w:p>
    <w:p w14:paraId="5DD025C5">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（2）工程预算书中无相同项目，但有类似项目的，参照类似项目单价结合</w:t>
      </w:r>
      <w:r>
        <w:rPr>
          <w:rFonts w:hint="eastAsia" w:ascii="宋体" w:hAnsi="宋体" w:cs="宋体"/>
          <w:b/>
          <w:color w:val="auto"/>
          <w:kern w:val="0"/>
          <w:sz w:val="24"/>
          <w:szCs w:val="24"/>
          <w:highlight w:val="none"/>
        </w:rPr>
        <w:t>综合折扣率</w:t>
      </w:r>
      <w:r>
        <w:rPr>
          <w:rFonts w:hint="eastAsia" w:ascii="宋体" w:hAnsi="宋体" w:cs="宋体"/>
          <w:color w:val="auto"/>
          <w:kern w:val="0"/>
          <w:sz w:val="24"/>
          <w:szCs w:val="24"/>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2CEBA1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 w:val="24"/>
          <w:szCs w:val="24"/>
          <w:highlight w:val="none"/>
        </w:rPr>
        <w:t>综合折扣率</w:t>
      </w:r>
      <w:r>
        <w:rPr>
          <w:rFonts w:hint="eastAsia" w:ascii="宋体" w:hAnsi="宋体" w:cs="宋体"/>
          <w:color w:val="auto"/>
          <w:kern w:val="0"/>
          <w:sz w:val="24"/>
          <w:szCs w:val="24"/>
          <w:highlight w:val="none"/>
        </w:rPr>
        <w:t>后提出综合单价，经监理人及发包人或其委托的咨询单位工程师确认，作为结算依据。</w:t>
      </w:r>
    </w:p>
    <w:p w14:paraId="26684DCD">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 w:val="24"/>
          <w:szCs w:val="24"/>
          <w:highlight w:val="none"/>
        </w:rPr>
        <w:t>综合折扣率</w:t>
      </w:r>
      <w:r>
        <w:rPr>
          <w:rFonts w:hint="eastAsia" w:ascii="宋体" w:hAnsi="宋体" w:cs="宋体"/>
          <w:color w:val="auto"/>
          <w:kern w:val="0"/>
          <w:sz w:val="24"/>
          <w:szCs w:val="24"/>
          <w:highlight w:val="none"/>
        </w:rPr>
        <w:t>后提出综合单价，经签证方式确定的材料、设备价格不作下浮。</w:t>
      </w:r>
    </w:p>
    <w:p w14:paraId="530EC90A">
      <w:pPr>
        <w:pageBreakBefore w:val="0"/>
        <w:widowControl w:val="0"/>
        <w:shd w:val="clear"/>
        <w:kinsoku/>
        <w:wordWrap/>
        <w:overflowPunct/>
        <w:topLinePunct w:val="0"/>
        <w:bidi w:val="0"/>
        <w:spacing w:line="360" w:lineRule="auto"/>
        <w:ind w:left="0" w:leftChars="0" w:right="0" w:rightChars="0" w:firstLine="482" w:firstLineChars="200"/>
        <w:textAlignment w:val="auto"/>
        <w:rPr>
          <w:rFonts w:hint="eastAsia" w:ascii="宋体" w:hAnsi="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）变更事项按《宁波市奉化区人民政府办公室关于印发宁波市奉化区政府投资项目变更管理办法（试行）的通知》（奉政办发[2024]27号）文件执行，本合同与文件不一致的，以文件为准</w:t>
      </w:r>
      <w:r>
        <w:rPr>
          <w:rFonts w:hint="eastAsia" w:ascii="宋体" w:hAnsi="宋体" w:cs="宋体"/>
          <w:color w:val="auto"/>
          <w:kern w:val="0"/>
          <w:sz w:val="24"/>
          <w:szCs w:val="24"/>
          <w:highlight w:val="none"/>
        </w:rPr>
        <w:t>。</w:t>
      </w:r>
    </w:p>
    <w:p w14:paraId="6DB0F5F6">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10.4.1.2 关于变更措施项目费的约定：</w:t>
      </w:r>
    </w:p>
    <w:p w14:paraId="45163266">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 w:val="24"/>
          <w:szCs w:val="24"/>
          <w:highlight w:val="none"/>
        </w:rPr>
        <w:t>综合折扣率</w:t>
      </w:r>
      <w:r>
        <w:rPr>
          <w:rFonts w:hint="eastAsia" w:ascii="宋体" w:hAnsi="宋体" w:cs="宋体"/>
          <w:color w:val="auto"/>
          <w:kern w:val="0"/>
          <w:sz w:val="24"/>
          <w:szCs w:val="24"/>
          <w:highlight w:val="none"/>
        </w:rPr>
        <w:t>或发承包双方确认调整后的措施项目和金额计算。</w:t>
      </w:r>
    </w:p>
    <w:p w14:paraId="6CA00532">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（1）原措施项目费中已有的措施项目，按原措施项目费的组价方法调整。</w:t>
      </w:r>
    </w:p>
    <w:p w14:paraId="02E677F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（2）原措施费没有的措施项目，承包人根据实际措施项目内容、规定的工程取费类别、现行计价依据并结合</w:t>
      </w:r>
      <w:r>
        <w:rPr>
          <w:rFonts w:hint="eastAsia" w:ascii="宋体" w:hAnsi="宋体" w:cs="宋体"/>
          <w:b/>
          <w:color w:val="auto"/>
          <w:kern w:val="0"/>
          <w:sz w:val="24"/>
          <w:szCs w:val="24"/>
          <w:highlight w:val="none"/>
        </w:rPr>
        <w:t>综合折扣率</w:t>
      </w:r>
      <w:r>
        <w:rPr>
          <w:rFonts w:hint="eastAsia" w:ascii="宋体" w:hAnsi="宋体" w:cs="宋体"/>
          <w:color w:val="auto"/>
          <w:kern w:val="0"/>
          <w:sz w:val="24"/>
          <w:szCs w:val="24"/>
          <w:highlight w:val="none"/>
        </w:rPr>
        <w:t>后提出措施费。</w:t>
      </w:r>
    </w:p>
    <w:p w14:paraId="3ACE0F4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10.4.1.3 关于其他项目费变更的约定：</w:t>
      </w:r>
    </w:p>
    <w:p w14:paraId="4418B9E0">
      <w:pPr>
        <w:pageBreakBefore w:val="0"/>
        <w:widowControl w:val="0"/>
        <w:kinsoku/>
        <w:wordWrap/>
        <w:overflowPunct/>
        <w:topLinePunct w:val="0"/>
        <w:bidi w:val="0"/>
        <w:spacing w:line="360" w:lineRule="auto"/>
        <w:ind w:left="0" w:leftChars="0" w:right="0" w:rightChars="0" w:firstLine="480" w:firstLineChars="200"/>
        <w:textAlignment w:val="auto"/>
        <w:rPr>
          <w:color w:val="auto"/>
          <w:sz w:val="24"/>
          <w:szCs w:val="24"/>
          <w:highlight w:val="none"/>
        </w:rPr>
      </w:pPr>
      <w:r>
        <w:rPr>
          <w:rFonts w:hint="eastAsia" w:ascii="宋体" w:hAnsi="宋体" w:cs="宋体"/>
          <w:color w:val="auto"/>
          <w:kern w:val="0"/>
          <w:sz w:val="24"/>
          <w:szCs w:val="24"/>
          <w:highlight w:val="none"/>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CC6EA2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olor w:val="auto"/>
          <w:sz w:val="24"/>
          <w:szCs w:val="24"/>
          <w:highlight w:val="none"/>
        </w:rPr>
        <w:t>10.4.1.4</w:t>
      </w:r>
      <w:r>
        <w:rPr>
          <w:rFonts w:hint="eastAsia" w:ascii="宋体" w:hAnsi="宋体" w:cs="宋体"/>
          <w:color w:val="auto"/>
          <w:sz w:val="24"/>
          <w:szCs w:val="24"/>
          <w:highlight w:val="none"/>
        </w:rPr>
        <w:t>计价依据：</w:t>
      </w:r>
      <w:r>
        <w:rPr>
          <w:rFonts w:hint="eastAsia" w:ascii="宋体" w:hAnsi="宋体" w:cs="宋体"/>
          <w:color w:val="auto"/>
          <w:kern w:val="0"/>
          <w:sz w:val="24"/>
          <w:szCs w:val="24"/>
          <w:highlight w:val="none"/>
        </w:rPr>
        <w:t xml:space="preserve">                                                                                                                                                                                               </w:t>
      </w:r>
    </w:p>
    <w:p w14:paraId="5C58139F">
      <w:pPr>
        <w:keepNext w:val="0"/>
        <w:keepLines w:val="0"/>
        <w:pageBreakBefore w:val="0"/>
        <w:widowControl w:val="0"/>
        <w:numPr>
          <w:ilvl w:val="0"/>
          <w:numId w:val="3"/>
        </w:numPr>
        <w:shd w:val="clear"/>
        <w:kinsoku/>
        <w:wordWrap/>
        <w:overflowPunct/>
        <w:topLinePunct w:val="0"/>
        <w:bidi w:val="0"/>
        <w:snapToGrid/>
        <w:spacing w:line="360" w:lineRule="auto"/>
        <w:ind w:left="0" w:leftChars="0" w:right="0" w:rightChars="0" w:firstLine="440" w:firstLineChars="200"/>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施工图纸等技术资料；工程量：根据施工图纸计算。</w:t>
      </w:r>
    </w:p>
    <w:p w14:paraId="254EF50A">
      <w:pPr>
        <w:keepNext w:val="0"/>
        <w:keepLines w:val="0"/>
        <w:pageBreakBefore w:val="0"/>
        <w:widowControl w:val="0"/>
        <w:numPr>
          <w:ilvl w:val="0"/>
          <w:numId w:val="3"/>
        </w:numPr>
        <w:shd w:val="clear"/>
        <w:kinsoku/>
        <w:wordWrap/>
        <w:overflowPunct/>
        <w:topLinePunct w:val="0"/>
        <w:bidi w:val="0"/>
        <w:snapToGrid/>
        <w:spacing w:line="360" w:lineRule="auto"/>
        <w:ind w:left="0" w:leftChars="0" w:right="0" w:rightChars="0"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定额采用：</w:t>
      </w:r>
    </w:p>
    <w:p w14:paraId="041956D1">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1.《建设工程工程量清单计价规范》（GB50500-2013）；</w:t>
      </w:r>
    </w:p>
    <w:p w14:paraId="3C95C3FA">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2.《房屋建筑与装饰工程工程量计算规范》（GB50854-2013）；</w:t>
      </w:r>
    </w:p>
    <w:p w14:paraId="470D506B">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3.《市政工程工程量计算规范》（GB50857-2013）；</w:t>
      </w:r>
    </w:p>
    <w:p w14:paraId="577F89EE">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4.《通用安装工程工程量计算规范》（GB50856-2013）；</w:t>
      </w:r>
    </w:p>
    <w:p w14:paraId="26A92F57">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5.《园林绿化工程工程量计算规范》（GB50858-2013）；</w:t>
      </w:r>
    </w:p>
    <w:p w14:paraId="57B3066E">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6.《浙江省建设工程计价规则》（2018版）；</w:t>
      </w:r>
    </w:p>
    <w:p w14:paraId="7A0BE82B">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7.《浙江省房屋建筑与装饰工程预算定额》（2018版）；</w:t>
      </w:r>
    </w:p>
    <w:p w14:paraId="679D939B">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8.《浙江省通用安装工程预算定额》（2018版）；</w:t>
      </w:r>
    </w:p>
    <w:p w14:paraId="76B82F85">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9.《浙江省市政工程预算定额》（2018版）；</w:t>
      </w:r>
    </w:p>
    <w:p w14:paraId="48E77D27">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10.《浙江省园林绿化及仿古建筑工程预算定额》（2018版）；</w:t>
      </w:r>
    </w:p>
    <w:p w14:paraId="11115405">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11.《浙江省房屋建筑安装工程修缮预算定额》（2018版）；</w:t>
      </w:r>
    </w:p>
    <w:p w14:paraId="5458FCE2">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12.省、市造价文件及其他相关造价依据等。</w:t>
      </w:r>
    </w:p>
    <w:p w14:paraId="4267F53D">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三、人工及材料信息价：</w:t>
      </w:r>
    </w:p>
    <w:p w14:paraId="71276411">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人工、材料价格依次参照《宁波建设工程造价信息》（综合版）2025年5月刊奉化区信息价、宁波市信息价、《浙江造价信息》2025年5月刊，无信息价部分按同期市场价计入。所有信息价、市场价、机械台班等都按除税价计取。</w:t>
      </w:r>
    </w:p>
    <w:p w14:paraId="1E130576">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四、取费标准</w:t>
      </w:r>
    </w:p>
    <w:p w14:paraId="06C89580">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4.1</w:t>
      </w:r>
      <w:r>
        <w:rPr>
          <w:rFonts w:hint="eastAsia" w:ascii="宋体" w:hAnsi="宋体" w:eastAsia="宋体" w:cs="宋体"/>
          <w:color w:val="auto"/>
          <w:kern w:val="0"/>
          <w:sz w:val="22"/>
          <w:szCs w:val="22"/>
          <w:highlight w:val="none"/>
          <w:lang w:val="en-US" w:eastAsia="zh-CN"/>
        </w:rPr>
        <w:t>本工程的室内装修改造按房屋建筑修缮工程中值费率计取；安装工程按水、电、暖、通风及自控安装工程中值费率计取；附属工程按道路、排水、河道护岸、水处理构筑物及城市综合管廊、生活垃圾处理工程中值计取。</w:t>
      </w:r>
    </w:p>
    <w:p w14:paraId="1E110142">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4.2根据《关于印发宁波市房屋建筑与市政基础设施工程安全生产责任保险费用计取的通知》（市建管【2024】12号）文件，增加安全生产责任保险费；</w:t>
      </w:r>
    </w:p>
    <w:p w14:paraId="3A5E7B3D">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4.3施工组织措施费：按相应专业工程中值费率计取，其中安全文明施工费按“市区工程”中值费率计取，不计取提前竣工增加费、二次搬运费、标化工地增加费和其他施工组织措施费；按浙建建发【2022】37号文件精神计取“智慧工地”增加费、疫情常态化防控费（计费基数安全文明施工基本费×15%）归并于安全文明施工基本费中；</w:t>
      </w:r>
    </w:p>
    <w:p w14:paraId="26D145EE">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4.4垂直运输保险增加费：按“甬建价【2019】12号”文件规定，费率为5%；</w:t>
      </w:r>
    </w:p>
    <w:p w14:paraId="67A99D8C">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4.5规费按相应专业工程标准费率的30%计取，当遇政策性文件时允许调整；</w:t>
      </w:r>
    </w:p>
    <w:p w14:paraId="6E5CB4BA">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4.6税金采用一般计税法计取，执行浙建建发〔2019〕92号文，税率为9%。</w:t>
      </w:r>
    </w:p>
    <w:p w14:paraId="2996DA42">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五、其他说明</w:t>
      </w:r>
    </w:p>
    <w:p w14:paraId="43F481DB">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5.1本工程大型机械场外运输费按下列方式计入</w:t>
      </w:r>
    </w:p>
    <w:p w14:paraId="00CF7E23">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（1）履带式挖掘机（1m3以内）按1台次计入；</w:t>
      </w:r>
    </w:p>
    <w:p w14:paraId="09AAAE34">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（2）沥青混凝土摊铺机，按1台次计入；</w:t>
      </w:r>
    </w:p>
    <w:p w14:paraId="157D84B0">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（3）钢轮内燃压路机按1台次计入；</w:t>
      </w:r>
    </w:p>
    <w:p w14:paraId="69F1A38D">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上述大型机械计入在附属工程中。</w:t>
      </w:r>
    </w:p>
    <w:p w14:paraId="01E20432">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5.2本工程中土方外运运距暂定10km；处置费不计；运距结算时按实调整；</w:t>
      </w:r>
    </w:p>
    <w:p w14:paraId="4B7E8E00">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5.3本工程中建筑垃圾外运，运距暂定10km且按130元/m3计入；</w:t>
      </w:r>
    </w:p>
    <w:p w14:paraId="1DF4DAF9">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本工程Φ6螺纹钢及圆钢暂按Φ6.5计入；</w:t>
      </w:r>
    </w:p>
    <w:p w14:paraId="7DFACDB7">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本工程水泥使用综合水泥，混凝土使用商品砼，砂浆使用预拌干混砂浆</w:t>
      </w:r>
      <w:r>
        <w:rPr>
          <w:rFonts w:hint="eastAsia" w:ascii="宋体" w:hAnsi="宋体" w:cs="宋体"/>
          <w:color w:val="auto"/>
          <w:kern w:val="0"/>
          <w:sz w:val="22"/>
          <w:szCs w:val="22"/>
          <w:highlight w:val="none"/>
          <w:lang w:val="en-US" w:eastAsia="zh-CN"/>
        </w:rPr>
        <w:t>；</w:t>
      </w:r>
    </w:p>
    <w:p w14:paraId="7C89F4A4">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本工程混凝土、沥青、沥青碎石拆除料以料抵工，不作外运处理，仅计取拆除费用</w:t>
      </w:r>
      <w:r>
        <w:rPr>
          <w:rFonts w:hint="eastAsia" w:ascii="宋体" w:hAnsi="宋体" w:cs="宋体"/>
          <w:color w:val="auto"/>
          <w:kern w:val="0"/>
          <w:sz w:val="22"/>
          <w:szCs w:val="22"/>
          <w:highlight w:val="none"/>
          <w:lang w:val="en-US" w:eastAsia="zh-CN"/>
        </w:rPr>
        <w:t>；</w:t>
      </w:r>
    </w:p>
    <w:p w14:paraId="212E4510">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r>
        <w:rPr>
          <w:rFonts w:hint="eastAsia" w:ascii="宋体" w:hAnsi="宋体" w:cs="宋体"/>
          <w:color w:val="auto"/>
          <w:kern w:val="0"/>
          <w:sz w:val="22"/>
          <w:szCs w:val="22"/>
          <w:highlight w:val="none"/>
          <w:lang w:val="en-US" w:eastAsia="zh-CN"/>
        </w:rPr>
        <w:t>7本工程</w:t>
      </w:r>
      <w:r>
        <w:rPr>
          <w:rFonts w:hint="eastAsia" w:ascii="宋体" w:hAnsi="宋体" w:eastAsia="宋体" w:cs="宋体"/>
          <w:color w:val="auto"/>
          <w:kern w:val="0"/>
          <w:sz w:val="22"/>
          <w:szCs w:val="22"/>
          <w:highlight w:val="none"/>
          <w:lang w:val="en-US" w:eastAsia="zh-CN"/>
        </w:rPr>
        <w:t>预制静压桩采用场内预制；</w:t>
      </w:r>
    </w:p>
    <w:p w14:paraId="2809C5CD">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lang w:val="en-US" w:eastAsia="zh-CN"/>
        </w:rPr>
        <w:t>本工程中板与板、板与墙、板与柱之间的间距均为20mm。20mm缝隙由柔性材料填充，该填充材料暂定聚氨酯密封膏；</w:t>
      </w:r>
    </w:p>
    <w:p w14:paraId="1A42B028">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5.9本工程中原卫生间抓杆拆除保存，后再重新安装；</w:t>
      </w:r>
    </w:p>
    <w:p w14:paraId="7B4A9867">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5.10本工程中厨房内原设备、架子等移位保管，装修完后复位；</w:t>
      </w:r>
    </w:p>
    <w:p w14:paraId="6EBBD037">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5.11本工程原未改造墙面、天棚面层保护措施暂定铺设、覆盖保护薄膜；</w:t>
      </w:r>
    </w:p>
    <w:p w14:paraId="2895E007">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5.12本工程污水管算至墙外1.5m处；</w:t>
      </w:r>
    </w:p>
    <w:p w14:paraId="62E4EF38">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5.13卫生间内洁具按拆除后新做考虑，其中水龙头和淋浴器按利旧考虑；</w:t>
      </w:r>
    </w:p>
    <w:p w14:paraId="2AF99C44">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台盆和小便器均</w:t>
      </w:r>
      <w:r>
        <w:rPr>
          <w:rFonts w:hint="eastAsia" w:ascii="宋体" w:hAnsi="宋体" w:cs="宋体"/>
          <w:color w:val="auto"/>
          <w:kern w:val="0"/>
          <w:sz w:val="22"/>
          <w:szCs w:val="22"/>
          <w:highlight w:val="none"/>
          <w:lang w:val="en-US" w:eastAsia="zh-CN"/>
        </w:rPr>
        <w:t>采用</w:t>
      </w:r>
      <w:r>
        <w:rPr>
          <w:rFonts w:hint="eastAsia" w:ascii="宋体" w:hAnsi="宋体" w:eastAsia="宋体" w:cs="宋体"/>
          <w:color w:val="auto"/>
          <w:kern w:val="0"/>
          <w:sz w:val="22"/>
          <w:szCs w:val="22"/>
          <w:highlight w:val="none"/>
          <w:lang w:val="en-US" w:eastAsia="zh-CN"/>
        </w:rPr>
        <w:t>非感应式；</w:t>
      </w:r>
    </w:p>
    <w:p w14:paraId="0F7AD846">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厨房内设备均按利旧考虑；</w:t>
      </w:r>
    </w:p>
    <w:p w14:paraId="24F60F16">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改造区域12平面图内的阀门不计（截止阀、闸阀、止回阀），仅计算报警阀间里的湿式报警阀组（DN150），且按利旧考虑</w:t>
      </w:r>
      <w:r>
        <w:rPr>
          <w:rFonts w:hint="eastAsia" w:ascii="宋体" w:hAnsi="宋体" w:cs="宋体"/>
          <w:color w:val="auto"/>
          <w:kern w:val="0"/>
          <w:sz w:val="22"/>
          <w:szCs w:val="22"/>
          <w:highlight w:val="none"/>
          <w:lang w:val="en-US" w:eastAsia="zh-CN"/>
        </w:rPr>
        <w:t>；</w:t>
      </w:r>
    </w:p>
    <w:p w14:paraId="3B4D9E6B">
      <w:pPr>
        <w:pageBreakBefore w:val="0"/>
        <w:widowControl w:val="0"/>
        <w:shd w:val="clear"/>
        <w:kinsoku/>
        <w:wordWrap/>
        <w:overflowPunct/>
        <w:topLinePunct w:val="0"/>
        <w:bidi w:val="0"/>
        <w:spacing w:line="360" w:lineRule="auto"/>
        <w:ind w:left="0" w:leftChars="0" w:right="0" w:rightChars="0" w:firstLine="440" w:firstLineChars="200"/>
        <w:textAlignment w:val="auto"/>
        <w:rPr>
          <w:rFonts w:hint="default"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5.1</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lang w:val="en-US" w:eastAsia="zh-CN"/>
        </w:rPr>
        <w:t>本工程现状场地悬浮地板拆除后暂按面积的90%利旧考虑。</w:t>
      </w:r>
    </w:p>
    <w:p w14:paraId="62C41613">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11. 价格调整</w:t>
      </w:r>
      <w:bookmarkEnd w:id="407"/>
    </w:p>
    <w:p w14:paraId="4A5A1E4C">
      <w:pPr>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11.1 市场价格波动引起的调整</w:t>
      </w:r>
    </w:p>
    <w:p w14:paraId="72034075">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11.1.1 合同当事人约定：实际施工期内不作调整。</w:t>
      </w:r>
    </w:p>
    <w:p w14:paraId="0B9BE5E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11.2 法律变化引起的调整</w:t>
      </w:r>
    </w:p>
    <w:p w14:paraId="6AC94E22">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bookmarkStart w:id="408" w:name="_Toc364853234"/>
      <w:r>
        <w:rPr>
          <w:rFonts w:hint="eastAsia" w:ascii="宋体" w:hAnsi="宋体" w:cs="宋体"/>
          <w:color w:val="auto"/>
          <w:sz w:val="24"/>
          <w:szCs w:val="24"/>
          <w:highlight w:val="none"/>
        </w:rPr>
        <w:t>合同当事人关于本条的补充约定：</w:t>
      </w:r>
    </w:p>
    <w:p w14:paraId="2DA8626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（1）本条所称的法律包括法律、法规、规章及规范性文件。</w:t>
      </w:r>
    </w:p>
    <w:p w14:paraId="63E227F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（2）国有投资项目应按本省建设行政主管部门或其授权工程造价管理机构发布的规定调整合同价款。</w:t>
      </w:r>
    </w:p>
    <w:p w14:paraId="08591F08">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12. 合同价格、计量与支付</w:t>
      </w:r>
      <w:bookmarkEnd w:id="408"/>
    </w:p>
    <w:p w14:paraId="3161A9F2">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bookmarkStart w:id="409" w:name="_Toc292559411"/>
      <w:bookmarkStart w:id="410" w:name="_Toc292559916"/>
      <w:bookmarkStart w:id="411" w:name="_Toc267251461"/>
      <w:bookmarkStart w:id="412" w:name="_Toc296347205"/>
      <w:bookmarkStart w:id="413" w:name="_Toc296944545"/>
      <w:bookmarkStart w:id="414" w:name="_Toc296503206"/>
      <w:bookmarkStart w:id="415" w:name="_Toc297120506"/>
      <w:bookmarkStart w:id="416" w:name="_Toc296891246"/>
      <w:bookmarkStart w:id="417" w:name="_Toc297048392"/>
      <w:bookmarkStart w:id="418" w:name="_Toc296891034"/>
      <w:bookmarkStart w:id="419" w:name="_Toc296346707"/>
      <w:bookmarkStart w:id="420" w:name="_Toc300935003"/>
      <w:bookmarkStart w:id="421" w:name="_Toc297216212"/>
      <w:bookmarkStart w:id="422" w:name="_Toc312678041"/>
      <w:bookmarkStart w:id="423" w:name="_Toc304295580"/>
      <w:bookmarkStart w:id="424" w:name="_Toc303539160"/>
      <w:bookmarkStart w:id="425" w:name="_Toc297123553"/>
      <w:r>
        <w:rPr>
          <w:rFonts w:hint="eastAsia" w:hAnsi="宋体" w:cs="宋体"/>
          <w:color w:val="auto"/>
          <w:sz w:val="24"/>
          <w:szCs w:val="24"/>
          <w:highlight w:val="none"/>
        </w:rPr>
        <w:t>12.1 合</w:t>
      </w:r>
      <w:bookmarkEnd w:id="409"/>
      <w:bookmarkEnd w:id="410"/>
      <w:bookmarkEnd w:id="411"/>
      <w:r>
        <w:rPr>
          <w:rFonts w:hint="eastAsia" w:hAnsi="宋体" w:cs="宋体"/>
          <w:color w:val="auto"/>
          <w:sz w:val="24"/>
          <w:szCs w:val="24"/>
          <w:highlight w:val="none"/>
        </w:rPr>
        <w:t>同价</w:t>
      </w:r>
      <w:bookmarkEnd w:id="412"/>
      <w:bookmarkEnd w:id="413"/>
      <w:bookmarkEnd w:id="414"/>
      <w:bookmarkEnd w:id="415"/>
      <w:bookmarkEnd w:id="416"/>
      <w:bookmarkEnd w:id="417"/>
      <w:bookmarkEnd w:id="418"/>
      <w:bookmarkEnd w:id="419"/>
      <w:r>
        <w:rPr>
          <w:rFonts w:hint="eastAsia" w:hAnsi="宋体" w:cs="宋体"/>
          <w:color w:val="auto"/>
          <w:sz w:val="24"/>
          <w:szCs w:val="24"/>
          <w:highlight w:val="none"/>
        </w:rPr>
        <w:t>格形式</w:t>
      </w:r>
    </w:p>
    <w:bookmarkEnd w:id="420"/>
    <w:bookmarkEnd w:id="421"/>
    <w:bookmarkEnd w:id="422"/>
    <w:bookmarkEnd w:id="423"/>
    <w:bookmarkEnd w:id="424"/>
    <w:bookmarkEnd w:id="425"/>
    <w:p w14:paraId="24ADEB80">
      <w:pPr>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本合同采用合同当事人签订的合同协议书中约定的价格形式，即：单价合同。</w:t>
      </w:r>
    </w:p>
    <w:p w14:paraId="6AE424B5">
      <w:pPr>
        <w:pageBreakBefore w:val="0"/>
        <w:widowControl w:val="0"/>
        <w:kinsoku/>
        <w:wordWrap/>
        <w:overflowPunct/>
        <w:topLinePunct w:val="0"/>
        <w:bidi w:val="0"/>
        <w:spacing w:line="360" w:lineRule="auto"/>
        <w:ind w:left="0" w:leftChars="0" w:right="0" w:rightChars="0" w:firstLine="482" w:firstLineChars="200"/>
        <w:textAlignment w:val="auto"/>
        <w:rPr>
          <w:rFonts w:hAnsi="宋体" w:cs="宋体"/>
          <w:color w:val="auto"/>
          <w:sz w:val="24"/>
          <w:szCs w:val="24"/>
          <w:highlight w:val="none"/>
        </w:rPr>
      </w:pPr>
      <w:r>
        <w:rPr>
          <w:rFonts w:hint="eastAsia" w:ascii="宋体" w:hAnsi="宋体" w:cs="宋体"/>
          <w:b/>
          <w:color w:val="auto"/>
          <w:kern w:val="0"/>
          <w:sz w:val="24"/>
          <w:szCs w:val="24"/>
          <w:highlight w:val="none"/>
        </w:rPr>
        <w:t>结算子项单价的确定：</w:t>
      </w:r>
      <w:r>
        <w:rPr>
          <w:rFonts w:hint="eastAsia" w:ascii="宋体" w:hAnsi="宋体" w:cs="宋体"/>
          <w:b/>
          <w:color w:val="auto"/>
          <w:kern w:val="0"/>
          <w:sz w:val="24"/>
          <w:szCs w:val="24"/>
          <w:highlight w:val="none"/>
          <w:lang w:eastAsia="zh-CN"/>
        </w:rPr>
        <w:t>以承包人</w:t>
      </w:r>
      <w:r>
        <w:rPr>
          <w:rFonts w:hint="eastAsia" w:ascii="宋体" w:hAnsi="宋体" w:cs="宋体"/>
          <w:b/>
          <w:color w:val="auto"/>
          <w:kern w:val="0"/>
          <w:sz w:val="24"/>
          <w:szCs w:val="24"/>
          <w:highlight w:val="none"/>
          <w:lang w:val="en-US" w:eastAsia="zh-CN"/>
        </w:rPr>
        <w:t>成交</w:t>
      </w:r>
      <w:r>
        <w:rPr>
          <w:rFonts w:hint="eastAsia" w:ascii="宋体" w:hAnsi="宋体" w:cs="宋体"/>
          <w:b/>
          <w:color w:val="auto"/>
          <w:kern w:val="0"/>
          <w:sz w:val="24"/>
          <w:szCs w:val="24"/>
          <w:highlight w:val="none"/>
          <w:lang w:eastAsia="zh-CN"/>
        </w:rPr>
        <w:t>单价确定</w:t>
      </w:r>
      <w:r>
        <w:rPr>
          <w:rFonts w:hint="eastAsia" w:ascii="宋体" w:hAnsi="宋体" w:cs="宋体"/>
          <w:b/>
          <w:color w:val="auto"/>
          <w:kern w:val="0"/>
          <w:sz w:val="24"/>
          <w:szCs w:val="24"/>
          <w:highlight w:val="none"/>
        </w:rPr>
        <w:t xml:space="preserve">。 </w:t>
      </w:r>
      <w:r>
        <w:rPr>
          <w:rFonts w:hint="eastAsia" w:ascii="宋体" w:hAnsi="宋体" w:cs="宋体"/>
          <w:color w:val="auto"/>
          <w:kern w:val="0"/>
          <w:sz w:val="24"/>
          <w:szCs w:val="24"/>
          <w:highlight w:val="none"/>
        </w:rPr>
        <w:t xml:space="preserve"> </w:t>
      </w:r>
      <w:r>
        <w:rPr>
          <w:rFonts w:hint="eastAsia" w:hAnsi="宋体" w:cs="宋体"/>
          <w:color w:val="auto"/>
          <w:sz w:val="24"/>
          <w:szCs w:val="24"/>
          <w:highlight w:val="none"/>
        </w:rPr>
        <w:t xml:space="preserve">  </w:t>
      </w:r>
    </w:p>
    <w:p w14:paraId="6B78E71A">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12.2 预付款</w:t>
      </w:r>
    </w:p>
    <w:p w14:paraId="76A51D3E">
      <w:pPr>
        <w:pStyle w:val="12"/>
        <w:pageBreakBefore w:val="0"/>
        <w:widowControl w:val="0"/>
        <w:kinsoku/>
        <w:wordWrap/>
        <w:overflowPunct/>
        <w:topLinePunct w:val="0"/>
        <w:bidi w:val="0"/>
        <w:spacing w:line="360" w:lineRule="auto"/>
        <w:ind w:left="0" w:leftChars="0" w:right="0" w:rightChars="0" w:firstLine="480" w:firstLineChars="200"/>
        <w:textAlignment w:val="auto"/>
        <w:rPr>
          <w:color w:val="auto"/>
          <w:sz w:val="24"/>
          <w:szCs w:val="24"/>
          <w:highlight w:val="none"/>
        </w:rPr>
      </w:pPr>
      <w:r>
        <w:rPr>
          <w:rFonts w:hint="eastAsia"/>
          <w:color w:val="auto"/>
          <w:sz w:val="24"/>
          <w:szCs w:val="24"/>
          <w:highlight w:val="none"/>
        </w:rPr>
        <w:t>12.2.1 预付款的支付和扣回的方式：在合同签订生效后一周内，支付合同价款的</w:t>
      </w:r>
      <w:r>
        <w:rPr>
          <w:rFonts w:hint="eastAsia"/>
          <w:color w:val="auto"/>
          <w:sz w:val="24"/>
          <w:szCs w:val="24"/>
          <w:highlight w:val="none"/>
          <w:lang w:val="en-US" w:eastAsia="zh-CN"/>
        </w:rPr>
        <w:t>1</w:t>
      </w:r>
      <w:r>
        <w:rPr>
          <w:rFonts w:hint="eastAsia"/>
          <w:color w:val="auto"/>
          <w:sz w:val="24"/>
          <w:szCs w:val="24"/>
          <w:highlight w:val="none"/>
        </w:rPr>
        <w:t>0%。预付款</w:t>
      </w:r>
      <w:r>
        <w:rPr>
          <w:rFonts w:hint="eastAsia"/>
          <w:color w:val="auto"/>
          <w:sz w:val="24"/>
          <w:szCs w:val="24"/>
          <w:highlight w:val="none"/>
          <w:lang w:val="en-US" w:eastAsia="zh-CN"/>
        </w:rPr>
        <w:t>不</w:t>
      </w:r>
      <w:r>
        <w:rPr>
          <w:rFonts w:hint="eastAsia"/>
          <w:color w:val="auto"/>
          <w:sz w:val="24"/>
          <w:szCs w:val="24"/>
          <w:highlight w:val="none"/>
        </w:rPr>
        <w:t>扣回</w:t>
      </w:r>
      <w:r>
        <w:rPr>
          <w:rFonts w:hint="eastAsia"/>
          <w:color w:val="auto"/>
          <w:sz w:val="24"/>
          <w:szCs w:val="24"/>
          <w:highlight w:val="none"/>
          <w:lang w:eastAsia="zh-CN"/>
        </w:rPr>
        <w:t>，</w:t>
      </w:r>
      <w:r>
        <w:rPr>
          <w:rFonts w:hint="eastAsia"/>
          <w:color w:val="auto"/>
          <w:sz w:val="24"/>
          <w:szCs w:val="24"/>
          <w:highlight w:val="none"/>
          <w:lang w:val="en-US" w:eastAsia="zh-CN"/>
        </w:rPr>
        <w:t>后期转为进度款</w:t>
      </w:r>
      <w:r>
        <w:rPr>
          <w:rFonts w:hint="eastAsia"/>
          <w:color w:val="auto"/>
          <w:sz w:val="24"/>
          <w:szCs w:val="24"/>
          <w:highlight w:val="none"/>
        </w:rPr>
        <w:t>。</w:t>
      </w:r>
    </w:p>
    <w:p w14:paraId="1462A08B">
      <w:pPr>
        <w:pStyle w:val="68"/>
        <w:pageBreakBefore w:val="0"/>
        <w:widowControl w:val="0"/>
        <w:kinsoku/>
        <w:wordWrap/>
        <w:overflowPunct/>
        <w:topLinePunct w:val="0"/>
        <w:bidi w:val="0"/>
        <w:spacing w:line="360" w:lineRule="auto"/>
        <w:ind w:left="0" w:leftChars="0" w:right="0" w:rightChars="0" w:firstLine="354" w:firstLineChars="147"/>
        <w:textAlignment w:val="auto"/>
        <w:rPr>
          <w:rFonts w:hAnsi="宋体" w:cs="宋体"/>
          <w:color w:val="auto"/>
          <w:sz w:val="24"/>
          <w:szCs w:val="24"/>
          <w:highlight w:val="none"/>
        </w:rPr>
      </w:pPr>
      <w:r>
        <w:rPr>
          <w:rFonts w:hint="eastAsia" w:hAnsi="宋体" w:cs="宋体"/>
          <w:color w:val="auto"/>
          <w:sz w:val="24"/>
          <w:szCs w:val="24"/>
          <w:highlight w:val="none"/>
        </w:rPr>
        <w:t>12.3 计量</w:t>
      </w:r>
    </w:p>
    <w:p w14:paraId="1EA7E870">
      <w:pPr>
        <w:pStyle w:val="12"/>
        <w:pageBreakBefore w:val="0"/>
        <w:widowControl w:val="0"/>
        <w:kinsoku/>
        <w:wordWrap/>
        <w:overflowPunct/>
        <w:topLinePunct w:val="0"/>
        <w:bidi w:val="0"/>
        <w:spacing w:line="360" w:lineRule="auto"/>
        <w:ind w:left="0" w:leftChars="0" w:right="0" w:rightChars="0" w:firstLine="480" w:firstLineChars="200"/>
        <w:textAlignment w:val="auto"/>
        <w:rPr>
          <w:color w:val="auto"/>
          <w:sz w:val="24"/>
          <w:szCs w:val="24"/>
          <w:highlight w:val="none"/>
        </w:rPr>
      </w:pPr>
      <w:r>
        <w:rPr>
          <w:rFonts w:hint="eastAsia"/>
          <w:color w:val="auto"/>
          <w:sz w:val="24"/>
          <w:szCs w:val="24"/>
          <w:highlight w:val="none"/>
        </w:rPr>
        <w:t>关于工程量计算原则约定：按现行的工程量计算规则执行。</w:t>
      </w:r>
    </w:p>
    <w:p w14:paraId="5CFA6716">
      <w:pPr>
        <w:pStyle w:val="12"/>
        <w:pageBreakBefore w:val="0"/>
        <w:widowControl w:val="0"/>
        <w:kinsoku/>
        <w:wordWrap/>
        <w:overflowPunct/>
        <w:topLinePunct w:val="0"/>
        <w:bidi w:val="0"/>
        <w:spacing w:line="360" w:lineRule="auto"/>
        <w:ind w:left="0" w:leftChars="0" w:right="0" w:rightChars="0" w:firstLine="480" w:firstLineChars="200"/>
        <w:textAlignment w:val="auto"/>
        <w:rPr>
          <w:color w:val="auto"/>
          <w:sz w:val="24"/>
          <w:szCs w:val="24"/>
          <w:highlight w:val="none"/>
        </w:rPr>
      </w:pPr>
      <w:r>
        <w:rPr>
          <w:rFonts w:hint="eastAsia"/>
          <w:color w:val="auto"/>
          <w:sz w:val="24"/>
          <w:szCs w:val="24"/>
          <w:highlight w:val="none"/>
        </w:rPr>
        <w:t>关于计量周期及本合同计量方式和程序的约定：执行通用条款。</w:t>
      </w:r>
    </w:p>
    <w:p w14:paraId="6978A09A">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12.4 工程进度款支付</w:t>
      </w:r>
    </w:p>
    <w:p w14:paraId="26D0FEB1">
      <w:pPr>
        <w:pageBreakBefore w:val="0"/>
        <w:widowControl w:val="0"/>
        <w:kinsoku/>
        <w:wordWrap/>
        <w:overflowPunct/>
        <w:topLinePunct w:val="0"/>
        <w:bidi w:val="0"/>
        <w:snapToGrid w:val="0"/>
        <w:spacing w:line="360" w:lineRule="auto"/>
        <w:ind w:left="0" w:leftChars="0" w:right="0" w:rightChars="0" w:firstLine="420"/>
        <w:textAlignment w:val="auto"/>
        <w:rPr>
          <w:rFonts w:hint="eastAsia" w:hAnsi="宋体" w:cs="宋体"/>
          <w:color w:val="auto"/>
          <w:sz w:val="24"/>
          <w:szCs w:val="24"/>
          <w:highlight w:val="none"/>
          <w:u w:val="single"/>
        </w:rPr>
      </w:pPr>
      <w:r>
        <w:rPr>
          <w:rFonts w:hint="eastAsia" w:ascii="宋体" w:hAnsi="宋体" w:cs="宋体"/>
          <w:color w:val="auto"/>
          <w:sz w:val="24"/>
          <w:szCs w:val="24"/>
          <w:highlight w:val="none"/>
        </w:rPr>
        <w:t>关于付款周期、进度款支付程序和方法的约定</w:t>
      </w:r>
      <w:bookmarkStart w:id="426" w:name="_Toc364853235"/>
      <w:r>
        <w:rPr>
          <w:rFonts w:hint="eastAsia" w:ascii="宋体" w:hAnsi="宋体" w:cs="宋体"/>
          <w:color w:val="auto"/>
          <w:sz w:val="24"/>
          <w:szCs w:val="24"/>
          <w:highlight w:val="none"/>
        </w:rPr>
        <w:t>：</w:t>
      </w:r>
      <w:r>
        <w:rPr>
          <w:rFonts w:hint="eastAsia" w:hAnsi="宋体" w:cs="宋体"/>
          <w:color w:val="auto"/>
          <w:sz w:val="24"/>
          <w:szCs w:val="24"/>
          <w:highlight w:val="none"/>
          <w:u w:val="single"/>
        </w:rPr>
        <w:t>工程竣工验收合格</w:t>
      </w:r>
      <w:r>
        <w:rPr>
          <w:rFonts w:hint="eastAsia" w:hAnsi="宋体" w:cs="宋体"/>
          <w:color w:val="auto"/>
          <w:sz w:val="24"/>
          <w:szCs w:val="24"/>
          <w:highlight w:val="none"/>
          <w:u w:val="single"/>
          <w:lang w:val="en-US" w:eastAsia="zh-CN"/>
        </w:rPr>
        <w:t>且收到发票</w:t>
      </w:r>
      <w:r>
        <w:rPr>
          <w:rFonts w:hint="eastAsia" w:hAnsi="宋体" w:cs="宋体"/>
          <w:color w:val="auto"/>
          <w:sz w:val="24"/>
          <w:szCs w:val="24"/>
          <w:highlight w:val="none"/>
          <w:u w:val="single"/>
        </w:rPr>
        <w:t>后</w:t>
      </w:r>
      <w:r>
        <w:rPr>
          <w:rFonts w:hint="eastAsia" w:hAnsi="宋体" w:cs="宋体"/>
          <w:color w:val="auto"/>
          <w:sz w:val="24"/>
          <w:szCs w:val="24"/>
          <w:highlight w:val="none"/>
          <w:u w:val="single"/>
          <w:lang w:val="en-US" w:eastAsia="zh-CN"/>
        </w:rPr>
        <w:t>15个工作日内</w:t>
      </w:r>
      <w:r>
        <w:rPr>
          <w:rFonts w:hint="eastAsia" w:hAnsi="宋体" w:cs="宋体"/>
          <w:color w:val="auto"/>
          <w:sz w:val="24"/>
          <w:szCs w:val="24"/>
          <w:highlight w:val="none"/>
          <w:u w:val="single"/>
        </w:rPr>
        <w:t>支付至合同价款的85%；待竣工结算经</w:t>
      </w:r>
      <w:r>
        <w:rPr>
          <w:rFonts w:hint="eastAsia" w:hAnsi="宋体" w:cs="宋体"/>
          <w:color w:val="auto"/>
          <w:sz w:val="24"/>
          <w:szCs w:val="24"/>
          <w:highlight w:val="none"/>
          <w:u w:val="single"/>
          <w:lang w:eastAsia="zh-CN"/>
        </w:rPr>
        <w:t>发包人</w:t>
      </w:r>
      <w:r>
        <w:rPr>
          <w:rFonts w:hint="eastAsia" w:hAnsi="宋体" w:cs="宋体"/>
          <w:color w:val="auto"/>
          <w:sz w:val="24"/>
          <w:szCs w:val="24"/>
          <w:highlight w:val="none"/>
          <w:u w:val="single"/>
        </w:rPr>
        <w:t>委托的造价咨询机构审核</w:t>
      </w:r>
      <w:r>
        <w:rPr>
          <w:rFonts w:hint="eastAsia" w:hAnsi="宋体" w:cs="宋体"/>
          <w:color w:val="auto"/>
          <w:sz w:val="24"/>
          <w:szCs w:val="24"/>
          <w:highlight w:val="none"/>
          <w:u w:val="single"/>
          <w:lang w:eastAsia="zh-CN"/>
        </w:rPr>
        <w:t>通过后</w:t>
      </w:r>
      <w:r>
        <w:rPr>
          <w:rFonts w:hint="eastAsia" w:hAnsi="宋体" w:cs="宋体"/>
          <w:color w:val="auto"/>
          <w:sz w:val="24"/>
          <w:szCs w:val="24"/>
          <w:highlight w:val="none"/>
          <w:u w:val="single"/>
          <w:lang w:val="en-US" w:eastAsia="zh-CN"/>
        </w:rPr>
        <w:t>且收到发票</w:t>
      </w:r>
      <w:r>
        <w:rPr>
          <w:rFonts w:hint="eastAsia" w:hAnsi="宋体" w:cs="宋体"/>
          <w:color w:val="auto"/>
          <w:sz w:val="24"/>
          <w:szCs w:val="24"/>
          <w:highlight w:val="none"/>
          <w:u w:val="single"/>
        </w:rPr>
        <w:t>后</w:t>
      </w:r>
      <w:r>
        <w:rPr>
          <w:rFonts w:hint="eastAsia" w:hAnsi="宋体" w:cs="宋体"/>
          <w:color w:val="auto"/>
          <w:sz w:val="24"/>
          <w:szCs w:val="24"/>
          <w:highlight w:val="none"/>
          <w:u w:val="single"/>
          <w:lang w:val="en-US" w:eastAsia="zh-CN"/>
        </w:rPr>
        <w:t>15个工作日内</w:t>
      </w:r>
      <w:r>
        <w:rPr>
          <w:rFonts w:hint="eastAsia" w:hAnsi="宋体" w:cs="宋体"/>
          <w:color w:val="auto"/>
          <w:sz w:val="24"/>
          <w:szCs w:val="24"/>
          <w:highlight w:val="none"/>
          <w:u w:val="single"/>
        </w:rPr>
        <w:t>支付至结算审核价款的98.5%，余款在工程缺陷责任期满后15个工作日内付清。</w:t>
      </w:r>
    </w:p>
    <w:p w14:paraId="3FFA032C">
      <w:pPr>
        <w:pageBreakBefore w:val="0"/>
        <w:widowControl w:val="0"/>
        <w:kinsoku/>
        <w:wordWrap/>
        <w:overflowPunct/>
        <w:topLinePunct w:val="0"/>
        <w:bidi w:val="0"/>
        <w:snapToGrid w:val="0"/>
        <w:spacing w:line="360" w:lineRule="auto"/>
        <w:ind w:left="0" w:leftChars="0" w:right="0" w:rightChars="0" w:firstLine="42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cs="宋体"/>
          <w:bCs/>
          <w:color w:val="auto"/>
          <w:sz w:val="24"/>
          <w:szCs w:val="24"/>
          <w:highlight w:val="none"/>
          <w:lang w:val="en-US" w:eastAsia="zh-CN"/>
        </w:rPr>
        <w:t>注：</w:t>
      </w:r>
      <w:r>
        <w:rPr>
          <w:rFonts w:hint="eastAsia" w:ascii="宋体" w:hAnsi="宋体" w:cs="宋体"/>
          <w:bCs/>
          <w:color w:val="auto"/>
          <w:sz w:val="24"/>
          <w:szCs w:val="24"/>
          <w:highlight w:val="none"/>
        </w:rPr>
        <w:t>每次付款前，</w:t>
      </w:r>
      <w:r>
        <w:rPr>
          <w:rFonts w:hint="eastAsia" w:ascii="宋体" w:hAnsi="宋体" w:cs="宋体"/>
          <w:bCs/>
          <w:color w:val="auto"/>
          <w:sz w:val="24"/>
          <w:szCs w:val="24"/>
          <w:highlight w:val="none"/>
          <w:lang w:val="en-US" w:eastAsia="zh-CN"/>
        </w:rPr>
        <w:t>承包人</w:t>
      </w:r>
      <w:r>
        <w:rPr>
          <w:rFonts w:hint="eastAsia" w:ascii="宋体" w:hAnsi="宋体" w:cs="宋体"/>
          <w:bCs/>
          <w:color w:val="auto"/>
          <w:sz w:val="24"/>
          <w:szCs w:val="24"/>
          <w:highlight w:val="none"/>
        </w:rPr>
        <w:t>需向</w:t>
      </w:r>
      <w:r>
        <w:rPr>
          <w:rFonts w:hint="eastAsia" w:ascii="宋体" w:hAnsi="宋体" w:cs="宋体"/>
          <w:bCs/>
          <w:color w:val="auto"/>
          <w:sz w:val="24"/>
          <w:szCs w:val="24"/>
          <w:highlight w:val="none"/>
          <w:lang w:val="en-US" w:eastAsia="zh-CN"/>
        </w:rPr>
        <w:t>发包人</w:t>
      </w:r>
      <w:r>
        <w:rPr>
          <w:rFonts w:hint="eastAsia" w:ascii="宋体" w:hAnsi="宋体" w:cs="宋体"/>
          <w:bCs/>
          <w:color w:val="auto"/>
          <w:sz w:val="24"/>
          <w:szCs w:val="24"/>
          <w:highlight w:val="none"/>
        </w:rPr>
        <w:t>开具合法足额的增值税专用发票。</w:t>
      </w:r>
    </w:p>
    <w:p w14:paraId="6871C7E6">
      <w:pPr>
        <w:pageBreakBefore w:val="0"/>
        <w:widowControl w:val="0"/>
        <w:kinsoku/>
        <w:wordWrap/>
        <w:overflowPunct/>
        <w:topLinePunct w:val="0"/>
        <w:bidi w:val="0"/>
        <w:snapToGrid w:val="0"/>
        <w:spacing w:line="360" w:lineRule="auto"/>
        <w:ind w:left="0" w:leftChars="0" w:right="0" w:rightChars="0" w:firstLine="422"/>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13. 验收和工程试车</w:t>
      </w:r>
      <w:bookmarkEnd w:id="426"/>
    </w:p>
    <w:p w14:paraId="59F2DE1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13.1 分部分项工程验收</w:t>
      </w:r>
    </w:p>
    <w:p w14:paraId="49D1C51B">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13.1.2 监理人不能按时进行验收时，应提前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小时提交书面延期要求，但延期不能超过48小时。</w:t>
      </w:r>
    </w:p>
    <w:p w14:paraId="4F51836A">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13.2 竣工验收</w:t>
      </w:r>
    </w:p>
    <w:p w14:paraId="11416AD9">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13.2.2 竣工验收程序</w:t>
      </w:r>
    </w:p>
    <w:p w14:paraId="05E8AB8E">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关于竣工验收程序的约定：执行通用条款。</w:t>
      </w:r>
    </w:p>
    <w:p w14:paraId="1DA6728E">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发包人不按照本项约定组织竣工验收、颁发工程接收证书的违约金的计算方法：执行通用条款。</w:t>
      </w:r>
    </w:p>
    <w:p w14:paraId="66E7380D">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13.2.5　移交、接收全部与部分工程</w:t>
      </w:r>
    </w:p>
    <w:p w14:paraId="2641716E">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承包人向发包人移交工程的期限：在颁发工程接收证书后</w:t>
      </w:r>
      <w:r>
        <w:rPr>
          <w:rFonts w:hint="eastAsia" w:ascii="宋体" w:hAnsi="宋体" w:cs="宋体"/>
          <w:color w:val="auto"/>
          <w:sz w:val="24"/>
          <w:szCs w:val="24"/>
          <w:highlight w:val="none"/>
          <w:u w:val="single"/>
        </w:rPr>
        <w:t xml:space="preserve">7 </w:t>
      </w:r>
      <w:r>
        <w:rPr>
          <w:rFonts w:hint="eastAsia" w:ascii="宋体" w:hAnsi="宋体" w:cs="宋体"/>
          <w:color w:val="auto"/>
          <w:sz w:val="24"/>
          <w:szCs w:val="24"/>
          <w:highlight w:val="none"/>
        </w:rPr>
        <w:t>天内完成工程的移交。</w:t>
      </w:r>
    </w:p>
    <w:p w14:paraId="1660EFB5">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发包人无正当理由未按本合同约定接收全部或部分工程的，除承担自应接收工程</w:t>
      </w:r>
      <w:r>
        <w:rPr>
          <w:rFonts w:hint="eastAsia" w:ascii="宋体" w:hAnsi="宋体" w:cs="宋体"/>
          <w:color w:val="auto"/>
          <w:sz w:val="24"/>
          <w:szCs w:val="24"/>
          <w:highlight w:val="none"/>
        </w:rPr>
        <w:t>之日起的工程照管、成本保护、保管等与工程有关的各项费用外，应当按本专用条款约定的</w:t>
      </w:r>
      <w:r>
        <w:rPr>
          <w:rFonts w:hint="eastAsia" w:ascii="宋体" w:hAnsi="宋体" w:cs="宋体"/>
          <w:color w:val="auto"/>
          <w:kern w:val="0"/>
          <w:sz w:val="24"/>
          <w:szCs w:val="24"/>
          <w:highlight w:val="none"/>
        </w:rPr>
        <w:t>提前竣工奖励的5倍标准</w:t>
      </w:r>
      <w:r>
        <w:rPr>
          <w:rFonts w:hint="eastAsia" w:ascii="宋体" w:hAnsi="宋体" w:cs="宋体"/>
          <w:color w:val="auto"/>
          <w:sz w:val="24"/>
          <w:szCs w:val="24"/>
          <w:highlight w:val="none"/>
        </w:rPr>
        <w:t>向承包人支付逾期接收工程的违约金。</w:t>
      </w:r>
    </w:p>
    <w:p w14:paraId="5ECD9DC8">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4"/>
          <w:szCs w:val="24"/>
          <w:highlight w:val="none"/>
        </w:rPr>
        <w:t>包人支付逾期移交工程的违约金。</w:t>
      </w:r>
    </w:p>
    <w:p w14:paraId="4A2436AB">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13.3 工程试车</w:t>
      </w:r>
    </w:p>
    <w:p w14:paraId="4BAD2BC1">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13.3.1 关于试车程序及费用的约定：执行通用条款。</w:t>
      </w:r>
    </w:p>
    <w:p w14:paraId="49026BDC">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13.3.3　关于投料试车相关事项的约定：执行通用条款。</w:t>
      </w:r>
    </w:p>
    <w:p w14:paraId="0C492D9D">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13.6 竣工退场</w:t>
      </w:r>
    </w:p>
    <w:p w14:paraId="64EF0F26">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13.6.1 竣工退场</w:t>
      </w:r>
    </w:p>
    <w:p w14:paraId="5E33A854">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承包人应当在发包人颁发工程接收证书后</w:t>
      </w:r>
      <w:r>
        <w:rPr>
          <w:rFonts w:hint="eastAsia" w:ascii="宋体" w:hAnsi="宋体" w:cs="宋体"/>
          <w:color w:val="auto"/>
          <w:sz w:val="24"/>
          <w:szCs w:val="24"/>
          <w:highlight w:val="none"/>
          <w:u w:val="single"/>
        </w:rPr>
        <w:t>14</w:t>
      </w:r>
      <w:r>
        <w:rPr>
          <w:rFonts w:hint="eastAsia" w:ascii="宋体" w:hAnsi="宋体" w:cs="宋体"/>
          <w:color w:val="auto"/>
          <w:kern w:val="0"/>
          <w:sz w:val="24"/>
          <w:szCs w:val="24"/>
          <w:highlight w:val="none"/>
        </w:rPr>
        <w:t>天</w:t>
      </w:r>
      <w:r>
        <w:rPr>
          <w:rFonts w:hint="eastAsia" w:ascii="宋体" w:hAnsi="宋体" w:cs="宋体"/>
          <w:color w:val="auto"/>
          <w:sz w:val="24"/>
          <w:szCs w:val="24"/>
          <w:highlight w:val="none"/>
        </w:rPr>
        <w:t>内完成竣工退场，逾期未完成的，按通用条款执行。</w:t>
      </w:r>
    </w:p>
    <w:p w14:paraId="0FB63423">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bookmarkStart w:id="427" w:name="_Toc364853236"/>
      <w:r>
        <w:rPr>
          <w:rFonts w:hint="eastAsia" w:ascii="宋体" w:hAnsi="宋体" w:cs="宋体"/>
          <w:color w:val="auto"/>
          <w:sz w:val="24"/>
          <w:szCs w:val="24"/>
          <w:highlight w:val="none"/>
        </w:rPr>
        <w:t>14. 竣工结算</w:t>
      </w:r>
      <w:bookmarkEnd w:id="427"/>
    </w:p>
    <w:p w14:paraId="48B87497">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14.1 竣工结算申请</w:t>
      </w:r>
    </w:p>
    <w:p w14:paraId="685E7FD7">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承包人应当在工程竣工验收合格后</w:t>
      </w:r>
      <w:r>
        <w:rPr>
          <w:rFonts w:hint="eastAsia" w:ascii="宋体" w:hAnsi="宋体" w:cs="宋体"/>
          <w:color w:val="auto"/>
          <w:sz w:val="24"/>
          <w:szCs w:val="24"/>
          <w:highlight w:val="none"/>
          <w:u w:val="single"/>
        </w:rPr>
        <w:t>　28　</w:t>
      </w:r>
      <w:r>
        <w:rPr>
          <w:rFonts w:hint="eastAsia" w:ascii="宋体" w:hAnsi="宋体" w:cs="宋体"/>
          <w:color w:val="auto"/>
          <w:kern w:val="0"/>
          <w:sz w:val="24"/>
          <w:szCs w:val="24"/>
          <w:highlight w:val="none"/>
        </w:rPr>
        <w:t>天</w:t>
      </w:r>
      <w:r>
        <w:rPr>
          <w:rFonts w:hint="eastAsia" w:ascii="宋体" w:hAnsi="宋体" w:cs="宋体"/>
          <w:color w:val="auto"/>
          <w:sz w:val="24"/>
          <w:szCs w:val="24"/>
          <w:highlight w:val="none"/>
        </w:rPr>
        <w:t>内向发包人或其委托的工程造价咨询人提交竣工结算申请单及其完整的结算资料3份。</w:t>
      </w:r>
    </w:p>
    <w:p w14:paraId="0ADD39B1">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12F2F200">
      <w:pPr>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竣工结算申请单应包括的内容：按通用条款执行。</w:t>
      </w:r>
    </w:p>
    <w:p w14:paraId="4DC9829F">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14.2 竣工结算审核</w:t>
      </w:r>
    </w:p>
    <w:p w14:paraId="79C3B8A3">
      <w:pPr>
        <w:pStyle w:val="74"/>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14.2.1 竣工结算审核</w:t>
      </w:r>
    </w:p>
    <w:p w14:paraId="49A43BDE">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（1）发包人在收到承包人完整的竣工结算审核申请资料后，应在28天内及时提交发包人指定的第三方结算审核单位审核，发包人指定的第三方结算审核单位出具结算审核报告后，发包人应在</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天内签发竣工付款证书。</w:t>
      </w:r>
    </w:p>
    <w:p w14:paraId="60FCFF5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发包人在收到承包人提交的竣工结算申请单后</w:t>
      </w:r>
      <w:r>
        <w:rPr>
          <w:rFonts w:hint="eastAsia" w:ascii="宋体" w:hAnsi="宋体" w:cs="宋体"/>
          <w:color w:val="auto"/>
          <w:sz w:val="24"/>
          <w:szCs w:val="24"/>
          <w:highlight w:val="none"/>
          <w:u w:val="single"/>
        </w:rPr>
        <w:t>　28　</w:t>
      </w:r>
      <w:r>
        <w:rPr>
          <w:rFonts w:hint="eastAsia" w:ascii="宋体" w:hAnsi="宋体" w:cs="宋体"/>
          <w:color w:val="auto"/>
          <w:sz w:val="24"/>
          <w:szCs w:val="24"/>
          <w:highlight w:val="none"/>
        </w:rPr>
        <w:t>天未提出异议或者未出具结算报告的，视为发包人认可承包人提交的竣工结算申请单，逾期，视为已签发竣工付款证书。</w:t>
      </w:r>
    </w:p>
    <w:p w14:paraId="22B77D1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（2）发包人应在签发竣工付款证书后</w:t>
      </w:r>
      <w:r>
        <w:rPr>
          <w:rFonts w:hint="eastAsia" w:ascii="宋体" w:hAnsi="宋体" w:cs="宋体"/>
          <w:color w:val="auto"/>
          <w:sz w:val="24"/>
          <w:szCs w:val="24"/>
          <w:highlight w:val="none"/>
          <w:u w:val="single"/>
        </w:rPr>
        <w:t>　7　</w:t>
      </w:r>
      <w:r>
        <w:rPr>
          <w:rFonts w:hint="eastAsia" w:ascii="宋体" w:hAnsi="宋体" w:cs="宋体"/>
          <w:color w:val="auto"/>
          <w:sz w:val="24"/>
          <w:szCs w:val="24"/>
          <w:highlight w:val="none"/>
        </w:rPr>
        <w:t>天内，完成对承包人的竣工付款。发包人逾期支付的违约责任按通用条款执行。</w:t>
      </w:r>
    </w:p>
    <w:p w14:paraId="715019E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9C063D7">
      <w:pPr>
        <w:pageBreakBefore w:val="0"/>
        <w:widowControl w:val="0"/>
        <w:kinsoku/>
        <w:wordWrap/>
        <w:overflowPunct/>
        <w:topLinePunct w:val="0"/>
        <w:bidi w:val="0"/>
        <w:spacing w:line="360" w:lineRule="auto"/>
        <w:ind w:left="0" w:leftChars="0" w:right="0" w:rightChars="0" w:firstLine="600" w:firstLineChars="25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（4）委托中介机构进行竣工结算审核时发生追加费，其费用由承包方承担。结算追加费执行浙价服【2009】84号标准，结合奉化财政局规定执行。</w:t>
      </w:r>
    </w:p>
    <w:p w14:paraId="3B0D478B">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（5）关于承包人收款账户的约定：执行通用条款。</w:t>
      </w:r>
    </w:p>
    <w:p w14:paraId="00812AE3">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14.4 最终结清</w:t>
      </w:r>
    </w:p>
    <w:p w14:paraId="49B14EFB">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bookmarkStart w:id="428" w:name="_Toc364853237"/>
      <w:r>
        <w:rPr>
          <w:rFonts w:hint="eastAsia" w:ascii="宋体" w:hAnsi="宋体" w:cs="宋体"/>
          <w:color w:val="auto"/>
          <w:sz w:val="24"/>
          <w:szCs w:val="24"/>
          <w:highlight w:val="none"/>
        </w:rPr>
        <w:t>14.4.1 最终结清申请单</w:t>
      </w:r>
    </w:p>
    <w:p w14:paraId="25F0FB20">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（1）承包人应在缺陷责任期终止证书颁发后7天内提交3份最终结清申请单，并提供相关证明材料。最终结清申请单应列明质量保证金、应扣除的质量保证金、缺陷责任期内发生的增减费用。</w:t>
      </w:r>
    </w:p>
    <w:p w14:paraId="04D45164">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（2）发包人对最终结清申请单内容有异议的，有权要求承包人进行修正和提供补充资料，但应当出具书面意见。承包人应当按照发包人的书面意见提交修正后的最终结清申请单。</w:t>
      </w:r>
    </w:p>
    <w:p w14:paraId="6E0A08FE">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26F2BFC5">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（1）发包人应在收到承包人提交的最终结清申请单后</w:t>
      </w:r>
      <w:r>
        <w:rPr>
          <w:rFonts w:hint="eastAsia" w:ascii="宋体" w:hAnsi="宋体" w:cs="宋体"/>
          <w:color w:val="auto"/>
          <w:sz w:val="24"/>
          <w:szCs w:val="24"/>
          <w:highlight w:val="none"/>
          <w:u w:val="single"/>
        </w:rPr>
        <w:t>14</w:t>
      </w:r>
      <w:r>
        <w:rPr>
          <w:rFonts w:hint="eastAsia" w:ascii="宋体" w:hAnsi="宋体" w:cs="宋体"/>
          <w:color w:val="auto"/>
          <w:sz w:val="24"/>
          <w:szCs w:val="24"/>
          <w:highlight w:val="none"/>
        </w:rPr>
        <w:t>天内完成审批并向承包人颁发最终结清证书。发包人逾期未完成审批，又未提出修改意见的，视为发包人同意承包人提交的最终结清申请单并已颁发最终结清证书 。</w:t>
      </w:r>
    </w:p>
    <w:p w14:paraId="2AB3078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（2）发包人应在颁发最终结清证书后</w:t>
      </w:r>
      <w:r>
        <w:rPr>
          <w:rFonts w:hint="eastAsia" w:ascii="宋体" w:hAnsi="宋体" w:cs="宋体"/>
          <w:color w:val="auto"/>
          <w:sz w:val="24"/>
          <w:szCs w:val="24"/>
          <w:highlight w:val="none"/>
          <w:u w:val="single"/>
        </w:rPr>
        <w:t>　7　</w:t>
      </w:r>
      <w:r>
        <w:rPr>
          <w:rFonts w:hint="eastAsia" w:ascii="宋体" w:hAnsi="宋体" w:cs="宋体"/>
          <w:color w:val="auto"/>
          <w:kern w:val="0"/>
          <w:sz w:val="24"/>
          <w:szCs w:val="24"/>
          <w:highlight w:val="none"/>
        </w:rPr>
        <w:t>天</w:t>
      </w:r>
      <w:r>
        <w:rPr>
          <w:rFonts w:hint="eastAsia" w:ascii="宋体" w:hAnsi="宋体" w:cs="宋体"/>
          <w:color w:val="auto"/>
          <w:sz w:val="24"/>
          <w:szCs w:val="24"/>
          <w:highlight w:val="none"/>
        </w:rPr>
        <w:t>内完成支付。发包人逾期支付的违约责任按通用条款执行。</w:t>
      </w:r>
    </w:p>
    <w:p w14:paraId="6DF910BD">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15. 缺陷责任期与保修</w:t>
      </w:r>
      <w:bookmarkEnd w:id="428"/>
    </w:p>
    <w:p w14:paraId="4440C904">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15.2缺陷责任期</w:t>
      </w:r>
    </w:p>
    <w:p w14:paraId="2E6534F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15.2.1 本合同缺陷责任期为</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个月。</w:t>
      </w:r>
    </w:p>
    <w:p w14:paraId="31166BEC">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4"/>
          <w:szCs w:val="24"/>
          <w:highlight w:val="none"/>
          <w:u w:val="single"/>
        </w:rPr>
        <w:t xml:space="preserve">　12  </w:t>
      </w:r>
      <w:r>
        <w:rPr>
          <w:rFonts w:hint="eastAsia" w:ascii="宋体" w:hAnsi="宋体" w:cs="宋体"/>
          <w:color w:val="auto"/>
          <w:sz w:val="24"/>
          <w:szCs w:val="24"/>
          <w:highlight w:val="none"/>
        </w:rPr>
        <w:t>个月。</w:t>
      </w:r>
    </w:p>
    <w:p w14:paraId="27BC5F3E">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15.3 质量保证担保</w:t>
      </w:r>
    </w:p>
    <w:p w14:paraId="01684DA7">
      <w:pPr>
        <w:pStyle w:val="68"/>
        <w:pageBreakBefore w:val="0"/>
        <w:widowControl w:val="0"/>
        <w:kinsoku/>
        <w:wordWrap/>
        <w:overflowPunct/>
        <w:topLinePunct w:val="0"/>
        <w:bidi w:val="0"/>
        <w:spacing w:line="360" w:lineRule="auto"/>
        <w:ind w:left="0" w:leftChars="0" w:right="0" w:rightChars="0" w:firstLine="456" w:firstLineChars="190"/>
        <w:textAlignment w:val="auto"/>
        <w:rPr>
          <w:rFonts w:hint="eastAsia" w:hAnsi="宋体" w:cs="宋体"/>
          <w:b w:val="0"/>
          <w:color w:val="auto"/>
          <w:sz w:val="24"/>
          <w:szCs w:val="24"/>
          <w:highlight w:val="none"/>
        </w:rPr>
      </w:pPr>
      <w:r>
        <w:rPr>
          <w:rFonts w:hint="eastAsia" w:hAnsi="宋体" w:cs="宋体"/>
          <w:b w:val="0"/>
          <w:color w:val="auto"/>
          <w:sz w:val="24"/>
          <w:szCs w:val="24"/>
          <w:highlight w:val="none"/>
        </w:rPr>
        <w:t>（1）质量担保形式为：保证金/保险/银行保函/担保保函。</w:t>
      </w:r>
    </w:p>
    <w:p w14:paraId="5CEA06AF">
      <w:pPr>
        <w:pStyle w:val="68"/>
        <w:pageBreakBefore w:val="0"/>
        <w:widowControl w:val="0"/>
        <w:kinsoku/>
        <w:wordWrap/>
        <w:overflowPunct/>
        <w:topLinePunct w:val="0"/>
        <w:bidi w:val="0"/>
        <w:spacing w:line="360" w:lineRule="auto"/>
        <w:ind w:left="0" w:leftChars="0" w:right="0" w:rightChars="0" w:firstLine="456" w:firstLineChars="190"/>
        <w:textAlignment w:val="auto"/>
        <w:rPr>
          <w:rFonts w:hint="eastAsia" w:hAnsi="宋体" w:cs="宋体"/>
          <w:b w:val="0"/>
          <w:color w:val="auto"/>
          <w:sz w:val="24"/>
          <w:szCs w:val="24"/>
          <w:highlight w:val="none"/>
        </w:rPr>
      </w:pPr>
      <w:r>
        <w:rPr>
          <w:rFonts w:hint="eastAsia" w:hAnsi="宋体" w:cs="宋体"/>
          <w:b w:val="0"/>
          <w:color w:val="auto"/>
          <w:sz w:val="24"/>
          <w:szCs w:val="24"/>
          <w:highlight w:val="none"/>
        </w:rPr>
        <w:t>① 质量保证采用非保证金形式的，承包人最迟在缺陷责任期开始前7日将向发包人提供。缺陷责任期延长的，承包人最迟应在原缺陷责任期届满之日前14天向发包人提交延长缺陷责任期的质量保证金保函或顺延原保函的有效期截止时间，否则发包人有权向第三方担保人提出索赔。</w:t>
      </w:r>
    </w:p>
    <w:p w14:paraId="55EA0BD3">
      <w:pPr>
        <w:pStyle w:val="68"/>
        <w:pageBreakBefore w:val="0"/>
        <w:widowControl w:val="0"/>
        <w:kinsoku/>
        <w:wordWrap/>
        <w:overflowPunct/>
        <w:topLinePunct w:val="0"/>
        <w:bidi w:val="0"/>
        <w:spacing w:line="360" w:lineRule="auto"/>
        <w:ind w:left="0" w:leftChars="0" w:right="0" w:rightChars="0" w:firstLine="456" w:firstLineChars="190"/>
        <w:textAlignment w:val="auto"/>
        <w:rPr>
          <w:rFonts w:hint="eastAsia" w:hAnsi="宋体" w:cs="宋体"/>
          <w:b w:val="0"/>
          <w:color w:val="auto"/>
          <w:sz w:val="24"/>
          <w:szCs w:val="24"/>
          <w:highlight w:val="none"/>
        </w:rPr>
      </w:pPr>
      <w:r>
        <w:rPr>
          <w:rFonts w:hint="eastAsia" w:hAnsi="宋体" w:cs="宋体"/>
          <w:b w:val="0"/>
          <w:color w:val="auto"/>
          <w:sz w:val="24"/>
          <w:szCs w:val="24"/>
          <w:highlight w:val="none"/>
        </w:rPr>
        <w:t>② 采用质量保证金的，在工程竣工结算时发包人在合同尾款中一次性扣留。</w:t>
      </w:r>
    </w:p>
    <w:p w14:paraId="12C62E7B">
      <w:pPr>
        <w:pStyle w:val="68"/>
        <w:pageBreakBefore w:val="0"/>
        <w:widowControl w:val="0"/>
        <w:kinsoku/>
        <w:wordWrap/>
        <w:overflowPunct/>
        <w:topLinePunct w:val="0"/>
        <w:bidi w:val="0"/>
        <w:spacing w:line="360" w:lineRule="auto"/>
        <w:ind w:left="0" w:leftChars="0" w:right="0" w:rightChars="0" w:firstLine="456" w:firstLineChars="190"/>
        <w:textAlignment w:val="auto"/>
        <w:rPr>
          <w:rFonts w:hint="eastAsia" w:hAnsi="宋体" w:cs="宋体"/>
          <w:b w:val="0"/>
          <w:color w:val="auto"/>
          <w:sz w:val="24"/>
          <w:szCs w:val="24"/>
          <w:highlight w:val="none"/>
        </w:rPr>
      </w:pPr>
      <w:r>
        <w:rPr>
          <w:rFonts w:hint="eastAsia" w:hAnsi="宋体" w:cs="宋体"/>
          <w:b w:val="0"/>
          <w:color w:val="auto"/>
          <w:sz w:val="24"/>
          <w:szCs w:val="24"/>
          <w:highlight w:val="none"/>
        </w:rPr>
        <w:t>（2）质量担保期限与第15.2款约定的缺陷责任期保持一致。</w:t>
      </w:r>
    </w:p>
    <w:p w14:paraId="0596DBF4">
      <w:pPr>
        <w:pStyle w:val="68"/>
        <w:pageBreakBefore w:val="0"/>
        <w:widowControl w:val="0"/>
        <w:kinsoku/>
        <w:wordWrap/>
        <w:overflowPunct/>
        <w:topLinePunct w:val="0"/>
        <w:bidi w:val="0"/>
        <w:spacing w:line="360" w:lineRule="auto"/>
        <w:ind w:left="0" w:leftChars="0" w:right="0" w:rightChars="0" w:firstLine="456" w:firstLineChars="190"/>
        <w:textAlignment w:val="auto"/>
        <w:rPr>
          <w:rFonts w:hint="eastAsia" w:hAnsi="宋体" w:cs="宋体"/>
          <w:b w:val="0"/>
          <w:color w:val="auto"/>
          <w:sz w:val="24"/>
          <w:szCs w:val="24"/>
          <w:highlight w:val="none"/>
        </w:rPr>
      </w:pPr>
      <w:r>
        <w:rPr>
          <w:rFonts w:hint="eastAsia" w:hAnsi="宋体" w:cs="宋体"/>
          <w:b w:val="0"/>
          <w:color w:val="auto"/>
          <w:sz w:val="24"/>
          <w:szCs w:val="24"/>
          <w:highlight w:val="none"/>
        </w:rPr>
        <w:t>（3）质量保证金额度为结算价款的</w:t>
      </w:r>
      <w:r>
        <w:rPr>
          <w:rFonts w:hint="eastAsia" w:hAnsi="宋体" w:cs="宋体"/>
          <w:b w:val="0"/>
          <w:color w:val="auto"/>
          <w:sz w:val="24"/>
          <w:szCs w:val="24"/>
          <w:highlight w:val="none"/>
          <w:u w:val="single"/>
        </w:rPr>
        <w:t>1.5%</w:t>
      </w:r>
      <w:r>
        <w:rPr>
          <w:rFonts w:hint="eastAsia" w:hAnsi="宋体" w:cs="宋体"/>
          <w:b w:val="0"/>
          <w:color w:val="auto"/>
          <w:sz w:val="24"/>
          <w:szCs w:val="24"/>
          <w:highlight w:val="none"/>
        </w:rPr>
        <w:t>。</w:t>
      </w:r>
    </w:p>
    <w:p w14:paraId="61BD5F4F">
      <w:pPr>
        <w:pStyle w:val="68"/>
        <w:pageBreakBefore w:val="0"/>
        <w:widowControl w:val="0"/>
        <w:kinsoku/>
        <w:wordWrap/>
        <w:overflowPunct/>
        <w:topLinePunct w:val="0"/>
        <w:bidi w:val="0"/>
        <w:spacing w:line="360" w:lineRule="auto"/>
        <w:ind w:left="0" w:leftChars="0" w:right="0" w:rightChars="0" w:firstLine="456" w:firstLineChars="190"/>
        <w:textAlignment w:val="auto"/>
        <w:rPr>
          <w:rFonts w:hint="eastAsia" w:hAnsi="宋体" w:cs="宋体"/>
          <w:b w:val="0"/>
          <w:color w:val="auto"/>
          <w:sz w:val="24"/>
          <w:szCs w:val="24"/>
          <w:highlight w:val="none"/>
        </w:rPr>
      </w:pPr>
      <w:r>
        <w:rPr>
          <w:rFonts w:hint="eastAsia" w:hAnsi="宋体" w:cs="宋体"/>
          <w:b w:val="0"/>
          <w:color w:val="auto"/>
          <w:sz w:val="24"/>
          <w:szCs w:val="24"/>
          <w:highlight w:val="none"/>
        </w:rPr>
        <w:t>（4）承包人与质量保证担保有关的任何利息或其它类似的费用或者收益由承包人承担；因承包人原因导致缺陷责任期延长的，继续提供质量保证担保所增加的费用由承包人承担。</w:t>
      </w:r>
    </w:p>
    <w:p w14:paraId="477C9F0F">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15.4保修</w:t>
      </w:r>
    </w:p>
    <w:p w14:paraId="60903D3E">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kern w:val="0"/>
          <w:sz w:val="24"/>
          <w:szCs w:val="24"/>
          <w:highlight w:val="none"/>
        </w:rPr>
      </w:pPr>
      <w:bookmarkStart w:id="429" w:name="_Toc364853238"/>
      <w:r>
        <w:rPr>
          <w:rFonts w:hint="eastAsia" w:ascii="宋体" w:hAnsi="宋体" w:cs="宋体"/>
          <w:color w:val="auto"/>
          <w:kern w:val="0"/>
          <w:sz w:val="24"/>
          <w:szCs w:val="24"/>
          <w:highlight w:val="none"/>
        </w:rPr>
        <w:t>15.4.1 保修责任</w:t>
      </w:r>
    </w:p>
    <w:p w14:paraId="5932DAA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工程保修期为：按现行国家有关规定执行（具体详见本章附件 1“工程质量保修书”）。</w:t>
      </w:r>
    </w:p>
    <w:p w14:paraId="322C3633">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15.4.3 修复通知</w:t>
      </w:r>
    </w:p>
    <w:p w14:paraId="00136BA0">
      <w:pPr>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合同当事人</w:t>
      </w:r>
      <w:r>
        <w:rPr>
          <w:rFonts w:hint="eastAsia" w:ascii="宋体" w:hAnsi="宋体" w:eastAsia="宋体" w:cs="宋体"/>
          <w:color w:val="auto"/>
          <w:sz w:val="24"/>
          <w:szCs w:val="24"/>
          <w:highlight w:val="none"/>
        </w:rPr>
        <w:t>约定：</w:t>
      </w:r>
      <w:r>
        <w:rPr>
          <w:rFonts w:hint="eastAsia" w:ascii="宋体" w:hAnsi="宋体" w:eastAsia="宋体" w:cs="宋体"/>
          <w:color w:val="auto"/>
          <w:sz w:val="24"/>
          <w:szCs w:val="24"/>
          <w:highlight w:val="none"/>
          <w:lang w:val="en-US" w:eastAsia="zh-CN"/>
        </w:rPr>
        <w:t>承包人应在收到通知后24小时内到达工程现场并修复缺陷或损坏（含24小时）</w:t>
      </w:r>
      <w:r>
        <w:rPr>
          <w:rFonts w:hint="eastAsia" w:ascii="宋体" w:hAnsi="宋体" w:eastAsia="宋体" w:cs="宋体"/>
          <w:color w:val="auto"/>
          <w:sz w:val="24"/>
          <w:szCs w:val="24"/>
          <w:highlight w:val="none"/>
        </w:rPr>
        <w:t>。</w:t>
      </w:r>
    </w:p>
    <w:p w14:paraId="22A14DE4">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16. 违约</w:t>
      </w:r>
      <w:bookmarkEnd w:id="429"/>
    </w:p>
    <w:p w14:paraId="6C864B6D">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16.1 发包人违约</w:t>
      </w:r>
    </w:p>
    <w:p w14:paraId="1218E8B8">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16.1.1发包人违约的情形按通用条款确定。</w:t>
      </w:r>
    </w:p>
    <w:p w14:paraId="1A5FB9E3">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16.1.2 发包人违约的责任</w:t>
      </w:r>
    </w:p>
    <w:p w14:paraId="42C845E1">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发包人应承担其违约承包人增加的费用和（或）延误工期，并支付承包人合理的利润。</w:t>
      </w:r>
    </w:p>
    <w:p w14:paraId="76A6EE1D">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16.1.3  关于发包人违约解除合同的约定：执行通用条款。</w:t>
      </w:r>
    </w:p>
    <w:p w14:paraId="755F89AB">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16.2 承包人违约</w:t>
      </w:r>
    </w:p>
    <w:p w14:paraId="7DB545CF">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bookmarkStart w:id="430" w:name="_Toc364853239"/>
      <w:r>
        <w:rPr>
          <w:rFonts w:hint="eastAsia" w:ascii="宋体" w:hAnsi="宋体" w:cs="宋体"/>
          <w:color w:val="auto"/>
          <w:sz w:val="24"/>
          <w:szCs w:val="24"/>
          <w:highlight w:val="none"/>
        </w:rPr>
        <w:t>16.2.1 承包人违约的情形按通用条款确定。</w:t>
      </w:r>
    </w:p>
    <w:p w14:paraId="63E5C769">
      <w:pPr>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16.2.2承包人违约的责任</w:t>
      </w:r>
    </w:p>
    <w:p w14:paraId="02C097B5">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承包人违约责任的承担方式和计算方法：</w:t>
      </w:r>
    </w:p>
    <w:p w14:paraId="759FEBFF">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（1）未达到承诺的施工工期的，承担逾期竣工违约金为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000 </w:t>
      </w:r>
      <w:r>
        <w:rPr>
          <w:rFonts w:hint="eastAsia" w:ascii="宋体" w:hAnsi="宋体" w:cs="宋体"/>
          <w:color w:val="auto"/>
          <w:sz w:val="24"/>
          <w:szCs w:val="24"/>
          <w:highlight w:val="none"/>
        </w:rPr>
        <w:t>元/天，逾期竣工违约金的限额为</w:t>
      </w:r>
      <w:r>
        <w:rPr>
          <w:rFonts w:hint="eastAsia" w:ascii="宋体"/>
          <w:color w:val="auto"/>
          <w:sz w:val="24"/>
          <w:szCs w:val="24"/>
          <w:highlight w:val="none"/>
        </w:rPr>
        <w:t>合同价款的</w:t>
      </w:r>
      <w:r>
        <w:rPr>
          <w:rFonts w:hint="eastAsia" w:ascii="宋体"/>
          <w:color w:val="auto"/>
          <w:sz w:val="24"/>
          <w:szCs w:val="24"/>
          <w:highlight w:val="none"/>
          <w:u w:val="single"/>
        </w:rPr>
        <w:t xml:space="preserve"> 2 </w:t>
      </w:r>
      <w:r>
        <w:rPr>
          <w:rFonts w:hint="eastAsia" w:ascii="宋体"/>
          <w:color w:val="auto"/>
          <w:sz w:val="24"/>
          <w:szCs w:val="24"/>
          <w:highlight w:val="none"/>
        </w:rPr>
        <w:t>%</w:t>
      </w:r>
      <w:r>
        <w:rPr>
          <w:rFonts w:hint="eastAsia" w:ascii="宋体" w:hAnsi="宋体" w:cs="宋体"/>
          <w:color w:val="auto"/>
          <w:sz w:val="24"/>
          <w:szCs w:val="24"/>
          <w:highlight w:val="none"/>
        </w:rPr>
        <w:t>。</w:t>
      </w:r>
    </w:p>
    <w:p w14:paraId="54519153">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（2）未达到承诺的质量标准的，承担违约金限额为</w:t>
      </w:r>
      <w:r>
        <w:rPr>
          <w:rFonts w:hint="eastAsia" w:ascii="宋体"/>
          <w:color w:val="auto"/>
          <w:sz w:val="24"/>
          <w:szCs w:val="24"/>
          <w:highlight w:val="none"/>
        </w:rPr>
        <w:t>合同价款的</w:t>
      </w:r>
      <w:r>
        <w:rPr>
          <w:rFonts w:hint="eastAsia" w:ascii="宋体"/>
          <w:color w:val="auto"/>
          <w:sz w:val="24"/>
          <w:szCs w:val="24"/>
          <w:highlight w:val="none"/>
          <w:u w:val="single"/>
        </w:rPr>
        <w:t xml:space="preserve"> 1 </w:t>
      </w:r>
      <w:r>
        <w:rPr>
          <w:rFonts w:hint="eastAsia" w:ascii="宋体"/>
          <w:color w:val="auto"/>
          <w:sz w:val="24"/>
          <w:szCs w:val="24"/>
          <w:highlight w:val="none"/>
        </w:rPr>
        <w:t>%</w:t>
      </w:r>
      <w:r>
        <w:rPr>
          <w:rFonts w:hint="eastAsia" w:ascii="宋体" w:hAnsi="宋体" w:cs="宋体"/>
          <w:color w:val="auto"/>
          <w:sz w:val="24"/>
          <w:szCs w:val="24"/>
          <w:highlight w:val="none"/>
        </w:rPr>
        <w:t>；</w:t>
      </w:r>
    </w:p>
    <w:p w14:paraId="597C1A3C">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（3）未履行项目经理及主要施工管理人员到场要求违约金限额为</w:t>
      </w:r>
      <w:r>
        <w:rPr>
          <w:rFonts w:hint="eastAsia" w:ascii="宋体"/>
          <w:color w:val="auto"/>
          <w:sz w:val="24"/>
          <w:szCs w:val="24"/>
          <w:highlight w:val="none"/>
        </w:rPr>
        <w:t>合同价款的</w:t>
      </w:r>
      <w:r>
        <w:rPr>
          <w:rFonts w:hint="eastAsia" w:ascii="宋体"/>
          <w:color w:val="auto"/>
          <w:sz w:val="24"/>
          <w:szCs w:val="24"/>
          <w:highlight w:val="none"/>
          <w:u w:val="single"/>
        </w:rPr>
        <w:t xml:space="preserve"> 1 </w:t>
      </w:r>
      <w:r>
        <w:rPr>
          <w:rFonts w:hint="eastAsia" w:ascii="宋体"/>
          <w:color w:val="auto"/>
          <w:sz w:val="24"/>
          <w:szCs w:val="24"/>
          <w:highlight w:val="none"/>
        </w:rPr>
        <w:t>%</w:t>
      </w:r>
      <w:r>
        <w:rPr>
          <w:rFonts w:hint="eastAsia" w:ascii="宋体" w:hAnsi="宋体" w:cs="宋体"/>
          <w:color w:val="auto"/>
          <w:sz w:val="24"/>
          <w:szCs w:val="24"/>
          <w:highlight w:val="none"/>
        </w:rPr>
        <w:t>；</w:t>
      </w:r>
    </w:p>
    <w:p w14:paraId="3D60EBF6">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（4）未履行按</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配备施工所需的主要机械设备承诺的，承担违约金限额为</w:t>
      </w:r>
      <w:r>
        <w:rPr>
          <w:rFonts w:hint="eastAsia" w:ascii="宋体"/>
          <w:color w:val="auto"/>
          <w:sz w:val="24"/>
          <w:szCs w:val="24"/>
          <w:highlight w:val="none"/>
        </w:rPr>
        <w:t>合同价款的</w:t>
      </w:r>
      <w:r>
        <w:rPr>
          <w:rFonts w:hint="eastAsia" w:ascii="宋体"/>
          <w:color w:val="auto"/>
          <w:sz w:val="24"/>
          <w:szCs w:val="24"/>
          <w:highlight w:val="none"/>
          <w:u w:val="single"/>
        </w:rPr>
        <w:t>1</w:t>
      </w:r>
      <w:r>
        <w:rPr>
          <w:rFonts w:hint="eastAsia" w:ascii="宋体"/>
          <w:color w:val="auto"/>
          <w:sz w:val="24"/>
          <w:szCs w:val="24"/>
          <w:highlight w:val="none"/>
        </w:rPr>
        <w:t>%</w:t>
      </w:r>
      <w:r>
        <w:rPr>
          <w:rFonts w:hint="eastAsia" w:ascii="宋体" w:hAnsi="宋体" w:cs="宋体"/>
          <w:color w:val="auto"/>
          <w:sz w:val="24"/>
          <w:szCs w:val="24"/>
          <w:highlight w:val="none"/>
        </w:rPr>
        <w:t>；</w:t>
      </w:r>
    </w:p>
    <w:p w14:paraId="3E212B55">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承包人未履行按</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配备施工所需的主要机械设备承诺，经监理人和发包人认定影响施工质量或工期或安全等的，监理人和发包人将签发《整改通知书》，承包人收到《整改通知书》后仍未整改到位的，发包人有权扣除其未履行按</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配备施工所需的主要机械设备承诺违约金。</w:t>
      </w:r>
    </w:p>
    <w:p w14:paraId="375498A5">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（5）未履行安全文明施工等级承诺的，承担违约金限额为</w:t>
      </w:r>
      <w:r>
        <w:rPr>
          <w:rFonts w:hint="eastAsia" w:ascii="宋体"/>
          <w:color w:val="auto"/>
          <w:sz w:val="24"/>
          <w:szCs w:val="24"/>
          <w:highlight w:val="none"/>
        </w:rPr>
        <w:t>合同价款的</w:t>
      </w:r>
      <w:r>
        <w:rPr>
          <w:rFonts w:hint="eastAsia" w:ascii="宋体"/>
          <w:color w:val="auto"/>
          <w:sz w:val="24"/>
          <w:szCs w:val="24"/>
          <w:highlight w:val="none"/>
          <w:u w:val="single"/>
        </w:rPr>
        <w:t xml:space="preserve"> 1 </w:t>
      </w:r>
      <w:r>
        <w:rPr>
          <w:rFonts w:hint="eastAsia" w:ascii="宋体"/>
          <w:color w:val="auto"/>
          <w:sz w:val="24"/>
          <w:szCs w:val="24"/>
          <w:highlight w:val="none"/>
        </w:rPr>
        <w:t>%</w:t>
      </w:r>
      <w:r>
        <w:rPr>
          <w:rFonts w:hint="eastAsia" w:ascii="宋体" w:hAnsi="宋体" w:cs="宋体"/>
          <w:color w:val="auto"/>
          <w:sz w:val="24"/>
          <w:szCs w:val="24"/>
          <w:highlight w:val="none"/>
        </w:rPr>
        <w:t>。</w:t>
      </w:r>
    </w:p>
    <w:p w14:paraId="2FE72497">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承包人在施工过程中未按相关标准履行工程的安全、质量、文明等的，同一事项被发包人、监理人单位发现，第一次警告;第二次及以上的，每发现一次扣罚 20000 元。</w:t>
      </w:r>
    </w:p>
    <w:p w14:paraId="313F8D4D">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承包人应承担其违约行为及纠正其违约行为而增加的费用和（或）延误的工期。延误工期的，根据实际延误的时间，按本合同约定的工期延误赔偿标准向发包人支付违约金；延误超过 56 天的，按本合同约定的工期延误赔偿标准两倍支付违约金；逾期竣工违约金不足时，发包人有权向承包人追偿。</w:t>
      </w:r>
    </w:p>
    <w:p w14:paraId="56E9E496">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注：若承包人存在上述情形给发包人造成的损失超出相应的</w:t>
      </w:r>
      <w:r>
        <w:rPr>
          <w:rFonts w:hint="eastAsia" w:ascii="宋体" w:hAnsi="宋体" w:cs="宋体"/>
          <w:color w:val="auto"/>
          <w:sz w:val="24"/>
          <w:szCs w:val="24"/>
          <w:highlight w:val="none"/>
          <w:lang w:val="en-US" w:eastAsia="zh-CN"/>
        </w:rPr>
        <w:t>限额</w:t>
      </w:r>
      <w:r>
        <w:rPr>
          <w:rFonts w:hint="eastAsia" w:ascii="宋体" w:hAnsi="宋体" w:cs="宋体"/>
          <w:color w:val="auto"/>
          <w:sz w:val="24"/>
          <w:szCs w:val="24"/>
          <w:highlight w:val="none"/>
        </w:rPr>
        <w:t>的，发包人有权向承包人追偿。</w:t>
      </w:r>
    </w:p>
    <w:p w14:paraId="77856684">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16.2.3 关于因承包人违约解除合同的约定：执行通用条款。</w:t>
      </w:r>
    </w:p>
    <w:p w14:paraId="4AE78102">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1A6CD43C">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17. 不可抗力</w:t>
      </w:r>
      <w:bookmarkEnd w:id="430"/>
      <w:r>
        <w:rPr>
          <w:rFonts w:hint="eastAsia" w:ascii="宋体" w:hAnsi="宋体" w:cs="宋体"/>
          <w:color w:val="auto"/>
          <w:sz w:val="24"/>
          <w:szCs w:val="24"/>
          <w:highlight w:val="none"/>
        </w:rPr>
        <w:t xml:space="preserve"> </w:t>
      </w:r>
    </w:p>
    <w:p w14:paraId="2D5A3659">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17.1 不可抗力的确认</w:t>
      </w:r>
    </w:p>
    <w:p w14:paraId="23168D9C">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除通用合同条款约定的不可抗力事件之外，视为不可抗力的其他情形：火灾、洪水、罢工、政府征用、政府禁止令等。</w:t>
      </w:r>
    </w:p>
    <w:p w14:paraId="39C3DE56">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17.4 因不可抗力解除合同</w:t>
      </w:r>
    </w:p>
    <w:p w14:paraId="461D7C44">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bookmarkStart w:id="431" w:name="_Toc364853240"/>
      <w:r>
        <w:rPr>
          <w:rFonts w:hint="eastAsia" w:ascii="宋体" w:hAnsi="宋体" w:cs="宋体"/>
          <w:color w:val="auto"/>
          <w:kern w:val="0"/>
          <w:sz w:val="24"/>
          <w:szCs w:val="24"/>
          <w:highlight w:val="none"/>
        </w:rPr>
        <w:t>合同解除后，发包人应在商定或确定发包人应支付款项后28天内完成款项的支付。</w:t>
      </w:r>
    </w:p>
    <w:p w14:paraId="748AADA7">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18. 保险</w:t>
      </w:r>
      <w:bookmarkEnd w:id="431"/>
    </w:p>
    <w:p w14:paraId="7CBBECE4">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18.1 工程保险</w:t>
      </w:r>
    </w:p>
    <w:p w14:paraId="3B495F53">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关于工程保险的特别约定：</w:t>
      </w:r>
      <w:r>
        <w:rPr>
          <w:rFonts w:hint="eastAsia" w:ascii="宋体" w:hAnsi="宋体" w:cs="宋体"/>
          <w:color w:val="auto"/>
          <w:sz w:val="24"/>
          <w:szCs w:val="24"/>
          <w:highlight w:val="none"/>
        </w:rPr>
        <w:t>执行通用条款</w:t>
      </w:r>
      <w:r>
        <w:rPr>
          <w:rFonts w:hint="eastAsia" w:ascii="宋体" w:hAnsi="宋体" w:cs="宋体"/>
          <w:color w:val="auto"/>
          <w:kern w:val="0"/>
          <w:sz w:val="24"/>
          <w:szCs w:val="24"/>
          <w:highlight w:val="none"/>
        </w:rPr>
        <w:t>。</w:t>
      </w:r>
    </w:p>
    <w:p w14:paraId="7DA9BC37">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18.3 其他保险</w:t>
      </w:r>
    </w:p>
    <w:p w14:paraId="051C634B">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关于其他保险的约定：除第三者责任险外，保险费用由被保险人承担。</w:t>
      </w:r>
    </w:p>
    <w:p w14:paraId="143A8D31">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w:t>
      </w:r>
      <w:r>
        <w:rPr>
          <w:rFonts w:hint="eastAsia" w:ascii="宋体" w:hAnsi="宋体" w:cs="宋体"/>
          <w:color w:val="auto"/>
          <w:kern w:val="0"/>
          <w:sz w:val="24"/>
          <w:szCs w:val="24"/>
          <w:highlight w:val="none"/>
          <w:u w:val="single"/>
        </w:rPr>
        <w:t xml:space="preserve">  应当 </w:t>
      </w:r>
      <w:r>
        <w:rPr>
          <w:rFonts w:hint="eastAsia" w:ascii="宋体" w:hAnsi="宋体" w:cs="宋体"/>
          <w:color w:val="auto"/>
          <w:kern w:val="0"/>
          <w:sz w:val="24"/>
          <w:szCs w:val="24"/>
          <w:highlight w:val="none"/>
        </w:rPr>
        <w:t>为其施工设备等办理财产保险。</w:t>
      </w:r>
    </w:p>
    <w:p w14:paraId="7CC7A69A">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18.7 通知义务</w:t>
      </w:r>
    </w:p>
    <w:p w14:paraId="0A5DB878">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关于变更保险合同时的通知义务的约定：执行通用条款。</w:t>
      </w:r>
      <w:bookmarkStart w:id="432" w:name="_Toc364853241"/>
    </w:p>
    <w:p w14:paraId="549DD5B3">
      <w:pPr>
        <w:pStyle w:val="5"/>
        <w:pageBreakBefore w:val="0"/>
        <w:widowControl w:val="0"/>
        <w:kinsoku/>
        <w:wordWrap/>
        <w:overflowPunct/>
        <w:topLinePunct w:val="0"/>
        <w:bidi w:val="0"/>
        <w:spacing w:before="0" w:after="0" w:line="360" w:lineRule="auto"/>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z w:val="24"/>
          <w:szCs w:val="24"/>
          <w:highlight w:val="none"/>
        </w:rPr>
        <w:t>20. 争议解决</w:t>
      </w:r>
      <w:bookmarkEnd w:id="432"/>
    </w:p>
    <w:p w14:paraId="3C295C26">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20.3 争议评审</w:t>
      </w:r>
    </w:p>
    <w:p w14:paraId="5E6E6554">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合同当事人</w:t>
      </w:r>
      <w:r>
        <w:rPr>
          <w:rFonts w:hint="eastAsia" w:ascii="宋体" w:hAnsi="宋体" w:cs="宋体"/>
          <w:color w:val="auto"/>
          <w:kern w:val="0"/>
          <w:sz w:val="24"/>
          <w:szCs w:val="24"/>
          <w:highlight w:val="none"/>
          <w:u w:val="single"/>
        </w:rPr>
        <w:t xml:space="preserve">   不同意  </w:t>
      </w:r>
      <w:r>
        <w:rPr>
          <w:rFonts w:hint="eastAsia" w:ascii="宋体" w:hAnsi="宋体" w:cs="宋体"/>
          <w:color w:val="auto"/>
          <w:kern w:val="0"/>
          <w:sz w:val="24"/>
          <w:szCs w:val="24"/>
          <w:highlight w:val="none"/>
        </w:rPr>
        <w:t xml:space="preserve">将工程争议提交争议评审小组决定。  </w:t>
      </w:r>
    </w:p>
    <w:p w14:paraId="79C98D31">
      <w:pPr>
        <w:pStyle w:val="68"/>
        <w:pageBreakBefore w:val="0"/>
        <w:widowControl w:val="0"/>
        <w:kinsoku/>
        <w:wordWrap/>
        <w:overflowPunct/>
        <w:topLinePunct w:val="0"/>
        <w:bidi w:val="0"/>
        <w:spacing w:line="360" w:lineRule="auto"/>
        <w:ind w:left="0" w:leftChars="0" w:right="0" w:rightChars="0" w:firstLine="458" w:firstLineChars="190"/>
        <w:textAlignment w:val="auto"/>
        <w:rPr>
          <w:rFonts w:hAnsi="宋体" w:cs="宋体"/>
          <w:color w:val="auto"/>
          <w:sz w:val="24"/>
          <w:szCs w:val="24"/>
          <w:highlight w:val="none"/>
        </w:rPr>
      </w:pPr>
      <w:r>
        <w:rPr>
          <w:rFonts w:hint="eastAsia" w:hAnsi="宋体" w:cs="宋体"/>
          <w:color w:val="auto"/>
          <w:sz w:val="24"/>
          <w:szCs w:val="24"/>
          <w:highlight w:val="none"/>
        </w:rPr>
        <w:t>20.4仲裁或诉讼</w:t>
      </w:r>
    </w:p>
    <w:p w14:paraId="7749E3C8">
      <w:pPr>
        <w:pageBreakBefore w:val="0"/>
        <w:widowControl w:val="0"/>
        <w:kinsoku/>
        <w:wordWrap/>
        <w:overflowPunct/>
        <w:topLinePunct w:val="0"/>
        <w:bidi w:val="0"/>
        <w:adjustRightInd w:val="0"/>
        <w:spacing w:line="360" w:lineRule="auto"/>
        <w:ind w:left="0" w:leftChars="0" w:right="0" w:rightChars="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因合同及合同有关事项发生的争议，向</w:t>
      </w:r>
      <w:r>
        <w:rPr>
          <w:rFonts w:hint="eastAsia" w:ascii="宋体" w:hAnsi="宋体" w:cs="宋体"/>
          <w:color w:val="auto"/>
          <w:kern w:val="0"/>
          <w:sz w:val="24"/>
          <w:szCs w:val="24"/>
          <w:highlight w:val="none"/>
          <w:u w:val="single"/>
        </w:rPr>
        <w:t>宁波市奉化区</w:t>
      </w:r>
      <w:r>
        <w:rPr>
          <w:rFonts w:hint="eastAsia" w:ascii="宋体" w:hAnsi="宋体" w:cs="宋体"/>
          <w:color w:val="auto"/>
          <w:kern w:val="0"/>
          <w:sz w:val="24"/>
          <w:szCs w:val="24"/>
          <w:highlight w:val="none"/>
        </w:rPr>
        <w:t>人民法院起诉。</w:t>
      </w:r>
    </w:p>
    <w:p w14:paraId="29AC681A">
      <w:pPr>
        <w:spacing w:line="360" w:lineRule="auto"/>
        <w:ind w:firstLine="480"/>
        <w:outlineLvl w:val="1"/>
        <w:rPr>
          <w:rFonts w:ascii="宋体" w:hAnsi="宋体" w:cs="宋体"/>
          <w:b/>
          <w:color w:val="auto"/>
          <w:kern w:val="0"/>
          <w:sz w:val="24"/>
          <w:szCs w:val="24"/>
          <w:highlight w:val="none"/>
        </w:rPr>
      </w:pPr>
    </w:p>
    <w:p w14:paraId="487F129E">
      <w:pPr>
        <w:spacing w:line="360" w:lineRule="auto"/>
        <w:ind w:firstLine="482" w:firstLineChars="200"/>
        <w:jc w:val="center"/>
        <w:rPr>
          <w:rFonts w:ascii="宋体" w:hAnsi="宋体" w:cs="宋体"/>
          <w:b/>
          <w:bCs/>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宋体" w:hAnsi="宋体" w:cs="宋体"/>
          <w:b/>
          <w:bCs/>
          <w:color w:val="auto"/>
          <w:sz w:val="24"/>
          <w:szCs w:val="24"/>
          <w:highlight w:val="none"/>
        </w:rPr>
        <w:t>第四部分  附件</w:t>
      </w:r>
    </w:p>
    <w:p w14:paraId="3E6F6F75">
      <w:pPr>
        <w:spacing w:line="360" w:lineRule="auto"/>
        <w:ind w:firstLine="480" w:firstLineChars="200"/>
        <w:rPr>
          <w:rFonts w:ascii="宋体" w:hAnsi="宋体" w:cs="宋体"/>
          <w:color w:val="auto"/>
          <w:sz w:val="24"/>
          <w:szCs w:val="24"/>
          <w:highlight w:val="none"/>
        </w:rPr>
      </w:pPr>
    </w:p>
    <w:p w14:paraId="77B103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专用合同条款附件：</w:t>
      </w:r>
    </w:p>
    <w:p w14:paraId="417969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附件1：工程质量保修书</w:t>
      </w:r>
    </w:p>
    <w:p w14:paraId="4AA875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附件2：安全生产合同</w:t>
      </w:r>
    </w:p>
    <w:p w14:paraId="01742F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附件3：工程项目廉政合同</w:t>
      </w:r>
    </w:p>
    <w:p w14:paraId="4EAE67F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附件4：承包人用于本工程施工的机械设备表</w:t>
      </w:r>
    </w:p>
    <w:p w14:paraId="18F84C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附件5：承包人主要施工管理人员表</w:t>
      </w:r>
    </w:p>
    <w:p w14:paraId="54A1853A">
      <w:pPr>
        <w:spacing w:line="360" w:lineRule="auto"/>
        <w:rPr>
          <w:rFonts w:ascii="宋体" w:hAnsi="宋体" w:cs="宋体"/>
          <w:color w:val="auto"/>
          <w:sz w:val="24"/>
          <w:szCs w:val="24"/>
          <w:highlight w:val="none"/>
        </w:rPr>
      </w:pPr>
    </w:p>
    <w:p w14:paraId="2DEBD7B6">
      <w:pPr>
        <w:spacing w:line="360" w:lineRule="auto"/>
        <w:rPr>
          <w:rFonts w:ascii="宋体" w:hAnsi="宋体" w:cs="宋体"/>
          <w:color w:val="auto"/>
          <w:sz w:val="24"/>
          <w:szCs w:val="24"/>
          <w:highlight w:val="none"/>
        </w:rPr>
      </w:pPr>
    </w:p>
    <w:p w14:paraId="71083990">
      <w:pPr>
        <w:spacing w:line="360" w:lineRule="auto"/>
        <w:rPr>
          <w:rFonts w:ascii="宋体" w:hAnsi="宋体" w:cs="宋体"/>
          <w:color w:val="auto"/>
          <w:sz w:val="24"/>
          <w:szCs w:val="24"/>
          <w:highlight w:val="none"/>
        </w:rPr>
      </w:pPr>
    </w:p>
    <w:p w14:paraId="7DB2675B">
      <w:pPr>
        <w:spacing w:line="360" w:lineRule="auto"/>
        <w:rPr>
          <w:rFonts w:ascii="宋体" w:hAnsi="宋体" w:cs="宋体"/>
          <w:color w:val="auto"/>
          <w:sz w:val="24"/>
          <w:szCs w:val="24"/>
          <w:highlight w:val="none"/>
        </w:rPr>
      </w:pPr>
    </w:p>
    <w:p w14:paraId="2AF2DAF9">
      <w:pPr>
        <w:spacing w:line="360" w:lineRule="auto"/>
        <w:rPr>
          <w:rFonts w:ascii="宋体" w:hAnsi="宋体" w:cs="宋体"/>
          <w:color w:val="auto"/>
          <w:sz w:val="24"/>
          <w:szCs w:val="24"/>
          <w:highlight w:val="none"/>
        </w:rPr>
      </w:pPr>
    </w:p>
    <w:p w14:paraId="36586583">
      <w:pPr>
        <w:spacing w:line="360" w:lineRule="auto"/>
        <w:rPr>
          <w:rFonts w:ascii="宋体" w:hAnsi="宋体" w:cs="宋体"/>
          <w:color w:val="auto"/>
          <w:sz w:val="24"/>
          <w:szCs w:val="24"/>
          <w:highlight w:val="none"/>
        </w:rPr>
      </w:pPr>
    </w:p>
    <w:p w14:paraId="5473D8B4">
      <w:pPr>
        <w:spacing w:line="360" w:lineRule="auto"/>
        <w:rPr>
          <w:rFonts w:ascii="宋体" w:hAnsi="宋体" w:cs="宋体"/>
          <w:color w:val="auto"/>
          <w:sz w:val="24"/>
          <w:szCs w:val="24"/>
          <w:highlight w:val="none"/>
        </w:rPr>
      </w:pPr>
    </w:p>
    <w:p w14:paraId="6489C74E">
      <w:pPr>
        <w:spacing w:line="360" w:lineRule="auto"/>
        <w:rPr>
          <w:rFonts w:ascii="宋体" w:hAnsi="宋体" w:cs="宋体"/>
          <w:color w:val="auto"/>
          <w:sz w:val="24"/>
          <w:szCs w:val="24"/>
          <w:highlight w:val="none"/>
        </w:rPr>
      </w:pPr>
    </w:p>
    <w:p w14:paraId="5F8C04B1">
      <w:pPr>
        <w:spacing w:line="360" w:lineRule="auto"/>
        <w:rPr>
          <w:rFonts w:ascii="宋体" w:hAnsi="宋体" w:cs="宋体"/>
          <w:color w:val="auto"/>
          <w:sz w:val="24"/>
          <w:szCs w:val="24"/>
          <w:highlight w:val="none"/>
        </w:rPr>
      </w:pPr>
    </w:p>
    <w:p w14:paraId="1250F3E2">
      <w:pPr>
        <w:spacing w:line="360" w:lineRule="auto"/>
        <w:rPr>
          <w:rFonts w:ascii="宋体" w:hAnsi="宋体" w:cs="宋体"/>
          <w:color w:val="auto"/>
          <w:sz w:val="24"/>
          <w:szCs w:val="24"/>
          <w:highlight w:val="none"/>
        </w:rPr>
      </w:pPr>
    </w:p>
    <w:p w14:paraId="05D4E7A6">
      <w:pPr>
        <w:spacing w:line="360" w:lineRule="auto"/>
        <w:rPr>
          <w:rFonts w:ascii="宋体" w:hAnsi="宋体" w:cs="宋体"/>
          <w:color w:val="auto"/>
          <w:sz w:val="24"/>
          <w:szCs w:val="24"/>
          <w:highlight w:val="none"/>
        </w:rPr>
      </w:pPr>
    </w:p>
    <w:p w14:paraId="1EE50206">
      <w:pPr>
        <w:spacing w:line="360" w:lineRule="auto"/>
        <w:rPr>
          <w:rFonts w:ascii="宋体" w:hAnsi="宋体" w:cs="宋体"/>
          <w:color w:val="auto"/>
          <w:sz w:val="24"/>
          <w:szCs w:val="24"/>
          <w:highlight w:val="none"/>
        </w:rPr>
      </w:pPr>
    </w:p>
    <w:p w14:paraId="3ED24964">
      <w:pPr>
        <w:spacing w:line="360" w:lineRule="auto"/>
        <w:rPr>
          <w:rFonts w:ascii="宋体" w:hAnsi="宋体" w:cs="宋体"/>
          <w:color w:val="auto"/>
          <w:sz w:val="24"/>
          <w:szCs w:val="24"/>
          <w:highlight w:val="none"/>
        </w:rPr>
      </w:pPr>
    </w:p>
    <w:p w14:paraId="30494E44">
      <w:pPr>
        <w:spacing w:line="360" w:lineRule="auto"/>
        <w:rPr>
          <w:rFonts w:ascii="宋体" w:hAnsi="宋体" w:cs="宋体"/>
          <w:color w:val="auto"/>
          <w:sz w:val="24"/>
          <w:szCs w:val="24"/>
          <w:highlight w:val="none"/>
        </w:rPr>
      </w:pPr>
    </w:p>
    <w:p w14:paraId="2A3B14B4">
      <w:pPr>
        <w:spacing w:line="360" w:lineRule="auto"/>
        <w:ind w:firstLine="422"/>
        <w:rPr>
          <w:rFonts w:ascii="宋体" w:hAnsi="宋体" w:cs="宋体"/>
          <w:b/>
          <w:color w:val="auto"/>
          <w:sz w:val="24"/>
          <w:szCs w:val="24"/>
          <w:highlight w:val="none"/>
        </w:rPr>
      </w:pPr>
    </w:p>
    <w:p w14:paraId="7E190CA1">
      <w:pPr>
        <w:spacing w:line="360" w:lineRule="auto"/>
        <w:ind w:firstLine="422"/>
        <w:rPr>
          <w:rFonts w:ascii="宋体" w:hAnsi="宋体" w:cs="宋体"/>
          <w:b/>
          <w:color w:val="auto"/>
          <w:sz w:val="24"/>
          <w:szCs w:val="24"/>
          <w:highlight w:val="none"/>
        </w:rPr>
      </w:pPr>
    </w:p>
    <w:p w14:paraId="6353D739">
      <w:pPr>
        <w:spacing w:line="360" w:lineRule="auto"/>
        <w:ind w:firstLine="422"/>
        <w:rPr>
          <w:rFonts w:ascii="宋体" w:hAnsi="宋体" w:cs="宋体"/>
          <w:b/>
          <w:color w:val="auto"/>
          <w:sz w:val="24"/>
          <w:szCs w:val="24"/>
          <w:highlight w:val="none"/>
        </w:rPr>
      </w:pPr>
    </w:p>
    <w:p w14:paraId="5B4724B4">
      <w:pPr>
        <w:spacing w:line="360" w:lineRule="auto"/>
        <w:ind w:firstLine="422"/>
        <w:rPr>
          <w:rFonts w:ascii="宋体" w:hAnsi="宋体" w:cs="宋体"/>
          <w:b/>
          <w:color w:val="auto"/>
          <w:sz w:val="24"/>
          <w:szCs w:val="24"/>
          <w:highlight w:val="none"/>
        </w:rPr>
      </w:pPr>
    </w:p>
    <w:p w14:paraId="60C18B5B">
      <w:pPr>
        <w:spacing w:line="360" w:lineRule="auto"/>
        <w:ind w:firstLine="422"/>
        <w:rPr>
          <w:rFonts w:ascii="宋体" w:hAnsi="宋体" w:cs="宋体"/>
          <w:b/>
          <w:color w:val="auto"/>
          <w:sz w:val="24"/>
          <w:szCs w:val="24"/>
          <w:highlight w:val="none"/>
        </w:rPr>
      </w:pPr>
    </w:p>
    <w:p w14:paraId="695B91D9">
      <w:pPr>
        <w:spacing w:line="360" w:lineRule="auto"/>
        <w:ind w:firstLine="422"/>
        <w:rPr>
          <w:rFonts w:ascii="宋体" w:hAnsi="宋体" w:cs="宋体"/>
          <w:b/>
          <w:color w:val="auto"/>
          <w:sz w:val="24"/>
          <w:szCs w:val="24"/>
          <w:highlight w:val="none"/>
        </w:rPr>
      </w:pPr>
    </w:p>
    <w:p w14:paraId="77A70067">
      <w:pPr>
        <w:spacing w:line="360" w:lineRule="auto"/>
        <w:ind w:firstLine="422"/>
        <w:rPr>
          <w:rFonts w:ascii="宋体" w:hAnsi="宋体" w:cs="宋体"/>
          <w:b/>
          <w:color w:val="auto"/>
          <w:sz w:val="24"/>
          <w:szCs w:val="24"/>
          <w:highlight w:val="none"/>
        </w:rPr>
      </w:pPr>
    </w:p>
    <w:p w14:paraId="57A2A893">
      <w:p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附</w:t>
      </w:r>
      <w:bookmarkStart w:id="433" w:name="_Toc267261693"/>
      <w:bookmarkStart w:id="434" w:name="_Toc296503226"/>
      <w:bookmarkStart w:id="435" w:name="_Toc296346727"/>
      <w:bookmarkStart w:id="436" w:name="_Toc296891054"/>
      <w:bookmarkStart w:id="437" w:name="_Toc296347225"/>
      <w:bookmarkStart w:id="438" w:name="_Toc296891266"/>
      <w:bookmarkStart w:id="439" w:name="_Toc296944565"/>
      <w:r>
        <w:rPr>
          <w:rFonts w:hint="eastAsia" w:ascii="宋体" w:hAnsi="宋体" w:cs="宋体"/>
          <w:b/>
          <w:color w:val="auto"/>
          <w:sz w:val="24"/>
          <w:szCs w:val="24"/>
          <w:highlight w:val="none"/>
        </w:rPr>
        <w:t>件1：</w:t>
      </w:r>
      <w:bookmarkEnd w:id="433"/>
      <w:bookmarkEnd w:id="434"/>
      <w:bookmarkEnd w:id="435"/>
      <w:bookmarkEnd w:id="436"/>
      <w:bookmarkEnd w:id="437"/>
      <w:bookmarkEnd w:id="438"/>
      <w:bookmarkEnd w:id="439"/>
      <w:r>
        <w:rPr>
          <w:rFonts w:hint="eastAsia" w:ascii="宋体" w:hAnsi="宋体" w:cs="宋体"/>
          <w:b/>
          <w:color w:val="auto"/>
          <w:sz w:val="24"/>
          <w:szCs w:val="24"/>
          <w:highlight w:val="none"/>
        </w:rPr>
        <w:t xml:space="preserve">    </w:t>
      </w:r>
    </w:p>
    <w:p w14:paraId="2D155722">
      <w:pPr>
        <w:spacing w:beforeLines="50" w:afterLines="50" w:line="360" w:lineRule="auto"/>
        <w:ind w:firstLine="422"/>
        <w:jc w:val="center"/>
        <w:rPr>
          <w:rFonts w:ascii="宋体" w:hAnsi="宋体" w:cs="宋体"/>
          <w:b/>
          <w:color w:val="auto"/>
          <w:sz w:val="24"/>
          <w:szCs w:val="24"/>
          <w:highlight w:val="none"/>
        </w:rPr>
      </w:pPr>
      <w:r>
        <w:rPr>
          <w:rFonts w:hint="eastAsia" w:ascii="宋体" w:hAnsi="宋体" w:cs="宋体"/>
          <w:b/>
          <w:color w:val="auto"/>
          <w:sz w:val="24"/>
          <w:szCs w:val="24"/>
          <w:highlight w:val="none"/>
        </w:rPr>
        <w:t>工程质量保修书</w:t>
      </w:r>
    </w:p>
    <w:p w14:paraId="5C1E7906">
      <w:pPr>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 xml:space="preserve">    发包人（全称）：</w:t>
      </w:r>
      <w:r>
        <w:rPr>
          <w:rFonts w:hint="eastAsia" w:ascii="宋体" w:hAnsi="宋体" w:cs="宋体"/>
          <w:color w:val="auto"/>
          <w:sz w:val="24"/>
          <w:szCs w:val="24"/>
          <w:highlight w:val="none"/>
          <w:u w:val="single"/>
          <w:lang w:eastAsia="zh-CN"/>
        </w:rPr>
        <w:t>宁波市奉化区教育发展投资有限责任公司</w:t>
      </w:r>
    </w:p>
    <w:p w14:paraId="2E853CAA">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42A4C39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发包人和承包人根据《中华人民共和国建筑法》和《建设工程质量管理条例》，经协商一致就</w:t>
      </w:r>
      <w:r>
        <w:rPr>
          <w:rFonts w:hint="eastAsia" w:ascii="宋体" w:hAnsi="宋体" w:cs="宋体"/>
          <w:color w:val="auto"/>
          <w:sz w:val="24"/>
          <w:szCs w:val="24"/>
          <w:highlight w:val="none"/>
          <w:u w:val="single"/>
          <w:lang w:eastAsia="zh-CN"/>
        </w:rPr>
        <w:t>奉化区方桥街道中心幼儿园校园改造项目</w:t>
      </w:r>
      <w:r>
        <w:rPr>
          <w:rFonts w:hint="eastAsia" w:ascii="宋体" w:hAnsi="宋体" w:cs="宋体"/>
          <w:color w:val="auto"/>
          <w:sz w:val="24"/>
          <w:szCs w:val="24"/>
          <w:highlight w:val="none"/>
        </w:rPr>
        <w:t>质量保修书。</w:t>
      </w:r>
    </w:p>
    <w:p w14:paraId="7FC3A99D">
      <w:pP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一、工程质量保修范围和内容</w:t>
      </w:r>
    </w:p>
    <w:p w14:paraId="33596F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承包人在质量保修期内，按照有关法律规定和合同约定，承担工程质量保修责任。</w:t>
      </w:r>
    </w:p>
    <w:p w14:paraId="4BAB2943">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质量保修范围</w:t>
      </w:r>
      <w:r>
        <w:rPr>
          <w:rFonts w:hint="eastAsia" w:ascii="宋体" w:hAnsi="宋体" w:cs="宋体"/>
          <w:color w:val="auto"/>
          <w:sz w:val="24"/>
          <w:szCs w:val="24"/>
          <w:highlight w:val="none"/>
          <w:lang w:eastAsia="zh-CN"/>
        </w:rPr>
        <w:t>：</w:t>
      </w:r>
      <w:r>
        <w:rPr>
          <w:rFonts w:hint="eastAsia" w:ascii="宋体" w:hAnsi="宋体"/>
          <w:color w:val="auto"/>
          <w:sz w:val="24"/>
          <w:highlight w:val="none"/>
          <w:u w:val="single"/>
          <w:lang w:val="en-US" w:eastAsia="zh-CN"/>
        </w:rPr>
        <w:t>施工图范围内的建筑、结构、装修、给排水及室外附属等。</w:t>
      </w:r>
      <w:r>
        <w:rPr>
          <w:rFonts w:hint="eastAsia" w:ascii="宋体" w:hAnsi="宋体" w:cs="宋体"/>
          <w:color w:val="auto"/>
          <w:sz w:val="24"/>
          <w:highlight w:val="none"/>
          <w:u w:val="single"/>
        </w:rPr>
        <w:t>（具体详见图纸及工程量清单）</w:t>
      </w:r>
    </w:p>
    <w:p w14:paraId="1DC1C992">
      <w:pPr>
        <w:pStyle w:val="67"/>
        <w:spacing w:line="360" w:lineRule="auto"/>
        <w:ind w:firstLine="482" w:firstLineChars="200"/>
        <w:rPr>
          <w:rFonts w:cs="宋体"/>
          <w:b/>
          <w:color w:val="auto"/>
          <w:sz w:val="24"/>
          <w:szCs w:val="24"/>
          <w:highlight w:val="none"/>
        </w:rPr>
      </w:pPr>
      <w:r>
        <w:rPr>
          <w:rFonts w:hint="eastAsia" w:cs="宋体"/>
          <w:b/>
          <w:color w:val="auto"/>
          <w:sz w:val="24"/>
          <w:szCs w:val="24"/>
          <w:highlight w:val="none"/>
        </w:rPr>
        <w:t>二、质量保修期</w:t>
      </w:r>
    </w:p>
    <w:p w14:paraId="203F5EE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14:paraId="20EC8BC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1．地基基础工程和主体结构工程为设计文件规定的工程合理使用年限；</w:t>
      </w:r>
    </w:p>
    <w:p w14:paraId="0495FE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2．屋面防水工程、有防水要求的卫生间、房间和外墙面的防渗为</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年；</w:t>
      </w:r>
    </w:p>
    <w:p w14:paraId="58C0F1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3．装修工程为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4151C4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4．电气管线、给排水管道、设备安装工程为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年；</w:t>
      </w:r>
    </w:p>
    <w:p w14:paraId="0CD2D6F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．给排水设施、道路等配套工程为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年；</w:t>
      </w:r>
    </w:p>
    <w:p w14:paraId="0D04F16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．其他项目保修期限约定如下：</w:t>
      </w:r>
      <w:r>
        <w:rPr>
          <w:rFonts w:hint="eastAsia" w:ascii="宋体" w:hAnsi="宋体" w:cs="宋体"/>
          <w:color w:val="auto"/>
          <w:sz w:val="24"/>
          <w:szCs w:val="24"/>
          <w:highlight w:val="none"/>
          <w:lang w:val="en-US" w:eastAsia="zh-CN"/>
        </w:rPr>
        <w:t>除上述约定以外的内容保修期为2年。</w:t>
      </w:r>
      <w:r>
        <w:rPr>
          <w:rFonts w:hint="eastAsia" w:ascii="宋体" w:hAnsi="宋体" w:cs="宋体"/>
          <w:color w:val="auto"/>
          <w:sz w:val="24"/>
          <w:szCs w:val="24"/>
          <w:highlight w:val="none"/>
        </w:rPr>
        <w:t xml:space="preserve"> </w:t>
      </w:r>
    </w:p>
    <w:p w14:paraId="47FA2587">
      <w:pP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三、缺陷责任期</w:t>
      </w:r>
    </w:p>
    <w:p w14:paraId="442FD26D">
      <w:pPr>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工程缺陷责任期为</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个月，缺陷责任期</w:t>
      </w:r>
      <w:r>
        <w:rPr>
          <w:rFonts w:hint="eastAsia" w:ascii="宋体" w:hAnsi="宋体" w:cs="宋体"/>
          <w:bCs/>
          <w:color w:val="auto"/>
          <w:sz w:val="24"/>
          <w:szCs w:val="24"/>
          <w:highlight w:val="none"/>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 w:val="24"/>
          <w:szCs w:val="24"/>
          <w:highlight w:val="none"/>
        </w:rPr>
        <w:t>。</w:t>
      </w:r>
    </w:p>
    <w:p w14:paraId="56FC3B76">
      <w:pPr>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缺陷责任期终止后，发包人在完成最终结清后应退还承包人的质量保证金保函或剩余的质量保证金。</w:t>
      </w:r>
    </w:p>
    <w:p w14:paraId="62CA0EC8">
      <w:pP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四、质量保修责任</w:t>
      </w:r>
    </w:p>
    <w:p w14:paraId="79D1E903">
      <w:pPr>
        <w:spacing w:line="360" w:lineRule="auto"/>
        <w:ind w:left="105" w:leftChars="5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451C3E0D">
      <w:pPr>
        <w:spacing w:line="360" w:lineRule="auto"/>
        <w:ind w:left="105" w:leftChars="5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2．发生紧急事故需抢修的，承包人在接到事故通知后，应当立即到达事故现场抢修。</w:t>
      </w:r>
    </w:p>
    <w:p w14:paraId="37437387">
      <w:pPr>
        <w:spacing w:line="360" w:lineRule="auto"/>
        <w:ind w:left="105" w:leftChars="5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24CB97">
      <w:pPr>
        <w:spacing w:line="360" w:lineRule="auto"/>
        <w:ind w:left="105" w:leftChars="5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4．质量保修完成后，由发包人组织验收。</w:t>
      </w:r>
    </w:p>
    <w:p w14:paraId="15B25A85">
      <w:pP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五、保修费用</w:t>
      </w:r>
    </w:p>
    <w:p w14:paraId="69916D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保修费用由造成质量缺陷的责任方承担。</w:t>
      </w:r>
    </w:p>
    <w:p w14:paraId="3C6EB522">
      <w:pPr>
        <w:spacing w:line="360" w:lineRule="auto"/>
        <w:ind w:firstLine="472" w:firstLineChars="196"/>
        <w:rPr>
          <w:rFonts w:ascii="宋体" w:hAnsi="宋体" w:cs="宋体"/>
          <w:b/>
          <w:color w:val="auto"/>
          <w:sz w:val="24"/>
          <w:szCs w:val="24"/>
          <w:highlight w:val="none"/>
          <w:u w:val="single"/>
        </w:rPr>
      </w:pPr>
      <w:r>
        <w:rPr>
          <w:rFonts w:hint="eastAsia" w:ascii="宋体" w:hAnsi="宋体" w:cs="宋体"/>
          <w:b/>
          <w:color w:val="auto"/>
          <w:sz w:val="24"/>
          <w:szCs w:val="24"/>
          <w:highlight w:val="none"/>
        </w:rPr>
        <w:t>六、双方约定的其他工程质量保修事项：</w:t>
      </w:r>
      <w:r>
        <w:rPr>
          <w:rFonts w:hint="eastAsia" w:ascii="宋体" w:hAnsi="宋体" w:cs="宋体"/>
          <w:b/>
          <w:color w:val="auto"/>
          <w:sz w:val="24"/>
          <w:szCs w:val="24"/>
          <w:highlight w:val="none"/>
          <w:u w:val="single"/>
        </w:rPr>
        <w:t xml:space="preserve">    /    </w:t>
      </w:r>
      <w:r>
        <w:rPr>
          <w:rFonts w:hint="eastAsia" w:ascii="宋体" w:hAnsi="宋体" w:cs="宋体"/>
          <w:color w:val="auto"/>
          <w:sz w:val="24"/>
          <w:szCs w:val="24"/>
          <w:highlight w:val="none"/>
        </w:rPr>
        <w:t>。</w:t>
      </w:r>
    </w:p>
    <w:p w14:paraId="555FBD9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60C3384D">
      <w:pPr>
        <w:spacing w:line="360" w:lineRule="auto"/>
        <w:ind w:firstLine="420"/>
        <w:rPr>
          <w:rFonts w:ascii="宋体" w:hAnsi="宋体" w:cs="宋体"/>
          <w:color w:val="auto"/>
          <w:sz w:val="24"/>
          <w:szCs w:val="24"/>
          <w:highlight w:val="none"/>
        </w:rPr>
      </w:pPr>
    </w:p>
    <w:p w14:paraId="402DF1D8">
      <w:pPr>
        <w:autoSpaceDE w:val="0"/>
        <w:autoSpaceDN w:val="0"/>
        <w:adjustRightInd w:val="0"/>
        <w:spacing w:line="38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发包人(公章)：</w:t>
      </w:r>
      <w:r>
        <w:rPr>
          <w:rFonts w:hint="eastAsia" w:ascii="宋体" w:hAnsi="宋体" w:cs="宋体"/>
          <w:color w:val="auto"/>
          <w:sz w:val="24"/>
          <w:szCs w:val="24"/>
          <w:highlight w:val="none"/>
          <w:u w:val="single"/>
        </w:rPr>
        <w:t xml:space="preserve"> </w:t>
      </w:r>
      <w:r>
        <w:rPr>
          <w:rFonts w:hint="eastAsia" w:ascii="宋体" w:hAnsi="宋体" w:cs="宋体"/>
          <w:color w:val="auto"/>
          <w:spacing w:val="14"/>
          <w:sz w:val="24"/>
          <w:szCs w:val="24"/>
          <w:highlight w:val="none"/>
          <w:u w:val="single"/>
          <w:lang w:val="en-US" w:eastAsia="zh-CN"/>
        </w:rPr>
        <w:t xml:space="preserve">           </w:t>
      </w:r>
      <w:r>
        <w:rPr>
          <w:rFonts w:hint="eastAsia" w:ascii="宋体" w:hAnsi="宋体" w:cs="宋体"/>
          <w:color w:val="auto"/>
          <w:spacing w:val="14"/>
          <w:sz w:val="24"/>
          <w:szCs w:val="24"/>
          <w:highlight w:val="none"/>
        </w:rPr>
        <w:t xml:space="preserve">     </w:t>
      </w:r>
      <w:r>
        <w:rPr>
          <w:rFonts w:hint="eastAsia" w:ascii="宋体" w:hAnsi="宋体" w:cs="宋体"/>
          <w:color w:val="auto"/>
          <w:sz w:val="24"/>
          <w:szCs w:val="24"/>
          <w:highlight w:val="none"/>
        </w:rPr>
        <w:t>承包人(公章):</w:t>
      </w:r>
      <w:r>
        <w:rPr>
          <w:rFonts w:hint="eastAsia" w:ascii="宋体" w:hAnsi="宋体" w:cs="宋体"/>
          <w:color w:val="auto"/>
          <w:sz w:val="24"/>
          <w:szCs w:val="24"/>
          <w:highlight w:val="none"/>
          <w:u w:val="single"/>
        </w:rPr>
        <w:t xml:space="preserve">                </w:t>
      </w:r>
    </w:p>
    <w:p w14:paraId="754DC437">
      <w:pPr>
        <w:spacing w:line="56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4B7749CE">
      <w:pPr>
        <w:spacing w:line="5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rPr>
        <w:t xml:space="preserve">                  </w:t>
      </w:r>
    </w:p>
    <w:p w14:paraId="21B0B3BB">
      <w:pPr>
        <w:spacing w:line="5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委托代理人(签字)：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委托代理人(签字):</w:t>
      </w:r>
      <w:r>
        <w:rPr>
          <w:rFonts w:hint="eastAsia" w:ascii="宋体" w:hAnsi="宋体" w:cs="宋体"/>
          <w:color w:val="auto"/>
          <w:sz w:val="24"/>
          <w:szCs w:val="24"/>
          <w:highlight w:val="none"/>
          <w:u w:val="single"/>
        </w:rPr>
        <w:t xml:space="preserve">                  </w:t>
      </w:r>
    </w:p>
    <w:p w14:paraId="2559AF68">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56E243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20810E9C">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开户银行：</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 xml:space="preserve">   开户银行：</w:t>
      </w:r>
      <w:r>
        <w:rPr>
          <w:rFonts w:hint="eastAsia" w:ascii="宋体" w:hAnsi="宋体" w:cs="宋体"/>
          <w:color w:val="auto"/>
          <w:sz w:val="24"/>
          <w:szCs w:val="24"/>
          <w:highlight w:val="none"/>
        </w:rPr>
        <w:t xml:space="preserve">                       </w:t>
      </w:r>
    </w:p>
    <w:p w14:paraId="21463C23">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账号：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 xml:space="preserve">          账号： </w:t>
      </w:r>
      <w:r>
        <w:rPr>
          <w:rFonts w:hint="eastAsia" w:ascii="宋体" w:hAnsi="宋体" w:cs="宋体"/>
          <w:color w:val="auto"/>
          <w:sz w:val="24"/>
          <w:szCs w:val="24"/>
          <w:highlight w:val="none"/>
        </w:rPr>
        <w:t xml:space="preserve">                         </w:t>
      </w:r>
    </w:p>
    <w:p w14:paraId="5DFED229">
      <w:pPr>
        <w:spacing w:line="360" w:lineRule="auto"/>
        <w:rPr>
          <w:rFonts w:ascii="宋体" w:hAnsi="宋体" w:cs="宋体"/>
          <w:color w:val="auto"/>
          <w:sz w:val="24"/>
          <w:szCs w:val="24"/>
          <w:highlight w:val="none"/>
          <w:u w:val="single"/>
        </w:rPr>
      </w:pPr>
    </w:p>
    <w:p w14:paraId="3926BC74">
      <w:pPr>
        <w:spacing w:line="360" w:lineRule="auto"/>
        <w:rPr>
          <w:rFonts w:ascii="宋体" w:hAnsi="宋体" w:cs="宋体"/>
          <w:color w:val="auto"/>
          <w:sz w:val="24"/>
          <w:szCs w:val="24"/>
          <w:highlight w:val="none"/>
          <w:u w:val="single"/>
        </w:rPr>
      </w:pPr>
    </w:p>
    <w:p w14:paraId="37E24659">
      <w:pPr>
        <w:spacing w:line="360" w:lineRule="auto"/>
        <w:rPr>
          <w:rFonts w:ascii="宋体" w:hAnsi="宋体" w:cs="宋体"/>
          <w:color w:val="auto"/>
          <w:sz w:val="24"/>
          <w:szCs w:val="24"/>
          <w:highlight w:val="none"/>
          <w:u w:val="single"/>
        </w:rPr>
      </w:pPr>
    </w:p>
    <w:p w14:paraId="4EB2F90A">
      <w:pPr>
        <w:spacing w:line="360" w:lineRule="auto"/>
        <w:rPr>
          <w:rFonts w:ascii="宋体" w:hAnsi="宋体" w:cs="宋体"/>
          <w:color w:val="auto"/>
          <w:sz w:val="24"/>
          <w:szCs w:val="24"/>
          <w:highlight w:val="none"/>
          <w:u w:val="single"/>
        </w:rPr>
      </w:pPr>
    </w:p>
    <w:p w14:paraId="514D059F">
      <w:pPr>
        <w:spacing w:line="360" w:lineRule="auto"/>
        <w:rPr>
          <w:rFonts w:ascii="宋体" w:hAnsi="宋体" w:cs="宋体"/>
          <w:color w:val="auto"/>
          <w:sz w:val="24"/>
          <w:szCs w:val="24"/>
          <w:highlight w:val="none"/>
          <w:u w:val="single"/>
        </w:rPr>
      </w:pPr>
    </w:p>
    <w:p w14:paraId="01C2E226">
      <w:pPr>
        <w:spacing w:line="360" w:lineRule="auto"/>
        <w:rPr>
          <w:rFonts w:ascii="宋体" w:hAnsi="宋体" w:cs="宋体"/>
          <w:color w:val="auto"/>
          <w:sz w:val="24"/>
          <w:szCs w:val="24"/>
          <w:highlight w:val="none"/>
          <w:u w:val="single"/>
        </w:rPr>
      </w:pPr>
    </w:p>
    <w:p w14:paraId="449D5BB4">
      <w:pPr>
        <w:spacing w:line="360" w:lineRule="auto"/>
        <w:rPr>
          <w:rFonts w:ascii="宋体" w:hAnsi="宋体" w:cs="宋体"/>
          <w:color w:val="auto"/>
          <w:sz w:val="24"/>
          <w:szCs w:val="24"/>
          <w:highlight w:val="none"/>
          <w:u w:val="single"/>
        </w:rPr>
      </w:pPr>
    </w:p>
    <w:p w14:paraId="11687097">
      <w:pPr>
        <w:spacing w:line="360" w:lineRule="auto"/>
        <w:rPr>
          <w:rFonts w:ascii="宋体" w:hAnsi="宋体" w:cs="宋体"/>
          <w:color w:val="auto"/>
          <w:sz w:val="24"/>
          <w:szCs w:val="24"/>
          <w:highlight w:val="none"/>
          <w:u w:val="single"/>
        </w:rPr>
      </w:pPr>
    </w:p>
    <w:p w14:paraId="6F4DE018">
      <w:pPr>
        <w:spacing w:line="360" w:lineRule="auto"/>
        <w:ind w:firstLine="422"/>
        <w:rPr>
          <w:rFonts w:ascii="宋体" w:hAnsi="宋体" w:cs="宋体"/>
          <w:b/>
          <w:bCs/>
          <w:color w:val="auto"/>
          <w:sz w:val="24"/>
          <w:szCs w:val="24"/>
          <w:highlight w:val="none"/>
        </w:rPr>
      </w:pPr>
      <w:bookmarkStart w:id="440" w:name="_Toc360114130"/>
      <w:bookmarkStart w:id="441" w:name="_Toc315695461"/>
      <w:bookmarkStart w:id="442" w:name="_Toc359567922"/>
      <w:bookmarkStart w:id="443" w:name="_Toc358876721"/>
      <w:bookmarkStart w:id="444" w:name="_Toc315695235"/>
    </w:p>
    <w:p w14:paraId="44F118BD">
      <w:pPr>
        <w:spacing w:line="360" w:lineRule="auto"/>
        <w:ind w:firstLine="422"/>
        <w:rPr>
          <w:rFonts w:ascii="宋体" w:hAnsi="宋体" w:cs="宋体"/>
          <w:b/>
          <w:bCs/>
          <w:color w:val="auto"/>
          <w:sz w:val="24"/>
          <w:szCs w:val="24"/>
          <w:highlight w:val="none"/>
        </w:rPr>
      </w:pPr>
    </w:p>
    <w:p w14:paraId="4944D13D">
      <w:pPr>
        <w:spacing w:line="360" w:lineRule="auto"/>
        <w:ind w:firstLine="422"/>
        <w:rPr>
          <w:rFonts w:ascii="宋体" w:hAnsi="宋体" w:cs="宋体"/>
          <w:b/>
          <w:bCs/>
          <w:color w:val="auto"/>
          <w:sz w:val="24"/>
          <w:szCs w:val="24"/>
          <w:highlight w:val="none"/>
        </w:rPr>
      </w:pPr>
    </w:p>
    <w:p w14:paraId="6E163857">
      <w:pPr>
        <w:spacing w:line="360" w:lineRule="auto"/>
        <w:ind w:firstLine="422"/>
        <w:rPr>
          <w:rFonts w:ascii="宋体" w:hAnsi="宋体" w:cs="宋体"/>
          <w:b/>
          <w:color w:val="auto"/>
          <w:sz w:val="24"/>
          <w:szCs w:val="24"/>
          <w:highlight w:val="none"/>
        </w:rPr>
      </w:pPr>
      <w:r>
        <w:rPr>
          <w:rFonts w:hint="eastAsia" w:ascii="宋体" w:hAnsi="宋体" w:cs="宋体"/>
          <w:b/>
          <w:bCs/>
          <w:color w:val="auto"/>
          <w:sz w:val="24"/>
          <w:szCs w:val="24"/>
          <w:highlight w:val="none"/>
        </w:rPr>
        <w:t xml:space="preserve">附件2：                       </w:t>
      </w:r>
      <w:r>
        <w:rPr>
          <w:rFonts w:hint="eastAsia" w:ascii="宋体" w:hAnsi="宋体" w:cs="宋体"/>
          <w:b/>
          <w:color w:val="auto"/>
          <w:sz w:val="24"/>
          <w:szCs w:val="24"/>
          <w:highlight w:val="none"/>
        </w:rPr>
        <w:t>安全生产合同</w:t>
      </w:r>
    </w:p>
    <w:p w14:paraId="35365FFF">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为在</w:t>
      </w:r>
      <w:r>
        <w:rPr>
          <w:rFonts w:hint="eastAsia" w:ascii="宋体" w:hAnsi="宋体" w:cs="宋体"/>
          <w:color w:val="auto"/>
          <w:sz w:val="24"/>
          <w:szCs w:val="24"/>
          <w:highlight w:val="none"/>
          <w:u w:val="single"/>
          <w:lang w:eastAsia="zh-CN"/>
        </w:rPr>
        <w:t>奉化区方桥街道中心幼儿园校园改造项目</w:t>
      </w:r>
      <w:r>
        <w:rPr>
          <w:rFonts w:hint="eastAsia" w:ascii="宋体" w:hAnsi="宋体" w:cs="宋体"/>
          <w:color w:val="auto"/>
          <w:sz w:val="24"/>
          <w:szCs w:val="24"/>
          <w:highlight w:val="none"/>
        </w:rPr>
        <w:t>（项目名称）施工合同的实施过程中创造安全、高效的施工环境，切实搞好本项目的安全管理工作，本项目发包人</w:t>
      </w:r>
      <w:r>
        <w:rPr>
          <w:rFonts w:hint="eastAsia" w:ascii="宋体" w:hAnsi="宋体" w:cs="宋体"/>
          <w:color w:val="auto"/>
          <w:sz w:val="24"/>
          <w:szCs w:val="24"/>
          <w:highlight w:val="none"/>
          <w:u w:val="single"/>
          <w:lang w:eastAsia="zh-CN"/>
        </w:rPr>
        <w:t>宁波市奉化区教育发展投资有限责任公司</w:t>
      </w:r>
      <w:r>
        <w:rPr>
          <w:rFonts w:hint="eastAsia" w:ascii="宋体" w:hAnsi="宋体" w:cs="宋体"/>
          <w:color w:val="auto"/>
          <w:sz w:val="24"/>
          <w:szCs w:val="24"/>
          <w:highlight w:val="none"/>
        </w:rPr>
        <w:t>（发包人名称，以下简称“发包人”）与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承包人名称，以下简称“承包人”）特此签订安全生产合同：</w:t>
      </w:r>
    </w:p>
    <w:p w14:paraId="7E57A42D">
      <w:pPr>
        <w:spacing w:line="420" w:lineRule="exact"/>
        <w:ind w:left="480"/>
        <w:rPr>
          <w:rFonts w:ascii="宋体" w:hAnsi="宋体" w:cs="宋体"/>
          <w:color w:val="auto"/>
          <w:sz w:val="24"/>
          <w:szCs w:val="24"/>
          <w:highlight w:val="none"/>
        </w:rPr>
      </w:pPr>
      <w:r>
        <w:rPr>
          <w:rFonts w:hint="eastAsia" w:ascii="宋体" w:hAnsi="宋体" w:cs="宋体"/>
          <w:color w:val="auto"/>
          <w:sz w:val="24"/>
          <w:szCs w:val="24"/>
          <w:highlight w:val="none"/>
        </w:rPr>
        <w:t>1.发包人职责</w:t>
      </w:r>
    </w:p>
    <w:p w14:paraId="3C1CB9A2">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（1）严格遵守国家有关安全生产的法律法规，认真执行工程承包合同中的有关安全要求。</w:t>
      </w:r>
    </w:p>
    <w:p w14:paraId="4D135340">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（2）按照“安全第一、预防为主”和坚持“管生产必须管安全”的原则进行安全生产管理，做到生产与安全工作同时计划、布置、检查、总结和评比。</w:t>
      </w:r>
    </w:p>
    <w:p w14:paraId="1673894B">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（3）重要的安全设施必须坚持与主体工程“三同时”的原则，即：同时设计、审批，同时施工，同时验收，投入使用。</w:t>
      </w:r>
    </w:p>
    <w:p w14:paraId="02B14AF5">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（4）定期召开安全生产调度会，及时传达中央及地方有关安全生产的精神。</w:t>
      </w:r>
    </w:p>
    <w:p w14:paraId="41B6E54C">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（5）组织对承包人施工现场安全生产检查，监督承包人及时处理发现的各种安全隐患。</w:t>
      </w:r>
    </w:p>
    <w:p w14:paraId="49D8EC52">
      <w:pPr>
        <w:spacing w:line="420" w:lineRule="exact"/>
        <w:ind w:left="480"/>
        <w:rPr>
          <w:rFonts w:ascii="宋体" w:hAnsi="宋体" w:cs="宋体"/>
          <w:color w:val="auto"/>
          <w:sz w:val="24"/>
          <w:szCs w:val="24"/>
          <w:highlight w:val="none"/>
        </w:rPr>
      </w:pPr>
      <w:r>
        <w:rPr>
          <w:rFonts w:hint="eastAsia" w:ascii="宋体" w:hAnsi="宋体" w:cs="宋体"/>
          <w:color w:val="auto"/>
          <w:sz w:val="24"/>
          <w:szCs w:val="24"/>
          <w:highlight w:val="none"/>
        </w:rPr>
        <w:t>2.承包人职责</w:t>
      </w:r>
    </w:p>
    <w:p w14:paraId="18227163">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（1）严格遵守《中华人民共和国安全生产法》、《建设工程安全生产管理条例》等国家有关安全生产的法律法规有关安全生产的规定。认真执行工程承包合同中的有关安全要求。</w:t>
      </w:r>
    </w:p>
    <w:p w14:paraId="033A2052">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A38CE62">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680BB362">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（4）承包人在任何时候都应采取各种合理的预防措施，防止其员工发生任何违法、违禁、暴力或妨碍治安的行为。</w:t>
      </w:r>
    </w:p>
    <w:p w14:paraId="3171B537">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1EE7F7F">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66B4EA9">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14:paraId="4FF6D19C">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14:paraId="266A4FE7">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（9）施工中采用新技术、新工艺、新设备、新材料时，必须制定相应的安全技术措施，施工现场必须具有相关的安全标志牌。</w:t>
      </w:r>
    </w:p>
    <w:p w14:paraId="299F8CF0">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92C5AFF">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3.违约责任</w:t>
      </w:r>
    </w:p>
    <w:p w14:paraId="7FD9643C">
      <w:pPr>
        <w:spacing w:line="420" w:lineRule="exact"/>
        <w:ind w:left="480"/>
        <w:rPr>
          <w:rFonts w:ascii="宋体" w:hAnsi="宋体" w:cs="宋体"/>
          <w:color w:val="auto"/>
          <w:sz w:val="24"/>
          <w:szCs w:val="24"/>
          <w:highlight w:val="none"/>
        </w:rPr>
      </w:pPr>
      <w:r>
        <w:rPr>
          <w:rFonts w:hint="eastAsia" w:ascii="宋体" w:hAnsi="宋体" w:cs="宋体"/>
          <w:color w:val="auto"/>
          <w:sz w:val="24"/>
          <w:szCs w:val="24"/>
          <w:highlight w:val="none"/>
        </w:rPr>
        <w:t>如因发包人或承包人违约造成安全事故，将依法追究责任。</w:t>
      </w:r>
    </w:p>
    <w:p w14:paraId="1FB1D9E5">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4.本合同由双方法定代表人或其授权的代理人签署并加盖单位章后生效，全部工程竣工验收后失效。</w:t>
      </w:r>
    </w:p>
    <w:p w14:paraId="3ED4CB80">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olor w:val="auto"/>
          <w:sz w:val="24"/>
          <w:szCs w:val="24"/>
          <w:highlight w:val="none"/>
        </w:rPr>
        <w:t>本合同一式陆份，甲、乙双方各执贰份，招标代理机构壹份，归档壹份。</w:t>
      </w:r>
    </w:p>
    <w:p w14:paraId="40EE7180">
      <w:pPr>
        <w:autoSpaceDE w:val="0"/>
        <w:autoSpaceDN w:val="0"/>
        <w:adjustRightInd w:val="0"/>
        <w:spacing w:line="380" w:lineRule="exact"/>
        <w:rPr>
          <w:rFonts w:ascii="宋体" w:hAnsi="宋体" w:cs="宋体"/>
          <w:color w:val="auto"/>
          <w:kern w:val="0"/>
          <w:sz w:val="24"/>
          <w:szCs w:val="24"/>
          <w:highlight w:val="none"/>
          <w:lang w:val="zh-CN"/>
        </w:rPr>
      </w:pPr>
      <w:r>
        <w:rPr>
          <w:rFonts w:hint="eastAsia" w:ascii="宋体" w:hAnsi="宋体" w:cs="宋体"/>
          <w:color w:val="auto"/>
          <w:sz w:val="24"/>
          <w:szCs w:val="24"/>
          <w:highlight w:val="none"/>
        </w:rPr>
        <w:t>发包人：（盖章）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14"/>
          <w:sz w:val="24"/>
          <w:szCs w:val="24"/>
          <w:highlight w:val="none"/>
          <w:u w:val="single"/>
        </w:rPr>
        <w:t xml:space="preserve"> </w:t>
      </w:r>
      <w:r>
        <w:rPr>
          <w:rFonts w:hint="eastAsia" w:ascii="宋体" w:hAnsi="宋体" w:cs="宋体"/>
          <w:color w:val="auto"/>
          <w:spacing w:val="14"/>
          <w:sz w:val="24"/>
          <w:szCs w:val="24"/>
          <w:highlight w:val="none"/>
        </w:rPr>
        <w:t xml:space="preserve">  </w:t>
      </w:r>
      <w:r>
        <w:rPr>
          <w:rFonts w:hint="eastAsia" w:ascii="宋体" w:hAnsi="宋体" w:cs="宋体"/>
          <w:color w:val="auto"/>
          <w:sz w:val="24"/>
          <w:szCs w:val="24"/>
          <w:highlight w:val="none"/>
        </w:rPr>
        <w:t>承包人：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r>
        <w:rPr>
          <w:rFonts w:hint="eastAsia" w:ascii="宋体" w:hAnsi="宋体" w:cs="宋体"/>
          <w:color w:val="auto"/>
          <w:sz w:val="24"/>
          <w:szCs w:val="24"/>
          <w:highlight w:val="none"/>
          <w:u w:val="single"/>
        </w:rPr>
        <w:t>）</w:t>
      </w:r>
    </w:p>
    <w:p w14:paraId="650B334D">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2467A1B">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                       法定代表人或</w:t>
      </w:r>
    </w:p>
    <w:p w14:paraId="2DAAD618">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  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2B86C14">
      <w:pPr>
        <w:spacing w:line="420" w:lineRule="exact"/>
        <w:ind w:left="840"/>
        <w:rPr>
          <w:rFonts w:ascii="宋体" w:hAnsi="宋体" w:cs="宋体"/>
          <w:color w:val="auto"/>
          <w:sz w:val="24"/>
          <w:szCs w:val="24"/>
          <w:highlight w:val="none"/>
        </w:rPr>
      </w:pPr>
    </w:p>
    <w:p w14:paraId="6B27A42E">
      <w:pPr>
        <w:spacing w:line="420" w:lineRule="exact"/>
        <w:ind w:left="840" w:leftChars="400"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A23C02E">
      <w:pPr>
        <w:spacing w:line="360" w:lineRule="auto"/>
        <w:ind w:firstLine="422"/>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0E362B4D">
      <w:pPr>
        <w:spacing w:line="360" w:lineRule="auto"/>
        <w:ind w:firstLine="422"/>
        <w:rPr>
          <w:rFonts w:ascii="宋体" w:hAnsi="宋体" w:cs="宋体"/>
          <w:b/>
          <w:bCs/>
          <w:color w:val="auto"/>
          <w:sz w:val="24"/>
          <w:szCs w:val="24"/>
          <w:highlight w:val="none"/>
        </w:rPr>
      </w:pPr>
    </w:p>
    <w:p w14:paraId="451A1823">
      <w:pPr>
        <w:spacing w:line="360" w:lineRule="auto"/>
        <w:ind w:firstLine="422"/>
        <w:rPr>
          <w:rFonts w:ascii="宋体" w:hAnsi="宋体" w:cs="宋体"/>
          <w:b/>
          <w:bCs/>
          <w:color w:val="auto"/>
          <w:sz w:val="24"/>
          <w:szCs w:val="24"/>
          <w:highlight w:val="none"/>
        </w:rPr>
      </w:pPr>
    </w:p>
    <w:p w14:paraId="2258433D">
      <w:pPr>
        <w:spacing w:line="360" w:lineRule="auto"/>
        <w:ind w:firstLine="422"/>
        <w:rPr>
          <w:rFonts w:ascii="宋体" w:hAnsi="宋体" w:cs="宋体"/>
          <w:b/>
          <w:color w:val="auto"/>
          <w:sz w:val="24"/>
          <w:szCs w:val="24"/>
          <w:highlight w:val="none"/>
          <w:lang w:val="zh-CN"/>
        </w:rPr>
      </w:pPr>
      <w:r>
        <w:rPr>
          <w:rFonts w:hint="eastAsia" w:ascii="宋体" w:hAnsi="宋体" w:cs="宋体"/>
          <w:b/>
          <w:bCs/>
          <w:color w:val="auto"/>
          <w:sz w:val="24"/>
          <w:szCs w:val="24"/>
          <w:highlight w:val="none"/>
        </w:rPr>
        <w:t xml:space="preserve">附件3：                   </w:t>
      </w:r>
      <w:r>
        <w:rPr>
          <w:rFonts w:hint="eastAsia" w:ascii="宋体" w:hAnsi="宋体" w:cs="宋体"/>
          <w:b/>
          <w:color w:val="auto"/>
          <w:sz w:val="24"/>
          <w:szCs w:val="24"/>
          <w:highlight w:val="none"/>
          <w:lang w:val="zh-CN"/>
        </w:rPr>
        <w:t>工程项目廉政合同</w:t>
      </w:r>
      <w:bookmarkEnd w:id="440"/>
      <w:bookmarkEnd w:id="441"/>
      <w:bookmarkEnd w:id="442"/>
      <w:bookmarkEnd w:id="443"/>
      <w:bookmarkEnd w:id="444"/>
    </w:p>
    <w:p w14:paraId="2130FBBA">
      <w:pPr>
        <w:spacing w:before="100" w:beforeAutospacing="1" w:after="100" w:afterAutospacing="1"/>
        <w:ind w:firstLine="480" w:firstLineChars="200"/>
        <w:outlineLvl w:val="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lang w:val="zh-CN"/>
        </w:rPr>
        <w:t>工程项目名称：</w:t>
      </w:r>
      <w:r>
        <w:rPr>
          <w:rFonts w:hint="eastAsia" w:ascii="宋体" w:hAnsi="宋体" w:cs="宋体"/>
          <w:color w:val="auto"/>
          <w:sz w:val="24"/>
          <w:szCs w:val="24"/>
          <w:highlight w:val="none"/>
          <w:u w:val="single"/>
          <w:lang w:eastAsia="zh-CN"/>
        </w:rPr>
        <w:t>奉化区方桥街道中心幼儿园校园改造项目</w:t>
      </w:r>
    </w:p>
    <w:p w14:paraId="7E5B6EE2">
      <w:pPr>
        <w:spacing w:before="100" w:beforeAutospacing="1" w:after="100" w:afterAutospacing="1" w:line="240" w:lineRule="exact"/>
        <w:ind w:firstLine="480" w:firstLineChars="200"/>
        <w:outlineLvl w:val="0"/>
        <w:rPr>
          <w:rFonts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发包人名称(以下称发包人)：</w:t>
      </w:r>
      <w:r>
        <w:rPr>
          <w:rFonts w:hint="eastAsia" w:ascii="宋体" w:hAnsi="宋体" w:cs="宋体"/>
          <w:color w:val="auto"/>
          <w:kern w:val="0"/>
          <w:sz w:val="24"/>
          <w:szCs w:val="24"/>
          <w:highlight w:val="none"/>
          <w:u w:val="single"/>
          <w:lang w:val="zh-CN"/>
        </w:rPr>
        <w:t xml:space="preserve">宁波市奉化区教育发展投资有限责任公司 </w:t>
      </w:r>
    </w:p>
    <w:p w14:paraId="752E913D">
      <w:pPr>
        <w:autoSpaceDE w:val="0"/>
        <w:autoSpaceDN w:val="0"/>
        <w:adjustRightInd w:val="0"/>
        <w:spacing w:line="2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lang w:val="zh-CN"/>
        </w:rPr>
        <w:t>承包人名称(以下称承包人)：</w:t>
      </w:r>
      <w:r>
        <w:rPr>
          <w:rFonts w:hint="eastAsia" w:ascii="宋体" w:hAnsi="宋体" w:cs="宋体"/>
          <w:color w:val="auto"/>
          <w:sz w:val="24"/>
          <w:szCs w:val="24"/>
          <w:highlight w:val="none"/>
          <w:u w:val="single"/>
        </w:rPr>
        <w:t xml:space="preserve">                                 </w:t>
      </w:r>
    </w:p>
    <w:p w14:paraId="2CD4C46B">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BBD825C">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第一条  甲乙双方的权利和义务    </w:t>
      </w:r>
    </w:p>
    <w:p w14:paraId="0489938B">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(一)严格遵守国家关于市场准入、勘测设计、施工监理、招标询价、工程施工、设备安装和市场经营活动等有关法律法规和相关政策，以及廉政建设的各项规定。    </w:t>
      </w:r>
    </w:p>
    <w:p w14:paraId="0F1EDC05">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(二)严格执行本项目发包承包双方签订的 (施工合同、监理合同、勘测设计合同、采购合同、代理合同等)合同，自觉按合同办事。    </w:t>
      </w:r>
    </w:p>
    <w:p w14:paraId="7D115BBC">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76D311E">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E6836F2">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第二条  发包人的责任    </w:t>
      </w:r>
    </w:p>
    <w:p w14:paraId="6A4C8C0B">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发包人的负责人和从事该工程项目的工作人员，在工程项目的事前、事中、事后应遵守以下规定：    </w:t>
      </w:r>
    </w:p>
    <w:p w14:paraId="5B89BEF7">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(一)不以任何理由向承包人索要或接受回扣、礼金、有价证券、贵重物品和好处费、感谢费等；不在承包人报销应由发包人或个人支付的费用。    </w:t>
      </w:r>
    </w:p>
    <w:p w14:paraId="435E9575">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(二)不参加承包人安排的宴请及其他消费活动；不接受承包人提供的通讯工具、交通工具、高档办公用品等。    </w:t>
      </w:r>
    </w:p>
    <w:p w14:paraId="586A826E">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(三)不要求、暗示和接受承包人为个人装修住房、为配偶子女的工作安排以及本人或亲属旅游、出国(境)等提供方便。    </w:t>
      </w:r>
    </w:p>
    <w:p w14:paraId="66943993">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(四)配偶、子女不得从事与承包人承包工程有关的设备材料供应、工程分包、劳务等经济活动。    </w:t>
      </w:r>
    </w:p>
    <w:p w14:paraId="70275AEE">
      <w:pPr>
        <w:autoSpaceDE w:val="0"/>
        <w:autoSpaceDN w:val="0"/>
        <w:adjustRightInd w:val="0"/>
        <w:spacing w:line="380" w:lineRule="exact"/>
        <w:ind w:firstLine="360" w:firstLineChars="15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（五)不以任何理由向承包人推荐分包人或要求承包人购买项目合同规定以外的材料、设备和服务等。</w:t>
      </w:r>
    </w:p>
    <w:p w14:paraId="1934306F">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第三条  承包人的责任</w:t>
      </w:r>
    </w:p>
    <w:p w14:paraId="0DEF771A">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承包人应与发包人保持正常的业务交往，按照有关法律法规和程序开展业务活动，严格执行工程建设的有关方针、政策，尤其是有关强制性标准和规范，并遵守以下规定：    </w:t>
      </w:r>
    </w:p>
    <w:p w14:paraId="73A97C81">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(一)不以任何理由向发包人及其工作人员行贿或赠送礼金、有价证券、贵重物品。    </w:t>
      </w:r>
    </w:p>
    <w:p w14:paraId="7B82E559">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(二)不以任何名义为发包人及其工作人员报销应由对方支付的费用。    </w:t>
      </w:r>
    </w:p>
    <w:p w14:paraId="570BD961">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(三)不以任何理由宴请发包人工作人员或安排其他消费活动。    </w:t>
      </w:r>
    </w:p>
    <w:p w14:paraId="7E66B338">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(四)不为发包人和工作人员购置或提供通讯工具、交通工具、高档办公用品和装修住房等。 </w:t>
      </w:r>
    </w:p>
    <w:p w14:paraId="0607FA4F">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第四条  违约责任 </w:t>
      </w:r>
    </w:p>
    <w:p w14:paraId="2BDAA843">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发包人工作人员有违反本合同第一、二条责任行为的，按照管理权限，依据有关规定予以处理；涉嫌犯罪的，移交司法机关追究刑事责任；给承包人造成经济损失的，应予赔偿。符合不良行为记录、公示规定的，进行不良行为记录、公示。    </w:t>
      </w:r>
    </w:p>
    <w:p w14:paraId="7A5E5807">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承包人工作人员有违反本合同第一、二条责任行为的，按照管理权限，依据有关规定予以处理；涉嫌犯罪的，移交司法机关追究刑事责任；给发包人造成经济损失的，应予赔偿。符合不良行为记录、公示规定的，进行不良行为记录、公示。    </w:t>
      </w:r>
    </w:p>
    <w:p w14:paraId="6BDA2D7D">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(三)承包人如将部分辅助项目分包的，承包人有责任向分包人交待本合同的具体内容，并严格执行本合同之规定，分包人如有违反上述责任行为的，承包人将承担连带责任。    </w:t>
      </w:r>
    </w:p>
    <w:p w14:paraId="12D36310">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第五条  双方约定：在自觉履行合同的同时，由甲、乙双方的监督单位负责对本合同履行情况进行监督检查。</w:t>
      </w:r>
    </w:p>
    <w:p w14:paraId="61EA989C">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第六条  本合同作为</w:t>
      </w:r>
      <w:r>
        <w:rPr>
          <w:rFonts w:hint="eastAsia" w:ascii="宋体" w:hAnsi="宋体" w:cs="宋体"/>
          <w:color w:val="auto"/>
          <w:sz w:val="24"/>
          <w:szCs w:val="24"/>
          <w:highlight w:val="none"/>
          <w:u w:val="single"/>
          <w:lang w:eastAsia="zh-CN"/>
        </w:rPr>
        <w:t>奉化区方桥街道中心幼儿园校园改造项目</w:t>
      </w:r>
      <w:r>
        <w:rPr>
          <w:rFonts w:hint="eastAsia" w:ascii="宋体" w:hAnsi="宋体" w:cs="宋体"/>
          <w:color w:val="auto"/>
          <w:kern w:val="0"/>
          <w:sz w:val="24"/>
          <w:szCs w:val="24"/>
          <w:highlight w:val="none"/>
          <w:lang w:val="zh-CN"/>
        </w:rPr>
        <w:t>签订工程施工合同的附件，与主合同具有同等法律效力。</w:t>
      </w:r>
    </w:p>
    <w:p w14:paraId="15FDEBB0">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甲乙双方签署后立即生效。</w:t>
      </w:r>
    </w:p>
    <w:p w14:paraId="6E30EB46">
      <w:pPr>
        <w:autoSpaceDE w:val="0"/>
        <w:autoSpaceDN w:val="0"/>
        <w:adjustRightInd w:val="0"/>
        <w:spacing w:line="38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第七条  本合同的有效期为双方签署之日起至该工程项目竣工验收合格时止。    </w:t>
      </w:r>
    </w:p>
    <w:p w14:paraId="5430D94B">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第八条  </w:t>
      </w:r>
      <w:r>
        <w:rPr>
          <w:rFonts w:hint="eastAsia" w:ascii="宋体" w:hAnsi="宋体"/>
          <w:color w:val="auto"/>
          <w:sz w:val="24"/>
          <w:szCs w:val="24"/>
          <w:highlight w:val="none"/>
        </w:rPr>
        <w:t>本合同一式陆份，甲、乙双方各执贰份，招标代理机构壹份，归档壹份。</w:t>
      </w:r>
    </w:p>
    <w:p w14:paraId="55C3997D">
      <w:pPr>
        <w:autoSpaceDE w:val="0"/>
        <w:autoSpaceDN w:val="0"/>
        <w:adjustRightInd w:val="0"/>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(盖章)：               </w:t>
      </w:r>
      <w:r>
        <w:rPr>
          <w:rFonts w:hint="eastAsia" w:ascii="宋体" w:hAnsi="宋体" w:cs="宋体"/>
          <w:color w:val="auto"/>
          <w:kern w:val="0"/>
          <w:sz w:val="24"/>
          <w:szCs w:val="24"/>
          <w:highlight w:val="none"/>
          <w:lang w:val="zh-CN"/>
        </w:rPr>
        <w:tab/>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(盖章)：</w:t>
      </w:r>
    </w:p>
    <w:p w14:paraId="25990A3F">
      <w:pPr>
        <w:tabs>
          <w:tab w:val="left" w:pos="496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         法定代表人或其委托代理人：</w:t>
      </w:r>
    </w:p>
    <w:p w14:paraId="3ABF4A13">
      <w:pPr>
        <w:autoSpaceDE w:val="0"/>
        <w:autoSpaceDN w:val="0"/>
        <w:adjustRightInd w:val="0"/>
        <w:spacing w:line="3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rPr>
        <w:t>地址：</w:t>
      </w:r>
    </w:p>
    <w:p w14:paraId="3AB3818D">
      <w:pPr>
        <w:autoSpaceDE w:val="0"/>
        <w:autoSpaceDN w:val="0"/>
        <w:adjustRightInd w:val="0"/>
        <w:spacing w:line="380" w:lineRule="exact"/>
        <w:ind w:left="521" w:leftChars="248"/>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4370838B">
      <w:pPr>
        <w:tabs>
          <w:tab w:val="left" w:pos="496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电话：</w:t>
      </w:r>
    </w:p>
    <w:p w14:paraId="6AA97F02">
      <w:pPr>
        <w:tabs>
          <w:tab w:val="left" w:pos="5385"/>
        </w:tabs>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年 月  日</w:t>
      </w:r>
      <w:r>
        <w:rPr>
          <w:rFonts w:hint="eastAsia" w:ascii="宋体" w:hAnsi="宋体" w:cs="宋体"/>
          <w:color w:val="auto"/>
          <w:sz w:val="24"/>
          <w:szCs w:val="24"/>
          <w:highlight w:val="none"/>
        </w:rPr>
        <w:tab/>
      </w:r>
      <w:r>
        <w:rPr>
          <w:rFonts w:hint="eastAsia" w:ascii="宋体" w:hAnsi="宋体" w:cs="宋体"/>
          <w:color w:val="auto"/>
          <w:sz w:val="24"/>
          <w:szCs w:val="24"/>
          <w:highlight w:val="none"/>
        </w:rPr>
        <w:t>年 月   日</w:t>
      </w:r>
    </w:p>
    <w:p w14:paraId="2063A371">
      <w:pPr>
        <w:spacing w:line="360" w:lineRule="auto"/>
        <w:ind w:firstLine="422"/>
        <w:rPr>
          <w:rFonts w:ascii="宋体" w:hAnsi="宋体" w:cs="宋体"/>
          <w:b/>
          <w:color w:val="auto"/>
          <w:sz w:val="24"/>
          <w:szCs w:val="24"/>
          <w:highlight w:val="none"/>
        </w:rPr>
      </w:pPr>
    </w:p>
    <w:p w14:paraId="229145B0">
      <w:pPr>
        <w:spacing w:line="360" w:lineRule="auto"/>
        <w:ind w:firstLine="422"/>
        <w:rPr>
          <w:rFonts w:ascii="宋体" w:hAnsi="宋体" w:cs="宋体"/>
          <w:b/>
          <w:color w:val="auto"/>
          <w:sz w:val="24"/>
          <w:szCs w:val="24"/>
          <w:highlight w:val="none"/>
        </w:rPr>
      </w:pPr>
    </w:p>
    <w:p w14:paraId="7E484FD6">
      <w:pPr>
        <w:spacing w:line="360" w:lineRule="auto"/>
        <w:ind w:firstLine="422"/>
        <w:rPr>
          <w:rFonts w:ascii="宋体" w:hAnsi="宋体" w:cs="宋体"/>
          <w:b/>
          <w:color w:val="auto"/>
          <w:sz w:val="24"/>
          <w:szCs w:val="24"/>
          <w:highlight w:val="none"/>
        </w:rPr>
      </w:pPr>
    </w:p>
    <w:p w14:paraId="0C7F946A">
      <w:pPr>
        <w:spacing w:line="360" w:lineRule="auto"/>
        <w:ind w:firstLine="422"/>
        <w:rPr>
          <w:rFonts w:ascii="宋体" w:hAnsi="宋体" w:cs="宋体"/>
          <w:b/>
          <w:color w:val="auto"/>
          <w:sz w:val="24"/>
          <w:szCs w:val="24"/>
          <w:highlight w:val="none"/>
        </w:rPr>
      </w:pPr>
    </w:p>
    <w:p w14:paraId="0BB7AE25">
      <w:pPr>
        <w:ind w:firstLine="422"/>
        <w:rPr>
          <w:rFonts w:ascii="宋体" w:hAnsi="宋体" w:cs="宋体"/>
          <w:b/>
          <w:color w:val="auto"/>
          <w:sz w:val="24"/>
          <w:szCs w:val="24"/>
          <w:highlight w:val="none"/>
        </w:rPr>
      </w:pPr>
    </w:p>
    <w:p w14:paraId="0CEB1EFC">
      <w:pPr>
        <w:tabs>
          <w:tab w:val="left" w:pos="210"/>
        </w:tabs>
        <w:spacing w:line="360" w:lineRule="auto"/>
        <w:ind w:firstLine="422"/>
        <w:jc w:val="left"/>
        <w:rPr>
          <w:rFonts w:ascii="宋体" w:hAnsi="宋体" w:cs="宋体"/>
          <w:b/>
          <w:color w:val="auto"/>
          <w:sz w:val="24"/>
          <w:szCs w:val="24"/>
          <w:highlight w:val="none"/>
        </w:rPr>
      </w:pPr>
      <w:r>
        <w:rPr>
          <w:rFonts w:hint="eastAsia" w:ascii="宋体" w:hAnsi="宋体" w:cs="宋体"/>
          <w:b/>
          <w:color w:val="auto"/>
          <w:sz w:val="24"/>
          <w:szCs w:val="24"/>
          <w:highlight w:val="none"/>
        </w:rPr>
        <w:t>附</w:t>
      </w:r>
      <w:bookmarkStart w:id="445" w:name="_Toc296944566"/>
      <w:bookmarkStart w:id="446" w:name="_Toc296891267"/>
      <w:bookmarkStart w:id="447" w:name="_Toc267261698"/>
      <w:bookmarkStart w:id="448" w:name="_Toc296347226"/>
      <w:bookmarkStart w:id="449" w:name="_Toc296891055"/>
      <w:bookmarkStart w:id="450" w:name="_Toc296503227"/>
      <w:bookmarkStart w:id="451" w:name="_Toc296346728"/>
      <w:r>
        <w:rPr>
          <w:rFonts w:hint="eastAsia" w:ascii="宋体" w:hAnsi="宋体" w:cs="宋体"/>
          <w:b/>
          <w:color w:val="auto"/>
          <w:sz w:val="24"/>
          <w:szCs w:val="24"/>
          <w:highlight w:val="none"/>
        </w:rPr>
        <w:t>件4：</w:t>
      </w:r>
      <w:bookmarkEnd w:id="445"/>
      <w:bookmarkEnd w:id="446"/>
      <w:bookmarkEnd w:id="447"/>
      <w:bookmarkEnd w:id="448"/>
      <w:bookmarkEnd w:id="449"/>
      <w:bookmarkEnd w:id="450"/>
      <w:bookmarkEnd w:id="451"/>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承包人用于本工程施工的机械设备表</w:t>
      </w:r>
    </w:p>
    <w:tbl>
      <w:tblPr>
        <w:tblStyle w:val="25"/>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2768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781" w:type="dxa"/>
            <w:tcBorders>
              <w:top w:val="single" w:color="auto" w:sz="12" w:space="0"/>
              <w:bottom w:val="double" w:color="auto" w:sz="6" w:space="0"/>
            </w:tcBorders>
            <w:vAlign w:val="center"/>
          </w:tcPr>
          <w:p w14:paraId="263C2F40">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序号</w:t>
            </w:r>
          </w:p>
        </w:tc>
        <w:tc>
          <w:tcPr>
            <w:tcW w:w="1549" w:type="dxa"/>
            <w:tcBorders>
              <w:top w:val="single" w:color="auto" w:sz="12" w:space="0"/>
              <w:bottom w:val="double" w:color="auto" w:sz="6" w:space="0"/>
            </w:tcBorders>
            <w:vAlign w:val="center"/>
          </w:tcPr>
          <w:p w14:paraId="0EBE4479">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机械或</w:t>
            </w:r>
          </w:p>
          <w:p w14:paraId="2BDBDE89">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设备名称</w:t>
            </w:r>
          </w:p>
        </w:tc>
        <w:tc>
          <w:tcPr>
            <w:tcW w:w="1001" w:type="dxa"/>
            <w:tcBorders>
              <w:top w:val="single" w:color="auto" w:sz="12" w:space="0"/>
              <w:bottom w:val="double" w:color="auto" w:sz="6" w:space="0"/>
            </w:tcBorders>
            <w:vAlign w:val="center"/>
          </w:tcPr>
          <w:p w14:paraId="27264DD3">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规格</w:t>
            </w:r>
          </w:p>
          <w:p w14:paraId="1FDAD7C3">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型号</w:t>
            </w:r>
          </w:p>
        </w:tc>
        <w:tc>
          <w:tcPr>
            <w:tcW w:w="718" w:type="dxa"/>
            <w:tcBorders>
              <w:top w:val="single" w:color="auto" w:sz="12" w:space="0"/>
              <w:bottom w:val="double" w:color="auto" w:sz="6" w:space="0"/>
            </w:tcBorders>
            <w:vAlign w:val="center"/>
          </w:tcPr>
          <w:p w14:paraId="1EBCC464">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数量</w:t>
            </w:r>
          </w:p>
        </w:tc>
        <w:tc>
          <w:tcPr>
            <w:tcW w:w="794" w:type="dxa"/>
            <w:tcBorders>
              <w:top w:val="single" w:color="auto" w:sz="12" w:space="0"/>
              <w:bottom w:val="double" w:color="auto" w:sz="6" w:space="0"/>
            </w:tcBorders>
            <w:vAlign w:val="center"/>
          </w:tcPr>
          <w:p w14:paraId="15BC4AE2">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产地</w:t>
            </w:r>
          </w:p>
        </w:tc>
        <w:tc>
          <w:tcPr>
            <w:tcW w:w="920" w:type="dxa"/>
            <w:tcBorders>
              <w:top w:val="single" w:color="auto" w:sz="12" w:space="0"/>
              <w:bottom w:val="double" w:color="auto" w:sz="6" w:space="0"/>
            </w:tcBorders>
            <w:vAlign w:val="center"/>
          </w:tcPr>
          <w:p w14:paraId="0EC15F66">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制造</w:t>
            </w:r>
          </w:p>
          <w:p w14:paraId="2D1A9100">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年份</w:t>
            </w:r>
          </w:p>
        </w:tc>
        <w:tc>
          <w:tcPr>
            <w:tcW w:w="1334" w:type="dxa"/>
            <w:tcBorders>
              <w:top w:val="single" w:color="auto" w:sz="12" w:space="0"/>
              <w:bottom w:val="double" w:color="auto" w:sz="6" w:space="0"/>
            </w:tcBorders>
            <w:vAlign w:val="center"/>
          </w:tcPr>
          <w:p w14:paraId="365272C5">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额定功率(kW)</w:t>
            </w:r>
          </w:p>
        </w:tc>
        <w:tc>
          <w:tcPr>
            <w:tcW w:w="920" w:type="dxa"/>
            <w:tcBorders>
              <w:top w:val="single" w:color="auto" w:sz="12" w:space="0"/>
              <w:bottom w:val="double" w:color="auto" w:sz="6" w:space="0"/>
            </w:tcBorders>
            <w:vAlign w:val="center"/>
          </w:tcPr>
          <w:p w14:paraId="1D60FB57">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生产</w:t>
            </w:r>
          </w:p>
          <w:p w14:paraId="3E20B778">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能力</w:t>
            </w:r>
          </w:p>
        </w:tc>
        <w:tc>
          <w:tcPr>
            <w:tcW w:w="828" w:type="dxa"/>
            <w:tcBorders>
              <w:top w:val="single" w:color="auto" w:sz="12" w:space="0"/>
              <w:bottom w:val="double" w:color="auto" w:sz="6" w:space="0"/>
            </w:tcBorders>
            <w:vAlign w:val="center"/>
          </w:tcPr>
          <w:p w14:paraId="7E93C290">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备注</w:t>
            </w:r>
          </w:p>
        </w:tc>
      </w:tr>
      <w:tr w14:paraId="6A05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7783F5EE">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w:t>
            </w:r>
          </w:p>
        </w:tc>
        <w:tc>
          <w:tcPr>
            <w:tcW w:w="1549" w:type="dxa"/>
            <w:tcBorders>
              <w:top w:val="double" w:color="auto" w:sz="6" w:space="0"/>
              <w:bottom w:val="single" w:color="auto" w:sz="6" w:space="0"/>
            </w:tcBorders>
            <w:vAlign w:val="center"/>
          </w:tcPr>
          <w:p w14:paraId="1A961A82">
            <w:pPr>
              <w:jc w:val="center"/>
              <w:rPr>
                <w:rFonts w:ascii="仿宋_GB2312" w:eastAsia="仿宋_GB2312"/>
                <w:color w:val="auto"/>
                <w:sz w:val="24"/>
                <w:szCs w:val="24"/>
                <w:highlight w:val="none"/>
              </w:rPr>
            </w:pPr>
          </w:p>
        </w:tc>
        <w:tc>
          <w:tcPr>
            <w:tcW w:w="1001" w:type="dxa"/>
            <w:tcBorders>
              <w:top w:val="double" w:color="auto" w:sz="6" w:space="0"/>
              <w:bottom w:val="single" w:color="auto" w:sz="6" w:space="0"/>
            </w:tcBorders>
            <w:vAlign w:val="center"/>
          </w:tcPr>
          <w:p w14:paraId="58CC3273">
            <w:pPr>
              <w:jc w:val="center"/>
              <w:rPr>
                <w:rFonts w:ascii="仿宋_GB2312" w:hAnsi="宋体" w:eastAsia="仿宋_GB2312" w:cs="宋体"/>
                <w:color w:val="auto"/>
                <w:kern w:val="0"/>
                <w:sz w:val="24"/>
                <w:szCs w:val="24"/>
                <w:highlight w:val="none"/>
              </w:rPr>
            </w:pPr>
          </w:p>
        </w:tc>
        <w:tc>
          <w:tcPr>
            <w:tcW w:w="718" w:type="dxa"/>
            <w:tcBorders>
              <w:top w:val="double" w:color="auto" w:sz="6" w:space="0"/>
              <w:bottom w:val="single" w:color="auto" w:sz="6" w:space="0"/>
            </w:tcBorders>
            <w:vAlign w:val="bottom"/>
          </w:tcPr>
          <w:p w14:paraId="4C6AFCB7">
            <w:pPr>
              <w:jc w:val="center"/>
              <w:rPr>
                <w:rFonts w:ascii="仿宋_GB2312" w:eastAsia="仿宋_GB2312"/>
                <w:color w:val="auto"/>
                <w:sz w:val="24"/>
                <w:szCs w:val="24"/>
                <w:highlight w:val="none"/>
              </w:rPr>
            </w:pPr>
          </w:p>
        </w:tc>
        <w:tc>
          <w:tcPr>
            <w:tcW w:w="794" w:type="dxa"/>
            <w:tcBorders>
              <w:top w:val="double" w:color="auto" w:sz="6" w:space="0"/>
              <w:bottom w:val="single" w:color="auto" w:sz="6" w:space="0"/>
            </w:tcBorders>
            <w:vAlign w:val="center"/>
          </w:tcPr>
          <w:p w14:paraId="0A25B816">
            <w:pPr>
              <w:jc w:val="center"/>
              <w:rPr>
                <w:rFonts w:ascii="仿宋_GB2312" w:hAnsi="宋体" w:eastAsia="仿宋_GB2312" w:cs="宋体"/>
                <w:color w:val="auto"/>
                <w:kern w:val="0"/>
                <w:sz w:val="24"/>
                <w:szCs w:val="24"/>
                <w:highlight w:val="none"/>
              </w:rPr>
            </w:pPr>
          </w:p>
        </w:tc>
        <w:tc>
          <w:tcPr>
            <w:tcW w:w="920" w:type="dxa"/>
            <w:tcBorders>
              <w:top w:val="double" w:color="auto" w:sz="6" w:space="0"/>
              <w:bottom w:val="single" w:color="auto" w:sz="6" w:space="0"/>
            </w:tcBorders>
            <w:vAlign w:val="center"/>
          </w:tcPr>
          <w:p w14:paraId="1622EE23">
            <w:pPr>
              <w:jc w:val="center"/>
              <w:rPr>
                <w:rFonts w:ascii="仿宋_GB2312" w:hAnsi="宋体" w:eastAsia="仿宋_GB2312"/>
                <w:color w:val="auto"/>
                <w:sz w:val="24"/>
                <w:szCs w:val="24"/>
                <w:highlight w:val="none"/>
              </w:rPr>
            </w:pPr>
          </w:p>
        </w:tc>
        <w:tc>
          <w:tcPr>
            <w:tcW w:w="1334" w:type="dxa"/>
            <w:tcBorders>
              <w:top w:val="double" w:color="auto" w:sz="6" w:space="0"/>
              <w:bottom w:val="single" w:color="auto" w:sz="6" w:space="0"/>
            </w:tcBorders>
            <w:vAlign w:val="bottom"/>
          </w:tcPr>
          <w:p w14:paraId="7436E737">
            <w:pPr>
              <w:jc w:val="center"/>
              <w:rPr>
                <w:rFonts w:ascii="仿宋_GB2312" w:eastAsia="仿宋_GB2312"/>
                <w:color w:val="auto"/>
                <w:sz w:val="24"/>
                <w:szCs w:val="24"/>
                <w:highlight w:val="none"/>
              </w:rPr>
            </w:pPr>
          </w:p>
        </w:tc>
        <w:tc>
          <w:tcPr>
            <w:tcW w:w="920" w:type="dxa"/>
            <w:tcBorders>
              <w:top w:val="double" w:color="auto" w:sz="6" w:space="0"/>
              <w:bottom w:val="single" w:color="auto" w:sz="6" w:space="0"/>
            </w:tcBorders>
            <w:vAlign w:val="center"/>
          </w:tcPr>
          <w:p w14:paraId="30181FF5">
            <w:pPr>
              <w:pStyle w:val="9"/>
              <w:keepNext/>
              <w:ind w:left="63" w:right="63"/>
              <w:rPr>
                <w:rFonts w:hAnsi="宋体" w:cs="宋体"/>
                <w:color w:val="auto"/>
                <w:sz w:val="24"/>
                <w:szCs w:val="24"/>
                <w:highlight w:val="none"/>
                <w:lang w:val="en-US"/>
              </w:rPr>
            </w:pPr>
          </w:p>
        </w:tc>
        <w:tc>
          <w:tcPr>
            <w:tcW w:w="828" w:type="dxa"/>
            <w:tcBorders>
              <w:top w:val="double" w:color="auto" w:sz="6" w:space="0"/>
              <w:bottom w:val="single" w:color="auto" w:sz="6" w:space="0"/>
            </w:tcBorders>
            <w:vAlign w:val="center"/>
          </w:tcPr>
          <w:p w14:paraId="21768F70">
            <w:pPr>
              <w:pStyle w:val="9"/>
              <w:keepNext/>
              <w:ind w:left="63" w:right="63"/>
              <w:rPr>
                <w:rFonts w:hAnsi="宋体" w:cs="宋体"/>
                <w:color w:val="auto"/>
                <w:sz w:val="24"/>
                <w:szCs w:val="24"/>
                <w:highlight w:val="none"/>
                <w:lang w:val="en-US"/>
              </w:rPr>
            </w:pPr>
          </w:p>
        </w:tc>
      </w:tr>
      <w:tr w14:paraId="6F92E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5EEE9789">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w:t>
            </w:r>
          </w:p>
        </w:tc>
        <w:tc>
          <w:tcPr>
            <w:tcW w:w="1549" w:type="dxa"/>
            <w:tcBorders>
              <w:top w:val="nil"/>
            </w:tcBorders>
            <w:vAlign w:val="center"/>
          </w:tcPr>
          <w:p w14:paraId="7259D8C7">
            <w:pPr>
              <w:jc w:val="center"/>
              <w:rPr>
                <w:rFonts w:ascii="仿宋_GB2312" w:eastAsia="仿宋_GB2312"/>
                <w:color w:val="auto"/>
                <w:sz w:val="24"/>
                <w:szCs w:val="24"/>
                <w:highlight w:val="none"/>
              </w:rPr>
            </w:pPr>
          </w:p>
        </w:tc>
        <w:tc>
          <w:tcPr>
            <w:tcW w:w="1001" w:type="dxa"/>
            <w:tcBorders>
              <w:top w:val="nil"/>
            </w:tcBorders>
            <w:vAlign w:val="center"/>
          </w:tcPr>
          <w:p w14:paraId="2855A851">
            <w:pPr>
              <w:jc w:val="center"/>
              <w:rPr>
                <w:rFonts w:ascii="仿宋_GB2312" w:hAnsi="宋体" w:eastAsia="仿宋_GB2312" w:cs="宋体"/>
                <w:color w:val="auto"/>
                <w:kern w:val="0"/>
                <w:sz w:val="24"/>
                <w:szCs w:val="24"/>
                <w:highlight w:val="none"/>
              </w:rPr>
            </w:pPr>
          </w:p>
        </w:tc>
        <w:tc>
          <w:tcPr>
            <w:tcW w:w="718" w:type="dxa"/>
            <w:tcBorders>
              <w:top w:val="nil"/>
            </w:tcBorders>
            <w:vAlign w:val="bottom"/>
          </w:tcPr>
          <w:p w14:paraId="5C95AB1B">
            <w:pPr>
              <w:jc w:val="center"/>
              <w:rPr>
                <w:rFonts w:ascii="仿宋_GB2312" w:eastAsia="仿宋_GB2312"/>
                <w:color w:val="auto"/>
                <w:sz w:val="24"/>
                <w:szCs w:val="24"/>
                <w:highlight w:val="none"/>
              </w:rPr>
            </w:pPr>
          </w:p>
        </w:tc>
        <w:tc>
          <w:tcPr>
            <w:tcW w:w="794" w:type="dxa"/>
            <w:tcBorders>
              <w:top w:val="nil"/>
            </w:tcBorders>
            <w:vAlign w:val="center"/>
          </w:tcPr>
          <w:p w14:paraId="281714C9">
            <w:pPr>
              <w:jc w:val="center"/>
              <w:rPr>
                <w:rFonts w:ascii="仿宋_GB2312" w:hAnsi="宋体" w:eastAsia="仿宋_GB2312"/>
                <w:color w:val="auto"/>
                <w:sz w:val="24"/>
                <w:szCs w:val="24"/>
                <w:highlight w:val="none"/>
              </w:rPr>
            </w:pPr>
          </w:p>
        </w:tc>
        <w:tc>
          <w:tcPr>
            <w:tcW w:w="920" w:type="dxa"/>
            <w:tcBorders>
              <w:top w:val="nil"/>
            </w:tcBorders>
            <w:vAlign w:val="center"/>
          </w:tcPr>
          <w:p w14:paraId="51C6DAB5">
            <w:pPr>
              <w:ind w:firstLine="425"/>
              <w:jc w:val="center"/>
              <w:rPr>
                <w:rFonts w:ascii="仿宋_GB2312" w:hAnsi="宋体" w:eastAsia="仿宋_GB2312"/>
                <w:b/>
                <w:color w:val="auto"/>
                <w:sz w:val="24"/>
                <w:szCs w:val="24"/>
                <w:highlight w:val="none"/>
              </w:rPr>
            </w:pPr>
          </w:p>
        </w:tc>
        <w:tc>
          <w:tcPr>
            <w:tcW w:w="1334" w:type="dxa"/>
            <w:tcBorders>
              <w:top w:val="nil"/>
            </w:tcBorders>
            <w:vAlign w:val="bottom"/>
          </w:tcPr>
          <w:p w14:paraId="2DB20FCC">
            <w:pPr>
              <w:jc w:val="center"/>
              <w:rPr>
                <w:rFonts w:ascii="仿宋_GB2312" w:eastAsia="仿宋_GB2312"/>
                <w:color w:val="auto"/>
                <w:sz w:val="24"/>
                <w:szCs w:val="24"/>
                <w:highlight w:val="none"/>
              </w:rPr>
            </w:pPr>
          </w:p>
        </w:tc>
        <w:tc>
          <w:tcPr>
            <w:tcW w:w="920" w:type="dxa"/>
            <w:tcBorders>
              <w:top w:val="nil"/>
            </w:tcBorders>
            <w:vAlign w:val="center"/>
          </w:tcPr>
          <w:p w14:paraId="43F28B45">
            <w:pPr>
              <w:pStyle w:val="9"/>
              <w:keepNext/>
              <w:ind w:left="63" w:right="63"/>
              <w:rPr>
                <w:rFonts w:hAnsi="宋体" w:cs="宋体"/>
                <w:color w:val="auto"/>
                <w:sz w:val="24"/>
                <w:szCs w:val="24"/>
                <w:highlight w:val="none"/>
                <w:lang w:val="en-US"/>
              </w:rPr>
            </w:pPr>
          </w:p>
        </w:tc>
        <w:tc>
          <w:tcPr>
            <w:tcW w:w="828" w:type="dxa"/>
            <w:tcBorders>
              <w:top w:val="nil"/>
            </w:tcBorders>
            <w:vAlign w:val="center"/>
          </w:tcPr>
          <w:p w14:paraId="66785F1E">
            <w:pPr>
              <w:pStyle w:val="9"/>
              <w:keepNext/>
              <w:ind w:left="63" w:right="63"/>
              <w:rPr>
                <w:rFonts w:hAnsi="宋体" w:cs="宋体"/>
                <w:color w:val="auto"/>
                <w:sz w:val="24"/>
                <w:szCs w:val="24"/>
                <w:highlight w:val="none"/>
                <w:lang w:val="en-US"/>
              </w:rPr>
            </w:pPr>
          </w:p>
        </w:tc>
      </w:tr>
      <w:tr w14:paraId="1B266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294E3CD">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w:t>
            </w:r>
          </w:p>
        </w:tc>
        <w:tc>
          <w:tcPr>
            <w:tcW w:w="1549" w:type="dxa"/>
            <w:vAlign w:val="center"/>
          </w:tcPr>
          <w:p w14:paraId="3E55208F">
            <w:pPr>
              <w:jc w:val="center"/>
              <w:rPr>
                <w:rFonts w:ascii="仿宋_GB2312" w:eastAsia="仿宋_GB2312"/>
                <w:color w:val="auto"/>
                <w:sz w:val="24"/>
                <w:szCs w:val="24"/>
                <w:highlight w:val="none"/>
              </w:rPr>
            </w:pPr>
          </w:p>
        </w:tc>
        <w:tc>
          <w:tcPr>
            <w:tcW w:w="1001" w:type="dxa"/>
            <w:vAlign w:val="center"/>
          </w:tcPr>
          <w:p w14:paraId="278C73C1">
            <w:pPr>
              <w:jc w:val="center"/>
              <w:rPr>
                <w:rFonts w:ascii="仿宋_GB2312" w:hAnsi="宋体" w:eastAsia="仿宋_GB2312" w:cs="宋体"/>
                <w:color w:val="auto"/>
                <w:kern w:val="0"/>
                <w:sz w:val="24"/>
                <w:szCs w:val="24"/>
                <w:highlight w:val="none"/>
              </w:rPr>
            </w:pPr>
          </w:p>
        </w:tc>
        <w:tc>
          <w:tcPr>
            <w:tcW w:w="718" w:type="dxa"/>
            <w:vAlign w:val="bottom"/>
          </w:tcPr>
          <w:p w14:paraId="66C7CC06">
            <w:pPr>
              <w:jc w:val="center"/>
              <w:rPr>
                <w:rFonts w:ascii="仿宋_GB2312" w:eastAsia="仿宋_GB2312"/>
                <w:color w:val="auto"/>
                <w:sz w:val="24"/>
                <w:szCs w:val="24"/>
                <w:highlight w:val="none"/>
              </w:rPr>
            </w:pPr>
          </w:p>
        </w:tc>
        <w:tc>
          <w:tcPr>
            <w:tcW w:w="794" w:type="dxa"/>
            <w:vAlign w:val="center"/>
          </w:tcPr>
          <w:p w14:paraId="1585040B">
            <w:pPr>
              <w:jc w:val="center"/>
              <w:rPr>
                <w:rFonts w:ascii="仿宋_GB2312" w:hAnsi="宋体" w:eastAsia="仿宋_GB2312"/>
                <w:color w:val="auto"/>
                <w:sz w:val="24"/>
                <w:szCs w:val="24"/>
                <w:highlight w:val="none"/>
              </w:rPr>
            </w:pPr>
          </w:p>
        </w:tc>
        <w:tc>
          <w:tcPr>
            <w:tcW w:w="920" w:type="dxa"/>
            <w:vAlign w:val="center"/>
          </w:tcPr>
          <w:p w14:paraId="1DE8F920">
            <w:pPr>
              <w:ind w:firstLine="425"/>
              <w:jc w:val="center"/>
              <w:rPr>
                <w:rFonts w:ascii="仿宋_GB2312" w:hAnsi="宋体" w:eastAsia="仿宋_GB2312"/>
                <w:b/>
                <w:color w:val="auto"/>
                <w:sz w:val="24"/>
                <w:szCs w:val="24"/>
                <w:highlight w:val="none"/>
              </w:rPr>
            </w:pPr>
          </w:p>
        </w:tc>
        <w:tc>
          <w:tcPr>
            <w:tcW w:w="1334" w:type="dxa"/>
            <w:vAlign w:val="bottom"/>
          </w:tcPr>
          <w:p w14:paraId="7D2C7A6C">
            <w:pPr>
              <w:jc w:val="center"/>
              <w:rPr>
                <w:rFonts w:ascii="仿宋_GB2312" w:eastAsia="仿宋_GB2312"/>
                <w:color w:val="auto"/>
                <w:sz w:val="24"/>
                <w:szCs w:val="24"/>
                <w:highlight w:val="none"/>
              </w:rPr>
            </w:pPr>
          </w:p>
        </w:tc>
        <w:tc>
          <w:tcPr>
            <w:tcW w:w="920" w:type="dxa"/>
            <w:vAlign w:val="center"/>
          </w:tcPr>
          <w:p w14:paraId="55613647">
            <w:pPr>
              <w:pStyle w:val="9"/>
              <w:keepNext/>
              <w:ind w:left="63" w:right="63"/>
              <w:rPr>
                <w:rFonts w:hAnsi="宋体" w:cs="宋体"/>
                <w:color w:val="auto"/>
                <w:sz w:val="24"/>
                <w:szCs w:val="24"/>
                <w:highlight w:val="none"/>
                <w:lang w:val="en-US"/>
              </w:rPr>
            </w:pPr>
          </w:p>
        </w:tc>
        <w:tc>
          <w:tcPr>
            <w:tcW w:w="828" w:type="dxa"/>
            <w:vAlign w:val="center"/>
          </w:tcPr>
          <w:p w14:paraId="4C4DB480">
            <w:pPr>
              <w:pStyle w:val="9"/>
              <w:keepNext/>
              <w:ind w:left="63" w:right="63"/>
              <w:rPr>
                <w:rFonts w:hAnsi="宋体" w:cs="宋体"/>
                <w:color w:val="auto"/>
                <w:sz w:val="24"/>
                <w:szCs w:val="24"/>
                <w:highlight w:val="none"/>
                <w:lang w:val="en-US"/>
              </w:rPr>
            </w:pPr>
          </w:p>
        </w:tc>
      </w:tr>
      <w:tr w14:paraId="11487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CD9CE9F">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w:t>
            </w:r>
          </w:p>
        </w:tc>
        <w:tc>
          <w:tcPr>
            <w:tcW w:w="1549" w:type="dxa"/>
            <w:vAlign w:val="center"/>
          </w:tcPr>
          <w:p w14:paraId="3B212AC2">
            <w:pPr>
              <w:jc w:val="center"/>
              <w:rPr>
                <w:rFonts w:ascii="仿宋_GB2312" w:eastAsia="仿宋_GB2312"/>
                <w:color w:val="auto"/>
                <w:sz w:val="24"/>
                <w:szCs w:val="24"/>
                <w:highlight w:val="none"/>
              </w:rPr>
            </w:pPr>
          </w:p>
        </w:tc>
        <w:tc>
          <w:tcPr>
            <w:tcW w:w="1001" w:type="dxa"/>
            <w:vAlign w:val="center"/>
          </w:tcPr>
          <w:p w14:paraId="2FD68547">
            <w:pPr>
              <w:jc w:val="center"/>
              <w:rPr>
                <w:rFonts w:ascii="仿宋_GB2312" w:hAnsi="宋体" w:eastAsia="仿宋_GB2312" w:cs="宋体"/>
                <w:color w:val="auto"/>
                <w:kern w:val="0"/>
                <w:sz w:val="24"/>
                <w:szCs w:val="24"/>
                <w:highlight w:val="none"/>
              </w:rPr>
            </w:pPr>
          </w:p>
        </w:tc>
        <w:tc>
          <w:tcPr>
            <w:tcW w:w="718" w:type="dxa"/>
            <w:vAlign w:val="bottom"/>
          </w:tcPr>
          <w:p w14:paraId="7053B0A1">
            <w:pPr>
              <w:jc w:val="center"/>
              <w:rPr>
                <w:rFonts w:ascii="仿宋_GB2312" w:eastAsia="仿宋_GB2312"/>
                <w:color w:val="auto"/>
                <w:sz w:val="24"/>
                <w:szCs w:val="24"/>
                <w:highlight w:val="none"/>
              </w:rPr>
            </w:pPr>
          </w:p>
        </w:tc>
        <w:tc>
          <w:tcPr>
            <w:tcW w:w="794" w:type="dxa"/>
            <w:vAlign w:val="center"/>
          </w:tcPr>
          <w:p w14:paraId="05DCFBFB">
            <w:pPr>
              <w:jc w:val="center"/>
              <w:rPr>
                <w:rFonts w:ascii="仿宋_GB2312" w:hAnsi="宋体" w:eastAsia="仿宋_GB2312"/>
                <w:color w:val="auto"/>
                <w:sz w:val="24"/>
                <w:szCs w:val="24"/>
                <w:highlight w:val="none"/>
              </w:rPr>
            </w:pPr>
          </w:p>
        </w:tc>
        <w:tc>
          <w:tcPr>
            <w:tcW w:w="920" w:type="dxa"/>
            <w:vAlign w:val="center"/>
          </w:tcPr>
          <w:p w14:paraId="2372493F">
            <w:pPr>
              <w:ind w:firstLine="425"/>
              <w:jc w:val="center"/>
              <w:rPr>
                <w:rFonts w:ascii="仿宋_GB2312" w:hAnsi="宋体" w:eastAsia="仿宋_GB2312"/>
                <w:b/>
                <w:color w:val="auto"/>
                <w:sz w:val="24"/>
                <w:szCs w:val="24"/>
                <w:highlight w:val="none"/>
              </w:rPr>
            </w:pPr>
          </w:p>
        </w:tc>
        <w:tc>
          <w:tcPr>
            <w:tcW w:w="1334" w:type="dxa"/>
            <w:vAlign w:val="bottom"/>
          </w:tcPr>
          <w:p w14:paraId="28C30E17">
            <w:pPr>
              <w:jc w:val="center"/>
              <w:rPr>
                <w:rFonts w:ascii="仿宋_GB2312" w:eastAsia="仿宋_GB2312"/>
                <w:color w:val="auto"/>
                <w:sz w:val="24"/>
                <w:szCs w:val="24"/>
                <w:highlight w:val="none"/>
              </w:rPr>
            </w:pPr>
          </w:p>
        </w:tc>
        <w:tc>
          <w:tcPr>
            <w:tcW w:w="920" w:type="dxa"/>
            <w:vAlign w:val="center"/>
          </w:tcPr>
          <w:p w14:paraId="68683E7E">
            <w:pPr>
              <w:pStyle w:val="9"/>
              <w:keepNext/>
              <w:ind w:left="63" w:right="63"/>
              <w:rPr>
                <w:rFonts w:hAnsi="宋体" w:cs="宋体"/>
                <w:color w:val="auto"/>
                <w:sz w:val="24"/>
                <w:szCs w:val="24"/>
                <w:highlight w:val="none"/>
                <w:lang w:val="en-US"/>
              </w:rPr>
            </w:pPr>
          </w:p>
        </w:tc>
        <w:tc>
          <w:tcPr>
            <w:tcW w:w="828" w:type="dxa"/>
            <w:vAlign w:val="center"/>
          </w:tcPr>
          <w:p w14:paraId="2299B0CF">
            <w:pPr>
              <w:pStyle w:val="9"/>
              <w:keepNext/>
              <w:ind w:left="63" w:right="63"/>
              <w:rPr>
                <w:rFonts w:hAnsi="宋体" w:cs="宋体"/>
                <w:color w:val="auto"/>
                <w:sz w:val="24"/>
                <w:szCs w:val="24"/>
                <w:highlight w:val="none"/>
                <w:lang w:val="en-US"/>
              </w:rPr>
            </w:pPr>
          </w:p>
        </w:tc>
      </w:tr>
      <w:tr w14:paraId="245CE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0B233A">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5</w:t>
            </w:r>
          </w:p>
        </w:tc>
        <w:tc>
          <w:tcPr>
            <w:tcW w:w="1549" w:type="dxa"/>
            <w:vAlign w:val="center"/>
          </w:tcPr>
          <w:p w14:paraId="75CD8FE5">
            <w:pPr>
              <w:jc w:val="center"/>
              <w:rPr>
                <w:rFonts w:ascii="仿宋_GB2312" w:eastAsia="仿宋_GB2312"/>
                <w:color w:val="auto"/>
                <w:sz w:val="24"/>
                <w:szCs w:val="24"/>
                <w:highlight w:val="none"/>
              </w:rPr>
            </w:pPr>
          </w:p>
        </w:tc>
        <w:tc>
          <w:tcPr>
            <w:tcW w:w="1001" w:type="dxa"/>
            <w:vAlign w:val="center"/>
          </w:tcPr>
          <w:p w14:paraId="05F86233">
            <w:pPr>
              <w:jc w:val="center"/>
              <w:rPr>
                <w:rFonts w:ascii="仿宋_GB2312" w:hAnsi="宋体" w:eastAsia="仿宋_GB2312" w:cs="宋体"/>
                <w:color w:val="auto"/>
                <w:kern w:val="0"/>
                <w:sz w:val="24"/>
                <w:szCs w:val="24"/>
                <w:highlight w:val="none"/>
              </w:rPr>
            </w:pPr>
          </w:p>
        </w:tc>
        <w:tc>
          <w:tcPr>
            <w:tcW w:w="718" w:type="dxa"/>
            <w:vAlign w:val="bottom"/>
          </w:tcPr>
          <w:p w14:paraId="6076496B">
            <w:pPr>
              <w:jc w:val="center"/>
              <w:rPr>
                <w:rFonts w:ascii="仿宋_GB2312" w:eastAsia="仿宋_GB2312"/>
                <w:color w:val="auto"/>
                <w:sz w:val="24"/>
                <w:szCs w:val="24"/>
                <w:highlight w:val="none"/>
              </w:rPr>
            </w:pPr>
          </w:p>
        </w:tc>
        <w:tc>
          <w:tcPr>
            <w:tcW w:w="794" w:type="dxa"/>
            <w:vAlign w:val="center"/>
          </w:tcPr>
          <w:p w14:paraId="534C8338">
            <w:pPr>
              <w:jc w:val="center"/>
              <w:rPr>
                <w:rFonts w:ascii="仿宋_GB2312" w:hAnsi="宋体" w:eastAsia="仿宋_GB2312"/>
                <w:color w:val="auto"/>
                <w:sz w:val="24"/>
                <w:szCs w:val="24"/>
                <w:highlight w:val="none"/>
              </w:rPr>
            </w:pPr>
          </w:p>
        </w:tc>
        <w:tc>
          <w:tcPr>
            <w:tcW w:w="920" w:type="dxa"/>
            <w:vAlign w:val="center"/>
          </w:tcPr>
          <w:p w14:paraId="220B9DEF">
            <w:pPr>
              <w:ind w:firstLine="425"/>
              <w:jc w:val="center"/>
              <w:rPr>
                <w:rFonts w:ascii="仿宋_GB2312" w:hAnsi="宋体" w:eastAsia="仿宋_GB2312"/>
                <w:b/>
                <w:color w:val="auto"/>
                <w:sz w:val="24"/>
                <w:szCs w:val="24"/>
                <w:highlight w:val="none"/>
              </w:rPr>
            </w:pPr>
          </w:p>
        </w:tc>
        <w:tc>
          <w:tcPr>
            <w:tcW w:w="1334" w:type="dxa"/>
            <w:vAlign w:val="bottom"/>
          </w:tcPr>
          <w:p w14:paraId="64BF5C73">
            <w:pPr>
              <w:jc w:val="center"/>
              <w:rPr>
                <w:rFonts w:ascii="仿宋_GB2312" w:eastAsia="仿宋_GB2312"/>
                <w:color w:val="auto"/>
                <w:sz w:val="24"/>
                <w:szCs w:val="24"/>
                <w:highlight w:val="none"/>
              </w:rPr>
            </w:pPr>
          </w:p>
        </w:tc>
        <w:tc>
          <w:tcPr>
            <w:tcW w:w="920" w:type="dxa"/>
            <w:vAlign w:val="center"/>
          </w:tcPr>
          <w:p w14:paraId="55405FFC">
            <w:pPr>
              <w:pStyle w:val="9"/>
              <w:keepNext/>
              <w:ind w:left="63" w:right="63"/>
              <w:rPr>
                <w:rFonts w:hAnsi="宋体" w:cs="宋体"/>
                <w:color w:val="auto"/>
                <w:sz w:val="24"/>
                <w:szCs w:val="24"/>
                <w:highlight w:val="none"/>
                <w:lang w:val="en-US"/>
              </w:rPr>
            </w:pPr>
          </w:p>
        </w:tc>
        <w:tc>
          <w:tcPr>
            <w:tcW w:w="828" w:type="dxa"/>
            <w:vAlign w:val="center"/>
          </w:tcPr>
          <w:p w14:paraId="171FFBAB">
            <w:pPr>
              <w:pStyle w:val="9"/>
              <w:keepNext/>
              <w:ind w:left="63" w:right="63"/>
              <w:rPr>
                <w:rFonts w:hAnsi="宋体" w:cs="宋体"/>
                <w:color w:val="auto"/>
                <w:sz w:val="24"/>
                <w:szCs w:val="24"/>
                <w:highlight w:val="none"/>
                <w:lang w:val="en-US"/>
              </w:rPr>
            </w:pPr>
          </w:p>
        </w:tc>
      </w:tr>
      <w:tr w14:paraId="7292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3D1D21B">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6</w:t>
            </w:r>
          </w:p>
        </w:tc>
        <w:tc>
          <w:tcPr>
            <w:tcW w:w="1549" w:type="dxa"/>
            <w:vAlign w:val="center"/>
          </w:tcPr>
          <w:p w14:paraId="15A6156D">
            <w:pPr>
              <w:jc w:val="center"/>
              <w:rPr>
                <w:rFonts w:ascii="仿宋_GB2312" w:eastAsia="仿宋_GB2312"/>
                <w:color w:val="auto"/>
                <w:sz w:val="24"/>
                <w:szCs w:val="24"/>
                <w:highlight w:val="none"/>
              </w:rPr>
            </w:pPr>
          </w:p>
        </w:tc>
        <w:tc>
          <w:tcPr>
            <w:tcW w:w="1001" w:type="dxa"/>
            <w:vAlign w:val="center"/>
          </w:tcPr>
          <w:p w14:paraId="061C7E46">
            <w:pPr>
              <w:jc w:val="center"/>
              <w:rPr>
                <w:rFonts w:ascii="仿宋_GB2312" w:hAnsi="宋体" w:eastAsia="仿宋_GB2312" w:cs="宋体"/>
                <w:color w:val="auto"/>
                <w:kern w:val="0"/>
                <w:sz w:val="24"/>
                <w:szCs w:val="24"/>
                <w:highlight w:val="none"/>
              </w:rPr>
            </w:pPr>
          </w:p>
        </w:tc>
        <w:tc>
          <w:tcPr>
            <w:tcW w:w="718" w:type="dxa"/>
            <w:vAlign w:val="bottom"/>
          </w:tcPr>
          <w:p w14:paraId="71AC4470">
            <w:pPr>
              <w:jc w:val="center"/>
              <w:rPr>
                <w:rFonts w:ascii="仿宋_GB2312" w:eastAsia="仿宋_GB2312"/>
                <w:color w:val="auto"/>
                <w:sz w:val="24"/>
                <w:szCs w:val="24"/>
                <w:highlight w:val="none"/>
              </w:rPr>
            </w:pPr>
          </w:p>
        </w:tc>
        <w:tc>
          <w:tcPr>
            <w:tcW w:w="794" w:type="dxa"/>
            <w:vAlign w:val="center"/>
          </w:tcPr>
          <w:p w14:paraId="3744DF1B">
            <w:pPr>
              <w:jc w:val="center"/>
              <w:rPr>
                <w:rFonts w:ascii="仿宋_GB2312" w:hAnsi="宋体" w:eastAsia="仿宋_GB2312"/>
                <w:color w:val="auto"/>
                <w:sz w:val="24"/>
                <w:szCs w:val="24"/>
                <w:highlight w:val="none"/>
              </w:rPr>
            </w:pPr>
          </w:p>
        </w:tc>
        <w:tc>
          <w:tcPr>
            <w:tcW w:w="920" w:type="dxa"/>
            <w:vAlign w:val="center"/>
          </w:tcPr>
          <w:p w14:paraId="57095426">
            <w:pPr>
              <w:ind w:firstLine="425"/>
              <w:jc w:val="center"/>
              <w:rPr>
                <w:rFonts w:ascii="仿宋_GB2312" w:hAnsi="宋体" w:eastAsia="仿宋_GB2312"/>
                <w:b/>
                <w:color w:val="auto"/>
                <w:sz w:val="24"/>
                <w:szCs w:val="24"/>
                <w:highlight w:val="none"/>
              </w:rPr>
            </w:pPr>
          </w:p>
        </w:tc>
        <w:tc>
          <w:tcPr>
            <w:tcW w:w="1334" w:type="dxa"/>
            <w:vAlign w:val="bottom"/>
          </w:tcPr>
          <w:p w14:paraId="3B21208D">
            <w:pPr>
              <w:jc w:val="center"/>
              <w:rPr>
                <w:rFonts w:ascii="仿宋_GB2312" w:eastAsia="仿宋_GB2312"/>
                <w:color w:val="auto"/>
                <w:sz w:val="24"/>
                <w:szCs w:val="24"/>
                <w:highlight w:val="none"/>
              </w:rPr>
            </w:pPr>
          </w:p>
        </w:tc>
        <w:tc>
          <w:tcPr>
            <w:tcW w:w="920" w:type="dxa"/>
            <w:vAlign w:val="center"/>
          </w:tcPr>
          <w:p w14:paraId="09043AD6">
            <w:pPr>
              <w:pStyle w:val="9"/>
              <w:keepNext/>
              <w:ind w:left="63" w:right="63"/>
              <w:rPr>
                <w:rFonts w:hAnsi="宋体" w:cs="宋体"/>
                <w:color w:val="auto"/>
                <w:sz w:val="24"/>
                <w:szCs w:val="24"/>
                <w:highlight w:val="none"/>
                <w:lang w:val="en-US"/>
              </w:rPr>
            </w:pPr>
          </w:p>
        </w:tc>
        <w:tc>
          <w:tcPr>
            <w:tcW w:w="828" w:type="dxa"/>
            <w:vAlign w:val="center"/>
          </w:tcPr>
          <w:p w14:paraId="76B7791B">
            <w:pPr>
              <w:pStyle w:val="9"/>
              <w:keepNext/>
              <w:ind w:left="63" w:right="63"/>
              <w:rPr>
                <w:rFonts w:hAnsi="宋体" w:cs="宋体"/>
                <w:color w:val="auto"/>
                <w:sz w:val="24"/>
                <w:szCs w:val="24"/>
                <w:highlight w:val="none"/>
                <w:lang w:val="en-US"/>
              </w:rPr>
            </w:pPr>
          </w:p>
        </w:tc>
      </w:tr>
      <w:tr w14:paraId="12662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28CF00D">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7</w:t>
            </w:r>
          </w:p>
        </w:tc>
        <w:tc>
          <w:tcPr>
            <w:tcW w:w="1549" w:type="dxa"/>
            <w:vAlign w:val="center"/>
          </w:tcPr>
          <w:p w14:paraId="7E2FCAB4">
            <w:pPr>
              <w:jc w:val="center"/>
              <w:rPr>
                <w:rFonts w:ascii="仿宋_GB2312" w:eastAsia="仿宋_GB2312"/>
                <w:color w:val="auto"/>
                <w:sz w:val="24"/>
                <w:szCs w:val="24"/>
                <w:highlight w:val="none"/>
              </w:rPr>
            </w:pPr>
          </w:p>
        </w:tc>
        <w:tc>
          <w:tcPr>
            <w:tcW w:w="1001" w:type="dxa"/>
            <w:vAlign w:val="center"/>
          </w:tcPr>
          <w:p w14:paraId="6C123CF5">
            <w:pPr>
              <w:jc w:val="center"/>
              <w:rPr>
                <w:rFonts w:ascii="仿宋_GB2312" w:hAnsi="宋体" w:eastAsia="仿宋_GB2312" w:cs="宋体"/>
                <w:color w:val="auto"/>
                <w:kern w:val="0"/>
                <w:sz w:val="24"/>
                <w:szCs w:val="24"/>
                <w:highlight w:val="none"/>
              </w:rPr>
            </w:pPr>
          </w:p>
        </w:tc>
        <w:tc>
          <w:tcPr>
            <w:tcW w:w="718" w:type="dxa"/>
            <w:vAlign w:val="bottom"/>
          </w:tcPr>
          <w:p w14:paraId="110A6F90">
            <w:pPr>
              <w:jc w:val="center"/>
              <w:rPr>
                <w:rFonts w:ascii="仿宋_GB2312" w:eastAsia="仿宋_GB2312"/>
                <w:color w:val="auto"/>
                <w:sz w:val="24"/>
                <w:szCs w:val="24"/>
                <w:highlight w:val="none"/>
              </w:rPr>
            </w:pPr>
          </w:p>
        </w:tc>
        <w:tc>
          <w:tcPr>
            <w:tcW w:w="794" w:type="dxa"/>
            <w:vAlign w:val="center"/>
          </w:tcPr>
          <w:p w14:paraId="73352B95">
            <w:pPr>
              <w:jc w:val="center"/>
              <w:rPr>
                <w:rFonts w:ascii="仿宋_GB2312" w:hAnsi="宋体" w:eastAsia="仿宋_GB2312"/>
                <w:color w:val="auto"/>
                <w:sz w:val="24"/>
                <w:szCs w:val="24"/>
                <w:highlight w:val="none"/>
              </w:rPr>
            </w:pPr>
          </w:p>
        </w:tc>
        <w:tc>
          <w:tcPr>
            <w:tcW w:w="920" w:type="dxa"/>
            <w:vAlign w:val="center"/>
          </w:tcPr>
          <w:p w14:paraId="55E2362B">
            <w:pPr>
              <w:ind w:firstLine="425"/>
              <w:jc w:val="center"/>
              <w:rPr>
                <w:rFonts w:ascii="仿宋_GB2312" w:hAnsi="宋体" w:eastAsia="仿宋_GB2312"/>
                <w:b/>
                <w:color w:val="auto"/>
                <w:sz w:val="24"/>
                <w:szCs w:val="24"/>
                <w:highlight w:val="none"/>
              </w:rPr>
            </w:pPr>
          </w:p>
        </w:tc>
        <w:tc>
          <w:tcPr>
            <w:tcW w:w="1334" w:type="dxa"/>
            <w:vAlign w:val="bottom"/>
          </w:tcPr>
          <w:p w14:paraId="3B622D1E">
            <w:pPr>
              <w:jc w:val="center"/>
              <w:rPr>
                <w:rFonts w:ascii="仿宋_GB2312" w:eastAsia="仿宋_GB2312"/>
                <w:color w:val="auto"/>
                <w:sz w:val="24"/>
                <w:szCs w:val="24"/>
                <w:highlight w:val="none"/>
              </w:rPr>
            </w:pPr>
          </w:p>
        </w:tc>
        <w:tc>
          <w:tcPr>
            <w:tcW w:w="920" w:type="dxa"/>
            <w:vAlign w:val="center"/>
          </w:tcPr>
          <w:p w14:paraId="18D8D353">
            <w:pPr>
              <w:pStyle w:val="9"/>
              <w:keepNext/>
              <w:ind w:left="63" w:right="63"/>
              <w:rPr>
                <w:rFonts w:hAnsi="宋体" w:cs="宋体"/>
                <w:color w:val="auto"/>
                <w:sz w:val="24"/>
                <w:szCs w:val="24"/>
                <w:highlight w:val="none"/>
                <w:lang w:val="en-US"/>
              </w:rPr>
            </w:pPr>
          </w:p>
        </w:tc>
        <w:tc>
          <w:tcPr>
            <w:tcW w:w="828" w:type="dxa"/>
            <w:vAlign w:val="center"/>
          </w:tcPr>
          <w:p w14:paraId="5A502408">
            <w:pPr>
              <w:pStyle w:val="9"/>
              <w:keepNext/>
              <w:ind w:left="63" w:right="63"/>
              <w:rPr>
                <w:rFonts w:hAnsi="宋体" w:cs="宋体"/>
                <w:color w:val="auto"/>
                <w:sz w:val="24"/>
                <w:szCs w:val="24"/>
                <w:highlight w:val="none"/>
                <w:lang w:val="en-US"/>
              </w:rPr>
            </w:pPr>
          </w:p>
        </w:tc>
      </w:tr>
      <w:tr w14:paraId="576AE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52F8D6">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8</w:t>
            </w:r>
          </w:p>
        </w:tc>
        <w:tc>
          <w:tcPr>
            <w:tcW w:w="1549" w:type="dxa"/>
            <w:vAlign w:val="center"/>
          </w:tcPr>
          <w:p w14:paraId="43AE9FB3">
            <w:pPr>
              <w:jc w:val="center"/>
              <w:rPr>
                <w:rFonts w:ascii="仿宋_GB2312" w:eastAsia="仿宋_GB2312"/>
                <w:color w:val="auto"/>
                <w:sz w:val="24"/>
                <w:szCs w:val="24"/>
                <w:highlight w:val="none"/>
              </w:rPr>
            </w:pPr>
          </w:p>
        </w:tc>
        <w:tc>
          <w:tcPr>
            <w:tcW w:w="1001" w:type="dxa"/>
            <w:vAlign w:val="center"/>
          </w:tcPr>
          <w:p w14:paraId="41C92A8C">
            <w:pPr>
              <w:jc w:val="center"/>
              <w:rPr>
                <w:rFonts w:ascii="仿宋_GB2312" w:hAnsi="宋体" w:eastAsia="仿宋_GB2312" w:cs="宋体"/>
                <w:color w:val="auto"/>
                <w:kern w:val="0"/>
                <w:sz w:val="24"/>
                <w:szCs w:val="24"/>
                <w:highlight w:val="none"/>
              </w:rPr>
            </w:pPr>
          </w:p>
        </w:tc>
        <w:tc>
          <w:tcPr>
            <w:tcW w:w="718" w:type="dxa"/>
            <w:vAlign w:val="bottom"/>
          </w:tcPr>
          <w:p w14:paraId="5D54FF67">
            <w:pPr>
              <w:jc w:val="center"/>
              <w:rPr>
                <w:rFonts w:ascii="仿宋_GB2312" w:eastAsia="仿宋_GB2312"/>
                <w:color w:val="auto"/>
                <w:sz w:val="24"/>
                <w:szCs w:val="24"/>
                <w:highlight w:val="none"/>
              </w:rPr>
            </w:pPr>
          </w:p>
        </w:tc>
        <w:tc>
          <w:tcPr>
            <w:tcW w:w="794" w:type="dxa"/>
            <w:vAlign w:val="center"/>
          </w:tcPr>
          <w:p w14:paraId="73B6995F">
            <w:pPr>
              <w:jc w:val="center"/>
              <w:rPr>
                <w:rFonts w:ascii="仿宋_GB2312" w:hAnsi="宋体" w:eastAsia="仿宋_GB2312"/>
                <w:color w:val="auto"/>
                <w:sz w:val="24"/>
                <w:szCs w:val="24"/>
                <w:highlight w:val="none"/>
              </w:rPr>
            </w:pPr>
          </w:p>
        </w:tc>
        <w:tc>
          <w:tcPr>
            <w:tcW w:w="920" w:type="dxa"/>
            <w:vAlign w:val="center"/>
          </w:tcPr>
          <w:p w14:paraId="70C261B7">
            <w:pPr>
              <w:ind w:firstLine="425"/>
              <w:jc w:val="center"/>
              <w:rPr>
                <w:rFonts w:ascii="仿宋_GB2312" w:hAnsi="宋体" w:eastAsia="仿宋_GB2312"/>
                <w:b/>
                <w:color w:val="auto"/>
                <w:sz w:val="24"/>
                <w:szCs w:val="24"/>
                <w:highlight w:val="none"/>
              </w:rPr>
            </w:pPr>
          </w:p>
        </w:tc>
        <w:tc>
          <w:tcPr>
            <w:tcW w:w="1334" w:type="dxa"/>
            <w:vAlign w:val="bottom"/>
          </w:tcPr>
          <w:p w14:paraId="6B730F94">
            <w:pPr>
              <w:jc w:val="center"/>
              <w:rPr>
                <w:rFonts w:ascii="仿宋_GB2312" w:eastAsia="仿宋_GB2312"/>
                <w:color w:val="auto"/>
                <w:sz w:val="24"/>
                <w:szCs w:val="24"/>
                <w:highlight w:val="none"/>
              </w:rPr>
            </w:pPr>
          </w:p>
        </w:tc>
        <w:tc>
          <w:tcPr>
            <w:tcW w:w="920" w:type="dxa"/>
            <w:vAlign w:val="center"/>
          </w:tcPr>
          <w:p w14:paraId="13DBABA7">
            <w:pPr>
              <w:pStyle w:val="9"/>
              <w:keepNext/>
              <w:ind w:left="63" w:right="63"/>
              <w:rPr>
                <w:rFonts w:hAnsi="宋体" w:cs="宋体"/>
                <w:color w:val="auto"/>
                <w:sz w:val="24"/>
                <w:szCs w:val="24"/>
                <w:highlight w:val="none"/>
                <w:lang w:val="en-US"/>
              </w:rPr>
            </w:pPr>
          </w:p>
        </w:tc>
        <w:tc>
          <w:tcPr>
            <w:tcW w:w="828" w:type="dxa"/>
            <w:vAlign w:val="center"/>
          </w:tcPr>
          <w:p w14:paraId="7B189D80">
            <w:pPr>
              <w:pStyle w:val="9"/>
              <w:keepNext/>
              <w:ind w:left="63" w:right="63"/>
              <w:rPr>
                <w:rFonts w:hAnsi="宋体" w:cs="宋体"/>
                <w:color w:val="auto"/>
                <w:sz w:val="24"/>
                <w:szCs w:val="24"/>
                <w:highlight w:val="none"/>
                <w:lang w:val="en-US"/>
              </w:rPr>
            </w:pPr>
          </w:p>
        </w:tc>
      </w:tr>
      <w:tr w14:paraId="5CDE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38C9D89">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9</w:t>
            </w:r>
          </w:p>
        </w:tc>
        <w:tc>
          <w:tcPr>
            <w:tcW w:w="1549" w:type="dxa"/>
            <w:vAlign w:val="center"/>
          </w:tcPr>
          <w:p w14:paraId="4388D3C4">
            <w:pPr>
              <w:jc w:val="center"/>
              <w:rPr>
                <w:rFonts w:ascii="仿宋_GB2312" w:eastAsia="仿宋_GB2312"/>
                <w:color w:val="auto"/>
                <w:sz w:val="24"/>
                <w:szCs w:val="24"/>
                <w:highlight w:val="none"/>
              </w:rPr>
            </w:pPr>
          </w:p>
        </w:tc>
        <w:tc>
          <w:tcPr>
            <w:tcW w:w="1001" w:type="dxa"/>
            <w:vAlign w:val="center"/>
          </w:tcPr>
          <w:p w14:paraId="2605801F">
            <w:pPr>
              <w:jc w:val="center"/>
              <w:rPr>
                <w:rFonts w:ascii="仿宋_GB2312" w:hAnsi="宋体" w:eastAsia="仿宋_GB2312" w:cs="宋体"/>
                <w:color w:val="auto"/>
                <w:kern w:val="0"/>
                <w:sz w:val="24"/>
                <w:szCs w:val="24"/>
                <w:highlight w:val="none"/>
              </w:rPr>
            </w:pPr>
          </w:p>
        </w:tc>
        <w:tc>
          <w:tcPr>
            <w:tcW w:w="718" w:type="dxa"/>
            <w:vAlign w:val="bottom"/>
          </w:tcPr>
          <w:p w14:paraId="35852719">
            <w:pPr>
              <w:jc w:val="center"/>
              <w:rPr>
                <w:rFonts w:ascii="仿宋_GB2312" w:eastAsia="仿宋_GB2312"/>
                <w:color w:val="auto"/>
                <w:sz w:val="24"/>
                <w:szCs w:val="24"/>
                <w:highlight w:val="none"/>
              </w:rPr>
            </w:pPr>
          </w:p>
        </w:tc>
        <w:tc>
          <w:tcPr>
            <w:tcW w:w="794" w:type="dxa"/>
            <w:vAlign w:val="center"/>
          </w:tcPr>
          <w:p w14:paraId="547F2978">
            <w:pPr>
              <w:jc w:val="center"/>
              <w:rPr>
                <w:rFonts w:ascii="仿宋_GB2312" w:hAnsi="宋体" w:eastAsia="仿宋_GB2312"/>
                <w:color w:val="auto"/>
                <w:sz w:val="24"/>
                <w:szCs w:val="24"/>
                <w:highlight w:val="none"/>
              </w:rPr>
            </w:pPr>
          </w:p>
        </w:tc>
        <w:tc>
          <w:tcPr>
            <w:tcW w:w="920" w:type="dxa"/>
            <w:vAlign w:val="center"/>
          </w:tcPr>
          <w:p w14:paraId="604917F5">
            <w:pPr>
              <w:ind w:firstLine="425"/>
              <w:jc w:val="center"/>
              <w:rPr>
                <w:rFonts w:ascii="仿宋_GB2312" w:hAnsi="宋体" w:eastAsia="仿宋_GB2312"/>
                <w:b/>
                <w:color w:val="auto"/>
                <w:sz w:val="24"/>
                <w:szCs w:val="24"/>
                <w:highlight w:val="none"/>
              </w:rPr>
            </w:pPr>
          </w:p>
        </w:tc>
        <w:tc>
          <w:tcPr>
            <w:tcW w:w="1334" w:type="dxa"/>
            <w:vAlign w:val="bottom"/>
          </w:tcPr>
          <w:p w14:paraId="0FD9081C">
            <w:pPr>
              <w:jc w:val="center"/>
              <w:rPr>
                <w:rFonts w:ascii="仿宋_GB2312" w:eastAsia="仿宋_GB2312"/>
                <w:color w:val="auto"/>
                <w:sz w:val="24"/>
                <w:szCs w:val="24"/>
                <w:highlight w:val="none"/>
              </w:rPr>
            </w:pPr>
          </w:p>
        </w:tc>
        <w:tc>
          <w:tcPr>
            <w:tcW w:w="920" w:type="dxa"/>
          </w:tcPr>
          <w:p w14:paraId="1AB8CD4A">
            <w:pPr>
              <w:spacing w:line="360" w:lineRule="auto"/>
              <w:rPr>
                <w:rFonts w:ascii="宋体" w:hAnsi="宋体" w:cs="宋体"/>
                <w:color w:val="auto"/>
                <w:sz w:val="24"/>
                <w:szCs w:val="24"/>
                <w:highlight w:val="none"/>
              </w:rPr>
            </w:pPr>
          </w:p>
        </w:tc>
        <w:tc>
          <w:tcPr>
            <w:tcW w:w="828" w:type="dxa"/>
          </w:tcPr>
          <w:p w14:paraId="77079166">
            <w:pPr>
              <w:spacing w:line="360" w:lineRule="auto"/>
              <w:rPr>
                <w:rFonts w:ascii="宋体" w:hAnsi="宋体" w:cs="宋体"/>
                <w:color w:val="auto"/>
                <w:sz w:val="24"/>
                <w:szCs w:val="24"/>
                <w:highlight w:val="none"/>
              </w:rPr>
            </w:pPr>
          </w:p>
        </w:tc>
      </w:tr>
      <w:tr w14:paraId="7A843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B7E6784">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w:t>
            </w:r>
          </w:p>
        </w:tc>
        <w:tc>
          <w:tcPr>
            <w:tcW w:w="1549" w:type="dxa"/>
            <w:vAlign w:val="center"/>
          </w:tcPr>
          <w:p w14:paraId="299538B2">
            <w:pPr>
              <w:jc w:val="center"/>
              <w:rPr>
                <w:rFonts w:ascii="仿宋_GB2312" w:eastAsia="仿宋_GB2312"/>
                <w:color w:val="auto"/>
                <w:sz w:val="24"/>
                <w:szCs w:val="24"/>
                <w:highlight w:val="none"/>
              </w:rPr>
            </w:pPr>
          </w:p>
        </w:tc>
        <w:tc>
          <w:tcPr>
            <w:tcW w:w="1001" w:type="dxa"/>
            <w:vAlign w:val="center"/>
          </w:tcPr>
          <w:p w14:paraId="60663C7C">
            <w:pPr>
              <w:jc w:val="center"/>
              <w:rPr>
                <w:rFonts w:ascii="仿宋_GB2312" w:hAnsi="宋体" w:eastAsia="仿宋_GB2312" w:cs="宋体"/>
                <w:color w:val="auto"/>
                <w:kern w:val="0"/>
                <w:sz w:val="24"/>
                <w:szCs w:val="24"/>
                <w:highlight w:val="none"/>
              </w:rPr>
            </w:pPr>
          </w:p>
        </w:tc>
        <w:tc>
          <w:tcPr>
            <w:tcW w:w="718" w:type="dxa"/>
            <w:vAlign w:val="bottom"/>
          </w:tcPr>
          <w:p w14:paraId="1D51AF1D">
            <w:pPr>
              <w:jc w:val="center"/>
              <w:rPr>
                <w:rFonts w:ascii="仿宋_GB2312" w:eastAsia="仿宋_GB2312"/>
                <w:color w:val="auto"/>
                <w:sz w:val="24"/>
                <w:szCs w:val="24"/>
                <w:highlight w:val="none"/>
              </w:rPr>
            </w:pPr>
          </w:p>
        </w:tc>
        <w:tc>
          <w:tcPr>
            <w:tcW w:w="794" w:type="dxa"/>
            <w:vAlign w:val="center"/>
          </w:tcPr>
          <w:p w14:paraId="4BC70CBA">
            <w:pPr>
              <w:jc w:val="center"/>
              <w:rPr>
                <w:rFonts w:ascii="仿宋_GB2312" w:hAnsi="宋体" w:eastAsia="仿宋_GB2312"/>
                <w:color w:val="auto"/>
                <w:sz w:val="24"/>
                <w:szCs w:val="24"/>
                <w:highlight w:val="none"/>
              </w:rPr>
            </w:pPr>
          </w:p>
        </w:tc>
        <w:tc>
          <w:tcPr>
            <w:tcW w:w="920" w:type="dxa"/>
            <w:vAlign w:val="center"/>
          </w:tcPr>
          <w:p w14:paraId="7A99A168">
            <w:pPr>
              <w:ind w:firstLine="425"/>
              <w:jc w:val="center"/>
              <w:rPr>
                <w:rFonts w:ascii="仿宋_GB2312" w:hAnsi="宋体" w:eastAsia="仿宋_GB2312"/>
                <w:b/>
                <w:color w:val="auto"/>
                <w:sz w:val="24"/>
                <w:szCs w:val="24"/>
                <w:highlight w:val="none"/>
              </w:rPr>
            </w:pPr>
          </w:p>
        </w:tc>
        <w:tc>
          <w:tcPr>
            <w:tcW w:w="1334" w:type="dxa"/>
            <w:vAlign w:val="bottom"/>
          </w:tcPr>
          <w:p w14:paraId="6FEA9E41">
            <w:pPr>
              <w:jc w:val="center"/>
              <w:rPr>
                <w:rFonts w:ascii="仿宋_GB2312" w:eastAsia="仿宋_GB2312"/>
                <w:color w:val="auto"/>
                <w:sz w:val="24"/>
                <w:szCs w:val="24"/>
                <w:highlight w:val="none"/>
              </w:rPr>
            </w:pPr>
          </w:p>
        </w:tc>
        <w:tc>
          <w:tcPr>
            <w:tcW w:w="920" w:type="dxa"/>
            <w:vAlign w:val="center"/>
          </w:tcPr>
          <w:p w14:paraId="1930500B">
            <w:pPr>
              <w:pStyle w:val="9"/>
              <w:keepNext/>
              <w:ind w:left="63" w:right="63"/>
              <w:rPr>
                <w:rFonts w:hAnsi="宋体" w:cs="宋体"/>
                <w:color w:val="auto"/>
                <w:sz w:val="24"/>
                <w:szCs w:val="24"/>
                <w:highlight w:val="none"/>
                <w:lang w:val="en-US"/>
              </w:rPr>
            </w:pPr>
          </w:p>
        </w:tc>
        <w:tc>
          <w:tcPr>
            <w:tcW w:w="828" w:type="dxa"/>
            <w:vAlign w:val="center"/>
          </w:tcPr>
          <w:p w14:paraId="219FA248">
            <w:pPr>
              <w:pStyle w:val="9"/>
              <w:keepNext/>
              <w:ind w:left="63" w:right="63"/>
              <w:rPr>
                <w:rFonts w:hAnsi="宋体" w:cs="宋体"/>
                <w:color w:val="auto"/>
                <w:sz w:val="24"/>
                <w:szCs w:val="24"/>
                <w:highlight w:val="none"/>
                <w:lang w:val="en-US"/>
              </w:rPr>
            </w:pPr>
          </w:p>
        </w:tc>
      </w:tr>
      <w:tr w14:paraId="7C722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C0904D5">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11</w:t>
            </w:r>
          </w:p>
        </w:tc>
        <w:tc>
          <w:tcPr>
            <w:tcW w:w="1549" w:type="dxa"/>
            <w:vAlign w:val="center"/>
          </w:tcPr>
          <w:p w14:paraId="4415AF68">
            <w:pPr>
              <w:jc w:val="center"/>
              <w:rPr>
                <w:rFonts w:ascii="仿宋_GB2312" w:eastAsia="仿宋_GB2312"/>
                <w:color w:val="auto"/>
                <w:sz w:val="24"/>
                <w:szCs w:val="24"/>
                <w:highlight w:val="none"/>
              </w:rPr>
            </w:pPr>
          </w:p>
        </w:tc>
        <w:tc>
          <w:tcPr>
            <w:tcW w:w="1001" w:type="dxa"/>
            <w:vAlign w:val="center"/>
          </w:tcPr>
          <w:p w14:paraId="7E530E33">
            <w:pPr>
              <w:jc w:val="center"/>
              <w:rPr>
                <w:rFonts w:ascii="仿宋_GB2312" w:hAnsi="宋体" w:eastAsia="仿宋_GB2312" w:cs="宋体"/>
                <w:color w:val="auto"/>
                <w:kern w:val="0"/>
                <w:sz w:val="24"/>
                <w:szCs w:val="24"/>
                <w:highlight w:val="none"/>
              </w:rPr>
            </w:pPr>
          </w:p>
        </w:tc>
        <w:tc>
          <w:tcPr>
            <w:tcW w:w="718" w:type="dxa"/>
            <w:vAlign w:val="bottom"/>
          </w:tcPr>
          <w:p w14:paraId="1696B78F">
            <w:pPr>
              <w:jc w:val="center"/>
              <w:rPr>
                <w:rFonts w:ascii="仿宋_GB2312" w:eastAsia="仿宋_GB2312"/>
                <w:color w:val="auto"/>
                <w:sz w:val="24"/>
                <w:szCs w:val="24"/>
                <w:highlight w:val="none"/>
              </w:rPr>
            </w:pPr>
          </w:p>
        </w:tc>
        <w:tc>
          <w:tcPr>
            <w:tcW w:w="794" w:type="dxa"/>
            <w:vAlign w:val="center"/>
          </w:tcPr>
          <w:p w14:paraId="252AD106">
            <w:pPr>
              <w:jc w:val="center"/>
              <w:rPr>
                <w:rFonts w:ascii="仿宋_GB2312" w:hAnsi="宋体" w:eastAsia="仿宋_GB2312"/>
                <w:color w:val="auto"/>
                <w:sz w:val="24"/>
                <w:szCs w:val="24"/>
                <w:highlight w:val="none"/>
              </w:rPr>
            </w:pPr>
          </w:p>
        </w:tc>
        <w:tc>
          <w:tcPr>
            <w:tcW w:w="920" w:type="dxa"/>
            <w:vAlign w:val="center"/>
          </w:tcPr>
          <w:p w14:paraId="1FEE7A76">
            <w:pPr>
              <w:ind w:firstLine="425"/>
              <w:jc w:val="center"/>
              <w:rPr>
                <w:rFonts w:ascii="仿宋_GB2312" w:hAnsi="宋体" w:eastAsia="仿宋_GB2312"/>
                <w:b/>
                <w:color w:val="auto"/>
                <w:sz w:val="24"/>
                <w:szCs w:val="24"/>
                <w:highlight w:val="none"/>
              </w:rPr>
            </w:pPr>
          </w:p>
        </w:tc>
        <w:tc>
          <w:tcPr>
            <w:tcW w:w="1334" w:type="dxa"/>
            <w:vAlign w:val="bottom"/>
          </w:tcPr>
          <w:p w14:paraId="13D169A8">
            <w:pPr>
              <w:jc w:val="center"/>
              <w:rPr>
                <w:rFonts w:ascii="仿宋_GB2312" w:eastAsia="仿宋_GB2312"/>
                <w:color w:val="auto"/>
                <w:sz w:val="24"/>
                <w:szCs w:val="24"/>
                <w:highlight w:val="none"/>
              </w:rPr>
            </w:pPr>
          </w:p>
        </w:tc>
        <w:tc>
          <w:tcPr>
            <w:tcW w:w="920" w:type="dxa"/>
          </w:tcPr>
          <w:p w14:paraId="5428FCE9">
            <w:pPr>
              <w:spacing w:line="360" w:lineRule="auto"/>
              <w:rPr>
                <w:rFonts w:ascii="宋体" w:hAnsi="宋体" w:cs="宋体"/>
                <w:color w:val="auto"/>
                <w:sz w:val="24"/>
                <w:szCs w:val="24"/>
                <w:highlight w:val="none"/>
              </w:rPr>
            </w:pPr>
          </w:p>
        </w:tc>
        <w:tc>
          <w:tcPr>
            <w:tcW w:w="828" w:type="dxa"/>
          </w:tcPr>
          <w:p w14:paraId="226A8364">
            <w:pPr>
              <w:spacing w:line="360" w:lineRule="auto"/>
              <w:rPr>
                <w:rFonts w:ascii="宋体" w:hAnsi="宋体" w:cs="宋体"/>
                <w:color w:val="auto"/>
                <w:sz w:val="24"/>
                <w:szCs w:val="24"/>
                <w:highlight w:val="none"/>
              </w:rPr>
            </w:pPr>
          </w:p>
        </w:tc>
      </w:tr>
      <w:tr w14:paraId="6D6D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B30130">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12</w:t>
            </w:r>
          </w:p>
        </w:tc>
        <w:tc>
          <w:tcPr>
            <w:tcW w:w="1549" w:type="dxa"/>
            <w:vAlign w:val="center"/>
          </w:tcPr>
          <w:p w14:paraId="4F8D0112">
            <w:pPr>
              <w:jc w:val="center"/>
              <w:rPr>
                <w:rFonts w:ascii="仿宋_GB2312" w:eastAsia="仿宋_GB2312"/>
                <w:color w:val="auto"/>
                <w:sz w:val="24"/>
                <w:szCs w:val="24"/>
                <w:highlight w:val="none"/>
              </w:rPr>
            </w:pPr>
          </w:p>
        </w:tc>
        <w:tc>
          <w:tcPr>
            <w:tcW w:w="1001" w:type="dxa"/>
            <w:vAlign w:val="center"/>
          </w:tcPr>
          <w:p w14:paraId="6922C222">
            <w:pPr>
              <w:jc w:val="center"/>
              <w:rPr>
                <w:rFonts w:ascii="仿宋_GB2312" w:hAnsi="宋体" w:eastAsia="仿宋_GB2312" w:cs="宋体"/>
                <w:color w:val="auto"/>
                <w:kern w:val="0"/>
                <w:sz w:val="24"/>
                <w:szCs w:val="24"/>
                <w:highlight w:val="none"/>
              </w:rPr>
            </w:pPr>
          </w:p>
        </w:tc>
        <w:tc>
          <w:tcPr>
            <w:tcW w:w="718" w:type="dxa"/>
            <w:vAlign w:val="bottom"/>
          </w:tcPr>
          <w:p w14:paraId="101F07CE">
            <w:pPr>
              <w:jc w:val="center"/>
              <w:rPr>
                <w:rFonts w:ascii="仿宋_GB2312" w:eastAsia="仿宋_GB2312"/>
                <w:color w:val="auto"/>
                <w:sz w:val="24"/>
                <w:szCs w:val="24"/>
                <w:highlight w:val="none"/>
              </w:rPr>
            </w:pPr>
          </w:p>
        </w:tc>
        <w:tc>
          <w:tcPr>
            <w:tcW w:w="794" w:type="dxa"/>
            <w:vAlign w:val="center"/>
          </w:tcPr>
          <w:p w14:paraId="1A817E03">
            <w:pPr>
              <w:jc w:val="center"/>
              <w:rPr>
                <w:rFonts w:ascii="仿宋_GB2312" w:hAnsi="宋体" w:eastAsia="仿宋_GB2312"/>
                <w:color w:val="auto"/>
                <w:sz w:val="24"/>
                <w:szCs w:val="24"/>
                <w:highlight w:val="none"/>
              </w:rPr>
            </w:pPr>
          </w:p>
        </w:tc>
        <w:tc>
          <w:tcPr>
            <w:tcW w:w="920" w:type="dxa"/>
            <w:vAlign w:val="center"/>
          </w:tcPr>
          <w:p w14:paraId="5FA0DA92">
            <w:pPr>
              <w:ind w:firstLine="425"/>
              <w:jc w:val="center"/>
              <w:rPr>
                <w:rFonts w:ascii="仿宋_GB2312" w:hAnsi="宋体" w:eastAsia="仿宋_GB2312"/>
                <w:b/>
                <w:color w:val="auto"/>
                <w:sz w:val="24"/>
                <w:szCs w:val="24"/>
                <w:highlight w:val="none"/>
              </w:rPr>
            </w:pPr>
          </w:p>
        </w:tc>
        <w:tc>
          <w:tcPr>
            <w:tcW w:w="1334" w:type="dxa"/>
            <w:vAlign w:val="bottom"/>
          </w:tcPr>
          <w:p w14:paraId="54251FFA">
            <w:pPr>
              <w:jc w:val="center"/>
              <w:rPr>
                <w:rFonts w:ascii="仿宋_GB2312" w:eastAsia="仿宋_GB2312"/>
                <w:color w:val="auto"/>
                <w:sz w:val="24"/>
                <w:szCs w:val="24"/>
                <w:highlight w:val="none"/>
              </w:rPr>
            </w:pPr>
          </w:p>
        </w:tc>
        <w:tc>
          <w:tcPr>
            <w:tcW w:w="920" w:type="dxa"/>
          </w:tcPr>
          <w:p w14:paraId="7E292FBB">
            <w:pPr>
              <w:spacing w:line="360" w:lineRule="auto"/>
              <w:rPr>
                <w:rFonts w:ascii="宋体" w:hAnsi="宋体" w:cs="宋体"/>
                <w:color w:val="auto"/>
                <w:sz w:val="24"/>
                <w:szCs w:val="24"/>
                <w:highlight w:val="none"/>
              </w:rPr>
            </w:pPr>
          </w:p>
        </w:tc>
        <w:tc>
          <w:tcPr>
            <w:tcW w:w="828" w:type="dxa"/>
          </w:tcPr>
          <w:p w14:paraId="10887CDD">
            <w:pPr>
              <w:spacing w:line="360" w:lineRule="auto"/>
              <w:rPr>
                <w:rFonts w:ascii="宋体" w:hAnsi="宋体" w:cs="宋体"/>
                <w:color w:val="auto"/>
                <w:sz w:val="24"/>
                <w:szCs w:val="24"/>
                <w:highlight w:val="none"/>
              </w:rPr>
            </w:pPr>
          </w:p>
        </w:tc>
      </w:tr>
      <w:tr w14:paraId="0C6F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C3263C5">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13</w:t>
            </w:r>
          </w:p>
        </w:tc>
        <w:tc>
          <w:tcPr>
            <w:tcW w:w="1549" w:type="dxa"/>
            <w:vAlign w:val="center"/>
          </w:tcPr>
          <w:p w14:paraId="35C8A7DF">
            <w:pPr>
              <w:jc w:val="center"/>
              <w:rPr>
                <w:rFonts w:ascii="仿宋_GB2312" w:eastAsia="仿宋_GB2312"/>
                <w:color w:val="auto"/>
                <w:sz w:val="24"/>
                <w:szCs w:val="24"/>
                <w:highlight w:val="none"/>
              </w:rPr>
            </w:pPr>
          </w:p>
        </w:tc>
        <w:tc>
          <w:tcPr>
            <w:tcW w:w="1001" w:type="dxa"/>
            <w:vAlign w:val="center"/>
          </w:tcPr>
          <w:p w14:paraId="7912EF9A">
            <w:pPr>
              <w:jc w:val="center"/>
              <w:rPr>
                <w:rFonts w:ascii="仿宋_GB2312" w:hAnsi="宋体" w:eastAsia="仿宋_GB2312" w:cs="宋体"/>
                <w:color w:val="auto"/>
                <w:kern w:val="0"/>
                <w:sz w:val="24"/>
                <w:szCs w:val="24"/>
                <w:highlight w:val="none"/>
              </w:rPr>
            </w:pPr>
          </w:p>
        </w:tc>
        <w:tc>
          <w:tcPr>
            <w:tcW w:w="718" w:type="dxa"/>
            <w:vAlign w:val="bottom"/>
          </w:tcPr>
          <w:p w14:paraId="1FF5029C">
            <w:pPr>
              <w:jc w:val="center"/>
              <w:rPr>
                <w:rFonts w:ascii="仿宋_GB2312" w:eastAsia="仿宋_GB2312"/>
                <w:color w:val="auto"/>
                <w:sz w:val="24"/>
                <w:szCs w:val="24"/>
                <w:highlight w:val="none"/>
              </w:rPr>
            </w:pPr>
          </w:p>
        </w:tc>
        <w:tc>
          <w:tcPr>
            <w:tcW w:w="794" w:type="dxa"/>
            <w:vAlign w:val="center"/>
          </w:tcPr>
          <w:p w14:paraId="55E64A9A">
            <w:pPr>
              <w:jc w:val="center"/>
              <w:rPr>
                <w:rFonts w:ascii="仿宋_GB2312" w:hAnsi="宋体" w:eastAsia="仿宋_GB2312"/>
                <w:color w:val="auto"/>
                <w:sz w:val="24"/>
                <w:szCs w:val="24"/>
                <w:highlight w:val="none"/>
              </w:rPr>
            </w:pPr>
          </w:p>
        </w:tc>
        <w:tc>
          <w:tcPr>
            <w:tcW w:w="920" w:type="dxa"/>
            <w:vAlign w:val="center"/>
          </w:tcPr>
          <w:p w14:paraId="67BFB90D">
            <w:pPr>
              <w:ind w:firstLine="425"/>
              <w:jc w:val="center"/>
              <w:rPr>
                <w:rFonts w:ascii="仿宋_GB2312" w:hAnsi="宋体" w:eastAsia="仿宋_GB2312"/>
                <w:b/>
                <w:color w:val="auto"/>
                <w:sz w:val="24"/>
                <w:szCs w:val="24"/>
                <w:highlight w:val="none"/>
              </w:rPr>
            </w:pPr>
          </w:p>
        </w:tc>
        <w:tc>
          <w:tcPr>
            <w:tcW w:w="1334" w:type="dxa"/>
            <w:vAlign w:val="bottom"/>
          </w:tcPr>
          <w:p w14:paraId="18F67A6E">
            <w:pPr>
              <w:jc w:val="center"/>
              <w:rPr>
                <w:rFonts w:ascii="仿宋_GB2312" w:eastAsia="仿宋_GB2312"/>
                <w:color w:val="auto"/>
                <w:sz w:val="24"/>
                <w:szCs w:val="24"/>
                <w:highlight w:val="none"/>
              </w:rPr>
            </w:pPr>
          </w:p>
        </w:tc>
        <w:tc>
          <w:tcPr>
            <w:tcW w:w="920" w:type="dxa"/>
          </w:tcPr>
          <w:p w14:paraId="1C6CDF96">
            <w:pPr>
              <w:spacing w:line="360" w:lineRule="auto"/>
              <w:rPr>
                <w:rFonts w:ascii="宋体" w:hAnsi="宋体" w:cs="宋体"/>
                <w:color w:val="auto"/>
                <w:sz w:val="24"/>
                <w:szCs w:val="24"/>
                <w:highlight w:val="none"/>
              </w:rPr>
            </w:pPr>
          </w:p>
        </w:tc>
        <w:tc>
          <w:tcPr>
            <w:tcW w:w="828" w:type="dxa"/>
          </w:tcPr>
          <w:p w14:paraId="5CA52469">
            <w:pPr>
              <w:spacing w:line="360" w:lineRule="auto"/>
              <w:rPr>
                <w:rFonts w:ascii="宋体" w:hAnsi="宋体" w:cs="宋体"/>
                <w:color w:val="auto"/>
                <w:sz w:val="24"/>
                <w:szCs w:val="24"/>
                <w:highlight w:val="none"/>
              </w:rPr>
            </w:pPr>
          </w:p>
        </w:tc>
      </w:tr>
      <w:tr w14:paraId="57C1D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13E770">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14</w:t>
            </w:r>
          </w:p>
        </w:tc>
        <w:tc>
          <w:tcPr>
            <w:tcW w:w="1549" w:type="dxa"/>
            <w:vAlign w:val="center"/>
          </w:tcPr>
          <w:p w14:paraId="3C79A99F">
            <w:pPr>
              <w:jc w:val="center"/>
              <w:rPr>
                <w:rFonts w:ascii="仿宋_GB2312" w:eastAsia="仿宋_GB2312"/>
                <w:color w:val="auto"/>
                <w:sz w:val="24"/>
                <w:szCs w:val="24"/>
                <w:highlight w:val="none"/>
              </w:rPr>
            </w:pPr>
          </w:p>
        </w:tc>
        <w:tc>
          <w:tcPr>
            <w:tcW w:w="1001" w:type="dxa"/>
            <w:vAlign w:val="center"/>
          </w:tcPr>
          <w:p w14:paraId="371FECD0">
            <w:pPr>
              <w:jc w:val="center"/>
              <w:rPr>
                <w:rFonts w:ascii="仿宋_GB2312" w:hAnsi="宋体" w:eastAsia="仿宋_GB2312" w:cs="宋体"/>
                <w:color w:val="auto"/>
                <w:kern w:val="0"/>
                <w:sz w:val="24"/>
                <w:szCs w:val="24"/>
                <w:highlight w:val="none"/>
              </w:rPr>
            </w:pPr>
          </w:p>
        </w:tc>
        <w:tc>
          <w:tcPr>
            <w:tcW w:w="718" w:type="dxa"/>
            <w:vAlign w:val="bottom"/>
          </w:tcPr>
          <w:p w14:paraId="4AEB0E16">
            <w:pPr>
              <w:jc w:val="center"/>
              <w:rPr>
                <w:rFonts w:ascii="仿宋_GB2312" w:eastAsia="仿宋_GB2312"/>
                <w:color w:val="auto"/>
                <w:sz w:val="24"/>
                <w:szCs w:val="24"/>
                <w:highlight w:val="none"/>
              </w:rPr>
            </w:pPr>
          </w:p>
        </w:tc>
        <w:tc>
          <w:tcPr>
            <w:tcW w:w="794" w:type="dxa"/>
            <w:vAlign w:val="center"/>
          </w:tcPr>
          <w:p w14:paraId="6DEDB481">
            <w:pPr>
              <w:jc w:val="center"/>
              <w:rPr>
                <w:rFonts w:ascii="仿宋_GB2312" w:hAnsi="宋体" w:eastAsia="仿宋_GB2312"/>
                <w:color w:val="auto"/>
                <w:sz w:val="24"/>
                <w:szCs w:val="24"/>
                <w:highlight w:val="none"/>
              </w:rPr>
            </w:pPr>
          </w:p>
        </w:tc>
        <w:tc>
          <w:tcPr>
            <w:tcW w:w="920" w:type="dxa"/>
            <w:vAlign w:val="center"/>
          </w:tcPr>
          <w:p w14:paraId="2D123FA2">
            <w:pPr>
              <w:ind w:firstLine="425"/>
              <w:jc w:val="center"/>
              <w:rPr>
                <w:rFonts w:ascii="仿宋_GB2312" w:hAnsi="宋体" w:eastAsia="仿宋_GB2312"/>
                <w:b/>
                <w:color w:val="auto"/>
                <w:sz w:val="24"/>
                <w:szCs w:val="24"/>
                <w:highlight w:val="none"/>
              </w:rPr>
            </w:pPr>
          </w:p>
        </w:tc>
        <w:tc>
          <w:tcPr>
            <w:tcW w:w="1334" w:type="dxa"/>
            <w:vAlign w:val="bottom"/>
          </w:tcPr>
          <w:p w14:paraId="087AF609">
            <w:pPr>
              <w:jc w:val="center"/>
              <w:rPr>
                <w:rFonts w:ascii="仿宋_GB2312" w:eastAsia="仿宋_GB2312"/>
                <w:color w:val="auto"/>
                <w:sz w:val="24"/>
                <w:szCs w:val="24"/>
                <w:highlight w:val="none"/>
              </w:rPr>
            </w:pPr>
          </w:p>
        </w:tc>
        <w:tc>
          <w:tcPr>
            <w:tcW w:w="920" w:type="dxa"/>
          </w:tcPr>
          <w:p w14:paraId="2FCE2A8C">
            <w:pPr>
              <w:spacing w:line="360" w:lineRule="auto"/>
              <w:rPr>
                <w:rFonts w:ascii="宋体" w:hAnsi="宋体" w:cs="宋体"/>
                <w:color w:val="auto"/>
                <w:sz w:val="24"/>
                <w:szCs w:val="24"/>
                <w:highlight w:val="none"/>
              </w:rPr>
            </w:pPr>
          </w:p>
        </w:tc>
        <w:tc>
          <w:tcPr>
            <w:tcW w:w="828" w:type="dxa"/>
          </w:tcPr>
          <w:p w14:paraId="70CBD3AB">
            <w:pPr>
              <w:spacing w:line="360" w:lineRule="auto"/>
              <w:rPr>
                <w:rFonts w:ascii="宋体" w:hAnsi="宋体" w:cs="宋体"/>
                <w:color w:val="auto"/>
                <w:sz w:val="24"/>
                <w:szCs w:val="24"/>
                <w:highlight w:val="none"/>
              </w:rPr>
            </w:pPr>
          </w:p>
        </w:tc>
      </w:tr>
      <w:tr w14:paraId="7B1C5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7F18CDA">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15</w:t>
            </w:r>
          </w:p>
        </w:tc>
        <w:tc>
          <w:tcPr>
            <w:tcW w:w="1549" w:type="dxa"/>
            <w:vAlign w:val="center"/>
          </w:tcPr>
          <w:p w14:paraId="174EA544">
            <w:pPr>
              <w:jc w:val="center"/>
              <w:rPr>
                <w:rFonts w:ascii="仿宋_GB2312" w:eastAsia="仿宋_GB2312"/>
                <w:color w:val="auto"/>
                <w:sz w:val="24"/>
                <w:szCs w:val="24"/>
                <w:highlight w:val="none"/>
              </w:rPr>
            </w:pPr>
          </w:p>
        </w:tc>
        <w:tc>
          <w:tcPr>
            <w:tcW w:w="1001" w:type="dxa"/>
            <w:vAlign w:val="center"/>
          </w:tcPr>
          <w:p w14:paraId="30326B34">
            <w:pPr>
              <w:jc w:val="center"/>
              <w:rPr>
                <w:rFonts w:ascii="仿宋_GB2312" w:hAnsi="宋体" w:eastAsia="仿宋_GB2312" w:cs="宋体"/>
                <w:color w:val="auto"/>
                <w:kern w:val="0"/>
                <w:sz w:val="24"/>
                <w:szCs w:val="24"/>
                <w:highlight w:val="none"/>
              </w:rPr>
            </w:pPr>
          </w:p>
        </w:tc>
        <w:tc>
          <w:tcPr>
            <w:tcW w:w="718" w:type="dxa"/>
            <w:vAlign w:val="bottom"/>
          </w:tcPr>
          <w:p w14:paraId="6C31B038">
            <w:pPr>
              <w:jc w:val="center"/>
              <w:rPr>
                <w:rFonts w:ascii="仿宋_GB2312" w:eastAsia="仿宋_GB2312"/>
                <w:color w:val="auto"/>
                <w:sz w:val="24"/>
                <w:szCs w:val="24"/>
                <w:highlight w:val="none"/>
              </w:rPr>
            </w:pPr>
          </w:p>
        </w:tc>
        <w:tc>
          <w:tcPr>
            <w:tcW w:w="794" w:type="dxa"/>
            <w:vAlign w:val="center"/>
          </w:tcPr>
          <w:p w14:paraId="688F66F1">
            <w:pPr>
              <w:jc w:val="center"/>
              <w:rPr>
                <w:rFonts w:ascii="仿宋_GB2312" w:hAnsi="宋体" w:eastAsia="仿宋_GB2312"/>
                <w:color w:val="auto"/>
                <w:sz w:val="24"/>
                <w:szCs w:val="24"/>
                <w:highlight w:val="none"/>
              </w:rPr>
            </w:pPr>
          </w:p>
        </w:tc>
        <w:tc>
          <w:tcPr>
            <w:tcW w:w="920" w:type="dxa"/>
            <w:vAlign w:val="center"/>
          </w:tcPr>
          <w:p w14:paraId="15626828">
            <w:pPr>
              <w:ind w:firstLine="425"/>
              <w:jc w:val="center"/>
              <w:rPr>
                <w:rFonts w:ascii="仿宋_GB2312" w:hAnsi="宋体" w:eastAsia="仿宋_GB2312"/>
                <w:b/>
                <w:color w:val="auto"/>
                <w:sz w:val="24"/>
                <w:szCs w:val="24"/>
                <w:highlight w:val="none"/>
              </w:rPr>
            </w:pPr>
          </w:p>
        </w:tc>
        <w:tc>
          <w:tcPr>
            <w:tcW w:w="1334" w:type="dxa"/>
            <w:vAlign w:val="bottom"/>
          </w:tcPr>
          <w:p w14:paraId="2FE8D7D5">
            <w:pPr>
              <w:jc w:val="center"/>
              <w:rPr>
                <w:rFonts w:ascii="仿宋_GB2312" w:eastAsia="仿宋_GB2312"/>
                <w:color w:val="auto"/>
                <w:sz w:val="24"/>
                <w:szCs w:val="24"/>
                <w:highlight w:val="none"/>
              </w:rPr>
            </w:pPr>
          </w:p>
        </w:tc>
        <w:tc>
          <w:tcPr>
            <w:tcW w:w="920" w:type="dxa"/>
          </w:tcPr>
          <w:p w14:paraId="3E1BEA71">
            <w:pPr>
              <w:spacing w:line="360" w:lineRule="auto"/>
              <w:rPr>
                <w:rFonts w:ascii="宋体" w:hAnsi="宋体" w:cs="宋体"/>
                <w:color w:val="auto"/>
                <w:sz w:val="24"/>
                <w:szCs w:val="24"/>
                <w:highlight w:val="none"/>
              </w:rPr>
            </w:pPr>
          </w:p>
        </w:tc>
        <w:tc>
          <w:tcPr>
            <w:tcW w:w="828" w:type="dxa"/>
          </w:tcPr>
          <w:p w14:paraId="1A678A78">
            <w:pPr>
              <w:spacing w:line="360" w:lineRule="auto"/>
              <w:rPr>
                <w:rFonts w:ascii="宋体" w:hAnsi="宋体" w:cs="宋体"/>
                <w:color w:val="auto"/>
                <w:sz w:val="24"/>
                <w:szCs w:val="24"/>
                <w:highlight w:val="none"/>
              </w:rPr>
            </w:pPr>
          </w:p>
        </w:tc>
      </w:tr>
      <w:tr w14:paraId="772C1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A29ACA8">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16</w:t>
            </w:r>
          </w:p>
        </w:tc>
        <w:tc>
          <w:tcPr>
            <w:tcW w:w="1549" w:type="dxa"/>
            <w:vAlign w:val="center"/>
          </w:tcPr>
          <w:p w14:paraId="15AAD51B">
            <w:pPr>
              <w:jc w:val="center"/>
              <w:rPr>
                <w:rFonts w:ascii="仿宋_GB2312" w:eastAsia="仿宋_GB2312"/>
                <w:color w:val="auto"/>
                <w:sz w:val="24"/>
                <w:szCs w:val="24"/>
                <w:highlight w:val="none"/>
              </w:rPr>
            </w:pPr>
          </w:p>
        </w:tc>
        <w:tc>
          <w:tcPr>
            <w:tcW w:w="1001" w:type="dxa"/>
            <w:vAlign w:val="center"/>
          </w:tcPr>
          <w:p w14:paraId="7260A969">
            <w:pPr>
              <w:jc w:val="center"/>
              <w:rPr>
                <w:rFonts w:ascii="仿宋_GB2312" w:hAnsi="宋体" w:eastAsia="仿宋_GB2312" w:cs="宋体"/>
                <w:color w:val="auto"/>
                <w:kern w:val="0"/>
                <w:sz w:val="24"/>
                <w:szCs w:val="24"/>
                <w:highlight w:val="none"/>
              </w:rPr>
            </w:pPr>
          </w:p>
        </w:tc>
        <w:tc>
          <w:tcPr>
            <w:tcW w:w="718" w:type="dxa"/>
            <w:vAlign w:val="bottom"/>
          </w:tcPr>
          <w:p w14:paraId="209CAFC0">
            <w:pPr>
              <w:jc w:val="center"/>
              <w:rPr>
                <w:rFonts w:ascii="仿宋_GB2312" w:eastAsia="仿宋_GB2312"/>
                <w:color w:val="auto"/>
                <w:sz w:val="24"/>
                <w:szCs w:val="24"/>
                <w:highlight w:val="none"/>
              </w:rPr>
            </w:pPr>
          </w:p>
        </w:tc>
        <w:tc>
          <w:tcPr>
            <w:tcW w:w="794" w:type="dxa"/>
            <w:vAlign w:val="center"/>
          </w:tcPr>
          <w:p w14:paraId="5F907AE9">
            <w:pPr>
              <w:jc w:val="center"/>
              <w:rPr>
                <w:rFonts w:ascii="仿宋_GB2312" w:hAnsi="宋体" w:eastAsia="仿宋_GB2312" w:cs="宋体"/>
                <w:color w:val="auto"/>
                <w:kern w:val="0"/>
                <w:sz w:val="24"/>
                <w:szCs w:val="24"/>
                <w:highlight w:val="none"/>
              </w:rPr>
            </w:pPr>
          </w:p>
        </w:tc>
        <w:tc>
          <w:tcPr>
            <w:tcW w:w="920" w:type="dxa"/>
            <w:vAlign w:val="center"/>
          </w:tcPr>
          <w:p w14:paraId="72063FAC">
            <w:pPr>
              <w:ind w:firstLine="425"/>
              <w:jc w:val="center"/>
              <w:rPr>
                <w:rFonts w:ascii="仿宋_GB2312" w:hAnsi="宋体" w:eastAsia="仿宋_GB2312"/>
                <w:b/>
                <w:color w:val="auto"/>
                <w:sz w:val="24"/>
                <w:szCs w:val="24"/>
                <w:highlight w:val="none"/>
              </w:rPr>
            </w:pPr>
          </w:p>
        </w:tc>
        <w:tc>
          <w:tcPr>
            <w:tcW w:w="1334" w:type="dxa"/>
            <w:vAlign w:val="bottom"/>
          </w:tcPr>
          <w:p w14:paraId="6F2C639D">
            <w:pPr>
              <w:jc w:val="center"/>
              <w:rPr>
                <w:rFonts w:ascii="仿宋_GB2312" w:eastAsia="仿宋_GB2312"/>
                <w:color w:val="auto"/>
                <w:sz w:val="24"/>
                <w:szCs w:val="24"/>
                <w:highlight w:val="none"/>
              </w:rPr>
            </w:pPr>
          </w:p>
        </w:tc>
        <w:tc>
          <w:tcPr>
            <w:tcW w:w="920" w:type="dxa"/>
          </w:tcPr>
          <w:p w14:paraId="3360FECE">
            <w:pPr>
              <w:spacing w:line="360" w:lineRule="auto"/>
              <w:rPr>
                <w:rFonts w:ascii="宋体" w:hAnsi="宋体" w:cs="宋体"/>
                <w:color w:val="auto"/>
                <w:sz w:val="24"/>
                <w:szCs w:val="24"/>
                <w:highlight w:val="none"/>
              </w:rPr>
            </w:pPr>
          </w:p>
        </w:tc>
        <w:tc>
          <w:tcPr>
            <w:tcW w:w="828" w:type="dxa"/>
          </w:tcPr>
          <w:p w14:paraId="4B6D1EA4">
            <w:pPr>
              <w:spacing w:line="360" w:lineRule="auto"/>
              <w:rPr>
                <w:rFonts w:ascii="宋体" w:hAnsi="宋体" w:cs="宋体"/>
                <w:color w:val="auto"/>
                <w:sz w:val="24"/>
                <w:szCs w:val="24"/>
                <w:highlight w:val="none"/>
              </w:rPr>
            </w:pPr>
          </w:p>
        </w:tc>
      </w:tr>
      <w:tr w14:paraId="7B969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3BFF1E">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17</w:t>
            </w:r>
          </w:p>
        </w:tc>
        <w:tc>
          <w:tcPr>
            <w:tcW w:w="1549" w:type="dxa"/>
            <w:vAlign w:val="center"/>
          </w:tcPr>
          <w:p w14:paraId="391F6131">
            <w:pPr>
              <w:jc w:val="center"/>
              <w:rPr>
                <w:rFonts w:ascii="仿宋_GB2312" w:eastAsia="仿宋_GB2312"/>
                <w:color w:val="auto"/>
                <w:sz w:val="24"/>
                <w:szCs w:val="24"/>
                <w:highlight w:val="none"/>
              </w:rPr>
            </w:pPr>
          </w:p>
        </w:tc>
        <w:tc>
          <w:tcPr>
            <w:tcW w:w="1001" w:type="dxa"/>
            <w:vAlign w:val="center"/>
          </w:tcPr>
          <w:p w14:paraId="771F1B30">
            <w:pPr>
              <w:jc w:val="center"/>
              <w:rPr>
                <w:rFonts w:ascii="仿宋_GB2312" w:hAnsi="宋体" w:eastAsia="仿宋_GB2312" w:cs="宋体"/>
                <w:color w:val="auto"/>
                <w:kern w:val="0"/>
                <w:sz w:val="24"/>
                <w:szCs w:val="24"/>
                <w:highlight w:val="none"/>
              </w:rPr>
            </w:pPr>
          </w:p>
        </w:tc>
        <w:tc>
          <w:tcPr>
            <w:tcW w:w="718" w:type="dxa"/>
            <w:vAlign w:val="bottom"/>
          </w:tcPr>
          <w:p w14:paraId="38F01586">
            <w:pPr>
              <w:jc w:val="center"/>
              <w:rPr>
                <w:rFonts w:ascii="仿宋_GB2312" w:eastAsia="仿宋_GB2312"/>
                <w:color w:val="auto"/>
                <w:sz w:val="24"/>
                <w:szCs w:val="24"/>
                <w:highlight w:val="none"/>
              </w:rPr>
            </w:pPr>
          </w:p>
        </w:tc>
        <w:tc>
          <w:tcPr>
            <w:tcW w:w="794" w:type="dxa"/>
            <w:vAlign w:val="center"/>
          </w:tcPr>
          <w:p w14:paraId="4CF31B27">
            <w:pPr>
              <w:jc w:val="center"/>
              <w:rPr>
                <w:rFonts w:ascii="仿宋_GB2312" w:hAnsi="宋体" w:eastAsia="仿宋_GB2312"/>
                <w:color w:val="auto"/>
                <w:sz w:val="24"/>
                <w:szCs w:val="24"/>
                <w:highlight w:val="none"/>
              </w:rPr>
            </w:pPr>
          </w:p>
        </w:tc>
        <w:tc>
          <w:tcPr>
            <w:tcW w:w="920" w:type="dxa"/>
            <w:vAlign w:val="center"/>
          </w:tcPr>
          <w:p w14:paraId="26B333AC">
            <w:pPr>
              <w:ind w:firstLine="425"/>
              <w:jc w:val="center"/>
              <w:rPr>
                <w:rFonts w:ascii="仿宋_GB2312" w:hAnsi="宋体" w:eastAsia="仿宋_GB2312"/>
                <w:b/>
                <w:color w:val="auto"/>
                <w:sz w:val="24"/>
                <w:szCs w:val="24"/>
                <w:highlight w:val="none"/>
              </w:rPr>
            </w:pPr>
          </w:p>
        </w:tc>
        <w:tc>
          <w:tcPr>
            <w:tcW w:w="1334" w:type="dxa"/>
            <w:vAlign w:val="bottom"/>
          </w:tcPr>
          <w:p w14:paraId="5908E61D">
            <w:pPr>
              <w:jc w:val="center"/>
              <w:rPr>
                <w:rFonts w:ascii="仿宋_GB2312" w:eastAsia="仿宋_GB2312"/>
                <w:color w:val="auto"/>
                <w:sz w:val="24"/>
                <w:szCs w:val="24"/>
                <w:highlight w:val="none"/>
              </w:rPr>
            </w:pPr>
          </w:p>
        </w:tc>
        <w:tc>
          <w:tcPr>
            <w:tcW w:w="920" w:type="dxa"/>
          </w:tcPr>
          <w:p w14:paraId="63684EBD">
            <w:pPr>
              <w:spacing w:line="360" w:lineRule="auto"/>
              <w:rPr>
                <w:rFonts w:ascii="宋体" w:hAnsi="宋体" w:cs="宋体"/>
                <w:color w:val="auto"/>
                <w:sz w:val="24"/>
                <w:szCs w:val="24"/>
                <w:highlight w:val="none"/>
              </w:rPr>
            </w:pPr>
          </w:p>
        </w:tc>
        <w:tc>
          <w:tcPr>
            <w:tcW w:w="828" w:type="dxa"/>
          </w:tcPr>
          <w:p w14:paraId="05342204">
            <w:pPr>
              <w:spacing w:line="360" w:lineRule="auto"/>
              <w:rPr>
                <w:rFonts w:ascii="宋体" w:hAnsi="宋体" w:cs="宋体"/>
                <w:color w:val="auto"/>
                <w:sz w:val="24"/>
                <w:szCs w:val="24"/>
                <w:highlight w:val="none"/>
              </w:rPr>
            </w:pPr>
          </w:p>
        </w:tc>
      </w:tr>
      <w:tr w14:paraId="4CFE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96DD37A">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18</w:t>
            </w:r>
          </w:p>
        </w:tc>
        <w:tc>
          <w:tcPr>
            <w:tcW w:w="1549" w:type="dxa"/>
            <w:vAlign w:val="center"/>
          </w:tcPr>
          <w:p w14:paraId="5A92E90C">
            <w:pPr>
              <w:jc w:val="center"/>
              <w:rPr>
                <w:rFonts w:ascii="仿宋_GB2312" w:eastAsia="仿宋_GB2312"/>
                <w:color w:val="auto"/>
                <w:sz w:val="24"/>
                <w:szCs w:val="24"/>
                <w:highlight w:val="none"/>
              </w:rPr>
            </w:pPr>
          </w:p>
        </w:tc>
        <w:tc>
          <w:tcPr>
            <w:tcW w:w="1001" w:type="dxa"/>
            <w:vAlign w:val="center"/>
          </w:tcPr>
          <w:p w14:paraId="5489D293">
            <w:pPr>
              <w:jc w:val="center"/>
              <w:rPr>
                <w:rFonts w:ascii="仿宋_GB2312" w:eastAsia="仿宋_GB2312"/>
                <w:color w:val="auto"/>
                <w:sz w:val="24"/>
                <w:szCs w:val="24"/>
                <w:highlight w:val="none"/>
              </w:rPr>
            </w:pPr>
          </w:p>
        </w:tc>
        <w:tc>
          <w:tcPr>
            <w:tcW w:w="718" w:type="dxa"/>
            <w:vAlign w:val="bottom"/>
          </w:tcPr>
          <w:p w14:paraId="0B7BF25D">
            <w:pPr>
              <w:jc w:val="center"/>
              <w:rPr>
                <w:rFonts w:ascii="仿宋_GB2312" w:eastAsia="仿宋_GB2312"/>
                <w:color w:val="auto"/>
                <w:sz w:val="24"/>
                <w:szCs w:val="24"/>
                <w:highlight w:val="none"/>
              </w:rPr>
            </w:pPr>
          </w:p>
        </w:tc>
        <w:tc>
          <w:tcPr>
            <w:tcW w:w="794" w:type="dxa"/>
            <w:vAlign w:val="center"/>
          </w:tcPr>
          <w:p w14:paraId="19B9EA30">
            <w:pPr>
              <w:jc w:val="center"/>
              <w:rPr>
                <w:rFonts w:ascii="仿宋_GB2312" w:eastAsia="仿宋_GB2312"/>
                <w:color w:val="auto"/>
                <w:sz w:val="24"/>
                <w:szCs w:val="24"/>
                <w:highlight w:val="none"/>
              </w:rPr>
            </w:pPr>
          </w:p>
        </w:tc>
        <w:tc>
          <w:tcPr>
            <w:tcW w:w="920" w:type="dxa"/>
            <w:vAlign w:val="center"/>
          </w:tcPr>
          <w:p w14:paraId="662A7C6A">
            <w:pPr>
              <w:jc w:val="center"/>
              <w:rPr>
                <w:rFonts w:ascii="仿宋_GB2312" w:eastAsia="仿宋_GB2312"/>
                <w:color w:val="auto"/>
                <w:sz w:val="24"/>
                <w:szCs w:val="24"/>
                <w:highlight w:val="none"/>
              </w:rPr>
            </w:pPr>
          </w:p>
        </w:tc>
        <w:tc>
          <w:tcPr>
            <w:tcW w:w="1334" w:type="dxa"/>
            <w:vAlign w:val="bottom"/>
          </w:tcPr>
          <w:p w14:paraId="783E48FA">
            <w:pPr>
              <w:jc w:val="center"/>
              <w:rPr>
                <w:rFonts w:ascii="仿宋_GB2312" w:eastAsia="仿宋_GB2312"/>
                <w:color w:val="auto"/>
                <w:sz w:val="24"/>
                <w:szCs w:val="24"/>
                <w:highlight w:val="none"/>
              </w:rPr>
            </w:pPr>
          </w:p>
        </w:tc>
        <w:tc>
          <w:tcPr>
            <w:tcW w:w="920" w:type="dxa"/>
          </w:tcPr>
          <w:p w14:paraId="432C5A42">
            <w:pPr>
              <w:spacing w:line="360" w:lineRule="auto"/>
              <w:rPr>
                <w:rFonts w:ascii="宋体" w:hAnsi="宋体" w:cs="宋体"/>
                <w:color w:val="auto"/>
                <w:sz w:val="24"/>
                <w:szCs w:val="24"/>
                <w:highlight w:val="none"/>
              </w:rPr>
            </w:pPr>
          </w:p>
        </w:tc>
        <w:tc>
          <w:tcPr>
            <w:tcW w:w="828" w:type="dxa"/>
          </w:tcPr>
          <w:p w14:paraId="7AA6AEC5">
            <w:pPr>
              <w:spacing w:line="360" w:lineRule="auto"/>
              <w:rPr>
                <w:rFonts w:ascii="宋体" w:hAnsi="宋体" w:cs="宋体"/>
                <w:color w:val="auto"/>
                <w:sz w:val="24"/>
                <w:szCs w:val="24"/>
                <w:highlight w:val="none"/>
              </w:rPr>
            </w:pPr>
          </w:p>
        </w:tc>
      </w:tr>
      <w:tr w14:paraId="6F0EA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3FD3C15">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19</w:t>
            </w:r>
          </w:p>
        </w:tc>
        <w:tc>
          <w:tcPr>
            <w:tcW w:w="1549" w:type="dxa"/>
            <w:vAlign w:val="center"/>
          </w:tcPr>
          <w:p w14:paraId="1B448533">
            <w:pPr>
              <w:jc w:val="center"/>
              <w:rPr>
                <w:rFonts w:ascii="仿宋_GB2312" w:eastAsia="仿宋_GB2312"/>
                <w:color w:val="auto"/>
                <w:sz w:val="24"/>
                <w:szCs w:val="24"/>
                <w:highlight w:val="none"/>
              </w:rPr>
            </w:pPr>
          </w:p>
        </w:tc>
        <w:tc>
          <w:tcPr>
            <w:tcW w:w="1001" w:type="dxa"/>
            <w:vAlign w:val="center"/>
          </w:tcPr>
          <w:p w14:paraId="48D309F7">
            <w:pPr>
              <w:jc w:val="center"/>
              <w:rPr>
                <w:rFonts w:ascii="仿宋_GB2312" w:eastAsia="仿宋_GB2312"/>
                <w:color w:val="auto"/>
                <w:sz w:val="24"/>
                <w:szCs w:val="24"/>
                <w:highlight w:val="none"/>
              </w:rPr>
            </w:pPr>
          </w:p>
        </w:tc>
        <w:tc>
          <w:tcPr>
            <w:tcW w:w="718" w:type="dxa"/>
            <w:vAlign w:val="bottom"/>
          </w:tcPr>
          <w:p w14:paraId="279D70B1">
            <w:pPr>
              <w:jc w:val="center"/>
              <w:rPr>
                <w:rFonts w:ascii="仿宋_GB2312" w:eastAsia="仿宋_GB2312"/>
                <w:color w:val="auto"/>
                <w:sz w:val="24"/>
                <w:szCs w:val="24"/>
                <w:highlight w:val="none"/>
              </w:rPr>
            </w:pPr>
          </w:p>
        </w:tc>
        <w:tc>
          <w:tcPr>
            <w:tcW w:w="794" w:type="dxa"/>
            <w:vAlign w:val="center"/>
          </w:tcPr>
          <w:p w14:paraId="32C810CC">
            <w:pPr>
              <w:jc w:val="center"/>
              <w:rPr>
                <w:rFonts w:ascii="仿宋_GB2312" w:eastAsia="仿宋_GB2312"/>
                <w:color w:val="auto"/>
                <w:sz w:val="24"/>
                <w:szCs w:val="24"/>
                <w:highlight w:val="none"/>
              </w:rPr>
            </w:pPr>
          </w:p>
        </w:tc>
        <w:tc>
          <w:tcPr>
            <w:tcW w:w="920" w:type="dxa"/>
            <w:vAlign w:val="center"/>
          </w:tcPr>
          <w:p w14:paraId="583A12A3">
            <w:pPr>
              <w:jc w:val="center"/>
              <w:rPr>
                <w:rFonts w:ascii="仿宋_GB2312" w:eastAsia="仿宋_GB2312"/>
                <w:color w:val="auto"/>
                <w:sz w:val="24"/>
                <w:szCs w:val="24"/>
                <w:highlight w:val="none"/>
              </w:rPr>
            </w:pPr>
          </w:p>
        </w:tc>
        <w:tc>
          <w:tcPr>
            <w:tcW w:w="1334" w:type="dxa"/>
            <w:vAlign w:val="bottom"/>
          </w:tcPr>
          <w:p w14:paraId="24FBC85F">
            <w:pPr>
              <w:jc w:val="center"/>
              <w:rPr>
                <w:rFonts w:ascii="仿宋_GB2312" w:eastAsia="仿宋_GB2312"/>
                <w:color w:val="auto"/>
                <w:sz w:val="24"/>
                <w:szCs w:val="24"/>
                <w:highlight w:val="none"/>
              </w:rPr>
            </w:pPr>
          </w:p>
        </w:tc>
        <w:tc>
          <w:tcPr>
            <w:tcW w:w="920" w:type="dxa"/>
          </w:tcPr>
          <w:p w14:paraId="0FB2DBCE">
            <w:pPr>
              <w:spacing w:line="360" w:lineRule="auto"/>
              <w:rPr>
                <w:rFonts w:ascii="宋体" w:hAnsi="宋体" w:cs="宋体"/>
                <w:color w:val="auto"/>
                <w:sz w:val="24"/>
                <w:szCs w:val="24"/>
                <w:highlight w:val="none"/>
              </w:rPr>
            </w:pPr>
          </w:p>
        </w:tc>
        <w:tc>
          <w:tcPr>
            <w:tcW w:w="828" w:type="dxa"/>
          </w:tcPr>
          <w:p w14:paraId="34C890AC">
            <w:pPr>
              <w:spacing w:line="360" w:lineRule="auto"/>
              <w:rPr>
                <w:rFonts w:ascii="宋体" w:hAnsi="宋体" w:cs="宋体"/>
                <w:color w:val="auto"/>
                <w:sz w:val="24"/>
                <w:szCs w:val="24"/>
                <w:highlight w:val="none"/>
              </w:rPr>
            </w:pPr>
          </w:p>
        </w:tc>
      </w:tr>
      <w:tr w14:paraId="0D1D3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8B5154">
            <w:pPr>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1549" w:type="dxa"/>
            <w:vAlign w:val="center"/>
          </w:tcPr>
          <w:p w14:paraId="32925968">
            <w:pPr>
              <w:jc w:val="center"/>
              <w:rPr>
                <w:rFonts w:ascii="仿宋_GB2312" w:eastAsia="仿宋_GB2312"/>
                <w:color w:val="auto"/>
                <w:sz w:val="24"/>
                <w:szCs w:val="24"/>
                <w:highlight w:val="none"/>
              </w:rPr>
            </w:pPr>
          </w:p>
        </w:tc>
        <w:tc>
          <w:tcPr>
            <w:tcW w:w="1001" w:type="dxa"/>
            <w:vAlign w:val="center"/>
          </w:tcPr>
          <w:p w14:paraId="055E6901">
            <w:pPr>
              <w:jc w:val="center"/>
              <w:rPr>
                <w:rFonts w:ascii="仿宋_GB2312" w:eastAsia="仿宋_GB2312"/>
                <w:color w:val="auto"/>
                <w:sz w:val="24"/>
                <w:szCs w:val="24"/>
                <w:highlight w:val="none"/>
              </w:rPr>
            </w:pPr>
          </w:p>
        </w:tc>
        <w:tc>
          <w:tcPr>
            <w:tcW w:w="718" w:type="dxa"/>
            <w:vAlign w:val="bottom"/>
          </w:tcPr>
          <w:p w14:paraId="09D7BD0D">
            <w:pPr>
              <w:jc w:val="center"/>
              <w:rPr>
                <w:rFonts w:ascii="仿宋_GB2312" w:eastAsia="仿宋_GB2312"/>
                <w:color w:val="auto"/>
                <w:sz w:val="24"/>
                <w:szCs w:val="24"/>
                <w:highlight w:val="none"/>
              </w:rPr>
            </w:pPr>
          </w:p>
        </w:tc>
        <w:tc>
          <w:tcPr>
            <w:tcW w:w="794" w:type="dxa"/>
            <w:vAlign w:val="center"/>
          </w:tcPr>
          <w:p w14:paraId="3AA72386">
            <w:pPr>
              <w:jc w:val="center"/>
              <w:rPr>
                <w:rFonts w:ascii="仿宋_GB2312" w:eastAsia="仿宋_GB2312"/>
                <w:color w:val="auto"/>
                <w:sz w:val="24"/>
                <w:szCs w:val="24"/>
                <w:highlight w:val="none"/>
              </w:rPr>
            </w:pPr>
          </w:p>
        </w:tc>
        <w:tc>
          <w:tcPr>
            <w:tcW w:w="920" w:type="dxa"/>
            <w:vAlign w:val="center"/>
          </w:tcPr>
          <w:p w14:paraId="16F52FF1">
            <w:pPr>
              <w:jc w:val="center"/>
              <w:rPr>
                <w:rFonts w:ascii="仿宋_GB2312" w:eastAsia="仿宋_GB2312"/>
                <w:color w:val="auto"/>
                <w:sz w:val="24"/>
                <w:szCs w:val="24"/>
                <w:highlight w:val="none"/>
              </w:rPr>
            </w:pPr>
          </w:p>
        </w:tc>
        <w:tc>
          <w:tcPr>
            <w:tcW w:w="1334" w:type="dxa"/>
            <w:vAlign w:val="bottom"/>
          </w:tcPr>
          <w:p w14:paraId="17DDEB1C">
            <w:pPr>
              <w:jc w:val="center"/>
              <w:rPr>
                <w:rFonts w:ascii="仿宋_GB2312" w:eastAsia="仿宋_GB2312"/>
                <w:color w:val="auto"/>
                <w:sz w:val="24"/>
                <w:szCs w:val="24"/>
                <w:highlight w:val="none"/>
              </w:rPr>
            </w:pPr>
          </w:p>
        </w:tc>
        <w:tc>
          <w:tcPr>
            <w:tcW w:w="920" w:type="dxa"/>
          </w:tcPr>
          <w:p w14:paraId="1819B200">
            <w:pPr>
              <w:spacing w:line="360" w:lineRule="auto"/>
              <w:rPr>
                <w:rFonts w:ascii="宋体" w:hAnsi="宋体" w:cs="宋体"/>
                <w:color w:val="auto"/>
                <w:sz w:val="24"/>
                <w:szCs w:val="24"/>
                <w:highlight w:val="none"/>
              </w:rPr>
            </w:pPr>
          </w:p>
        </w:tc>
        <w:tc>
          <w:tcPr>
            <w:tcW w:w="828" w:type="dxa"/>
          </w:tcPr>
          <w:p w14:paraId="08BF8460">
            <w:pPr>
              <w:spacing w:line="360" w:lineRule="auto"/>
              <w:rPr>
                <w:rFonts w:ascii="宋体" w:hAnsi="宋体" w:cs="宋体"/>
                <w:color w:val="auto"/>
                <w:sz w:val="24"/>
                <w:szCs w:val="24"/>
                <w:highlight w:val="none"/>
              </w:rPr>
            </w:pPr>
          </w:p>
        </w:tc>
      </w:tr>
    </w:tbl>
    <w:p w14:paraId="43ADDBDF">
      <w:pPr>
        <w:spacing w:line="360" w:lineRule="auto"/>
        <w:ind w:firstLine="422"/>
        <w:rPr>
          <w:rFonts w:hint="eastAsia" w:ascii="宋体" w:hAnsi="宋体" w:cs="宋体"/>
          <w:b/>
          <w:color w:val="auto"/>
          <w:sz w:val="24"/>
          <w:szCs w:val="24"/>
          <w:highlight w:val="none"/>
        </w:rPr>
      </w:pPr>
    </w:p>
    <w:p w14:paraId="635DA5C9">
      <w:pPr>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附</w:t>
      </w:r>
      <w:bookmarkStart w:id="452" w:name="_Toc296503228"/>
      <w:bookmarkStart w:id="453" w:name="_Toc296891268"/>
      <w:bookmarkStart w:id="454" w:name="_Toc296347227"/>
      <w:bookmarkStart w:id="455" w:name="_Toc296346729"/>
      <w:bookmarkStart w:id="456" w:name="_Toc296891056"/>
      <w:bookmarkStart w:id="457" w:name="_Toc296944567"/>
      <w:bookmarkStart w:id="458" w:name="_Toc267261699"/>
      <w:r>
        <w:rPr>
          <w:rFonts w:hint="eastAsia" w:ascii="宋体" w:hAnsi="宋体" w:cs="宋体"/>
          <w:b/>
          <w:color w:val="auto"/>
          <w:sz w:val="24"/>
          <w:szCs w:val="24"/>
          <w:highlight w:val="none"/>
        </w:rPr>
        <w:t>件5：</w:t>
      </w:r>
    </w:p>
    <w:bookmarkEnd w:id="452"/>
    <w:bookmarkEnd w:id="453"/>
    <w:bookmarkEnd w:id="454"/>
    <w:bookmarkEnd w:id="455"/>
    <w:bookmarkEnd w:id="456"/>
    <w:bookmarkEnd w:id="457"/>
    <w:bookmarkEnd w:id="458"/>
    <w:p w14:paraId="09E658EA">
      <w:pPr>
        <w:spacing w:beforeLines="50" w:afterLines="50" w:line="360" w:lineRule="auto"/>
        <w:ind w:firstLine="422"/>
        <w:jc w:val="center"/>
        <w:rPr>
          <w:rFonts w:ascii="宋体" w:hAnsi="宋体" w:cs="宋体"/>
          <w:b/>
          <w:color w:val="auto"/>
          <w:sz w:val="24"/>
          <w:szCs w:val="24"/>
          <w:highlight w:val="none"/>
        </w:rPr>
      </w:pPr>
      <w:r>
        <w:rPr>
          <w:rFonts w:hint="eastAsia" w:ascii="宋体" w:hAnsi="宋体" w:cs="宋体"/>
          <w:b/>
          <w:color w:val="auto"/>
          <w:sz w:val="24"/>
          <w:szCs w:val="24"/>
          <w:highlight w:val="none"/>
        </w:rPr>
        <w:t>承包人主要施工管理人员表</w:t>
      </w:r>
    </w:p>
    <w:tbl>
      <w:tblPr>
        <w:tblStyle w:val="25"/>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3A2D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46058E3D">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名    称</w:t>
            </w:r>
          </w:p>
        </w:tc>
        <w:tc>
          <w:tcPr>
            <w:tcW w:w="1279" w:type="dxa"/>
            <w:tcBorders>
              <w:top w:val="single" w:color="auto" w:sz="12" w:space="0"/>
              <w:bottom w:val="double" w:color="auto" w:sz="6" w:space="0"/>
            </w:tcBorders>
            <w:vAlign w:val="center"/>
          </w:tcPr>
          <w:p w14:paraId="56C6190B">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姓名</w:t>
            </w:r>
          </w:p>
        </w:tc>
        <w:tc>
          <w:tcPr>
            <w:tcW w:w="1022" w:type="dxa"/>
            <w:tcBorders>
              <w:top w:val="single" w:color="auto" w:sz="12" w:space="0"/>
              <w:bottom w:val="double" w:color="auto" w:sz="6" w:space="0"/>
            </w:tcBorders>
            <w:vAlign w:val="center"/>
          </w:tcPr>
          <w:p w14:paraId="1BBD8C2D">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职务</w:t>
            </w:r>
          </w:p>
        </w:tc>
        <w:tc>
          <w:tcPr>
            <w:tcW w:w="1022" w:type="dxa"/>
            <w:tcBorders>
              <w:top w:val="single" w:color="auto" w:sz="12" w:space="0"/>
              <w:bottom w:val="double" w:color="auto" w:sz="6" w:space="0"/>
            </w:tcBorders>
            <w:vAlign w:val="center"/>
          </w:tcPr>
          <w:p w14:paraId="23B7655F">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职称</w:t>
            </w:r>
          </w:p>
        </w:tc>
        <w:tc>
          <w:tcPr>
            <w:tcW w:w="3833" w:type="dxa"/>
            <w:tcBorders>
              <w:top w:val="single" w:color="auto" w:sz="12" w:space="0"/>
              <w:bottom w:val="double" w:color="auto" w:sz="6" w:space="0"/>
            </w:tcBorders>
            <w:vAlign w:val="center"/>
          </w:tcPr>
          <w:p w14:paraId="7F67DD6A">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主要资历、经验及承担过的项目</w:t>
            </w:r>
          </w:p>
        </w:tc>
      </w:tr>
      <w:tr w14:paraId="08E7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13850129">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一、总部人员</w:t>
            </w:r>
          </w:p>
        </w:tc>
      </w:tr>
      <w:tr w14:paraId="329AB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063D929">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项目主管</w:t>
            </w:r>
          </w:p>
        </w:tc>
        <w:tc>
          <w:tcPr>
            <w:tcW w:w="1279" w:type="dxa"/>
            <w:tcBorders>
              <w:top w:val="nil"/>
            </w:tcBorders>
            <w:vAlign w:val="center"/>
          </w:tcPr>
          <w:p w14:paraId="1186D4B9">
            <w:pPr>
              <w:pStyle w:val="9"/>
              <w:keepNext/>
              <w:ind w:left="63" w:leftChars="30" w:right="63" w:rightChars="30"/>
              <w:rPr>
                <w:rFonts w:hAnsi="宋体" w:cs="宋体"/>
                <w:color w:val="auto"/>
                <w:sz w:val="24"/>
                <w:szCs w:val="24"/>
                <w:highlight w:val="none"/>
                <w:lang w:val="en-US"/>
              </w:rPr>
            </w:pPr>
          </w:p>
        </w:tc>
        <w:tc>
          <w:tcPr>
            <w:tcW w:w="1022" w:type="dxa"/>
            <w:tcBorders>
              <w:top w:val="nil"/>
            </w:tcBorders>
            <w:vAlign w:val="center"/>
          </w:tcPr>
          <w:p w14:paraId="7A7850D3">
            <w:pPr>
              <w:pStyle w:val="9"/>
              <w:keepNext/>
              <w:ind w:left="63" w:leftChars="30" w:right="63" w:rightChars="30"/>
              <w:rPr>
                <w:rFonts w:hAnsi="宋体" w:cs="宋体"/>
                <w:color w:val="auto"/>
                <w:sz w:val="24"/>
                <w:szCs w:val="24"/>
                <w:highlight w:val="none"/>
                <w:lang w:val="en-US"/>
              </w:rPr>
            </w:pPr>
          </w:p>
        </w:tc>
        <w:tc>
          <w:tcPr>
            <w:tcW w:w="1022" w:type="dxa"/>
            <w:tcBorders>
              <w:top w:val="nil"/>
            </w:tcBorders>
            <w:vAlign w:val="center"/>
          </w:tcPr>
          <w:p w14:paraId="7E160BEC">
            <w:pPr>
              <w:pStyle w:val="9"/>
              <w:keepNext/>
              <w:ind w:left="63" w:right="63"/>
              <w:rPr>
                <w:rFonts w:hAnsi="宋体" w:cs="宋体"/>
                <w:color w:val="auto"/>
                <w:sz w:val="24"/>
                <w:szCs w:val="24"/>
                <w:highlight w:val="none"/>
                <w:lang w:val="en-US"/>
              </w:rPr>
            </w:pPr>
          </w:p>
        </w:tc>
        <w:tc>
          <w:tcPr>
            <w:tcW w:w="3833" w:type="dxa"/>
            <w:tcBorders>
              <w:top w:val="nil"/>
            </w:tcBorders>
            <w:vAlign w:val="center"/>
          </w:tcPr>
          <w:p w14:paraId="5C9C9BE0">
            <w:pPr>
              <w:pStyle w:val="9"/>
              <w:keepNext/>
              <w:ind w:left="63" w:right="63"/>
              <w:rPr>
                <w:rFonts w:hAnsi="宋体" w:cs="宋体"/>
                <w:color w:val="auto"/>
                <w:sz w:val="24"/>
                <w:szCs w:val="24"/>
                <w:highlight w:val="none"/>
                <w:lang w:val="en-US"/>
              </w:rPr>
            </w:pPr>
          </w:p>
        </w:tc>
      </w:tr>
      <w:tr w14:paraId="27ADC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DC15106">
            <w:pPr>
              <w:pStyle w:val="9"/>
              <w:keepNext/>
              <w:ind w:left="63" w:right="63"/>
              <w:rPr>
                <w:rFonts w:hAnsi="宋体" w:cs="宋体"/>
                <w:color w:val="auto"/>
                <w:sz w:val="24"/>
                <w:szCs w:val="24"/>
                <w:highlight w:val="none"/>
                <w:lang w:val="en-US"/>
              </w:rPr>
            </w:pPr>
          </w:p>
        </w:tc>
        <w:tc>
          <w:tcPr>
            <w:tcW w:w="1279" w:type="dxa"/>
            <w:vAlign w:val="center"/>
          </w:tcPr>
          <w:p w14:paraId="11BDE284">
            <w:pPr>
              <w:pStyle w:val="9"/>
              <w:keepNext/>
              <w:ind w:left="63" w:right="63"/>
              <w:rPr>
                <w:rFonts w:hAnsi="宋体" w:cs="宋体"/>
                <w:color w:val="auto"/>
                <w:sz w:val="24"/>
                <w:szCs w:val="24"/>
                <w:highlight w:val="none"/>
                <w:lang w:val="en-US"/>
              </w:rPr>
            </w:pPr>
          </w:p>
        </w:tc>
        <w:tc>
          <w:tcPr>
            <w:tcW w:w="1022" w:type="dxa"/>
            <w:vAlign w:val="center"/>
          </w:tcPr>
          <w:p w14:paraId="232F8FA8">
            <w:pPr>
              <w:pStyle w:val="9"/>
              <w:keepNext/>
              <w:ind w:left="63" w:right="63"/>
              <w:rPr>
                <w:rFonts w:hAnsi="宋体" w:cs="宋体"/>
                <w:color w:val="auto"/>
                <w:sz w:val="24"/>
                <w:szCs w:val="24"/>
                <w:highlight w:val="none"/>
                <w:lang w:val="en-US"/>
              </w:rPr>
            </w:pPr>
          </w:p>
        </w:tc>
        <w:tc>
          <w:tcPr>
            <w:tcW w:w="1022" w:type="dxa"/>
            <w:vAlign w:val="center"/>
          </w:tcPr>
          <w:p w14:paraId="5261EFC7">
            <w:pPr>
              <w:pStyle w:val="9"/>
              <w:keepNext/>
              <w:ind w:left="63" w:right="63"/>
              <w:rPr>
                <w:rFonts w:hAnsi="宋体" w:cs="宋体"/>
                <w:color w:val="auto"/>
                <w:sz w:val="24"/>
                <w:szCs w:val="24"/>
                <w:highlight w:val="none"/>
                <w:lang w:val="en-US"/>
              </w:rPr>
            </w:pPr>
          </w:p>
        </w:tc>
        <w:tc>
          <w:tcPr>
            <w:tcW w:w="3833" w:type="dxa"/>
            <w:vAlign w:val="center"/>
          </w:tcPr>
          <w:p w14:paraId="44D67A3B">
            <w:pPr>
              <w:pStyle w:val="9"/>
              <w:keepNext/>
              <w:ind w:left="63" w:right="63"/>
              <w:rPr>
                <w:rFonts w:hAnsi="宋体" w:cs="宋体"/>
                <w:color w:val="auto"/>
                <w:sz w:val="24"/>
                <w:szCs w:val="24"/>
                <w:highlight w:val="none"/>
                <w:lang w:val="en-US"/>
              </w:rPr>
            </w:pPr>
          </w:p>
        </w:tc>
      </w:tr>
      <w:tr w14:paraId="7D75A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59E75047">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其他人员</w:t>
            </w:r>
          </w:p>
        </w:tc>
        <w:tc>
          <w:tcPr>
            <w:tcW w:w="1279" w:type="dxa"/>
            <w:vAlign w:val="center"/>
          </w:tcPr>
          <w:p w14:paraId="42373340">
            <w:pPr>
              <w:pStyle w:val="9"/>
              <w:keepNext/>
              <w:ind w:left="63" w:right="63"/>
              <w:rPr>
                <w:rFonts w:hAnsi="宋体" w:cs="宋体"/>
                <w:color w:val="auto"/>
                <w:sz w:val="24"/>
                <w:szCs w:val="24"/>
                <w:highlight w:val="none"/>
                <w:lang w:val="en-US"/>
              </w:rPr>
            </w:pPr>
          </w:p>
        </w:tc>
        <w:tc>
          <w:tcPr>
            <w:tcW w:w="1022" w:type="dxa"/>
            <w:vAlign w:val="center"/>
          </w:tcPr>
          <w:p w14:paraId="72932894">
            <w:pPr>
              <w:pStyle w:val="9"/>
              <w:keepNext/>
              <w:ind w:left="63" w:right="63"/>
              <w:rPr>
                <w:rFonts w:hAnsi="宋体" w:cs="宋体"/>
                <w:color w:val="auto"/>
                <w:sz w:val="24"/>
                <w:szCs w:val="24"/>
                <w:highlight w:val="none"/>
                <w:lang w:val="en-US"/>
              </w:rPr>
            </w:pPr>
          </w:p>
        </w:tc>
        <w:tc>
          <w:tcPr>
            <w:tcW w:w="1022" w:type="dxa"/>
            <w:vAlign w:val="center"/>
          </w:tcPr>
          <w:p w14:paraId="3AA8EF58">
            <w:pPr>
              <w:pStyle w:val="9"/>
              <w:keepNext/>
              <w:ind w:left="63" w:right="63"/>
              <w:rPr>
                <w:rFonts w:hAnsi="宋体" w:cs="宋体"/>
                <w:color w:val="auto"/>
                <w:sz w:val="24"/>
                <w:szCs w:val="24"/>
                <w:highlight w:val="none"/>
                <w:lang w:val="en-US"/>
              </w:rPr>
            </w:pPr>
          </w:p>
        </w:tc>
        <w:tc>
          <w:tcPr>
            <w:tcW w:w="3833" w:type="dxa"/>
            <w:vAlign w:val="center"/>
          </w:tcPr>
          <w:p w14:paraId="3634AD4E">
            <w:pPr>
              <w:pStyle w:val="9"/>
              <w:keepNext/>
              <w:ind w:left="63" w:right="63"/>
              <w:rPr>
                <w:rFonts w:hAnsi="宋体" w:cs="宋体"/>
                <w:color w:val="auto"/>
                <w:sz w:val="24"/>
                <w:szCs w:val="24"/>
                <w:highlight w:val="none"/>
                <w:lang w:val="en-US"/>
              </w:rPr>
            </w:pPr>
          </w:p>
        </w:tc>
      </w:tr>
      <w:tr w14:paraId="4808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63173EA7">
            <w:pPr>
              <w:pStyle w:val="9"/>
              <w:keepNext/>
              <w:ind w:left="63" w:right="63"/>
              <w:rPr>
                <w:rFonts w:hAnsi="宋体" w:cs="宋体"/>
                <w:color w:val="auto"/>
                <w:sz w:val="24"/>
                <w:szCs w:val="24"/>
                <w:highlight w:val="none"/>
                <w:lang w:val="en-US"/>
              </w:rPr>
            </w:pPr>
          </w:p>
        </w:tc>
        <w:tc>
          <w:tcPr>
            <w:tcW w:w="1279" w:type="dxa"/>
            <w:vAlign w:val="center"/>
          </w:tcPr>
          <w:p w14:paraId="7B98503B">
            <w:pPr>
              <w:pStyle w:val="9"/>
              <w:keepNext/>
              <w:ind w:left="63" w:right="63"/>
              <w:rPr>
                <w:rFonts w:hAnsi="宋体" w:cs="宋体"/>
                <w:color w:val="auto"/>
                <w:sz w:val="24"/>
                <w:szCs w:val="24"/>
                <w:highlight w:val="none"/>
                <w:lang w:val="en-US"/>
              </w:rPr>
            </w:pPr>
          </w:p>
        </w:tc>
        <w:tc>
          <w:tcPr>
            <w:tcW w:w="1022" w:type="dxa"/>
            <w:vAlign w:val="center"/>
          </w:tcPr>
          <w:p w14:paraId="35B2A961">
            <w:pPr>
              <w:pStyle w:val="9"/>
              <w:keepNext/>
              <w:ind w:left="63" w:right="63"/>
              <w:rPr>
                <w:rFonts w:hAnsi="宋体" w:cs="宋体"/>
                <w:color w:val="auto"/>
                <w:sz w:val="24"/>
                <w:szCs w:val="24"/>
                <w:highlight w:val="none"/>
                <w:lang w:val="en-US"/>
              </w:rPr>
            </w:pPr>
          </w:p>
        </w:tc>
        <w:tc>
          <w:tcPr>
            <w:tcW w:w="1022" w:type="dxa"/>
            <w:vAlign w:val="center"/>
          </w:tcPr>
          <w:p w14:paraId="749B01E7">
            <w:pPr>
              <w:pStyle w:val="9"/>
              <w:keepNext/>
              <w:ind w:left="63" w:right="63"/>
              <w:rPr>
                <w:rFonts w:hAnsi="宋体" w:cs="宋体"/>
                <w:color w:val="auto"/>
                <w:sz w:val="24"/>
                <w:szCs w:val="24"/>
                <w:highlight w:val="none"/>
                <w:lang w:val="en-US"/>
              </w:rPr>
            </w:pPr>
          </w:p>
        </w:tc>
        <w:tc>
          <w:tcPr>
            <w:tcW w:w="3833" w:type="dxa"/>
            <w:vAlign w:val="center"/>
          </w:tcPr>
          <w:p w14:paraId="135309ED">
            <w:pPr>
              <w:pStyle w:val="9"/>
              <w:keepNext/>
              <w:ind w:left="63" w:right="63"/>
              <w:rPr>
                <w:rFonts w:hAnsi="宋体" w:cs="宋体"/>
                <w:color w:val="auto"/>
                <w:sz w:val="24"/>
                <w:szCs w:val="24"/>
                <w:highlight w:val="none"/>
                <w:lang w:val="en-US"/>
              </w:rPr>
            </w:pPr>
          </w:p>
        </w:tc>
      </w:tr>
      <w:tr w14:paraId="3C087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2BDE3345">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二、现场人员</w:t>
            </w:r>
          </w:p>
        </w:tc>
      </w:tr>
      <w:tr w14:paraId="212C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B43A93D">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项目经理</w:t>
            </w:r>
          </w:p>
        </w:tc>
        <w:tc>
          <w:tcPr>
            <w:tcW w:w="1279" w:type="dxa"/>
            <w:vAlign w:val="center"/>
          </w:tcPr>
          <w:p w14:paraId="26F388E8">
            <w:pPr>
              <w:pStyle w:val="9"/>
              <w:keepNext/>
              <w:ind w:left="63" w:leftChars="30" w:right="63" w:rightChars="30"/>
              <w:rPr>
                <w:rFonts w:hAnsi="宋体" w:cs="宋体"/>
                <w:color w:val="auto"/>
                <w:sz w:val="24"/>
                <w:szCs w:val="24"/>
                <w:highlight w:val="none"/>
                <w:lang w:val="en-US"/>
              </w:rPr>
            </w:pPr>
          </w:p>
        </w:tc>
        <w:tc>
          <w:tcPr>
            <w:tcW w:w="1022" w:type="dxa"/>
            <w:vAlign w:val="center"/>
          </w:tcPr>
          <w:p w14:paraId="2D20A36B">
            <w:pPr>
              <w:pStyle w:val="9"/>
              <w:keepNext/>
              <w:ind w:left="63" w:leftChars="30" w:right="63" w:rightChars="30"/>
              <w:rPr>
                <w:rFonts w:hAnsi="宋体" w:cs="宋体"/>
                <w:color w:val="auto"/>
                <w:sz w:val="24"/>
                <w:szCs w:val="24"/>
                <w:highlight w:val="none"/>
                <w:lang w:val="en-US"/>
              </w:rPr>
            </w:pPr>
          </w:p>
        </w:tc>
        <w:tc>
          <w:tcPr>
            <w:tcW w:w="1022" w:type="dxa"/>
            <w:vAlign w:val="center"/>
          </w:tcPr>
          <w:p w14:paraId="69E66D77">
            <w:pPr>
              <w:pStyle w:val="9"/>
              <w:keepNext/>
              <w:ind w:left="63" w:leftChars="30" w:right="63" w:rightChars="30"/>
              <w:rPr>
                <w:rFonts w:hAnsi="宋体" w:cs="宋体"/>
                <w:color w:val="auto"/>
                <w:sz w:val="24"/>
                <w:szCs w:val="24"/>
                <w:highlight w:val="none"/>
                <w:lang w:val="en-US"/>
              </w:rPr>
            </w:pPr>
          </w:p>
        </w:tc>
        <w:tc>
          <w:tcPr>
            <w:tcW w:w="3833" w:type="dxa"/>
            <w:vAlign w:val="center"/>
          </w:tcPr>
          <w:p w14:paraId="08CAF27B">
            <w:pPr>
              <w:pStyle w:val="9"/>
              <w:keepNext/>
              <w:ind w:left="63" w:right="63"/>
              <w:rPr>
                <w:rFonts w:hAnsi="宋体" w:cs="宋体"/>
                <w:color w:val="auto"/>
                <w:sz w:val="24"/>
                <w:szCs w:val="24"/>
                <w:highlight w:val="none"/>
                <w:lang w:val="en-US"/>
              </w:rPr>
            </w:pPr>
          </w:p>
        </w:tc>
      </w:tr>
      <w:tr w14:paraId="6BE4B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52C17C2">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技术负责人</w:t>
            </w:r>
          </w:p>
        </w:tc>
        <w:tc>
          <w:tcPr>
            <w:tcW w:w="1279" w:type="dxa"/>
            <w:vAlign w:val="center"/>
          </w:tcPr>
          <w:p w14:paraId="28345895">
            <w:pPr>
              <w:pStyle w:val="9"/>
              <w:keepNext/>
              <w:ind w:left="63" w:leftChars="30" w:right="63" w:rightChars="30"/>
              <w:rPr>
                <w:rFonts w:hAnsi="宋体" w:cs="宋体"/>
                <w:color w:val="auto"/>
                <w:sz w:val="24"/>
                <w:szCs w:val="24"/>
                <w:highlight w:val="none"/>
                <w:lang w:val="en-US"/>
              </w:rPr>
            </w:pPr>
          </w:p>
        </w:tc>
        <w:tc>
          <w:tcPr>
            <w:tcW w:w="1022" w:type="dxa"/>
            <w:vAlign w:val="center"/>
          </w:tcPr>
          <w:p w14:paraId="5B83EC75">
            <w:pPr>
              <w:pStyle w:val="9"/>
              <w:keepNext/>
              <w:ind w:left="63" w:leftChars="30" w:right="63" w:rightChars="30"/>
              <w:rPr>
                <w:rFonts w:hAnsi="宋体" w:cs="宋体"/>
                <w:color w:val="auto"/>
                <w:sz w:val="24"/>
                <w:szCs w:val="24"/>
                <w:highlight w:val="none"/>
                <w:lang w:val="en-US"/>
              </w:rPr>
            </w:pPr>
          </w:p>
        </w:tc>
        <w:tc>
          <w:tcPr>
            <w:tcW w:w="1022" w:type="dxa"/>
            <w:vAlign w:val="center"/>
          </w:tcPr>
          <w:p w14:paraId="4AB17EC0">
            <w:pPr>
              <w:pStyle w:val="9"/>
              <w:keepNext/>
              <w:ind w:left="63" w:leftChars="30" w:right="63" w:rightChars="30"/>
              <w:rPr>
                <w:rFonts w:hAnsi="宋体" w:cs="宋体"/>
                <w:color w:val="auto"/>
                <w:sz w:val="24"/>
                <w:szCs w:val="24"/>
                <w:highlight w:val="none"/>
                <w:lang w:val="en-US"/>
              </w:rPr>
            </w:pPr>
          </w:p>
        </w:tc>
        <w:tc>
          <w:tcPr>
            <w:tcW w:w="3833" w:type="dxa"/>
            <w:vAlign w:val="center"/>
          </w:tcPr>
          <w:p w14:paraId="50276A61">
            <w:pPr>
              <w:pStyle w:val="9"/>
              <w:keepNext/>
              <w:ind w:left="63" w:right="63"/>
              <w:rPr>
                <w:rFonts w:hAnsi="宋体" w:cs="宋体"/>
                <w:color w:val="auto"/>
                <w:sz w:val="24"/>
                <w:szCs w:val="24"/>
                <w:highlight w:val="none"/>
                <w:lang w:val="en-US"/>
              </w:rPr>
            </w:pPr>
          </w:p>
        </w:tc>
      </w:tr>
      <w:tr w14:paraId="2788E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4531410">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施工管理</w:t>
            </w:r>
          </w:p>
        </w:tc>
        <w:tc>
          <w:tcPr>
            <w:tcW w:w="1279" w:type="dxa"/>
            <w:vAlign w:val="center"/>
          </w:tcPr>
          <w:p w14:paraId="16B541CB">
            <w:pPr>
              <w:pStyle w:val="9"/>
              <w:keepNext/>
              <w:ind w:left="63" w:leftChars="30" w:right="63" w:rightChars="30"/>
              <w:rPr>
                <w:rFonts w:hAnsi="宋体" w:cs="宋体"/>
                <w:color w:val="auto"/>
                <w:sz w:val="24"/>
                <w:szCs w:val="24"/>
                <w:highlight w:val="none"/>
                <w:lang w:val="en-US"/>
              </w:rPr>
            </w:pPr>
          </w:p>
        </w:tc>
        <w:tc>
          <w:tcPr>
            <w:tcW w:w="1022" w:type="dxa"/>
            <w:vAlign w:val="center"/>
          </w:tcPr>
          <w:p w14:paraId="1B66FF0E">
            <w:pPr>
              <w:pStyle w:val="9"/>
              <w:keepNext/>
              <w:ind w:left="63" w:leftChars="30" w:right="63" w:rightChars="30"/>
              <w:rPr>
                <w:rFonts w:hAnsi="宋体" w:cs="宋体"/>
                <w:color w:val="auto"/>
                <w:sz w:val="24"/>
                <w:szCs w:val="24"/>
                <w:highlight w:val="none"/>
                <w:lang w:val="en-US"/>
              </w:rPr>
            </w:pPr>
          </w:p>
        </w:tc>
        <w:tc>
          <w:tcPr>
            <w:tcW w:w="1022" w:type="dxa"/>
            <w:vAlign w:val="center"/>
          </w:tcPr>
          <w:p w14:paraId="7F60B331">
            <w:pPr>
              <w:pStyle w:val="9"/>
              <w:keepNext/>
              <w:ind w:left="63" w:leftChars="30" w:right="63" w:rightChars="30"/>
              <w:rPr>
                <w:rFonts w:hAnsi="宋体" w:cs="宋体"/>
                <w:color w:val="auto"/>
                <w:sz w:val="24"/>
                <w:szCs w:val="24"/>
                <w:highlight w:val="none"/>
                <w:lang w:val="en-US"/>
              </w:rPr>
            </w:pPr>
          </w:p>
        </w:tc>
        <w:tc>
          <w:tcPr>
            <w:tcW w:w="3833" w:type="dxa"/>
            <w:vAlign w:val="center"/>
          </w:tcPr>
          <w:p w14:paraId="022ABB84">
            <w:pPr>
              <w:pStyle w:val="9"/>
              <w:keepNext/>
              <w:ind w:left="63" w:right="63"/>
              <w:rPr>
                <w:rFonts w:hAnsi="宋体" w:cs="宋体"/>
                <w:color w:val="auto"/>
                <w:sz w:val="24"/>
                <w:szCs w:val="24"/>
                <w:highlight w:val="none"/>
                <w:lang w:val="en-US"/>
              </w:rPr>
            </w:pPr>
          </w:p>
        </w:tc>
      </w:tr>
      <w:tr w14:paraId="06ACA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ED09984">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质量管理</w:t>
            </w:r>
          </w:p>
        </w:tc>
        <w:tc>
          <w:tcPr>
            <w:tcW w:w="1279" w:type="dxa"/>
            <w:vAlign w:val="center"/>
          </w:tcPr>
          <w:p w14:paraId="4C6387E5">
            <w:pPr>
              <w:pStyle w:val="9"/>
              <w:keepNext/>
              <w:ind w:left="63" w:leftChars="30" w:right="63" w:rightChars="30"/>
              <w:rPr>
                <w:rFonts w:hAnsi="宋体" w:cs="宋体"/>
                <w:color w:val="auto"/>
                <w:sz w:val="24"/>
                <w:szCs w:val="24"/>
                <w:highlight w:val="none"/>
                <w:lang w:val="en-US"/>
              </w:rPr>
            </w:pPr>
          </w:p>
        </w:tc>
        <w:tc>
          <w:tcPr>
            <w:tcW w:w="1022" w:type="dxa"/>
            <w:vAlign w:val="center"/>
          </w:tcPr>
          <w:p w14:paraId="0C44959F">
            <w:pPr>
              <w:pStyle w:val="9"/>
              <w:keepNext/>
              <w:ind w:left="63" w:leftChars="30" w:right="63" w:rightChars="30"/>
              <w:rPr>
                <w:rFonts w:hAnsi="宋体" w:cs="宋体"/>
                <w:color w:val="auto"/>
                <w:sz w:val="24"/>
                <w:szCs w:val="24"/>
                <w:highlight w:val="none"/>
                <w:lang w:val="en-US"/>
              </w:rPr>
            </w:pPr>
          </w:p>
        </w:tc>
        <w:tc>
          <w:tcPr>
            <w:tcW w:w="1022" w:type="dxa"/>
            <w:vAlign w:val="center"/>
          </w:tcPr>
          <w:p w14:paraId="1D257635">
            <w:pPr>
              <w:pStyle w:val="9"/>
              <w:keepNext/>
              <w:ind w:left="63" w:leftChars="30" w:right="63" w:rightChars="30"/>
              <w:rPr>
                <w:rFonts w:hAnsi="宋体" w:cs="宋体"/>
                <w:color w:val="auto"/>
                <w:sz w:val="24"/>
                <w:szCs w:val="24"/>
                <w:highlight w:val="none"/>
                <w:lang w:val="en-US"/>
              </w:rPr>
            </w:pPr>
          </w:p>
        </w:tc>
        <w:tc>
          <w:tcPr>
            <w:tcW w:w="3833" w:type="dxa"/>
            <w:vAlign w:val="center"/>
          </w:tcPr>
          <w:p w14:paraId="013161B6">
            <w:pPr>
              <w:pStyle w:val="9"/>
              <w:keepNext/>
              <w:ind w:left="63" w:right="63"/>
              <w:rPr>
                <w:rFonts w:hAnsi="宋体" w:cs="宋体"/>
                <w:color w:val="auto"/>
                <w:sz w:val="24"/>
                <w:szCs w:val="24"/>
                <w:highlight w:val="none"/>
                <w:lang w:val="en-US"/>
              </w:rPr>
            </w:pPr>
          </w:p>
        </w:tc>
      </w:tr>
      <w:tr w14:paraId="6F38E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B18ED38">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安全管理</w:t>
            </w:r>
          </w:p>
        </w:tc>
        <w:tc>
          <w:tcPr>
            <w:tcW w:w="1279" w:type="dxa"/>
            <w:vAlign w:val="center"/>
          </w:tcPr>
          <w:p w14:paraId="78F20C74">
            <w:pPr>
              <w:pStyle w:val="9"/>
              <w:keepNext/>
              <w:ind w:left="63" w:leftChars="30" w:right="63" w:rightChars="30"/>
              <w:rPr>
                <w:rFonts w:hAnsi="宋体" w:cs="宋体"/>
                <w:color w:val="auto"/>
                <w:sz w:val="24"/>
                <w:szCs w:val="24"/>
                <w:highlight w:val="none"/>
                <w:lang w:val="en-US"/>
              </w:rPr>
            </w:pPr>
          </w:p>
        </w:tc>
        <w:tc>
          <w:tcPr>
            <w:tcW w:w="1022" w:type="dxa"/>
            <w:vAlign w:val="center"/>
          </w:tcPr>
          <w:p w14:paraId="2ED100F7">
            <w:pPr>
              <w:pStyle w:val="9"/>
              <w:keepNext/>
              <w:ind w:left="63" w:leftChars="30" w:right="63" w:rightChars="30"/>
              <w:rPr>
                <w:rFonts w:hAnsi="宋体" w:cs="宋体"/>
                <w:color w:val="auto"/>
                <w:sz w:val="24"/>
                <w:szCs w:val="24"/>
                <w:highlight w:val="none"/>
                <w:lang w:val="en-US"/>
              </w:rPr>
            </w:pPr>
          </w:p>
        </w:tc>
        <w:tc>
          <w:tcPr>
            <w:tcW w:w="1022" w:type="dxa"/>
            <w:vAlign w:val="center"/>
          </w:tcPr>
          <w:p w14:paraId="7DC81752">
            <w:pPr>
              <w:pStyle w:val="9"/>
              <w:keepNext/>
              <w:ind w:left="63" w:leftChars="30" w:right="63" w:rightChars="30"/>
              <w:rPr>
                <w:rFonts w:hAnsi="宋体" w:cs="宋体"/>
                <w:color w:val="auto"/>
                <w:sz w:val="24"/>
                <w:szCs w:val="24"/>
                <w:highlight w:val="none"/>
                <w:lang w:val="en-US"/>
              </w:rPr>
            </w:pPr>
          </w:p>
        </w:tc>
        <w:tc>
          <w:tcPr>
            <w:tcW w:w="3833" w:type="dxa"/>
            <w:vAlign w:val="center"/>
          </w:tcPr>
          <w:p w14:paraId="65F63951">
            <w:pPr>
              <w:pStyle w:val="9"/>
              <w:keepNext/>
              <w:ind w:left="63" w:right="63"/>
              <w:rPr>
                <w:rFonts w:hAnsi="宋体" w:cs="宋体"/>
                <w:color w:val="auto"/>
                <w:sz w:val="24"/>
                <w:szCs w:val="24"/>
                <w:highlight w:val="none"/>
                <w:lang w:val="en-US"/>
              </w:rPr>
            </w:pPr>
          </w:p>
        </w:tc>
      </w:tr>
      <w:tr w14:paraId="095AF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E2D24BA">
            <w:pPr>
              <w:pStyle w:val="9"/>
              <w:keepNext/>
              <w:ind w:left="63" w:right="63"/>
              <w:rPr>
                <w:rFonts w:hAnsi="宋体" w:cs="宋体"/>
                <w:color w:val="auto"/>
                <w:sz w:val="24"/>
                <w:szCs w:val="24"/>
                <w:highlight w:val="none"/>
                <w:lang w:val="en-US"/>
              </w:rPr>
            </w:pPr>
          </w:p>
        </w:tc>
        <w:tc>
          <w:tcPr>
            <w:tcW w:w="1279" w:type="dxa"/>
            <w:vAlign w:val="center"/>
          </w:tcPr>
          <w:p w14:paraId="0AD19C08">
            <w:pPr>
              <w:pStyle w:val="9"/>
              <w:keepNext/>
              <w:ind w:left="63" w:right="63"/>
              <w:rPr>
                <w:rFonts w:hAnsi="宋体" w:cs="宋体"/>
                <w:color w:val="auto"/>
                <w:sz w:val="24"/>
                <w:szCs w:val="24"/>
                <w:highlight w:val="none"/>
                <w:lang w:val="en-US"/>
              </w:rPr>
            </w:pPr>
          </w:p>
        </w:tc>
        <w:tc>
          <w:tcPr>
            <w:tcW w:w="1022" w:type="dxa"/>
            <w:vAlign w:val="center"/>
          </w:tcPr>
          <w:p w14:paraId="0A0B225B">
            <w:pPr>
              <w:pStyle w:val="9"/>
              <w:keepNext/>
              <w:ind w:left="63" w:right="63"/>
              <w:rPr>
                <w:rFonts w:hAnsi="宋体" w:cs="宋体"/>
                <w:color w:val="auto"/>
                <w:sz w:val="24"/>
                <w:szCs w:val="24"/>
                <w:highlight w:val="none"/>
                <w:lang w:val="en-US"/>
              </w:rPr>
            </w:pPr>
          </w:p>
        </w:tc>
        <w:tc>
          <w:tcPr>
            <w:tcW w:w="1022" w:type="dxa"/>
            <w:vAlign w:val="center"/>
          </w:tcPr>
          <w:p w14:paraId="09EB54E6">
            <w:pPr>
              <w:pStyle w:val="9"/>
              <w:keepNext/>
              <w:ind w:left="63" w:right="63"/>
              <w:rPr>
                <w:rFonts w:hAnsi="宋体" w:cs="宋体"/>
                <w:color w:val="auto"/>
                <w:sz w:val="24"/>
                <w:szCs w:val="24"/>
                <w:highlight w:val="none"/>
                <w:lang w:val="en-US"/>
              </w:rPr>
            </w:pPr>
          </w:p>
        </w:tc>
        <w:tc>
          <w:tcPr>
            <w:tcW w:w="3833" w:type="dxa"/>
            <w:vAlign w:val="center"/>
          </w:tcPr>
          <w:p w14:paraId="5D26E088">
            <w:pPr>
              <w:pStyle w:val="9"/>
              <w:keepNext/>
              <w:ind w:left="63" w:right="63"/>
              <w:rPr>
                <w:rFonts w:hAnsi="宋体" w:cs="宋体"/>
                <w:color w:val="auto"/>
                <w:sz w:val="24"/>
                <w:szCs w:val="24"/>
                <w:highlight w:val="none"/>
                <w:lang w:val="en-US"/>
              </w:rPr>
            </w:pPr>
          </w:p>
        </w:tc>
      </w:tr>
      <w:tr w14:paraId="0328F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F9415F7">
            <w:pPr>
              <w:pStyle w:val="9"/>
              <w:keepNext/>
              <w:ind w:left="63" w:right="63"/>
              <w:rPr>
                <w:rFonts w:hAnsi="宋体" w:cs="宋体"/>
                <w:color w:val="auto"/>
                <w:sz w:val="24"/>
                <w:szCs w:val="24"/>
                <w:highlight w:val="none"/>
                <w:lang w:val="en-US"/>
              </w:rPr>
            </w:pPr>
          </w:p>
        </w:tc>
        <w:tc>
          <w:tcPr>
            <w:tcW w:w="1279" w:type="dxa"/>
            <w:vAlign w:val="center"/>
          </w:tcPr>
          <w:p w14:paraId="525BEC08">
            <w:pPr>
              <w:pStyle w:val="9"/>
              <w:keepNext/>
              <w:ind w:left="63" w:right="63"/>
              <w:rPr>
                <w:rFonts w:hAnsi="宋体" w:cs="宋体"/>
                <w:color w:val="auto"/>
                <w:sz w:val="24"/>
                <w:szCs w:val="24"/>
                <w:highlight w:val="none"/>
                <w:lang w:val="en-US"/>
              </w:rPr>
            </w:pPr>
          </w:p>
        </w:tc>
        <w:tc>
          <w:tcPr>
            <w:tcW w:w="1022" w:type="dxa"/>
            <w:vAlign w:val="center"/>
          </w:tcPr>
          <w:p w14:paraId="27213A2E">
            <w:pPr>
              <w:pStyle w:val="9"/>
              <w:keepNext/>
              <w:ind w:left="63" w:right="63"/>
              <w:rPr>
                <w:rFonts w:hAnsi="宋体" w:cs="宋体"/>
                <w:color w:val="auto"/>
                <w:sz w:val="24"/>
                <w:szCs w:val="24"/>
                <w:highlight w:val="none"/>
                <w:lang w:val="en-US"/>
              </w:rPr>
            </w:pPr>
          </w:p>
        </w:tc>
        <w:tc>
          <w:tcPr>
            <w:tcW w:w="1022" w:type="dxa"/>
            <w:vAlign w:val="center"/>
          </w:tcPr>
          <w:p w14:paraId="39CC4625">
            <w:pPr>
              <w:pStyle w:val="9"/>
              <w:keepNext/>
              <w:ind w:left="63" w:right="63"/>
              <w:rPr>
                <w:rFonts w:hAnsi="宋体" w:cs="宋体"/>
                <w:color w:val="auto"/>
                <w:sz w:val="24"/>
                <w:szCs w:val="24"/>
                <w:highlight w:val="none"/>
                <w:lang w:val="en-US"/>
              </w:rPr>
            </w:pPr>
          </w:p>
        </w:tc>
        <w:tc>
          <w:tcPr>
            <w:tcW w:w="3833" w:type="dxa"/>
            <w:vAlign w:val="center"/>
          </w:tcPr>
          <w:p w14:paraId="7CD835B7">
            <w:pPr>
              <w:pStyle w:val="9"/>
              <w:keepNext/>
              <w:ind w:left="63" w:right="63"/>
              <w:rPr>
                <w:rFonts w:hAnsi="宋体" w:cs="宋体"/>
                <w:color w:val="auto"/>
                <w:sz w:val="24"/>
                <w:szCs w:val="24"/>
                <w:highlight w:val="none"/>
                <w:lang w:val="en-US"/>
              </w:rPr>
            </w:pPr>
          </w:p>
        </w:tc>
      </w:tr>
      <w:tr w14:paraId="74D5A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272D892">
            <w:pPr>
              <w:pStyle w:val="9"/>
              <w:keepNext/>
              <w:ind w:left="63" w:right="63"/>
              <w:rPr>
                <w:rFonts w:hAnsi="宋体" w:cs="宋体"/>
                <w:color w:val="auto"/>
                <w:sz w:val="24"/>
                <w:szCs w:val="24"/>
                <w:highlight w:val="none"/>
                <w:lang w:val="en-US"/>
              </w:rPr>
            </w:pPr>
          </w:p>
        </w:tc>
        <w:tc>
          <w:tcPr>
            <w:tcW w:w="1279" w:type="dxa"/>
            <w:vAlign w:val="center"/>
          </w:tcPr>
          <w:p w14:paraId="0D2C9124">
            <w:pPr>
              <w:pStyle w:val="9"/>
              <w:keepNext/>
              <w:ind w:left="63" w:right="63"/>
              <w:rPr>
                <w:rFonts w:hAnsi="宋体" w:cs="宋体"/>
                <w:color w:val="auto"/>
                <w:sz w:val="24"/>
                <w:szCs w:val="24"/>
                <w:highlight w:val="none"/>
                <w:lang w:val="en-US"/>
              </w:rPr>
            </w:pPr>
          </w:p>
        </w:tc>
        <w:tc>
          <w:tcPr>
            <w:tcW w:w="1022" w:type="dxa"/>
            <w:vAlign w:val="center"/>
          </w:tcPr>
          <w:p w14:paraId="0FA2F0D5">
            <w:pPr>
              <w:pStyle w:val="9"/>
              <w:keepNext/>
              <w:ind w:left="63" w:right="63"/>
              <w:rPr>
                <w:rFonts w:hAnsi="宋体" w:cs="宋体"/>
                <w:color w:val="auto"/>
                <w:sz w:val="24"/>
                <w:szCs w:val="24"/>
                <w:highlight w:val="none"/>
                <w:lang w:val="en-US"/>
              </w:rPr>
            </w:pPr>
          </w:p>
        </w:tc>
        <w:tc>
          <w:tcPr>
            <w:tcW w:w="1022" w:type="dxa"/>
            <w:vAlign w:val="center"/>
          </w:tcPr>
          <w:p w14:paraId="15486055">
            <w:pPr>
              <w:pStyle w:val="9"/>
              <w:keepNext/>
              <w:ind w:left="63" w:right="63"/>
              <w:rPr>
                <w:rFonts w:hAnsi="宋体" w:cs="宋体"/>
                <w:color w:val="auto"/>
                <w:sz w:val="24"/>
                <w:szCs w:val="24"/>
                <w:highlight w:val="none"/>
                <w:lang w:val="en-US"/>
              </w:rPr>
            </w:pPr>
          </w:p>
        </w:tc>
        <w:tc>
          <w:tcPr>
            <w:tcW w:w="3833" w:type="dxa"/>
            <w:vAlign w:val="center"/>
          </w:tcPr>
          <w:p w14:paraId="7DA14AC9">
            <w:pPr>
              <w:pStyle w:val="9"/>
              <w:keepNext/>
              <w:ind w:left="63" w:right="63"/>
              <w:rPr>
                <w:rFonts w:hAnsi="宋体" w:cs="宋体"/>
                <w:color w:val="auto"/>
                <w:sz w:val="24"/>
                <w:szCs w:val="24"/>
                <w:highlight w:val="none"/>
                <w:lang w:val="en-US"/>
              </w:rPr>
            </w:pPr>
          </w:p>
        </w:tc>
      </w:tr>
      <w:tr w14:paraId="56200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3339764D">
            <w:pPr>
              <w:pStyle w:val="9"/>
              <w:keepNext/>
              <w:ind w:left="63" w:right="63"/>
              <w:rPr>
                <w:rFonts w:hAnsi="宋体" w:cs="宋体"/>
                <w:color w:val="auto"/>
                <w:sz w:val="24"/>
                <w:szCs w:val="24"/>
                <w:highlight w:val="none"/>
                <w:lang w:val="en-US"/>
              </w:rPr>
            </w:pPr>
            <w:r>
              <w:rPr>
                <w:rFonts w:hint="eastAsia" w:hAnsi="宋体" w:cs="宋体"/>
                <w:color w:val="auto"/>
                <w:sz w:val="24"/>
                <w:szCs w:val="24"/>
                <w:highlight w:val="none"/>
                <w:lang w:val="en-US"/>
              </w:rPr>
              <w:t>其他人员</w:t>
            </w:r>
          </w:p>
        </w:tc>
        <w:tc>
          <w:tcPr>
            <w:tcW w:w="1279" w:type="dxa"/>
            <w:vAlign w:val="center"/>
          </w:tcPr>
          <w:p w14:paraId="6AC2955C">
            <w:pPr>
              <w:pStyle w:val="9"/>
              <w:keepNext/>
              <w:ind w:left="63" w:right="63"/>
              <w:rPr>
                <w:rFonts w:hAnsi="宋体" w:cs="宋体"/>
                <w:color w:val="auto"/>
                <w:sz w:val="24"/>
                <w:szCs w:val="24"/>
                <w:highlight w:val="none"/>
                <w:lang w:val="en-US"/>
              </w:rPr>
            </w:pPr>
          </w:p>
        </w:tc>
        <w:tc>
          <w:tcPr>
            <w:tcW w:w="1022" w:type="dxa"/>
            <w:vAlign w:val="center"/>
          </w:tcPr>
          <w:p w14:paraId="5E48999A">
            <w:pPr>
              <w:pStyle w:val="9"/>
              <w:keepNext/>
              <w:ind w:left="63" w:right="63"/>
              <w:rPr>
                <w:rFonts w:hAnsi="宋体" w:cs="宋体"/>
                <w:color w:val="auto"/>
                <w:sz w:val="24"/>
                <w:szCs w:val="24"/>
                <w:highlight w:val="none"/>
                <w:lang w:val="en-US"/>
              </w:rPr>
            </w:pPr>
          </w:p>
        </w:tc>
        <w:tc>
          <w:tcPr>
            <w:tcW w:w="1022" w:type="dxa"/>
            <w:vAlign w:val="center"/>
          </w:tcPr>
          <w:p w14:paraId="1F001EFC">
            <w:pPr>
              <w:pStyle w:val="9"/>
              <w:keepNext/>
              <w:ind w:left="63" w:right="63"/>
              <w:rPr>
                <w:rFonts w:hAnsi="宋体" w:cs="宋体"/>
                <w:color w:val="auto"/>
                <w:sz w:val="24"/>
                <w:szCs w:val="24"/>
                <w:highlight w:val="none"/>
                <w:lang w:val="en-US"/>
              </w:rPr>
            </w:pPr>
          </w:p>
        </w:tc>
        <w:tc>
          <w:tcPr>
            <w:tcW w:w="3833" w:type="dxa"/>
            <w:vAlign w:val="center"/>
          </w:tcPr>
          <w:p w14:paraId="52259F1C">
            <w:pPr>
              <w:pStyle w:val="9"/>
              <w:keepNext/>
              <w:ind w:left="63" w:right="63"/>
              <w:rPr>
                <w:rFonts w:hAnsi="宋体" w:cs="宋体"/>
                <w:color w:val="auto"/>
                <w:sz w:val="24"/>
                <w:szCs w:val="24"/>
                <w:highlight w:val="none"/>
                <w:lang w:val="en-US"/>
              </w:rPr>
            </w:pPr>
          </w:p>
        </w:tc>
      </w:tr>
      <w:tr w14:paraId="24D02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004A8BB5">
            <w:pPr>
              <w:pStyle w:val="9"/>
              <w:keepNext/>
              <w:ind w:left="63" w:right="63"/>
              <w:rPr>
                <w:rFonts w:hAnsi="宋体" w:cs="宋体"/>
                <w:color w:val="auto"/>
                <w:sz w:val="24"/>
                <w:szCs w:val="24"/>
                <w:highlight w:val="none"/>
                <w:lang w:val="en-US"/>
              </w:rPr>
            </w:pPr>
          </w:p>
        </w:tc>
        <w:tc>
          <w:tcPr>
            <w:tcW w:w="1279" w:type="dxa"/>
            <w:tcBorders>
              <w:bottom w:val="nil"/>
            </w:tcBorders>
            <w:vAlign w:val="center"/>
          </w:tcPr>
          <w:p w14:paraId="62AB37A7">
            <w:pPr>
              <w:pStyle w:val="9"/>
              <w:keepNext/>
              <w:ind w:left="63" w:right="63"/>
              <w:rPr>
                <w:rFonts w:hAnsi="宋体" w:cs="宋体"/>
                <w:color w:val="auto"/>
                <w:sz w:val="24"/>
                <w:szCs w:val="24"/>
                <w:highlight w:val="none"/>
                <w:lang w:val="en-US"/>
              </w:rPr>
            </w:pPr>
          </w:p>
        </w:tc>
        <w:tc>
          <w:tcPr>
            <w:tcW w:w="1022" w:type="dxa"/>
            <w:tcBorders>
              <w:bottom w:val="nil"/>
            </w:tcBorders>
            <w:vAlign w:val="center"/>
          </w:tcPr>
          <w:p w14:paraId="6C25047E">
            <w:pPr>
              <w:pStyle w:val="9"/>
              <w:keepNext/>
              <w:ind w:left="63" w:right="63"/>
              <w:rPr>
                <w:rFonts w:hAnsi="宋体" w:cs="宋体"/>
                <w:color w:val="auto"/>
                <w:sz w:val="24"/>
                <w:szCs w:val="24"/>
                <w:highlight w:val="none"/>
                <w:lang w:val="en-US"/>
              </w:rPr>
            </w:pPr>
          </w:p>
        </w:tc>
        <w:tc>
          <w:tcPr>
            <w:tcW w:w="1022" w:type="dxa"/>
            <w:tcBorders>
              <w:bottom w:val="nil"/>
            </w:tcBorders>
            <w:vAlign w:val="center"/>
          </w:tcPr>
          <w:p w14:paraId="4CE1B814">
            <w:pPr>
              <w:pStyle w:val="9"/>
              <w:keepNext/>
              <w:ind w:left="63" w:right="63"/>
              <w:rPr>
                <w:rFonts w:hAnsi="宋体" w:cs="宋体"/>
                <w:color w:val="auto"/>
                <w:sz w:val="24"/>
                <w:szCs w:val="24"/>
                <w:highlight w:val="none"/>
                <w:lang w:val="en-US"/>
              </w:rPr>
            </w:pPr>
          </w:p>
        </w:tc>
        <w:tc>
          <w:tcPr>
            <w:tcW w:w="3833" w:type="dxa"/>
            <w:tcBorders>
              <w:bottom w:val="nil"/>
            </w:tcBorders>
            <w:vAlign w:val="center"/>
          </w:tcPr>
          <w:p w14:paraId="4017EEDC">
            <w:pPr>
              <w:pStyle w:val="9"/>
              <w:keepNext/>
              <w:ind w:left="63" w:right="63"/>
              <w:rPr>
                <w:rFonts w:hAnsi="宋体" w:cs="宋体"/>
                <w:color w:val="auto"/>
                <w:sz w:val="24"/>
                <w:szCs w:val="24"/>
                <w:highlight w:val="none"/>
                <w:lang w:val="en-US"/>
              </w:rPr>
            </w:pPr>
          </w:p>
        </w:tc>
      </w:tr>
      <w:tr w14:paraId="270E3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139C2ED2">
            <w:pPr>
              <w:pStyle w:val="9"/>
              <w:keepNext/>
              <w:ind w:left="63" w:right="63"/>
              <w:rPr>
                <w:rFonts w:hAnsi="宋体" w:cs="宋体"/>
                <w:color w:val="auto"/>
                <w:sz w:val="24"/>
                <w:szCs w:val="24"/>
                <w:highlight w:val="none"/>
                <w:lang w:val="en-US"/>
              </w:rPr>
            </w:pPr>
          </w:p>
        </w:tc>
        <w:tc>
          <w:tcPr>
            <w:tcW w:w="1279" w:type="dxa"/>
            <w:vAlign w:val="center"/>
          </w:tcPr>
          <w:p w14:paraId="1D9CFFB7">
            <w:pPr>
              <w:pStyle w:val="9"/>
              <w:keepNext/>
              <w:ind w:left="63" w:right="63"/>
              <w:rPr>
                <w:rFonts w:hAnsi="宋体" w:cs="宋体"/>
                <w:color w:val="auto"/>
                <w:sz w:val="24"/>
                <w:szCs w:val="24"/>
                <w:highlight w:val="none"/>
                <w:lang w:val="en-US"/>
              </w:rPr>
            </w:pPr>
          </w:p>
        </w:tc>
        <w:tc>
          <w:tcPr>
            <w:tcW w:w="1022" w:type="dxa"/>
            <w:vAlign w:val="center"/>
          </w:tcPr>
          <w:p w14:paraId="550D51F6">
            <w:pPr>
              <w:pStyle w:val="9"/>
              <w:keepNext/>
              <w:ind w:left="63" w:right="63"/>
              <w:rPr>
                <w:rFonts w:hAnsi="宋体" w:cs="宋体"/>
                <w:color w:val="auto"/>
                <w:sz w:val="24"/>
                <w:szCs w:val="24"/>
                <w:highlight w:val="none"/>
                <w:lang w:val="en-US"/>
              </w:rPr>
            </w:pPr>
          </w:p>
        </w:tc>
        <w:tc>
          <w:tcPr>
            <w:tcW w:w="1022" w:type="dxa"/>
            <w:vAlign w:val="center"/>
          </w:tcPr>
          <w:p w14:paraId="408C4F23">
            <w:pPr>
              <w:pStyle w:val="9"/>
              <w:keepNext/>
              <w:ind w:left="63" w:right="63"/>
              <w:rPr>
                <w:rFonts w:hAnsi="宋体" w:cs="宋体"/>
                <w:color w:val="auto"/>
                <w:sz w:val="24"/>
                <w:szCs w:val="24"/>
                <w:highlight w:val="none"/>
                <w:lang w:val="en-US"/>
              </w:rPr>
            </w:pPr>
          </w:p>
        </w:tc>
        <w:tc>
          <w:tcPr>
            <w:tcW w:w="3833" w:type="dxa"/>
            <w:vAlign w:val="center"/>
          </w:tcPr>
          <w:p w14:paraId="153FFF3F">
            <w:pPr>
              <w:pStyle w:val="9"/>
              <w:keepNext/>
              <w:ind w:left="63" w:right="63"/>
              <w:rPr>
                <w:rFonts w:hAnsi="宋体" w:cs="宋体"/>
                <w:color w:val="auto"/>
                <w:sz w:val="24"/>
                <w:szCs w:val="24"/>
                <w:highlight w:val="none"/>
                <w:lang w:val="en-US"/>
              </w:rPr>
            </w:pPr>
          </w:p>
        </w:tc>
      </w:tr>
      <w:tr w14:paraId="02E9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5B4BFE6">
            <w:pPr>
              <w:pStyle w:val="9"/>
              <w:keepNext/>
              <w:ind w:left="63" w:right="63"/>
              <w:rPr>
                <w:rFonts w:hAnsi="宋体" w:cs="宋体"/>
                <w:color w:val="auto"/>
                <w:sz w:val="24"/>
                <w:szCs w:val="24"/>
                <w:highlight w:val="none"/>
                <w:lang w:val="en-US"/>
              </w:rPr>
            </w:pPr>
          </w:p>
        </w:tc>
        <w:tc>
          <w:tcPr>
            <w:tcW w:w="1279" w:type="dxa"/>
            <w:vAlign w:val="center"/>
          </w:tcPr>
          <w:p w14:paraId="47C9A5C1">
            <w:pPr>
              <w:pStyle w:val="9"/>
              <w:keepNext/>
              <w:ind w:left="63" w:right="63"/>
              <w:rPr>
                <w:rFonts w:hAnsi="宋体" w:cs="宋体"/>
                <w:color w:val="auto"/>
                <w:sz w:val="24"/>
                <w:szCs w:val="24"/>
                <w:highlight w:val="none"/>
                <w:lang w:val="en-US"/>
              </w:rPr>
            </w:pPr>
          </w:p>
        </w:tc>
        <w:tc>
          <w:tcPr>
            <w:tcW w:w="1022" w:type="dxa"/>
            <w:vAlign w:val="center"/>
          </w:tcPr>
          <w:p w14:paraId="7EBD9FE4">
            <w:pPr>
              <w:pStyle w:val="9"/>
              <w:keepNext/>
              <w:ind w:left="63" w:right="63"/>
              <w:rPr>
                <w:rFonts w:hAnsi="宋体" w:cs="宋体"/>
                <w:color w:val="auto"/>
                <w:sz w:val="24"/>
                <w:szCs w:val="24"/>
                <w:highlight w:val="none"/>
                <w:lang w:val="en-US"/>
              </w:rPr>
            </w:pPr>
          </w:p>
        </w:tc>
        <w:tc>
          <w:tcPr>
            <w:tcW w:w="1022" w:type="dxa"/>
            <w:vAlign w:val="center"/>
          </w:tcPr>
          <w:p w14:paraId="6DD97F03">
            <w:pPr>
              <w:pStyle w:val="9"/>
              <w:keepNext/>
              <w:ind w:left="63" w:right="63"/>
              <w:rPr>
                <w:rFonts w:hAnsi="宋体" w:cs="宋体"/>
                <w:color w:val="auto"/>
                <w:sz w:val="24"/>
                <w:szCs w:val="24"/>
                <w:highlight w:val="none"/>
                <w:lang w:val="en-US"/>
              </w:rPr>
            </w:pPr>
          </w:p>
        </w:tc>
        <w:tc>
          <w:tcPr>
            <w:tcW w:w="3833" w:type="dxa"/>
            <w:vAlign w:val="center"/>
          </w:tcPr>
          <w:p w14:paraId="5BF5E138">
            <w:pPr>
              <w:pStyle w:val="9"/>
              <w:keepNext/>
              <w:ind w:left="63" w:right="63"/>
              <w:rPr>
                <w:rFonts w:hAnsi="宋体" w:cs="宋体"/>
                <w:color w:val="auto"/>
                <w:sz w:val="24"/>
                <w:szCs w:val="24"/>
                <w:highlight w:val="none"/>
                <w:lang w:val="en-US"/>
              </w:rPr>
            </w:pPr>
          </w:p>
        </w:tc>
      </w:tr>
      <w:tr w14:paraId="4242A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538217B">
            <w:pPr>
              <w:pStyle w:val="9"/>
              <w:keepNext/>
              <w:ind w:left="63" w:right="63"/>
              <w:rPr>
                <w:rFonts w:hAnsi="宋体" w:cs="宋体"/>
                <w:color w:val="auto"/>
                <w:sz w:val="24"/>
                <w:szCs w:val="24"/>
                <w:highlight w:val="none"/>
                <w:lang w:val="en-US"/>
              </w:rPr>
            </w:pPr>
          </w:p>
        </w:tc>
        <w:tc>
          <w:tcPr>
            <w:tcW w:w="1279" w:type="dxa"/>
            <w:vAlign w:val="center"/>
          </w:tcPr>
          <w:p w14:paraId="1A547BC7">
            <w:pPr>
              <w:pStyle w:val="9"/>
              <w:keepNext/>
              <w:ind w:left="63" w:right="63"/>
              <w:rPr>
                <w:rFonts w:hAnsi="宋体" w:cs="宋体"/>
                <w:color w:val="auto"/>
                <w:sz w:val="24"/>
                <w:szCs w:val="24"/>
                <w:highlight w:val="none"/>
                <w:lang w:val="en-US"/>
              </w:rPr>
            </w:pPr>
          </w:p>
        </w:tc>
        <w:tc>
          <w:tcPr>
            <w:tcW w:w="1022" w:type="dxa"/>
            <w:vAlign w:val="center"/>
          </w:tcPr>
          <w:p w14:paraId="6D343546">
            <w:pPr>
              <w:pStyle w:val="9"/>
              <w:keepNext/>
              <w:ind w:left="63" w:right="63"/>
              <w:rPr>
                <w:rFonts w:hAnsi="宋体" w:cs="宋体"/>
                <w:color w:val="auto"/>
                <w:sz w:val="24"/>
                <w:szCs w:val="24"/>
                <w:highlight w:val="none"/>
                <w:lang w:val="en-US"/>
              </w:rPr>
            </w:pPr>
          </w:p>
        </w:tc>
        <w:tc>
          <w:tcPr>
            <w:tcW w:w="1022" w:type="dxa"/>
            <w:vAlign w:val="center"/>
          </w:tcPr>
          <w:p w14:paraId="0DFBFB53">
            <w:pPr>
              <w:pStyle w:val="9"/>
              <w:keepNext/>
              <w:ind w:left="63" w:right="63"/>
              <w:rPr>
                <w:rFonts w:hAnsi="宋体" w:cs="宋体"/>
                <w:color w:val="auto"/>
                <w:sz w:val="24"/>
                <w:szCs w:val="24"/>
                <w:highlight w:val="none"/>
                <w:lang w:val="en-US"/>
              </w:rPr>
            </w:pPr>
          </w:p>
        </w:tc>
        <w:tc>
          <w:tcPr>
            <w:tcW w:w="3833" w:type="dxa"/>
            <w:vAlign w:val="center"/>
          </w:tcPr>
          <w:p w14:paraId="5E8DE7AC">
            <w:pPr>
              <w:pStyle w:val="9"/>
              <w:keepNext/>
              <w:ind w:left="63" w:right="63"/>
              <w:rPr>
                <w:rFonts w:hAnsi="宋体" w:cs="宋体"/>
                <w:color w:val="auto"/>
                <w:sz w:val="24"/>
                <w:szCs w:val="24"/>
                <w:highlight w:val="none"/>
                <w:lang w:val="en-US"/>
              </w:rPr>
            </w:pPr>
          </w:p>
        </w:tc>
      </w:tr>
      <w:tr w14:paraId="6FB66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1FEB646D">
            <w:pPr>
              <w:pStyle w:val="9"/>
              <w:keepNext/>
              <w:ind w:left="63" w:right="63"/>
              <w:rPr>
                <w:rFonts w:hAnsi="宋体" w:cs="宋体"/>
                <w:color w:val="auto"/>
                <w:sz w:val="24"/>
                <w:szCs w:val="24"/>
                <w:highlight w:val="none"/>
                <w:lang w:val="en-US"/>
              </w:rPr>
            </w:pPr>
          </w:p>
        </w:tc>
        <w:tc>
          <w:tcPr>
            <w:tcW w:w="1279" w:type="dxa"/>
            <w:tcBorders>
              <w:bottom w:val="single" w:color="auto" w:sz="12" w:space="0"/>
            </w:tcBorders>
            <w:vAlign w:val="center"/>
          </w:tcPr>
          <w:p w14:paraId="684D6242">
            <w:pPr>
              <w:pStyle w:val="9"/>
              <w:keepNext/>
              <w:ind w:left="63" w:right="63"/>
              <w:rPr>
                <w:rFonts w:hAnsi="宋体" w:cs="宋体"/>
                <w:color w:val="auto"/>
                <w:sz w:val="24"/>
                <w:szCs w:val="24"/>
                <w:highlight w:val="none"/>
                <w:lang w:val="en-US"/>
              </w:rPr>
            </w:pPr>
          </w:p>
        </w:tc>
        <w:tc>
          <w:tcPr>
            <w:tcW w:w="1022" w:type="dxa"/>
            <w:tcBorders>
              <w:bottom w:val="single" w:color="auto" w:sz="12" w:space="0"/>
            </w:tcBorders>
            <w:vAlign w:val="center"/>
          </w:tcPr>
          <w:p w14:paraId="20F53EE9">
            <w:pPr>
              <w:pStyle w:val="9"/>
              <w:keepNext/>
              <w:ind w:left="63" w:right="63"/>
              <w:rPr>
                <w:rFonts w:hAnsi="宋体" w:cs="宋体"/>
                <w:color w:val="auto"/>
                <w:sz w:val="24"/>
                <w:szCs w:val="24"/>
                <w:highlight w:val="none"/>
                <w:lang w:val="en-US"/>
              </w:rPr>
            </w:pPr>
          </w:p>
        </w:tc>
        <w:tc>
          <w:tcPr>
            <w:tcW w:w="1022" w:type="dxa"/>
            <w:tcBorders>
              <w:bottom w:val="single" w:color="auto" w:sz="12" w:space="0"/>
            </w:tcBorders>
            <w:vAlign w:val="center"/>
          </w:tcPr>
          <w:p w14:paraId="76D4B86A">
            <w:pPr>
              <w:pStyle w:val="9"/>
              <w:keepNext/>
              <w:ind w:left="63" w:right="63"/>
              <w:rPr>
                <w:rFonts w:hAnsi="宋体" w:cs="宋体"/>
                <w:color w:val="auto"/>
                <w:sz w:val="24"/>
                <w:szCs w:val="24"/>
                <w:highlight w:val="none"/>
                <w:lang w:val="en-US"/>
              </w:rPr>
            </w:pPr>
          </w:p>
        </w:tc>
        <w:tc>
          <w:tcPr>
            <w:tcW w:w="3833" w:type="dxa"/>
            <w:tcBorders>
              <w:bottom w:val="single" w:color="auto" w:sz="12" w:space="0"/>
            </w:tcBorders>
            <w:vAlign w:val="center"/>
          </w:tcPr>
          <w:p w14:paraId="0E520D7D">
            <w:pPr>
              <w:pStyle w:val="9"/>
              <w:keepNext/>
              <w:ind w:left="63" w:right="63"/>
              <w:rPr>
                <w:rFonts w:hAnsi="宋体" w:cs="宋体"/>
                <w:color w:val="auto"/>
                <w:sz w:val="24"/>
                <w:szCs w:val="24"/>
                <w:highlight w:val="none"/>
                <w:lang w:val="en-US"/>
              </w:rPr>
            </w:pPr>
          </w:p>
        </w:tc>
      </w:tr>
    </w:tbl>
    <w:p w14:paraId="1DA2CA18">
      <w:pPr>
        <w:ind w:firstLine="482"/>
        <w:rPr>
          <w:rFonts w:asciiTheme="minorEastAsia" w:hAnsiTheme="minorEastAsia" w:eastAsiaTheme="minorEastAsia" w:cstheme="minorEastAsia"/>
          <w:b/>
          <w:color w:val="auto"/>
          <w:sz w:val="24"/>
          <w:szCs w:val="24"/>
          <w:highlight w:val="none"/>
        </w:rPr>
      </w:pPr>
    </w:p>
    <w:p w14:paraId="419D1B0D">
      <w:pPr>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br w:type="page"/>
      </w:r>
    </w:p>
    <w:p w14:paraId="7897ADD4">
      <w:pPr>
        <w:numPr>
          <w:ilvl w:val="0"/>
          <w:numId w:val="0"/>
        </w:numPr>
        <w:spacing w:line="360" w:lineRule="auto"/>
        <w:ind w:leftChars="0"/>
        <w:jc w:val="center"/>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eastAsia="zh-CN"/>
        </w:rPr>
        <w:t>第六部分</w:t>
      </w:r>
      <w:r>
        <w:rPr>
          <w:rFonts w:hint="eastAsia" w:ascii="仿宋" w:hAnsi="仿宋" w:eastAsia="仿宋" w:cs="仿宋"/>
          <w:b/>
          <w:color w:val="auto"/>
          <w:sz w:val="36"/>
          <w:szCs w:val="20"/>
          <w:highlight w:val="none"/>
          <w:lang w:val="en-US" w:eastAsia="zh-CN"/>
        </w:rPr>
        <w:t xml:space="preserve">  工程量清单及图纸</w:t>
      </w:r>
    </w:p>
    <w:p w14:paraId="6B6A6EEC">
      <w:pPr>
        <w:pStyle w:val="32"/>
        <w:numPr>
          <w:ilvl w:val="0"/>
          <w:numId w:val="0"/>
        </w:numPr>
        <w:ind w:leftChars="0"/>
        <w:jc w:val="center"/>
        <w:rPr>
          <w:rFonts w:hint="eastAsia"/>
          <w:color w:val="auto"/>
          <w:sz w:val="30"/>
          <w:szCs w:val="30"/>
          <w:highlight w:val="none"/>
          <w:lang w:val="en-US" w:eastAsia="zh-CN"/>
        </w:rPr>
      </w:pPr>
    </w:p>
    <w:p w14:paraId="4095A07A">
      <w:pPr>
        <w:pStyle w:val="32"/>
        <w:numPr>
          <w:ilvl w:val="0"/>
          <w:numId w:val="0"/>
        </w:numPr>
        <w:ind w:leftChars="0"/>
        <w:jc w:val="center"/>
        <w:rPr>
          <w:rFonts w:hint="default"/>
          <w:color w:val="auto"/>
          <w:sz w:val="30"/>
          <w:szCs w:val="30"/>
          <w:highlight w:val="none"/>
          <w:lang w:val="en-US" w:eastAsia="zh-CN"/>
        </w:rPr>
      </w:pPr>
      <w:r>
        <w:rPr>
          <w:rFonts w:hint="eastAsia"/>
          <w:color w:val="auto"/>
          <w:sz w:val="30"/>
          <w:szCs w:val="30"/>
          <w:highlight w:val="none"/>
          <w:lang w:val="en-US" w:eastAsia="zh-CN"/>
        </w:rPr>
        <w:t>另册提供。</w:t>
      </w:r>
    </w:p>
    <w:p w14:paraId="3C1B8B82">
      <w:pPr>
        <w:spacing w:line="360" w:lineRule="auto"/>
        <w:ind w:left="720" w:firstLine="723" w:firstLineChars="200"/>
        <w:outlineLvl w:val="0"/>
        <w:rPr>
          <w:rFonts w:hint="eastAsia" w:ascii="仿宋" w:hAnsi="仿宋" w:eastAsia="仿宋" w:cs="仿宋"/>
          <w:b/>
          <w:color w:val="auto"/>
          <w:sz w:val="36"/>
          <w:szCs w:val="20"/>
          <w:highlight w:val="none"/>
        </w:rPr>
      </w:pPr>
    </w:p>
    <w:p w14:paraId="2DDBCED3">
      <w:pPr>
        <w:spacing w:line="360" w:lineRule="auto"/>
        <w:ind w:left="720" w:firstLine="723" w:firstLineChars="200"/>
        <w:outlineLvl w:val="0"/>
        <w:rPr>
          <w:rFonts w:hint="eastAsia" w:ascii="仿宋" w:hAnsi="仿宋" w:eastAsia="仿宋" w:cs="仿宋"/>
          <w:b/>
          <w:color w:val="auto"/>
          <w:sz w:val="36"/>
          <w:szCs w:val="20"/>
          <w:highlight w:val="none"/>
        </w:rPr>
      </w:pPr>
    </w:p>
    <w:p w14:paraId="6C6CB9D3">
      <w:pPr>
        <w:spacing w:line="360" w:lineRule="auto"/>
        <w:ind w:left="720" w:firstLine="723" w:firstLineChars="200"/>
        <w:outlineLvl w:val="0"/>
        <w:rPr>
          <w:rFonts w:hint="eastAsia" w:ascii="仿宋" w:hAnsi="仿宋" w:eastAsia="仿宋" w:cs="仿宋"/>
          <w:b/>
          <w:color w:val="auto"/>
          <w:sz w:val="36"/>
          <w:szCs w:val="20"/>
          <w:highlight w:val="none"/>
        </w:rPr>
      </w:pPr>
    </w:p>
    <w:p w14:paraId="1B52A92F">
      <w:pPr>
        <w:spacing w:line="360" w:lineRule="auto"/>
        <w:ind w:left="720" w:firstLine="723" w:firstLineChars="200"/>
        <w:outlineLvl w:val="0"/>
        <w:rPr>
          <w:rFonts w:hint="eastAsia" w:ascii="仿宋" w:hAnsi="仿宋" w:eastAsia="仿宋" w:cs="仿宋"/>
          <w:b/>
          <w:color w:val="auto"/>
          <w:sz w:val="36"/>
          <w:szCs w:val="20"/>
          <w:highlight w:val="none"/>
        </w:rPr>
      </w:pPr>
    </w:p>
    <w:p w14:paraId="0A3EF5C0">
      <w:pPr>
        <w:spacing w:line="360" w:lineRule="auto"/>
        <w:ind w:left="720" w:firstLine="723" w:firstLineChars="200"/>
        <w:outlineLvl w:val="0"/>
        <w:rPr>
          <w:rFonts w:hint="eastAsia" w:ascii="仿宋" w:hAnsi="仿宋" w:eastAsia="仿宋" w:cs="仿宋"/>
          <w:b/>
          <w:color w:val="auto"/>
          <w:sz w:val="36"/>
          <w:szCs w:val="20"/>
          <w:highlight w:val="none"/>
        </w:rPr>
      </w:pPr>
    </w:p>
    <w:p w14:paraId="30DED0DD">
      <w:pPr>
        <w:spacing w:line="360" w:lineRule="auto"/>
        <w:ind w:left="720" w:firstLine="723" w:firstLineChars="200"/>
        <w:outlineLvl w:val="0"/>
        <w:rPr>
          <w:rFonts w:hint="eastAsia" w:ascii="仿宋" w:hAnsi="仿宋" w:eastAsia="仿宋" w:cs="仿宋"/>
          <w:b/>
          <w:color w:val="auto"/>
          <w:sz w:val="36"/>
          <w:szCs w:val="20"/>
          <w:highlight w:val="none"/>
        </w:rPr>
      </w:pPr>
    </w:p>
    <w:p w14:paraId="3EC635B5">
      <w:pPr>
        <w:spacing w:line="360" w:lineRule="auto"/>
        <w:ind w:left="720" w:firstLine="723" w:firstLineChars="200"/>
        <w:outlineLvl w:val="0"/>
        <w:rPr>
          <w:rFonts w:hint="eastAsia" w:ascii="仿宋" w:hAnsi="仿宋" w:eastAsia="仿宋" w:cs="仿宋"/>
          <w:b/>
          <w:color w:val="auto"/>
          <w:sz w:val="36"/>
          <w:szCs w:val="20"/>
          <w:highlight w:val="none"/>
        </w:rPr>
      </w:pPr>
    </w:p>
    <w:p w14:paraId="367992F8">
      <w:pPr>
        <w:spacing w:line="360" w:lineRule="auto"/>
        <w:ind w:left="720" w:firstLine="723" w:firstLineChars="200"/>
        <w:outlineLvl w:val="0"/>
        <w:rPr>
          <w:rFonts w:hint="eastAsia" w:ascii="仿宋" w:hAnsi="仿宋" w:eastAsia="仿宋" w:cs="仿宋"/>
          <w:b/>
          <w:color w:val="auto"/>
          <w:sz w:val="36"/>
          <w:szCs w:val="20"/>
          <w:highlight w:val="none"/>
        </w:rPr>
      </w:pPr>
    </w:p>
    <w:p w14:paraId="7D534E47">
      <w:pPr>
        <w:spacing w:line="360" w:lineRule="auto"/>
        <w:ind w:left="720" w:firstLine="723" w:firstLineChars="200"/>
        <w:outlineLvl w:val="0"/>
        <w:rPr>
          <w:rFonts w:hint="eastAsia" w:ascii="仿宋" w:hAnsi="仿宋" w:eastAsia="仿宋" w:cs="仿宋"/>
          <w:b/>
          <w:color w:val="auto"/>
          <w:sz w:val="36"/>
          <w:szCs w:val="20"/>
          <w:highlight w:val="none"/>
        </w:rPr>
      </w:pPr>
    </w:p>
    <w:p w14:paraId="4CB0980E">
      <w:pPr>
        <w:spacing w:line="360" w:lineRule="auto"/>
        <w:ind w:left="720" w:firstLine="723" w:firstLineChars="200"/>
        <w:outlineLvl w:val="0"/>
        <w:rPr>
          <w:rFonts w:hint="eastAsia" w:ascii="仿宋" w:hAnsi="仿宋" w:eastAsia="仿宋" w:cs="仿宋"/>
          <w:b/>
          <w:color w:val="auto"/>
          <w:sz w:val="36"/>
          <w:szCs w:val="20"/>
          <w:highlight w:val="none"/>
        </w:rPr>
      </w:pPr>
    </w:p>
    <w:p w14:paraId="40019A4B">
      <w:pPr>
        <w:spacing w:line="360" w:lineRule="auto"/>
        <w:ind w:left="720" w:firstLine="723" w:firstLineChars="200"/>
        <w:outlineLvl w:val="0"/>
        <w:rPr>
          <w:rFonts w:hint="eastAsia" w:ascii="仿宋" w:hAnsi="仿宋" w:eastAsia="仿宋" w:cs="仿宋"/>
          <w:b/>
          <w:color w:val="auto"/>
          <w:sz w:val="36"/>
          <w:szCs w:val="20"/>
          <w:highlight w:val="none"/>
        </w:rPr>
      </w:pPr>
    </w:p>
    <w:p w14:paraId="7FDB2DF3">
      <w:pPr>
        <w:spacing w:line="360" w:lineRule="auto"/>
        <w:ind w:left="720" w:firstLine="723" w:firstLineChars="200"/>
        <w:outlineLvl w:val="0"/>
        <w:rPr>
          <w:rFonts w:hint="eastAsia" w:ascii="仿宋" w:hAnsi="仿宋" w:eastAsia="仿宋" w:cs="仿宋"/>
          <w:b/>
          <w:color w:val="auto"/>
          <w:sz w:val="36"/>
          <w:szCs w:val="20"/>
          <w:highlight w:val="none"/>
        </w:rPr>
      </w:pPr>
    </w:p>
    <w:p w14:paraId="4B1D5FC5">
      <w:pPr>
        <w:spacing w:line="360" w:lineRule="auto"/>
        <w:ind w:left="720" w:firstLine="723" w:firstLineChars="200"/>
        <w:outlineLvl w:val="0"/>
        <w:rPr>
          <w:rFonts w:hint="eastAsia" w:ascii="仿宋" w:hAnsi="仿宋" w:eastAsia="仿宋" w:cs="仿宋"/>
          <w:b/>
          <w:color w:val="auto"/>
          <w:sz w:val="36"/>
          <w:szCs w:val="20"/>
          <w:highlight w:val="none"/>
        </w:rPr>
      </w:pPr>
    </w:p>
    <w:p w14:paraId="47693C6D">
      <w:pPr>
        <w:spacing w:line="360" w:lineRule="auto"/>
        <w:ind w:left="720" w:firstLine="723" w:firstLineChars="200"/>
        <w:outlineLvl w:val="0"/>
        <w:rPr>
          <w:rFonts w:hint="eastAsia" w:ascii="仿宋" w:hAnsi="仿宋" w:eastAsia="仿宋" w:cs="仿宋"/>
          <w:b/>
          <w:color w:val="auto"/>
          <w:sz w:val="36"/>
          <w:szCs w:val="20"/>
          <w:highlight w:val="none"/>
        </w:rPr>
      </w:pPr>
    </w:p>
    <w:p w14:paraId="38E07D5D">
      <w:pPr>
        <w:spacing w:line="360" w:lineRule="auto"/>
        <w:ind w:left="720" w:firstLine="723" w:firstLineChars="200"/>
        <w:outlineLvl w:val="0"/>
        <w:rPr>
          <w:rFonts w:hint="eastAsia" w:ascii="仿宋" w:hAnsi="仿宋" w:eastAsia="仿宋" w:cs="仿宋"/>
          <w:b/>
          <w:color w:val="auto"/>
          <w:sz w:val="36"/>
          <w:szCs w:val="20"/>
          <w:highlight w:val="none"/>
        </w:rPr>
      </w:pPr>
    </w:p>
    <w:p w14:paraId="13210C52">
      <w:pPr>
        <w:spacing w:line="360" w:lineRule="auto"/>
        <w:ind w:left="720" w:firstLine="723" w:firstLineChars="200"/>
        <w:outlineLvl w:val="0"/>
        <w:rPr>
          <w:rFonts w:hint="eastAsia" w:ascii="仿宋" w:hAnsi="仿宋" w:eastAsia="仿宋" w:cs="仿宋"/>
          <w:b/>
          <w:color w:val="auto"/>
          <w:sz w:val="36"/>
          <w:szCs w:val="20"/>
          <w:highlight w:val="none"/>
        </w:rPr>
      </w:pPr>
    </w:p>
    <w:p w14:paraId="53E7491E">
      <w:pPr>
        <w:spacing w:line="360" w:lineRule="auto"/>
        <w:ind w:left="720" w:firstLine="723" w:firstLineChars="200"/>
        <w:outlineLvl w:val="0"/>
        <w:rPr>
          <w:rFonts w:hint="eastAsia" w:ascii="仿宋" w:hAnsi="仿宋" w:eastAsia="仿宋" w:cs="仿宋"/>
          <w:b/>
          <w:color w:val="auto"/>
          <w:sz w:val="36"/>
          <w:szCs w:val="20"/>
          <w:highlight w:val="none"/>
        </w:rPr>
      </w:pPr>
    </w:p>
    <w:p w14:paraId="198F61FF">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eastAsia="zh-CN"/>
        </w:rPr>
        <w:t>七部分</w:t>
      </w:r>
      <w:r>
        <w:rPr>
          <w:rFonts w:hint="eastAsia" w:ascii="仿宋" w:hAnsi="仿宋" w:eastAsia="仿宋" w:cs="仿宋"/>
          <w:b/>
          <w:color w:val="auto"/>
          <w:sz w:val="36"/>
          <w:szCs w:val="20"/>
          <w:highlight w:val="none"/>
        </w:rPr>
        <w:t xml:space="preserve">  技术标准和要求</w:t>
      </w:r>
    </w:p>
    <w:p w14:paraId="320DDB56">
      <w:pPr>
        <w:spacing w:line="360" w:lineRule="auto"/>
        <w:ind w:left="720" w:firstLine="723" w:firstLineChars="200"/>
        <w:outlineLvl w:val="0"/>
        <w:rPr>
          <w:rFonts w:hint="eastAsia" w:ascii="仿宋" w:hAnsi="仿宋" w:eastAsia="仿宋" w:cs="仿宋"/>
          <w:b/>
          <w:color w:val="auto"/>
          <w:sz w:val="36"/>
          <w:szCs w:val="20"/>
          <w:highlight w:val="none"/>
        </w:rPr>
      </w:pPr>
    </w:p>
    <w:p w14:paraId="4C40DA0D">
      <w:pPr>
        <w:keepNext w:val="0"/>
        <w:keepLines w:val="0"/>
        <w:pageBreakBefore w:val="0"/>
        <w:widowControl w:val="0"/>
        <w:wordWrap/>
        <w:topLinePunct w:val="0"/>
        <w:bidi w:val="0"/>
        <w:spacing w:line="36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技术标准和要求</w:t>
      </w:r>
      <w:r>
        <w:rPr>
          <w:rFonts w:hint="eastAsia" w:ascii="宋体" w:hAnsi="宋体" w:eastAsia="宋体" w:cs="宋体"/>
          <w:sz w:val="24"/>
          <w:szCs w:val="24"/>
          <w:highlight w:val="none"/>
          <w:lang w:val="en-US" w:eastAsia="zh-CN"/>
        </w:rPr>
        <w:t>按</w:t>
      </w:r>
      <w:r>
        <w:rPr>
          <w:rFonts w:ascii="宋体" w:hAnsi="宋体" w:eastAsia="宋体" w:cs="宋体"/>
          <w:sz w:val="24"/>
          <w:szCs w:val="24"/>
          <w:highlight w:val="none"/>
        </w:rPr>
        <w:t>《房屋建筑和市政工程标准施工招标文件》（2010年版）部第七章“技术标准和要求”</w:t>
      </w:r>
      <w:r>
        <w:rPr>
          <w:rFonts w:hint="eastAsia" w:ascii="宋体" w:hAnsi="宋体" w:eastAsia="宋体" w:cs="宋体"/>
          <w:sz w:val="24"/>
          <w:szCs w:val="24"/>
          <w:highlight w:val="none"/>
          <w:lang w:eastAsia="zh-CN"/>
        </w:rPr>
        <w:t>。</w:t>
      </w:r>
    </w:p>
    <w:p w14:paraId="13DC5DF3">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0C104AEC">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42549B5D">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1CCE83D5">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6F2979DB">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123BA3DB">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242038A5">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55C66A76">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398E52B8">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6ADB943F">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2335B3FA">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2FD7C704">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55C322B4">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6266A83D">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29F60827">
      <w:pPr>
        <w:spacing w:line="360" w:lineRule="auto"/>
        <w:ind w:left="720" w:firstLine="803" w:firstLineChars="200"/>
        <w:outlineLvl w:val="0"/>
        <w:rPr>
          <w:rFonts w:hint="eastAsia" w:asciiTheme="minorEastAsia" w:hAnsiTheme="minorEastAsia" w:eastAsiaTheme="minorEastAsia" w:cstheme="minorEastAsia"/>
          <w:b/>
          <w:color w:val="auto"/>
          <w:sz w:val="40"/>
          <w:szCs w:val="21"/>
          <w:highlight w:val="none"/>
        </w:rPr>
      </w:pPr>
    </w:p>
    <w:p w14:paraId="20513C8C">
      <w:pPr>
        <w:spacing w:line="360" w:lineRule="auto"/>
        <w:ind w:left="720" w:firstLine="803" w:firstLineChars="200"/>
        <w:outlineLvl w:val="0"/>
        <w:rPr>
          <w:rFonts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第</w:t>
      </w:r>
      <w:r>
        <w:rPr>
          <w:rFonts w:hint="eastAsia" w:asciiTheme="minorEastAsia" w:hAnsiTheme="minorEastAsia" w:eastAsiaTheme="minorEastAsia" w:cstheme="minorEastAsia"/>
          <w:b/>
          <w:color w:val="auto"/>
          <w:sz w:val="40"/>
          <w:szCs w:val="21"/>
          <w:highlight w:val="none"/>
          <w:lang w:val="en-US" w:eastAsia="zh-CN"/>
        </w:rPr>
        <w:t>八</w:t>
      </w:r>
      <w:r>
        <w:rPr>
          <w:rFonts w:hint="eastAsia" w:asciiTheme="minorEastAsia" w:hAnsiTheme="minorEastAsia" w:eastAsiaTheme="minorEastAsia" w:cstheme="minorEastAsia"/>
          <w:b/>
          <w:color w:val="auto"/>
          <w:sz w:val="40"/>
          <w:szCs w:val="21"/>
          <w:highlight w:val="none"/>
        </w:rPr>
        <w:t>部分</w:t>
      </w:r>
      <w:bookmarkEnd w:id="393"/>
      <w:r>
        <w:rPr>
          <w:rFonts w:hint="eastAsia" w:asciiTheme="minorEastAsia" w:hAnsiTheme="minorEastAsia" w:eastAsiaTheme="minorEastAsia" w:cstheme="minorEastAsia"/>
          <w:b/>
          <w:color w:val="auto"/>
          <w:sz w:val="40"/>
          <w:szCs w:val="21"/>
          <w:highlight w:val="none"/>
        </w:rPr>
        <w:t xml:space="preserve"> </w:t>
      </w:r>
      <w:bookmarkEnd w:id="394"/>
      <w:r>
        <w:rPr>
          <w:rFonts w:hint="eastAsia" w:asciiTheme="minorEastAsia" w:hAnsiTheme="minorEastAsia" w:eastAsiaTheme="minorEastAsia" w:cstheme="minorEastAsia"/>
          <w:b/>
          <w:color w:val="auto"/>
          <w:sz w:val="40"/>
          <w:szCs w:val="21"/>
          <w:highlight w:val="none"/>
        </w:rPr>
        <w:t>应提交的有关格式范例</w:t>
      </w:r>
    </w:p>
    <w:p w14:paraId="2FBFC739">
      <w:pPr>
        <w:spacing w:line="360" w:lineRule="auto"/>
        <w:jc w:val="center"/>
        <w:outlineLvl w:val="0"/>
        <w:rPr>
          <w:rFonts w:asciiTheme="minorEastAsia" w:hAnsiTheme="minorEastAsia" w:eastAsiaTheme="minorEastAsia" w:cstheme="minorEastAsia"/>
          <w:b/>
          <w:color w:val="auto"/>
          <w:kern w:val="0"/>
          <w:sz w:val="40"/>
          <w:szCs w:val="40"/>
          <w:highlight w:val="none"/>
        </w:rPr>
      </w:pPr>
    </w:p>
    <w:p w14:paraId="7E47EF92">
      <w:pPr>
        <w:spacing w:line="360" w:lineRule="auto"/>
        <w:jc w:val="center"/>
        <w:outlineLvl w:val="0"/>
        <w:rPr>
          <w:rFonts w:asciiTheme="minorEastAsia" w:hAnsiTheme="minorEastAsia" w:eastAsiaTheme="minorEastAsia" w:cstheme="minorEastAsia"/>
          <w:b/>
          <w:color w:val="auto"/>
          <w:kern w:val="0"/>
          <w:sz w:val="40"/>
          <w:szCs w:val="40"/>
          <w:highlight w:val="none"/>
        </w:rPr>
      </w:pPr>
      <w:r>
        <w:rPr>
          <w:rFonts w:hint="eastAsia" w:asciiTheme="minorEastAsia" w:hAnsiTheme="minorEastAsia" w:eastAsiaTheme="minorEastAsia" w:cstheme="minorEastAsia"/>
          <w:b/>
          <w:color w:val="auto"/>
          <w:kern w:val="0"/>
          <w:sz w:val="40"/>
          <w:szCs w:val="40"/>
          <w:highlight w:val="none"/>
        </w:rPr>
        <w:t>资格文件部分</w:t>
      </w:r>
    </w:p>
    <w:p w14:paraId="66599F05">
      <w:pPr>
        <w:spacing w:line="360" w:lineRule="auto"/>
        <w:jc w:val="center"/>
        <w:outlineLvl w:val="0"/>
        <w:rPr>
          <w:rFonts w:asciiTheme="minorEastAsia" w:hAnsiTheme="minorEastAsia" w:eastAsiaTheme="minorEastAsia" w:cstheme="minorEastAsia"/>
          <w:b/>
          <w:color w:val="auto"/>
          <w:kern w:val="0"/>
          <w:sz w:val="40"/>
          <w:szCs w:val="40"/>
          <w:highlight w:val="none"/>
        </w:rPr>
      </w:pPr>
      <w:r>
        <w:rPr>
          <w:rFonts w:hint="eastAsia" w:asciiTheme="minorEastAsia" w:hAnsiTheme="minorEastAsia" w:eastAsiaTheme="minorEastAsia" w:cstheme="minorEastAsia"/>
          <w:b/>
          <w:color w:val="auto"/>
          <w:kern w:val="0"/>
          <w:sz w:val="40"/>
          <w:szCs w:val="40"/>
          <w:highlight w:val="none"/>
        </w:rPr>
        <w:t>目录</w:t>
      </w:r>
    </w:p>
    <w:p w14:paraId="190CDD02">
      <w:pPr>
        <w:spacing w:line="360" w:lineRule="auto"/>
        <w:jc w:val="center"/>
        <w:outlineLvl w:val="0"/>
        <w:rPr>
          <w:rFonts w:asciiTheme="minorEastAsia" w:hAnsiTheme="minorEastAsia" w:eastAsiaTheme="minorEastAsia" w:cstheme="minorEastAsia"/>
          <w:b/>
          <w:color w:val="auto"/>
          <w:kern w:val="0"/>
          <w:sz w:val="32"/>
          <w:szCs w:val="32"/>
          <w:highlight w:val="none"/>
        </w:rPr>
      </w:pPr>
    </w:p>
    <w:p w14:paraId="30DA832F">
      <w:pPr>
        <w:adjustRightInd w:val="0"/>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有效的企业法人营业执照（或事业法人登记证）、其他组织（个体工商户）的营业执照或者民办非企业单位登记证书；</w:t>
      </w:r>
    </w:p>
    <w:p w14:paraId="17A45DBC">
      <w:pPr>
        <w:adjustRightInd w:val="0"/>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符合参加政府采购活动应当具备的一般条件的承诺函；</w:t>
      </w:r>
    </w:p>
    <w:p w14:paraId="73CDB46D">
      <w:pPr>
        <w:adjustRightInd w:val="0"/>
        <w:snapToGrid w:val="0"/>
        <w:spacing w:line="360" w:lineRule="auto"/>
        <w:ind w:left="420" w:leftChars="2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本项目的特定资格要求。</w:t>
      </w:r>
    </w:p>
    <w:p w14:paraId="35378DD4">
      <w:pPr>
        <w:adjustRightInd w:val="0"/>
        <w:snapToGrid w:val="0"/>
        <w:spacing w:line="360" w:lineRule="auto"/>
        <w:ind w:left="420" w:leftChars="200"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 其他资料</w:t>
      </w:r>
    </w:p>
    <w:p w14:paraId="4D766C6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E28C818">
      <w:pPr>
        <w:numPr>
          <w:ilvl w:val="0"/>
          <w:numId w:val="0"/>
        </w:numPr>
        <w:snapToGrid w:val="0"/>
        <w:spacing w:line="360" w:lineRule="auto"/>
        <w:ind w:left="148" w:leftChars="0" w:right="480" w:rightChars="0"/>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val="en-US" w:eastAsia="zh-CN"/>
        </w:rPr>
        <w:t>一、</w:t>
      </w:r>
      <w:r>
        <w:rPr>
          <w:rFonts w:hint="eastAsia" w:asciiTheme="minorEastAsia" w:hAnsiTheme="minorEastAsia" w:eastAsiaTheme="minorEastAsia" w:cstheme="minorEastAsia"/>
          <w:b/>
          <w:color w:val="auto"/>
          <w:kern w:val="0"/>
          <w:sz w:val="28"/>
          <w:szCs w:val="28"/>
          <w:highlight w:val="none"/>
        </w:rPr>
        <w:t>有效的企业法人营业执照（或事业法人登记证）、其他组织（个体工商户）的营业执照或者民办非企业单位登记证书</w:t>
      </w:r>
    </w:p>
    <w:p w14:paraId="2BA54FB2">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64DBBCA">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4320A739">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2B5BBC4E">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608C9ECE">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238DDC69">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FF9DFEB">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BB4D92F">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72611E1">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419612AD">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5ACF775D">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9C34371">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1788E664">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508D5846">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0567A148">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6F5180D8">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3790E0FF">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6BB25242">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2A19EFEF">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66028370">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FACF129">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5A43D6D">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6CA7F4D8">
      <w:pPr>
        <w:widowControl w:val="0"/>
        <w:numPr>
          <w:ilvl w:val="0"/>
          <w:numId w:val="0"/>
        </w:numPr>
        <w:snapToGrid w:val="0"/>
        <w:spacing w:line="360" w:lineRule="auto"/>
        <w:ind w:right="480" w:rightChars="0"/>
        <w:jc w:val="center"/>
        <w:rPr>
          <w:rFonts w:hint="eastAsia" w:asciiTheme="minorEastAsia" w:hAnsiTheme="minorEastAsia" w:eastAsiaTheme="minorEastAsia" w:cstheme="minorEastAsia"/>
          <w:b/>
          <w:color w:val="auto"/>
          <w:kern w:val="0"/>
          <w:sz w:val="28"/>
          <w:szCs w:val="28"/>
          <w:highlight w:val="none"/>
        </w:rPr>
      </w:pPr>
    </w:p>
    <w:p w14:paraId="7D35A320">
      <w:pPr>
        <w:snapToGrid w:val="0"/>
        <w:spacing w:line="360" w:lineRule="auto"/>
        <w:ind w:right="480"/>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val="en-US" w:eastAsia="zh-CN"/>
        </w:rPr>
        <w:t>二、</w:t>
      </w:r>
      <w:r>
        <w:rPr>
          <w:rFonts w:hint="eastAsia" w:asciiTheme="minorEastAsia" w:hAnsiTheme="minorEastAsia" w:eastAsiaTheme="minorEastAsia" w:cstheme="minorEastAsia"/>
          <w:b/>
          <w:color w:val="auto"/>
          <w:kern w:val="0"/>
          <w:sz w:val="28"/>
          <w:szCs w:val="28"/>
          <w:highlight w:val="none"/>
        </w:rPr>
        <w:t>符合参加政府采购活动应当具备的一般条件的承诺函</w:t>
      </w:r>
    </w:p>
    <w:p w14:paraId="3661004A">
      <w:pPr>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r>
        <w:rPr>
          <w:rFonts w:hint="eastAsia" w:asciiTheme="minorEastAsia" w:hAnsiTheme="minorEastAsia" w:eastAsiaTheme="minorEastAsia" w:cstheme="minorEastAsia"/>
          <w:color w:val="auto"/>
          <w:sz w:val="24"/>
          <w:szCs w:val="24"/>
          <w:highlight w:val="none"/>
        </w:rPr>
        <w:t>：</w:t>
      </w:r>
    </w:p>
    <w:p w14:paraId="3287E64C">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我方参与</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lang w:eastAsia="zh-CN"/>
        </w:rPr>
        <w:t>项目编号：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政府采购活动，郑重承诺：</w:t>
      </w:r>
    </w:p>
    <w:p w14:paraId="32CEE923">
      <w:pPr>
        <w:snapToGrid w:val="0"/>
        <w:spacing w:line="360" w:lineRule="auto"/>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（一）具备《中华人民共和国政府采购法》第二十二条第一款规定的条件：</w:t>
      </w:r>
    </w:p>
    <w:p w14:paraId="48ABB937">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具有独立承担民事责任的能力；</w:t>
      </w:r>
    </w:p>
    <w:p w14:paraId="28AE3CD9">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具有良好的商业信誉和健全的财务会计制度； </w:t>
      </w:r>
    </w:p>
    <w:p w14:paraId="41B944FD">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具有履行合同所必需的设备和专业技术能力；</w:t>
      </w:r>
    </w:p>
    <w:p w14:paraId="32F929F8">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有依法缴纳税收和社会保障资金的良好记录；</w:t>
      </w:r>
    </w:p>
    <w:p w14:paraId="1844787B">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参加政府采购活动前三年内，在经营活动中没有重大违法记录；</w:t>
      </w:r>
    </w:p>
    <w:p w14:paraId="0A7A89AF">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具有法律、行政法规规定的其他条件。</w:t>
      </w:r>
    </w:p>
    <w:p w14:paraId="7FB1D101">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（二）未被信用中国（www.creditchina.gov.cn)、中国政府采购网（www.ccgp.gov.cn）列入失信被执行人、重大税收违法失信主体、政府采购严重违法失信行为记录名单。</w:t>
      </w:r>
    </w:p>
    <w:p w14:paraId="27DED1A4">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（三）不存在以下情况：</w:t>
      </w:r>
    </w:p>
    <w:p w14:paraId="02B92318">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单位负责人为同一人或者存在直接控股、管理关系的不同供应商参加同一合同项下的政府采购活动的；</w:t>
      </w:r>
    </w:p>
    <w:p w14:paraId="751AC361">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为采购项目提供整体设计、规范编制或者项目管理、监理、检测等服务后再参加该采购项目的其他采购活动的。</w:t>
      </w:r>
    </w:p>
    <w:p w14:paraId="42ECB126">
      <w:pPr>
        <w:snapToGrid w:val="0"/>
        <w:spacing w:line="360" w:lineRule="auto"/>
        <w:ind w:firstLine="5520" w:firstLineChars="2300"/>
        <w:rPr>
          <w:rFonts w:asciiTheme="minorEastAsia" w:hAnsiTheme="minorEastAsia" w:eastAsiaTheme="minorEastAsia" w:cstheme="minorEastAsia"/>
          <w:color w:val="auto"/>
          <w:kern w:val="0"/>
          <w:sz w:val="24"/>
          <w:szCs w:val="24"/>
          <w:highlight w:val="none"/>
          <w:lang w:val="zh-CN"/>
        </w:rPr>
      </w:pPr>
    </w:p>
    <w:p w14:paraId="403E35E6">
      <w:pPr>
        <w:snapToGrid w:val="0"/>
        <w:spacing w:line="360" w:lineRule="auto"/>
        <w:ind w:firstLine="5520" w:firstLineChars="2300"/>
        <w:rPr>
          <w:rFonts w:asciiTheme="minorEastAsia" w:hAnsiTheme="minorEastAsia" w:eastAsiaTheme="minorEastAsia" w:cstheme="minorEastAsia"/>
          <w:color w:val="auto"/>
          <w:kern w:val="0"/>
          <w:sz w:val="24"/>
          <w:szCs w:val="24"/>
          <w:highlight w:val="none"/>
          <w:lang w:val="zh-CN"/>
        </w:rPr>
      </w:pPr>
    </w:p>
    <w:p w14:paraId="6F4978E9">
      <w:pPr>
        <w:spacing w:line="360" w:lineRule="auto"/>
        <w:ind w:right="420" w:firstLine="5250" w:firstLineChars="2500"/>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法定代表人（签名或印章）：     </w:t>
      </w:r>
    </w:p>
    <w:p w14:paraId="2659AD7E">
      <w:pPr>
        <w:spacing w:line="360" w:lineRule="auto"/>
        <w:ind w:right="420" w:firstLine="5460" w:firstLineChars="2600"/>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供应商（盖章）：   </w:t>
      </w:r>
    </w:p>
    <w:p w14:paraId="73C30515">
      <w:pPr>
        <w:spacing w:line="360" w:lineRule="auto"/>
        <w:ind w:right="420" w:firstLine="5355" w:firstLineChars="2550"/>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 年    月    日</w:t>
      </w:r>
    </w:p>
    <w:p w14:paraId="05231C1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E1291C4">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00C3A340">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三、本项目的特定资格要求</w:t>
      </w:r>
    </w:p>
    <w:p w14:paraId="4B6A14A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（根据竞争性磋商公告本项目的特定资格要求提供相应的材料）</w:t>
      </w:r>
    </w:p>
    <w:p w14:paraId="0C7BBCEB">
      <w:pPr>
        <w:rPr>
          <w:rFonts w:asciiTheme="minorEastAsia" w:hAnsiTheme="minorEastAsia" w:eastAsiaTheme="minorEastAsia" w:cstheme="minorEastAsia"/>
          <w:color w:val="auto"/>
          <w:sz w:val="22"/>
          <w:szCs w:val="28"/>
          <w:highlight w:val="none"/>
        </w:rPr>
      </w:pPr>
      <w:r>
        <w:rPr>
          <w:color w:val="auto"/>
          <w:highlight w:val="none"/>
        </w:rPr>
        <w:br w:type="page"/>
      </w:r>
    </w:p>
    <w:p w14:paraId="7AA53EAC">
      <w:pPr>
        <w:spacing w:line="360" w:lineRule="auto"/>
        <w:jc w:val="center"/>
        <w:rPr>
          <w:rFonts w:hint="default" w:asciiTheme="minorEastAsia" w:hAnsiTheme="minorEastAsia" w:eastAsiaTheme="minorEastAsia" w:cstheme="minorEastAsia"/>
          <w:b/>
          <w:color w:val="auto"/>
          <w:kern w:val="0"/>
          <w:sz w:val="32"/>
          <w:szCs w:val="32"/>
          <w:highlight w:val="none"/>
          <w:lang w:val="en-US" w:eastAsia="zh-CN"/>
        </w:rPr>
      </w:pP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en-US" w:eastAsia="zh-CN"/>
        </w:rPr>
        <w:t>其他资料（如有）</w:t>
      </w:r>
    </w:p>
    <w:p w14:paraId="4D63584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（根据本项目的要求提供相应的材料；未要求的，无需提供）</w:t>
      </w:r>
    </w:p>
    <w:p w14:paraId="233BA806">
      <w:pPr>
        <w:rPr>
          <w:rFonts w:asciiTheme="minorEastAsia" w:hAnsiTheme="minorEastAsia" w:eastAsiaTheme="minorEastAsia" w:cstheme="minorEastAsia"/>
          <w:b/>
          <w:color w:val="auto"/>
          <w:kern w:val="0"/>
          <w:sz w:val="40"/>
          <w:szCs w:val="40"/>
          <w:highlight w:val="none"/>
        </w:rPr>
      </w:pPr>
      <w:r>
        <w:rPr>
          <w:color w:val="auto"/>
          <w:highlight w:val="none"/>
        </w:rPr>
        <w:br w:type="page"/>
      </w:r>
    </w:p>
    <w:p w14:paraId="29DDBF54">
      <w:pPr>
        <w:spacing w:line="360" w:lineRule="auto"/>
        <w:ind w:right="420"/>
        <w:jc w:val="center"/>
        <w:rPr>
          <w:rFonts w:asciiTheme="minorEastAsia" w:hAnsiTheme="minorEastAsia" w:eastAsiaTheme="minorEastAsia" w:cstheme="minorEastAsia"/>
          <w:b/>
          <w:color w:val="auto"/>
          <w:kern w:val="0"/>
          <w:sz w:val="40"/>
          <w:szCs w:val="40"/>
          <w:highlight w:val="none"/>
        </w:rPr>
      </w:pPr>
      <w:r>
        <w:rPr>
          <w:rFonts w:hint="eastAsia" w:asciiTheme="minorEastAsia" w:hAnsiTheme="minorEastAsia" w:eastAsiaTheme="minorEastAsia" w:cstheme="minorEastAsia"/>
          <w:b/>
          <w:color w:val="auto"/>
          <w:kern w:val="0"/>
          <w:sz w:val="40"/>
          <w:szCs w:val="40"/>
          <w:highlight w:val="none"/>
        </w:rPr>
        <w:t>商务技术文件部分</w:t>
      </w:r>
    </w:p>
    <w:p w14:paraId="671FB743">
      <w:pPr>
        <w:spacing w:line="360" w:lineRule="auto"/>
        <w:jc w:val="center"/>
        <w:outlineLvl w:val="0"/>
        <w:rPr>
          <w:rFonts w:asciiTheme="minorEastAsia" w:hAnsiTheme="minorEastAsia" w:eastAsiaTheme="minorEastAsia" w:cstheme="minorEastAsia"/>
          <w:b/>
          <w:color w:val="auto"/>
          <w:kern w:val="0"/>
          <w:sz w:val="28"/>
          <w:szCs w:val="28"/>
          <w:highlight w:val="none"/>
        </w:rPr>
      </w:pPr>
    </w:p>
    <w:p w14:paraId="3561CA97">
      <w:pPr>
        <w:spacing w:line="360" w:lineRule="auto"/>
        <w:ind w:left="3990" w:leftChars="1900"/>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 录</w:t>
      </w:r>
    </w:p>
    <w:p w14:paraId="4A62126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p>
    <w:p w14:paraId="2AC80423">
      <w:pPr>
        <w:adjustRightInd w:val="0"/>
        <w:snapToGrid w:val="0"/>
        <w:spacing w:line="360" w:lineRule="auto"/>
        <w:ind w:firstLine="720" w:firstLineChars="3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val="en-US" w:eastAsia="zh-CN"/>
        </w:rPr>
        <w:t>评分索引表；</w:t>
      </w:r>
    </w:p>
    <w:p w14:paraId="666A9AE9">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符合性自查表；</w:t>
      </w:r>
    </w:p>
    <w:p w14:paraId="5B0A03A6">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磋商函；</w:t>
      </w:r>
      <w:r>
        <w:rPr>
          <w:rFonts w:hint="eastAsia" w:asciiTheme="minorEastAsia" w:hAnsiTheme="minorEastAsia" w:eastAsiaTheme="minorEastAsia" w:cstheme="minorEastAsia"/>
          <w:color w:val="auto"/>
          <w:sz w:val="24"/>
          <w:szCs w:val="24"/>
          <w:highlight w:val="none"/>
          <w:lang w:val="zh-CN"/>
        </w:rPr>
        <w:t xml:space="preserve"> </w:t>
      </w:r>
    </w:p>
    <w:p w14:paraId="3B9F22FC">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授权委托书；</w:t>
      </w:r>
    </w:p>
    <w:p w14:paraId="2A1644DA">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供应商基本情况表</w:t>
      </w:r>
      <w:r>
        <w:rPr>
          <w:rFonts w:hint="eastAsia" w:asciiTheme="minorEastAsia" w:hAnsiTheme="minorEastAsia" w:eastAsiaTheme="minorEastAsia" w:cstheme="minorEastAsia"/>
          <w:color w:val="auto"/>
          <w:sz w:val="24"/>
          <w:szCs w:val="24"/>
          <w:highlight w:val="none"/>
        </w:rPr>
        <w:t>；</w:t>
      </w:r>
    </w:p>
    <w:p w14:paraId="47C8A138">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 距采购人最近或者能为本项目提供最优服务的网点情况表；</w:t>
      </w:r>
    </w:p>
    <w:p w14:paraId="04496D92">
      <w:pPr>
        <w:adjustRightInd w:val="0"/>
        <w:snapToGrid w:val="0"/>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 评审标准相应的商务技术资料；</w:t>
      </w:r>
    </w:p>
    <w:p w14:paraId="6E962AFF">
      <w:pPr>
        <w:adjustRightInd w:val="0"/>
        <w:snapToGrid w:val="0"/>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xml:space="preserve"> 商务</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表；</w:t>
      </w:r>
    </w:p>
    <w:p w14:paraId="222BC950">
      <w:pPr>
        <w:adjustRightInd w:val="0"/>
        <w:snapToGrid w:val="0"/>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 xml:space="preserve"> 技术</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表；</w:t>
      </w:r>
    </w:p>
    <w:p w14:paraId="44D7B855">
      <w:pPr>
        <w:adjustRightInd w:val="0"/>
        <w:snapToGrid w:val="0"/>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 xml:space="preserve"> 主要材料（设备）品牌响应表</w:t>
      </w:r>
    </w:p>
    <w:p w14:paraId="1578EE32">
      <w:pPr>
        <w:adjustRightInd w:val="0"/>
        <w:snapToGrid w:val="0"/>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同类业绩情况一览表；</w:t>
      </w:r>
    </w:p>
    <w:p w14:paraId="7D907A58">
      <w:pPr>
        <w:adjustRightInd w:val="0"/>
        <w:snapToGrid w:val="0"/>
        <w:spacing w:line="360" w:lineRule="auto"/>
        <w:ind w:firstLine="720" w:firstLineChars="3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政府采购供应商廉洁自律承诺书；</w:t>
      </w:r>
    </w:p>
    <w:p w14:paraId="300F6FFB">
      <w:pPr>
        <w:adjustRightInd w:val="0"/>
        <w:snapToGrid w:val="0"/>
        <w:spacing w:line="360" w:lineRule="auto"/>
        <w:ind w:firstLine="72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其他资料</w:t>
      </w:r>
      <w:r>
        <w:rPr>
          <w:rFonts w:hint="eastAsia" w:asciiTheme="minorEastAsia" w:hAnsiTheme="minorEastAsia" w:eastAsiaTheme="minorEastAsia" w:cstheme="minorEastAsia"/>
          <w:color w:val="auto"/>
          <w:sz w:val="28"/>
          <w:szCs w:val="28"/>
          <w:highlight w:val="none"/>
        </w:rPr>
        <w:t>。</w:t>
      </w:r>
    </w:p>
    <w:p w14:paraId="16543FFF">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szCs w:val="24"/>
          <w:highlight w:val="none"/>
        </w:rPr>
        <w:br w:type="page"/>
      </w:r>
    </w:p>
    <w:p w14:paraId="10DBD7D9">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t>一、评分索引表</w:t>
      </w:r>
    </w:p>
    <w:p w14:paraId="7C80C964">
      <w:pPr>
        <w:keepNext w:val="0"/>
        <w:keepLines w:val="0"/>
        <w:pageBreakBefore w:val="0"/>
        <w:widowControl w:val="0"/>
        <w:kinsoku/>
        <w:wordWrap/>
        <w:overflowPunct/>
        <w:topLinePunct w:val="0"/>
        <w:bidi w:val="0"/>
        <w:snapToGrid w:val="0"/>
        <w:spacing w:before="50" w:after="50" w:line="360" w:lineRule="auto"/>
        <w:textAlignment w:val="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投标单位名称：</w:t>
      </w:r>
    </w:p>
    <w:tbl>
      <w:tblPr>
        <w:tblStyle w:val="25"/>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5913"/>
        <w:gridCol w:w="1276"/>
        <w:gridCol w:w="1018"/>
      </w:tblGrid>
      <w:tr w14:paraId="3316D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7B1992A">
            <w:pPr>
              <w:pStyle w:val="19"/>
              <w:keepNext w:val="0"/>
              <w:keepLines w:val="0"/>
              <w:pageBreakBefore w:val="0"/>
              <w:widowControl w:val="0"/>
              <w:kinsoku/>
              <w:wordWrap/>
              <w:overflowPunct/>
              <w:topLinePunct w:val="0"/>
              <w:bidi w:val="0"/>
              <w:spacing w:after="0"/>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913" w:type="dxa"/>
            <w:tcBorders>
              <w:top w:val="single" w:color="auto" w:sz="4" w:space="0"/>
              <w:left w:val="single" w:color="auto" w:sz="4" w:space="0"/>
              <w:bottom w:val="single" w:color="auto" w:sz="4" w:space="0"/>
              <w:right w:val="single" w:color="auto" w:sz="4" w:space="0"/>
            </w:tcBorders>
            <w:noWrap w:val="0"/>
            <w:vAlign w:val="center"/>
          </w:tcPr>
          <w:p w14:paraId="28CACC4B">
            <w:pPr>
              <w:pStyle w:val="19"/>
              <w:keepNext w:val="0"/>
              <w:keepLines w:val="0"/>
              <w:pageBreakBefore w:val="0"/>
              <w:widowControl w:val="0"/>
              <w:kinsoku/>
              <w:wordWrap/>
              <w:overflowPunct/>
              <w:topLinePunct w:val="0"/>
              <w:bidi w:val="0"/>
              <w:spacing w:after="0"/>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009C77">
            <w:pPr>
              <w:pStyle w:val="19"/>
              <w:keepNext w:val="0"/>
              <w:keepLines w:val="0"/>
              <w:pageBreakBefore w:val="0"/>
              <w:widowControl w:val="0"/>
              <w:kinsoku/>
              <w:wordWrap/>
              <w:overflowPunct/>
              <w:topLinePunct w:val="0"/>
              <w:bidi w:val="0"/>
              <w:spacing w:after="0"/>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页码</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01790D8">
            <w:pPr>
              <w:pStyle w:val="19"/>
              <w:keepNext w:val="0"/>
              <w:keepLines w:val="0"/>
              <w:pageBreakBefore w:val="0"/>
              <w:widowControl w:val="0"/>
              <w:kinsoku/>
              <w:wordWrap/>
              <w:overflowPunct/>
              <w:topLinePunct w:val="0"/>
              <w:bidi w:val="0"/>
              <w:spacing w:after="0"/>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自评分</w:t>
            </w:r>
          </w:p>
        </w:tc>
      </w:tr>
      <w:tr w14:paraId="03662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53FB199">
            <w:pPr>
              <w:keepNext w:val="0"/>
              <w:keepLines w:val="0"/>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13" w:type="dxa"/>
            <w:tcBorders>
              <w:top w:val="single" w:color="auto" w:sz="4" w:space="0"/>
              <w:left w:val="single" w:color="auto" w:sz="4" w:space="0"/>
              <w:right w:val="single" w:color="auto" w:sz="4" w:space="0"/>
            </w:tcBorders>
            <w:noWrap w:val="0"/>
            <w:vAlign w:val="center"/>
          </w:tcPr>
          <w:p w14:paraId="5EF8DCA7">
            <w:pPr>
              <w:keepNext w:val="0"/>
              <w:keepLines w:val="0"/>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（报价除外）</w:t>
            </w:r>
          </w:p>
        </w:tc>
        <w:tc>
          <w:tcPr>
            <w:tcW w:w="1276" w:type="dxa"/>
            <w:tcBorders>
              <w:top w:val="single" w:color="auto" w:sz="4" w:space="0"/>
              <w:left w:val="single" w:color="auto" w:sz="4" w:space="0"/>
              <w:right w:val="single" w:color="auto" w:sz="4" w:space="0"/>
            </w:tcBorders>
            <w:noWrap w:val="0"/>
            <w:vAlign w:val="center"/>
          </w:tcPr>
          <w:p w14:paraId="48E6D1FC">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right w:val="single" w:color="auto" w:sz="4" w:space="0"/>
            </w:tcBorders>
            <w:noWrap w:val="0"/>
            <w:vAlign w:val="top"/>
          </w:tcPr>
          <w:p w14:paraId="22430F51">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r w14:paraId="1A9F0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245FFEF">
            <w:pPr>
              <w:keepNext w:val="0"/>
              <w:keepLines w:val="0"/>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913" w:type="dxa"/>
            <w:tcBorders>
              <w:top w:val="single" w:color="auto" w:sz="4" w:space="0"/>
              <w:left w:val="single" w:color="auto" w:sz="4" w:space="0"/>
              <w:right w:val="single" w:color="auto" w:sz="4" w:space="0"/>
            </w:tcBorders>
            <w:noWrap w:val="0"/>
            <w:vAlign w:val="center"/>
          </w:tcPr>
          <w:p w14:paraId="05C7F057">
            <w:pPr>
              <w:keepNext w:val="0"/>
              <w:keepLines w:val="0"/>
              <w:pageBreakBefore w:val="0"/>
              <w:widowControl w:val="0"/>
              <w:kinsoku/>
              <w:wordWrap/>
              <w:overflowPunct/>
              <w:topLinePunct w:val="0"/>
              <w:bidi w:val="0"/>
              <w:jc w:val="center"/>
              <w:textAlignment w:val="auto"/>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right w:val="single" w:color="auto" w:sz="4" w:space="0"/>
            </w:tcBorders>
            <w:noWrap w:val="0"/>
            <w:vAlign w:val="center"/>
          </w:tcPr>
          <w:p w14:paraId="6A0A000A">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right w:val="single" w:color="auto" w:sz="4" w:space="0"/>
            </w:tcBorders>
            <w:noWrap w:val="0"/>
            <w:vAlign w:val="top"/>
          </w:tcPr>
          <w:p w14:paraId="6D317CF6">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r w14:paraId="42B44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noWrap w:val="0"/>
            <w:vAlign w:val="center"/>
          </w:tcPr>
          <w:p w14:paraId="7453CC17">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1FD8B693">
            <w:pPr>
              <w:keepNext w:val="0"/>
              <w:keepLines w:val="0"/>
              <w:pageBreakBefore w:val="0"/>
              <w:widowControl w:val="0"/>
              <w:kinsoku/>
              <w:wordWrap/>
              <w:overflowPunct/>
              <w:topLinePunct w:val="0"/>
              <w:bidi w:val="0"/>
              <w:ind w:left="55" w:leftChars="26"/>
              <w:textAlignment w:val="auto"/>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CD8474">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056261F">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r w14:paraId="4F24C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CA4AEC8">
            <w:pPr>
              <w:keepNext w:val="0"/>
              <w:keepLines w:val="0"/>
              <w:pageBreakBefore w:val="0"/>
              <w:widowControl w:val="0"/>
              <w:kinsoku/>
              <w:wordWrap/>
              <w:overflowPunct/>
              <w:topLinePunct w:val="0"/>
              <w:bidi w:val="0"/>
              <w:textAlignment w:val="auto"/>
              <w:rPr>
                <w:rFonts w:hint="eastAsia" w:ascii="宋体" w:hAnsi="宋体" w:eastAsia="宋体" w:cs="宋体"/>
                <w:b/>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0EBE0A7A">
            <w:pPr>
              <w:pStyle w:val="19"/>
              <w:keepNext w:val="0"/>
              <w:keepLines w:val="0"/>
              <w:pageBreakBefore w:val="0"/>
              <w:widowControl w:val="0"/>
              <w:kinsoku/>
              <w:wordWrap/>
              <w:overflowPunct/>
              <w:topLinePunct w:val="0"/>
              <w:bidi w:val="0"/>
              <w:textAlignment w:val="auto"/>
              <w:rPr>
                <w:rFonts w:hint="eastAsia" w:ascii="宋体" w:hAnsi="宋体" w:eastAsia="宋体" w:cs="宋体"/>
                <w:b/>
                <w:color w:val="auto"/>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8F2EA4">
            <w:pPr>
              <w:pStyle w:val="19"/>
              <w:keepNext w:val="0"/>
              <w:keepLines w:val="0"/>
              <w:pageBreakBefore w:val="0"/>
              <w:widowControl w:val="0"/>
              <w:kinsoku/>
              <w:wordWrap/>
              <w:overflowPunct/>
              <w:topLinePunct w:val="0"/>
              <w:bidi w:val="0"/>
              <w:jc w:val="center"/>
              <w:textAlignment w:val="auto"/>
              <w:rPr>
                <w:rFonts w:hint="eastAsia" w:ascii="宋体" w:hAnsi="宋体" w:eastAsia="宋体" w:cs="宋体"/>
                <w:b/>
                <w:color w:val="auto"/>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539C886">
            <w:pPr>
              <w:pStyle w:val="19"/>
              <w:keepNext w:val="0"/>
              <w:keepLines w:val="0"/>
              <w:pageBreakBefore w:val="0"/>
              <w:widowControl w:val="0"/>
              <w:kinsoku/>
              <w:wordWrap/>
              <w:overflowPunct/>
              <w:topLinePunct w:val="0"/>
              <w:bidi w:val="0"/>
              <w:jc w:val="center"/>
              <w:textAlignment w:val="auto"/>
              <w:rPr>
                <w:rFonts w:hint="eastAsia" w:ascii="宋体" w:hAnsi="宋体" w:eastAsia="宋体" w:cs="宋体"/>
                <w:b/>
                <w:color w:val="auto"/>
                <w:highlight w:val="none"/>
              </w:rPr>
            </w:pPr>
          </w:p>
        </w:tc>
      </w:tr>
      <w:tr w14:paraId="2EEB8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40D791C">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575B10CD">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6E55DF">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3D21E976">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r w14:paraId="50FF1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37428629">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161FF132">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FD4F07">
            <w:pPr>
              <w:pStyle w:val="19"/>
              <w:keepNext w:val="0"/>
              <w:keepLines w:val="0"/>
              <w:pageBreakBefore w:val="0"/>
              <w:widowControl w:val="0"/>
              <w:kinsoku/>
              <w:wordWrap/>
              <w:overflowPunct/>
              <w:topLinePunct w:val="0"/>
              <w:bidi w:val="0"/>
              <w:jc w:val="center"/>
              <w:textAlignment w:val="auto"/>
              <w:rPr>
                <w:rFonts w:hint="eastAsia" w:ascii="宋体" w:hAnsi="宋体" w:eastAsia="宋体" w:cs="宋体"/>
                <w:color w:val="auto"/>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35AC3EFF">
            <w:pPr>
              <w:pStyle w:val="19"/>
              <w:keepNext w:val="0"/>
              <w:keepLines w:val="0"/>
              <w:pageBreakBefore w:val="0"/>
              <w:widowControl w:val="0"/>
              <w:kinsoku/>
              <w:wordWrap/>
              <w:overflowPunct/>
              <w:topLinePunct w:val="0"/>
              <w:bidi w:val="0"/>
              <w:jc w:val="center"/>
              <w:textAlignment w:val="auto"/>
              <w:rPr>
                <w:rFonts w:hint="eastAsia" w:ascii="宋体" w:hAnsi="宋体" w:eastAsia="宋体" w:cs="宋体"/>
                <w:color w:val="auto"/>
                <w:highlight w:val="none"/>
              </w:rPr>
            </w:pPr>
          </w:p>
        </w:tc>
      </w:tr>
      <w:tr w14:paraId="009DC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3C63B737">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1B782803">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5AE7E0">
            <w:pPr>
              <w:pStyle w:val="19"/>
              <w:keepNext w:val="0"/>
              <w:keepLines w:val="0"/>
              <w:pageBreakBefore w:val="0"/>
              <w:widowControl w:val="0"/>
              <w:kinsoku/>
              <w:wordWrap/>
              <w:overflowPunct/>
              <w:topLinePunct w:val="0"/>
              <w:bidi w:val="0"/>
              <w:jc w:val="center"/>
              <w:textAlignment w:val="auto"/>
              <w:rPr>
                <w:rFonts w:hint="eastAsia" w:ascii="宋体" w:hAnsi="宋体" w:eastAsia="宋体" w:cs="宋体"/>
                <w:color w:val="auto"/>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5BC8CA67">
            <w:pPr>
              <w:pStyle w:val="19"/>
              <w:keepNext w:val="0"/>
              <w:keepLines w:val="0"/>
              <w:pageBreakBefore w:val="0"/>
              <w:widowControl w:val="0"/>
              <w:kinsoku/>
              <w:wordWrap/>
              <w:overflowPunct/>
              <w:topLinePunct w:val="0"/>
              <w:bidi w:val="0"/>
              <w:jc w:val="center"/>
              <w:textAlignment w:val="auto"/>
              <w:rPr>
                <w:rFonts w:hint="eastAsia" w:ascii="宋体" w:hAnsi="宋体" w:eastAsia="宋体" w:cs="宋体"/>
                <w:color w:val="auto"/>
                <w:highlight w:val="none"/>
              </w:rPr>
            </w:pPr>
          </w:p>
        </w:tc>
      </w:tr>
      <w:tr w14:paraId="23D03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noWrap w:val="0"/>
            <w:vAlign w:val="center"/>
          </w:tcPr>
          <w:p w14:paraId="5FDB1E19">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74746023">
            <w:pPr>
              <w:pStyle w:val="19"/>
              <w:keepNext w:val="0"/>
              <w:keepLines w:val="0"/>
              <w:pageBreakBefore w:val="0"/>
              <w:widowControl w:val="0"/>
              <w:kinsoku/>
              <w:wordWrap/>
              <w:overflowPunct/>
              <w:topLinePunct w:val="0"/>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AD22FF">
            <w:pPr>
              <w:keepNext w:val="0"/>
              <w:keepLines w:val="0"/>
              <w:pageBreakBefore w:val="0"/>
              <w:widowControl w:val="0"/>
              <w:kinsoku/>
              <w:wordWrap/>
              <w:overflowPunct/>
              <w:topLinePunct w:val="0"/>
              <w:bidi w:val="0"/>
              <w:jc w:val="center"/>
              <w:textAlignment w:val="auto"/>
              <w:rPr>
                <w:rFonts w:hint="eastAsia" w:ascii="宋体" w:hAnsi="宋体" w:eastAsia="宋体" w:cs="宋体"/>
                <w:b/>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492D7C4D">
            <w:pPr>
              <w:keepNext w:val="0"/>
              <w:keepLines w:val="0"/>
              <w:pageBreakBefore w:val="0"/>
              <w:widowControl w:val="0"/>
              <w:kinsoku/>
              <w:wordWrap/>
              <w:overflowPunct/>
              <w:topLinePunct w:val="0"/>
              <w:bidi w:val="0"/>
              <w:jc w:val="center"/>
              <w:textAlignment w:val="auto"/>
              <w:rPr>
                <w:rFonts w:hint="eastAsia" w:ascii="宋体" w:hAnsi="宋体" w:eastAsia="宋体" w:cs="宋体"/>
                <w:b/>
                <w:color w:val="auto"/>
                <w:sz w:val="24"/>
                <w:highlight w:val="none"/>
              </w:rPr>
            </w:pPr>
          </w:p>
        </w:tc>
      </w:tr>
      <w:tr w14:paraId="60FAE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noWrap w:val="0"/>
            <w:vAlign w:val="center"/>
          </w:tcPr>
          <w:p w14:paraId="772E7823">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1D792A3F">
            <w:pPr>
              <w:keepNext w:val="0"/>
              <w:keepLines w:val="0"/>
              <w:pageBreakBefore w:val="0"/>
              <w:widowControl w:val="0"/>
              <w:kinsoku/>
              <w:wordWrap/>
              <w:overflowPunct/>
              <w:topLinePunct w:val="0"/>
              <w:bidi w:val="0"/>
              <w:textAlignment w:val="auto"/>
              <w:rPr>
                <w:rFonts w:hint="eastAsia" w:ascii="宋体" w:hAnsi="宋体" w:eastAsia="宋体" w:cs="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F08307">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657739CD">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r w14:paraId="332CE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6B16AEB">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2A18FCD5">
            <w:pPr>
              <w:keepNext w:val="0"/>
              <w:keepLines w:val="0"/>
              <w:pageBreakBefore w:val="0"/>
              <w:widowControl w:val="0"/>
              <w:kinsoku/>
              <w:wordWrap/>
              <w:overflowPunct/>
              <w:topLinePunct w:val="0"/>
              <w:bidi w:val="0"/>
              <w:textAlignment w:val="auto"/>
              <w:rPr>
                <w:rFonts w:hint="eastAsia" w:ascii="宋体" w:hAnsi="宋体" w:eastAsia="宋体" w:cs="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166EE8">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F1C10ED">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r w14:paraId="54078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613F43A">
            <w:pPr>
              <w:keepNext w:val="0"/>
              <w:keepLines w:val="0"/>
              <w:pageBreakBefore w:val="0"/>
              <w:widowControl w:val="0"/>
              <w:kinsoku/>
              <w:wordWrap/>
              <w:overflowPunct/>
              <w:topLinePunct w:val="0"/>
              <w:bidi w:val="0"/>
              <w:textAlignment w:val="auto"/>
              <w:rPr>
                <w:rFonts w:hint="eastAsia" w:ascii="宋体" w:hAnsi="宋体" w:eastAsia="宋体" w:cs="宋体"/>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noWrap w:val="0"/>
            <w:vAlign w:val="center"/>
          </w:tcPr>
          <w:p w14:paraId="27D87AF8">
            <w:pPr>
              <w:keepNext w:val="0"/>
              <w:keepLines w:val="0"/>
              <w:pageBreakBefore w:val="0"/>
              <w:widowControl w:val="0"/>
              <w:kinsoku/>
              <w:wordWrap/>
              <w:overflowPunct/>
              <w:topLinePunct w:val="0"/>
              <w:bidi w:val="0"/>
              <w:textAlignment w:val="auto"/>
              <w:rPr>
                <w:rFonts w:hint="eastAsia" w:ascii="宋体" w:hAnsi="宋体" w:eastAsia="宋体" w:cs="宋体"/>
                <w:bCs/>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16215E5A">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c>
          <w:tcPr>
            <w:tcW w:w="1018" w:type="dxa"/>
            <w:tcBorders>
              <w:top w:val="single" w:color="auto" w:sz="4" w:space="0"/>
              <w:left w:val="single" w:color="auto" w:sz="4" w:space="0"/>
              <w:right w:val="single" w:color="auto" w:sz="4" w:space="0"/>
            </w:tcBorders>
            <w:noWrap w:val="0"/>
            <w:vAlign w:val="top"/>
          </w:tcPr>
          <w:p w14:paraId="36A51A2D">
            <w:pPr>
              <w:keepNext w:val="0"/>
              <w:keepLines w:val="0"/>
              <w:pageBreakBefore w:val="0"/>
              <w:widowControl w:val="0"/>
              <w:kinsoku/>
              <w:wordWrap/>
              <w:overflowPunct/>
              <w:topLinePunct w:val="0"/>
              <w:bidi w:val="0"/>
              <w:jc w:val="center"/>
              <w:textAlignment w:val="auto"/>
              <w:rPr>
                <w:rFonts w:hint="eastAsia" w:ascii="宋体" w:hAnsi="宋体" w:eastAsia="宋体" w:cs="宋体"/>
                <w:bCs/>
                <w:color w:val="auto"/>
                <w:sz w:val="24"/>
                <w:highlight w:val="none"/>
              </w:rPr>
            </w:pPr>
          </w:p>
        </w:tc>
      </w:tr>
    </w:tbl>
    <w:p w14:paraId="54DA88E0">
      <w:pPr>
        <w:numPr>
          <w:ilvl w:val="0"/>
          <w:numId w:val="0"/>
        </w:numPr>
        <w:snapToGrid w:val="0"/>
        <w:spacing w:line="360" w:lineRule="auto"/>
        <w:jc w:val="center"/>
        <w:outlineLvl w:val="0"/>
        <w:rPr>
          <w:rFonts w:hint="eastAsia" w:ascii="宋体" w:hAnsi="宋体" w:eastAsia="宋体" w:cs="仿宋"/>
          <w:b/>
          <w:kern w:val="0"/>
          <w:sz w:val="32"/>
          <w:szCs w:val="32"/>
          <w:lang w:eastAsia="zh-CN"/>
        </w:rPr>
      </w:pPr>
    </w:p>
    <w:p w14:paraId="2DF2CCFC">
      <w:pPr>
        <w:numPr>
          <w:ilvl w:val="0"/>
          <w:numId w:val="0"/>
        </w:numPr>
        <w:snapToGrid w:val="0"/>
        <w:spacing w:line="360" w:lineRule="auto"/>
        <w:ind w:left="2940" w:leftChars="0"/>
        <w:jc w:val="left"/>
        <w:outlineLvl w:val="0"/>
        <w:rPr>
          <w:rFonts w:asciiTheme="minorEastAsia" w:hAnsiTheme="minorEastAsia" w:eastAsiaTheme="minorEastAsia" w:cstheme="minorEastAsia"/>
          <w:b/>
          <w:color w:val="auto"/>
          <w:kern w:val="0"/>
          <w:sz w:val="36"/>
          <w:szCs w:val="36"/>
          <w:highlight w:val="none"/>
        </w:rPr>
      </w:pPr>
    </w:p>
    <w:p w14:paraId="641F2797">
      <w:pPr>
        <w:pStyle w:val="24"/>
        <w:rPr>
          <w:rFonts w:asciiTheme="minorEastAsia" w:hAnsiTheme="minorEastAsia" w:eastAsiaTheme="minorEastAsia" w:cstheme="minorEastAsia"/>
          <w:b/>
          <w:color w:val="auto"/>
          <w:kern w:val="0"/>
          <w:sz w:val="36"/>
          <w:szCs w:val="36"/>
          <w:highlight w:val="none"/>
        </w:rPr>
      </w:pPr>
    </w:p>
    <w:p w14:paraId="11E7E93B">
      <w:pPr>
        <w:pStyle w:val="24"/>
        <w:rPr>
          <w:rFonts w:asciiTheme="minorEastAsia" w:hAnsiTheme="minorEastAsia" w:eastAsiaTheme="minorEastAsia" w:cstheme="minorEastAsia"/>
          <w:b/>
          <w:color w:val="auto"/>
          <w:kern w:val="0"/>
          <w:sz w:val="36"/>
          <w:szCs w:val="36"/>
          <w:highlight w:val="none"/>
        </w:rPr>
      </w:pPr>
    </w:p>
    <w:p w14:paraId="6A3F4C6A">
      <w:pPr>
        <w:pStyle w:val="24"/>
        <w:rPr>
          <w:rFonts w:asciiTheme="minorEastAsia" w:hAnsiTheme="minorEastAsia" w:eastAsiaTheme="minorEastAsia" w:cstheme="minorEastAsia"/>
          <w:b/>
          <w:color w:val="auto"/>
          <w:kern w:val="0"/>
          <w:sz w:val="36"/>
          <w:szCs w:val="36"/>
          <w:highlight w:val="none"/>
        </w:rPr>
      </w:pPr>
    </w:p>
    <w:p w14:paraId="5C1189D0">
      <w:pPr>
        <w:pStyle w:val="24"/>
        <w:rPr>
          <w:rFonts w:asciiTheme="minorEastAsia" w:hAnsiTheme="minorEastAsia" w:eastAsiaTheme="minorEastAsia" w:cstheme="minorEastAsia"/>
          <w:b/>
          <w:color w:val="auto"/>
          <w:kern w:val="0"/>
          <w:sz w:val="36"/>
          <w:szCs w:val="36"/>
          <w:highlight w:val="none"/>
        </w:rPr>
      </w:pPr>
    </w:p>
    <w:p w14:paraId="09545AA1">
      <w:pPr>
        <w:pStyle w:val="24"/>
        <w:rPr>
          <w:rFonts w:asciiTheme="minorEastAsia" w:hAnsiTheme="minorEastAsia" w:eastAsiaTheme="minorEastAsia" w:cstheme="minorEastAsia"/>
          <w:b/>
          <w:color w:val="auto"/>
          <w:kern w:val="0"/>
          <w:sz w:val="36"/>
          <w:szCs w:val="36"/>
          <w:highlight w:val="none"/>
        </w:rPr>
      </w:pPr>
    </w:p>
    <w:p w14:paraId="3431CF8E">
      <w:pPr>
        <w:pStyle w:val="24"/>
        <w:rPr>
          <w:rFonts w:asciiTheme="minorEastAsia" w:hAnsiTheme="minorEastAsia" w:eastAsiaTheme="minorEastAsia" w:cstheme="minorEastAsia"/>
          <w:b/>
          <w:color w:val="auto"/>
          <w:kern w:val="0"/>
          <w:sz w:val="36"/>
          <w:szCs w:val="36"/>
          <w:highlight w:val="none"/>
        </w:rPr>
      </w:pPr>
    </w:p>
    <w:p w14:paraId="1B47D0DF">
      <w:pPr>
        <w:pStyle w:val="24"/>
        <w:rPr>
          <w:rFonts w:asciiTheme="minorEastAsia" w:hAnsiTheme="minorEastAsia" w:eastAsiaTheme="minorEastAsia" w:cstheme="minorEastAsia"/>
          <w:b/>
          <w:color w:val="auto"/>
          <w:kern w:val="0"/>
          <w:sz w:val="36"/>
          <w:szCs w:val="36"/>
          <w:highlight w:val="none"/>
        </w:rPr>
      </w:pPr>
    </w:p>
    <w:p w14:paraId="153CDA5E">
      <w:pPr>
        <w:pStyle w:val="24"/>
        <w:rPr>
          <w:rFonts w:asciiTheme="minorEastAsia" w:hAnsiTheme="minorEastAsia" w:eastAsiaTheme="minorEastAsia" w:cstheme="minorEastAsia"/>
          <w:b/>
          <w:color w:val="auto"/>
          <w:kern w:val="0"/>
          <w:sz w:val="36"/>
          <w:szCs w:val="36"/>
          <w:highlight w:val="none"/>
        </w:rPr>
      </w:pPr>
    </w:p>
    <w:p w14:paraId="7A4F6FA7">
      <w:pPr>
        <w:pStyle w:val="24"/>
        <w:rPr>
          <w:rFonts w:asciiTheme="minorEastAsia" w:hAnsiTheme="minorEastAsia" w:eastAsiaTheme="minorEastAsia" w:cstheme="minorEastAsia"/>
          <w:b/>
          <w:color w:val="auto"/>
          <w:kern w:val="0"/>
          <w:sz w:val="36"/>
          <w:szCs w:val="36"/>
          <w:highlight w:val="none"/>
        </w:rPr>
      </w:pPr>
    </w:p>
    <w:p w14:paraId="461038C6">
      <w:pPr>
        <w:numPr>
          <w:ilvl w:val="0"/>
          <w:numId w:val="0"/>
        </w:numPr>
        <w:snapToGrid w:val="0"/>
        <w:spacing w:line="360" w:lineRule="auto"/>
        <w:ind w:left="2940" w:leftChars="0"/>
        <w:jc w:val="left"/>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lang w:val="en-US" w:eastAsia="zh-CN"/>
        </w:rPr>
        <w:t>二、</w:t>
      </w:r>
      <w:r>
        <w:rPr>
          <w:rFonts w:hint="eastAsia" w:asciiTheme="minorEastAsia" w:hAnsiTheme="minorEastAsia" w:eastAsiaTheme="minorEastAsia" w:cstheme="minorEastAsia"/>
          <w:b/>
          <w:color w:val="auto"/>
          <w:kern w:val="0"/>
          <w:sz w:val="36"/>
          <w:szCs w:val="36"/>
          <w:highlight w:val="none"/>
        </w:rPr>
        <w:t>符合性自查表</w:t>
      </w:r>
    </w:p>
    <w:tbl>
      <w:tblPr>
        <w:tblStyle w:val="25"/>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1005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823DCC3">
            <w:pPr>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544" w:type="dxa"/>
            <w:vAlign w:val="center"/>
          </w:tcPr>
          <w:p w14:paraId="2D4D047C">
            <w:pPr>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实质性要求</w:t>
            </w:r>
          </w:p>
        </w:tc>
        <w:tc>
          <w:tcPr>
            <w:tcW w:w="2693" w:type="dxa"/>
            <w:vAlign w:val="center"/>
          </w:tcPr>
          <w:p w14:paraId="4FF81F96">
            <w:pPr>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需要提供的符合性审查资料</w:t>
            </w:r>
          </w:p>
        </w:tc>
        <w:tc>
          <w:tcPr>
            <w:tcW w:w="1276" w:type="dxa"/>
            <w:vAlign w:val="center"/>
          </w:tcPr>
          <w:p w14:paraId="1B22E692">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自查结论</w:t>
            </w:r>
          </w:p>
        </w:tc>
        <w:tc>
          <w:tcPr>
            <w:tcW w:w="1979" w:type="dxa"/>
            <w:vAlign w:val="center"/>
          </w:tcPr>
          <w:p w14:paraId="28585344">
            <w:pPr>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响应文件中的</w:t>
            </w:r>
          </w:p>
          <w:p w14:paraId="6375DCAE">
            <w:pPr>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页码位置</w:t>
            </w:r>
          </w:p>
        </w:tc>
      </w:tr>
      <w:tr w14:paraId="73CB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3586AF9E">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544" w:type="dxa"/>
            <w:vAlign w:val="center"/>
          </w:tcPr>
          <w:p w14:paraId="0A6546F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响应文件按照采购文件要求签署、盖章。</w:t>
            </w:r>
          </w:p>
        </w:tc>
        <w:tc>
          <w:tcPr>
            <w:tcW w:w="2693" w:type="dxa"/>
            <w:vAlign w:val="center"/>
          </w:tcPr>
          <w:p w14:paraId="3F7B976D">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需要使用电子签名或者签字盖章的响应文件的组成部分</w:t>
            </w:r>
          </w:p>
        </w:tc>
        <w:tc>
          <w:tcPr>
            <w:tcW w:w="1276" w:type="dxa"/>
            <w:vAlign w:val="center"/>
          </w:tcPr>
          <w:p w14:paraId="6DDD299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 </w:t>
            </w:r>
          </w:p>
          <w:p w14:paraId="39BDB03B">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□不通过</w:t>
            </w:r>
          </w:p>
        </w:tc>
        <w:tc>
          <w:tcPr>
            <w:tcW w:w="1979" w:type="dxa"/>
            <w:vAlign w:val="center"/>
          </w:tcPr>
          <w:p w14:paraId="6CEDCEAA">
            <w:pPr>
              <w:spacing w:line="360" w:lineRule="auto"/>
              <w:rPr>
                <w:rFonts w:asciiTheme="minorEastAsia" w:hAnsiTheme="minorEastAsia" w:eastAsiaTheme="minorEastAsia" w:cstheme="minorEastAsia"/>
                <w:color w:val="auto"/>
                <w:sz w:val="24"/>
                <w:szCs w:val="24"/>
                <w:highlight w:val="none"/>
              </w:rPr>
            </w:pPr>
          </w:p>
          <w:p w14:paraId="71661997">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w:t>
            </w:r>
          </w:p>
          <w:p w14:paraId="0ACC3C7C">
            <w:pPr>
              <w:spacing w:line="360" w:lineRule="auto"/>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页</w:t>
            </w:r>
          </w:p>
        </w:tc>
      </w:tr>
      <w:tr w14:paraId="0E6A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323E36D7">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544" w:type="dxa"/>
            <w:vAlign w:val="center"/>
          </w:tcPr>
          <w:p w14:paraId="1D99F2BE">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响应文件中承诺的响应有效期不少于采购文件中载明的响应有效期。</w:t>
            </w:r>
          </w:p>
        </w:tc>
        <w:tc>
          <w:tcPr>
            <w:tcW w:w="2693" w:type="dxa"/>
            <w:vAlign w:val="center"/>
          </w:tcPr>
          <w:p w14:paraId="4FCCBA2E">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磋商函</w:t>
            </w:r>
          </w:p>
        </w:tc>
        <w:tc>
          <w:tcPr>
            <w:tcW w:w="1276" w:type="dxa"/>
            <w:vAlign w:val="center"/>
          </w:tcPr>
          <w:p w14:paraId="015DBF81">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 </w:t>
            </w:r>
          </w:p>
          <w:p w14:paraId="652AC761">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□不通过</w:t>
            </w:r>
          </w:p>
        </w:tc>
        <w:tc>
          <w:tcPr>
            <w:tcW w:w="1979" w:type="dxa"/>
            <w:vAlign w:val="center"/>
          </w:tcPr>
          <w:p w14:paraId="472A8CBB">
            <w:pPr>
              <w:spacing w:line="360" w:lineRule="auto"/>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4"/>
                <w:szCs w:val="24"/>
                <w:highlight w:val="none"/>
              </w:rPr>
              <w:t>见响应文件第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页</w:t>
            </w:r>
          </w:p>
        </w:tc>
      </w:tr>
      <w:tr w14:paraId="1600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26A35A53">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544" w:type="dxa"/>
            <w:vAlign w:val="center"/>
          </w:tcPr>
          <w:p w14:paraId="61380FFD">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响应文件满足采购文件的其它实质性要求。</w:t>
            </w:r>
          </w:p>
        </w:tc>
        <w:tc>
          <w:tcPr>
            <w:tcW w:w="2693" w:type="dxa"/>
            <w:vAlign w:val="center"/>
          </w:tcPr>
          <w:p w14:paraId="01AFFEA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采购文件其它实质性要求相应的材料（“▲” 系指实质性要求条款，采购文件无其它实质性要求的，无需提供）</w:t>
            </w:r>
          </w:p>
        </w:tc>
        <w:tc>
          <w:tcPr>
            <w:tcW w:w="1276" w:type="dxa"/>
            <w:vAlign w:val="center"/>
          </w:tcPr>
          <w:p w14:paraId="76E35A6B">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 </w:t>
            </w:r>
          </w:p>
          <w:p w14:paraId="78C8BAF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□不通过</w:t>
            </w:r>
          </w:p>
        </w:tc>
        <w:tc>
          <w:tcPr>
            <w:tcW w:w="1979" w:type="dxa"/>
            <w:vAlign w:val="center"/>
          </w:tcPr>
          <w:p w14:paraId="630D82EF">
            <w:pPr>
              <w:spacing w:line="360" w:lineRule="auto"/>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4"/>
                <w:szCs w:val="24"/>
                <w:highlight w:val="none"/>
              </w:rPr>
              <w:t>见响应文件第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页</w:t>
            </w:r>
          </w:p>
        </w:tc>
      </w:tr>
      <w:tr w14:paraId="1851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1B56376D">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544" w:type="dxa"/>
            <w:vAlign w:val="center"/>
          </w:tcPr>
          <w:p w14:paraId="70A23D8C">
            <w:pPr>
              <w:snapToGrid w:val="0"/>
              <w:spacing w:line="360" w:lineRule="auto"/>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响应文件没有采购文件中规定的其它无效响应条款的。</w:t>
            </w:r>
          </w:p>
        </w:tc>
        <w:tc>
          <w:tcPr>
            <w:tcW w:w="2693" w:type="dxa"/>
            <w:vAlign w:val="center"/>
          </w:tcPr>
          <w:p w14:paraId="1C37822A">
            <w:pPr>
              <w:spacing w:line="360" w:lineRule="auto"/>
              <w:rPr>
                <w:rFonts w:asciiTheme="minorEastAsia" w:hAnsiTheme="minorEastAsia" w:eastAsiaTheme="minorEastAsia" w:cstheme="minorEastAsia"/>
                <w:color w:val="auto"/>
                <w:kern w:val="0"/>
                <w:sz w:val="24"/>
                <w:szCs w:val="24"/>
                <w:highlight w:val="none"/>
              </w:rPr>
            </w:pPr>
          </w:p>
        </w:tc>
        <w:tc>
          <w:tcPr>
            <w:tcW w:w="1276" w:type="dxa"/>
            <w:vAlign w:val="center"/>
          </w:tcPr>
          <w:p w14:paraId="7323E79F">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 </w:t>
            </w:r>
          </w:p>
          <w:p w14:paraId="660C2F1C">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□不通过</w:t>
            </w:r>
          </w:p>
        </w:tc>
        <w:tc>
          <w:tcPr>
            <w:tcW w:w="1979" w:type="dxa"/>
            <w:vAlign w:val="center"/>
          </w:tcPr>
          <w:p w14:paraId="63453571">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页</w:t>
            </w:r>
          </w:p>
        </w:tc>
      </w:tr>
      <w:tr w14:paraId="0D1F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23FF3E6C">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544" w:type="dxa"/>
            <w:vAlign w:val="center"/>
          </w:tcPr>
          <w:p w14:paraId="7841B21A">
            <w:pPr>
              <w:snapToGrid w:val="0"/>
              <w:spacing w:line="360" w:lineRule="auto"/>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按有关法律、法规、规章不属于响应无效的。</w:t>
            </w:r>
          </w:p>
        </w:tc>
        <w:tc>
          <w:tcPr>
            <w:tcW w:w="2693" w:type="dxa"/>
            <w:vAlign w:val="center"/>
          </w:tcPr>
          <w:p w14:paraId="643215A0">
            <w:pPr>
              <w:spacing w:line="360" w:lineRule="auto"/>
              <w:rPr>
                <w:rFonts w:asciiTheme="minorEastAsia" w:hAnsiTheme="minorEastAsia" w:eastAsiaTheme="minorEastAsia" w:cstheme="minorEastAsia"/>
                <w:color w:val="auto"/>
                <w:kern w:val="0"/>
                <w:sz w:val="24"/>
                <w:szCs w:val="24"/>
                <w:highlight w:val="none"/>
              </w:rPr>
            </w:pPr>
          </w:p>
        </w:tc>
        <w:tc>
          <w:tcPr>
            <w:tcW w:w="1276" w:type="dxa"/>
            <w:vAlign w:val="center"/>
          </w:tcPr>
          <w:p w14:paraId="00C58EFD">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 </w:t>
            </w:r>
          </w:p>
          <w:p w14:paraId="4137873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□不通过</w:t>
            </w:r>
          </w:p>
        </w:tc>
        <w:tc>
          <w:tcPr>
            <w:tcW w:w="1979" w:type="dxa"/>
            <w:vAlign w:val="center"/>
          </w:tcPr>
          <w:p w14:paraId="711BD479">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见响应文件第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页</w:t>
            </w:r>
          </w:p>
        </w:tc>
      </w:tr>
    </w:tbl>
    <w:p w14:paraId="05C11E2A">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5F74F3B6">
      <w:pPr>
        <w:numPr>
          <w:ilvl w:val="0"/>
          <w:numId w:val="0"/>
        </w:num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r>
        <w:rPr>
          <w:rFonts w:hint="eastAsia" w:asciiTheme="minorEastAsia" w:hAnsiTheme="minorEastAsia" w:eastAsiaTheme="minorEastAsia" w:cstheme="minorEastAsia"/>
          <w:b/>
          <w:color w:val="auto"/>
          <w:kern w:val="0"/>
          <w:sz w:val="36"/>
          <w:szCs w:val="36"/>
          <w:highlight w:val="none"/>
          <w:lang w:val="en-US" w:eastAsia="zh-CN"/>
        </w:rPr>
        <w:t>三、</w:t>
      </w:r>
      <w:r>
        <w:rPr>
          <w:rFonts w:hint="eastAsia" w:asciiTheme="minorEastAsia" w:hAnsiTheme="minorEastAsia" w:eastAsiaTheme="minorEastAsia" w:cstheme="minorEastAsia"/>
          <w:b/>
          <w:color w:val="auto"/>
          <w:kern w:val="0"/>
          <w:sz w:val="36"/>
          <w:szCs w:val="36"/>
          <w:highlight w:val="none"/>
        </w:rPr>
        <w:t>磋商函</w:t>
      </w:r>
    </w:p>
    <w:p w14:paraId="4DE356C7">
      <w:pPr>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r>
        <w:rPr>
          <w:rFonts w:hint="eastAsia" w:asciiTheme="minorEastAsia" w:hAnsiTheme="minorEastAsia" w:eastAsiaTheme="minorEastAsia" w:cstheme="minorEastAsia"/>
          <w:color w:val="auto"/>
          <w:sz w:val="24"/>
          <w:szCs w:val="24"/>
          <w:highlight w:val="none"/>
        </w:rPr>
        <w:t>：</w:t>
      </w:r>
    </w:p>
    <w:p w14:paraId="46544D89">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我方参加你方组织的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lang w:eastAsia="zh-CN"/>
        </w:rPr>
        <w:t>项目编号</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采购活动，并对此项目进行磋商响应。为此：</w:t>
      </w:r>
    </w:p>
    <w:p w14:paraId="34F7D1C4">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我方承诺响应有效期从提交响应文件的截止之日起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天（不少于90天）</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z w:val="24"/>
          <w:szCs w:val="24"/>
          <w:highlight w:val="none"/>
        </w:rPr>
        <w:t>本响应文件在响应有效期满之前均具有约束力。</w:t>
      </w:r>
    </w:p>
    <w:p w14:paraId="5226D960">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我方的响应文件包括以下内容：</w:t>
      </w:r>
    </w:p>
    <w:p w14:paraId="52428DD2">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2.1资格文件：</w:t>
      </w:r>
    </w:p>
    <w:p w14:paraId="1F74BBB6">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2.1.1有效的企业法人营业执照（或事业法人登记证）、其他组织（个体工商户）的营业执照或者民办非企业单位登记证书；</w:t>
      </w:r>
    </w:p>
    <w:p w14:paraId="423DF11C">
      <w:pPr>
        <w:snapToGrid w:val="0"/>
        <w:spacing w:line="360" w:lineRule="auto"/>
        <w:ind w:left="420" w:leftChars="2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2.1.2符合参加政府采购活动应当具备的一般条件的承诺函；</w:t>
      </w:r>
    </w:p>
    <w:p w14:paraId="65BE5695">
      <w:pPr>
        <w:snapToGrid w:val="0"/>
        <w:spacing w:line="360" w:lineRule="auto"/>
        <w:ind w:left="420" w:leftChars="20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本项目的特定资格要求</w:t>
      </w:r>
      <w:r>
        <w:rPr>
          <w:rFonts w:hint="eastAsia" w:asciiTheme="minorEastAsia" w:hAnsiTheme="minorEastAsia" w:eastAsiaTheme="minorEastAsia" w:cstheme="minorEastAsia"/>
          <w:color w:val="auto"/>
          <w:sz w:val="24"/>
          <w:szCs w:val="24"/>
          <w:highlight w:val="none"/>
          <w:lang w:eastAsia="zh-CN"/>
        </w:rPr>
        <w:t>；</w:t>
      </w:r>
    </w:p>
    <w:p w14:paraId="67904DA2">
      <w:pPr>
        <w:snapToGrid w:val="0"/>
        <w:spacing w:line="360" w:lineRule="auto"/>
        <w:ind w:left="420" w:leftChars="200"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2.1.4 其他资料（如有）。</w:t>
      </w:r>
    </w:p>
    <w:p w14:paraId="60421349">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rPr>
        <w:t>商务技术</w:t>
      </w:r>
      <w:r>
        <w:rPr>
          <w:rFonts w:hint="eastAsia" w:asciiTheme="minorEastAsia" w:hAnsiTheme="minorEastAsia" w:eastAsiaTheme="minorEastAsia" w:cstheme="minorEastAsia"/>
          <w:color w:val="auto"/>
          <w:sz w:val="24"/>
          <w:szCs w:val="24"/>
          <w:highlight w:val="none"/>
          <w:lang w:val="zh-CN"/>
        </w:rPr>
        <w:t>文件：</w:t>
      </w:r>
    </w:p>
    <w:p w14:paraId="21FD454C">
      <w:pPr>
        <w:snapToGrid w:val="0"/>
        <w:spacing w:line="360" w:lineRule="auto"/>
        <w:ind w:left="210" w:leftChars="100" w:firstLine="720" w:firstLineChars="3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 xml:space="preserve">2.2.1 </w:t>
      </w:r>
      <w:r>
        <w:rPr>
          <w:rFonts w:hint="eastAsia" w:asciiTheme="minorEastAsia" w:hAnsiTheme="minorEastAsia" w:eastAsiaTheme="minorEastAsia" w:cstheme="minorEastAsia"/>
          <w:color w:val="auto"/>
          <w:sz w:val="24"/>
          <w:szCs w:val="24"/>
          <w:highlight w:val="none"/>
          <w:lang w:val="en-US" w:eastAsia="zh-CN"/>
        </w:rPr>
        <w:t>评分索引表；</w:t>
      </w:r>
    </w:p>
    <w:p w14:paraId="6F571F52">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2.2.2</w:t>
      </w:r>
      <w:r>
        <w:rPr>
          <w:rFonts w:hint="eastAsia" w:asciiTheme="minorEastAsia" w:hAnsiTheme="minorEastAsia" w:eastAsiaTheme="minorEastAsia" w:cstheme="minorEastAsia"/>
          <w:color w:val="auto"/>
          <w:sz w:val="24"/>
          <w:szCs w:val="24"/>
          <w:highlight w:val="none"/>
        </w:rPr>
        <w:t>符合性自查表；</w:t>
      </w:r>
    </w:p>
    <w:p w14:paraId="275E2FC0">
      <w:pPr>
        <w:snapToGrid w:val="0"/>
        <w:spacing w:line="360" w:lineRule="auto"/>
        <w:ind w:left="420" w:leftChars="200" w:firstLine="480" w:firstLineChars="200"/>
        <w:rPr>
          <w:rFonts w:asciiTheme="minorEastAsia" w:hAnsiTheme="minorEastAsia" w:eastAsiaTheme="minorEastAsia" w:cstheme="minorEastAsia"/>
          <w:color w:val="auto"/>
          <w:sz w:val="21"/>
          <w:szCs w:val="24"/>
          <w:highlight w:val="none"/>
          <w:lang w:val="zh-CN"/>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磋商函；</w:t>
      </w:r>
      <w:r>
        <w:rPr>
          <w:rFonts w:hint="eastAsia" w:asciiTheme="minorEastAsia" w:hAnsiTheme="minorEastAsia" w:eastAsiaTheme="minorEastAsia" w:cstheme="minorEastAsia"/>
          <w:color w:val="auto"/>
          <w:sz w:val="24"/>
          <w:szCs w:val="24"/>
          <w:highlight w:val="none"/>
          <w:lang w:val="zh-CN"/>
        </w:rPr>
        <w:t xml:space="preserve"> </w:t>
      </w:r>
    </w:p>
    <w:p w14:paraId="5B59E72B">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授权委托书；</w:t>
      </w:r>
    </w:p>
    <w:p w14:paraId="28E07CDC">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供应商基本情况表</w:t>
      </w:r>
      <w:r>
        <w:rPr>
          <w:rFonts w:hint="eastAsia" w:asciiTheme="minorEastAsia" w:hAnsiTheme="minorEastAsia" w:eastAsiaTheme="minorEastAsia" w:cstheme="minorEastAsia"/>
          <w:color w:val="auto"/>
          <w:sz w:val="24"/>
          <w:szCs w:val="24"/>
          <w:highlight w:val="none"/>
        </w:rPr>
        <w:t>；</w:t>
      </w:r>
    </w:p>
    <w:p w14:paraId="7510D4C5">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 距采购人最近或者能为本项目提供最优服务的网点情况表；</w:t>
      </w:r>
    </w:p>
    <w:p w14:paraId="7E7A9CAF">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 评审标准相应的商务技术资料；</w:t>
      </w:r>
    </w:p>
    <w:p w14:paraId="23B009F0">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xml:space="preserve"> 商务</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表；</w:t>
      </w:r>
    </w:p>
    <w:p w14:paraId="231AFD93">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 xml:space="preserve"> 技术</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表；</w:t>
      </w:r>
    </w:p>
    <w:p w14:paraId="634E6467">
      <w:pPr>
        <w:snapToGrid w:val="0"/>
        <w:spacing w:line="360" w:lineRule="auto"/>
        <w:ind w:left="420" w:leftChars="200"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主要材料（设备）品牌响应表；</w:t>
      </w:r>
    </w:p>
    <w:p w14:paraId="2A039D54">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2.2.11</w:t>
      </w:r>
      <w:r>
        <w:rPr>
          <w:rFonts w:hint="eastAsia" w:asciiTheme="minorEastAsia" w:hAnsiTheme="minorEastAsia" w:eastAsiaTheme="minorEastAsia" w:cstheme="minorEastAsia"/>
          <w:color w:val="auto"/>
          <w:sz w:val="24"/>
          <w:szCs w:val="24"/>
          <w:highlight w:val="none"/>
        </w:rPr>
        <w:t>同类业绩情况一览表；</w:t>
      </w:r>
    </w:p>
    <w:p w14:paraId="301D591D">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2.2.1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zh-CN"/>
        </w:rPr>
        <w:t>政府采购供应商廉洁自律承诺书；</w:t>
      </w:r>
    </w:p>
    <w:p w14:paraId="5415C46A">
      <w:pPr>
        <w:snapToGrid w:val="0"/>
        <w:spacing w:line="360" w:lineRule="auto"/>
        <w:ind w:left="420" w:leftChars="2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其他资料。</w:t>
      </w:r>
    </w:p>
    <w:p w14:paraId="04EEE6EC">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3报价文件</w:t>
      </w:r>
    </w:p>
    <w:p w14:paraId="077D2047">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报价一览表；</w:t>
      </w:r>
    </w:p>
    <w:p w14:paraId="4BC02436">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2.3.2中小企业声明函（如有）；</w:t>
      </w:r>
    </w:p>
    <w:p w14:paraId="58BE2D4C">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 残疾人福利性单位声明函（如有）；</w:t>
      </w:r>
    </w:p>
    <w:p w14:paraId="0818104D">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2.3.4 监狱企业的证明文件（如有）；</w:t>
      </w:r>
    </w:p>
    <w:p w14:paraId="0E42A201">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2.3.5 政府采购统计基础信息表。</w:t>
      </w:r>
    </w:p>
    <w:p w14:paraId="6B1D0DF1">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我方承诺除商务技术偏离表列出的偏离外，我方响应采购文件的全部要求。</w:t>
      </w:r>
    </w:p>
    <w:p w14:paraId="1CC9445D">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如我方成交，我方承诺：</w:t>
      </w:r>
    </w:p>
    <w:p w14:paraId="50200BB0">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4.1在收到成交通知书后，在成交通知书规定的期限内与你方签订合同； </w:t>
      </w:r>
    </w:p>
    <w:p w14:paraId="5B5DB0F5">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4.2在签订合同时不向你方提出附加条件； </w:t>
      </w:r>
    </w:p>
    <w:p w14:paraId="7E40C27F">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4.3按照采购文件要求提交履约保证金； </w:t>
      </w:r>
    </w:p>
    <w:p w14:paraId="18593C72">
      <w:pPr>
        <w:snapToGrid w:val="0"/>
        <w:spacing w:line="360" w:lineRule="auto"/>
        <w:ind w:left="210" w:leftChars="1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4.4在合同约定的期限内完成合同规定的全部义务。 </w:t>
      </w:r>
    </w:p>
    <w:p w14:paraId="47A8354F">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其他补充说明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D7B98A2">
      <w:pPr>
        <w:spacing w:line="360" w:lineRule="auto"/>
        <w:ind w:firstLine="3600" w:firstLineChars="1500"/>
        <w:rPr>
          <w:rFonts w:asciiTheme="minorEastAsia" w:hAnsiTheme="minorEastAsia" w:eastAsiaTheme="minorEastAsia" w:cstheme="minorEastAsia"/>
          <w:color w:val="auto"/>
          <w:sz w:val="24"/>
          <w:szCs w:val="24"/>
          <w:highlight w:val="none"/>
        </w:rPr>
      </w:pPr>
    </w:p>
    <w:p w14:paraId="668FA419">
      <w:pPr>
        <w:spacing w:line="360" w:lineRule="auto"/>
        <w:ind w:firstLine="3600" w:firstLineChars="1500"/>
        <w:rPr>
          <w:rFonts w:asciiTheme="minorEastAsia" w:hAnsiTheme="minorEastAsia" w:eastAsiaTheme="minorEastAsia" w:cstheme="minorEastAsia"/>
          <w:color w:val="auto"/>
          <w:sz w:val="24"/>
          <w:szCs w:val="24"/>
          <w:highlight w:val="none"/>
        </w:rPr>
      </w:pPr>
    </w:p>
    <w:p w14:paraId="3A7803A6">
      <w:pPr>
        <w:snapToGrid w:val="0"/>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法定代表人（签名或印章）：     </w:t>
      </w:r>
    </w:p>
    <w:p w14:paraId="50B4A643">
      <w:pPr>
        <w:snapToGrid w:val="0"/>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供应商（盖章）：   </w:t>
      </w:r>
    </w:p>
    <w:p w14:paraId="4ECDA832">
      <w:pPr>
        <w:snapToGrid w:val="0"/>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1424AA19">
      <w:pPr>
        <w:spacing w:line="360" w:lineRule="auto"/>
        <w:jc w:val="center"/>
        <w:rPr>
          <w:rFonts w:asciiTheme="minorEastAsia" w:hAnsiTheme="minorEastAsia" w:eastAsiaTheme="minorEastAsia" w:cstheme="minorEastAsia"/>
          <w:b/>
          <w:color w:val="auto"/>
          <w:kern w:val="0"/>
          <w:sz w:val="36"/>
          <w:szCs w:val="36"/>
          <w:highlight w:val="none"/>
        </w:rPr>
      </w:pPr>
    </w:p>
    <w:p w14:paraId="5F7ED052">
      <w:pPr>
        <w:spacing w:line="360" w:lineRule="auto"/>
        <w:jc w:val="center"/>
        <w:rPr>
          <w:rFonts w:asciiTheme="minorEastAsia" w:hAnsiTheme="minorEastAsia" w:eastAsiaTheme="minorEastAsia" w:cstheme="minorEastAsia"/>
          <w:b/>
          <w:color w:val="auto"/>
          <w:kern w:val="0"/>
          <w:sz w:val="36"/>
          <w:szCs w:val="36"/>
          <w:highlight w:val="none"/>
          <w:lang w:val="zh-CN"/>
        </w:rPr>
      </w:pPr>
    </w:p>
    <w:p w14:paraId="65BCEB17">
      <w:pPr>
        <w:spacing w:line="360" w:lineRule="auto"/>
        <w:rPr>
          <w:rFonts w:asciiTheme="minorEastAsia" w:hAnsiTheme="minorEastAsia" w:eastAsiaTheme="minorEastAsia" w:cstheme="minorEastAsia"/>
          <w:b/>
          <w:color w:val="auto"/>
          <w:sz w:val="36"/>
          <w:szCs w:val="36"/>
          <w:highlight w:val="none"/>
        </w:rPr>
      </w:pPr>
      <w:bookmarkStart w:id="459" w:name="_Toc110393361"/>
      <w:bookmarkStart w:id="460" w:name="_Toc483379796"/>
      <w:bookmarkStart w:id="461" w:name="_Toc479927873"/>
      <w:bookmarkStart w:id="462" w:name="_Toc488936100"/>
      <w:bookmarkStart w:id="463" w:name="_Toc225223761"/>
      <w:bookmarkStart w:id="464" w:name="_Toc14746861"/>
    </w:p>
    <w:p w14:paraId="13FC29C2">
      <w:pPr>
        <w:numPr>
          <w:ilvl w:val="0"/>
          <w:numId w:val="0"/>
        </w:numPr>
        <w:snapToGrid w:val="0"/>
        <w:spacing w:line="360" w:lineRule="auto"/>
        <w:ind w:left="2940" w:leftChars="0"/>
        <w:jc w:val="both"/>
        <w:outlineLvl w:val="0"/>
        <w:rPr>
          <w:rFonts w:ascii="宋体" w:hAnsi="宋体" w:eastAsia="宋体" w:cs="仿宋"/>
          <w:b/>
          <w:color w:val="auto"/>
          <w:kern w:val="0"/>
          <w:sz w:val="32"/>
          <w:szCs w:val="32"/>
          <w:highlight w:val="none"/>
          <w:lang w:val="zh-CN"/>
        </w:rPr>
      </w:pPr>
      <w:r>
        <w:rPr>
          <w:rFonts w:hint="eastAsia" w:asciiTheme="minorEastAsia" w:hAnsiTheme="minorEastAsia" w:eastAsiaTheme="minorEastAsia" w:cstheme="minorEastAsia"/>
          <w:b/>
          <w:color w:val="auto"/>
          <w:kern w:val="0"/>
          <w:sz w:val="36"/>
          <w:szCs w:val="36"/>
          <w:highlight w:val="none"/>
          <w:lang w:val="zh-CN"/>
        </w:rPr>
        <w:br w:type="page"/>
      </w:r>
      <w:r>
        <w:rPr>
          <w:rFonts w:hint="eastAsia" w:asciiTheme="minorEastAsia" w:hAnsiTheme="minorEastAsia" w:eastAsiaTheme="minorEastAsia" w:cstheme="minorEastAsia"/>
          <w:b/>
          <w:color w:val="auto"/>
          <w:kern w:val="0"/>
          <w:sz w:val="36"/>
          <w:szCs w:val="36"/>
          <w:highlight w:val="none"/>
          <w:lang w:val="en-US" w:eastAsia="zh-CN"/>
        </w:rPr>
        <w:t>四、</w:t>
      </w:r>
      <w:r>
        <w:rPr>
          <w:rFonts w:hint="eastAsia" w:asciiTheme="minorEastAsia" w:hAnsiTheme="minorEastAsia" w:eastAsiaTheme="minorEastAsia" w:cstheme="minorEastAsia"/>
          <w:b/>
          <w:color w:val="auto"/>
          <w:kern w:val="0"/>
          <w:sz w:val="36"/>
          <w:szCs w:val="36"/>
          <w:highlight w:val="none"/>
          <w:lang w:val="zh-CN" w:eastAsia="zh-CN"/>
        </w:rPr>
        <w:t>授权委托书</w:t>
      </w:r>
    </w:p>
    <w:p w14:paraId="7851C82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E044574">
      <w:pPr>
        <w:jc w:val="center"/>
        <w:rPr>
          <w:rFonts w:ascii="宋体" w:hAnsi="宋体" w:cs="宋体"/>
          <w:b/>
          <w:color w:val="auto"/>
          <w:sz w:val="32"/>
          <w:szCs w:val="32"/>
          <w:highlight w:val="none"/>
        </w:rPr>
      </w:pP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（法定代表人来投标的，此表不用）</w:t>
      </w:r>
    </w:p>
    <w:p w14:paraId="6FACC5EC">
      <w:pPr>
        <w:snapToGrid w:val="0"/>
        <w:spacing w:line="360" w:lineRule="auto"/>
        <w:rPr>
          <w:rFonts w:ascii="宋体" w:hAnsi="宋体" w:cs="宋体"/>
          <w:bCs/>
          <w:color w:val="auto"/>
          <w:sz w:val="28"/>
          <w:szCs w:val="28"/>
          <w:highlight w:val="none"/>
        </w:rPr>
      </w:pPr>
    </w:p>
    <w:p w14:paraId="51E26FCA">
      <w:pPr>
        <w:snapToGri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（采购单位名称）</w:t>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w:t>
      </w:r>
    </w:p>
    <w:p w14:paraId="38CE7ED1">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（姓名）以我方的名义参加</w:t>
      </w:r>
      <w:r>
        <w:rPr>
          <w:rFonts w:hint="eastAsia" w:ascii="宋体" w:hAnsi="宋体" w:cs="宋体"/>
          <w:color w:val="auto"/>
          <w:sz w:val="24"/>
          <w:szCs w:val="24"/>
          <w:highlight w:val="none"/>
          <w:u w:val="single"/>
        </w:rPr>
        <w:t xml:space="preserve">                       政府采购 </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14:paraId="4206683C">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我方对被授权人的签名事项负全部责任。</w:t>
      </w:r>
    </w:p>
    <w:p w14:paraId="4DBAD0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在撤销授权的书面通知以前，本授权书一直有效。被授权人在授权书有效期内签署的所有文件不因授权的撤销而失效。</w:t>
      </w:r>
    </w:p>
    <w:p w14:paraId="38D1E424">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5FFF9244">
      <w:pPr>
        <w:snapToGrid w:val="0"/>
        <w:spacing w:line="360" w:lineRule="auto"/>
        <w:rPr>
          <w:rFonts w:ascii="宋体" w:hAnsi="宋体" w:cs="宋体"/>
          <w:color w:val="auto"/>
          <w:sz w:val="24"/>
          <w:szCs w:val="24"/>
          <w:highlight w:val="none"/>
        </w:rPr>
      </w:pPr>
    </w:p>
    <w:p w14:paraId="4CC7F9B5">
      <w:pPr>
        <w:snapToGrid w:val="0"/>
        <w:spacing w:line="360" w:lineRule="auto"/>
        <w:rPr>
          <w:rFonts w:ascii="宋体" w:hAnsi="宋体" w:cs="宋体"/>
          <w:color w:val="auto"/>
          <w:sz w:val="24"/>
          <w:szCs w:val="24"/>
          <w:highlight w:val="none"/>
        </w:rPr>
      </w:pPr>
    </w:p>
    <w:p w14:paraId="25F080A4">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被授权人签名</w:t>
      </w:r>
      <w:r>
        <w:rPr>
          <w:rFonts w:hint="eastAsia" w:ascii="宋体" w:hAnsi="宋体" w:cs="宋体"/>
          <w:color w:val="auto"/>
          <w:sz w:val="24"/>
          <w:szCs w:val="24"/>
          <w:highlight w:val="none"/>
          <w:lang w:val="en-US" w:eastAsia="zh-CN"/>
        </w:rPr>
        <w:t>或印章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法定代表人签名</w:t>
      </w:r>
      <w:r>
        <w:rPr>
          <w:rFonts w:hint="eastAsia" w:ascii="宋体" w:hAnsi="宋体" w:cs="宋体"/>
          <w:color w:val="auto"/>
          <w:sz w:val="24"/>
          <w:szCs w:val="24"/>
          <w:highlight w:val="none"/>
          <w:lang w:val="en-US" w:eastAsia="zh-CN"/>
        </w:rPr>
        <w:t>或印章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27C230FB">
      <w:pPr>
        <w:snapToGrid w:val="0"/>
        <w:spacing w:line="360" w:lineRule="auto"/>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6D13535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被授权人身份证号码：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31D2838">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3C1A507">
      <w:pPr>
        <w:snapToGrid w:val="0"/>
        <w:spacing w:line="360" w:lineRule="auto"/>
        <w:rPr>
          <w:rFonts w:ascii="宋体" w:hAnsi="宋体" w:cs="宋体"/>
          <w:color w:val="auto"/>
          <w:sz w:val="24"/>
          <w:szCs w:val="24"/>
          <w:highlight w:val="none"/>
        </w:rPr>
      </w:pPr>
    </w:p>
    <w:p w14:paraId="494C77FC">
      <w:pPr>
        <w:spacing w:line="360" w:lineRule="auto"/>
        <w:ind w:firstLine="5520" w:firstLineChars="2300"/>
        <w:rPr>
          <w:rFonts w:ascii="宋体" w:hAnsi="宋体" w:cs="宋体"/>
          <w:color w:val="auto"/>
          <w:sz w:val="24"/>
          <w:szCs w:val="32"/>
          <w:highlight w:val="none"/>
        </w:rPr>
      </w:pPr>
      <w:r>
        <w:rPr>
          <w:rFonts w:hint="eastAsia" w:ascii="宋体" w:hAnsi="宋体" w:cs="宋体"/>
          <w:color w:val="auto"/>
          <w:sz w:val="24"/>
          <w:szCs w:val="32"/>
          <w:highlight w:val="none"/>
        </w:rPr>
        <w:t>投标人（盖章）：</w:t>
      </w:r>
    </w:p>
    <w:p w14:paraId="091A97E2">
      <w:pPr>
        <w:spacing w:line="360" w:lineRule="auto"/>
        <w:ind w:firstLine="1440" w:firstLineChars="600"/>
        <w:rPr>
          <w:rFonts w:ascii="宋体" w:hAnsi="宋体" w:cs="宋体"/>
          <w:color w:val="auto"/>
          <w:sz w:val="24"/>
          <w:szCs w:val="32"/>
          <w:highlight w:val="none"/>
        </w:rPr>
      </w:pPr>
      <w:r>
        <w:rPr>
          <w:rFonts w:hint="eastAsia" w:ascii="宋体" w:hAnsi="宋体" w:cs="宋体"/>
          <w:color w:val="auto"/>
          <w:sz w:val="24"/>
          <w:szCs w:val="32"/>
          <w:highlight w:val="none"/>
        </w:rPr>
        <w:t xml:space="preserve">                                  日期：</w:t>
      </w:r>
    </w:p>
    <w:p w14:paraId="6D1DBB2F">
      <w:pPr>
        <w:spacing w:line="360" w:lineRule="auto"/>
        <w:rPr>
          <w:rFonts w:ascii="宋体" w:hAnsi="宋体" w:cs="宋体"/>
          <w:b/>
          <w:color w:val="auto"/>
          <w:sz w:val="22"/>
          <w:szCs w:val="22"/>
          <w:highlight w:val="none"/>
        </w:rPr>
      </w:pPr>
    </w:p>
    <w:p w14:paraId="46060727">
      <w:pPr>
        <w:spacing w:line="360" w:lineRule="auto"/>
        <w:rPr>
          <w:rFonts w:ascii="宋体" w:hAnsi="宋体" w:cs="宋体"/>
          <w:b/>
          <w:color w:val="auto"/>
          <w:sz w:val="22"/>
          <w:szCs w:val="22"/>
          <w:highlight w:val="none"/>
        </w:rPr>
      </w:pPr>
    </w:p>
    <w:p w14:paraId="432CE31B">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附：法定代表人身份证复印件（正反面）、授权代表身份证复印件（正反面）：</w:t>
      </w:r>
    </w:p>
    <w:p w14:paraId="6CFB36B1">
      <w:pPr>
        <w:snapToGrid w:val="0"/>
        <w:spacing w:line="360" w:lineRule="auto"/>
        <w:rPr>
          <w:rFonts w:ascii="宋体" w:hAnsi="宋体" w:eastAsia="宋体" w:cs="仿宋"/>
          <w:color w:val="auto"/>
          <w:sz w:val="28"/>
          <w:szCs w:val="28"/>
          <w:highlight w:val="none"/>
        </w:rPr>
      </w:pPr>
    </w:p>
    <w:p w14:paraId="4BFC880F">
      <w:pPr>
        <w:spacing w:line="360" w:lineRule="auto"/>
        <w:jc w:val="center"/>
        <w:rPr>
          <w:rFonts w:ascii="宋体" w:hAnsi="宋体" w:eastAsia="宋体" w:cs="仿宋"/>
          <w:color w:val="auto"/>
          <w:kern w:val="0"/>
          <w:sz w:val="28"/>
          <w:szCs w:val="28"/>
          <w:highlight w:val="none"/>
          <w:lang w:val="zh-CN"/>
        </w:rPr>
      </w:pPr>
      <w:r>
        <w:rPr>
          <w:rFonts w:hint="eastAsia" w:ascii="宋体" w:hAnsi="宋体" w:eastAsia="宋体" w:cs="仿宋"/>
          <w:b/>
          <w:color w:val="auto"/>
          <w:kern w:val="0"/>
          <w:sz w:val="36"/>
          <w:szCs w:val="36"/>
          <w:highlight w:val="none"/>
          <w:lang w:val="zh-CN"/>
        </w:rPr>
        <w:t xml:space="preserve">      </w:t>
      </w:r>
      <w:r>
        <w:rPr>
          <w:rFonts w:hint="eastAsia" w:ascii="宋体" w:hAnsi="宋体" w:eastAsia="宋体" w:cs="仿宋"/>
          <w:b/>
          <w:color w:val="auto"/>
          <w:kern w:val="0"/>
          <w:sz w:val="36"/>
          <w:szCs w:val="36"/>
          <w:highlight w:val="none"/>
        </w:rPr>
        <w:t xml:space="preserve"> </w:t>
      </w:r>
    </w:p>
    <w:p w14:paraId="54413996">
      <w:pPr>
        <w:jc w:val="center"/>
        <w:rPr>
          <w:rFonts w:ascii="宋体" w:hAnsi="宋体" w:cs="宋体"/>
          <w:b/>
          <w:color w:val="auto"/>
          <w:sz w:val="32"/>
          <w:szCs w:val="32"/>
          <w:highlight w:val="none"/>
        </w:rPr>
      </w:pPr>
      <w:r>
        <w:rPr>
          <w:rFonts w:hint="eastAsia" w:ascii="宋体" w:hAnsi="宋体" w:eastAsia="宋体" w:cs="仿宋"/>
          <w:b/>
          <w:color w:val="auto"/>
          <w:kern w:val="0"/>
          <w:sz w:val="36"/>
          <w:szCs w:val="36"/>
          <w:highlight w:val="none"/>
          <w:lang w:val="zh-CN"/>
        </w:rPr>
        <w:br w:type="page"/>
      </w:r>
      <w:r>
        <w:rPr>
          <w:rFonts w:hint="eastAsia" w:ascii="宋体" w:hAnsi="宋体" w:cs="宋体"/>
          <w:b/>
          <w:color w:val="auto"/>
          <w:sz w:val="32"/>
          <w:szCs w:val="32"/>
          <w:highlight w:val="none"/>
        </w:rPr>
        <w:t>法定代表人身份证明</w:t>
      </w:r>
    </w:p>
    <w:p w14:paraId="1004786E">
      <w:pPr>
        <w:spacing w:line="480" w:lineRule="auto"/>
        <w:jc w:val="center"/>
        <w:rPr>
          <w:rFonts w:ascii="宋体" w:hAnsi="宋体" w:cs="宋体"/>
          <w:bCs/>
          <w:color w:val="auto"/>
          <w:sz w:val="24"/>
          <w:highlight w:val="none"/>
        </w:rPr>
      </w:pPr>
    </w:p>
    <w:p w14:paraId="70AB7522">
      <w:pPr>
        <w:spacing w:line="480" w:lineRule="auto"/>
        <w:jc w:val="center"/>
        <w:rPr>
          <w:rFonts w:ascii="宋体" w:hAnsi="宋体" w:cs="宋体"/>
          <w:b/>
          <w:color w:val="auto"/>
          <w:sz w:val="28"/>
          <w:szCs w:val="28"/>
          <w:highlight w:val="none"/>
        </w:rPr>
      </w:pPr>
      <w:r>
        <w:rPr>
          <w:rFonts w:hint="eastAsia" w:ascii="宋体" w:hAnsi="宋体" w:cs="宋体"/>
          <w:bCs/>
          <w:color w:val="auto"/>
          <w:sz w:val="28"/>
          <w:szCs w:val="28"/>
          <w:highlight w:val="none"/>
        </w:rPr>
        <w:t>（法定代表人不来投标的，此表不用）</w:t>
      </w:r>
    </w:p>
    <w:p w14:paraId="48215304">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263DA7F8">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7F590D74">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14:paraId="513F06C0">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62279C9">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41A09D5">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周岁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_</w:t>
      </w:r>
    </w:p>
    <w:p w14:paraId="56D85550">
      <w:pPr>
        <w:spacing w:line="48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7F52DE5F">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72EB6ED3">
      <w:pPr>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6152D275">
      <w:pPr>
        <w:spacing w:line="360" w:lineRule="auto"/>
        <w:ind w:firstLine="420" w:firstLineChars="200"/>
        <w:rPr>
          <w:rFonts w:ascii="宋体" w:hAnsi="宋体" w:cs="宋体"/>
          <w:color w:val="auto"/>
          <w:szCs w:val="21"/>
          <w:highlight w:val="none"/>
        </w:rPr>
      </w:pPr>
    </w:p>
    <w:p w14:paraId="0F8F410C">
      <w:pPr>
        <w:spacing w:line="360" w:lineRule="auto"/>
        <w:ind w:firstLine="420" w:firstLineChars="200"/>
        <w:rPr>
          <w:rFonts w:ascii="宋体" w:hAnsi="宋体" w:cs="宋体"/>
          <w:color w:val="auto"/>
          <w:szCs w:val="21"/>
          <w:highlight w:val="none"/>
        </w:rPr>
      </w:pPr>
    </w:p>
    <w:p w14:paraId="01759C3C">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7A80B5CD">
      <w:pPr>
        <w:spacing w:line="360" w:lineRule="auto"/>
        <w:ind w:firstLine="4515" w:firstLineChars="2150"/>
        <w:rPr>
          <w:rFonts w:ascii="宋体" w:hAnsi="宋体" w:cs="宋体"/>
          <w:color w:val="auto"/>
          <w:szCs w:val="21"/>
          <w:highlight w:val="none"/>
          <w:u w:val="single"/>
        </w:rPr>
      </w:pPr>
    </w:p>
    <w:p w14:paraId="5F658FCB">
      <w:pPr>
        <w:spacing w:line="360" w:lineRule="auto"/>
        <w:ind w:firstLine="4095" w:firstLineChars="19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9E4070C">
      <w:pPr>
        <w:spacing w:line="360" w:lineRule="auto"/>
        <w:rPr>
          <w:rFonts w:ascii="宋体" w:hAnsi="宋体" w:cs="宋体"/>
          <w:color w:val="auto"/>
          <w:sz w:val="24"/>
          <w:highlight w:val="none"/>
        </w:rPr>
      </w:pPr>
    </w:p>
    <w:p w14:paraId="7D8C5F36">
      <w:pPr>
        <w:spacing w:line="360" w:lineRule="auto"/>
        <w:rPr>
          <w:rFonts w:ascii="宋体" w:hAnsi="宋体" w:cs="宋体"/>
          <w:b/>
          <w:color w:val="auto"/>
          <w:szCs w:val="21"/>
          <w:highlight w:val="none"/>
        </w:rPr>
      </w:pPr>
    </w:p>
    <w:p w14:paraId="51BAC854">
      <w:pPr>
        <w:spacing w:line="360" w:lineRule="auto"/>
        <w:rPr>
          <w:rFonts w:ascii="宋体" w:hAnsi="宋体" w:cs="宋体"/>
          <w:b/>
          <w:color w:val="auto"/>
          <w:szCs w:val="21"/>
          <w:highlight w:val="none"/>
        </w:rPr>
      </w:pPr>
    </w:p>
    <w:p w14:paraId="49A50D43">
      <w:pPr>
        <w:spacing w:line="360" w:lineRule="auto"/>
        <w:jc w:val="center"/>
        <w:rPr>
          <w:rFonts w:asciiTheme="minorEastAsia" w:hAnsiTheme="minorEastAsia" w:eastAsiaTheme="minorEastAsia" w:cstheme="minorEastAsia"/>
          <w:b/>
          <w:color w:val="auto"/>
          <w:kern w:val="0"/>
          <w:sz w:val="36"/>
          <w:szCs w:val="36"/>
          <w:highlight w:val="none"/>
          <w:lang w:val="zh-CN"/>
        </w:rPr>
      </w:pPr>
      <w:r>
        <w:rPr>
          <w:rFonts w:hint="eastAsia" w:ascii="宋体" w:hAnsi="宋体" w:cs="宋体"/>
          <w:b/>
          <w:color w:val="auto"/>
          <w:szCs w:val="21"/>
          <w:highlight w:val="none"/>
        </w:rPr>
        <w:t>附法定代表人身份证复印件（正反面）：</w:t>
      </w:r>
      <w:r>
        <w:rPr>
          <w:rFonts w:hint="eastAsia" w:ascii="宋体" w:hAnsi="宋体" w:eastAsia="宋体" w:cs="仿宋"/>
          <w:color w:val="auto"/>
          <w:sz w:val="24"/>
          <w:highlight w:val="none"/>
        </w:rPr>
        <w:t xml:space="preserve"> </w:t>
      </w:r>
      <w:r>
        <w:rPr>
          <w:rFonts w:hint="eastAsia" w:ascii="宋体" w:hAnsi="宋体" w:eastAsia="宋体" w:cs="仿宋"/>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75A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49959E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供应商名称</w:t>
            </w:r>
          </w:p>
        </w:tc>
        <w:tc>
          <w:tcPr>
            <w:tcW w:w="7647" w:type="dxa"/>
            <w:gridSpan w:val="5"/>
            <w:vAlign w:val="center"/>
          </w:tcPr>
          <w:p w14:paraId="5618B6FA">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166D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34C8DA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注册地址</w:t>
            </w:r>
          </w:p>
        </w:tc>
        <w:tc>
          <w:tcPr>
            <w:tcW w:w="2809" w:type="dxa"/>
            <w:gridSpan w:val="2"/>
            <w:vAlign w:val="center"/>
          </w:tcPr>
          <w:p w14:paraId="4C9F76C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786" w:type="dxa"/>
            <w:vAlign w:val="center"/>
          </w:tcPr>
          <w:p w14:paraId="6DCE58F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成立时间</w:t>
            </w:r>
          </w:p>
        </w:tc>
        <w:tc>
          <w:tcPr>
            <w:tcW w:w="3052" w:type="dxa"/>
            <w:gridSpan w:val="2"/>
            <w:vAlign w:val="center"/>
          </w:tcPr>
          <w:p w14:paraId="56CAC32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4F05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E4F263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统一信用代码</w:t>
            </w:r>
          </w:p>
        </w:tc>
        <w:tc>
          <w:tcPr>
            <w:tcW w:w="2809" w:type="dxa"/>
            <w:gridSpan w:val="2"/>
            <w:vAlign w:val="center"/>
          </w:tcPr>
          <w:p w14:paraId="29B116B9">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786" w:type="dxa"/>
            <w:vAlign w:val="center"/>
          </w:tcPr>
          <w:p w14:paraId="3CC1137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注册资金</w:t>
            </w:r>
          </w:p>
        </w:tc>
        <w:tc>
          <w:tcPr>
            <w:tcW w:w="3052" w:type="dxa"/>
            <w:gridSpan w:val="2"/>
            <w:vAlign w:val="center"/>
          </w:tcPr>
          <w:p w14:paraId="09482984">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6E3A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1AE03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供应商授权代表联系人姓名</w:t>
            </w:r>
          </w:p>
        </w:tc>
        <w:tc>
          <w:tcPr>
            <w:tcW w:w="1936" w:type="dxa"/>
            <w:vAlign w:val="center"/>
          </w:tcPr>
          <w:p w14:paraId="52F71F0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873" w:type="dxa"/>
            <w:vAlign w:val="center"/>
          </w:tcPr>
          <w:p w14:paraId="2D9399C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电话</w:t>
            </w:r>
          </w:p>
        </w:tc>
        <w:tc>
          <w:tcPr>
            <w:tcW w:w="1786" w:type="dxa"/>
            <w:vAlign w:val="center"/>
          </w:tcPr>
          <w:p w14:paraId="533DAFF6">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200" w:type="dxa"/>
            <w:vAlign w:val="center"/>
          </w:tcPr>
          <w:p w14:paraId="0F50D684">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手机</w:t>
            </w:r>
          </w:p>
        </w:tc>
        <w:tc>
          <w:tcPr>
            <w:tcW w:w="1852" w:type="dxa"/>
            <w:vAlign w:val="center"/>
          </w:tcPr>
          <w:p w14:paraId="44524684">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0017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B7CCA11">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法定代表人姓名</w:t>
            </w:r>
          </w:p>
        </w:tc>
        <w:tc>
          <w:tcPr>
            <w:tcW w:w="1936" w:type="dxa"/>
            <w:vAlign w:val="center"/>
          </w:tcPr>
          <w:p w14:paraId="483B676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873" w:type="dxa"/>
            <w:vAlign w:val="center"/>
          </w:tcPr>
          <w:p w14:paraId="399B5088">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电话</w:t>
            </w:r>
          </w:p>
        </w:tc>
        <w:tc>
          <w:tcPr>
            <w:tcW w:w="1786" w:type="dxa"/>
            <w:vAlign w:val="center"/>
          </w:tcPr>
          <w:p w14:paraId="678DE82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200" w:type="dxa"/>
            <w:vAlign w:val="center"/>
          </w:tcPr>
          <w:p w14:paraId="47D7344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手机</w:t>
            </w:r>
          </w:p>
        </w:tc>
        <w:tc>
          <w:tcPr>
            <w:tcW w:w="1852" w:type="dxa"/>
            <w:vAlign w:val="center"/>
          </w:tcPr>
          <w:p w14:paraId="7D02B08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35F7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4321309">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项目经理姓名</w:t>
            </w:r>
          </w:p>
        </w:tc>
        <w:tc>
          <w:tcPr>
            <w:tcW w:w="1936" w:type="dxa"/>
            <w:vAlign w:val="center"/>
          </w:tcPr>
          <w:p w14:paraId="2686190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873" w:type="dxa"/>
            <w:vAlign w:val="center"/>
          </w:tcPr>
          <w:p w14:paraId="72C0C28F">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电话</w:t>
            </w:r>
          </w:p>
        </w:tc>
        <w:tc>
          <w:tcPr>
            <w:tcW w:w="1786" w:type="dxa"/>
            <w:vAlign w:val="center"/>
          </w:tcPr>
          <w:p w14:paraId="463BEDF3">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200" w:type="dxa"/>
            <w:vAlign w:val="center"/>
          </w:tcPr>
          <w:p w14:paraId="2135CA9F">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技术职称</w:t>
            </w:r>
          </w:p>
        </w:tc>
        <w:tc>
          <w:tcPr>
            <w:tcW w:w="1852" w:type="dxa"/>
            <w:vAlign w:val="center"/>
          </w:tcPr>
          <w:p w14:paraId="388246AE">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76EA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396433F">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员工总人数：</w:t>
            </w:r>
          </w:p>
        </w:tc>
        <w:tc>
          <w:tcPr>
            <w:tcW w:w="1936" w:type="dxa"/>
            <w:vMerge w:val="restart"/>
            <w:vAlign w:val="center"/>
          </w:tcPr>
          <w:p w14:paraId="5E288BFA">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873" w:type="dxa"/>
            <w:vMerge w:val="restart"/>
            <w:vAlign w:val="center"/>
          </w:tcPr>
          <w:p w14:paraId="21B3231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其中</w:t>
            </w:r>
          </w:p>
        </w:tc>
        <w:tc>
          <w:tcPr>
            <w:tcW w:w="1786" w:type="dxa"/>
            <w:vAlign w:val="center"/>
          </w:tcPr>
          <w:p w14:paraId="5623383B">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高级职称</w:t>
            </w:r>
          </w:p>
        </w:tc>
        <w:tc>
          <w:tcPr>
            <w:tcW w:w="3052" w:type="dxa"/>
            <w:gridSpan w:val="2"/>
            <w:vAlign w:val="center"/>
          </w:tcPr>
          <w:p w14:paraId="025E860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57CB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C5D3C5B">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936" w:type="dxa"/>
            <w:vMerge w:val="continue"/>
            <w:vAlign w:val="center"/>
          </w:tcPr>
          <w:p w14:paraId="2A9E70D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873" w:type="dxa"/>
            <w:vMerge w:val="continue"/>
            <w:vAlign w:val="center"/>
          </w:tcPr>
          <w:p w14:paraId="6A9296AF">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786" w:type="dxa"/>
            <w:vAlign w:val="center"/>
          </w:tcPr>
          <w:p w14:paraId="22D3C3A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中级职称</w:t>
            </w:r>
          </w:p>
        </w:tc>
        <w:tc>
          <w:tcPr>
            <w:tcW w:w="3052" w:type="dxa"/>
            <w:gridSpan w:val="2"/>
            <w:vAlign w:val="center"/>
          </w:tcPr>
          <w:p w14:paraId="310FADEE">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2EF0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C8D64C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936" w:type="dxa"/>
            <w:vMerge w:val="continue"/>
            <w:vAlign w:val="center"/>
          </w:tcPr>
          <w:p w14:paraId="2D275D9A">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873" w:type="dxa"/>
            <w:vMerge w:val="continue"/>
            <w:vAlign w:val="center"/>
          </w:tcPr>
          <w:p w14:paraId="2FF1D66F">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786" w:type="dxa"/>
            <w:vAlign w:val="center"/>
          </w:tcPr>
          <w:p w14:paraId="6A7839E9">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各类注册人员</w:t>
            </w:r>
          </w:p>
        </w:tc>
        <w:tc>
          <w:tcPr>
            <w:tcW w:w="3052" w:type="dxa"/>
            <w:gridSpan w:val="2"/>
            <w:vAlign w:val="center"/>
          </w:tcPr>
          <w:p w14:paraId="6A55D74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2FB4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B9CED4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基本账户开户银行</w:t>
            </w:r>
          </w:p>
        </w:tc>
        <w:tc>
          <w:tcPr>
            <w:tcW w:w="7647" w:type="dxa"/>
            <w:gridSpan w:val="5"/>
            <w:vAlign w:val="center"/>
          </w:tcPr>
          <w:p w14:paraId="1571BAA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3823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B586A39">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基本账户账号</w:t>
            </w:r>
          </w:p>
        </w:tc>
        <w:tc>
          <w:tcPr>
            <w:tcW w:w="7647" w:type="dxa"/>
            <w:gridSpan w:val="5"/>
            <w:vAlign w:val="center"/>
          </w:tcPr>
          <w:p w14:paraId="683BD52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02C1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461722CE">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经营范围</w:t>
            </w:r>
          </w:p>
        </w:tc>
        <w:tc>
          <w:tcPr>
            <w:tcW w:w="7647" w:type="dxa"/>
            <w:gridSpan w:val="5"/>
            <w:vAlign w:val="center"/>
          </w:tcPr>
          <w:p w14:paraId="30215628">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0E8A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FD1DB2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备注</w:t>
            </w:r>
          </w:p>
        </w:tc>
        <w:tc>
          <w:tcPr>
            <w:tcW w:w="7647" w:type="dxa"/>
            <w:gridSpan w:val="5"/>
            <w:vAlign w:val="center"/>
          </w:tcPr>
          <w:p w14:paraId="222B126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bl>
    <w:p w14:paraId="71321497">
      <w:pPr>
        <w:adjustRightInd w:val="0"/>
        <w:snapToGrid w:val="0"/>
        <w:spacing w:line="360" w:lineRule="auto"/>
        <w:ind w:firstLine="482" w:firstLineChars="200"/>
        <w:rPr>
          <w:rFonts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兹证明上述声明是真实、正确的，并提供了全部能提供的资料和数据，我们同意遵照贵方要求出示有关证明文件。</w:t>
      </w:r>
    </w:p>
    <w:p w14:paraId="25E765FB">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0AF00E1C">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45055D6A">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w:t>
      </w:r>
    </w:p>
    <w:p w14:paraId="0C117D2F">
      <w:pPr>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val="en-US" w:eastAsia="zh-CN"/>
        </w:rPr>
        <w:br w:type="page"/>
      </w:r>
    </w:p>
    <w:p w14:paraId="27C448F0">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54D57BFC">
      <w:pPr>
        <w:spacing w:line="360" w:lineRule="auto"/>
        <w:rPr>
          <w:rFonts w:asciiTheme="minorEastAsia" w:hAnsiTheme="minorEastAsia" w:eastAsiaTheme="minorEastAsia" w:cstheme="minorEastAsia"/>
          <w:color w:val="auto"/>
          <w:sz w:val="22"/>
          <w:szCs w:val="28"/>
          <w:highlight w:val="none"/>
        </w:rPr>
      </w:pPr>
    </w:p>
    <w:tbl>
      <w:tblPr>
        <w:tblStyle w:val="25"/>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3CC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EB3F04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E662AFA">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4EDCE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881AAA6">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365FD6">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786FF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56811DA">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316D7BBE">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066E86D3">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103BE3C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080B6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78DB584">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7432316">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142141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4E1076C0">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141D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F8F7C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25FA7AB">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3FFA4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097C43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2E2F869">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39F84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C3D251C">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0873146">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12F52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C1838E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05A28CA">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20DA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6A9DCC0">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1653522">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122D9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A07B6D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CDADF38">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624A0C27">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3B528FB8">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r w14:paraId="69261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0F61D5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2458EED">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54A7E809">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653E7645">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p>
        </w:tc>
      </w:tr>
    </w:tbl>
    <w:p w14:paraId="258CD801">
      <w:pPr>
        <w:spacing w:line="360" w:lineRule="auto"/>
        <w:rPr>
          <w:rFonts w:asciiTheme="minorEastAsia" w:hAnsiTheme="minorEastAsia" w:eastAsiaTheme="minorEastAsia" w:cstheme="minorEastAsia"/>
          <w:color w:val="auto"/>
          <w:sz w:val="22"/>
          <w:szCs w:val="28"/>
          <w:highlight w:val="none"/>
        </w:rPr>
      </w:pPr>
    </w:p>
    <w:p w14:paraId="67302692">
      <w:pPr>
        <w:spacing w:line="360" w:lineRule="auto"/>
        <w:rPr>
          <w:rFonts w:asciiTheme="minorEastAsia" w:hAnsiTheme="minorEastAsia" w:eastAsiaTheme="minorEastAsia" w:cstheme="minorEastAsia"/>
          <w:color w:val="auto"/>
          <w:sz w:val="22"/>
          <w:szCs w:val="28"/>
          <w:highlight w:val="none"/>
        </w:rPr>
      </w:pPr>
    </w:p>
    <w:p w14:paraId="26849DD6">
      <w:pPr>
        <w:adjustRightInd w:val="0"/>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1"/>
          <w:szCs w:val="24"/>
          <w:highlight w:val="none"/>
        </w:rPr>
        <w:t xml:space="preserve">       </w:t>
      </w:r>
    </w:p>
    <w:p w14:paraId="69DE1B12">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04F5356D">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0E97E4BB">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日期</w:t>
      </w:r>
      <w:r>
        <w:rPr>
          <w:rFonts w:hint="eastAsia" w:asciiTheme="minorEastAsia" w:hAnsiTheme="minorEastAsia" w:eastAsiaTheme="minorEastAsia" w:cstheme="minorEastAsia"/>
          <w:color w:val="auto"/>
          <w:kern w:val="0"/>
          <w:sz w:val="24"/>
          <w:szCs w:val="24"/>
          <w:highlight w:val="none"/>
          <w:lang w:val="zh-CN" w:eastAsia="zh-CN"/>
        </w:rPr>
        <w:t>：</w:t>
      </w:r>
    </w:p>
    <w:p w14:paraId="67CC7FCB">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6"/>
          <w:szCs w:val="36"/>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1B9AC1E9">
      <w:pPr>
        <w:snapToGrid w:val="0"/>
        <w:spacing w:line="360"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（按采购文件第四部分评审办法前附表中“响应文件中评审标准相应的商务技术资料目录”提供资料）</w:t>
      </w:r>
    </w:p>
    <w:p w14:paraId="54FB8A9D">
      <w:pPr>
        <w:pStyle w:val="32"/>
        <w:ind w:firstLine="560"/>
        <w:rPr>
          <w:rFonts w:asciiTheme="minorEastAsia" w:hAnsiTheme="minorEastAsia" w:eastAsiaTheme="minorEastAsia" w:cstheme="minorEastAsia"/>
          <w:color w:val="auto"/>
          <w:sz w:val="32"/>
          <w:szCs w:val="28"/>
          <w:highlight w:val="none"/>
          <w:lang w:val="zh-CN"/>
        </w:rPr>
      </w:pPr>
    </w:p>
    <w:p w14:paraId="2F6A3DA5">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6"/>
          <w:szCs w:val="36"/>
          <w:highlight w:val="none"/>
          <w:lang w:val="zh-CN"/>
        </w:rPr>
      </w:pPr>
      <w:r>
        <w:rPr>
          <w:rFonts w:hint="eastAsia" w:asciiTheme="minorEastAsia" w:hAnsiTheme="minorEastAsia" w:eastAsiaTheme="minorEastAsia" w:cstheme="minorEastAsia"/>
          <w:b/>
          <w:color w:val="auto"/>
          <w:kern w:val="0"/>
          <w:sz w:val="36"/>
          <w:szCs w:val="36"/>
          <w:highlight w:val="none"/>
          <w:lang w:val="en-US" w:eastAsia="zh-CN"/>
        </w:rPr>
        <w:t>八、</w:t>
      </w:r>
      <w:r>
        <w:rPr>
          <w:rFonts w:hint="eastAsia" w:asciiTheme="minorEastAsia" w:hAnsiTheme="minorEastAsia" w:eastAsiaTheme="minorEastAsia" w:cstheme="minorEastAsia"/>
          <w:b/>
          <w:color w:val="auto"/>
          <w:kern w:val="0"/>
          <w:sz w:val="36"/>
          <w:szCs w:val="36"/>
          <w:highlight w:val="none"/>
          <w:lang w:val="zh-CN"/>
        </w:rPr>
        <w:t>商务</w:t>
      </w:r>
      <w:r>
        <w:rPr>
          <w:rFonts w:hint="eastAsia" w:asciiTheme="minorEastAsia" w:hAnsiTheme="minorEastAsia" w:eastAsiaTheme="minorEastAsia" w:cstheme="minorEastAsia"/>
          <w:b/>
          <w:color w:val="auto"/>
          <w:kern w:val="0"/>
          <w:sz w:val="36"/>
          <w:szCs w:val="36"/>
          <w:highlight w:val="none"/>
        </w:rPr>
        <w:t>响应</w:t>
      </w:r>
      <w:r>
        <w:rPr>
          <w:rFonts w:hint="eastAsia" w:asciiTheme="minorEastAsia" w:hAnsiTheme="minorEastAsia" w:eastAsiaTheme="minorEastAsia" w:cstheme="minorEastAsia"/>
          <w:b/>
          <w:color w:val="auto"/>
          <w:kern w:val="0"/>
          <w:sz w:val="36"/>
          <w:szCs w:val="36"/>
          <w:highlight w:val="none"/>
          <w:lang w:val="zh-CN"/>
        </w:rPr>
        <w:t>表</w:t>
      </w:r>
    </w:p>
    <w:tbl>
      <w:tblPr>
        <w:tblStyle w:val="26"/>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6D6A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C542EE9">
            <w:pPr>
              <w:spacing w:before="156" w:beforeLines="50" w:line="240" w:lineRule="auto"/>
              <w:jc w:val="center"/>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序号</w:t>
            </w:r>
          </w:p>
        </w:tc>
        <w:tc>
          <w:tcPr>
            <w:tcW w:w="6042" w:type="dxa"/>
            <w:vAlign w:val="center"/>
          </w:tcPr>
          <w:p w14:paraId="123C6B11">
            <w:pPr>
              <w:spacing w:before="156" w:beforeLines="50" w:line="240" w:lineRule="auto"/>
              <w:jc w:val="center"/>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商务条款要求</w:t>
            </w:r>
          </w:p>
        </w:tc>
        <w:tc>
          <w:tcPr>
            <w:tcW w:w="1166" w:type="dxa"/>
            <w:vAlign w:val="center"/>
          </w:tcPr>
          <w:p w14:paraId="35751573">
            <w:pPr>
              <w:pageBreakBefore w:val="0"/>
              <w:shd w:val="clear" w:color="auto" w:fill="auto"/>
              <w:kinsoku/>
              <w:wordWrap/>
              <w:overflowPunct/>
              <w:topLinePunct w:val="0"/>
              <w:bidi w:val="0"/>
              <w:spacing w:beforeLines="50" w:line="360" w:lineRule="auto"/>
              <w:jc w:val="center"/>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Cs w:val="21"/>
                <w:highlight w:val="none"/>
              </w:rPr>
              <w:t>响应情况</w:t>
            </w:r>
          </w:p>
        </w:tc>
        <w:tc>
          <w:tcPr>
            <w:tcW w:w="1414" w:type="dxa"/>
            <w:vAlign w:val="center"/>
          </w:tcPr>
          <w:p w14:paraId="67E5CE1C">
            <w:pPr>
              <w:pageBreakBefore w:val="0"/>
              <w:shd w:val="clear" w:color="auto" w:fill="auto"/>
              <w:kinsoku/>
              <w:wordWrap/>
              <w:overflowPunct/>
              <w:topLinePunct w:val="0"/>
              <w:bidi w:val="0"/>
              <w:spacing w:beforeLines="50" w:line="360" w:lineRule="auto"/>
              <w:jc w:val="center"/>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Cs w:val="21"/>
                <w:highlight w:val="none"/>
              </w:rPr>
              <w:t>优于</w:t>
            </w:r>
            <w:r>
              <w:rPr>
                <w:rFonts w:hint="eastAsia" w:ascii="宋体" w:hAnsi="宋体" w:cs="宋体"/>
                <w:b/>
                <w:bCs w:val="0"/>
                <w:color w:val="auto"/>
                <w:szCs w:val="21"/>
                <w:highlight w:val="none"/>
                <w:lang w:val="en-US" w:eastAsia="zh-CN"/>
              </w:rPr>
              <w:t>或</w:t>
            </w:r>
            <w:r>
              <w:rPr>
                <w:rFonts w:hint="eastAsia" w:ascii="宋体" w:hAnsi="宋体" w:cs="宋体"/>
                <w:b/>
                <w:bCs w:val="0"/>
                <w:color w:val="auto"/>
                <w:szCs w:val="21"/>
                <w:highlight w:val="none"/>
              </w:rPr>
              <w:t>偏离情况说明（如有）</w:t>
            </w:r>
          </w:p>
        </w:tc>
      </w:tr>
      <w:tr w14:paraId="18A5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F0B219E">
            <w:pPr>
              <w:spacing w:before="156" w:beforeLines="50" w:line="240" w:lineRule="auto"/>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w:t>
            </w:r>
          </w:p>
        </w:tc>
        <w:tc>
          <w:tcPr>
            <w:tcW w:w="6042" w:type="dxa"/>
            <w:vAlign w:val="center"/>
          </w:tcPr>
          <w:p w14:paraId="40427AA4">
            <w:pPr>
              <w:spacing w:before="156" w:beforeLines="50" w:line="360" w:lineRule="auto"/>
              <w:rPr>
                <w:rFonts w:asciiTheme="minorEastAsia" w:hAnsiTheme="minorEastAsia" w:eastAsiaTheme="minorEastAsia" w:cstheme="minorEastAsia"/>
                <w:b/>
                <w:color w:val="auto"/>
                <w:kern w:val="0"/>
                <w:sz w:val="36"/>
                <w:szCs w:val="36"/>
                <w:highlight w:val="none"/>
              </w:rPr>
            </w:pPr>
          </w:p>
        </w:tc>
        <w:tc>
          <w:tcPr>
            <w:tcW w:w="1166" w:type="dxa"/>
          </w:tcPr>
          <w:p w14:paraId="4B1504AF">
            <w:pPr>
              <w:spacing w:line="360" w:lineRule="auto"/>
              <w:jc w:val="center"/>
              <w:rPr>
                <w:rFonts w:asciiTheme="minorEastAsia" w:hAnsiTheme="minorEastAsia" w:eastAsiaTheme="minorEastAsia" w:cstheme="minorEastAsia"/>
                <w:b/>
                <w:color w:val="auto"/>
                <w:kern w:val="0"/>
                <w:sz w:val="36"/>
                <w:szCs w:val="36"/>
                <w:highlight w:val="none"/>
              </w:rPr>
            </w:pPr>
          </w:p>
        </w:tc>
        <w:tc>
          <w:tcPr>
            <w:tcW w:w="1414" w:type="dxa"/>
          </w:tcPr>
          <w:p w14:paraId="5B980C67">
            <w:pPr>
              <w:spacing w:line="360" w:lineRule="auto"/>
              <w:jc w:val="center"/>
              <w:rPr>
                <w:rFonts w:asciiTheme="minorEastAsia" w:hAnsiTheme="minorEastAsia" w:eastAsiaTheme="minorEastAsia" w:cstheme="minorEastAsia"/>
                <w:b/>
                <w:color w:val="auto"/>
                <w:kern w:val="0"/>
                <w:sz w:val="36"/>
                <w:szCs w:val="36"/>
                <w:highlight w:val="none"/>
              </w:rPr>
            </w:pPr>
          </w:p>
        </w:tc>
      </w:tr>
      <w:tr w14:paraId="0E21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8620257">
            <w:pPr>
              <w:spacing w:before="156" w:beforeLines="50" w:line="240" w:lineRule="auto"/>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2</w:t>
            </w:r>
          </w:p>
        </w:tc>
        <w:tc>
          <w:tcPr>
            <w:tcW w:w="6042" w:type="dxa"/>
            <w:vAlign w:val="center"/>
          </w:tcPr>
          <w:p w14:paraId="16EF9A99">
            <w:pPr>
              <w:spacing w:before="156" w:beforeLines="50" w:line="360" w:lineRule="auto"/>
              <w:rPr>
                <w:rFonts w:asciiTheme="minorEastAsia" w:hAnsiTheme="minorEastAsia" w:eastAsiaTheme="minorEastAsia" w:cstheme="minorEastAsia"/>
                <w:b/>
                <w:color w:val="auto"/>
                <w:kern w:val="0"/>
                <w:sz w:val="36"/>
                <w:szCs w:val="36"/>
                <w:highlight w:val="none"/>
              </w:rPr>
            </w:pPr>
          </w:p>
        </w:tc>
        <w:tc>
          <w:tcPr>
            <w:tcW w:w="1166" w:type="dxa"/>
          </w:tcPr>
          <w:p w14:paraId="47763DB9">
            <w:pPr>
              <w:spacing w:line="360" w:lineRule="auto"/>
              <w:jc w:val="center"/>
              <w:rPr>
                <w:rFonts w:asciiTheme="minorEastAsia" w:hAnsiTheme="minorEastAsia" w:eastAsiaTheme="minorEastAsia" w:cstheme="minorEastAsia"/>
                <w:b/>
                <w:color w:val="auto"/>
                <w:kern w:val="0"/>
                <w:sz w:val="36"/>
                <w:szCs w:val="36"/>
                <w:highlight w:val="none"/>
              </w:rPr>
            </w:pPr>
          </w:p>
        </w:tc>
        <w:tc>
          <w:tcPr>
            <w:tcW w:w="1414" w:type="dxa"/>
          </w:tcPr>
          <w:p w14:paraId="36EB6195">
            <w:pPr>
              <w:spacing w:line="360" w:lineRule="auto"/>
              <w:jc w:val="center"/>
              <w:rPr>
                <w:rFonts w:asciiTheme="minorEastAsia" w:hAnsiTheme="minorEastAsia" w:eastAsiaTheme="minorEastAsia" w:cstheme="minorEastAsia"/>
                <w:b/>
                <w:color w:val="auto"/>
                <w:kern w:val="0"/>
                <w:sz w:val="36"/>
                <w:szCs w:val="36"/>
                <w:highlight w:val="none"/>
              </w:rPr>
            </w:pPr>
          </w:p>
        </w:tc>
      </w:tr>
      <w:tr w14:paraId="3BB4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8F16F18">
            <w:pPr>
              <w:spacing w:before="156" w:beforeLines="50" w:line="240" w:lineRule="auto"/>
              <w:jc w:val="center"/>
              <w:rPr>
                <w:rFonts w:hint="eastAsia" w:asciiTheme="minorEastAsia" w:hAnsiTheme="minorEastAsia" w:eastAsiaTheme="minorEastAsia" w:cstheme="minorEastAsia"/>
                <w:color w:val="auto"/>
                <w:kern w:val="0"/>
                <w:sz w:val="28"/>
                <w:szCs w:val="28"/>
                <w:highlight w:val="none"/>
                <w:lang w:eastAsia="zh-CN"/>
              </w:rPr>
            </w:pPr>
          </w:p>
        </w:tc>
        <w:tc>
          <w:tcPr>
            <w:tcW w:w="6042" w:type="dxa"/>
            <w:vAlign w:val="center"/>
          </w:tcPr>
          <w:p w14:paraId="3B76F5D2">
            <w:pPr>
              <w:spacing w:before="156" w:beforeLines="50" w:line="360" w:lineRule="auto"/>
              <w:rPr>
                <w:rFonts w:asciiTheme="minorEastAsia" w:hAnsiTheme="minorEastAsia" w:eastAsiaTheme="minorEastAsia" w:cstheme="minorEastAsia"/>
                <w:b/>
                <w:color w:val="auto"/>
                <w:kern w:val="0"/>
                <w:sz w:val="36"/>
                <w:szCs w:val="36"/>
                <w:highlight w:val="none"/>
              </w:rPr>
            </w:pPr>
          </w:p>
        </w:tc>
        <w:tc>
          <w:tcPr>
            <w:tcW w:w="1166" w:type="dxa"/>
          </w:tcPr>
          <w:p w14:paraId="60D4D061">
            <w:pPr>
              <w:spacing w:line="360" w:lineRule="auto"/>
              <w:jc w:val="center"/>
              <w:rPr>
                <w:rFonts w:asciiTheme="minorEastAsia" w:hAnsiTheme="minorEastAsia" w:eastAsiaTheme="minorEastAsia" w:cstheme="minorEastAsia"/>
                <w:b/>
                <w:color w:val="auto"/>
                <w:kern w:val="0"/>
                <w:sz w:val="36"/>
                <w:szCs w:val="36"/>
                <w:highlight w:val="none"/>
              </w:rPr>
            </w:pPr>
          </w:p>
        </w:tc>
        <w:tc>
          <w:tcPr>
            <w:tcW w:w="1414" w:type="dxa"/>
          </w:tcPr>
          <w:p w14:paraId="77DCA734">
            <w:pPr>
              <w:spacing w:line="360" w:lineRule="auto"/>
              <w:jc w:val="center"/>
              <w:rPr>
                <w:rFonts w:asciiTheme="minorEastAsia" w:hAnsiTheme="minorEastAsia" w:eastAsiaTheme="minorEastAsia" w:cstheme="minorEastAsia"/>
                <w:b/>
                <w:color w:val="auto"/>
                <w:kern w:val="0"/>
                <w:sz w:val="36"/>
                <w:szCs w:val="36"/>
                <w:highlight w:val="none"/>
              </w:rPr>
            </w:pPr>
          </w:p>
        </w:tc>
      </w:tr>
      <w:tr w14:paraId="38A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3572E1">
            <w:pPr>
              <w:spacing w:before="156" w:beforeLines="50" w:line="240" w:lineRule="auto"/>
              <w:jc w:val="center"/>
              <w:rPr>
                <w:rFonts w:hint="eastAsia" w:asciiTheme="minorEastAsia" w:hAnsiTheme="minorEastAsia" w:eastAsiaTheme="minorEastAsia" w:cstheme="minorEastAsia"/>
                <w:color w:val="auto"/>
                <w:kern w:val="0"/>
                <w:sz w:val="28"/>
                <w:szCs w:val="28"/>
                <w:highlight w:val="none"/>
              </w:rPr>
            </w:pPr>
          </w:p>
        </w:tc>
        <w:tc>
          <w:tcPr>
            <w:tcW w:w="6042" w:type="dxa"/>
            <w:vAlign w:val="center"/>
          </w:tcPr>
          <w:p w14:paraId="1B80A2A8">
            <w:pPr>
              <w:pStyle w:val="35"/>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stheme="minorEastAsia"/>
                <w:b/>
                <w:color w:val="auto"/>
                <w:kern w:val="0"/>
                <w:sz w:val="36"/>
                <w:szCs w:val="36"/>
                <w:highlight w:val="none"/>
              </w:rPr>
            </w:pPr>
          </w:p>
        </w:tc>
        <w:tc>
          <w:tcPr>
            <w:tcW w:w="1166" w:type="dxa"/>
          </w:tcPr>
          <w:p w14:paraId="7A1CB5E8">
            <w:pPr>
              <w:spacing w:line="360" w:lineRule="auto"/>
              <w:jc w:val="center"/>
              <w:rPr>
                <w:rFonts w:asciiTheme="minorEastAsia" w:hAnsiTheme="minorEastAsia" w:eastAsiaTheme="minorEastAsia" w:cstheme="minorEastAsia"/>
                <w:b/>
                <w:color w:val="auto"/>
                <w:kern w:val="0"/>
                <w:sz w:val="36"/>
                <w:szCs w:val="36"/>
                <w:highlight w:val="none"/>
              </w:rPr>
            </w:pPr>
          </w:p>
        </w:tc>
        <w:tc>
          <w:tcPr>
            <w:tcW w:w="1414" w:type="dxa"/>
          </w:tcPr>
          <w:p w14:paraId="0B3D43DC">
            <w:pPr>
              <w:spacing w:line="360" w:lineRule="auto"/>
              <w:jc w:val="center"/>
              <w:rPr>
                <w:rFonts w:asciiTheme="minorEastAsia" w:hAnsiTheme="minorEastAsia" w:eastAsiaTheme="minorEastAsia" w:cstheme="minorEastAsia"/>
                <w:b/>
                <w:color w:val="auto"/>
                <w:kern w:val="0"/>
                <w:sz w:val="36"/>
                <w:szCs w:val="36"/>
                <w:highlight w:val="none"/>
              </w:rPr>
            </w:pPr>
          </w:p>
        </w:tc>
      </w:tr>
      <w:tr w14:paraId="7F90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52F3A5C">
            <w:pPr>
              <w:spacing w:before="156" w:beforeLines="50" w:line="240" w:lineRule="auto"/>
              <w:jc w:val="center"/>
              <w:rPr>
                <w:rFonts w:hint="eastAsia" w:asciiTheme="minorEastAsia" w:hAnsiTheme="minorEastAsia" w:eastAsiaTheme="minorEastAsia" w:cstheme="minorEastAsia"/>
                <w:color w:val="auto"/>
                <w:kern w:val="0"/>
                <w:sz w:val="28"/>
                <w:szCs w:val="28"/>
                <w:highlight w:val="none"/>
              </w:rPr>
            </w:pPr>
          </w:p>
        </w:tc>
        <w:tc>
          <w:tcPr>
            <w:tcW w:w="6042" w:type="dxa"/>
            <w:vAlign w:val="center"/>
          </w:tcPr>
          <w:p w14:paraId="5426C5C7">
            <w:pPr>
              <w:spacing w:before="156" w:beforeLines="50" w:line="360" w:lineRule="auto"/>
              <w:rPr>
                <w:rFonts w:asciiTheme="minorEastAsia" w:hAnsiTheme="minorEastAsia" w:eastAsiaTheme="minorEastAsia" w:cstheme="minorEastAsia"/>
                <w:b/>
                <w:color w:val="auto"/>
                <w:kern w:val="0"/>
                <w:sz w:val="36"/>
                <w:szCs w:val="36"/>
                <w:highlight w:val="none"/>
              </w:rPr>
            </w:pPr>
          </w:p>
        </w:tc>
        <w:tc>
          <w:tcPr>
            <w:tcW w:w="1166" w:type="dxa"/>
          </w:tcPr>
          <w:p w14:paraId="639D6EF3">
            <w:pPr>
              <w:spacing w:line="360" w:lineRule="auto"/>
              <w:jc w:val="center"/>
              <w:rPr>
                <w:rFonts w:asciiTheme="minorEastAsia" w:hAnsiTheme="minorEastAsia" w:eastAsiaTheme="minorEastAsia" w:cstheme="minorEastAsia"/>
                <w:b/>
                <w:color w:val="auto"/>
                <w:kern w:val="0"/>
                <w:sz w:val="36"/>
                <w:szCs w:val="36"/>
                <w:highlight w:val="none"/>
              </w:rPr>
            </w:pPr>
          </w:p>
        </w:tc>
        <w:tc>
          <w:tcPr>
            <w:tcW w:w="1414" w:type="dxa"/>
          </w:tcPr>
          <w:p w14:paraId="1B66C2A4">
            <w:pPr>
              <w:spacing w:line="360" w:lineRule="auto"/>
              <w:jc w:val="center"/>
              <w:rPr>
                <w:rFonts w:asciiTheme="minorEastAsia" w:hAnsiTheme="minorEastAsia" w:eastAsiaTheme="minorEastAsia" w:cstheme="minorEastAsia"/>
                <w:b/>
                <w:color w:val="auto"/>
                <w:kern w:val="0"/>
                <w:sz w:val="36"/>
                <w:szCs w:val="36"/>
                <w:highlight w:val="none"/>
              </w:rPr>
            </w:pPr>
          </w:p>
        </w:tc>
      </w:tr>
      <w:tr w14:paraId="367F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530B662">
            <w:pPr>
              <w:spacing w:before="156" w:beforeLines="50" w:line="240" w:lineRule="auto"/>
              <w:jc w:val="center"/>
              <w:rPr>
                <w:rFonts w:hint="eastAsia" w:asciiTheme="minorEastAsia" w:hAnsiTheme="minorEastAsia" w:eastAsiaTheme="minorEastAsia" w:cstheme="minorEastAsia"/>
                <w:color w:val="auto"/>
                <w:kern w:val="0"/>
                <w:sz w:val="28"/>
                <w:szCs w:val="28"/>
                <w:highlight w:val="none"/>
              </w:rPr>
            </w:pPr>
          </w:p>
        </w:tc>
        <w:tc>
          <w:tcPr>
            <w:tcW w:w="6042" w:type="dxa"/>
            <w:vAlign w:val="center"/>
          </w:tcPr>
          <w:p w14:paraId="67D35EB4">
            <w:pPr>
              <w:spacing w:before="156" w:beforeLines="50" w:line="360" w:lineRule="auto"/>
              <w:rPr>
                <w:rFonts w:hint="eastAsia" w:ascii="宋体" w:hAnsi="宋体" w:eastAsia="宋体" w:cs="宋体"/>
                <w:b w:val="0"/>
                <w:bCs/>
                <w:color w:val="auto"/>
                <w:sz w:val="22"/>
                <w:szCs w:val="22"/>
                <w:highlight w:val="none"/>
                <w:lang w:val="en-US" w:eastAsia="zh-CN"/>
              </w:rPr>
            </w:pPr>
          </w:p>
        </w:tc>
        <w:tc>
          <w:tcPr>
            <w:tcW w:w="1166" w:type="dxa"/>
          </w:tcPr>
          <w:p w14:paraId="2DA093FA">
            <w:pPr>
              <w:spacing w:line="360" w:lineRule="auto"/>
              <w:jc w:val="center"/>
              <w:rPr>
                <w:rFonts w:asciiTheme="minorEastAsia" w:hAnsiTheme="minorEastAsia" w:eastAsiaTheme="minorEastAsia" w:cstheme="minorEastAsia"/>
                <w:b/>
                <w:color w:val="auto"/>
                <w:kern w:val="0"/>
                <w:sz w:val="36"/>
                <w:szCs w:val="36"/>
                <w:highlight w:val="none"/>
              </w:rPr>
            </w:pPr>
          </w:p>
        </w:tc>
        <w:tc>
          <w:tcPr>
            <w:tcW w:w="1414" w:type="dxa"/>
          </w:tcPr>
          <w:p w14:paraId="7739A3B5">
            <w:pPr>
              <w:spacing w:line="360" w:lineRule="auto"/>
              <w:jc w:val="center"/>
              <w:rPr>
                <w:rFonts w:asciiTheme="minorEastAsia" w:hAnsiTheme="minorEastAsia" w:eastAsiaTheme="minorEastAsia" w:cstheme="minorEastAsia"/>
                <w:b/>
                <w:color w:val="auto"/>
                <w:kern w:val="0"/>
                <w:sz w:val="36"/>
                <w:szCs w:val="36"/>
                <w:highlight w:val="none"/>
              </w:rPr>
            </w:pPr>
          </w:p>
        </w:tc>
      </w:tr>
    </w:tbl>
    <w:p w14:paraId="26AD5921">
      <w:pPr>
        <w:pageBreakBefore w:val="0"/>
        <w:kinsoku/>
        <w:wordWrap/>
        <w:overflowPunct/>
        <w:topLinePunct w:val="0"/>
        <w:bidi w:val="0"/>
        <w:spacing w:line="360" w:lineRule="auto"/>
        <w:jc w:val="left"/>
        <w:rPr>
          <w:rFonts w:ascii="宋体" w:hAnsi="宋体" w:eastAsia="宋体" w:cs="仿宋"/>
          <w:color w:val="auto"/>
          <w:kern w:val="0"/>
          <w:sz w:val="22"/>
          <w:szCs w:val="22"/>
          <w:highlight w:val="none"/>
        </w:rPr>
      </w:pPr>
      <w:r>
        <w:rPr>
          <w:rFonts w:hint="eastAsia" w:ascii="宋体" w:hAnsi="宋体" w:cs="仿宋"/>
          <w:color w:val="auto"/>
          <w:kern w:val="0"/>
          <w:sz w:val="22"/>
          <w:szCs w:val="22"/>
          <w:highlight w:val="none"/>
          <w:lang w:val="en-US" w:eastAsia="zh-CN"/>
        </w:rPr>
        <w:t>注：</w:t>
      </w:r>
      <w:r>
        <w:rPr>
          <w:rFonts w:hint="eastAsia" w:ascii="宋体" w:hAnsi="宋体" w:eastAsia="宋体" w:cs="仿宋"/>
          <w:color w:val="auto"/>
          <w:kern w:val="0"/>
          <w:sz w:val="22"/>
          <w:szCs w:val="22"/>
          <w:highlight w:val="none"/>
        </w:rPr>
        <w:t>1、除商务偏离表列出的偏离外，投标人响应招标文件的全部商务要求。</w:t>
      </w:r>
    </w:p>
    <w:p w14:paraId="527DF112">
      <w:pPr>
        <w:pageBreakBefore w:val="0"/>
        <w:kinsoku/>
        <w:wordWrap/>
        <w:overflowPunct/>
        <w:topLinePunct w:val="0"/>
        <w:bidi w:val="0"/>
        <w:spacing w:line="360" w:lineRule="auto"/>
        <w:ind w:firstLine="220" w:firstLineChars="100"/>
        <w:jc w:val="left"/>
        <w:rPr>
          <w:rFonts w:hint="eastAsia" w:ascii="宋体" w:hAnsi="宋体" w:eastAsia="宋体" w:cs="仿宋"/>
          <w:color w:val="auto"/>
          <w:kern w:val="0"/>
          <w:sz w:val="22"/>
          <w:szCs w:val="22"/>
          <w:highlight w:val="none"/>
        </w:rPr>
      </w:pPr>
      <w:r>
        <w:rPr>
          <w:rFonts w:hint="eastAsia" w:ascii="宋体" w:hAnsi="宋体" w:eastAsia="宋体" w:cs="仿宋"/>
          <w:color w:val="auto"/>
          <w:kern w:val="0"/>
          <w:sz w:val="22"/>
          <w:szCs w:val="22"/>
          <w:highlight w:val="none"/>
        </w:rPr>
        <w:t xml:space="preserve">  2、响应情况填写“响应”即为满足采购文件的要求，填写“正偏离”为优于采购文件的要求，填写“负偏离”为不能满足采购文件的要求，响应条款有“正偏离”和“负偏离”的应当在“优于</w:t>
      </w:r>
      <w:r>
        <w:rPr>
          <w:rFonts w:hint="eastAsia" w:ascii="宋体" w:hAnsi="宋体" w:eastAsia="宋体" w:cs="仿宋"/>
          <w:color w:val="auto"/>
          <w:kern w:val="0"/>
          <w:sz w:val="22"/>
          <w:szCs w:val="22"/>
          <w:highlight w:val="none"/>
          <w:lang w:val="en-US" w:eastAsia="zh-CN"/>
        </w:rPr>
        <w:t>或</w:t>
      </w:r>
      <w:r>
        <w:rPr>
          <w:rFonts w:hint="eastAsia" w:ascii="宋体" w:hAnsi="宋体" w:eastAsia="宋体" w:cs="仿宋"/>
          <w:color w:val="auto"/>
          <w:kern w:val="0"/>
          <w:sz w:val="22"/>
          <w:szCs w:val="22"/>
          <w:highlight w:val="none"/>
        </w:rPr>
        <w:t>偏离情况说明”栏进行明确描述，响应情况由评标小组认定。</w:t>
      </w:r>
    </w:p>
    <w:p w14:paraId="3F489D0F">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p>
    <w:p w14:paraId="785B8F68">
      <w:pPr>
        <w:autoSpaceDE w:val="0"/>
        <w:autoSpaceDN w:val="0"/>
        <w:spacing w:line="360" w:lineRule="auto"/>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3BCE052E">
      <w:pPr>
        <w:autoSpaceDE w:val="0"/>
        <w:autoSpaceDN w:val="0"/>
        <w:spacing w:line="360" w:lineRule="auto"/>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7A4EABA7">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日期</w:t>
      </w:r>
      <w:r>
        <w:rPr>
          <w:rFonts w:hint="eastAsia" w:asciiTheme="minorEastAsia" w:hAnsiTheme="minorEastAsia" w:eastAsiaTheme="minorEastAsia" w:cstheme="minorEastAsia"/>
          <w:color w:val="auto"/>
          <w:kern w:val="0"/>
          <w:sz w:val="24"/>
          <w:szCs w:val="24"/>
          <w:highlight w:val="none"/>
          <w:lang w:val="zh-CN" w:eastAsia="zh-CN"/>
        </w:rPr>
        <w:t>：</w:t>
      </w:r>
    </w:p>
    <w:p w14:paraId="474885B3">
      <w:pPr>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val="en-US" w:eastAsia="zh-CN"/>
        </w:rPr>
        <w:br w:type="page"/>
      </w:r>
    </w:p>
    <w:p w14:paraId="6B748AB6">
      <w:pPr>
        <w:widowControl/>
        <w:jc w:val="center"/>
        <w:rPr>
          <w:rFonts w:hint="eastAsia" w:asciiTheme="minorEastAsia" w:hAnsiTheme="minorEastAsia" w:eastAsiaTheme="minorEastAsia" w:cstheme="minorEastAsia"/>
          <w:b/>
          <w:color w:val="auto"/>
          <w:kern w:val="0"/>
          <w:sz w:val="36"/>
          <w:szCs w:val="36"/>
          <w:highlight w:val="none"/>
          <w:lang w:val="zh-CN"/>
        </w:rPr>
      </w:pPr>
      <w:r>
        <w:rPr>
          <w:rFonts w:hint="eastAsia" w:asciiTheme="minorEastAsia" w:hAnsiTheme="minorEastAsia" w:eastAsiaTheme="minorEastAsia" w:cstheme="minorEastAsia"/>
          <w:b/>
          <w:color w:val="auto"/>
          <w:kern w:val="0"/>
          <w:sz w:val="36"/>
          <w:szCs w:val="36"/>
          <w:highlight w:val="none"/>
          <w:lang w:val="en-US" w:eastAsia="zh-CN"/>
        </w:rPr>
        <w:t>九、</w:t>
      </w:r>
      <w:r>
        <w:rPr>
          <w:rFonts w:hint="eastAsia" w:asciiTheme="minorEastAsia" w:hAnsiTheme="minorEastAsia" w:eastAsiaTheme="minorEastAsia" w:cstheme="minorEastAsia"/>
          <w:b/>
          <w:color w:val="auto"/>
          <w:kern w:val="0"/>
          <w:sz w:val="36"/>
          <w:szCs w:val="36"/>
          <w:highlight w:val="none"/>
          <w:lang w:val="zh-CN"/>
        </w:rPr>
        <w:t>技术</w:t>
      </w:r>
      <w:r>
        <w:rPr>
          <w:rFonts w:hint="eastAsia" w:asciiTheme="minorEastAsia" w:hAnsiTheme="minorEastAsia" w:eastAsiaTheme="minorEastAsia" w:cstheme="minorEastAsia"/>
          <w:b/>
          <w:color w:val="auto"/>
          <w:kern w:val="0"/>
          <w:sz w:val="36"/>
          <w:szCs w:val="36"/>
          <w:highlight w:val="none"/>
        </w:rPr>
        <w:t>响应</w:t>
      </w:r>
      <w:r>
        <w:rPr>
          <w:rFonts w:hint="eastAsia" w:asciiTheme="minorEastAsia" w:hAnsiTheme="minorEastAsia" w:eastAsiaTheme="minorEastAsia" w:cstheme="minorEastAsia"/>
          <w:b/>
          <w:color w:val="auto"/>
          <w:kern w:val="0"/>
          <w:sz w:val="36"/>
          <w:szCs w:val="36"/>
          <w:highlight w:val="none"/>
          <w:lang w:val="zh-CN"/>
        </w:rPr>
        <w:t>表</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1374"/>
        <w:gridCol w:w="1319"/>
      </w:tblGrid>
      <w:tr w14:paraId="6434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143FF157">
            <w:pPr>
              <w:widowControl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5528" w:type="dxa"/>
            <w:vAlign w:val="center"/>
          </w:tcPr>
          <w:p w14:paraId="18882D75">
            <w:pPr>
              <w:widowControl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技术要求</w:t>
            </w:r>
          </w:p>
        </w:tc>
        <w:tc>
          <w:tcPr>
            <w:tcW w:w="1374" w:type="dxa"/>
            <w:vAlign w:val="center"/>
          </w:tcPr>
          <w:p w14:paraId="04B5F3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是否响应</w:t>
            </w:r>
          </w:p>
        </w:tc>
        <w:tc>
          <w:tcPr>
            <w:tcW w:w="1319" w:type="dxa"/>
            <w:vAlign w:val="center"/>
          </w:tcPr>
          <w:p w14:paraId="254918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优于</w:t>
            </w:r>
            <w:r>
              <w:rPr>
                <w:rFonts w:hint="eastAsia" w:ascii="宋体" w:hAnsi="宋体" w:eastAsia="宋体" w:cs="宋体"/>
                <w:b/>
                <w:bCs w:val="0"/>
                <w:color w:val="auto"/>
                <w:szCs w:val="21"/>
                <w:highlight w:val="none"/>
                <w:lang w:val="en-US" w:eastAsia="zh-CN"/>
              </w:rPr>
              <w:t>或</w:t>
            </w:r>
            <w:r>
              <w:rPr>
                <w:rFonts w:hint="eastAsia" w:ascii="宋体" w:hAnsi="宋体" w:eastAsia="宋体" w:cs="宋体"/>
                <w:b/>
                <w:bCs w:val="0"/>
                <w:color w:val="auto"/>
                <w:szCs w:val="21"/>
                <w:highlight w:val="none"/>
              </w:rPr>
              <w:t>偏离情况说明（如有）</w:t>
            </w:r>
          </w:p>
        </w:tc>
      </w:tr>
      <w:tr w14:paraId="715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C67873">
            <w:pPr>
              <w:widowControl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5528" w:type="dxa"/>
            <w:vAlign w:val="center"/>
          </w:tcPr>
          <w:p w14:paraId="2113BABA">
            <w:pPr>
              <w:widowControl w:val="0"/>
              <w:spacing w:beforeLines="50" w:line="360" w:lineRule="auto"/>
              <w:jc w:val="both"/>
              <w:rPr>
                <w:rFonts w:asciiTheme="minorEastAsia" w:hAnsiTheme="minorEastAsia" w:eastAsiaTheme="minorEastAsia" w:cstheme="minorEastAsia"/>
                <w:b/>
                <w:color w:val="auto"/>
                <w:kern w:val="0"/>
                <w:sz w:val="32"/>
                <w:szCs w:val="32"/>
                <w:highlight w:val="none"/>
              </w:rPr>
            </w:pPr>
          </w:p>
        </w:tc>
        <w:tc>
          <w:tcPr>
            <w:tcW w:w="1374" w:type="dxa"/>
            <w:vAlign w:val="center"/>
          </w:tcPr>
          <w:p w14:paraId="440B2B93">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c>
          <w:tcPr>
            <w:tcW w:w="1319" w:type="dxa"/>
            <w:vAlign w:val="center"/>
          </w:tcPr>
          <w:p w14:paraId="5B58A7C9">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r>
      <w:tr w14:paraId="48C2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52537A">
            <w:pPr>
              <w:widowControl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5528" w:type="dxa"/>
            <w:vAlign w:val="center"/>
          </w:tcPr>
          <w:p w14:paraId="27067AD2">
            <w:pPr>
              <w:widowControl w:val="0"/>
              <w:spacing w:beforeLines="50" w:line="360" w:lineRule="auto"/>
              <w:jc w:val="both"/>
              <w:rPr>
                <w:rFonts w:ascii="宋体" w:hAnsi="宋体" w:cs="宋体"/>
                <w:bCs/>
                <w:color w:val="auto"/>
                <w:szCs w:val="21"/>
                <w:highlight w:val="none"/>
              </w:rPr>
            </w:pPr>
          </w:p>
        </w:tc>
        <w:tc>
          <w:tcPr>
            <w:tcW w:w="1374" w:type="dxa"/>
            <w:vAlign w:val="center"/>
          </w:tcPr>
          <w:p w14:paraId="64ADEE1D">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c>
          <w:tcPr>
            <w:tcW w:w="1319" w:type="dxa"/>
            <w:vAlign w:val="center"/>
          </w:tcPr>
          <w:p w14:paraId="219BF07F">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r>
      <w:tr w14:paraId="4005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3F9A14">
            <w:pPr>
              <w:widowControl w:val="0"/>
              <w:spacing w:line="360" w:lineRule="auto"/>
              <w:jc w:val="center"/>
              <w:rPr>
                <w:rFonts w:hint="eastAsia" w:asciiTheme="minorEastAsia" w:hAnsiTheme="minorEastAsia" w:eastAsiaTheme="minorEastAsia" w:cstheme="minorEastAsia"/>
                <w:color w:val="auto"/>
                <w:kern w:val="0"/>
                <w:sz w:val="24"/>
                <w:highlight w:val="none"/>
              </w:rPr>
            </w:pPr>
          </w:p>
        </w:tc>
        <w:tc>
          <w:tcPr>
            <w:tcW w:w="5528" w:type="dxa"/>
            <w:vAlign w:val="center"/>
          </w:tcPr>
          <w:p w14:paraId="5D827116">
            <w:pPr>
              <w:widowControl w:val="0"/>
              <w:spacing w:beforeLines="50" w:line="360" w:lineRule="auto"/>
              <w:jc w:val="both"/>
              <w:rPr>
                <w:rFonts w:ascii="宋体" w:hAnsi="宋体" w:cs="宋体"/>
                <w:bCs/>
                <w:color w:val="auto"/>
                <w:szCs w:val="21"/>
                <w:highlight w:val="none"/>
              </w:rPr>
            </w:pPr>
          </w:p>
        </w:tc>
        <w:tc>
          <w:tcPr>
            <w:tcW w:w="1374" w:type="dxa"/>
            <w:vAlign w:val="center"/>
          </w:tcPr>
          <w:p w14:paraId="688858D8">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c>
          <w:tcPr>
            <w:tcW w:w="1319" w:type="dxa"/>
            <w:vAlign w:val="center"/>
          </w:tcPr>
          <w:p w14:paraId="24446755">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r>
      <w:tr w14:paraId="166D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6009DB9">
            <w:pPr>
              <w:widowControl w:val="0"/>
              <w:spacing w:line="360" w:lineRule="auto"/>
              <w:jc w:val="center"/>
              <w:rPr>
                <w:rFonts w:hint="eastAsia" w:asciiTheme="minorEastAsia" w:hAnsiTheme="minorEastAsia" w:eastAsiaTheme="minorEastAsia" w:cstheme="minorEastAsia"/>
                <w:color w:val="auto"/>
                <w:kern w:val="0"/>
                <w:sz w:val="24"/>
                <w:highlight w:val="none"/>
              </w:rPr>
            </w:pPr>
          </w:p>
        </w:tc>
        <w:tc>
          <w:tcPr>
            <w:tcW w:w="5528" w:type="dxa"/>
            <w:vAlign w:val="center"/>
          </w:tcPr>
          <w:p w14:paraId="56AEEB03">
            <w:pPr>
              <w:widowControl w:val="0"/>
              <w:spacing w:beforeLines="50" w:line="360" w:lineRule="auto"/>
              <w:jc w:val="both"/>
              <w:rPr>
                <w:rFonts w:ascii="宋体" w:hAnsi="宋体" w:cs="宋体"/>
                <w:bCs/>
                <w:color w:val="auto"/>
                <w:szCs w:val="21"/>
                <w:highlight w:val="none"/>
              </w:rPr>
            </w:pPr>
          </w:p>
        </w:tc>
        <w:tc>
          <w:tcPr>
            <w:tcW w:w="1374" w:type="dxa"/>
            <w:vAlign w:val="center"/>
          </w:tcPr>
          <w:p w14:paraId="45FAEC8B">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c>
          <w:tcPr>
            <w:tcW w:w="1319" w:type="dxa"/>
            <w:vAlign w:val="center"/>
          </w:tcPr>
          <w:p w14:paraId="71688C50">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r>
      <w:tr w14:paraId="7621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90AC76E">
            <w:pPr>
              <w:widowControl w:val="0"/>
              <w:spacing w:line="360" w:lineRule="auto"/>
              <w:jc w:val="center"/>
              <w:rPr>
                <w:rFonts w:hint="eastAsia" w:asciiTheme="minorEastAsia" w:hAnsiTheme="minorEastAsia" w:eastAsiaTheme="minorEastAsia" w:cstheme="minorEastAsia"/>
                <w:color w:val="auto"/>
                <w:kern w:val="0"/>
                <w:sz w:val="24"/>
                <w:highlight w:val="none"/>
              </w:rPr>
            </w:pPr>
          </w:p>
        </w:tc>
        <w:tc>
          <w:tcPr>
            <w:tcW w:w="5528" w:type="dxa"/>
            <w:vAlign w:val="center"/>
          </w:tcPr>
          <w:p w14:paraId="6C9859A1">
            <w:pPr>
              <w:widowControl w:val="0"/>
              <w:spacing w:beforeLines="50" w:line="360" w:lineRule="auto"/>
              <w:jc w:val="both"/>
              <w:rPr>
                <w:rFonts w:ascii="宋体" w:hAnsi="宋体" w:cs="宋体"/>
                <w:bCs/>
                <w:color w:val="auto"/>
                <w:szCs w:val="21"/>
                <w:highlight w:val="none"/>
              </w:rPr>
            </w:pPr>
          </w:p>
        </w:tc>
        <w:tc>
          <w:tcPr>
            <w:tcW w:w="1374" w:type="dxa"/>
            <w:vAlign w:val="center"/>
          </w:tcPr>
          <w:p w14:paraId="1682556D">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c>
          <w:tcPr>
            <w:tcW w:w="1319" w:type="dxa"/>
            <w:vAlign w:val="center"/>
          </w:tcPr>
          <w:p w14:paraId="00AD7D4B">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r>
      <w:tr w14:paraId="6B1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A6670A0">
            <w:pPr>
              <w:widowControl w:val="0"/>
              <w:spacing w:line="360" w:lineRule="auto"/>
              <w:jc w:val="center"/>
              <w:rPr>
                <w:rFonts w:hint="eastAsia" w:asciiTheme="minorEastAsia" w:hAnsiTheme="minorEastAsia" w:eastAsiaTheme="minorEastAsia" w:cstheme="minorEastAsia"/>
                <w:color w:val="auto"/>
                <w:kern w:val="0"/>
                <w:sz w:val="24"/>
                <w:highlight w:val="none"/>
              </w:rPr>
            </w:pPr>
          </w:p>
        </w:tc>
        <w:tc>
          <w:tcPr>
            <w:tcW w:w="5528" w:type="dxa"/>
            <w:vAlign w:val="center"/>
          </w:tcPr>
          <w:p w14:paraId="393184D9">
            <w:pPr>
              <w:widowControl w:val="0"/>
              <w:spacing w:beforeLines="50" w:line="360" w:lineRule="auto"/>
              <w:jc w:val="both"/>
              <w:rPr>
                <w:rFonts w:ascii="宋体" w:hAnsi="宋体" w:cs="宋体"/>
                <w:bCs/>
                <w:color w:val="auto"/>
                <w:szCs w:val="21"/>
                <w:highlight w:val="none"/>
              </w:rPr>
            </w:pPr>
          </w:p>
        </w:tc>
        <w:tc>
          <w:tcPr>
            <w:tcW w:w="1374" w:type="dxa"/>
            <w:vAlign w:val="center"/>
          </w:tcPr>
          <w:p w14:paraId="48551211">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c>
          <w:tcPr>
            <w:tcW w:w="1319" w:type="dxa"/>
            <w:vAlign w:val="center"/>
          </w:tcPr>
          <w:p w14:paraId="4D0C340C">
            <w:pPr>
              <w:widowControl w:val="0"/>
              <w:spacing w:line="360" w:lineRule="auto"/>
              <w:jc w:val="center"/>
              <w:rPr>
                <w:rFonts w:asciiTheme="minorEastAsia" w:hAnsiTheme="minorEastAsia" w:eastAsiaTheme="minorEastAsia" w:cstheme="minorEastAsia"/>
                <w:b/>
                <w:color w:val="auto"/>
                <w:kern w:val="0"/>
                <w:sz w:val="32"/>
                <w:szCs w:val="32"/>
                <w:highlight w:val="none"/>
              </w:rPr>
            </w:pPr>
          </w:p>
        </w:tc>
      </w:tr>
    </w:tbl>
    <w:p w14:paraId="792B4C79">
      <w:pPr>
        <w:spacing w:line="360" w:lineRule="auto"/>
        <w:ind w:firstLine="480"/>
        <w:rPr>
          <w:rFonts w:hint="default"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注：本表对应采购文件《第三部分  采购需求》二、技术条款要求。响应情况填写“响应”即为满足采购文件的要求，填写“正偏离”为优于采购文件的要求，填写“负偏离”为不能满足采购文件的要求，响应条款有“正偏离”和“负偏离”的应当在“优于或偏离情况说明”栏进行明确描述，响应情况由评标小组认定。</w:t>
      </w:r>
    </w:p>
    <w:p w14:paraId="2E68FECF">
      <w:pPr>
        <w:spacing w:line="360" w:lineRule="auto"/>
        <w:ind w:firstLine="480"/>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供应商保证：除</w:t>
      </w:r>
      <w:r>
        <w:rPr>
          <w:rFonts w:hint="eastAsia" w:asciiTheme="minorEastAsia" w:hAnsiTheme="minorEastAsia" w:eastAsiaTheme="minorEastAsia" w:cstheme="minorEastAsia"/>
          <w:color w:val="auto"/>
          <w:kern w:val="0"/>
          <w:sz w:val="22"/>
          <w:szCs w:val="22"/>
          <w:highlight w:val="none"/>
          <w:lang w:val="en-US" w:eastAsia="zh-CN"/>
        </w:rPr>
        <w:t>技术</w:t>
      </w:r>
      <w:r>
        <w:rPr>
          <w:rFonts w:hint="eastAsia" w:asciiTheme="minorEastAsia" w:hAnsiTheme="minorEastAsia" w:eastAsiaTheme="minorEastAsia" w:cstheme="minorEastAsia"/>
          <w:color w:val="auto"/>
          <w:kern w:val="0"/>
          <w:sz w:val="22"/>
          <w:szCs w:val="22"/>
          <w:highlight w:val="none"/>
          <w:lang w:eastAsia="zh-CN"/>
        </w:rPr>
        <w:t>响应表</w:t>
      </w:r>
      <w:r>
        <w:rPr>
          <w:rFonts w:hint="eastAsia" w:asciiTheme="minorEastAsia" w:hAnsiTheme="minorEastAsia" w:eastAsiaTheme="minorEastAsia" w:cstheme="minorEastAsia"/>
          <w:color w:val="auto"/>
          <w:kern w:val="0"/>
          <w:sz w:val="22"/>
          <w:szCs w:val="22"/>
          <w:highlight w:val="none"/>
        </w:rPr>
        <w:t>列出的偏离外，供应商响应采购文件的全部</w:t>
      </w:r>
      <w:r>
        <w:rPr>
          <w:rFonts w:hint="eastAsia" w:asciiTheme="minorEastAsia" w:hAnsiTheme="minorEastAsia" w:eastAsiaTheme="minorEastAsia" w:cstheme="minorEastAsia"/>
          <w:color w:val="auto"/>
          <w:kern w:val="0"/>
          <w:sz w:val="22"/>
          <w:szCs w:val="22"/>
          <w:highlight w:val="none"/>
          <w:lang w:val="en-US" w:eastAsia="zh-CN"/>
        </w:rPr>
        <w:t>技术</w:t>
      </w:r>
      <w:r>
        <w:rPr>
          <w:rFonts w:hint="eastAsia" w:asciiTheme="minorEastAsia" w:hAnsiTheme="minorEastAsia" w:eastAsiaTheme="minorEastAsia" w:cstheme="minorEastAsia"/>
          <w:color w:val="auto"/>
          <w:kern w:val="0"/>
          <w:sz w:val="22"/>
          <w:szCs w:val="22"/>
          <w:highlight w:val="none"/>
        </w:rPr>
        <w:t>要求。</w:t>
      </w:r>
    </w:p>
    <w:p w14:paraId="52656B9C">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p>
    <w:p w14:paraId="1E8113D6">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62129974">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54F4C33B">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w:t>
      </w:r>
    </w:p>
    <w:p w14:paraId="5531D479">
      <w:pPr>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val="en-US" w:eastAsia="zh-CN"/>
        </w:rPr>
        <w:br w:type="page"/>
      </w:r>
    </w:p>
    <w:p w14:paraId="684BBDDD">
      <w:pPr>
        <w:pStyle w:val="10"/>
        <w:spacing w:after="0" w:line="360" w:lineRule="auto"/>
        <w:ind w:left="0" w:leftChars="0"/>
        <w:jc w:val="center"/>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cstheme="minorEastAsia"/>
          <w:b/>
          <w:color w:val="auto"/>
          <w:kern w:val="0"/>
          <w:sz w:val="36"/>
          <w:szCs w:val="36"/>
          <w:highlight w:val="none"/>
          <w:lang w:val="en-US" w:eastAsia="zh-CN"/>
        </w:rPr>
        <w:t xml:space="preserve"> 十、主要材料（设备）品牌响应表</w:t>
      </w:r>
    </w:p>
    <w:tbl>
      <w:tblPr>
        <w:tblStyle w:val="25"/>
        <w:tblW w:w="92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0"/>
        <w:gridCol w:w="3211"/>
        <w:gridCol w:w="3301"/>
        <w:gridCol w:w="1719"/>
      </w:tblGrid>
      <w:tr w14:paraId="1AF8B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060" w:type="dxa"/>
            <w:tcBorders>
              <w:bottom w:val="single" w:color="000000" w:sz="4" w:space="0"/>
              <w:right w:val="single" w:color="000000" w:sz="4" w:space="0"/>
            </w:tcBorders>
            <w:shd w:val="clear" w:color="auto" w:fill="auto"/>
            <w:tcMar>
              <w:top w:w="10" w:type="dxa"/>
              <w:left w:w="10" w:type="dxa"/>
              <w:right w:w="10" w:type="dxa"/>
            </w:tcMar>
            <w:vAlign w:val="center"/>
          </w:tcPr>
          <w:p w14:paraId="3B90EA59">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Style w:val="70"/>
                <w:rFonts w:hint="eastAsia" w:ascii="宋体" w:hAnsi="宋体" w:eastAsia="宋体" w:cs="宋体"/>
                <w:color w:val="auto"/>
                <w:sz w:val="22"/>
                <w:szCs w:val="22"/>
                <w:highlight w:val="none"/>
                <w:lang w:val="en-US" w:eastAsia="zh-CN" w:bidi="ar"/>
              </w:rPr>
              <w:t>序号</w:t>
            </w:r>
          </w:p>
        </w:tc>
        <w:tc>
          <w:tcPr>
            <w:tcW w:w="3211" w:type="dxa"/>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370C3">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Style w:val="70"/>
                <w:rFonts w:hint="eastAsia" w:ascii="宋体" w:hAnsi="宋体" w:eastAsia="宋体" w:cs="宋体"/>
                <w:color w:val="auto"/>
                <w:sz w:val="22"/>
                <w:szCs w:val="22"/>
                <w:highlight w:val="none"/>
                <w:lang w:val="en-US" w:eastAsia="zh-CN" w:bidi="ar"/>
              </w:rPr>
              <w:t>项目/材料名称</w:t>
            </w:r>
          </w:p>
        </w:tc>
        <w:tc>
          <w:tcPr>
            <w:tcW w:w="3301" w:type="dxa"/>
            <w:tcBorders>
              <w:left w:val="single" w:color="000000" w:sz="4" w:space="0"/>
              <w:bottom w:val="single" w:color="000000" w:sz="4" w:space="0"/>
            </w:tcBorders>
            <w:shd w:val="clear" w:color="auto" w:fill="auto"/>
            <w:tcMar>
              <w:top w:w="10" w:type="dxa"/>
              <w:left w:w="10" w:type="dxa"/>
              <w:right w:w="10" w:type="dxa"/>
            </w:tcMar>
            <w:vAlign w:val="center"/>
          </w:tcPr>
          <w:p w14:paraId="60045FD5">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Style w:val="70"/>
                <w:rFonts w:hint="eastAsia" w:ascii="宋体" w:hAnsi="宋体" w:eastAsia="宋体" w:cs="宋体"/>
                <w:color w:val="auto"/>
                <w:sz w:val="22"/>
                <w:szCs w:val="22"/>
                <w:highlight w:val="none"/>
                <w:lang w:val="en-US" w:eastAsia="zh-CN" w:bidi="ar"/>
              </w:rPr>
              <w:t>参考品牌</w:t>
            </w:r>
          </w:p>
        </w:tc>
        <w:tc>
          <w:tcPr>
            <w:tcW w:w="1719" w:type="dxa"/>
            <w:tcBorders>
              <w:left w:val="single" w:color="000000" w:sz="4" w:space="0"/>
              <w:bottom w:val="single" w:color="000000" w:sz="4" w:space="0"/>
            </w:tcBorders>
            <w:shd w:val="clear" w:color="auto" w:fill="auto"/>
            <w:tcMar>
              <w:top w:w="10" w:type="dxa"/>
              <w:left w:w="10" w:type="dxa"/>
              <w:right w:w="10" w:type="dxa"/>
            </w:tcMar>
            <w:vAlign w:val="center"/>
          </w:tcPr>
          <w:p w14:paraId="4C611BCD">
            <w:pPr>
              <w:keepNext w:val="0"/>
              <w:keepLines w:val="0"/>
              <w:widowControl/>
              <w:suppressLineNumbers w:val="0"/>
              <w:jc w:val="center"/>
              <w:textAlignment w:val="center"/>
              <w:rPr>
                <w:rStyle w:val="70"/>
                <w:rFonts w:hint="default" w:ascii="宋体" w:hAnsi="宋体" w:eastAsia="宋体" w:cs="宋体"/>
                <w:color w:val="auto"/>
                <w:sz w:val="22"/>
                <w:szCs w:val="22"/>
                <w:highlight w:val="none"/>
                <w:lang w:val="en-US" w:eastAsia="zh-CN" w:bidi="ar"/>
              </w:rPr>
            </w:pPr>
            <w:r>
              <w:rPr>
                <w:rStyle w:val="70"/>
                <w:rFonts w:hint="eastAsia" w:ascii="宋体" w:hAnsi="宋体" w:cs="宋体"/>
                <w:color w:val="auto"/>
                <w:sz w:val="22"/>
                <w:szCs w:val="22"/>
                <w:highlight w:val="none"/>
                <w:lang w:val="en-US" w:eastAsia="zh-CN" w:bidi="ar"/>
              </w:rPr>
              <w:t>具体响应品牌</w:t>
            </w:r>
          </w:p>
        </w:tc>
      </w:tr>
      <w:tr w14:paraId="3E0A8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C780B8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02A9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抛光砖</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E85D2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蒙娜丽莎、冠军、马可波罗</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089DC6">
            <w:pPr>
              <w:keepNext w:val="0"/>
              <w:keepLines w:val="0"/>
              <w:widowControl/>
              <w:suppressLineNumbers w:val="0"/>
              <w:jc w:val="center"/>
              <w:textAlignment w:val="center"/>
              <w:rPr>
                <w:rFonts w:hint="eastAsia" w:ascii="宋体" w:hAnsi="宋体" w:eastAsia="宋体" w:cs="宋体"/>
                <w:sz w:val="22"/>
                <w:szCs w:val="22"/>
                <w:highlight w:val="none"/>
              </w:rPr>
            </w:pPr>
          </w:p>
        </w:tc>
      </w:tr>
      <w:tr w14:paraId="2C760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CE2C4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76A09">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防滑地砖</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79324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蒙娜丽莎、冠军、马可波罗</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E7220B">
            <w:pPr>
              <w:keepNext w:val="0"/>
              <w:keepLines w:val="0"/>
              <w:widowControl/>
              <w:suppressLineNumbers w:val="0"/>
              <w:jc w:val="center"/>
              <w:textAlignment w:val="center"/>
              <w:rPr>
                <w:rFonts w:hint="eastAsia" w:ascii="宋体" w:hAnsi="宋体" w:eastAsia="宋体" w:cs="宋体"/>
                <w:sz w:val="22"/>
                <w:szCs w:val="22"/>
                <w:highlight w:val="none"/>
              </w:rPr>
            </w:pPr>
          </w:p>
        </w:tc>
      </w:tr>
      <w:tr w14:paraId="3E3D9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2DB2EA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FB6C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防滑抛光砖</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557A4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蒙娜丽莎、冠军、马可波罗</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0937A4">
            <w:pPr>
              <w:keepNext w:val="0"/>
              <w:keepLines w:val="0"/>
              <w:widowControl/>
              <w:suppressLineNumbers w:val="0"/>
              <w:jc w:val="center"/>
              <w:textAlignment w:val="center"/>
              <w:rPr>
                <w:rFonts w:hint="eastAsia" w:ascii="宋体" w:hAnsi="宋体" w:eastAsia="宋体" w:cs="宋体"/>
                <w:sz w:val="22"/>
                <w:szCs w:val="22"/>
                <w:highlight w:val="none"/>
              </w:rPr>
            </w:pPr>
          </w:p>
        </w:tc>
      </w:tr>
      <w:tr w14:paraId="0BE0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FECEB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7BFE8">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双组份聚氨酯防水涂料</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A5F57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东方雨虹、科顺、华美</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21236D">
            <w:pPr>
              <w:keepNext w:val="0"/>
              <w:keepLines w:val="0"/>
              <w:widowControl/>
              <w:suppressLineNumbers w:val="0"/>
              <w:jc w:val="center"/>
              <w:textAlignment w:val="center"/>
              <w:rPr>
                <w:rFonts w:hint="eastAsia" w:ascii="宋体" w:hAnsi="宋体" w:eastAsia="宋体" w:cs="宋体"/>
                <w:sz w:val="22"/>
                <w:szCs w:val="22"/>
                <w:highlight w:val="none"/>
              </w:rPr>
            </w:pPr>
          </w:p>
        </w:tc>
      </w:tr>
      <w:tr w14:paraId="21D15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60C7D2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8C3EB">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聚合物水泥基复合防水涂料</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0B8D4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sz w:val="22"/>
                <w:szCs w:val="22"/>
                <w:highlight w:val="none"/>
              </w:rPr>
              <w:t>东方雨虹、科顺、华美</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C984ED">
            <w:pPr>
              <w:keepNext w:val="0"/>
              <w:keepLines w:val="0"/>
              <w:widowControl/>
              <w:suppressLineNumbers w:val="0"/>
              <w:jc w:val="center"/>
              <w:textAlignment w:val="center"/>
              <w:rPr>
                <w:rFonts w:hint="eastAsia" w:ascii="宋体" w:hAnsi="宋体" w:eastAsia="宋体" w:cs="宋体"/>
                <w:sz w:val="22"/>
                <w:szCs w:val="22"/>
                <w:highlight w:val="none"/>
              </w:rPr>
            </w:pPr>
          </w:p>
        </w:tc>
      </w:tr>
      <w:tr w14:paraId="3997A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8E4EF7">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72A8C">
            <w:pPr>
              <w:keepNext w:val="0"/>
              <w:keepLines w:val="0"/>
              <w:widowControl/>
              <w:suppressLineNumbers w:val="0"/>
              <w:jc w:val="left"/>
              <w:textAlignment w:val="center"/>
              <w:rPr>
                <w:rStyle w:val="72"/>
                <w:rFonts w:hint="eastAsia" w:ascii="宋体" w:hAnsi="宋体" w:eastAsia="宋体" w:cs="宋体"/>
                <w:color w:val="auto"/>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单组份聚氨酯防水涂料</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04C9A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sz w:val="22"/>
                <w:szCs w:val="22"/>
                <w:highlight w:val="none"/>
              </w:rPr>
              <w:t>东方雨虹、科顺、华美</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EF2D40">
            <w:pPr>
              <w:keepNext w:val="0"/>
              <w:keepLines w:val="0"/>
              <w:widowControl/>
              <w:suppressLineNumbers w:val="0"/>
              <w:jc w:val="center"/>
              <w:textAlignment w:val="center"/>
              <w:rPr>
                <w:rFonts w:hint="eastAsia" w:ascii="宋体" w:hAnsi="宋体" w:eastAsia="宋体" w:cs="宋体"/>
                <w:sz w:val="22"/>
                <w:szCs w:val="22"/>
                <w:highlight w:val="none"/>
              </w:rPr>
            </w:pPr>
          </w:p>
        </w:tc>
      </w:tr>
      <w:tr w14:paraId="79E6E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1C8C2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5D6A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无机涂料</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45B11A">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华润、立邦、三棵树</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DF9A6E">
            <w:pPr>
              <w:keepNext w:val="0"/>
              <w:keepLines w:val="0"/>
              <w:widowControl/>
              <w:suppressLineNumbers w:val="0"/>
              <w:jc w:val="center"/>
              <w:textAlignment w:val="center"/>
              <w:rPr>
                <w:rFonts w:hint="eastAsia" w:ascii="宋体" w:hAnsi="宋体" w:eastAsia="宋体" w:cs="宋体"/>
                <w:sz w:val="22"/>
                <w:szCs w:val="22"/>
                <w:highlight w:val="none"/>
              </w:rPr>
            </w:pPr>
          </w:p>
        </w:tc>
      </w:tr>
      <w:tr w14:paraId="33381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12594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034CF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防霉无机涂料</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466FA9">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华润、立邦、三棵树</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FE9617">
            <w:pPr>
              <w:keepNext w:val="0"/>
              <w:keepLines w:val="0"/>
              <w:widowControl/>
              <w:suppressLineNumbers w:val="0"/>
              <w:jc w:val="center"/>
              <w:textAlignment w:val="center"/>
              <w:rPr>
                <w:rFonts w:hint="eastAsia" w:ascii="宋体" w:hAnsi="宋体" w:eastAsia="宋体" w:cs="宋体"/>
                <w:sz w:val="22"/>
                <w:szCs w:val="22"/>
                <w:highlight w:val="none"/>
              </w:rPr>
            </w:pPr>
          </w:p>
        </w:tc>
      </w:tr>
      <w:tr w14:paraId="15D4F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6529F6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C2EA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90系列断桥隔热铝合金推拉窗 </w:t>
            </w:r>
          </w:p>
          <w:p w14:paraId="62DC22F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型材壁厚1.8mm </w:t>
            </w:r>
          </w:p>
          <w:p w14:paraId="3D0AFD1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配6中透光LOW-E+12A+6中空玻璃</w:t>
            </w:r>
          </w:p>
        </w:tc>
        <w:tc>
          <w:tcPr>
            <w:tcW w:w="3301" w:type="dxa"/>
            <w:vMerge w:val="restart"/>
            <w:tcBorders>
              <w:top w:val="single" w:color="000000" w:sz="4" w:space="0"/>
              <w:left w:val="single" w:color="000000" w:sz="4" w:space="0"/>
            </w:tcBorders>
            <w:shd w:val="clear" w:color="auto" w:fill="auto"/>
            <w:tcMar>
              <w:top w:w="10" w:type="dxa"/>
              <w:left w:w="10" w:type="dxa"/>
              <w:right w:w="10" w:type="dxa"/>
            </w:tcMar>
            <w:vAlign w:val="center"/>
          </w:tcPr>
          <w:p w14:paraId="68DDB579">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1、型材采用栋梁铝业、博奥铝业、浙东铝业；</w:t>
            </w:r>
          </w:p>
          <w:p w14:paraId="4CDD731D">
            <w:pPr>
              <w:keepNext w:val="0"/>
              <w:keepLines w:val="0"/>
              <w:widowControl/>
              <w:suppressLineNumbers w:val="0"/>
              <w:jc w:val="both"/>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2、中空玻璃采用江花、利江、蓝星；                         </w:t>
            </w:r>
          </w:p>
          <w:p w14:paraId="58626021">
            <w:pPr>
              <w:keepNext w:val="0"/>
              <w:keepLines w:val="0"/>
              <w:widowControl/>
              <w:suppressLineNumbers w:val="0"/>
              <w:jc w:val="both"/>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rPr>
              <w:t>3、五金配件采用青岛立兴、国强、联鑫；</w:t>
            </w:r>
          </w:p>
        </w:tc>
        <w:tc>
          <w:tcPr>
            <w:tcW w:w="1719" w:type="dxa"/>
            <w:vMerge w:val="restart"/>
            <w:tcBorders>
              <w:top w:val="single" w:color="000000" w:sz="4" w:space="0"/>
              <w:left w:val="single" w:color="000000" w:sz="4" w:space="0"/>
            </w:tcBorders>
            <w:shd w:val="clear" w:color="auto" w:fill="auto"/>
            <w:tcMar>
              <w:top w:w="10" w:type="dxa"/>
              <w:left w:w="10" w:type="dxa"/>
              <w:right w:w="10" w:type="dxa"/>
            </w:tcMar>
            <w:vAlign w:val="center"/>
          </w:tcPr>
          <w:p w14:paraId="0428071C">
            <w:pPr>
              <w:keepNext w:val="0"/>
              <w:keepLines w:val="0"/>
              <w:widowControl/>
              <w:suppressLineNumbers w:val="0"/>
              <w:jc w:val="center"/>
              <w:textAlignment w:val="center"/>
              <w:rPr>
                <w:rFonts w:hint="eastAsia" w:ascii="宋体" w:hAnsi="宋体" w:eastAsia="宋体" w:cs="宋体"/>
                <w:sz w:val="22"/>
                <w:szCs w:val="22"/>
                <w:highlight w:val="none"/>
              </w:rPr>
            </w:pPr>
          </w:p>
        </w:tc>
      </w:tr>
      <w:tr w14:paraId="59F0E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6B61C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49D3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90系列铝合金平开门 </w:t>
            </w:r>
          </w:p>
          <w:p w14:paraId="1E18F5A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型材壁厚2.2mm </w:t>
            </w:r>
          </w:p>
          <w:p w14:paraId="7535611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配12mm厚钢化玻璃</w:t>
            </w:r>
          </w:p>
        </w:tc>
        <w:tc>
          <w:tcPr>
            <w:tcW w:w="3301" w:type="dxa"/>
            <w:vMerge w:val="continue"/>
            <w:tcBorders>
              <w:left w:val="single" w:color="000000" w:sz="4" w:space="0"/>
            </w:tcBorders>
            <w:shd w:val="clear" w:color="auto" w:fill="auto"/>
            <w:tcMar>
              <w:top w:w="10" w:type="dxa"/>
              <w:left w:w="10" w:type="dxa"/>
              <w:right w:w="10" w:type="dxa"/>
            </w:tcMar>
            <w:vAlign w:val="center"/>
          </w:tcPr>
          <w:p w14:paraId="18B8B472">
            <w:pPr>
              <w:keepNext w:val="0"/>
              <w:keepLines w:val="0"/>
              <w:widowControl/>
              <w:suppressLineNumbers w:val="0"/>
              <w:jc w:val="center"/>
              <w:textAlignment w:val="center"/>
              <w:rPr>
                <w:rFonts w:hint="eastAsia" w:ascii="宋体" w:hAnsi="宋体" w:eastAsia="宋体" w:cs="宋体"/>
                <w:sz w:val="22"/>
                <w:szCs w:val="22"/>
                <w:highlight w:val="none"/>
              </w:rPr>
            </w:pPr>
          </w:p>
        </w:tc>
        <w:tc>
          <w:tcPr>
            <w:tcW w:w="1719" w:type="dxa"/>
            <w:vMerge w:val="continue"/>
            <w:tcBorders>
              <w:left w:val="single" w:color="000000" w:sz="4" w:space="0"/>
            </w:tcBorders>
            <w:shd w:val="clear" w:color="auto" w:fill="auto"/>
            <w:tcMar>
              <w:top w:w="10" w:type="dxa"/>
              <w:left w:w="10" w:type="dxa"/>
              <w:right w:w="10" w:type="dxa"/>
            </w:tcMar>
            <w:vAlign w:val="center"/>
          </w:tcPr>
          <w:p w14:paraId="48BDC6F1">
            <w:pPr>
              <w:keepNext w:val="0"/>
              <w:keepLines w:val="0"/>
              <w:widowControl/>
              <w:suppressLineNumbers w:val="0"/>
              <w:jc w:val="center"/>
              <w:textAlignment w:val="center"/>
              <w:rPr>
                <w:rFonts w:hint="eastAsia" w:ascii="宋体" w:hAnsi="宋体" w:eastAsia="宋体" w:cs="宋体"/>
                <w:sz w:val="22"/>
                <w:szCs w:val="22"/>
                <w:highlight w:val="none"/>
              </w:rPr>
            </w:pPr>
          </w:p>
        </w:tc>
      </w:tr>
      <w:tr w14:paraId="4B6D5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51BF6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B6B4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90系列铝合金隔断 </w:t>
            </w:r>
          </w:p>
          <w:p w14:paraId="0ECAEA2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型材壁厚2.2mm </w:t>
            </w:r>
          </w:p>
          <w:p w14:paraId="2807D3C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配12mm厚钢化玻璃(地坪以上至1000mm处为双面1.8厚配套铝板饰面)</w:t>
            </w:r>
          </w:p>
        </w:tc>
        <w:tc>
          <w:tcPr>
            <w:tcW w:w="3301" w:type="dxa"/>
            <w:vMerge w:val="continue"/>
            <w:tcBorders>
              <w:left w:val="single" w:color="000000" w:sz="4" w:space="0"/>
              <w:bottom w:val="single" w:color="000000" w:sz="4" w:space="0"/>
            </w:tcBorders>
            <w:shd w:val="clear" w:color="auto" w:fill="auto"/>
            <w:tcMar>
              <w:top w:w="10" w:type="dxa"/>
              <w:left w:w="10" w:type="dxa"/>
              <w:right w:w="10" w:type="dxa"/>
            </w:tcMar>
            <w:vAlign w:val="center"/>
          </w:tcPr>
          <w:p w14:paraId="3F93D483">
            <w:pPr>
              <w:keepNext w:val="0"/>
              <w:keepLines w:val="0"/>
              <w:widowControl/>
              <w:suppressLineNumbers w:val="0"/>
              <w:jc w:val="center"/>
              <w:textAlignment w:val="center"/>
              <w:rPr>
                <w:rFonts w:hint="eastAsia" w:ascii="宋体" w:hAnsi="宋体" w:eastAsia="宋体" w:cs="宋体"/>
                <w:sz w:val="22"/>
                <w:szCs w:val="22"/>
                <w:highlight w:val="none"/>
              </w:rPr>
            </w:pPr>
          </w:p>
        </w:tc>
        <w:tc>
          <w:tcPr>
            <w:tcW w:w="1719" w:type="dxa"/>
            <w:vMerge w:val="continue"/>
            <w:tcBorders>
              <w:left w:val="single" w:color="000000" w:sz="4" w:space="0"/>
              <w:bottom w:val="single" w:color="000000" w:sz="4" w:space="0"/>
            </w:tcBorders>
            <w:shd w:val="clear" w:color="auto" w:fill="auto"/>
            <w:tcMar>
              <w:top w:w="10" w:type="dxa"/>
              <w:left w:w="10" w:type="dxa"/>
              <w:right w:w="10" w:type="dxa"/>
            </w:tcMar>
            <w:vAlign w:val="center"/>
          </w:tcPr>
          <w:p w14:paraId="786B44E1">
            <w:pPr>
              <w:keepNext w:val="0"/>
              <w:keepLines w:val="0"/>
              <w:widowControl/>
              <w:suppressLineNumbers w:val="0"/>
              <w:jc w:val="center"/>
              <w:textAlignment w:val="center"/>
              <w:rPr>
                <w:rFonts w:hint="eastAsia" w:ascii="宋体" w:hAnsi="宋体" w:eastAsia="宋体" w:cs="宋体"/>
                <w:sz w:val="22"/>
                <w:szCs w:val="22"/>
                <w:highlight w:val="none"/>
              </w:rPr>
            </w:pPr>
          </w:p>
        </w:tc>
      </w:tr>
      <w:tr w14:paraId="335F5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B738BA5">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12</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0311D">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成套洗脸盆</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FA03F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FD09F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7F79F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3D4DB0">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13</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D0BB5">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成套洗涤盆</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2CAD5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D6B36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3F8E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8CD9A2">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EA27C">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成套瓷蹲式大便器</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1937D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9FCF7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057D6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7394027">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15</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D1597">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成套连体坐便器</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82F10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3F055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72A40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1060" w:type="dxa"/>
            <w:tcBorders>
              <w:top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B9CED04">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16</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52FB11">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成套挂式小便器</w:t>
            </w:r>
          </w:p>
        </w:tc>
        <w:tc>
          <w:tcPr>
            <w:tcW w:w="330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22281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箭牌/东鹏/恒洁</w:t>
            </w:r>
          </w:p>
        </w:tc>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2BFEA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14:paraId="22731168">
      <w:pPr>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rPr>
        <w:t>注</w:t>
      </w:r>
      <w:r>
        <w:rPr>
          <w:rFonts w:hint="eastAsia" w:ascii="宋体" w:hAnsi="宋体" w:eastAsia="宋体" w:cs="宋体"/>
          <w:b/>
          <w:bCs/>
          <w:color w:val="auto"/>
          <w:sz w:val="21"/>
          <w:szCs w:val="21"/>
          <w:highlight w:val="none"/>
        </w:rPr>
        <w:t>：①采购人在</w:t>
      </w:r>
      <w:r>
        <w:rPr>
          <w:rFonts w:hint="eastAsia" w:ascii="宋体" w:hAnsi="宋体" w:eastAsia="宋体" w:cs="宋体"/>
          <w:b/>
          <w:bCs/>
          <w:color w:val="auto"/>
          <w:sz w:val="21"/>
          <w:szCs w:val="21"/>
          <w:highlight w:val="none"/>
          <w:lang w:val="en-US" w:eastAsia="zh-CN"/>
        </w:rPr>
        <w:t>采购文件</w:t>
      </w:r>
      <w:r>
        <w:rPr>
          <w:rFonts w:hint="eastAsia" w:ascii="宋体" w:hAnsi="宋体" w:eastAsia="宋体" w:cs="宋体"/>
          <w:b/>
          <w:bCs/>
          <w:color w:val="auto"/>
          <w:sz w:val="21"/>
          <w:szCs w:val="21"/>
          <w:highlight w:val="none"/>
        </w:rPr>
        <w:t>中所列的设备品牌、参数、型号规格及生产地是采购人认为最适合本采购项目的，供应商应予以积极响应，供应商也可以选择技术性能指标不低于采购人要求选用的其</w:t>
      </w:r>
      <w:r>
        <w:rPr>
          <w:rFonts w:hint="eastAsia" w:ascii="宋体" w:hAnsi="宋体" w:eastAsia="宋体" w:cs="宋体"/>
          <w:b/>
          <w:bCs/>
          <w:color w:val="auto"/>
          <w:sz w:val="21"/>
          <w:szCs w:val="21"/>
          <w:highlight w:val="none"/>
          <w:lang w:val="en-US" w:eastAsia="zh-CN"/>
        </w:rPr>
        <w:t>他</w:t>
      </w:r>
      <w:r>
        <w:rPr>
          <w:rFonts w:hint="eastAsia" w:ascii="宋体" w:hAnsi="宋体" w:eastAsia="宋体" w:cs="宋体"/>
          <w:b/>
          <w:bCs/>
          <w:color w:val="auto"/>
          <w:sz w:val="21"/>
          <w:szCs w:val="21"/>
          <w:highlight w:val="none"/>
        </w:rPr>
        <w:t>品牌、参数或型号规格以及生产地的设备（材料）进行报价。</w:t>
      </w:r>
    </w:p>
    <w:p w14:paraId="51379536">
      <w:pP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②供应商选用所列参考品牌的，供应商响应一栏填写“响应”视为响应采购文件要求，无需提供其他资料；选用所列参考品牌之外的品牌的，还须提供选用品牌的有关技术参数资料，且经评标委员会同意认定其品质、性能不低于本表所列参考品牌，否则视为不响应采购文件要求。 </w:t>
      </w:r>
    </w:p>
    <w:p w14:paraId="13C44876">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p>
    <w:p w14:paraId="49609476">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1032389E">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1A715A84">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日期</w:t>
      </w:r>
      <w:r>
        <w:rPr>
          <w:rFonts w:hint="eastAsia" w:asciiTheme="minorEastAsia" w:hAnsiTheme="minorEastAsia" w:eastAsiaTheme="minorEastAsia" w:cstheme="minorEastAsia"/>
          <w:color w:val="auto"/>
          <w:kern w:val="0"/>
          <w:sz w:val="24"/>
          <w:szCs w:val="24"/>
          <w:highlight w:val="none"/>
          <w:lang w:val="zh-CN" w:eastAsia="zh-CN"/>
        </w:rPr>
        <w:t>：</w:t>
      </w:r>
    </w:p>
    <w:p w14:paraId="5178F51F">
      <w:pPr>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val="en-US" w:eastAsia="zh-CN"/>
        </w:rPr>
        <w:br w:type="page"/>
      </w:r>
    </w:p>
    <w:p w14:paraId="581E6157">
      <w:pPr>
        <w:numPr>
          <w:ilvl w:val="0"/>
          <w:numId w:val="0"/>
        </w:numPr>
        <w:snapToGrid w:val="0"/>
        <w:spacing w:line="360" w:lineRule="auto"/>
        <w:ind w:firstLine="2570" w:firstLineChars="800"/>
        <w:jc w:val="both"/>
        <w:outlineLvl w:val="0"/>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b/>
          <w:color w:val="auto"/>
          <w:kern w:val="0"/>
          <w:sz w:val="32"/>
          <w:szCs w:val="32"/>
          <w:highlight w:val="none"/>
          <w:lang w:val="en-US" w:eastAsia="zh-CN"/>
        </w:rPr>
        <w:t>十一、</w:t>
      </w:r>
      <w:r>
        <w:rPr>
          <w:rFonts w:hint="eastAsia" w:asciiTheme="minorEastAsia" w:hAnsiTheme="minorEastAsia" w:eastAsiaTheme="minorEastAsia" w:cstheme="minorEastAsia"/>
          <w:b/>
          <w:color w:val="auto"/>
          <w:kern w:val="0"/>
          <w:sz w:val="32"/>
          <w:szCs w:val="32"/>
          <w:highlight w:val="none"/>
        </w:rPr>
        <w:t>同类业绩情况一览表</w:t>
      </w:r>
    </w:p>
    <w:tbl>
      <w:tblPr>
        <w:tblStyle w:val="25"/>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5953F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0CB160CD">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04FEDE84">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采购单位名称</w:t>
            </w:r>
          </w:p>
        </w:tc>
        <w:tc>
          <w:tcPr>
            <w:tcW w:w="1701" w:type="dxa"/>
            <w:tcBorders>
              <w:top w:val="single" w:color="auto" w:sz="4" w:space="0"/>
              <w:left w:val="single" w:color="auto" w:sz="4" w:space="0"/>
              <w:right w:val="single" w:color="auto" w:sz="4" w:space="0"/>
            </w:tcBorders>
            <w:vAlign w:val="center"/>
          </w:tcPr>
          <w:p w14:paraId="6D8AE5F8">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4679E4C4">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合同金额</w:t>
            </w:r>
          </w:p>
          <w:p w14:paraId="03F70105">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B96EE1B">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576706C">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合同签订时间</w:t>
            </w:r>
          </w:p>
        </w:tc>
      </w:tr>
      <w:tr w14:paraId="20679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F8FFCFB">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5AB6EC69">
            <w:pPr>
              <w:spacing w:line="360" w:lineRule="auto"/>
              <w:jc w:val="left"/>
              <w:rPr>
                <w:rFonts w:asciiTheme="minorEastAsia" w:hAnsiTheme="minorEastAsia" w:eastAsiaTheme="minorEastAsia" w:cstheme="minorEastAsia"/>
                <w:color w:val="auto"/>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C15EFD6">
            <w:pPr>
              <w:spacing w:line="360" w:lineRule="auto"/>
              <w:jc w:val="left"/>
              <w:rPr>
                <w:rFonts w:asciiTheme="minorEastAsia" w:hAnsiTheme="minorEastAsia" w:eastAsiaTheme="minorEastAsia" w:cstheme="minorEastAsia"/>
                <w:color w:val="auto"/>
                <w:kern w:val="0"/>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EF8B8CB">
            <w:pPr>
              <w:spacing w:line="360" w:lineRule="auto"/>
              <w:jc w:val="left"/>
              <w:rPr>
                <w:rFonts w:asciiTheme="minorEastAsia" w:hAnsiTheme="minorEastAsia" w:eastAsiaTheme="minorEastAsia" w:cstheme="minorEastAsia"/>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841317C">
            <w:pPr>
              <w:spacing w:line="360" w:lineRule="auto"/>
              <w:jc w:val="left"/>
              <w:rPr>
                <w:rFonts w:asciiTheme="minorEastAsia" w:hAnsiTheme="minorEastAsia" w:eastAsiaTheme="minorEastAsia" w:cstheme="minorEastAsia"/>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22014EC">
            <w:pPr>
              <w:spacing w:line="360" w:lineRule="auto"/>
              <w:jc w:val="left"/>
              <w:rPr>
                <w:rFonts w:asciiTheme="minorEastAsia" w:hAnsiTheme="minorEastAsia" w:eastAsiaTheme="minorEastAsia" w:cstheme="minorEastAsia"/>
                <w:color w:val="auto"/>
                <w:kern w:val="0"/>
                <w:sz w:val="24"/>
                <w:szCs w:val="24"/>
                <w:highlight w:val="none"/>
              </w:rPr>
            </w:pPr>
          </w:p>
        </w:tc>
      </w:tr>
      <w:tr w14:paraId="11C05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268C425">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6FBDDBE0">
            <w:pPr>
              <w:spacing w:line="360" w:lineRule="auto"/>
              <w:jc w:val="left"/>
              <w:rPr>
                <w:rFonts w:asciiTheme="minorEastAsia" w:hAnsiTheme="minorEastAsia" w:eastAsiaTheme="minorEastAsia" w:cstheme="minorEastAsia"/>
                <w:color w:val="auto"/>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59F8B10">
            <w:pPr>
              <w:spacing w:line="360" w:lineRule="auto"/>
              <w:jc w:val="left"/>
              <w:rPr>
                <w:rFonts w:asciiTheme="minorEastAsia" w:hAnsiTheme="minorEastAsia" w:eastAsiaTheme="minorEastAsia" w:cstheme="minorEastAsia"/>
                <w:color w:val="auto"/>
                <w:kern w:val="0"/>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427932E">
            <w:pPr>
              <w:spacing w:line="360" w:lineRule="auto"/>
              <w:jc w:val="left"/>
              <w:rPr>
                <w:rFonts w:asciiTheme="minorEastAsia" w:hAnsiTheme="minorEastAsia" w:eastAsiaTheme="minorEastAsia" w:cstheme="minorEastAsia"/>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E10D8D8">
            <w:pPr>
              <w:spacing w:line="360" w:lineRule="auto"/>
              <w:jc w:val="left"/>
              <w:rPr>
                <w:rFonts w:asciiTheme="minorEastAsia" w:hAnsiTheme="minorEastAsia" w:eastAsiaTheme="minorEastAsia" w:cstheme="minorEastAsia"/>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41FD9FE">
            <w:pPr>
              <w:spacing w:line="360" w:lineRule="auto"/>
              <w:jc w:val="left"/>
              <w:rPr>
                <w:rFonts w:asciiTheme="minorEastAsia" w:hAnsiTheme="minorEastAsia" w:eastAsiaTheme="minorEastAsia" w:cstheme="minorEastAsia"/>
                <w:color w:val="auto"/>
                <w:kern w:val="0"/>
                <w:sz w:val="24"/>
                <w:szCs w:val="24"/>
                <w:highlight w:val="none"/>
              </w:rPr>
            </w:pPr>
          </w:p>
        </w:tc>
      </w:tr>
      <w:tr w14:paraId="7693D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EAB1D3C">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67CDBFEC">
            <w:pPr>
              <w:spacing w:line="360" w:lineRule="auto"/>
              <w:jc w:val="left"/>
              <w:rPr>
                <w:rFonts w:asciiTheme="minorEastAsia" w:hAnsiTheme="minorEastAsia" w:eastAsiaTheme="minorEastAsia" w:cstheme="minorEastAsia"/>
                <w:color w:val="auto"/>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3C2AB36">
            <w:pPr>
              <w:spacing w:line="360" w:lineRule="auto"/>
              <w:jc w:val="left"/>
              <w:rPr>
                <w:rFonts w:asciiTheme="minorEastAsia" w:hAnsiTheme="minorEastAsia" w:eastAsiaTheme="minorEastAsia" w:cstheme="minorEastAsia"/>
                <w:color w:val="auto"/>
                <w:kern w:val="0"/>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5E6E11">
            <w:pPr>
              <w:spacing w:line="360" w:lineRule="auto"/>
              <w:jc w:val="left"/>
              <w:rPr>
                <w:rFonts w:asciiTheme="minorEastAsia" w:hAnsiTheme="minorEastAsia" w:eastAsiaTheme="minorEastAsia" w:cstheme="minorEastAsia"/>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FBCE5F6">
            <w:pPr>
              <w:spacing w:line="360" w:lineRule="auto"/>
              <w:jc w:val="left"/>
              <w:rPr>
                <w:rFonts w:asciiTheme="minorEastAsia" w:hAnsiTheme="minorEastAsia" w:eastAsiaTheme="minorEastAsia" w:cstheme="minorEastAsia"/>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8E6A74E">
            <w:pPr>
              <w:spacing w:line="360" w:lineRule="auto"/>
              <w:jc w:val="left"/>
              <w:rPr>
                <w:rFonts w:asciiTheme="minorEastAsia" w:hAnsiTheme="minorEastAsia" w:eastAsiaTheme="minorEastAsia" w:cstheme="minorEastAsia"/>
                <w:color w:val="auto"/>
                <w:kern w:val="0"/>
                <w:sz w:val="24"/>
                <w:szCs w:val="24"/>
                <w:highlight w:val="none"/>
              </w:rPr>
            </w:pPr>
          </w:p>
        </w:tc>
      </w:tr>
      <w:tr w14:paraId="6BC3C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BE58A1A">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6E93FD2B">
            <w:pPr>
              <w:spacing w:line="360" w:lineRule="auto"/>
              <w:jc w:val="left"/>
              <w:rPr>
                <w:rFonts w:asciiTheme="minorEastAsia" w:hAnsiTheme="minorEastAsia" w:eastAsiaTheme="minorEastAsia" w:cstheme="minorEastAsia"/>
                <w:color w:val="auto"/>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41FE21D">
            <w:pPr>
              <w:spacing w:line="360" w:lineRule="auto"/>
              <w:jc w:val="left"/>
              <w:rPr>
                <w:rFonts w:asciiTheme="minorEastAsia" w:hAnsiTheme="minorEastAsia" w:eastAsiaTheme="minorEastAsia" w:cstheme="minorEastAsia"/>
                <w:color w:val="auto"/>
                <w:kern w:val="0"/>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01908B4">
            <w:pPr>
              <w:spacing w:line="360" w:lineRule="auto"/>
              <w:jc w:val="left"/>
              <w:rPr>
                <w:rFonts w:asciiTheme="minorEastAsia" w:hAnsiTheme="minorEastAsia" w:eastAsiaTheme="minorEastAsia" w:cstheme="minorEastAsia"/>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EE8B2F7">
            <w:pPr>
              <w:spacing w:line="360" w:lineRule="auto"/>
              <w:jc w:val="left"/>
              <w:rPr>
                <w:rFonts w:asciiTheme="minorEastAsia" w:hAnsiTheme="minorEastAsia" w:eastAsiaTheme="minorEastAsia" w:cstheme="minorEastAsia"/>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FD7D4C0">
            <w:pPr>
              <w:spacing w:line="360" w:lineRule="auto"/>
              <w:jc w:val="left"/>
              <w:rPr>
                <w:rFonts w:asciiTheme="minorEastAsia" w:hAnsiTheme="minorEastAsia" w:eastAsiaTheme="minorEastAsia" w:cstheme="minorEastAsia"/>
                <w:color w:val="auto"/>
                <w:kern w:val="0"/>
                <w:sz w:val="24"/>
                <w:szCs w:val="24"/>
                <w:highlight w:val="none"/>
              </w:rPr>
            </w:pPr>
          </w:p>
        </w:tc>
      </w:tr>
      <w:tr w14:paraId="02A44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58D9D0B1">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19EABEA6">
            <w:pPr>
              <w:spacing w:line="360" w:lineRule="auto"/>
              <w:jc w:val="left"/>
              <w:rPr>
                <w:rFonts w:asciiTheme="minorEastAsia" w:hAnsiTheme="minorEastAsia" w:eastAsiaTheme="minorEastAsia" w:cstheme="minorEastAsia"/>
                <w:color w:val="auto"/>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25CBD1">
            <w:pPr>
              <w:spacing w:line="360" w:lineRule="auto"/>
              <w:jc w:val="left"/>
              <w:rPr>
                <w:rFonts w:asciiTheme="minorEastAsia" w:hAnsiTheme="minorEastAsia" w:eastAsiaTheme="minorEastAsia" w:cstheme="minorEastAsia"/>
                <w:color w:val="auto"/>
                <w:kern w:val="0"/>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C363565">
            <w:pPr>
              <w:spacing w:line="360" w:lineRule="auto"/>
              <w:jc w:val="left"/>
              <w:rPr>
                <w:rFonts w:asciiTheme="minorEastAsia" w:hAnsiTheme="minorEastAsia" w:eastAsiaTheme="minorEastAsia" w:cstheme="minorEastAsia"/>
                <w:color w:val="auto"/>
                <w:kern w:val="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A36C002">
            <w:pPr>
              <w:spacing w:line="360" w:lineRule="auto"/>
              <w:jc w:val="left"/>
              <w:rPr>
                <w:rFonts w:asciiTheme="minorEastAsia" w:hAnsiTheme="minorEastAsia" w:eastAsiaTheme="minorEastAsia" w:cstheme="minorEastAsia"/>
                <w:color w:val="auto"/>
                <w:kern w:val="0"/>
                <w:sz w:val="24"/>
                <w:szCs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C656BAD">
            <w:pPr>
              <w:spacing w:line="360" w:lineRule="auto"/>
              <w:jc w:val="left"/>
              <w:rPr>
                <w:rFonts w:asciiTheme="minorEastAsia" w:hAnsiTheme="minorEastAsia" w:eastAsiaTheme="minorEastAsia" w:cstheme="minorEastAsia"/>
                <w:color w:val="auto"/>
                <w:kern w:val="0"/>
                <w:sz w:val="24"/>
                <w:szCs w:val="24"/>
                <w:highlight w:val="none"/>
              </w:rPr>
            </w:pPr>
          </w:p>
        </w:tc>
      </w:tr>
    </w:tbl>
    <w:p w14:paraId="52DC9BAC">
      <w:pPr>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附：评分标准要求的证明材料</w:t>
      </w:r>
    </w:p>
    <w:p w14:paraId="6F2A5B4C">
      <w:pPr>
        <w:spacing w:line="360" w:lineRule="auto"/>
        <w:jc w:val="left"/>
        <w:rPr>
          <w:rFonts w:asciiTheme="minorEastAsia" w:hAnsiTheme="minorEastAsia" w:eastAsiaTheme="minorEastAsia" w:cstheme="minorEastAsia"/>
          <w:color w:val="auto"/>
          <w:kern w:val="0"/>
          <w:sz w:val="24"/>
          <w:szCs w:val="24"/>
          <w:highlight w:val="none"/>
        </w:rPr>
      </w:pPr>
    </w:p>
    <w:p w14:paraId="0D8192B6">
      <w:pPr>
        <w:spacing w:line="360" w:lineRule="auto"/>
        <w:jc w:val="left"/>
        <w:rPr>
          <w:rFonts w:asciiTheme="minorEastAsia" w:hAnsiTheme="minorEastAsia" w:eastAsiaTheme="minorEastAsia" w:cstheme="minorEastAsia"/>
          <w:color w:val="auto"/>
          <w:kern w:val="0"/>
          <w:sz w:val="24"/>
          <w:szCs w:val="24"/>
          <w:highlight w:val="none"/>
        </w:rPr>
      </w:pPr>
    </w:p>
    <w:p w14:paraId="73146182">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397B1DF1">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5FB183F7">
      <w:pPr>
        <w:autoSpaceDE w:val="0"/>
        <w:autoSpaceDN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日期</w:t>
      </w:r>
      <w:r>
        <w:rPr>
          <w:rFonts w:hint="eastAsia" w:asciiTheme="minorEastAsia" w:hAnsiTheme="minorEastAsia" w:eastAsiaTheme="minorEastAsia" w:cstheme="minorEastAsia"/>
          <w:color w:val="auto"/>
          <w:kern w:val="0"/>
          <w:sz w:val="24"/>
          <w:szCs w:val="24"/>
          <w:highlight w:val="none"/>
          <w:lang w:val="zh-CN" w:eastAsia="zh-CN"/>
        </w:rPr>
        <w:t>：</w:t>
      </w:r>
    </w:p>
    <w:p w14:paraId="64C23D7C">
      <w:pPr>
        <w:spacing w:line="360" w:lineRule="auto"/>
        <w:ind w:left="4620" w:leftChars="2200"/>
        <w:jc w:val="left"/>
        <w:rPr>
          <w:rFonts w:asciiTheme="minorEastAsia" w:hAnsiTheme="minorEastAsia" w:eastAsiaTheme="minorEastAsia" w:cstheme="minorEastAsia"/>
          <w:b/>
          <w:color w:val="auto"/>
          <w:kern w:val="0"/>
          <w:sz w:val="36"/>
          <w:szCs w:val="36"/>
          <w:highlight w:val="none"/>
          <w:lang w:val="zh-CN"/>
        </w:rPr>
      </w:pPr>
    </w:p>
    <w:p w14:paraId="12FE298E">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6"/>
          <w:szCs w:val="36"/>
          <w:highlight w:val="none"/>
          <w:lang w:val="zh-CN"/>
        </w:rPr>
      </w:pPr>
      <w:r>
        <w:rPr>
          <w:rFonts w:hint="eastAsia" w:asciiTheme="minorEastAsia" w:hAnsiTheme="minorEastAsia" w:eastAsiaTheme="minorEastAsia" w:cstheme="minorEastAsia"/>
          <w:b/>
          <w:color w:val="auto"/>
          <w:kern w:val="0"/>
          <w:sz w:val="36"/>
          <w:szCs w:val="36"/>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十二、</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51912FA">
      <w:pPr>
        <w:snapToGrid w:val="0"/>
        <w:spacing w:line="360" w:lineRule="auto"/>
        <w:rPr>
          <w:rFonts w:asciiTheme="minorEastAsia" w:hAnsiTheme="minorEastAsia" w:eastAsiaTheme="minorEastAsia" w:cstheme="minorEastAsia"/>
          <w:color w:val="auto"/>
          <w:sz w:val="28"/>
          <w:szCs w:val="28"/>
          <w:highlight w:val="none"/>
        </w:rPr>
      </w:pPr>
    </w:p>
    <w:p w14:paraId="0318385A">
      <w:pPr>
        <w:snapToGrid w:val="0"/>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r>
        <w:rPr>
          <w:rFonts w:hint="eastAsia" w:asciiTheme="minorEastAsia" w:hAnsiTheme="minorEastAsia" w:eastAsiaTheme="minorEastAsia" w:cstheme="minorEastAsia"/>
          <w:color w:val="auto"/>
          <w:kern w:val="0"/>
          <w:sz w:val="24"/>
          <w:szCs w:val="24"/>
          <w:highlight w:val="none"/>
          <w:lang w:val="zh-CN"/>
        </w:rPr>
        <w:t>：</w:t>
      </w:r>
    </w:p>
    <w:p w14:paraId="4DFF1948">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我单位响应你</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kern w:val="0"/>
          <w:sz w:val="24"/>
          <w:szCs w:val="24"/>
          <w:highlight w:val="none"/>
          <w:lang w:val="zh-CN"/>
        </w:rPr>
        <w:t>项目磋商要求参加磋商采购活动。在这次采购过程中和成交后，我们将严格遵守国家法律法规要求，并郑重承诺：</w:t>
      </w:r>
    </w:p>
    <w:p w14:paraId="1098D4AF">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一、不向项目有关人员及部门赠送礼金礼物、有价证券、回扣以及中介费、介绍费、咨询费等好处费； </w:t>
      </w:r>
    </w:p>
    <w:p w14:paraId="13856ED3">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二、不为项目有关人员及部门报销应由你方单位或个人支付的费用； </w:t>
      </w:r>
    </w:p>
    <w:p w14:paraId="09A8ED63">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三、不向项目有关人员及部门提供有可能影响公正的宴请和健身娱乐等活动； </w:t>
      </w:r>
    </w:p>
    <w:p w14:paraId="27AA6CA2">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四、不为项目有关人员及部门出国（境）、旅游等提供方便；</w:t>
      </w:r>
    </w:p>
    <w:p w14:paraId="0863301D">
      <w:pPr>
        <w:autoSpaceDE w:val="0"/>
        <w:autoSpaceDN w:val="0"/>
        <w:spacing w:line="360" w:lineRule="auto"/>
        <w:ind w:left="481" w:leftChars="229"/>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五、不为项目有关人员个人装修住房、婚丧嫁娶、配偶子女工作安排等提供</w:t>
      </w:r>
    </w:p>
    <w:p w14:paraId="142B0B26">
      <w:pPr>
        <w:autoSpaceDE w:val="0"/>
        <w:autoSpaceDN w:val="0"/>
        <w:spacing w:line="360" w:lineRule="auto"/>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好处；</w:t>
      </w:r>
    </w:p>
    <w:p w14:paraId="5D457F21">
      <w:pPr>
        <w:autoSpaceDE w:val="0"/>
        <w:autoSpaceDN w:val="0"/>
        <w:spacing w:line="360" w:lineRule="auto"/>
        <w:ind w:left="481" w:leftChars="229"/>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六、严格遵守《</w:t>
      </w:r>
      <w:r>
        <w:rPr>
          <w:rFonts w:hint="eastAsia" w:asciiTheme="minorEastAsia" w:hAnsiTheme="minorEastAsia" w:eastAsiaTheme="minorEastAsia" w:cstheme="minorEastAsia"/>
          <w:color w:val="auto"/>
          <w:sz w:val="24"/>
          <w:szCs w:val="24"/>
          <w:highlight w:val="none"/>
          <w:lang w:val="zh-CN"/>
        </w:rPr>
        <w:t>中华人民共和国</w:t>
      </w:r>
      <w:r>
        <w:rPr>
          <w:rFonts w:hint="eastAsia" w:asciiTheme="minorEastAsia" w:hAnsiTheme="minorEastAsia" w:eastAsiaTheme="minorEastAsia" w:cstheme="minorEastAsia"/>
          <w:color w:val="auto"/>
          <w:kern w:val="0"/>
          <w:sz w:val="24"/>
          <w:szCs w:val="24"/>
          <w:highlight w:val="none"/>
          <w:lang w:val="zh-CN"/>
        </w:rPr>
        <w:t>政府采购法》</w:t>
      </w:r>
      <w:r>
        <w:rPr>
          <w:rFonts w:hint="eastAsia" w:asciiTheme="minorEastAsia" w:hAnsiTheme="minorEastAsia" w:eastAsiaTheme="minorEastAsia" w:cstheme="minorEastAsia"/>
          <w:color w:val="auto"/>
          <w:sz w:val="24"/>
          <w:szCs w:val="24"/>
          <w:highlight w:val="none"/>
          <w:lang w:val="zh-CN"/>
        </w:rPr>
        <w:t>《中华人民共和国民法典》</w:t>
      </w:r>
      <w:r>
        <w:rPr>
          <w:rFonts w:hint="eastAsia" w:asciiTheme="minorEastAsia" w:hAnsiTheme="minorEastAsia" w:eastAsiaTheme="minorEastAsia" w:cstheme="minorEastAsia"/>
          <w:color w:val="auto"/>
          <w:kern w:val="0"/>
          <w:sz w:val="24"/>
          <w:szCs w:val="24"/>
          <w:highlight w:val="none"/>
          <w:lang w:val="zh-CN"/>
        </w:rPr>
        <w:t xml:space="preserve">等法律法规，诚实守信，合法经营，坚决抵制各种违法违纪行为。 </w:t>
      </w:r>
    </w:p>
    <w:p w14:paraId="76D4BA13">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如违反上述承诺，你</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kern w:val="0"/>
          <w:sz w:val="24"/>
          <w:szCs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kern w:val="0"/>
          <w:sz w:val="24"/>
          <w:szCs w:val="24"/>
          <w:highlight w:val="none"/>
          <w:lang w:val="zh-CN"/>
        </w:rPr>
        <w:t>进行项目建设或其他经营活动，并通报市财政局。由此引起的相应损失均由我单位承担。</w:t>
      </w:r>
    </w:p>
    <w:p w14:paraId="7F89A89D">
      <w:pPr>
        <w:autoSpaceDE w:val="0"/>
        <w:autoSpaceDN w:val="0"/>
        <w:spacing w:line="360" w:lineRule="auto"/>
        <w:jc w:val="left"/>
        <w:rPr>
          <w:rFonts w:asciiTheme="minorEastAsia" w:hAnsiTheme="minorEastAsia" w:eastAsiaTheme="minorEastAsia" w:cstheme="minorEastAsia"/>
          <w:color w:val="auto"/>
          <w:kern w:val="0"/>
          <w:sz w:val="24"/>
          <w:szCs w:val="24"/>
          <w:highlight w:val="none"/>
          <w:lang w:val="zh-CN"/>
        </w:rPr>
      </w:pPr>
    </w:p>
    <w:p w14:paraId="6885265E">
      <w:pPr>
        <w:autoSpaceDE w:val="0"/>
        <w:autoSpaceDN w:val="0"/>
        <w:spacing w:line="360" w:lineRule="auto"/>
        <w:ind w:left="2"/>
        <w:jc w:val="left"/>
        <w:rPr>
          <w:rFonts w:asciiTheme="minorEastAsia" w:hAnsiTheme="minorEastAsia" w:eastAsiaTheme="minorEastAsia" w:cstheme="minorEastAsia"/>
          <w:color w:val="auto"/>
          <w:kern w:val="0"/>
          <w:sz w:val="24"/>
          <w:szCs w:val="24"/>
          <w:highlight w:val="none"/>
          <w:lang w:val="zh-CN"/>
        </w:rPr>
      </w:pPr>
    </w:p>
    <w:p w14:paraId="3264AE6C">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4D413228">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6255AB0A">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w:t>
      </w:r>
    </w:p>
    <w:p w14:paraId="2C5BCDC0">
      <w:pPr>
        <w:spacing w:line="360" w:lineRule="auto"/>
        <w:ind w:left="4620" w:leftChars="2200"/>
        <w:rPr>
          <w:rFonts w:asciiTheme="minorEastAsia" w:hAnsiTheme="minorEastAsia" w:eastAsiaTheme="minorEastAsia" w:cstheme="minorEastAsia"/>
          <w:color w:val="auto"/>
          <w:sz w:val="28"/>
          <w:szCs w:val="28"/>
          <w:highlight w:val="none"/>
        </w:rPr>
      </w:pPr>
    </w:p>
    <w:p w14:paraId="2EF7BE5D">
      <w:pPr>
        <w:spacing w:line="360" w:lineRule="auto"/>
        <w:jc w:val="center"/>
        <w:rPr>
          <w:rFonts w:asciiTheme="minorEastAsia" w:hAnsiTheme="minorEastAsia" w:eastAsiaTheme="minorEastAsia" w:cstheme="minorEastAsia"/>
          <w:b/>
          <w:bCs/>
          <w:color w:val="auto"/>
          <w:sz w:val="28"/>
          <w:szCs w:val="2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62ABC14">
      <w:pPr>
        <w:spacing w:line="360" w:lineRule="auto"/>
        <w:jc w:val="center"/>
        <w:outlineLvl w:val="0"/>
        <w:rPr>
          <w:rFonts w:asciiTheme="minorEastAsia" w:hAnsiTheme="minorEastAsia" w:eastAsiaTheme="minorEastAsia" w:cstheme="minorEastAsia"/>
          <w:b/>
          <w:color w:val="auto"/>
          <w:kern w:val="0"/>
          <w:sz w:val="40"/>
          <w:szCs w:val="40"/>
          <w:highlight w:val="none"/>
        </w:rPr>
      </w:pPr>
      <w:r>
        <w:rPr>
          <w:rFonts w:hint="eastAsia" w:asciiTheme="minorEastAsia" w:hAnsiTheme="minorEastAsia" w:eastAsiaTheme="minorEastAsia" w:cstheme="minorEastAsia"/>
          <w:b/>
          <w:color w:val="auto"/>
          <w:kern w:val="0"/>
          <w:sz w:val="40"/>
          <w:szCs w:val="40"/>
          <w:highlight w:val="none"/>
        </w:rPr>
        <w:t>报价文件部分</w:t>
      </w:r>
    </w:p>
    <w:p w14:paraId="4A2466B2">
      <w:pPr>
        <w:spacing w:line="360" w:lineRule="auto"/>
        <w:jc w:val="center"/>
        <w:outlineLvl w:val="0"/>
        <w:rPr>
          <w:rFonts w:asciiTheme="minorEastAsia" w:hAnsiTheme="minorEastAsia" w:eastAsiaTheme="minorEastAsia" w:cstheme="minorEastAsia"/>
          <w:b/>
          <w:color w:val="auto"/>
          <w:kern w:val="0"/>
          <w:sz w:val="40"/>
          <w:szCs w:val="40"/>
          <w:highlight w:val="none"/>
        </w:rPr>
      </w:pPr>
      <w:r>
        <w:rPr>
          <w:rFonts w:hint="eastAsia" w:asciiTheme="minorEastAsia" w:hAnsiTheme="minorEastAsia" w:eastAsiaTheme="minorEastAsia" w:cstheme="minorEastAsia"/>
          <w:b/>
          <w:color w:val="auto"/>
          <w:kern w:val="0"/>
          <w:sz w:val="40"/>
          <w:szCs w:val="40"/>
          <w:highlight w:val="none"/>
        </w:rPr>
        <w:t>目录</w:t>
      </w:r>
    </w:p>
    <w:p w14:paraId="10D9B0B2">
      <w:pPr>
        <w:snapToGrid w:val="0"/>
        <w:spacing w:line="360" w:lineRule="auto"/>
        <w:ind w:firstLine="560" w:firstLineChars="200"/>
        <w:rPr>
          <w:rFonts w:asciiTheme="minorEastAsia" w:hAnsiTheme="minorEastAsia" w:eastAsiaTheme="minorEastAsia" w:cstheme="minorEastAsia"/>
          <w:color w:val="auto"/>
          <w:sz w:val="28"/>
          <w:szCs w:val="28"/>
          <w:highlight w:val="none"/>
          <w:u w:val="single"/>
          <w:lang w:val="zh-CN"/>
        </w:rPr>
      </w:pPr>
      <w:r>
        <w:rPr>
          <w:rFonts w:hint="eastAsia" w:asciiTheme="minorEastAsia" w:hAnsiTheme="minorEastAsia" w:eastAsiaTheme="minorEastAsia" w:cstheme="minorEastAsia"/>
          <w:color w:val="auto"/>
          <w:sz w:val="28"/>
          <w:szCs w:val="28"/>
          <w:highlight w:val="none"/>
        </w:rPr>
        <w:t xml:space="preserve"> </w:t>
      </w:r>
    </w:p>
    <w:p w14:paraId="499660F9">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268CB20">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0BD26A89">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0E0B2D20">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5832A84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56A45A3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6B6F1474">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0F422291">
      <w:pPr>
        <w:pStyle w:val="4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6"/>
          <w:szCs w:val="36"/>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35FF04">
      <w:pPr>
        <w:pStyle w:val="46"/>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65A41FF6">
      <w:pPr>
        <w:snapToGrid w:val="0"/>
        <w:spacing w:line="360" w:lineRule="auto"/>
        <w:rPr>
          <w:rFonts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（采购人）、（采购代理机构）</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7D9EF352">
      <w:pPr>
        <w:snapToGrid w:val="0"/>
        <w:spacing w:line="360" w:lineRule="auto"/>
        <w:ind w:firstLine="482"/>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szCs w:val="24"/>
          <w:highlight w:val="none"/>
          <w:lang w:val="en-US" w:eastAsia="zh-CN"/>
        </w:rPr>
        <w:t>本项目的实施</w:t>
      </w:r>
      <w:r>
        <w:rPr>
          <w:rFonts w:hint="eastAsia" w:asciiTheme="minorEastAsia" w:hAnsiTheme="minorEastAsia" w:eastAsiaTheme="minorEastAsia" w:cstheme="minorEastAsia"/>
          <w:color w:val="auto"/>
          <w:kern w:val="0"/>
          <w:sz w:val="24"/>
          <w:szCs w:val="24"/>
          <w:highlight w:val="none"/>
          <w:lang w:val="zh-CN"/>
        </w:rPr>
        <w:t>。</w:t>
      </w:r>
    </w:p>
    <w:p w14:paraId="0C7B215F">
      <w:pPr>
        <w:spacing w:line="360" w:lineRule="auto"/>
        <w:jc w:val="center"/>
        <w:rPr>
          <w:rFonts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报价一览表（初次报价表）(单位均为人民币元)</w:t>
      </w:r>
    </w:p>
    <w:tbl>
      <w:tblPr>
        <w:tblStyle w:val="25"/>
        <w:tblpPr w:leftFromText="180" w:rightFromText="180" w:vertAnchor="text" w:horzAnchor="margin" w:tblpX="-277" w:tblpY="192"/>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2942"/>
        <w:gridCol w:w="1961"/>
      </w:tblGrid>
      <w:tr w14:paraId="5D2A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204" w:type="dxa"/>
            <w:tcBorders>
              <w:top w:val="single" w:color="auto" w:sz="4" w:space="0"/>
              <w:left w:val="single" w:color="auto" w:sz="4" w:space="0"/>
              <w:bottom w:val="single" w:color="auto" w:sz="4" w:space="0"/>
              <w:right w:val="single" w:color="auto" w:sz="4" w:space="0"/>
            </w:tcBorders>
            <w:noWrap w:val="0"/>
            <w:vAlign w:val="center"/>
          </w:tcPr>
          <w:p w14:paraId="534E3110">
            <w:pPr>
              <w:pStyle w:val="10"/>
              <w:pageBreakBefore w:val="0"/>
              <w:kinsoku/>
              <w:wordWrap/>
              <w:overflowPunct/>
              <w:topLinePunct w:val="0"/>
              <w:bidi w:val="0"/>
              <w:spacing w:line="360" w:lineRule="auto"/>
              <w:ind w:firstLine="0"/>
              <w:jc w:val="center"/>
              <w:rPr>
                <w:color w:val="auto"/>
                <w:sz w:val="24"/>
                <w:szCs w:val="24"/>
                <w:highlight w:val="none"/>
              </w:rPr>
            </w:pPr>
            <w:r>
              <w:rPr>
                <w:rFonts w:hint="eastAsia"/>
                <w:color w:val="auto"/>
                <w:sz w:val="24"/>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35C740E3">
            <w:pPr>
              <w:pStyle w:val="10"/>
              <w:pageBreakBefore w:val="0"/>
              <w:kinsoku/>
              <w:wordWrap/>
              <w:overflowPunct/>
              <w:topLinePunct w:val="0"/>
              <w:bidi w:val="0"/>
              <w:spacing w:line="360" w:lineRule="auto"/>
              <w:ind w:left="0" w:leftChars="0" w:firstLine="0" w:firstLineChars="0"/>
              <w:jc w:val="center"/>
              <w:rPr>
                <w:rFonts w:hint="eastAsia" w:eastAsia="方正书宋简体"/>
                <w:color w:val="auto"/>
                <w:sz w:val="24"/>
                <w:szCs w:val="24"/>
                <w:highlight w:val="none"/>
                <w:lang w:eastAsia="zh-CN"/>
              </w:rPr>
            </w:pPr>
            <w:r>
              <w:rPr>
                <w:rFonts w:hint="eastAsia"/>
                <w:color w:val="auto"/>
                <w:sz w:val="24"/>
                <w:szCs w:val="24"/>
                <w:highlight w:val="none"/>
              </w:rPr>
              <w:t>投标报价</w:t>
            </w:r>
            <w:r>
              <w:rPr>
                <w:color w:val="auto"/>
                <w:sz w:val="24"/>
                <w:szCs w:val="24"/>
                <w:highlight w:val="none"/>
              </w:rPr>
              <w:t>（</w:t>
            </w:r>
            <w:r>
              <w:rPr>
                <w:rFonts w:hint="eastAsia"/>
                <w:color w:val="auto"/>
                <w:sz w:val="24"/>
                <w:szCs w:val="24"/>
                <w:highlight w:val="none"/>
                <w:lang w:val="en-US" w:eastAsia="zh-CN"/>
              </w:rPr>
              <w:t>综合折扣率</w:t>
            </w:r>
            <w:r>
              <w:rPr>
                <w:rFonts w:hint="eastAsia"/>
                <w:color w:val="auto"/>
                <w:sz w:val="24"/>
                <w:szCs w:val="24"/>
                <w:highlight w:val="none"/>
              </w:rPr>
              <w:t>%</w:t>
            </w:r>
            <w:r>
              <w:rPr>
                <w:color w:val="auto"/>
                <w:sz w:val="24"/>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056992B3">
            <w:pPr>
              <w:pStyle w:val="10"/>
              <w:pageBreakBefore w:val="0"/>
              <w:kinsoku/>
              <w:wordWrap/>
              <w:overflowPunct/>
              <w:topLinePunct w:val="0"/>
              <w:bidi w:val="0"/>
              <w:spacing w:line="360" w:lineRule="auto"/>
              <w:ind w:firstLine="0"/>
              <w:jc w:val="both"/>
              <w:rPr>
                <w:rFonts w:hint="default" w:eastAsia="方正书宋简体"/>
                <w:color w:val="auto"/>
                <w:sz w:val="24"/>
                <w:szCs w:val="24"/>
                <w:highlight w:val="none"/>
                <w:lang w:val="en-US" w:eastAsia="zh-CN"/>
              </w:rPr>
            </w:pPr>
            <w:r>
              <w:rPr>
                <w:rFonts w:hint="eastAsia" w:eastAsia="方正书宋简体"/>
                <w:color w:val="auto"/>
                <w:sz w:val="24"/>
                <w:szCs w:val="24"/>
                <w:highlight w:val="none"/>
                <w:lang w:val="en-US" w:eastAsia="zh-CN"/>
              </w:rPr>
              <w:t>备注</w:t>
            </w:r>
          </w:p>
        </w:tc>
      </w:tr>
      <w:tr w14:paraId="7E87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204" w:type="dxa"/>
            <w:tcBorders>
              <w:top w:val="single" w:color="auto" w:sz="4" w:space="0"/>
              <w:left w:val="single" w:color="auto" w:sz="4" w:space="0"/>
              <w:bottom w:val="single" w:color="auto" w:sz="4" w:space="0"/>
              <w:right w:val="single" w:color="auto" w:sz="4" w:space="0"/>
            </w:tcBorders>
            <w:noWrap w:val="0"/>
            <w:vAlign w:val="center"/>
          </w:tcPr>
          <w:p w14:paraId="44CC97BA">
            <w:pPr>
              <w:tabs>
                <w:tab w:val="left" w:pos="2940"/>
              </w:tabs>
              <w:spacing w:line="240" w:lineRule="auto"/>
              <w:rPr>
                <w:rFonts w:hint="eastAsia" w:ascii="宋体" w:hAnsi="宋体" w:eastAsia="宋体" w:cs="Times New Roman"/>
                <w:color w:val="auto"/>
                <w:sz w:val="21"/>
                <w:szCs w:val="24"/>
                <w:highlight w:val="none"/>
              </w:rPr>
            </w:pPr>
            <w:r>
              <w:rPr>
                <w:rFonts w:hint="eastAsia" w:ascii="宋体" w:hAnsi="宋体" w:cs="Times New Roman"/>
                <w:color w:val="auto"/>
                <w:kern w:val="2"/>
                <w:sz w:val="24"/>
                <w:szCs w:val="24"/>
                <w:highlight w:val="none"/>
                <w:lang w:val="en-US" w:eastAsia="zh-CN" w:bidi="ar-SA"/>
              </w:rPr>
              <w:t>奉化区方桥街道中心幼儿园校园改造项目</w:t>
            </w:r>
            <w:r>
              <w:rPr>
                <w:rFonts w:hint="eastAsia" w:eastAsia="宋体"/>
                <w:color w:val="auto"/>
                <w:sz w:val="22"/>
                <w:szCs w:val="22"/>
                <w:highlight w:val="none"/>
                <w:u w:val="none"/>
                <w:lang w:eastAsia="zh-CN"/>
              </w:rPr>
              <w:t xml:space="preserve"> </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1FC5B4F9">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综合折扣率</w:t>
            </w:r>
            <w:r>
              <w:rPr>
                <w:rFonts w:hint="eastAsia" w:ascii="宋体" w:hAnsi="宋体" w:eastAsia="宋体" w:cs="Times New Roman"/>
                <w:color w:val="auto"/>
                <w:sz w:val="24"/>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6171C0D">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 w:val="24"/>
                <w:szCs w:val="24"/>
                <w:highlight w:val="none"/>
                <w:lang w:val="en-US" w:eastAsia="zh-CN"/>
              </w:rPr>
            </w:pPr>
          </w:p>
        </w:tc>
      </w:tr>
    </w:tbl>
    <w:p w14:paraId="3AD0DD9B">
      <w:pPr>
        <w:shd w:val="clear"/>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宋体" w:hAnsi="宋体" w:eastAsia="宋体" w:cs="Times New Roman"/>
          <w:b/>
          <w:color w:val="auto"/>
          <w:sz w:val="24"/>
          <w:szCs w:val="24"/>
          <w:highlight w:val="none"/>
          <w:u w:val="single"/>
          <w:lang w:val="zh-CN"/>
        </w:rPr>
        <w:t>1、磋商</w:t>
      </w:r>
      <w:r>
        <w:rPr>
          <w:rFonts w:hint="eastAsia" w:ascii="宋体" w:hAnsi="宋体" w:eastAsia="宋体" w:cs="Times New Roman"/>
          <w:b/>
          <w:color w:val="auto"/>
          <w:sz w:val="24"/>
          <w:szCs w:val="24"/>
          <w:highlight w:val="none"/>
          <w:u w:val="single"/>
        </w:rPr>
        <w:t>报价</w:t>
      </w:r>
      <w:r>
        <w:rPr>
          <w:rFonts w:hint="eastAsia" w:ascii="宋体" w:hAnsi="宋体"/>
          <w:b/>
          <w:color w:val="auto"/>
          <w:sz w:val="24"/>
          <w:szCs w:val="24"/>
          <w:highlight w:val="none"/>
          <w:u w:val="single"/>
        </w:rPr>
        <w:t>折</w:t>
      </w:r>
      <w:r>
        <w:rPr>
          <w:rFonts w:ascii="宋体" w:hAnsi="宋体"/>
          <w:b/>
          <w:color w:val="auto"/>
          <w:sz w:val="24"/>
          <w:szCs w:val="24"/>
          <w:highlight w:val="none"/>
          <w:u w:val="single"/>
        </w:rPr>
        <w:t>扣</w:t>
      </w:r>
      <w:r>
        <w:rPr>
          <w:rFonts w:hint="eastAsia" w:ascii="宋体" w:hAnsi="宋体"/>
          <w:b/>
          <w:color w:val="auto"/>
          <w:sz w:val="24"/>
          <w:szCs w:val="24"/>
          <w:highlight w:val="none"/>
          <w:u w:val="single"/>
        </w:rPr>
        <w:t>率以“%”的形式填写。</w:t>
      </w:r>
      <w:r>
        <w:rPr>
          <w:rFonts w:hint="eastAsia"/>
          <w:b/>
          <w:color w:val="auto"/>
          <w:sz w:val="24"/>
          <w:szCs w:val="24"/>
          <w:highlight w:val="none"/>
          <w:u w:val="single"/>
        </w:rPr>
        <w:t>本次项目设有最高折扣率（9</w:t>
      </w:r>
      <w:r>
        <w:rPr>
          <w:rFonts w:hint="eastAsia"/>
          <w:b/>
          <w:color w:val="auto"/>
          <w:sz w:val="24"/>
          <w:szCs w:val="24"/>
          <w:highlight w:val="none"/>
          <w:u w:val="single"/>
          <w:lang w:val="en-US" w:eastAsia="zh-CN"/>
        </w:rPr>
        <w:t>5</w:t>
      </w:r>
      <w:r>
        <w:rPr>
          <w:rFonts w:hint="eastAsia"/>
          <w:b/>
          <w:color w:val="auto"/>
          <w:sz w:val="24"/>
          <w:szCs w:val="24"/>
          <w:highlight w:val="none"/>
          <w:u w:val="single"/>
        </w:rPr>
        <w:t>%），</w:t>
      </w:r>
      <w:r>
        <w:rPr>
          <w:rFonts w:hint="eastAsia" w:ascii="宋体" w:hAnsi="宋体" w:eastAsia="宋体" w:cs="Times New Roman"/>
          <w:b/>
          <w:color w:val="auto"/>
          <w:sz w:val="24"/>
          <w:szCs w:val="24"/>
          <w:highlight w:val="none"/>
          <w:u w:val="single"/>
          <w:lang w:val="en-US" w:eastAsia="zh-CN"/>
        </w:rPr>
        <w:t>综合折扣率如有小数的，保留至一位小数。</w:t>
      </w:r>
      <w:r>
        <w:rPr>
          <w:rFonts w:hint="eastAsia"/>
          <w:b/>
          <w:color w:val="auto"/>
          <w:sz w:val="24"/>
          <w:szCs w:val="24"/>
          <w:highlight w:val="none"/>
          <w:u w:val="single"/>
        </w:rPr>
        <w:t>未按折扣率进行报价或超过最高综合折扣率进行报价的磋商响应文件作无效处理。</w:t>
      </w:r>
    </w:p>
    <w:p w14:paraId="7BEB1EB7">
      <w:pPr>
        <w:snapToGrid w:val="0"/>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2、报价一经涂改，应在涂改处加盖单位公章或者由法定代表人或授权委托人签名或盖章，否则其投标作无效标处理。</w:t>
      </w:r>
    </w:p>
    <w:p w14:paraId="13241578">
      <w:pPr>
        <w:snapToGrid w:val="0"/>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供应商需按本表格式填写，不得自行更改。</w:t>
      </w:r>
    </w:p>
    <w:p w14:paraId="69423CFD">
      <w:pPr>
        <w:spacing w:line="360" w:lineRule="auto"/>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szCs w:val="24"/>
          <w:highlight w:val="none"/>
          <w:lang w:val="zh-CN"/>
        </w:rPr>
        <w:t>。</w:t>
      </w:r>
    </w:p>
    <w:p w14:paraId="16ECEC30">
      <w:pPr>
        <w:spacing w:line="360" w:lineRule="auto"/>
        <w:rPr>
          <w:rFonts w:hint="eastAsia" w:asciiTheme="minorEastAsia" w:hAnsiTheme="minorEastAsia" w:eastAsiaTheme="minorEastAsia" w:cstheme="minorEastAsia"/>
          <w:color w:val="auto"/>
          <w:sz w:val="24"/>
          <w:szCs w:val="24"/>
          <w:highlight w:val="none"/>
        </w:rPr>
      </w:pPr>
    </w:p>
    <w:p w14:paraId="043FF5A0">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法定代表人或其授权委托人（签名或印章）：  </w:t>
      </w:r>
    </w:p>
    <w:p w14:paraId="35388327">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供应商（盖章）：         </w:t>
      </w:r>
    </w:p>
    <w:p w14:paraId="3F884DD4">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  期：</w:t>
      </w:r>
    </w:p>
    <w:p w14:paraId="25E07C17">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60ABB8C1">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38F982C2">
      <w:pPr>
        <w:widowControl/>
        <w:spacing w:line="360" w:lineRule="auto"/>
        <w:ind w:firstLine="120" w:firstLineChars="5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DAE1FEA">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4C536A4A">
      <w:pPr>
        <w:spacing w:line="360" w:lineRule="auto"/>
        <w:rPr>
          <w:rFonts w:asciiTheme="minorEastAsia" w:hAnsiTheme="minorEastAsia" w:eastAsiaTheme="minorEastAsia" w:cstheme="minorEastAsia"/>
          <w:color w:val="auto"/>
          <w:sz w:val="21"/>
          <w:szCs w:val="24"/>
          <w:highlight w:val="none"/>
        </w:rPr>
      </w:pPr>
    </w:p>
    <w:p w14:paraId="45373572">
      <w:pPr>
        <w:spacing w:line="360" w:lineRule="auto"/>
        <w:ind w:firstLine="360" w:firstLineChars="15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szCs w:val="24"/>
          <w:highlight w:val="none"/>
          <w:u w:val="single"/>
          <w:lang w:eastAsia="zh-CN"/>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 xml:space="preserve">宁波市奉化区教育发展投资有限责任公司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b/>
          <w:bCs/>
          <w:color w:val="auto"/>
          <w:sz w:val="24"/>
          <w:szCs w:val="24"/>
          <w:highlight w:val="none"/>
          <w:u w:val="single"/>
          <w:lang w:val="en-US" w:eastAsia="zh-CN"/>
        </w:rPr>
        <w:t xml:space="preserve"> 奉化区方桥街道中心幼儿园校园改造项目 </w:t>
      </w:r>
      <w:r>
        <w:rPr>
          <w:rFonts w:hint="eastAsia" w:asciiTheme="minorEastAsia" w:hAnsiTheme="minorEastAsia" w:eastAsiaTheme="minorEastAsia" w:cstheme="minorEastAsia"/>
          <w:color w:val="auto"/>
          <w:sz w:val="24"/>
          <w:szCs w:val="24"/>
          <w:highlight w:val="none"/>
        </w:rPr>
        <w:t>采购活动，</w:t>
      </w:r>
      <w:r>
        <w:rPr>
          <w:rFonts w:hint="eastAsia" w:asciiTheme="minorEastAsia" w:hAnsiTheme="minorEastAsia" w:eastAsiaTheme="minorEastAsia" w:cstheme="minorEastAsia"/>
          <w:color w:val="auto"/>
          <w:sz w:val="24"/>
          <w:szCs w:val="24"/>
          <w:highlight w:val="none"/>
          <w:lang w:val="en-US" w:eastAsia="zh-CN"/>
        </w:rPr>
        <w:t>工程</w:t>
      </w:r>
      <w:r>
        <w:rPr>
          <w:rFonts w:hint="eastAsia" w:asciiTheme="minorEastAsia" w:hAnsiTheme="minorEastAsia" w:eastAsiaTheme="minorEastAsia" w:cstheme="minorEastAsia"/>
          <w:color w:val="auto"/>
          <w:sz w:val="24"/>
          <w:szCs w:val="24"/>
          <w:highlight w:val="none"/>
        </w:rPr>
        <w:t>全部由符合政策要求的中小企业承接。相关企业的具体情况如下：</w:t>
      </w:r>
    </w:p>
    <w:p w14:paraId="7E8B761C">
      <w:pPr>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u w:val="single"/>
          <w:lang w:val="en-US" w:eastAsia="zh-CN"/>
        </w:rPr>
        <w:t xml:space="preserve">奉化区方桥街道中心幼儿园校园改造项目  </w:t>
      </w:r>
      <w:r>
        <w:rPr>
          <w:rFonts w:hint="eastAsia" w:asciiTheme="minorEastAsia" w:hAnsiTheme="minorEastAsia" w:eastAsiaTheme="minorEastAsia" w:cstheme="minorEastAsia"/>
          <w:color w:val="auto"/>
          <w:sz w:val="24"/>
          <w:szCs w:val="24"/>
          <w:highlight w:val="none"/>
        </w:rPr>
        <w:t xml:space="preserve">，属于 </w:t>
      </w:r>
      <w:r>
        <w:rPr>
          <w:rFonts w:hint="eastAsia" w:asciiTheme="minorEastAsia" w:hAnsiTheme="minorEastAsia" w:eastAsiaTheme="minorEastAsia" w:cstheme="minorEastAsia"/>
          <w:color w:val="auto"/>
          <w:sz w:val="24"/>
          <w:szCs w:val="24"/>
          <w:highlight w:val="none"/>
          <w:u w:val="single"/>
          <w:lang w:val="en-US" w:eastAsia="zh-CN"/>
        </w:rPr>
        <w:t>建筑</w:t>
      </w:r>
      <w:r>
        <w:rPr>
          <w:rFonts w:hint="eastAsia" w:asciiTheme="minorEastAsia" w:hAnsiTheme="minorEastAsia" w:eastAsiaTheme="minorEastAsia" w:cstheme="minorEastAsia"/>
          <w:color w:val="auto"/>
          <w:sz w:val="24"/>
          <w:szCs w:val="24"/>
          <w:highlight w:val="none"/>
          <w:u w:val="single"/>
        </w:rPr>
        <w:t>业</w:t>
      </w:r>
      <w:r>
        <w:rPr>
          <w:rFonts w:hint="eastAsia" w:asciiTheme="minorEastAsia" w:hAnsiTheme="minorEastAsia" w:eastAsiaTheme="minorEastAsia" w:cstheme="minorEastAsia"/>
          <w:color w:val="auto"/>
          <w:sz w:val="24"/>
          <w:szCs w:val="24"/>
          <w:highlight w:val="none"/>
        </w:rPr>
        <w:t xml:space="preserve"> ；承建（承接）企业为 </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 xml:space="preserve"> ，从业人员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 xml:space="preserve"> （中型企业、小型企业、微型企业） </w:t>
      </w:r>
      <w:r>
        <w:rPr>
          <w:rFonts w:hint="eastAsia" w:asciiTheme="minorEastAsia" w:hAnsiTheme="minorEastAsia" w:eastAsiaTheme="minorEastAsia" w:cstheme="minorEastAsia"/>
          <w:color w:val="auto"/>
          <w:sz w:val="24"/>
          <w:szCs w:val="24"/>
          <w:highlight w:val="none"/>
        </w:rPr>
        <w:t>；</w:t>
      </w:r>
    </w:p>
    <w:p w14:paraId="0DD38083">
      <w:pPr>
        <w:spacing w:line="360" w:lineRule="auto"/>
        <w:jc w:val="left"/>
        <w:rPr>
          <w:rFonts w:asciiTheme="minorEastAsia" w:hAnsiTheme="minorEastAsia" w:eastAsiaTheme="minorEastAsia" w:cstheme="minorEastAsia"/>
          <w:color w:val="auto"/>
          <w:sz w:val="24"/>
          <w:szCs w:val="24"/>
          <w:highlight w:val="none"/>
        </w:rPr>
      </w:pPr>
    </w:p>
    <w:p w14:paraId="2DD63DEC">
      <w:pP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1E1F40E0">
      <w:pP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32057D93">
      <w:pPr>
        <w:spacing w:line="360" w:lineRule="auto"/>
        <w:ind w:right="1760"/>
        <w:jc w:val="right"/>
        <w:rPr>
          <w:rFonts w:asciiTheme="minorEastAsia" w:hAnsiTheme="minorEastAsia" w:eastAsiaTheme="minorEastAsia" w:cstheme="minorEastAsia"/>
          <w:color w:val="auto"/>
          <w:sz w:val="28"/>
          <w:szCs w:val="28"/>
          <w:highlight w:val="none"/>
        </w:rPr>
      </w:pPr>
    </w:p>
    <w:p w14:paraId="5FAE102A">
      <w:pPr>
        <w:spacing w:line="360" w:lineRule="auto"/>
        <w:ind w:right="1760"/>
        <w:jc w:val="righ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供应商名称（电子签名）：</w:t>
      </w:r>
    </w:p>
    <w:p w14:paraId="74C21618">
      <w:pPr>
        <w:spacing w:line="360" w:lineRule="auto"/>
        <w:ind w:right="1120" w:firstLine="5460" w:firstLineChars="19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 期：</w:t>
      </w:r>
    </w:p>
    <w:p w14:paraId="5A91BC6C">
      <w:pPr>
        <w:spacing w:line="360" w:lineRule="auto"/>
        <w:ind w:firstLine="310" w:firstLineChars="147"/>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1"/>
          <w:szCs w:val="21"/>
          <w:highlight w:val="none"/>
        </w:rPr>
        <w:t>从业人员、营业收入、资产总额填报上一年度数据，无上一年度数据的新成立企业可不填报。</w:t>
      </w:r>
    </w:p>
    <w:p w14:paraId="458F0859">
      <w:pPr>
        <w:spacing w:line="360" w:lineRule="auto"/>
        <w:ind w:right="-28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FB0238D">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62F7EF00">
      <w:pPr>
        <w:spacing w:line="360" w:lineRule="auto"/>
        <w:jc w:val="center"/>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三</w:t>
      </w:r>
      <w:r>
        <w:rPr>
          <w:rFonts w:hint="eastAsia" w:asciiTheme="minorEastAsia" w:hAnsiTheme="minorEastAsia" w:eastAsiaTheme="minorEastAsia" w:cstheme="minorEastAsia"/>
          <w:b/>
          <w:bCs/>
          <w:color w:val="auto"/>
          <w:sz w:val="36"/>
          <w:szCs w:val="36"/>
          <w:highlight w:val="none"/>
        </w:rPr>
        <w:t>、残疾人福利性单位声明函</w:t>
      </w:r>
    </w:p>
    <w:p w14:paraId="0BE3194C">
      <w:pPr>
        <w:spacing w:line="360" w:lineRule="auto"/>
        <w:rPr>
          <w:rFonts w:asciiTheme="minorEastAsia" w:hAnsiTheme="minorEastAsia" w:eastAsiaTheme="minorEastAsia" w:cstheme="minorEastAsia"/>
          <w:b/>
          <w:color w:val="auto"/>
          <w:spacing w:val="6"/>
          <w:sz w:val="32"/>
          <w:szCs w:val="32"/>
          <w:highlight w:val="none"/>
        </w:rPr>
      </w:pPr>
    </w:p>
    <w:p w14:paraId="1351318C">
      <w:pP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AC5C93">
      <w:pPr>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44F1B32D">
      <w:pPr>
        <w:spacing w:line="360" w:lineRule="auto"/>
        <w:ind w:firstLine="480" w:firstLineChars="200"/>
        <w:jc w:val="left"/>
        <w:rPr>
          <w:rFonts w:asciiTheme="minorEastAsia" w:hAnsiTheme="minorEastAsia" w:eastAsiaTheme="minorEastAsia" w:cstheme="minorEastAsia"/>
          <w:color w:val="auto"/>
          <w:sz w:val="24"/>
          <w:szCs w:val="24"/>
          <w:highlight w:val="none"/>
        </w:rPr>
      </w:pPr>
    </w:p>
    <w:p w14:paraId="5EC0A8ED">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p>
    <w:p w14:paraId="6FCA01EE">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36255C10">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46F70131">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w:t>
      </w:r>
    </w:p>
    <w:p w14:paraId="414C914E">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27ECCD89">
      <w:pPr>
        <w:spacing w:line="360" w:lineRule="auto"/>
        <w:rPr>
          <w:rFonts w:asciiTheme="minorEastAsia" w:hAnsiTheme="minorEastAsia" w:eastAsiaTheme="minorEastAsia" w:cstheme="minorEastAsia"/>
          <w:b/>
          <w:color w:val="auto"/>
          <w:sz w:val="36"/>
          <w:szCs w:val="36"/>
          <w:highlight w:val="none"/>
        </w:rPr>
      </w:pPr>
    </w:p>
    <w:p w14:paraId="0A48A707">
      <w:pPr>
        <w:numPr>
          <w:ilvl w:val="0"/>
          <w:numId w:val="0"/>
        </w:numPr>
        <w:spacing w:line="360" w:lineRule="auto"/>
        <w:jc w:val="center"/>
        <w:rPr>
          <w:rFonts w:asciiTheme="minorEastAsia" w:hAnsiTheme="minorEastAsia" w:eastAsiaTheme="minorEastAsia" w:cstheme="minorEastAsia"/>
          <w:b/>
          <w:color w:val="auto"/>
          <w:spacing w:val="6"/>
          <w:sz w:val="36"/>
          <w:szCs w:val="36"/>
          <w:highlight w:val="none"/>
        </w:rPr>
      </w:pPr>
      <w:r>
        <w:rPr>
          <w:rFonts w:hint="eastAsia" w:asciiTheme="minorEastAsia" w:hAnsiTheme="minorEastAsia" w:eastAsiaTheme="minorEastAsia" w:cstheme="minorEastAsia"/>
          <w:b/>
          <w:color w:val="auto"/>
          <w:spacing w:val="6"/>
          <w:sz w:val="36"/>
          <w:szCs w:val="36"/>
          <w:highlight w:val="none"/>
        </w:rPr>
        <w:br w:type="page"/>
      </w:r>
      <w:r>
        <w:rPr>
          <w:rFonts w:hint="eastAsia" w:asciiTheme="minorEastAsia" w:hAnsiTheme="minorEastAsia" w:eastAsiaTheme="minorEastAsia" w:cstheme="minorEastAsia"/>
          <w:b/>
          <w:color w:val="auto"/>
          <w:spacing w:val="6"/>
          <w:sz w:val="36"/>
          <w:szCs w:val="36"/>
          <w:highlight w:val="none"/>
          <w:lang w:val="en-US" w:eastAsia="zh-CN"/>
        </w:rPr>
        <w:t>四、</w:t>
      </w:r>
      <w:r>
        <w:rPr>
          <w:rFonts w:hint="eastAsia" w:asciiTheme="minorEastAsia" w:hAnsiTheme="minorEastAsia" w:eastAsiaTheme="minorEastAsia" w:cstheme="minorEastAsia"/>
          <w:b/>
          <w:color w:val="auto"/>
          <w:spacing w:val="6"/>
          <w:sz w:val="36"/>
          <w:szCs w:val="36"/>
          <w:highlight w:val="none"/>
        </w:rPr>
        <w:t>政府采购统计基础信息表</w:t>
      </w:r>
    </w:p>
    <w:p w14:paraId="2ABF8018">
      <w:pPr>
        <w:pStyle w:val="32"/>
        <w:spacing w:line="360" w:lineRule="auto"/>
        <w:ind w:firstLine="0" w:firstLineChars="0"/>
        <w:rPr>
          <w:rFonts w:asciiTheme="minorEastAsia" w:hAnsiTheme="minorEastAsia" w:eastAsiaTheme="minorEastAsia" w:cstheme="minorEastAsia"/>
          <w:color w:val="auto"/>
          <w:sz w:val="32"/>
          <w:szCs w:val="28"/>
          <w:highlight w:val="none"/>
        </w:rPr>
      </w:pPr>
    </w:p>
    <w:tbl>
      <w:tblPr>
        <w:tblStyle w:val="25"/>
        <w:tblW w:w="8537" w:type="dxa"/>
        <w:jc w:val="center"/>
        <w:tblLayout w:type="fixed"/>
        <w:tblCellMar>
          <w:top w:w="0" w:type="dxa"/>
          <w:left w:w="108" w:type="dxa"/>
          <w:bottom w:w="0" w:type="dxa"/>
          <w:right w:w="108" w:type="dxa"/>
        </w:tblCellMar>
      </w:tblPr>
      <w:tblGrid>
        <w:gridCol w:w="4998"/>
        <w:gridCol w:w="3539"/>
      </w:tblGrid>
      <w:tr w14:paraId="0091287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53B2DC">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D123C1D">
            <w:pPr>
              <w:spacing w:line="360" w:lineRule="auto"/>
              <w:rPr>
                <w:rFonts w:asciiTheme="minorEastAsia" w:hAnsiTheme="minorEastAsia" w:eastAsiaTheme="minorEastAsia" w:cstheme="minorEastAsia"/>
                <w:color w:val="auto"/>
                <w:sz w:val="21"/>
                <w:szCs w:val="24"/>
                <w:highlight w:val="none"/>
              </w:rPr>
            </w:pPr>
          </w:p>
        </w:tc>
      </w:tr>
      <w:tr w14:paraId="27CD5B3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065ACD">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3539" w:type="dxa"/>
            <w:tcBorders>
              <w:top w:val="single" w:color="000000" w:sz="4" w:space="0"/>
              <w:left w:val="nil"/>
              <w:bottom w:val="single" w:color="000000" w:sz="4" w:space="0"/>
              <w:right w:val="single" w:color="000000" w:sz="4" w:space="0"/>
            </w:tcBorders>
          </w:tcPr>
          <w:p w14:paraId="3FC490F0">
            <w:pPr>
              <w:spacing w:line="360" w:lineRule="auto"/>
              <w:rPr>
                <w:rFonts w:asciiTheme="minorEastAsia" w:hAnsiTheme="minorEastAsia" w:eastAsiaTheme="minorEastAsia" w:cstheme="minorEastAsia"/>
                <w:color w:val="auto"/>
                <w:sz w:val="21"/>
                <w:szCs w:val="24"/>
                <w:highlight w:val="none"/>
              </w:rPr>
            </w:pPr>
          </w:p>
        </w:tc>
      </w:tr>
      <w:tr w14:paraId="74990D6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A325B3B">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35BB5566">
            <w:pPr>
              <w:spacing w:line="360" w:lineRule="auto"/>
              <w:rPr>
                <w:rFonts w:asciiTheme="minorEastAsia" w:hAnsiTheme="minorEastAsia" w:eastAsiaTheme="minorEastAsia" w:cstheme="minorEastAsia"/>
                <w:color w:val="auto"/>
                <w:sz w:val="21"/>
                <w:szCs w:val="24"/>
                <w:highlight w:val="none"/>
              </w:rPr>
            </w:pPr>
          </w:p>
        </w:tc>
      </w:tr>
      <w:tr w14:paraId="75FD778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4420DA0">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136CD45A">
            <w:pPr>
              <w:spacing w:line="360" w:lineRule="auto"/>
              <w:rPr>
                <w:rFonts w:asciiTheme="minorEastAsia" w:hAnsiTheme="minorEastAsia" w:eastAsiaTheme="minorEastAsia" w:cstheme="minorEastAsia"/>
                <w:color w:val="auto"/>
                <w:sz w:val="21"/>
                <w:szCs w:val="24"/>
                <w:highlight w:val="none"/>
              </w:rPr>
            </w:pPr>
          </w:p>
        </w:tc>
      </w:tr>
      <w:tr w14:paraId="3999534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7FECF54">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D0205B4">
            <w:pPr>
              <w:spacing w:line="360" w:lineRule="auto"/>
              <w:rPr>
                <w:rFonts w:asciiTheme="minorEastAsia" w:hAnsiTheme="minorEastAsia" w:eastAsiaTheme="minorEastAsia" w:cstheme="minorEastAsia"/>
                <w:color w:val="auto"/>
                <w:sz w:val="21"/>
                <w:szCs w:val="24"/>
                <w:highlight w:val="none"/>
              </w:rPr>
            </w:pPr>
          </w:p>
        </w:tc>
      </w:tr>
      <w:tr w14:paraId="485BEFF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9CA2378">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995A53D">
            <w:pPr>
              <w:spacing w:line="360" w:lineRule="auto"/>
              <w:rPr>
                <w:rFonts w:asciiTheme="minorEastAsia" w:hAnsiTheme="minorEastAsia" w:eastAsiaTheme="minorEastAsia" w:cstheme="minorEastAsia"/>
                <w:color w:val="auto"/>
                <w:sz w:val="21"/>
                <w:szCs w:val="24"/>
                <w:highlight w:val="none"/>
              </w:rPr>
            </w:pPr>
          </w:p>
        </w:tc>
      </w:tr>
      <w:tr w14:paraId="406178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4F8B80F">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82D3CB9">
            <w:pPr>
              <w:spacing w:line="360" w:lineRule="auto"/>
              <w:rPr>
                <w:rFonts w:asciiTheme="minorEastAsia" w:hAnsiTheme="minorEastAsia" w:eastAsiaTheme="minorEastAsia" w:cstheme="minorEastAsia"/>
                <w:color w:val="auto"/>
                <w:sz w:val="21"/>
                <w:szCs w:val="24"/>
                <w:highlight w:val="none"/>
              </w:rPr>
            </w:pPr>
          </w:p>
        </w:tc>
      </w:tr>
      <w:tr w14:paraId="26A049A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FC2ED3">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6F024B91">
            <w:pPr>
              <w:spacing w:line="360" w:lineRule="auto"/>
              <w:rPr>
                <w:rFonts w:asciiTheme="minorEastAsia" w:hAnsiTheme="minorEastAsia" w:eastAsiaTheme="minorEastAsia" w:cstheme="minorEastAsia"/>
                <w:color w:val="auto"/>
                <w:sz w:val="21"/>
                <w:szCs w:val="24"/>
                <w:highlight w:val="none"/>
              </w:rPr>
            </w:pPr>
          </w:p>
        </w:tc>
      </w:tr>
      <w:tr w14:paraId="1664A7C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1F65E0">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49A6ACE">
            <w:pPr>
              <w:spacing w:line="360" w:lineRule="auto"/>
              <w:rPr>
                <w:rFonts w:asciiTheme="minorEastAsia" w:hAnsiTheme="minorEastAsia" w:eastAsiaTheme="minorEastAsia" w:cstheme="minorEastAsia"/>
                <w:color w:val="auto"/>
                <w:sz w:val="21"/>
                <w:szCs w:val="24"/>
                <w:highlight w:val="none"/>
              </w:rPr>
            </w:pPr>
          </w:p>
        </w:tc>
      </w:tr>
      <w:tr w14:paraId="3CCA833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D8C30B">
            <w:pPr>
              <w:adjustRightInd w:val="0"/>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3920637">
            <w:pPr>
              <w:spacing w:line="360" w:lineRule="auto"/>
              <w:rPr>
                <w:rFonts w:asciiTheme="minorEastAsia" w:hAnsiTheme="minorEastAsia" w:eastAsiaTheme="minorEastAsia" w:cstheme="minorEastAsia"/>
                <w:color w:val="auto"/>
                <w:sz w:val="21"/>
                <w:szCs w:val="24"/>
                <w:highlight w:val="none"/>
              </w:rPr>
            </w:pPr>
          </w:p>
        </w:tc>
      </w:tr>
    </w:tbl>
    <w:p w14:paraId="7E97F49B">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备注：请各供应商务必填写此表作为响应文件的组成部分。</w:t>
      </w:r>
    </w:p>
    <w:p w14:paraId="490BE0CB">
      <w:pPr>
        <w:adjustRightInd w:val="0"/>
        <w:spacing w:line="360" w:lineRule="auto"/>
        <w:jc w:val="left"/>
        <w:rPr>
          <w:rFonts w:asciiTheme="minorEastAsia" w:hAnsiTheme="minorEastAsia" w:eastAsiaTheme="minorEastAsia" w:cstheme="minorEastAsia"/>
          <w:color w:val="auto"/>
          <w:sz w:val="24"/>
          <w:szCs w:val="24"/>
          <w:highlight w:val="none"/>
        </w:rPr>
      </w:pPr>
    </w:p>
    <w:p w14:paraId="5B27DF57">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p>
    <w:p w14:paraId="587A320C">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法定代表人或其授权委托人（签名或印章）：</w:t>
      </w:r>
    </w:p>
    <w:p w14:paraId="5C809F0F">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供应商（盖章）：</w:t>
      </w:r>
    </w:p>
    <w:p w14:paraId="7F3E2719">
      <w:pPr>
        <w:snapToGrid w:val="0"/>
        <w:spacing w:line="360" w:lineRule="auto"/>
        <w:ind w:firstLine="480" w:firstLineChars="200"/>
        <w:jc w:val="left"/>
        <w:rPr>
          <w:rFonts w:hint="eastAsia" w:asciiTheme="minorEastAsia" w:hAnsiTheme="minorEastAsia" w:eastAsiaTheme="minorEastAsia" w:cstheme="minorEastAsia"/>
          <w:color w:val="auto"/>
          <w:kern w:val="0"/>
          <w:sz w:val="28"/>
          <w:szCs w:val="28"/>
          <w:highlight w:val="none"/>
          <w:lang w:val="zh-CN"/>
        </w:rPr>
      </w:pPr>
      <w:r>
        <w:rPr>
          <w:rFonts w:hint="eastAsia" w:asciiTheme="minorEastAsia" w:hAnsiTheme="minorEastAsia" w:eastAsiaTheme="minorEastAsia" w:cstheme="minorEastAsia"/>
          <w:color w:val="auto"/>
          <w:kern w:val="0"/>
          <w:sz w:val="24"/>
          <w:szCs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6B32">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64BFA8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EA6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1DFDC0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D2A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E4EAE3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2A13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4B7F0B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9DC5">
    <w:pPr>
      <w:pStyle w:val="16"/>
      <w:pBdr>
        <w:bottom w:val="none" w:color="auto" w:sz="0" w:space="0"/>
      </w:pBdr>
      <w:jc w:val="right"/>
      <w:rPr>
        <w:rFonts w:ascii="仿宋_GB2312" w:eastAsia="仿宋_GB2312"/>
        <w:b/>
        <w:i/>
        <w:u w:val="single"/>
      </w:rPr>
    </w:pPr>
    <w:r>
      <w:t></w:t>
    </w:r>
    <w:r>
      <w:rPr>
        <w:rFonts w:hint="eastAsia"/>
      </w:rPr>
      <w:t xml:space="preserve">                                               </w:t>
    </w:r>
  </w:p>
  <w:p w14:paraId="0734FC2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9BFB">
    <w:pPr>
      <w:pStyle w:val="16"/>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A88EC">
    <w:pPr>
      <w:pStyle w:val="16"/>
      <w:pBdr>
        <w:bottom w:val="none" w:color="auto" w:sz="0" w:space="1"/>
      </w:pBdr>
      <w:jc w:val="right"/>
      <w:rPr>
        <w:rFonts w:ascii="仿宋_GB2312" w:eastAsia="仿宋_GB2312"/>
        <w:b/>
        <w:i/>
        <w:u w:val="single"/>
      </w:rPr>
    </w:pPr>
    <w:r>
      <w:rPr>
        <w:rFonts w:hint="eastAsia"/>
      </w:rPr>
      <w:t xml:space="preserve">                                 </w:t>
    </w:r>
  </w:p>
  <w:p w14:paraId="6FB0771D">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668AB">
    <w:pPr>
      <w:pStyle w:val="1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1">
    <w:nsid w:val="086FC11A"/>
    <w:multiLevelType w:val="singleLevel"/>
    <w:tmpl w:val="086FC11A"/>
    <w:lvl w:ilvl="0" w:tentative="0">
      <w:start w:val="1"/>
      <w:numFmt w:val="chineseCounting"/>
      <w:suff w:val="nothing"/>
      <w:lvlText w:val="%1、"/>
      <w:lvlJc w:val="left"/>
      <w:rPr>
        <w:rFonts w:hint="eastAsia"/>
      </w:rPr>
    </w:lvl>
  </w:abstractNum>
  <w:abstractNum w:abstractNumId="2">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WIyNjMyYThhNTgyMjZmMDRkOGRjM2M0YmViZGUifQ=="/>
  </w:docVars>
  <w:rsids>
    <w:rsidRoot w:val="004E6532"/>
    <w:rsid w:val="00034901"/>
    <w:rsid w:val="001A0E98"/>
    <w:rsid w:val="004369B5"/>
    <w:rsid w:val="00453F9B"/>
    <w:rsid w:val="004E6532"/>
    <w:rsid w:val="00532B5F"/>
    <w:rsid w:val="00535688"/>
    <w:rsid w:val="0054723B"/>
    <w:rsid w:val="005A0FB6"/>
    <w:rsid w:val="00616EEA"/>
    <w:rsid w:val="00621873"/>
    <w:rsid w:val="00803953"/>
    <w:rsid w:val="00877893"/>
    <w:rsid w:val="008859D0"/>
    <w:rsid w:val="00AE710C"/>
    <w:rsid w:val="00C73030"/>
    <w:rsid w:val="00D43C04"/>
    <w:rsid w:val="00F01506"/>
    <w:rsid w:val="00FB3DEC"/>
    <w:rsid w:val="00FC4926"/>
    <w:rsid w:val="017E3702"/>
    <w:rsid w:val="022507A0"/>
    <w:rsid w:val="023024D7"/>
    <w:rsid w:val="026A5DB9"/>
    <w:rsid w:val="028642E4"/>
    <w:rsid w:val="02FF0DA1"/>
    <w:rsid w:val="03011176"/>
    <w:rsid w:val="04133956"/>
    <w:rsid w:val="04146089"/>
    <w:rsid w:val="04330EDE"/>
    <w:rsid w:val="043F7883"/>
    <w:rsid w:val="0449381C"/>
    <w:rsid w:val="04756284"/>
    <w:rsid w:val="04B14F1D"/>
    <w:rsid w:val="05914348"/>
    <w:rsid w:val="05BE57B7"/>
    <w:rsid w:val="05C46291"/>
    <w:rsid w:val="064C314F"/>
    <w:rsid w:val="06963DDF"/>
    <w:rsid w:val="06AC064A"/>
    <w:rsid w:val="06EF26FF"/>
    <w:rsid w:val="06FC438C"/>
    <w:rsid w:val="078A1921"/>
    <w:rsid w:val="079B1B4C"/>
    <w:rsid w:val="08153A45"/>
    <w:rsid w:val="085B2A87"/>
    <w:rsid w:val="08C43072"/>
    <w:rsid w:val="08D31906"/>
    <w:rsid w:val="08E03925"/>
    <w:rsid w:val="08E9737B"/>
    <w:rsid w:val="08EC5795"/>
    <w:rsid w:val="08F04266"/>
    <w:rsid w:val="08FC70AE"/>
    <w:rsid w:val="092D2309"/>
    <w:rsid w:val="0A042457"/>
    <w:rsid w:val="0A4F634D"/>
    <w:rsid w:val="0A8C751F"/>
    <w:rsid w:val="0B095AB3"/>
    <w:rsid w:val="0BFD6A07"/>
    <w:rsid w:val="0C436DA2"/>
    <w:rsid w:val="0CA76C35"/>
    <w:rsid w:val="0D014A54"/>
    <w:rsid w:val="0D0504FC"/>
    <w:rsid w:val="0DCE6B40"/>
    <w:rsid w:val="0E093E23"/>
    <w:rsid w:val="0E154BBC"/>
    <w:rsid w:val="0E161B9F"/>
    <w:rsid w:val="0E985C49"/>
    <w:rsid w:val="0E9E4764"/>
    <w:rsid w:val="0EBD766F"/>
    <w:rsid w:val="0ECE36AE"/>
    <w:rsid w:val="0F431F18"/>
    <w:rsid w:val="0F461684"/>
    <w:rsid w:val="0F8A6AE0"/>
    <w:rsid w:val="0FB87AA7"/>
    <w:rsid w:val="101C0036"/>
    <w:rsid w:val="107F4AD0"/>
    <w:rsid w:val="11C61877"/>
    <w:rsid w:val="121752FF"/>
    <w:rsid w:val="124F6EB2"/>
    <w:rsid w:val="12796AE6"/>
    <w:rsid w:val="12C2797F"/>
    <w:rsid w:val="13727710"/>
    <w:rsid w:val="137C74D8"/>
    <w:rsid w:val="13826402"/>
    <w:rsid w:val="13865CFD"/>
    <w:rsid w:val="13CD7831"/>
    <w:rsid w:val="13E72483"/>
    <w:rsid w:val="14225C3D"/>
    <w:rsid w:val="142B4CEC"/>
    <w:rsid w:val="145642AE"/>
    <w:rsid w:val="14635EBD"/>
    <w:rsid w:val="14CD5DA3"/>
    <w:rsid w:val="1528650F"/>
    <w:rsid w:val="156A6F50"/>
    <w:rsid w:val="15987341"/>
    <w:rsid w:val="15C40F54"/>
    <w:rsid w:val="15EF4B8C"/>
    <w:rsid w:val="16014ED0"/>
    <w:rsid w:val="16413CCC"/>
    <w:rsid w:val="165E2A90"/>
    <w:rsid w:val="165E7BD5"/>
    <w:rsid w:val="167A1613"/>
    <w:rsid w:val="16E178E4"/>
    <w:rsid w:val="17070C1E"/>
    <w:rsid w:val="172F62D6"/>
    <w:rsid w:val="17552F75"/>
    <w:rsid w:val="17712A16"/>
    <w:rsid w:val="17AC492E"/>
    <w:rsid w:val="17EC672F"/>
    <w:rsid w:val="181222ED"/>
    <w:rsid w:val="183463C4"/>
    <w:rsid w:val="188B0CA6"/>
    <w:rsid w:val="18CF43F8"/>
    <w:rsid w:val="18DB244F"/>
    <w:rsid w:val="19125FA8"/>
    <w:rsid w:val="19B968F6"/>
    <w:rsid w:val="19FB2A6A"/>
    <w:rsid w:val="1A0F4768"/>
    <w:rsid w:val="1A1A55E6"/>
    <w:rsid w:val="1A7B4D5E"/>
    <w:rsid w:val="1A8A631E"/>
    <w:rsid w:val="1ABD5311"/>
    <w:rsid w:val="1B1C670C"/>
    <w:rsid w:val="1B2D0950"/>
    <w:rsid w:val="1B5C39DD"/>
    <w:rsid w:val="1B7F06C9"/>
    <w:rsid w:val="1BD47C9F"/>
    <w:rsid w:val="1BE63CE0"/>
    <w:rsid w:val="1C350BB6"/>
    <w:rsid w:val="1C90542D"/>
    <w:rsid w:val="1CD03321"/>
    <w:rsid w:val="1CEA33EA"/>
    <w:rsid w:val="1D780306"/>
    <w:rsid w:val="1DA358F3"/>
    <w:rsid w:val="1DB47B11"/>
    <w:rsid w:val="1DDC5928"/>
    <w:rsid w:val="1DE35D79"/>
    <w:rsid w:val="1E0F4D36"/>
    <w:rsid w:val="1E522E75"/>
    <w:rsid w:val="1E8219AC"/>
    <w:rsid w:val="1EC30B03"/>
    <w:rsid w:val="1FFB6918"/>
    <w:rsid w:val="209669C5"/>
    <w:rsid w:val="20E35D8B"/>
    <w:rsid w:val="21263D7E"/>
    <w:rsid w:val="222774F0"/>
    <w:rsid w:val="22A17389"/>
    <w:rsid w:val="22C73E32"/>
    <w:rsid w:val="22D77579"/>
    <w:rsid w:val="235651B5"/>
    <w:rsid w:val="23A710EC"/>
    <w:rsid w:val="23D55ADA"/>
    <w:rsid w:val="23F0560A"/>
    <w:rsid w:val="240E7E40"/>
    <w:rsid w:val="243454F7"/>
    <w:rsid w:val="24681644"/>
    <w:rsid w:val="24E8008F"/>
    <w:rsid w:val="24F46A34"/>
    <w:rsid w:val="253E0A44"/>
    <w:rsid w:val="2568012B"/>
    <w:rsid w:val="259465A5"/>
    <w:rsid w:val="25AB607C"/>
    <w:rsid w:val="25B763DF"/>
    <w:rsid w:val="25CF1F63"/>
    <w:rsid w:val="25F37999"/>
    <w:rsid w:val="272A6E20"/>
    <w:rsid w:val="27545EB0"/>
    <w:rsid w:val="27AC5975"/>
    <w:rsid w:val="282C43E5"/>
    <w:rsid w:val="28E676AB"/>
    <w:rsid w:val="297E7214"/>
    <w:rsid w:val="2A0B7EDE"/>
    <w:rsid w:val="2A293003"/>
    <w:rsid w:val="2A4C32D1"/>
    <w:rsid w:val="2A9232F3"/>
    <w:rsid w:val="2AC923B3"/>
    <w:rsid w:val="2B0D0685"/>
    <w:rsid w:val="2B613AD5"/>
    <w:rsid w:val="2B926639"/>
    <w:rsid w:val="2BFC0FF0"/>
    <w:rsid w:val="2C091017"/>
    <w:rsid w:val="2C26606D"/>
    <w:rsid w:val="2CAB0320"/>
    <w:rsid w:val="2CEF711D"/>
    <w:rsid w:val="2D026128"/>
    <w:rsid w:val="2D361F06"/>
    <w:rsid w:val="2D394446"/>
    <w:rsid w:val="30206C6F"/>
    <w:rsid w:val="305D273A"/>
    <w:rsid w:val="30640F12"/>
    <w:rsid w:val="307849BD"/>
    <w:rsid w:val="307A6CB2"/>
    <w:rsid w:val="316A07AA"/>
    <w:rsid w:val="316D5733"/>
    <w:rsid w:val="31BB3BC7"/>
    <w:rsid w:val="31C66DBA"/>
    <w:rsid w:val="31D42AD9"/>
    <w:rsid w:val="31F11D76"/>
    <w:rsid w:val="321B5F48"/>
    <w:rsid w:val="321E6E4E"/>
    <w:rsid w:val="32A41630"/>
    <w:rsid w:val="32AC6BA0"/>
    <w:rsid w:val="32C4213C"/>
    <w:rsid w:val="32FE0135"/>
    <w:rsid w:val="334D277F"/>
    <w:rsid w:val="337964E6"/>
    <w:rsid w:val="33BB0832"/>
    <w:rsid w:val="33C04E15"/>
    <w:rsid w:val="33DC6096"/>
    <w:rsid w:val="34272982"/>
    <w:rsid w:val="34A83397"/>
    <w:rsid w:val="34B40BB8"/>
    <w:rsid w:val="355B0F59"/>
    <w:rsid w:val="359853D9"/>
    <w:rsid w:val="35FC7E3E"/>
    <w:rsid w:val="360C1DD5"/>
    <w:rsid w:val="36215ACF"/>
    <w:rsid w:val="36F568E0"/>
    <w:rsid w:val="370A0339"/>
    <w:rsid w:val="378D53C9"/>
    <w:rsid w:val="37B02C8E"/>
    <w:rsid w:val="37B230F8"/>
    <w:rsid w:val="38121F62"/>
    <w:rsid w:val="384F79BE"/>
    <w:rsid w:val="38563836"/>
    <w:rsid w:val="38591578"/>
    <w:rsid w:val="385D6A11"/>
    <w:rsid w:val="388A3A34"/>
    <w:rsid w:val="3921049E"/>
    <w:rsid w:val="39737207"/>
    <w:rsid w:val="3AF47A17"/>
    <w:rsid w:val="3B0500A6"/>
    <w:rsid w:val="3B4E27B7"/>
    <w:rsid w:val="3B84681E"/>
    <w:rsid w:val="3BA42B0A"/>
    <w:rsid w:val="3BC136BC"/>
    <w:rsid w:val="3C3025F0"/>
    <w:rsid w:val="3C3976F6"/>
    <w:rsid w:val="3C5928B0"/>
    <w:rsid w:val="3C8660E7"/>
    <w:rsid w:val="3D034FD9"/>
    <w:rsid w:val="3D211F38"/>
    <w:rsid w:val="3D2708D9"/>
    <w:rsid w:val="3D964084"/>
    <w:rsid w:val="3E682515"/>
    <w:rsid w:val="3F2226C4"/>
    <w:rsid w:val="3F2F5BD9"/>
    <w:rsid w:val="3F913E41"/>
    <w:rsid w:val="3FD510BD"/>
    <w:rsid w:val="3FF12C21"/>
    <w:rsid w:val="3FFC1167"/>
    <w:rsid w:val="401D732F"/>
    <w:rsid w:val="404716EC"/>
    <w:rsid w:val="40565930"/>
    <w:rsid w:val="412874DB"/>
    <w:rsid w:val="415154E2"/>
    <w:rsid w:val="41656898"/>
    <w:rsid w:val="41AE11A5"/>
    <w:rsid w:val="41C317D4"/>
    <w:rsid w:val="41D6630B"/>
    <w:rsid w:val="420E3033"/>
    <w:rsid w:val="420E7D4A"/>
    <w:rsid w:val="431421AB"/>
    <w:rsid w:val="43AC14DC"/>
    <w:rsid w:val="43B753D5"/>
    <w:rsid w:val="446B4F27"/>
    <w:rsid w:val="44A92F3F"/>
    <w:rsid w:val="4533775E"/>
    <w:rsid w:val="45840DA9"/>
    <w:rsid w:val="45A656D1"/>
    <w:rsid w:val="45F62A2E"/>
    <w:rsid w:val="45F823D0"/>
    <w:rsid w:val="46284338"/>
    <w:rsid w:val="46502789"/>
    <w:rsid w:val="470A75E8"/>
    <w:rsid w:val="47484C91"/>
    <w:rsid w:val="476C452E"/>
    <w:rsid w:val="47AE7265"/>
    <w:rsid w:val="47AF3794"/>
    <w:rsid w:val="47B45AE3"/>
    <w:rsid w:val="48236574"/>
    <w:rsid w:val="48BA396D"/>
    <w:rsid w:val="491D1CBF"/>
    <w:rsid w:val="494B1258"/>
    <w:rsid w:val="4958211B"/>
    <w:rsid w:val="49656BC0"/>
    <w:rsid w:val="49770DAF"/>
    <w:rsid w:val="49E2099E"/>
    <w:rsid w:val="4A084FAB"/>
    <w:rsid w:val="4A1C41B3"/>
    <w:rsid w:val="4A356245"/>
    <w:rsid w:val="4A940235"/>
    <w:rsid w:val="4B8A5FB1"/>
    <w:rsid w:val="4BAF77E3"/>
    <w:rsid w:val="4C767CE7"/>
    <w:rsid w:val="4C871DB8"/>
    <w:rsid w:val="4C8F29A0"/>
    <w:rsid w:val="4CE849E2"/>
    <w:rsid w:val="4DA32011"/>
    <w:rsid w:val="4DCB232F"/>
    <w:rsid w:val="4DE566F3"/>
    <w:rsid w:val="4EE51018"/>
    <w:rsid w:val="4EEB7913"/>
    <w:rsid w:val="4F060D47"/>
    <w:rsid w:val="4FCF11F8"/>
    <w:rsid w:val="4FEE4E74"/>
    <w:rsid w:val="50083210"/>
    <w:rsid w:val="502A762A"/>
    <w:rsid w:val="50414974"/>
    <w:rsid w:val="507F33AC"/>
    <w:rsid w:val="514859C3"/>
    <w:rsid w:val="51B734A5"/>
    <w:rsid w:val="522D3402"/>
    <w:rsid w:val="52875411"/>
    <w:rsid w:val="52B6651B"/>
    <w:rsid w:val="52C27015"/>
    <w:rsid w:val="53CC27A6"/>
    <w:rsid w:val="540E0DB8"/>
    <w:rsid w:val="54212AF2"/>
    <w:rsid w:val="54330490"/>
    <w:rsid w:val="54BC0A6D"/>
    <w:rsid w:val="54CC0819"/>
    <w:rsid w:val="55036BA4"/>
    <w:rsid w:val="5559571D"/>
    <w:rsid w:val="55B66F2D"/>
    <w:rsid w:val="56005579"/>
    <w:rsid w:val="56047B5F"/>
    <w:rsid w:val="56920EB1"/>
    <w:rsid w:val="56AF7BA3"/>
    <w:rsid w:val="56D654D4"/>
    <w:rsid w:val="586A1CF4"/>
    <w:rsid w:val="59465BC1"/>
    <w:rsid w:val="59573918"/>
    <w:rsid w:val="59590710"/>
    <w:rsid w:val="59D94D98"/>
    <w:rsid w:val="59EB6745"/>
    <w:rsid w:val="59F36282"/>
    <w:rsid w:val="5A1300B9"/>
    <w:rsid w:val="5A581029"/>
    <w:rsid w:val="5AC579E1"/>
    <w:rsid w:val="5B0F614B"/>
    <w:rsid w:val="5B6C3BFE"/>
    <w:rsid w:val="5B8B1199"/>
    <w:rsid w:val="5B9F3F13"/>
    <w:rsid w:val="5BCD355F"/>
    <w:rsid w:val="5BF31574"/>
    <w:rsid w:val="5D1D4073"/>
    <w:rsid w:val="5DE27796"/>
    <w:rsid w:val="5E1B6804"/>
    <w:rsid w:val="5E291DB5"/>
    <w:rsid w:val="5E4915C3"/>
    <w:rsid w:val="5E6E6B2D"/>
    <w:rsid w:val="5E8410F4"/>
    <w:rsid w:val="5EF054F6"/>
    <w:rsid w:val="5F265461"/>
    <w:rsid w:val="5F2F2E7A"/>
    <w:rsid w:val="604F32A9"/>
    <w:rsid w:val="606C4BDB"/>
    <w:rsid w:val="624272DA"/>
    <w:rsid w:val="62456545"/>
    <w:rsid w:val="6289352B"/>
    <w:rsid w:val="634A36E8"/>
    <w:rsid w:val="638E5CCA"/>
    <w:rsid w:val="63AE1B87"/>
    <w:rsid w:val="63C90AB0"/>
    <w:rsid w:val="63CB7154"/>
    <w:rsid w:val="63DD0CDE"/>
    <w:rsid w:val="64005F33"/>
    <w:rsid w:val="6405260F"/>
    <w:rsid w:val="64106A0E"/>
    <w:rsid w:val="648D45B2"/>
    <w:rsid w:val="648E7439"/>
    <w:rsid w:val="64CF3B8C"/>
    <w:rsid w:val="64E5191A"/>
    <w:rsid w:val="64EF770A"/>
    <w:rsid w:val="653B59DE"/>
    <w:rsid w:val="65527373"/>
    <w:rsid w:val="655D7702"/>
    <w:rsid w:val="658A6517"/>
    <w:rsid w:val="65D07CD0"/>
    <w:rsid w:val="67A06958"/>
    <w:rsid w:val="68790F37"/>
    <w:rsid w:val="68C34233"/>
    <w:rsid w:val="694A1AEF"/>
    <w:rsid w:val="69761612"/>
    <w:rsid w:val="69937B96"/>
    <w:rsid w:val="69A80F39"/>
    <w:rsid w:val="69B14C92"/>
    <w:rsid w:val="69DD66F3"/>
    <w:rsid w:val="6A0D369A"/>
    <w:rsid w:val="6A37505A"/>
    <w:rsid w:val="6A4E3B2B"/>
    <w:rsid w:val="6B26309F"/>
    <w:rsid w:val="6C333B5C"/>
    <w:rsid w:val="6D064B23"/>
    <w:rsid w:val="6D9C00D3"/>
    <w:rsid w:val="6E7A7577"/>
    <w:rsid w:val="6EB36961"/>
    <w:rsid w:val="6EB42D97"/>
    <w:rsid w:val="6EC46A44"/>
    <w:rsid w:val="6ED24445"/>
    <w:rsid w:val="6F25798C"/>
    <w:rsid w:val="6F3C146A"/>
    <w:rsid w:val="6FDD4CA3"/>
    <w:rsid w:val="707B1384"/>
    <w:rsid w:val="70CD1D81"/>
    <w:rsid w:val="71324A4C"/>
    <w:rsid w:val="7146712D"/>
    <w:rsid w:val="715275D8"/>
    <w:rsid w:val="71704C61"/>
    <w:rsid w:val="71DD3F80"/>
    <w:rsid w:val="72281098"/>
    <w:rsid w:val="738B7B30"/>
    <w:rsid w:val="74B11819"/>
    <w:rsid w:val="74C463D7"/>
    <w:rsid w:val="74D95234"/>
    <w:rsid w:val="75680786"/>
    <w:rsid w:val="75A50454"/>
    <w:rsid w:val="75A562CE"/>
    <w:rsid w:val="75C56449"/>
    <w:rsid w:val="764609A2"/>
    <w:rsid w:val="7654281B"/>
    <w:rsid w:val="76A61F7F"/>
    <w:rsid w:val="772A140E"/>
    <w:rsid w:val="77756B2D"/>
    <w:rsid w:val="77A64F39"/>
    <w:rsid w:val="77B5517C"/>
    <w:rsid w:val="77B70EF4"/>
    <w:rsid w:val="77C43C7B"/>
    <w:rsid w:val="78085BF3"/>
    <w:rsid w:val="782A7918"/>
    <w:rsid w:val="7871393F"/>
    <w:rsid w:val="788D360F"/>
    <w:rsid w:val="78AE6713"/>
    <w:rsid w:val="78E8332F"/>
    <w:rsid w:val="78F47F26"/>
    <w:rsid w:val="792A3C52"/>
    <w:rsid w:val="795F1843"/>
    <w:rsid w:val="7A0F2BA3"/>
    <w:rsid w:val="7A1E16FE"/>
    <w:rsid w:val="7A5C507C"/>
    <w:rsid w:val="7AB210C4"/>
    <w:rsid w:val="7B0F257F"/>
    <w:rsid w:val="7B3B184D"/>
    <w:rsid w:val="7C120DEF"/>
    <w:rsid w:val="7CB00608"/>
    <w:rsid w:val="7CBE01AE"/>
    <w:rsid w:val="7CD6006E"/>
    <w:rsid w:val="7CE338D3"/>
    <w:rsid w:val="7D2C6D56"/>
    <w:rsid w:val="7D893EF3"/>
    <w:rsid w:val="7DB87774"/>
    <w:rsid w:val="7E60325B"/>
    <w:rsid w:val="7E8A55B4"/>
    <w:rsid w:val="7E996565"/>
    <w:rsid w:val="7EC02D84"/>
    <w:rsid w:val="7EF67AE6"/>
    <w:rsid w:val="7F49406F"/>
    <w:rsid w:val="7F533BF8"/>
    <w:rsid w:val="7F741DC0"/>
    <w:rsid w:val="7F7D0066"/>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ind w:firstLine="425"/>
      <w:outlineLvl w:val="0"/>
    </w:pPr>
    <w:rPr>
      <w:b/>
      <w:bCs/>
      <w:i/>
      <w:iCs/>
      <w:sz w:val="52"/>
      <w:szCs w:val="20"/>
    </w:rPr>
  </w:style>
  <w:style w:type="paragraph" w:styleId="3">
    <w:name w:val="heading 2"/>
    <w:basedOn w:val="1"/>
    <w:next w:val="1"/>
    <w:link w:val="4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1"/>
    <w:unhideWhenUsed/>
    <w:qFormat/>
    <w:uiPriority w:val="99"/>
    <w:pPr>
      <w:jc w:val="left"/>
    </w:pPr>
  </w:style>
  <w:style w:type="paragraph" w:styleId="9">
    <w:name w:val="Body Text"/>
    <w:basedOn w:val="1"/>
    <w:link w:val="44"/>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41"/>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next w:val="1"/>
    <w:link w:val="43"/>
    <w:qFormat/>
    <w:uiPriority w:val="0"/>
    <w:rPr>
      <w:rFonts w:ascii="宋体" w:hAnsi="Courier New" w:cs="Arial"/>
      <w:snapToGrid w:val="0"/>
      <w:szCs w:val="21"/>
    </w:rPr>
  </w:style>
  <w:style w:type="paragraph" w:styleId="13">
    <w:name w:val="Date"/>
    <w:basedOn w:val="1"/>
    <w:next w:val="1"/>
    <w:link w:val="42"/>
    <w:qFormat/>
    <w:uiPriority w:val="0"/>
    <w:pPr>
      <w:ind w:left="100" w:leftChars="2500"/>
    </w:pPr>
    <w:rPr>
      <w:rFonts w:ascii="宋体"/>
      <w:sz w:val="24"/>
      <w:szCs w:val="21"/>
      <w:lang w:val="zh-CN"/>
    </w:rPr>
  </w:style>
  <w:style w:type="paragraph" w:styleId="14">
    <w:name w:val="Balloon Text"/>
    <w:basedOn w:val="1"/>
    <w:link w:val="57"/>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39"/>
    <w:pPr>
      <w:ind w:left="1000" w:leftChars="1000"/>
    </w:pPr>
  </w:style>
  <w:style w:type="paragraph" w:styleId="19">
    <w:name w:val="Body Text Indent 3"/>
    <w:basedOn w:val="1"/>
    <w:qFormat/>
    <w:uiPriority w:val="0"/>
    <w:pPr>
      <w:spacing w:after="120" w:afterLines="0"/>
      <w:ind w:left="420" w:leftChars="200"/>
    </w:pPr>
    <w:rPr>
      <w:sz w:val="16"/>
      <w:szCs w:val="16"/>
    </w:r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2">
    <w:name w:val="annotation subject"/>
    <w:basedOn w:val="8"/>
    <w:next w:val="8"/>
    <w:link w:val="62"/>
    <w:unhideWhenUsed/>
    <w:qFormat/>
    <w:uiPriority w:val="99"/>
    <w:rPr>
      <w:b/>
      <w:bCs/>
    </w:rPr>
  </w:style>
  <w:style w:type="paragraph" w:styleId="23">
    <w:name w:val="Body Text First Indent"/>
    <w:basedOn w:val="9"/>
    <w:next w:val="18"/>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24">
    <w:name w:val="Body Text First Indent 2"/>
    <w:basedOn w:val="10"/>
    <w:unhideWhenUsed/>
    <w:qFormat/>
    <w:uiPriority w:val="99"/>
    <w:pPr>
      <w:ind w:firstLine="420"/>
    </w:p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Arial" w:hAnsi="Arial" w:eastAsia="黑体" w:cs="Arial"/>
      <w:snapToGrid w:val="0"/>
      <w:kern w:val="0"/>
      <w:szCs w:val="21"/>
    </w:rPr>
  </w:style>
  <w:style w:type="character" w:styleId="29">
    <w:name w:val="FollowedHyperlink"/>
    <w:basedOn w:val="27"/>
    <w:semiHidden/>
    <w:unhideWhenUsed/>
    <w:qFormat/>
    <w:uiPriority w:val="99"/>
    <w:rPr>
      <w:color w:val="800080"/>
      <w:u w:val="none"/>
    </w:rPr>
  </w:style>
  <w:style w:type="character" w:styleId="30">
    <w:name w:val="Hyperlink"/>
    <w:qFormat/>
    <w:uiPriority w:val="99"/>
    <w:rPr>
      <w:rFonts w:ascii="Arial" w:hAnsi="Arial" w:eastAsia="黑体" w:cs="Arial"/>
      <w:snapToGrid w:val="0"/>
      <w:color w:val="000000"/>
      <w:kern w:val="0"/>
      <w:sz w:val="18"/>
      <w:szCs w:val="18"/>
      <w:u w:val="none"/>
    </w:rPr>
  </w:style>
  <w:style w:type="character" w:styleId="31">
    <w:name w:val="annotation reference"/>
    <w:basedOn w:val="27"/>
    <w:unhideWhenUsed/>
    <w:qFormat/>
    <w:uiPriority w:val="99"/>
    <w:rPr>
      <w:sz w:val="21"/>
      <w:szCs w:val="21"/>
    </w:rPr>
  </w:style>
  <w:style w:type="paragraph" w:customStyle="1" w:styleId="32">
    <w:name w:val="_Style 3"/>
    <w:basedOn w:val="1"/>
    <w:qFormat/>
    <w:uiPriority w:val="0"/>
    <w:pPr>
      <w:ind w:firstLine="420" w:firstLineChars="200"/>
    </w:pPr>
    <w:rPr>
      <w:rFonts w:eastAsia="仿宋_GB2312"/>
      <w:sz w:val="28"/>
    </w:rPr>
  </w:style>
  <w:style w:type="paragraph" w:customStyle="1" w:styleId="33">
    <w:name w:val="BodyText"/>
    <w:basedOn w:val="1"/>
    <w:next w:val="1"/>
    <w:qFormat/>
    <w:uiPriority w:val="0"/>
    <w:pPr>
      <w:spacing w:before="100" w:beforeAutospacing="1" w:after="120"/>
      <w:jc w:val="both"/>
      <w:textAlignment w:val="baseline"/>
    </w:pPr>
    <w:rPr>
      <w:kern w:val="0"/>
      <w:sz w:val="20"/>
      <w:szCs w:val="21"/>
      <w:lang w:val="en-US" w:eastAsia="zh-CN" w:bidi="ar-SA"/>
    </w:rPr>
  </w:style>
  <w:style w:type="paragraph" w:customStyle="1" w:styleId="3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5">
    <w:name w:val="列出段落1"/>
    <w:basedOn w:val="1"/>
    <w:link w:val="58"/>
    <w:qFormat/>
    <w:uiPriority w:val="0"/>
    <w:pPr>
      <w:ind w:firstLine="420" w:firstLineChars="200"/>
    </w:pPr>
    <w:rPr>
      <w:rFonts w:ascii="Times New Roman" w:hAnsi="Times New Roman" w:eastAsiaTheme="minorEastAsia" w:cstheme="minorBidi"/>
    </w:rPr>
  </w:style>
  <w:style w:type="paragraph" w:customStyle="1" w:styleId="36">
    <w:name w:val="List Paragraph"/>
    <w:basedOn w:val="1"/>
    <w:qFormat/>
    <w:uiPriority w:val="0"/>
    <w:pPr>
      <w:ind w:firstLine="420" w:firstLineChars="200"/>
    </w:pPr>
    <w:rPr>
      <w:rFonts w:ascii="Calibri" w:hAnsi="Calibri"/>
      <w:szCs w:val="22"/>
    </w:rPr>
  </w:style>
  <w:style w:type="paragraph" w:customStyle="1" w:styleId="3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页眉 字符"/>
    <w:basedOn w:val="27"/>
    <w:link w:val="16"/>
    <w:qFormat/>
    <w:uiPriority w:val="99"/>
    <w:rPr>
      <w:sz w:val="18"/>
      <w:szCs w:val="18"/>
    </w:rPr>
  </w:style>
  <w:style w:type="character" w:customStyle="1" w:styleId="39">
    <w:name w:val="页脚 字符"/>
    <w:basedOn w:val="27"/>
    <w:link w:val="15"/>
    <w:qFormat/>
    <w:uiPriority w:val="99"/>
    <w:rPr>
      <w:sz w:val="18"/>
      <w:szCs w:val="18"/>
    </w:rPr>
  </w:style>
  <w:style w:type="character" w:customStyle="1" w:styleId="40">
    <w:name w:val="标题 2 字符"/>
    <w:basedOn w:val="27"/>
    <w:link w:val="3"/>
    <w:qFormat/>
    <w:uiPriority w:val="0"/>
    <w:rPr>
      <w:rFonts w:ascii="仿宋_GB2312" w:hAnsi="仿宋" w:eastAsia="仿宋_GB2312" w:cs="Times New Roman"/>
      <w:b/>
      <w:bCs/>
      <w:sz w:val="32"/>
      <w:szCs w:val="32"/>
      <w:lang w:val="zh-CN"/>
    </w:rPr>
  </w:style>
  <w:style w:type="character" w:customStyle="1" w:styleId="41">
    <w:name w:val="正文文本缩进 字符"/>
    <w:basedOn w:val="27"/>
    <w:link w:val="10"/>
    <w:qFormat/>
    <w:uiPriority w:val="0"/>
    <w:rPr>
      <w:rFonts w:ascii="宋体" w:hAnsi="宋体" w:eastAsia="宋体" w:cs="Times New Roman"/>
      <w:sz w:val="24"/>
      <w:szCs w:val="24"/>
    </w:rPr>
  </w:style>
  <w:style w:type="character" w:customStyle="1" w:styleId="42">
    <w:name w:val="日期 字符"/>
    <w:basedOn w:val="27"/>
    <w:link w:val="13"/>
    <w:qFormat/>
    <w:uiPriority w:val="0"/>
    <w:rPr>
      <w:rFonts w:ascii="宋体" w:hAnsi="Calibri" w:eastAsia="宋体" w:cs="Times New Roman"/>
      <w:sz w:val="24"/>
      <w:szCs w:val="21"/>
      <w:lang w:val="zh-CN"/>
    </w:rPr>
  </w:style>
  <w:style w:type="character" w:customStyle="1" w:styleId="43">
    <w:name w:val="纯文本 字符"/>
    <w:basedOn w:val="27"/>
    <w:link w:val="12"/>
    <w:qFormat/>
    <w:uiPriority w:val="0"/>
    <w:rPr>
      <w:rFonts w:ascii="宋体" w:hAnsi="Courier New" w:eastAsia="宋体" w:cs="Arial"/>
      <w:snapToGrid w:val="0"/>
      <w:szCs w:val="21"/>
    </w:rPr>
  </w:style>
  <w:style w:type="character" w:customStyle="1" w:styleId="44">
    <w:name w:val="正文文本 字符"/>
    <w:basedOn w:val="27"/>
    <w:link w:val="9"/>
    <w:qFormat/>
    <w:uiPriority w:val="0"/>
    <w:rPr>
      <w:rFonts w:ascii="宋体" w:hAnsi="Arial" w:eastAsia="宋体" w:cs="Arial"/>
      <w:snapToGrid w:val="0"/>
      <w:sz w:val="24"/>
      <w:szCs w:val="21"/>
      <w:lang w:val="zh-CN"/>
    </w:rPr>
  </w:style>
  <w:style w:type="paragraph" w:customStyle="1" w:styleId="45">
    <w:name w:val="索引 11"/>
    <w:basedOn w:val="1"/>
    <w:next w:val="1"/>
    <w:qFormat/>
    <w:uiPriority w:val="99"/>
    <w:pPr>
      <w:spacing w:line="360" w:lineRule="auto"/>
    </w:pPr>
    <w:rPr>
      <w:rFonts w:ascii="仿宋_GB2312" w:eastAsia="仿宋_GB2312"/>
      <w:sz w:val="24"/>
      <w:szCs w:val="20"/>
    </w:rPr>
  </w:style>
  <w:style w:type="paragraph" w:customStyle="1" w:styleId="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9">
    <w:name w:val="纯文本1"/>
    <w:basedOn w:val="1"/>
    <w:qFormat/>
    <w:uiPriority w:val="0"/>
    <w:rPr>
      <w:rFonts w:ascii="宋体" w:hAnsi="Courier New"/>
      <w:kern w:val="0"/>
      <w:sz w:val="20"/>
      <w:szCs w:val="20"/>
    </w:rPr>
  </w:style>
  <w:style w:type="paragraph" w:customStyle="1" w:styleId="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0_0"/>
    <w:basedOn w:val="50"/>
    <w:qFormat/>
    <w:uiPriority w:val="0"/>
    <w:rPr>
      <w:rFonts w:ascii="宋体" w:hAnsi="Courier New"/>
      <w:szCs w:val="21"/>
    </w:rPr>
  </w:style>
  <w:style w:type="paragraph" w:customStyle="1" w:styleId="52">
    <w:name w:val="正文2"/>
    <w:basedOn w:val="1"/>
    <w:qFormat/>
    <w:uiPriority w:val="0"/>
    <w:pPr>
      <w:spacing w:before="156" w:line="360" w:lineRule="auto"/>
      <w:ind w:firstLine="510" w:firstLineChars="200"/>
    </w:pPr>
    <w:rPr>
      <w:sz w:val="24"/>
      <w:szCs w:val="20"/>
    </w:rPr>
  </w:style>
  <w:style w:type="paragraph" w:customStyle="1" w:styleId="53">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4">
    <w:name w:val="标题 3 字符"/>
    <w:basedOn w:val="27"/>
    <w:link w:val="4"/>
    <w:semiHidden/>
    <w:qFormat/>
    <w:uiPriority w:val="9"/>
    <w:rPr>
      <w:rFonts w:ascii="Calibri" w:hAnsi="Calibri" w:eastAsia="宋体" w:cs="Times New Roman"/>
      <w:b/>
      <w:bCs/>
      <w:sz w:val="32"/>
      <w:szCs w:val="32"/>
    </w:rPr>
  </w:style>
  <w:style w:type="character" w:customStyle="1" w:styleId="55">
    <w:name w:val="标题 4 字符"/>
    <w:basedOn w:val="27"/>
    <w:link w:val="5"/>
    <w:semiHidden/>
    <w:qFormat/>
    <w:uiPriority w:val="9"/>
    <w:rPr>
      <w:rFonts w:asciiTheme="majorHAnsi" w:hAnsiTheme="majorHAnsi" w:eastAsiaTheme="majorEastAsia" w:cstheme="majorBidi"/>
      <w:b/>
      <w:bCs/>
      <w:sz w:val="28"/>
      <w:szCs w:val="28"/>
    </w:rPr>
  </w:style>
  <w:style w:type="paragraph" w:customStyle="1" w:styleId="56">
    <w:name w:val="标题4"/>
    <w:basedOn w:val="1"/>
    <w:qFormat/>
    <w:uiPriority w:val="0"/>
    <w:rPr>
      <w:rFonts w:ascii="Times New Roman" w:hAnsi="Times New Roman" w:eastAsia="仿宋_GB2312"/>
      <w:sz w:val="32"/>
      <w:szCs w:val="20"/>
    </w:rPr>
  </w:style>
  <w:style w:type="character" w:customStyle="1" w:styleId="57">
    <w:name w:val="批注框文本 字符"/>
    <w:basedOn w:val="27"/>
    <w:link w:val="14"/>
    <w:semiHidden/>
    <w:qFormat/>
    <w:uiPriority w:val="99"/>
    <w:rPr>
      <w:rFonts w:ascii="Calibri" w:hAnsi="Calibri" w:eastAsia="宋体" w:cs="Times New Roman"/>
      <w:sz w:val="18"/>
      <w:szCs w:val="18"/>
    </w:rPr>
  </w:style>
  <w:style w:type="character" w:customStyle="1" w:styleId="58">
    <w:name w:val="List Paragraph Char"/>
    <w:link w:val="35"/>
    <w:qFormat/>
    <w:locked/>
    <w:uiPriority w:val="0"/>
    <w:rPr>
      <w:rFonts w:ascii="Times New Roman" w:hAnsi="Times New Roman"/>
      <w:szCs w:val="24"/>
    </w:rPr>
  </w:style>
  <w:style w:type="paragraph" w:customStyle="1" w:styleId="59">
    <w:name w:val="列表段落1"/>
    <w:basedOn w:val="1"/>
    <w:qFormat/>
    <w:uiPriority w:val="99"/>
    <w:pPr>
      <w:ind w:firstLine="420" w:firstLineChars="200"/>
    </w:pPr>
  </w:style>
  <w:style w:type="paragraph" w:customStyle="1" w:styleId="60">
    <w:name w:val="修订1"/>
    <w:hidden/>
    <w:semiHidden/>
    <w:qFormat/>
    <w:uiPriority w:val="99"/>
    <w:rPr>
      <w:rFonts w:ascii="Calibri" w:hAnsi="Calibri" w:eastAsia="宋体" w:cs="Times New Roman"/>
      <w:kern w:val="2"/>
      <w:sz w:val="21"/>
      <w:szCs w:val="24"/>
      <w:lang w:val="en-US" w:eastAsia="zh-CN" w:bidi="ar-SA"/>
    </w:rPr>
  </w:style>
  <w:style w:type="character" w:customStyle="1" w:styleId="61">
    <w:name w:val="批注文字 字符"/>
    <w:basedOn w:val="27"/>
    <w:link w:val="8"/>
    <w:semiHidden/>
    <w:qFormat/>
    <w:uiPriority w:val="99"/>
    <w:rPr>
      <w:rFonts w:ascii="Calibri" w:hAnsi="Calibri"/>
      <w:kern w:val="2"/>
      <w:sz w:val="21"/>
      <w:szCs w:val="24"/>
    </w:rPr>
  </w:style>
  <w:style w:type="character" w:customStyle="1" w:styleId="62">
    <w:name w:val="批注主题 字符"/>
    <w:basedOn w:val="61"/>
    <w:link w:val="22"/>
    <w:semiHidden/>
    <w:qFormat/>
    <w:uiPriority w:val="99"/>
    <w:rPr>
      <w:rFonts w:ascii="Calibri" w:hAnsi="Calibri"/>
      <w:b/>
      <w:bCs/>
      <w:kern w:val="2"/>
      <w:sz w:val="21"/>
      <w:szCs w:val="24"/>
    </w:rPr>
  </w:style>
  <w:style w:type="paragraph" w:customStyle="1" w:styleId="63">
    <w:name w:val="修订2"/>
    <w:hidden/>
    <w:semiHidden/>
    <w:qFormat/>
    <w:uiPriority w:val="99"/>
    <w:rPr>
      <w:rFonts w:ascii="Calibri" w:hAnsi="Calibri" w:eastAsia="宋体" w:cs="Times New Roman"/>
      <w:kern w:val="2"/>
      <w:sz w:val="21"/>
      <w:szCs w:val="24"/>
      <w:lang w:val="en-US" w:eastAsia="zh-CN" w:bidi="ar-SA"/>
    </w:rPr>
  </w:style>
  <w:style w:type="paragraph" w:customStyle="1" w:styleId="64">
    <w:name w:val="修订3"/>
    <w:hidden/>
    <w:semiHidden/>
    <w:qFormat/>
    <w:uiPriority w:val="99"/>
    <w:rPr>
      <w:rFonts w:ascii="Calibri" w:hAnsi="Calibri" w:eastAsia="宋体" w:cs="Times New Roman"/>
      <w:kern w:val="2"/>
      <w:sz w:val="21"/>
      <w:szCs w:val="24"/>
      <w:lang w:val="en-US" w:eastAsia="zh-CN" w:bidi="ar-SA"/>
    </w:rPr>
  </w:style>
  <w:style w:type="character" w:customStyle="1" w:styleId="65">
    <w:name w:val="textcolor1"/>
    <w:basedOn w:val="27"/>
    <w:qFormat/>
    <w:uiPriority w:val="0"/>
    <w:rPr>
      <w:color w:val="FF660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公告正文"/>
    <w:basedOn w:val="1"/>
    <w:qFormat/>
    <w:uiPriority w:val="0"/>
    <w:pPr>
      <w:spacing w:line="400" w:lineRule="atLeast"/>
      <w:ind w:firstLine="437"/>
    </w:pPr>
    <w:rPr>
      <w:rFonts w:ascii="宋体" w:hAnsi="宋体"/>
      <w:kern w:val="0"/>
      <w:sz w:val="24"/>
    </w:rPr>
  </w:style>
  <w:style w:type="paragraph" w:customStyle="1" w:styleId="68">
    <w:name w:val="须知二级小标题"/>
    <w:basedOn w:val="1"/>
    <w:qFormat/>
    <w:uiPriority w:val="0"/>
    <w:pPr>
      <w:spacing w:line="500" w:lineRule="exact"/>
    </w:pPr>
    <w:rPr>
      <w:rFonts w:ascii="宋体"/>
      <w:b/>
      <w:sz w:val="24"/>
    </w:rPr>
  </w:style>
  <w:style w:type="paragraph" w:customStyle="1" w:styleId="69">
    <w:name w:val="Plain Text"/>
    <w:basedOn w:val="1"/>
    <w:qFormat/>
    <w:uiPriority w:val="0"/>
    <w:rPr>
      <w:rFonts w:ascii="宋体" w:hAnsi="Courier New" w:eastAsia="Times New Roman"/>
      <w:kern w:val="0"/>
      <w:sz w:val="20"/>
      <w:szCs w:val="20"/>
    </w:rPr>
  </w:style>
  <w:style w:type="character" w:customStyle="1" w:styleId="70">
    <w:name w:val="font51"/>
    <w:basedOn w:val="27"/>
    <w:qFormat/>
    <w:uiPriority w:val="0"/>
    <w:rPr>
      <w:rFonts w:hint="eastAsia" w:ascii="宋体" w:hAnsi="宋体" w:eastAsia="宋体" w:cs="宋体"/>
      <w:b/>
      <w:color w:val="000000"/>
      <w:sz w:val="16"/>
      <w:szCs w:val="16"/>
      <w:u w:val="none"/>
    </w:rPr>
  </w:style>
  <w:style w:type="character" w:customStyle="1" w:styleId="71">
    <w:name w:val="font41"/>
    <w:basedOn w:val="27"/>
    <w:qFormat/>
    <w:uiPriority w:val="0"/>
    <w:rPr>
      <w:rFonts w:hint="eastAsia" w:ascii="宋体" w:hAnsi="宋体" w:eastAsia="宋体" w:cs="宋体"/>
      <w:b/>
      <w:color w:val="000000"/>
      <w:sz w:val="20"/>
      <w:szCs w:val="20"/>
      <w:u w:val="none"/>
    </w:rPr>
  </w:style>
  <w:style w:type="character" w:customStyle="1" w:styleId="72">
    <w:name w:val="font21"/>
    <w:basedOn w:val="27"/>
    <w:qFormat/>
    <w:uiPriority w:val="0"/>
    <w:rPr>
      <w:rFonts w:hint="eastAsia" w:ascii="宋体" w:hAnsi="宋体" w:eastAsia="宋体" w:cs="宋体"/>
      <w:color w:val="000000"/>
      <w:sz w:val="13"/>
      <w:szCs w:val="13"/>
      <w:u w:val="none"/>
    </w:rPr>
  </w:style>
  <w:style w:type="character" w:customStyle="1" w:styleId="73">
    <w:name w:val="font11"/>
    <w:basedOn w:val="27"/>
    <w:qFormat/>
    <w:uiPriority w:val="0"/>
    <w:rPr>
      <w:rFonts w:hint="eastAsia" w:ascii="宋体" w:hAnsi="宋体" w:eastAsia="宋体" w:cs="宋体"/>
      <w:b/>
      <w:color w:val="000000"/>
      <w:sz w:val="13"/>
      <w:szCs w:val="13"/>
      <w:u w:val="none"/>
    </w:rPr>
  </w:style>
  <w:style w:type="paragraph" w:customStyle="1" w:styleId="74">
    <w:name w:val="纯文本2"/>
    <w:basedOn w:val="1"/>
    <w:autoRedefine/>
    <w:qFormat/>
    <w:uiPriority w:val="0"/>
    <w:rPr>
      <w:rFonts w:ascii="宋体" w:hAnsi="Courier New"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86</Pages>
  <Words>6713</Words>
  <Characters>7576</Characters>
  <Lines>245</Lines>
  <Paragraphs>69</Paragraphs>
  <TotalTime>42</TotalTime>
  <ScaleCrop>false</ScaleCrop>
  <LinksUpToDate>false</LinksUpToDate>
  <CharactersWithSpaces>7797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陈源</cp:lastModifiedBy>
  <cp:lastPrinted>2025-06-16T08:59:00Z</cp:lastPrinted>
  <dcterms:modified xsi:type="dcterms:W3CDTF">2025-06-20T00:48:37Z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A0B84EB3A26E45F7933E630EA1B8B304_13</vt:lpwstr>
  </property>
  <property fmtid="{D5CDD505-2E9C-101B-9397-08002B2CF9AE}" pid="4" name="KSOTemplateDocerSaveRecord">
    <vt:lpwstr>eyJoZGlkIjoiYzY4MTNlYjMyNGFhMTJiZTc3NDU0NzVhYzkyZjAxZmIiLCJ1c2VySWQiOiI2ODk1OTUxMDIifQ==</vt:lpwstr>
  </property>
</Properties>
</file>