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1"/>
        <w:ind w:firstLine="400"/>
        <w:rPr>
          <w:rFonts w:hint="eastAsia" w:ascii="宋体" w:hAnsi="宋体" w:eastAsia="宋体"/>
          <w:color w:val="auto"/>
          <w:highlight w:val="none"/>
          <w:lang w:eastAsia="zh-CN"/>
        </w:rPr>
      </w:pPr>
      <w:bookmarkStart w:id="74" w:name="_GoBack"/>
    </w:p>
    <w:p>
      <w:pPr>
        <w:spacing w:after="120" w:line="600" w:lineRule="exact"/>
        <w:jc w:val="center"/>
        <w:rPr>
          <w:rFonts w:ascii="宋体" w:hAnsi="宋体"/>
          <w:b/>
          <w:color w:val="auto"/>
          <w:sz w:val="40"/>
          <w:szCs w:val="32"/>
          <w:highlight w:val="none"/>
        </w:rPr>
      </w:pPr>
    </w:p>
    <w:p>
      <w:pPr>
        <w:rPr>
          <w:rFonts w:hint="eastAsia" w:ascii="宋体" w:hAnsi="宋体"/>
          <w:b/>
          <w:color w:val="auto"/>
          <w:sz w:val="84"/>
          <w:szCs w:val="84"/>
          <w:highlight w:val="none"/>
        </w:rPr>
      </w:pPr>
    </w:p>
    <w:p>
      <w:pPr>
        <w:spacing w:after="120" w:line="1600" w:lineRule="exact"/>
        <w:jc w:val="center"/>
        <w:rPr>
          <w:rFonts w:ascii="宋体" w:hAnsi="宋体"/>
          <w:b/>
          <w:color w:val="auto"/>
          <w:sz w:val="84"/>
          <w:szCs w:val="84"/>
          <w:highlight w:val="none"/>
        </w:rPr>
      </w:pPr>
      <w:r>
        <w:rPr>
          <w:rFonts w:hint="eastAsia" w:ascii="宋体" w:hAnsi="宋体"/>
          <w:b/>
          <w:color w:val="auto"/>
          <w:sz w:val="84"/>
          <w:szCs w:val="84"/>
          <w:highlight w:val="none"/>
        </w:rPr>
        <w:t>国内公开招标文件</w:t>
      </w:r>
    </w:p>
    <w:p>
      <w:pPr>
        <w:rPr>
          <w:rFonts w:ascii="宋体" w:hAnsi="宋体"/>
          <w:b/>
          <w:color w:val="auto"/>
          <w:sz w:val="36"/>
          <w:szCs w:val="36"/>
          <w:highlight w:val="none"/>
        </w:rPr>
      </w:pPr>
    </w:p>
    <w:p>
      <w:pPr>
        <w:spacing w:line="600" w:lineRule="exact"/>
        <w:rPr>
          <w:rFonts w:ascii="宋体" w:hAnsi="宋体"/>
          <w:b/>
          <w:color w:val="auto"/>
          <w:sz w:val="28"/>
          <w:szCs w:val="28"/>
          <w:highlight w:val="none"/>
        </w:rPr>
      </w:pPr>
    </w:p>
    <w:p>
      <w:pPr>
        <w:spacing w:line="600" w:lineRule="exact"/>
        <w:rPr>
          <w:rFonts w:ascii="宋体" w:hAnsi="宋体"/>
          <w:b/>
          <w:color w:val="auto"/>
          <w:sz w:val="28"/>
          <w:szCs w:val="28"/>
          <w:highlight w:val="none"/>
        </w:rPr>
      </w:pPr>
    </w:p>
    <w:p>
      <w:pPr>
        <w:spacing w:line="600" w:lineRule="exact"/>
        <w:rPr>
          <w:rFonts w:ascii="宋体" w:hAnsi="宋体"/>
          <w:b/>
          <w:color w:val="auto"/>
          <w:sz w:val="28"/>
          <w:szCs w:val="28"/>
          <w:highlight w:val="none"/>
        </w:rPr>
      </w:pPr>
    </w:p>
    <w:p>
      <w:pPr>
        <w:spacing w:line="600" w:lineRule="exact"/>
        <w:rPr>
          <w:rFonts w:ascii="宋体" w:hAnsi="宋体"/>
          <w:b/>
          <w:color w:val="auto"/>
          <w:sz w:val="28"/>
          <w:szCs w:val="28"/>
          <w:highlight w:val="none"/>
        </w:rPr>
      </w:pPr>
    </w:p>
    <w:p>
      <w:pPr>
        <w:spacing w:line="600" w:lineRule="exact"/>
        <w:rPr>
          <w:rFonts w:ascii="宋体" w:hAnsi="宋体"/>
          <w:b/>
          <w:color w:val="auto"/>
          <w:sz w:val="28"/>
          <w:szCs w:val="28"/>
          <w:highlight w:val="none"/>
        </w:rPr>
      </w:pPr>
    </w:p>
    <w:p>
      <w:pPr>
        <w:spacing w:line="800" w:lineRule="exact"/>
        <w:rPr>
          <w:rFonts w:hint="eastAsia" w:ascii="宋体" w:hAnsi="宋体"/>
          <w:b/>
          <w:color w:val="auto"/>
          <w:sz w:val="28"/>
          <w:szCs w:val="28"/>
          <w:highlight w:val="none"/>
        </w:rPr>
      </w:pPr>
    </w:p>
    <w:p>
      <w:pPr>
        <w:spacing w:line="8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QWQTJY25059</w:t>
      </w:r>
    </w:p>
    <w:p>
      <w:pPr>
        <w:spacing w:line="800" w:lineRule="exact"/>
        <w:ind w:left="1405" w:hanging="1405" w:hangingChars="500"/>
        <w:rPr>
          <w:rFonts w:hint="eastAsia" w:ascii="宋体" w:hAnsi="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2025年度宁波前湾新区市政道路维修养护质量监督与管理服务项目</w:t>
      </w:r>
    </w:p>
    <w:p>
      <w:pPr>
        <w:spacing w:line="800" w:lineRule="exact"/>
        <w:ind w:left="1405" w:hanging="1405" w:hangingChars="500"/>
        <w:rPr>
          <w:rFonts w:ascii="宋体" w:hAnsi="宋体"/>
          <w:b/>
          <w:color w:val="auto"/>
          <w:sz w:val="28"/>
          <w:szCs w:val="28"/>
          <w:highlight w:val="none"/>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宁波杭州湾新区公用事业发展有限公司</w:t>
      </w:r>
    </w:p>
    <w:p>
      <w:pPr>
        <w:spacing w:line="800" w:lineRule="exact"/>
        <w:rPr>
          <w:rFonts w:ascii="宋体" w:hAnsi="宋体"/>
          <w:b/>
          <w:color w:val="auto"/>
          <w:sz w:val="28"/>
          <w:szCs w:val="28"/>
          <w:highlight w:val="none"/>
        </w:rPr>
      </w:pPr>
      <w:r>
        <w:rPr>
          <w:rFonts w:hint="eastAsia" w:ascii="宋体" w:hAnsi="宋体"/>
          <w:b/>
          <w:color w:val="auto"/>
          <w:sz w:val="28"/>
          <w:szCs w:val="28"/>
          <w:highlight w:val="none"/>
        </w:rPr>
        <w:t>代理机构：</w:t>
      </w:r>
      <w:r>
        <w:rPr>
          <w:rFonts w:hint="eastAsia" w:ascii="宋体" w:hAnsi="宋体"/>
          <w:b/>
          <w:color w:val="auto"/>
          <w:sz w:val="28"/>
          <w:szCs w:val="28"/>
          <w:highlight w:val="none"/>
          <w:lang w:eastAsia="zh-CN"/>
        </w:rPr>
        <w:t>宁波欣科工程项目管理有限公司</w:t>
      </w:r>
    </w:p>
    <w:p>
      <w:pPr>
        <w:spacing w:line="800" w:lineRule="exact"/>
        <w:rPr>
          <w:rFonts w:ascii="宋体" w:hAnsi="宋体"/>
          <w:b/>
          <w:color w:val="auto"/>
          <w:sz w:val="28"/>
          <w:szCs w:val="28"/>
          <w:highlight w:val="none"/>
        </w:rPr>
      </w:pPr>
      <w:r>
        <w:rPr>
          <w:rFonts w:hint="eastAsia" w:ascii="宋体" w:hAnsi="宋体"/>
          <w:b/>
          <w:color w:val="auto"/>
          <w:sz w:val="28"/>
          <w:szCs w:val="28"/>
          <w:highlight w:val="none"/>
        </w:rPr>
        <w:t>编制日期：2025年0</w:t>
      </w: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月</w:t>
      </w:r>
    </w:p>
    <w:p>
      <w:pPr>
        <w:spacing w:line="600" w:lineRule="exact"/>
        <w:rPr>
          <w:rFonts w:ascii="宋体" w:hAnsi="宋体"/>
          <w:b/>
          <w:color w:val="auto"/>
          <w:sz w:val="28"/>
          <w:szCs w:val="28"/>
          <w:highlight w:val="none"/>
        </w:rPr>
      </w:pPr>
    </w:p>
    <w:p>
      <w:pPr>
        <w:spacing w:line="400" w:lineRule="exact"/>
        <w:jc w:val="center"/>
        <w:rPr>
          <w:rFonts w:ascii="宋体" w:hAnsi="宋体"/>
          <w:b/>
          <w:color w:val="auto"/>
          <w:sz w:val="28"/>
          <w:szCs w:val="28"/>
          <w:highlight w:val="none"/>
        </w:rPr>
        <w:sectPr>
          <w:headerReference r:id="rId4" w:type="default"/>
          <w:footerReference r:id="rId5" w:type="default"/>
          <w:footerReference r:id="rId6" w:type="even"/>
          <w:type w:val="nextColumn"/>
          <w:pgSz w:w="11907" w:h="16840"/>
          <w:pgMar w:top="1327" w:right="1701" w:bottom="1327" w:left="1701" w:header="720" w:footer="0" w:gutter="0"/>
          <w:pgNumType w:start="1"/>
          <w:cols w:space="720" w:num="1"/>
          <w:docGrid w:type="lines" w:linePitch="285" w:charSpace="0"/>
        </w:sect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200" w:lineRule="exact"/>
        <w:jc w:val="center"/>
        <w:rPr>
          <w:rFonts w:ascii="宋体" w:hAnsi="宋体"/>
          <w:b/>
          <w:color w:val="auto"/>
          <w:sz w:val="52"/>
          <w:szCs w:val="52"/>
          <w:highlight w:val="none"/>
        </w:rPr>
      </w:pP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w:t>
      </w:r>
      <w:r>
        <w:rPr>
          <w:rFonts w:hint="eastAsia" w:ascii="宋体" w:hAnsi="宋体"/>
          <w:b/>
          <w:color w:val="auto"/>
          <w:sz w:val="30"/>
          <w:szCs w:val="30"/>
          <w:highlight w:val="none"/>
          <w:lang w:val="en-US" w:eastAsia="zh-CN"/>
        </w:rPr>
        <w:t>乐</w:t>
      </w:r>
      <w:r>
        <w:rPr>
          <w:rFonts w:hint="eastAsia" w:ascii="宋体" w:hAnsi="宋体"/>
          <w:b/>
          <w:color w:val="auto"/>
          <w:sz w:val="30"/>
          <w:szCs w:val="30"/>
          <w:highlight w:val="none"/>
        </w:rPr>
        <w:t>采云平台，供应商应及时登录</w:t>
      </w:r>
      <w:r>
        <w:rPr>
          <w:rFonts w:hint="eastAsia" w:ascii="宋体" w:hAnsi="宋体"/>
          <w:b/>
          <w:color w:val="auto"/>
          <w:sz w:val="30"/>
          <w:szCs w:val="30"/>
          <w:highlight w:val="none"/>
          <w:lang w:val="en-US" w:eastAsia="zh-CN"/>
        </w:rPr>
        <w:t>乐</w:t>
      </w:r>
      <w:r>
        <w:rPr>
          <w:rFonts w:hint="eastAsia" w:ascii="宋体" w:hAnsi="宋体"/>
          <w:b/>
          <w:color w:val="auto"/>
          <w:sz w:val="30"/>
          <w:szCs w:val="30"/>
          <w:highlight w:val="none"/>
        </w:rPr>
        <w:t>采云平台，进行浏览并下载，未及时浏览下载的责任自负。</w:t>
      </w:r>
    </w:p>
    <w:p>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4、如供应商到开标现场解密的，请自带电脑，以便于开标现场解密投标文件。</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2"/>
          <w:rFonts w:hint="eastAsia"/>
          <w:color w:val="auto"/>
          <w:sz w:val="28"/>
          <w:szCs w:val="28"/>
          <w:highlight w:val="none"/>
        </w:rPr>
        <w:t>第一章</w:t>
      </w:r>
      <w:r>
        <w:rPr>
          <w:rStyle w:val="52"/>
          <w:color w:val="auto"/>
          <w:sz w:val="28"/>
          <w:szCs w:val="28"/>
          <w:highlight w:val="none"/>
        </w:rPr>
        <w:t xml:space="preserve">  </w:t>
      </w:r>
      <w:r>
        <w:rPr>
          <w:rStyle w:val="52"/>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2"/>
          <w:rFonts w:hint="eastAsia"/>
          <w:color w:val="auto"/>
          <w:sz w:val="28"/>
          <w:szCs w:val="28"/>
          <w:highlight w:val="none"/>
        </w:rPr>
        <w:t>第二章</w:t>
      </w:r>
      <w:r>
        <w:rPr>
          <w:rStyle w:val="52"/>
          <w:color w:val="auto"/>
          <w:sz w:val="28"/>
          <w:szCs w:val="28"/>
          <w:highlight w:val="none"/>
        </w:rPr>
        <w:t xml:space="preserve">  </w:t>
      </w:r>
      <w:r>
        <w:rPr>
          <w:rStyle w:val="52"/>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2"/>
          <w:rFonts w:hint="eastAsia"/>
          <w:color w:val="auto"/>
          <w:sz w:val="28"/>
          <w:szCs w:val="28"/>
          <w:highlight w:val="none"/>
        </w:rPr>
        <w:t>第三章</w:t>
      </w:r>
      <w:r>
        <w:rPr>
          <w:rStyle w:val="52"/>
          <w:color w:val="auto"/>
          <w:sz w:val="28"/>
          <w:szCs w:val="28"/>
          <w:highlight w:val="none"/>
        </w:rPr>
        <w:t xml:space="preserve">  </w:t>
      </w:r>
      <w:r>
        <w:rPr>
          <w:rStyle w:val="52"/>
          <w:rFonts w:hint="eastAsia"/>
          <w:color w:val="auto"/>
          <w:sz w:val="28"/>
          <w:szCs w:val="28"/>
          <w:highlight w:val="none"/>
        </w:rPr>
        <w:t>评标办</w:t>
      </w:r>
      <w:bookmarkStart w:id="0" w:name="_Hlt108008967"/>
      <w:bookmarkStart w:id="1" w:name="_Hlt108008968"/>
      <w:r>
        <w:rPr>
          <w:rStyle w:val="52"/>
          <w:rFonts w:hint="eastAsia"/>
          <w:color w:val="auto"/>
          <w:sz w:val="28"/>
          <w:szCs w:val="28"/>
          <w:highlight w:val="none"/>
        </w:rPr>
        <w:t>法</w:t>
      </w:r>
      <w:bookmarkStart w:id="2" w:name="_Hlt103948351"/>
      <w:bookmarkEnd w:id="0"/>
      <w:bookmarkEnd w:id="1"/>
      <w:r>
        <w:rPr>
          <w:rStyle w:val="52"/>
          <w:rFonts w:hint="eastAsia"/>
          <w:color w:val="auto"/>
          <w:sz w:val="28"/>
          <w:szCs w:val="28"/>
          <w:highlight w:val="none"/>
        </w:rPr>
        <w:t>及</w:t>
      </w:r>
      <w:bookmarkEnd w:id="2"/>
      <w:r>
        <w:rPr>
          <w:rStyle w:val="52"/>
          <w:rFonts w:hint="eastAsia"/>
          <w:color w:val="auto"/>
          <w:sz w:val="28"/>
          <w:szCs w:val="28"/>
          <w:highlight w:val="none"/>
        </w:rPr>
        <w:t>标准</w:t>
      </w:r>
      <w:bookmarkStart w:id="3" w:name="_Hlt66093868"/>
      <w:bookmarkStart w:id="4" w:name="_Hlt66093867"/>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2"/>
          <w:rFonts w:hint="eastAsia"/>
          <w:color w:val="auto"/>
          <w:sz w:val="28"/>
          <w:szCs w:val="28"/>
          <w:highlight w:val="none"/>
        </w:rPr>
        <w:t>第四章</w:t>
      </w:r>
      <w:r>
        <w:rPr>
          <w:rStyle w:val="52"/>
          <w:color w:val="auto"/>
          <w:sz w:val="28"/>
          <w:szCs w:val="28"/>
          <w:highlight w:val="none"/>
        </w:rPr>
        <w:t xml:space="preserve">  </w:t>
      </w:r>
      <w:r>
        <w:rPr>
          <w:rStyle w:val="52"/>
          <w:rFonts w:hint="eastAsia"/>
          <w:color w:val="auto"/>
          <w:sz w:val="28"/>
          <w:szCs w:val="28"/>
          <w:highlight w:val="none"/>
        </w:rPr>
        <w:t>合同样本</w:t>
      </w:r>
      <w:bookmarkStart w:id="5" w:name="_Hlt105757277"/>
      <w:bookmarkStart w:id="6" w:name="_Hlt105481244"/>
      <w:bookmarkStart w:id="7" w:name="_Hlt105481243"/>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2"/>
          <w:rFonts w:hint="eastAsia"/>
          <w:color w:val="auto"/>
          <w:sz w:val="28"/>
          <w:szCs w:val="28"/>
          <w:highlight w:val="none"/>
        </w:rPr>
        <w:t>第五章</w:t>
      </w:r>
      <w:r>
        <w:rPr>
          <w:rStyle w:val="52"/>
          <w:color w:val="auto"/>
          <w:sz w:val="28"/>
          <w:szCs w:val="28"/>
          <w:highlight w:val="none"/>
        </w:rPr>
        <w:t xml:space="preserve">  </w:t>
      </w:r>
      <w:r>
        <w:rPr>
          <w:rStyle w:val="52"/>
          <w:rFonts w:hint="eastAsia"/>
          <w:color w:val="auto"/>
          <w:sz w:val="28"/>
          <w:szCs w:val="28"/>
          <w:highlight w:val="none"/>
        </w:rPr>
        <w:t>招标内</w:t>
      </w:r>
      <w:bookmarkStart w:id="8" w:name="_Hlt105918519"/>
      <w:r>
        <w:rPr>
          <w:rStyle w:val="52"/>
          <w:rFonts w:hint="eastAsia"/>
          <w:color w:val="auto"/>
          <w:sz w:val="28"/>
          <w:szCs w:val="28"/>
          <w:highlight w:val="none"/>
        </w:rPr>
        <w:t>容</w:t>
      </w:r>
      <w:bookmarkEnd w:id="8"/>
      <w:r>
        <w:rPr>
          <w:rStyle w:val="52"/>
          <w:rFonts w:hint="eastAsia"/>
          <w:color w:val="auto"/>
          <w:sz w:val="28"/>
          <w:szCs w:val="28"/>
          <w:highlight w:val="none"/>
        </w:rPr>
        <w:t>与</w:t>
      </w:r>
      <w:bookmarkStart w:id="9" w:name="_Hlt105860469"/>
      <w:bookmarkStart w:id="10" w:name="_Hlt105860468"/>
      <w:r>
        <w:rPr>
          <w:rStyle w:val="52"/>
          <w:rFonts w:hint="eastAsia"/>
          <w:color w:val="auto"/>
          <w:sz w:val="28"/>
          <w:szCs w:val="28"/>
          <w:highlight w:val="none"/>
        </w:rPr>
        <w:t>技</w:t>
      </w:r>
      <w:bookmarkEnd w:id="9"/>
      <w:bookmarkEnd w:id="10"/>
      <w:r>
        <w:rPr>
          <w:rStyle w:val="52"/>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2"/>
          <w:rFonts w:hint="eastAsia"/>
          <w:color w:val="auto"/>
          <w:sz w:val="28"/>
          <w:szCs w:val="28"/>
          <w:highlight w:val="none"/>
        </w:rPr>
        <w:t>第六章</w:t>
      </w:r>
      <w:r>
        <w:rPr>
          <w:rStyle w:val="52"/>
          <w:color w:val="auto"/>
          <w:sz w:val="28"/>
          <w:szCs w:val="28"/>
          <w:highlight w:val="none"/>
        </w:rPr>
        <w:t xml:space="preserve">  </w:t>
      </w:r>
      <w:r>
        <w:rPr>
          <w:rStyle w:val="52"/>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33"/>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2"/>
          <w:rFonts w:hint="eastAsia"/>
          <w:color w:val="auto"/>
          <w:sz w:val="28"/>
          <w:szCs w:val="28"/>
          <w:highlight w:val="none"/>
        </w:rPr>
        <w:t>第七章</w:t>
      </w:r>
      <w:r>
        <w:rPr>
          <w:rStyle w:val="52"/>
          <w:color w:val="auto"/>
          <w:sz w:val="28"/>
          <w:szCs w:val="28"/>
          <w:highlight w:val="none"/>
        </w:rPr>
        <w:t xml:space="preserve">  </w:t>
      </w:r>
      <w:r>
        <w:rPr>
          <w:rStyle w:val="52"/>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pPr>
        <w:spacing w:line="1000" w:lineRule="exact"/>
        <w:jc w:val="center"/>
        <w:rPr>
          <w:rFonts w:ascii="宋体" w:hAnsi="宋体"/>
          <w:b/>
          <w:color w:val="auto"/>
          <w:sz w:val="32"/>
          <w:highlight w:val="none"/>
        </w:rPr>
      </w:pPr>
      <w:r>
        <w:rPr>
          <w:rFonts w:ascii="宋体" w:hAnsi="宋体"/>
          <w:color w:val="auto"/>
          <w:sz w:val="32"/>
          <w:szCs w:val="32"/>
          <w:highlight w:val="none"/>
        </w:rPr>
        <w:fldChar w:fldCharType="end"/>
      </w:r>
    </w:p>
    <w:p>
      <w:pPr>
        <w:spacing w:line="1000" w:lineRule="exact"/>
        <w:jc w:val="center"/>
        <w:rPr>
          <w:rFonts w:ascii="宋体" w:hAnsi="宋体"/>
          <w:b/>
          <w:color w:val="auto"/>
          <w:sz w:val="32"/>
          <w:highlight w:val="none"/>
        </w:rPr>
        <w:sectPr>
          <w:headerReference r:id="rId7" w:type="default"/>
          <w:type w:val="nextColumn"/>
          <w:pgSz w:w="11907" w:h="16840"/>
          <w:pgMar w:top="1247" w:right="1587" w:bottom="1247" w:left="1588" w:header="569" w:footer="700" w:gutter="0"/>
          <w:cols w:space="720" w:num="1"/>
          <w:docGrid w:linePitch="285" w:charSpace="0"/>
        </w:sectPr>
      </w:pPr>
    </w:p>
    <w:p>
      <w:pPr>
        <w:spacing w:line="400" w:lineRule="exact"/>
        <w:jc w:val="center"/>
        <w:outlineLvl w:val="0"/>
        <w:rPr>
          <w:rFonts w:ascii="宋体" w:hAnsi="宋体"/>
          <w:b/>
          <w:color w:val="auto"/>
          <w:sz w:val="32"/>
          <w:highlight w:val="none"/>
        </w:rPr>
      </w:pPr>
      <w:bookmarkStart w:id="12" w:name="_Toc65915693"/>
      <w:bookmarkStart w:id="13" w:name="_Toc21541005"/>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12"/>
      <w:bookmarkEnd w:id="13"/>
    </w:p>
    <w:p>
      <w:pPr>
        <w:pStyle w:val="44"/>
        <w:spacing w:before="0" w:beforeAutospacing="0" w:after="0" w:afterAutospacing="0" w:line="400" w:lineRule="exact"/>
        <w:rPr>
          <w:color w:val="auto"/>
          <w:sz w:val="21"/>
          <w:szCs w:val="21"/>
          <w:highlight w:val="none"/>
        </w:rPr>
      </w:pPr>
      <w:r>
        <w:rPr>
          <w:rFonts w:hint="eastAsia"/>
          <w:color w:val="auto"/>
          <w:sz w:val="21"/>
          <w:szCs w:val="21"/>
          <w:highlight w:val="none"/>
        </w:rPr>
        <w:t>发布时间：</w:t>
      </w:r>
      <w:r>
        <w:rPr>
          <w:rFonts w:hint="eastAsia"/>
          <w:color w:val="auto"/>
          <w:sz w:val="21"/>
          <w:szCs w:val="21"/>
          <w:highlight w:val="none"/>
        </w:rPr>
        <w:t>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w:t>
      </w:r>
    </w:p>
    <w:p>
      <w:pPr>
        <w:pStyle w:val="44"/>
        <w:spacing w:before="0" w:beforeAutospacing="0" w:after="0" w:afterAutospacing="0" w:line="400" w:lineRule="exact"/>
        <w:rPr>
          <w:b/>
          <w:color w:val="auto"/>
          <w:sz w:val="21"/>
          <w:szCs w:val="21"/>
          <w:highlight w:val="none"/>
        </w:rPr>
      </w:pPr>
      <w:r>
        <w:rPr>
          <w:rFonts w:hint="eastAsia"/>
          <w:b/>
          <w:color w:val="auto"/>
          <w:sz w:val="21"/>
          <w:szCs w:val="21"/>
          <w:highlight w:val="none"/>
        </w:rPr>
        <w:t>项目概况</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2025年度宁波前湾新区市政道路维修养护质量监督与管理服务项目</w:t>
      </w:r>
      <w:r>
        <w:rPr>
          <w:rFonts w:hint="eastAsia"/>
          <w:color w:val="auto"/>
          <w:sz w:val="21"/>
          <w:szCs w:val="21"/>
          <w:highlight w:val="none"/>
        </w:rPr>
        <w:t>的潜在投标人应在乐采云 https://www.lecaiyun.com</w:t>
      </w:r>
      <w:r>
        <w:rPr>
          <w:rFonts w:hint="eastAsia"/>
          <w:color w:val="auto"/>
          <w:sz w:val="21"/>
          <w:szCs w:val="21"/>
          <w:highlight w:val="none"/>
        </w:rPr>
        <w:fldChar w:fldCharType="begin"/>
      </w:r>
      <w:r>
        <w:rPr>
          <w:rFonts w:hint="eastAsia"/>
          <w:color w:val="auto"/>
          <w:sz w:val="21"/>
          <w:szCs w:val="21"/>
          <w:highlight w:val="none"/>
        </w:rPr>
        <w:instrText xml:space="preserve"> HYPERLINK "https://www.zcygov.cn/）获取（下载）招标文件，并于2021年" </w:instrText>
      </w:r>
      <w:r>
        <w:rPr>
          <w:rFonts w:hint="eastAsia"/>
          <w:color w:val="auto"/>
          <w:sz w:val="21"/>
          <w:szCs w:val="21"/>
          <w:highlight w:val="none"/>
        </w:rPr>
        <w:fldChar w:fldCharType="separate"/>
      </w:r>
      <w:r>
        <w:rPr>
          <w:rFonts w:hint="eastAsia"/>
          <w:color w:val="auto"/>
          <w:sz w:val="21"/>
          <w:szCs w:val="21"/>
          <w:highlight w:val="none"/>
        </w:rPr>
        <w:t>获取（下载）采购文件，并于</w:t>
      </w:r>
      <w:r>
        <w:rPr>
          <w:rFonts w:hint="eastAsia"/>
          <w:color w:val="auto"/>
          <w:sz w:val="21"/>
          <w:szCs w:val="21"/>
          <w:highlight w:val="none"/>
        </w:rPr>
        <w:t>20</w:t>
      </w:r>
      <w:r>
        <w:rPr>
          <w:rFonts w:hint="eastAsia"/>
          <w:color w:val="auto"/>
          <w:sz w:val="21"/>
          <w:szCs w:val="21"/>
          <w:highlight w:val="none"/>
          <w:lang w:val="en-US" w:eastAsia="zh-CN"/>
        </w:rPr>
        <w:t>25</w:t>
      </w:r>
      <w:r>
        <w:rPr>
          <w:rFonts w:hint="eastAsia"/>
          <w:color w:val="auto"/>
          <w:sz w:val="21"/>
          <w:szCs w:val="21"/>
          <w:highlight w:val="none"/>
        </w:rPr>
        <w:t>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w:t>
      </w:r>
      <w:r>
        <w:rPr>
          <w:rFonts w:hint="eastAsia"/>
          <w:color w:val="auto"/>
          <w:sz w:val="21"/>
          <w:szCs w:val="21"/>
          <w:highlight w:val="none"/>
          <w:lang w:val="en-US" w:eastAsia="zh-CN"/>
        </w:rPr>
        <w:t>9</w:t>
      </w:r>
      <w:r>
        <w:rPr>
          <w:rFonts w:hint="eastAsia"/>
          <w:color w:val="auto"/>
          <w:sz w:val="21"/>
          <w:szCs w:val="21"/>
          <w:highlight w:val="none"/>
        </w:rPr>
        <w:t>点</w:t>
      </w:r>
      <w:r>
        <w:rPr>
          <w:rFonts w:hint="eastAsia"/>
          <w:color w:val="auto"/>
          <w:sz w:val="21"/>
          <w:szCs w:val="21"/>
          <w:highlight w:val="none"/>
          <w:lang w:val="en-US" w:eastAsia="zh-CN"/>
        </w:rPr>
        <w:t>30</w:t>
      </w:r>
      <w:r>
        <w:rPr>
          <w:rFonts w:hint="eastAsia"/>
          <w:color w:val="auto"/>
          <w:sz w:val="21"/>
          <w:szCs w:val="21"/>
          <w:highlight w:val="none"/>
        </w:rPr>
        <w:t>分</w:t>
      </w:r>
      <w:r>
        <w:rPr>
          <w:rFonts w:hint="eastAsia"/>
          <w:color w:val="auto"/>
          <w:sz w:val="21"/>
          <w:szCs w:val="21"/>
          <w:highlight w:val="none"/>
        </w:rPr>
        <w:fldChar w:fldCharType="end"/>
      </w:r>
      <w:r>
        <w:rPr>
          <w:rFonts w:hint="eastAsia"/>
          <w:color w:val="auto"/>
          <w:sz w:val="21"/>
          <w:szCs w:val="21"/>
          <w:highlight w:val="none"/>
        </w:rPr>
        <w:t>（北京时间）前提交（上传）投标文件。</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一、项目基本情况</w:t>
      </w:r>
    </w:p>
    <w:p>
      <w:pPr>
        <w:pStyle w:val="44"/>
        <w:spacing w:before="0" w:beforeAutospacing="0" w:after="0" w:afterAutospacing="0" w:line="400" w:lineRule="exact"/>
        <w:ind w:firstLine="420" w:firstLineChars="200"/>
        <w:rPr>
          <w:rFonts w:hint="eastAsia"/>
          <w:color w:val="auto"/>
          <w:sz w:val="21"/>
          <w:szCs w:val="21"/>
          <w:highlight w:val="none"/>
        </w:rPr>
      </w:pPr>
      <w:bookmarkStart w:id="14" w:name="_Hlk180032696"/>
      <w:r>
        <w:rPr>
          <w:rFonts w:hint="eastAsia"/>
          <w:color w:val="auto"/>
          <w:sz w:val="21"/>
          <w:szCs w:val="21"/>
          <w:highlight w:val="none"/>
        </w:rPr>
        <w:t>项目编号：</w:t>
      </w:r>
      <w:r>
        <w:rPr>
          <w:rFonts w:hint="eastAsia"/>
          <w:color w:val="auto"/>
          <w:sz w:val="21"/>
          <w:szCs w:val="21"/>
          <w:highlight w:val="none"/>
          <w:lang w:val="en-US" w:eastAsia="zh-CN"/>
        </w:rPr>
        <w:t>QWQTJY25059</w:t>
      </w:r>
    </w:p>
    <w:p>
      <w:pPr>
        <w:pStyle w:val="44"/>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2025年度宁波前湾新区市政道路维修养护质量监督与管理服务项目</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382650元</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最高限价（元）：</w:t>
      </w:r>
      <w:r>
        <w:rPr>
          <w:rFonts w:hint="eastAsia"/>
          <w:color w:val="auto"/>
          <w:sz w:val="21"/>
          <w:szCs w:val="21"/>
          <w:highlight w:val="none"/>
          <w:lang w:val="en-US" w:eastAsia="zh-CN"/>
        </w:rPr>
        <w:t>382650元</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w:t>
      </w:r>
      <w:r>
        <w:rPr>
          <w:rFonts w:hint="eastAsia"/>
          <w:color w:val="auto"/>
          <w:sz w:val="21"/>
          <w:szCs w:val="21"/>
          <w:highlight w:val="none"/>
          <w:lang w:eastAsia="zh-CN"/>
        </w:rPr>
        <w:t>2025年度宁波前湾新区市政道路维修养护质量监督与管理服务项目</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数量：1</w:t>
      </w:r>
    </w:p>
    <w:p>
      <w:pPr>
        <w:pStyle w:val="44"/>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382650元</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w:t>
      </w:r>
      <w:r>
        <w:rPr>
          <w:rFonts w:hint="eastAsia"/>
          <w:color w:val="auto"/>
          <w:sz w:val="21"/>
          <w:szCs w:val="21"/>
          <w:highlight w:val="none"/>
          <w:lang w:eastAsia="zh-CN"/>
        </w:rPr>
        <w:t>2025年度宁波前湾新区市政道路维修养护质量监督与管理服务；</w:t>
      </w:r>
      <w:r>
        <w:rPr>
          <w:rFonts w:hint="eastAsia"/>
          <w:color w:val="auto"/>
          <w:sz w:val="21"/>
          <w:szCs w:val="21"/>
          <w:highlight w:val="none"/>
        </w:rPr>
        <w:t>数量</w:t>
      </w:r>
      <w:r>
        <w:rPr>
          <w:rFonts w:hint="eastAsia"/>
          <w:color w:val="auto"/>
          <w:sz w:val="21"/>
          <w:szCs w:val="21"/>
          <w:highlight w:val="none"/>
          <w:lang w:eastAsia="zh-CN"/>
        </w:rPr>
        <w:t>：</w:t>
      </w:r>
      <w:r>
        <w:rPr>
          <w:rFonts w:hint="eastAsia"/>
          <w:color w:val="auto"/>
          <w:sz w:val="21"/>
          <w:szCs w:val="21"/>
          <w:highlight w:val="none"/>
          <w:lang w:val="en-US" w:eastAsia="zh-CN"/>
        </w:rPr>
        <w:t>1；其他要求：具体</w:t>
      </w:r>
      <w:r>
        <w:rPr>
          <w:rFonts w:hint="eastAsia"/>
          <w:color w:val="auto"/>
          <w:sz w:val="21"/>
          <w:szCs w:val="21"/>
          <w:highlight w:val="none"/>
        </w:rPr>
        <w:t>见</w:t>
      </w:r>
      <w:r>
        <w:rPr>
          <w:rFonts w:hint="eastAsia"/>
          <w:color w:val="auto"/>
          <w:sz w:val="21"/>
          <w:szCs w:val="21"/>
          <w:highlight w:val="none"/>
          <w:lang w:val="en-US" w:eastAsia="zh-CN"/>
        </w:rPr>
        <w:t>招标</w:t>
      </w:r>
      <w:r>
        <w:rPr>
          <w:rFonts w:hint="eastAsia"/>
          <w:color w:val="auto"/>
          <w:sz w:val="21"/>
          <w:szCs w:val="21"/>
          <w:highlight w:val="none"/>
        </w:rPr>
        <w:t>文件第五章招标内容与技术需求。</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备注：详细需求见招标文件。本次公开招标设有最高限价，最高限价为</w:t>
      </w:r>
      <w:r>
        <w:rPr>
          <w:rFonts w:hint="eastAsia"/>
          <w:color w:val="auto"/>
          <w:sz w:val="21"/>
          <w:szCs w:val="21"/>
          <w:highlight w:val="none"/>
          <w:lang w:val="en-US" w:eastAsia="zh-CN"/>
        </w:rPr>
        <w:t>382650元，</w:t>
      </w:r>
      <w:r>
        <w:rPr>
          <w:rFonts w:hint="eastAsia"/>
          <w:color w:val="auto"/>
          <w:sz w:val="21"/>
          <w:szCs w:val="21"/>
          <w:highlight w:val="none"/>
        </w:rPr>
        <w:t>超过最高限价的，投标无效。</w:t>
      </w:r>
    </w:p>
    <w:p>
      <w:pPr>
        <w:pStyle w:val="44"/>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rPr>
        <w:t>合同履约期限：</w:t>
      </w:r>
      <w:r>
        <w:rPr>
          <w:rFonts w:hint="eastAsia"/>
          <w:color w:val="auto"/>
          <w:sz w:val="21"/>
          <w:szCs w:val="21"/>
          <w:highlight w:val="none"/>
          <w:lang w:val="en-US" w:eastAsia="zh-CN"/>
        </w:rPr>
        <w:t>二</w:t>
      </w:r>
      <w:r>
        <w:rPr>
          <w:rFonts w:hint="eastAsia"/>
          <w:color w:val="auto"/>
          <w:sz w:val="21"/>
          <w:szCs w:val="21"/>
          <w:highlight w:val="none"/>
        </w:rPr>
        <w:t>年，合同一年一签</w:t>
      </w:r>
      <w:r>
        <w:rPr>
          <w:rFonts w:hint="eastAsia"/>
          <w:color w:val="auto"/>
          <w:sz w:val="21"/>
          <w:szCs w:val="21"/>
          <w:highlight w:val="none"/>
          <w:lang w:eastAsia="zh-CN"/>
        </w:rPr>
        <w:t>（</w:t>
      </w:r>
      <w:r>
        <w:rPr>
          <w:rFonts w:hint="eastAsia"/>
          <w:color w:val="auto"/>
          <w:sz w:val="21"/>
          <w:szCs w:val="21"/>
          <w:highlight w:val="none"/>
        </w:rPr>
        <w:t>第一年度合同期满后，经采购人考核合格，可续签下一年度合同，最多可续签</w:t>
      </w:r>
      <w:r>
        <w:rPr>
          <w:rFonts w:hint="eastAsia"/>
          <w:color w:val="auto"/>
          <w:sz w:val="21"/>
          <w:szCs w:val="21"/>
          <w:highlight w:val="none"/>
          <w:lang w:val="en-US" w:eastAsia="zh-CN"/>
        </w:rPr>
        <w:t>一</w:t>
      </w:r>
      <w:r>
        <w:rPr>
          <w:rFonts w:hint="eastAsia"/>
          <w:color w:val="auto"/>
          <w:sz w:val="21"/>
          <w:szCs w:val="21"/>
          <w:highlight w:val="none"/>
        </w:rPr>
        <w:t>次</w:t>
      </w:r>
      <w:r>
        <w:rPr>
          <w:rFonts w:hint="eastAsia"/>
          <w:color w:val="auto"/>
          <w:sz w:val="21"/>
          <w:szCs w:val="21"/>
          <w:highlight w:val="none"/>
          <w:lang w:eastAsia="zh-CN"/>
        </w:rPr>
        <w:t>）；</w:t>
      </w:r>
      <w:r>
        <w:rPr>
          <w:rFonts w:hint="eastAsia"/>
          <w:color w:val="auto"/>
          <w:sz w:val="21"/>
          <w:szCs w:val="21"/>
          <w:highlight w:val="none"/>
          <w:lang w:val="en-US" w:eastAsia="zh-CN"/>
        </w:rPr>
        <w:t>具体时间以合同签订时间为准（同维修养护合同时间）。</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bookmarkEnd w:id="14"/>
    <w:p>
      <w:pPr>
        <w:pStyle w:val="44"/>
        <w:spacing w:before="0" w:beforeAutospacing="0" w:after="0" w:afterAutospacing="0" w:line="400" w:lineRule="exact"/>
        <w:rPr>
          <w:rStyle w:val="47"/>
          <w:color w:val="auto"/>
          <w:sz w:val="21"/>
          <w:szCs w:val="21"/>
          <w:highlight w:val="none"/>
        </w:rPr>
      </w:pPr>
      <w:r>
        <w:rPr>
          <w:rStyle w:val="47"/>
          <w:rFonts w:hint="eastAsia"/>
          <w:color w:val="auto"/>
          <w:sz w:val="21"/>
          <w:szCs w:val="21"/>
          <w:highlight w:val="none"/>
        </w:rPr>
        <w:t>二、申请人的资格要求：</w:t>
      </w:r>
    </w:p>
    <w:p>
      <w:pPr>
        <w:pStyle w:val="44"/>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2.落实政府采购政策需满足的资格要求：本项目为专门面向中小企业采购的项目，供应商应为中小微企业（监狱企业及残疾人福利性单位视同小型、微型企业）。</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w:t>
      </w:r>
      <w:r>
        <w:rPr>
          <w:rFonts w:hint="eastAsia"/>
          <w:color w:val="auto"/>
          <w:sz w:val="21"/>
          <w:szCs w:val="21"/>
          <w:highlight w:val="none"/>
          <w:lang w:val="en-US" w:eastAsia="zh-CN"/>
        </w:rPr>
        <w:t>/</w:t>
      </w:r>
      <w:r>
        <w:rPr>
          <w:rFonts w:hint="eastAsia"/>
          <w:color w:val="auto"/>
          <w:sz w:val="21"/>
          <w:szCs w:val="21"/>
          <w:highlight w:val="none"/>
        </w:rPr>
        <w:t>。</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三、获取招标文件</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w:t>
      </w:r>
      <w:r>
        <w:rPr>
          <w:rFonts w:hint="eastAsia"/>
          <w:color w:val="auto"/>
          <w:sz w:val="21"/>
          <w:szCs w:val="21"/>
          <w:highlight w:val="none"/>
        </w:rPr>
        <w:t>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日至2025年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7</w:t>
      </w:r>
      <w:r>
        <w:rPr>
          <w:rFonts w:hint="eastAsia"/>
          <w:color w:val="auto"/>
          <w:sz w:val="21"/>
          <w:szCs w:val="21"/>
          <w:highlight w:val="none"/>
        </w:rPr>
        <w:t>日</w:t>
      </w:r>
      <w:r>
        <w:rPr>
          <w:rFonts w:hint="eastAsia"/>
          <w:color w:val="auto"/>
          <w:sz w:val="21"/>
          <w:szCs w:val="21"/>
          <w:highlight w:val="none"/>
        </w:rPr>
        <w:t>，每天上午00：00至12：00，下午12：00至23：59（北京时间，线上获取法定节假日均可，线下获取文件法定节假日除外）</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 xml:space="preserve">地点（网址）：乐采云 https://www.lecaiyun.com </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方式：（1）供应商登录乐采云 https://www.lecaiyun.com在线申请获取采购文件（进入“项目采购”应用，在获取采购文件菜单中选择项目，申请获取采购文件）。如有疑问请及时咨询网站客服，咨询电话：95763。（2）获取采购文件前，供应商应在“浙江政府采购网（zfcg.czt.zj.gov.cn）”上进行供应商注册申请，并通过财政部门的终审后登记加入到“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w:t>
      </w:r>
      <w:r>
        <w:rPr>
          <w:rFonts w:hint="eastAsia"/>
          <w:color w:val="auto"/>
          <w:sz w:val="21"/>
          <w:szCs w:val="21"/>
          <w:highlight w:val="none"/>
          <w:lang w:val="en-US" w:eastAsia="zh-CN"/>
        </w:rPr>
        <w:t>乐采</w:t>
      </w:r>
      <w:r>
        <w:rPr>
          <w:rFonts w:hint="eastAsia"/>
          <w:color w:val="auto"/>
          <w:sz w:val="21"/>
          <w:szCs w:val="21"/>
          <w:highlight w:val="none"/>
        </w:rPr>
        <w:t>云平台登录上述供应商注册的账号后获取采购文件，未在规定的采购文件提供期限内或未按上述方式获取采购文件的，其磋商响应均视为无效，并不得对采购文件提起质疑投诉。</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四、提交投标文件截止时间、开标时间和地点</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w:t>
      </w:r>
      <w:r>
        <w:rPr>
          <w:rFonts w:hint="eastAsia"/>
          <w:color w:val="auto"/>
          <w:sz w:val="21"/>
          <w:szCs w:val="21"/>
          <w:highlight w:val="none"/>
        </w:rPr>
        <w:t>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w:t>
      </w:r>
      <w:r>
        <w:rPr>
          <w:rFonts w:hint="eastAsia"/>
          <w:color w:val="auto"/>
          <w:sz w:val="21"/>
          <w:szCs w:val="21"/>
          <w:highlight w:val="none"/>
          <w:lang w:val="en-US" w:eastAsia="zh-CN"/>
        </w:rPr>
        <w:t>9</w:t>
      </w:r>
      <w:r>
        <w:rPr>
          <w:rFonts w:hint="eastAsia"/>
          <w:color w:val="auto"/>
          <w:sz w:val="21"/>
          <w:szCs w:val="21"/>
          <w:highlight w:val="none"/>
        </w:rPr>
        <w:t>：30</w:t>
      </w:r>
      <w:r>
        <w:rPr>
          <w:rFonts w:hint="eastAsia"/>
          <w:color w:val="auto"/>
          <w:sz w:val="21"/>
          <w:szCs w:val="21"/>
          <w:highlight w:val="none"/>
        </w:rPr>
        <w:t>（北京时间）</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投标地点（网址）：宁波前湾新区公共资源交易中心（宁波前湾新区创业创新大厦三号楼（宁波前湾新区玉海西路201号）开标室三）/乐采云 https://www.lecaiyun.com</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rPr>
        <w:t>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22</w:t>
      </w:r>
      <w:r>
        <w:rPr>
          <w:rFonts w:hint="eastAsia"/>
          <w:color w:val="auto"/>
          <w:sz w:val="21"/>
          <w:szCs w:val="21"/>
          <w:highlight w:val="none"/>
        </w:rPr>
        <w:t>日</w:t>
      </w:r>
      <w:r>
        <w:rPr>
          <w:rFonts w:hint="eastAsia"/>
          <w:color w:val="auto"/>
          <w:sz w:val="21"/>
          <w:szCs w:val="21"/>
          <w:highlight w:val="none"/>
          <w:lang w:val="en-US" w:eastAsia="zh-CN"/>
        </w:rPr>
        <w:t>9</w:t>
      </w:r>
      <w:r>
        <w:rPr>
          <w:rFonts w:hint="eastAsia"/>
          <w:color w:val="auto"/>
          <w:sz w:val="21"/>
          <w:szCs w:val="21"/>
          <w:highlight w:val="none"/>
        </w:rPr>
        <w:t>：30</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开标地点（网址）：宁波前湾新区公共资源交易中心（宁波前湾新区创业创新大厦三号楼（宁波前湾新区玉海西路201号）开标室三）/乐采云 https://www.lecaiyun.com</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五、公告期限</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六、其他补充事宜</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w:t>
      </w:r>
      <w:r>
        <w:rPr>
          <w:rFonts w:hint="eastAsia"/>
          <w:color w:val="auto"/>
          <w:sz w:val="21"/>
          <w:szCs w:val="21"/>
          <w:highlight w:val="none"/>
          <w:lang w:val="en-US" w:eastAsia="zh-CN"/>
        </w:rPr>
        <w:t>乐</w:t>
      </w:r>
      <w:r>
        <w:rPr>
          <w:rFonts w:hint="eastAsia"/>
          <w:color w:val="auto"/>
          <w:sz w:val="21"/>
          <w:szCs w:val="21"/>
          <w:highlight w:val="none"/>
        </w:rPr>
        <w:t>采云-项目采购-询问质疑投诉-询问列表：鼓励供应商在线提起质疑，路径为：</w:t>
      </w:r>
      <w:r>
        <w:rPr>
          <w:rFonts w:hint="eastAsia"/>
          <w:color w:val="auto"/>
          <w:sz w:val="21"/>
          <w:szCs w:val="21"/>
          <w:highlight w:val="none"/>
          <w:lang w:val="en-US" w:eastAsia="zh-CN"/>
        </w:rPr>
        <w:t>乐</w:t>
      </w:r>
      <w:r>
        <w:rPr>
          <w:rFonts w:hint="eastAsia"/>
          <w:color w:val="auto"/>
          <w:sz w:val="21"/>
          <w:szCs w:val="21"/>
          <w:highlight w:val="none"/>
        </w:rPr>
        <w:t>采云-项目采购-询问质疑投诉-质疑列表。质疑供应商对在线质疑答复不满意的，可在线提起投诉，路径为：浙江政府服务网-政府采购投诉处理-在线办理。</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4"/>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七、对本次采购提出询问、质疑、投诉，请按以下方式联系</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pPr>
        <w:pStyle w:val="44"/>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宁波杭州湾新区公用事业发展有限公司</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w:t>
      </w:r>
      <w:r>
        <w:rPr>
          <w:rFonts w:hint="eastAsia"/>
          <w:color w:val="auto"/>
          <w:sz w:val="21"/>
          <w:szCs w:val="21"/>
          <w:highlight w:val="none"/>
          <w:lang w:eastAsia="zh-CN"/>
        </w:rPr>
        <w:t>宁波</w:t>
      </w:r>
      <w:r>
        <w:rPr>
          <w:rFonts w:hint="eastAsia"/>
          <w:color w:val="auto"/>
          <w:sz w:val="21"/>
          <w:szCs w:val="21"/>
          <w:highlight w:val="none"/>
          <w:lang w:val="en-US" w:eastAsia="zh-CN"/>
        </w:rPr>
        <w:t>前湾</w:t>
      </w:r>
      <w:r>
        <w:rPr>
          <w:rFonts w:hint="eastAsia"/>
          <w:color w:val="auto"/>
          <w:sz w:val="21"/>
          <w:szCs w:val="21"/>
          <w:highlight w:val="none"/>
          <w:lang w:eastAsia="zh-CN"/>
        </w:rPr>
        <w:t>新区</w:t>
      </w:r>
      <w:r>
        <w:rPr>
          <w:rFonts w:hint="eastAsia"/>
          <w:color w:val="auto"/>
          <w:sz w:val="21"/>
          <w:szCs w:val="21"/>
          <w:highlight w:val="none"/>
          <w:lang w:val="en-US" w:eastAsia="zh-CN"/>
        </w:rPr>
        <w:t>越和路19号</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r>
        <w:rPr>
          <w:rFonts w:hint="eastAsia" w:ascii="宋体" w:hAnsi="宋体" w:cs="宋体"/>
          <w:color w:val="auto"/>
          <w:sz w:val="24"/>
          <w:highlight w:val="none"/>
          <w:lang w:val="en-US" w:eastAsia="zh-CN"/>
        </w:rPr>
        <w:t>陈</w:t>
      </w:r>
      <w:r>
        <w:rPr>
          <w:rFonts w:hint="eastAsia"/>
          <w:color w:val="auto"/>
          <w:sz w:val="21"/>
          <w:szCs w:val="21"/>
          <w:highlight w:val="none"/>
        </w:rPr>
        <w:t>老师</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项目联系方式（询问）：0574-63075892</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龚</w:t>
      </w:r>
      <w:r>
        <w:rPr>
          <w:rFonts w:hint="eastAsia"/>
          <w:color w:val="auto"/>
          <w:sz w:val="21"/>
          <w:szCs w:val="21"/>
          <w:highlight w:val="none"/>
        </w:rPr>
        <w:t>老师</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质疑联系方式：0574-63075892</w:t>
      </w:r>
    </w:p>
    <w:p>
      <w:pPr>
        <w:pStyle w:val="44"/>
        <w:spacing w:before="0" w:beforeAutospacing="0" w:after="0" w:afterAutospacing="0" w:line="400" w:lineRule="exact"/>
        <w:ind w:firstLine="420" w:firstLineChars="200"/>
        <w:rPr>
          <w:color w:val="auto"/>
          <w:sz w:val="21"/>
          <w:szCs w:val="21"/>
          <w:highlight w:val="none"/>
        </w:rPr>
      </w:pP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pPr>
        <w:pStyle w:val="44"/>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宁波欣科工程项目管理有限公司</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地址：慈溪市胜山镇工贸集团B座16楼</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项目联系人（询问）：周秦惠</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项目联系方式（询问）：0574-63819705</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质疑联系人：何夏锋</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质疑联系方式：0574-63819705</w:t>
      </w:r>
    </w:p>
    <w:p>
      <w:pPr>
        <w:pStyle w:val="44"/>
        <w:spacing w:before="0" w:beforeAutospacing="0" w:after="0" w:afterAutospacing="0" w:line="400" w:lineRule="exact"/>
        <w:ind w:firstLine="420" w:firstLineChars="200"/>
        <w:rPr>
          <w:color w:val="auto"/>
          <w:sz w:val="21"/>
          <w:szCs w:val="21"/>
          <w:highlight w:val="none"/>
        </w:rPr>
      </w:pP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w:t>
      </w:r>
      <w:r>
        <w:rPr>
          <w:rFonts w:hint="eastAsia"/>
          <w:color w:val="auto"/>
          <w:sz w:val="21"/>
          <w:szCs w:val="21"/>
          <w:highlight w:val="none"/>
          <w:lang w:val="en-US" w:eastAsia="zh-CN"/>
        </w:rPr>
        <w:t>宁波前湾新区财政局</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地址：宁波市前湾新区兴慈一路1号</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pPr>
        <w:pStyle w:val="44"/>
        <w:spacing w:before="0" w:beforeAutospacing="0" w:after="0" w:afterAutospacing="0" w:line="40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rPr>
        <w:t>联系人：</w:t>
      </w:r>
      <w:r>
        <w:rPr>
          <w:rFonts w:hint="eastAsia"/>
          <w:color w:val="auto"/>
          <w:sz w:val="21"/>
          <w:szCs w:val="21"/>
          <w:highlight w:val="none"/>
          <w:lang w:val="en-US" w:eastAsia="zh-CN"/>
        </w:rPr>
        <w:t>劳老师</w:t>
      </w:r>
    </w:p>
    <w:p>
      <w:pPr>
        <w:pStyle w:val="44"/>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监督投诉电话：0574-89388873</w:t>
      </w:r>
    </w:p>
    <w:p>
      <w:pPr>
        <w:pStyle w:val="44"/>
        <w:spacing w:before="0" w:beforeAutospacing="0" w:after="0" w:afterAutospacing="0" w:line="400" w:lineRule="exact"/>
        <w:ind w:firstLine="420" w:firstLineChars="200"/>
        <w:rPr>
          <w:color w:val="auto"/>
          <w:sz w:val="21"/>
          <w:szCs w:val="21"/>
          <w:highlight w:val="none"/>
        </w:rPr>
      </w:pPr>
    </w:p>
    <w:p>
      <w:pPr>
        <w:pStyle w:val="44"/>
        <w:spacing w:before="0" w:beforeAutospacing="0" w:after="0" w:afterAutospacing="0" w:line="40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rPr>
        <w:t>若对项目采购电子交易系统操作有疑问，可登录乐采云 https://www.lecaiyun.com，点击右侧咨询小采，获取采小蜜智能服务管家帮助，或拨打</w:t>
      </w:r>
      <w:r>
        <w:rPr>
          <w:rFonts w:hint="eastAsia"/>
          <w:color w:val="auto"/>
          <w:sz w:val="21"/>
          <w:szCs w:val="21"/>
          <w:highlight w:val="none"/>
          <w:lang w:val="en-US" w:eastAsia="zh-CN"/>
        </w:rPr>
        <w:t>乐采</w:t>
      </w:r>
      <w:r>
        <w:rPr>
          <w:rFonts w:hint="eastAsia"/>
          <w:color w:val="auto"/>
          <w:sz w:val="21"/>
          <w:szCs w:val="21"/>
          <w:highlight w:val="none"/>
        </w:rPr>
        <w:t>云服务热线95763获取热线服务帮助</w:t>
      </w:r>
      <w:r>
        <w:rPr>
          <w:rFonts w:hint="eastAsia"/>
          <w:color w:val="auto"/>
          <w:sz w:val="21"/>
          <w:szCs w:val="21"/>
          <w:highlight w:val="none"/>
          <w:lang w:eastAsia="zh-CN"/>
        </w:rPr>
        <w:t>。</w:t>
      </w:r>
    </w:p>
    <w:p>
      <w:pPr>
        <w:pStyle w:val="44"/>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CA问题联系电话（人工）：汇信CA400-888-4636；天谷CA400-087-8198。</w:t>
      </w:r>
    </w:p>
    <w:p>
      <w:pPr>
        <w:widowControl/>
        <w:spacing w:line="400" w:lineRule="exact"/>
        <w:ind w:firstLine="420" w:firstLineChars="200"/>
        <w:jc w:val="left"/>
        <w:rPr>
          <w:rFonts w:ascii="宋体" w:hAnsi="宋体"/>
          <w:color w:val="auto"/>
          <w:szCs w:val="21"/>
          <w:highlight w:val="none"/>
        </w:rPr>
      </w:pP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5" w:name="_Toc65915695"/>
      <w:bookmarkStart w:id="16" w:name="_Toc21541006"/>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5"/>
      <w:bookmarkEnd w:id="16"/>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本招标文件仅适用于本采购项目所叙述的服务的招标、评标、定标、验收、合同履约、付款等（法律、法规另有规定的，从其规定）。</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宁波杭州湾新区公用事业发展有限公司</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w:t>
      </w:r>
      <w:r>
        <w:rPr>
          <w:rFonts w:hint="eastAsia" w:ascii="宋体" w:hAnsi="宋体"/>
          <w:color w:val="auto"/>
          <w:szCs w:val="21"/>
          <w:highlight w:val="none"/>
          <w:lang w:eastAsia="zh-CN"/>
        </w:rPr>
        <w:t>宁波欣科工程项目管理有限公司</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4、“服务”系指</w:t>
      </w:r>
      <w:r>
        <w:rPr>
          <w:rFonts w:ascii="宋体" w:hAnsi="宋体"/>
          <w:color w:val="auto"/>
          <w:szCs w:val="21"/>
          <w:highlight w:val="none"/>
        </w:rPr>
        <w:t>招标文件规定供应商须承担的</w:t>
      </w:r>
      <w:r>
        <w:rPr>
          <w:rFonts w:hint="eastAsia"/>
          <w:color w:val="auto"/>
          <w:szCs w:val="21"/>
          <w:highlight w:val="none"/>
        </w:rPr>
        <w:t>服务及其他</w:t>
      </w:r>
      <w:r>
        <w:rPr>
          <w:rFonts w:hint="eastAsia" w:ascii="宋体" w:hAnsi="宋体"/>
          <w:color w:val="auto"/>
          <w:szCs w:val="21"/>
          <w:highlight w:val="none"/>
        </w:rPr>
        <w:t>类似义务。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5、“▲”系指实质性响应条款。</w:t>
      </w:r>
    </w:p>
    <w:p>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6、合格的投标服务：</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6.1应该是中国境内提供的服务。</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若投标服务是国家实行许可证制度或生产注册证制度的服务，则应具备相应有效的证书。</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6.2国家规定有标准及规范的，投标服务应按有效的标准及规范执行，应符合国家及招标文件提出的有关技术、质量、安全标准。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6.3供应商应保证所提供的服务免受第三方提出侵犯其知识产权（专利权、商标权、工业设计权及使用权等）的索赔或起诉，否则，由此可能产生的一切法律责任和经济责任均由供应商承担。</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无论投标过程和结果如何，供应商自行承担与投标有关的全部费用。</w:t>
      </w:r>
    </w:p>
    <w:p>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s="宋体"/>
          <w:color w:val="auto"/>
          <w:szCs w:val="21"/>
          <w:highlight w:val="none"/>
        </w:rPr>
        <w:t>招标代理费：本次代理服务费以</w:t>
      </w:r>
      <w:r>
        <w:rPr>
          <w:rFonts w:hint="eastAsia" w:ascii="宋体" w:hAnsi="宋体" w:cs="宋体"/>
          <w:color w:val="auto"/>
          <w:szCs w:val="21"/>
          <w:highlight w:val="none"/>
          <w:lang w:val="en-US" w:eastAsia="zh-CN"/>
        </w:rPr>
        <w:t>各标项的合同</w:t>
      </w:r>
      <w:r>
        <w:rPr>
          <w:rFonts w:hint="eastAsia" w:ascii="宋体" w:hAnsi="宋体" w:cs="宋体"/>
          <w:color w:val="auto"/>
          <w:szCs w:val="21"/>
          <w:highlight w:val="none"/>
        </w:rPr>
        <w:t>金额为计费额，</w:t>
      </w:r>
      <w:r>
        <w:rPr>
          <w:rFonts w:hint="eastAsia" w:ascii="宋体" w:hAnsi="宋体" w:eastAsia="宋体" w:cs="宋体"/>
          <w:color w:val="auto"/>
          <w:szCs w:val="21"/>
          <w:highlight w:val="none"/>
        </w:rPr>
        <w:t>参照《招标代理服务收费管理暂行办法》（计价格[2002]1980号文件）和《国家发展改革委关于降低部分建设项目收费标准规范收费行为等有关问题的通知》发改价格[2011]534号文件</w:t>
      </w:r>
      <w:r>
        <w:rPr>
          <w:rFonts w:hint="eastAsia" w:ascii="宋体" w:hAnsi="宋体" w:eastAsia="宋体" w:cs="宋体"/>
          <w:color w:val="auto"/>
          <w:szCs w:val="21"/>
          <w:highlight w:val="none"/>
          <w:lang w:val="en-US" w:eastAsia="zh-CN"/>
        </w:rPr>
        <w:t>服务类</w:t>
      </w:r>
      <w:r>
        <w:rPr>
          <w:rFonts w:hint="eastAsia" w:ascii="宋体" w:hAnsi="宋体" w:eastAsia="宋体" w:cs="宋体"/>
          <w:color w:val="auto"/>
          <w:szCs w:val="21"/>
          <w:highlight w:val="none"/>
        </w:rPr>
        <w:t>规定标准</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计算</w:t>
      </w:r>
      <w:r>
        <w:rPr>
          <w:rFonts w:hint="eastAsia" w:ascii="宋体" w:hAnsi="宋体" w:cs="宋体"/>
          <w:color w:val="auto"/>
          <w:szCs w:val="21"/>
          <w:highlight w:val="none"/>
        </w:rPr>
        <w:t>，由中标人在领取中标通知书之前支付给代理机构。代理服务费不另列项目，但其费用在报价时综合考虑，投标总价中包含此项费用</w:t>
      </w:r>
      <w:r>
        <w:rPr>
          <w:rFonts w:hint="eastAsia" w:ascii="宋体" w:hAnsi="宋体" w:cs="宋体"/>
          <w:color w:val="auto"/>
          <w:szCs w:val="21"/>
          <w:highlight w:val="none"/>
          <w:lang w:eastAsia="zh-CN"/>
        </w:rPr>
        <w:t>。</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olor w:val="auto"/>
          <w:szCs w:val="21"/>
          <w:highlight w:val="none"/>
        </w:rPr>
        <w:t>以人民币为结算货币，采购人支付给</w:t>
      </w:r>
      <w:r>
        <w:rPr>
          <w:rFonts w:hint="eastAsia" w:ascii="宋体" w:hAnsi="宋体"/>
          <w:color w:val="auto"/>
          <w:highlight w:val="none"/>
        </w:rPr>
        <w:t>供应商</w:t>
      </w:r>
      <w:r>
        <w:rPr>
          <w:rFonts w:hint="eastAsia" w:ascii="宋体" w:hAnsi="宋体"/>
          <w:color w:val="auto"/>
          <w:highlight w:val="none"/>
          <w:lang w:val="en-US" w:eastAsia="zh-CN"/>
        </w:rPr>
        <w:t>在2025年度宁波前湾新区市政道路维修养护质量监督与管理服务项目</w:t>
      </w:r>
      <w:r>
        <w:rPr>
          <w:rFonts w:hint="eastAsia" w:ascii="宋体" w:hAnsi="宋体"/>
          <w:color w:val="auto"/>
          <w:highlight w:val="none"/>
        </w:rPr>
        <w:t>工作期间</w:t>
      </w:r>
      <w:r>
        <w:rPr>
          <w:rFonts w:hint="eastAsia" w:ascii="宋体" w:hAnsi="宋体"/>
          <w:color w:val="auto"/>
          <w:szCs w:val="21"/>
          <w:highlight w:val="none"/>
        </w:rPr>
        <w:t>所需的</w:t>
      </w:r>
      <w:r>
        <w:rPr>
          <w:rFonts w:hint="eastAsia" w:ascii="宋体" w:hAnsi="宋体"/>
          <w:color w:val="auto"/>
          <w:highlight w:val="none"/>
          <w:lang w:val="en-US" w:eastAsia="zh-CN"/>
        </w:rPr>
        <w:t>服务</w:t>
      </w:r>
      <w:r>
        <w:rPr>
          <w:rFonts w:hint="eastAsia" w:ascii="宋体" w:hAnsi="宋体"/>
          <w:color w:val="auto"/>
          <w:highlight w:val="none"/>
        </w:rPr>
        <w:t>费</w:t>
      </w:r>
      <w:r>
        <w:rPr>
          <w:rFonts w:hint="eastAsia" w:ascii="宋体" w:hAnsi="宋体"/>
          <w:color w:val="auto"/>
          <w:szCs w:val="21"/>
          <w:highlight w:val="none"/>
        </w:rPr>
        <w:t>。</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w:t>
      </w:r>
    </w:p>
    <w:p>
      <w:pPr>
        <w:snapToGrid w:val="0"/>
        <w:spacing w:line="400" w:lineRule="exact"/>
        <w:ind w:firstLine="411" w:firstLineChars="196"/>
        <w:jc w:val="left"/>
        <w:rPr>
          <w:rFonts w:ascii="宋体" w:hAnsi="宋体"/>
          <w:bCs/>
          <w:color w:val="auto"/>
          <w:szCs w:val="21"/>
          <w:highlight w:val="none"/>
        </w:rPr>
      </w:pPr>
      <w:bookmarkStart w:id="17" w:name="_Hlk39154056"/>
      <w:bookmarkStart w:id="18" w:name="_Hlk23150950"/>
      <w:r>
        <w:rPr>
          <w:rFonts w:hint="eastAsia" w:ascii="宋体" w:hAnsi="宋体"/>
          <w:bCs/>
          <w:color w:val="auto"/>
          <w:szCs w:val="21"/>
          <w:highlight w:val="none"/>
        </w:rPr>
        <w:t>1、投标文件的组成：</w:t>
      </w:r>
    </w:p>
    <w:p>
      <w:pPr>
        <w:snapToGrid w:val="0"/>
        <w:spacing w:line="40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、中小企业声明函；</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、残疾人福利性单位声明函（如有需提供）；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、监狱企业（监狱和戒毒企业）提供自己企业的产品（服务）的：提供由省级以上监狱管理局、戒毒管理局（含新疆生产建设兵团）出具的属于监狱企业的证明文件（如有需提供）；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、供应商认为需要的其他资料（如有需提供）。</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B3、法定代表人授权书（投标文件由授权代表签字（或盖章）的须提供）；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4、商务条款响应表；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5、技术条款响应表；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B6、第三章“评标办法及标准”中“商务和技术评分表”要求提供的其他资料（如有需提供）；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7、供应商认为需要的其他资料（如有需提供）。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▲“资格文件”、“商务和技术文件”中不得出现涉及投标价格的内容，否则作无效标处理。</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C</w:t>
      </w:r>
      <w:r>
        <w:rPr>
          <w:rFonts w:hint="eastAsia" w:ascii="宋体" w:hAnsi="宋体"/>
          <w:color w:val="auto"/>
          <w:szCs w:val="21"/>
          <w:highlight w:val="none"/>
        </w:rPr>
        <w:t>2、供应商认为需要的其他资料（如有需提供）。</w:t>
      </w:r>
    </w:p>
    <w:bookmarkEnd w:id="17"/>
    <w:bookmarkEnd w:id="18"/>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w:t>
      </w:r>
      <w:r>
        <w:rPr>
          <w:rFonts w:hint="eastAsia" w:ascii="宋体" w:hAnsi="宋体" w:cs="仿宋"/>
          <w:bCs/>
          <w:color w:val="auto"/>
          <w:szCs w:val="21"/>
          <w:highlight w:val="none"/>
          <w:lang w:val="en-US" w:eastAsia="zh-CN"/>
        </w:rPr>
        <w:t>乐彩</w:t>
      </w:r>
      <w:r>
        <w:rPr>
          <w:rFonts w:hint="eastAsia" w:ascii="宋体" w:hAnsi="宋体" w:cs="仿宋"/>
          <w:bCs/>
          <w:color w:val="auto"/>
          <w:szCs w:val="21"/>
          <w:highlight w:val="none"/>
        </w:rPr>
        <w:t>云平台的要求编制、加密并递交投标文件。供应商在使用系统进行投标的过程中遇到涉及平台使用的任何问题，可致电</w:t>
      </w:r>
      <w:r>
        <w:rPr>
          <w:rFonts w:hint="eastAsia" w:ascii="宋体" w:hAnsi="宋体" w:cs="仿宋"/>
          <w:bCs/>
          <w:color w:val="auto"/>
          <w:szCs w:val="21"/>
          <w:highlight w:val="none"/>
          <w:lang w:val="en-US" w:eastAsia="zh-CN"/>
        </w:rPr>
        <w:t>乐采</w:t>
      </w:r>
      <w:r>
        <w:rPr>
          <w:rFonts w:hint="eastAsia" w:ascii="宋体" w:hAnsi="宋体" w:cs="仿宋"/>
          <w:bCs/>
          <w:color w:val="auto"/>
          <w:szCs w:val="21"/>
          <w:highlight w:val="none"/>
        </w:rPr>
        <w:t>云平台技术支持热线咨询，联系方式：95763。</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w:t>
      </w:r>
      <w:r>
        <w:rPr>
          <w:rFonts w:hint="eastAsia" w:ascii="宋体" w:hAnsi="宋体" w:cs="仿宋"/>
          <w:bCs/>
          <w:color w:val="auto"/>
          <w:szCs w:val="21"/>
          <w:highlight w:val="none"/>
          <w:lang w:val="en-US" w:eastAsia="zh-CN"/>
        </w:rPr>
        <w:t>乐采</w:t>
      </w:r>
      <w:r>
        <w:rPr>
          <w:rFonts w:hint="eastAsia" w:ascii="宋体" w:hAnsi="宋体" w:cs="仿宋"/>
          <w:bCs/>
          <w:color w:val="auto"/>
          <w:szCs w:val="21"/>
          <w:highlight w:val="none"/>
        </w:rPr>
        <w:t>云平台电子投标工具制作投标文件。电子投标工具请供应商自行前往浙江政府采购网下载并安装。</w:t>
      </w:r>
    </w:p>
    <w:p>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w:t>
      </w:r>
      <w:r>
        <w:rPr>
          <w:rFonts w:hint="eastAsia" w:ascii="宋体" w:hAnsi="宋体" w:cs="宋体"/>
          <w:color w:val="auto"/>
          <w:szCs w:val="21"/>
          <w:highlight w:val="none"/>
        </w:rPr>
        <w:t>第七章“附件”</w:t>
      </w:r>
      <w:r>
        <w:rPr>
          <w:rFonts w:hint="eastAsia" w:ascii="宋体" w:hAnsi="宋体"/>
          <w:color w:val="auto"/>
          <w:szCs w:val="21"/>
          <w:highlight w:val="none"/>
        </w:rPr>
        <w:t>中标明加盖公章或签字（或盖章）的，</w:t>
      </w:r>
      <w:r>
        <w:rPr>
          <w:rFonts w:hint="eastAsia" w:ascii="宋体" w:hAnsi="宋体" w:cs="宋体"/>
          <w:bCs/>
          <w:color w:val="auto"/>
          <w:szCs w:val="21"/>
          <w:highlight w:val="none"/>
        </w:rPr>
        <w:t>加盖公章部分采用CA签章，</w:t>
      </w:r>
      <w:r>
        <w:rPr>
          <w:rFonts w:hint="eastAsia" w:ascii="宋体" w:hAnsi="宋体"/>
          <w:color w:val="auto"/>
          <w:szCs w:val="21"/>
          <w:highlight w:val="none"/>
        </w:rPr>
        <w:t>签字（或盖章）部分由法定代表人或授权代表签字或盖章（或加盖对应法定代表人或授权代表的电子签名或签章）后扫描上传。授权代表签字（或盖章）的，</w:t>
      </w:r>
      <w:r>
        <w:rPr>
          <w:rFonts w:hint="eastAsia" w:ascii="宋体" w:hAnsi="宋体" w:cs="宋体"/>
          <w:color w:val="auto"/>
          <w:kern w:val="0"/>
          <w:szCs w:val="21"/>
          <w:highlight w:val="none"/>
        </w:rPr>
        <w:t>还</w:t>
      </w:r>
      <w:r>
        <w:rPr>
          <w:rFonts w:hint="eastAsia" w:ascii="宋体" w:hAnsi="宋体"/>
          <w:color w:val="auto"/>
          <w:szCs w:val="21"/>
          <w:highlight w:val="none"/>
        </w:rPr>
        <w:t>应附法定代表人签署的法定代表人授权书。</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QWQTJY25059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2025年度宁波前湾新区市政道路维修养护质量监督与管理服务项目</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w:t>
      </w:r>
      <w:r>
        <w:rPr>
          <w:rFonts w:hint="eastAsia" w:ascii="宋体" w:hAnsi="宋体" w:cs="仿宋"/>
          <w:color w:val="auto"/>
          <w:kern w:val="0"/>
          <w:szCs w:val="21"/>
          <w:highlight w:val="none"/>
          <w:lang w:val="en-US" w:eastAsia="zh-CN"/>
        </w:rPr>
        <w:t>乐采</w:t>
      </w:r>
      <w:r>
        <w:rPr>
          <w:rFonts w:hint="eastAsia" w:ascii="宋体" w:hAnsi="宋体" w:cs="仿宋"/>
          <w:color w:val="auto"/>
          <w:kern w:val="0"/>
          <w:szCs w:val="21"/>
          <w:highlight w:val="none"/>
        </w:rPr>
        <w:t>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2"/>
          <w:rFonts w:hint="eastAsia" w:ascii="宋体" w:hAnsi="宋体"/>
          <w:color w:val="auto"/>
          <w:kern w:val="0"/>
          <w:highlight w:val="none"/>
          <w:u w:val="none"/>
        </w:rPr>
        <w:t>www.zcygov.cn</w:t>
      </w:r>
      <w:r>
        <w:rPr>
          <w:rStyle w:val="52"/>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pPr>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2、电子备份投标文件：</w:t>
      </w:r>
    </w:p>
    <w:p>
      <w:pPr>
        <w:spacing w:line="400" w:lineRule="exact"/>
        <w:ind w:firstLine="420" w:firstLineChars="200"/>
        <w:jc w:val="left"/>
        <w:rPr>
          <w:rFonts w:ascii="宋体" w:hAnsi="宋体"/>
          <w:color w:val="auto"/>
          <w:szCs w:val="21"/>
          <w:highlight w:val="none"/>
        </w:rPr>
      </w:pPr>
      <w:r>
        <w:rPr>
          <w:rFonts w:hint="eastAsia" w:ascii="宋体" w:hAnsi="宋体" w:cs="仿宋"/>
          <w:bCs/>
          <w:color w:val="auto"/>
          <w:kern w:val="0"/>
          <w:szCs w:val="21"/>
          <w:highlight w:val="none"/>
        </w:rPr>
        <w:t>供应商于</w:t>
      </w:r>
      <w:r>
        <w:rPr>
          <w:rFonts w:hint="eastAsia" w:ascii="宋体" w:hAnsi="宋体" w:cs="宋体"/>
          <w:color w:val="auto"/>
          <w:kern w:val="0"/>
          <w:szCs w:val="21"/>
          <w:highlight w:val="none"/>
        </w:rPr>
        <w:t>提交投标文件截止时间前，将以U盘或光盘存储的电子备份投标文件（1份，含资格文件、商务和技术文件、报价文件）密封，采用现场递交或邮寄送达方式递交。</w:t>
      </w:r>
    </w:p>
    <w:p>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授权代表在投标截止时间前30分钟内将电子备份投标文件送至开标地点：宁波前湾新区公共资源交易中心（宁波前湾新区创业创新大厦玉海西路201号3号楼2层公共资源交易中心）。若供应商授权代表早于投标截止时间前30分钟到达现场的，需将电子备份投标文件送至：宁波前湾新区公共资源交易中心（宁波前湾新区创业创新大厦玉海西路201号3号楼2层公共资源交易中心）。电子备份投标文件递交时须同时递交供应商的法定代表人（或其授权代表）联系方式，并保证投标期间联系方式畅通。</w:t>
      </w:r>
    </w:p>
    <w:p>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二：邮寄送达，送达地址：宁波前湾新区公共资源交易中心（宁波前湾新区创业创新大厦玉海西路201号3号楼2层公共资源交易中心），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w:t>
      </w:r>
      <w:r>
        <w:rPr>
          <w:rFonts w:hint="eastAsia" w:ascii="宋体" w:hAnsi="宋体"/>
          <w:color w:val="auto"/>
          <w:szCs w:val="21"/>
          <w:highlight w:val="none"/>
          <w:lang w:val="en-US" w:eastAsia="zh-CN"/>
        </w:rPr>
        <w:t>乐</w:t>
      </w:r>
      <w:r>
        <w:rPr>
          <w:rFonts w:hint="eastAsia" w:ascii="宋体" w:hAnsi="宋体"/>
          <w:color w:val="auto"/>
          <w:szCs w:val="21"/>
          <w:highlight w:val="none"/>
        </w:rPr>
        <w:t>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val="en-US" w:eastAsia="zh-CN"/>
        </w:rPr>
        <w:t>乐</w:t>
      </w:r>
      <w:r>
        <w:rPr>
          <w:rFonts w:hint="eastAsia" w:ascii="宋体" w:hAnsi="宋体"/>
          <w:color w:val="auto"/>
          <w:szCs w:val="21"/>
          <w:highlight w:val="none"/>
        </w:rPr>
        <w:t>采云视频会议目前不支持手机端。</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lang w:val="en-US" w:eastAsia="zh-CN"/>
        </w:rPr>
        <w:t>乐采</w:t>
      </w:r>
      <w:r>
        <w:rPr>
          <w:rFonts w:hint="eastAsia" w:ascii="宋体" w:hAnsi="宋体" w:cs="宋体"/>
          <w:color w:val="auto"/>
          <w:kern w:val="0"/>
          <w:szCs w:val="21"/>
          <w:highlight w:val="none"/>
        </w:rPr>
        <w:t>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仿宋"/>
          <w:bCs/>
          <w:color w:val="auto"/>
          <w:szCs w:val="21"/>
          <w:highlight w:val="none"/>
          <w:lang w:val="en-US" w:eastAsia="zh-CN"/>
        </w:rPr>
        <w:t>乐</w:t>
      </w:r>
      <w:r>
        <w:rPr>
          <w:rFonts w:hint="eastAsia" w:ascii="宋体" w:hAnsi="宋体" w:cs="仿宋"/>
          <w:bCs/>
          <w:color w:val="auto"/>
          <w:szCs w:val="21"/>
          <w:highlight w:val="none"/>
        </w:rPr>
        <w:t>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lang w:val="en-US" w:eastAsia="zh-CN"/>
        </w:rPr>
        <w:t>乐采</w:t>
      </w:r>
      <w:r>
        <w:rPr>
          <w:rFonts w:hint="eastAsia" w:ascii="宋体" w:hAnsi="宋体" w:cs="宋体"/>
          <w:color w:val="auto"/>
          <w:kern w:val="0"/>
          <w:szCs w:val="21"/>
          <w:highlight w:val="none"/>
        </w:rPr>
        <w:t>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w:t>
      </w:r>
      <w:r>
        <w:rPr>
          <w:rFonts w:hint="eastAsia" w:ascii="宋体" w:hAnsi="宋体"/>
          <w:color w:val="auto"/>
          <w:szCs w:val="21"/>
          <w:highlight w:val="none"/>
          <w:lang w:val="en-US" w:eastAsia="zh-CN"/>
        </w:rPr>
        <w:t>乐</w:t>
      </w:r>
      <w:r>
        <w:rPr>
          <w:rFonts w:hint="eastAsia" w:ascii="宋体" w:hAnsi="宋体"/>
          <w:color w:val="auto"/>
          <w:szCs w:val="21"/>
          <w:highlight w:val="none"/>
        </w:rPr>
        <w:t>采云电子投标开标及评审程序，但有下情形之一的，按以下情况处理：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w:t>
      </w:r>
      <w:r>
        <w:rPr>
          <w:rFonts w:hint="eastAsia" w:ascii="宋体" w:hAnsi="宋体"/>
          <w:color w:val="auto"/>
          <w:szCs w:val="21"/>
          <w:highlight w:val="none"/>
          <w:lang w:val="en-US" w:eastAsia="zh-CN"/>
        </w:rPr>
        <w:t>乐</w:t>
      </w:r>
      <w:r>
        <w:rPr>
          <w:rFonts w:hint="eastAsia" w:ascii="宋体" w:hAnsi="宋体"/>
          <w:color w:val="auto"/>
          <w:szCs w:val="21"/>
          <w:highlight w:val="none"/>
        </w:rPr>
        <w:t>采云平台项目采购模块，以完成开标，电子投标文件自动失效。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w:t>
      </w:r>
      <w:r>
        <w:rPr>
          <w:rFonts w:hint="eastAsia" w:ascii="宋体" w:hAnsi="宋体"/>
          <w:b/>
          <w:color w:val="auto"/>
          <w:szCs w:val="21"/>
          <w:highlight w:val="none"/>
          <w:lang w:val="en-US" w:eastAsia="zh-CN"/>
        </w:rPr>
        <w:t>乐</w:t>
      </w:r>
      <w:r>
        <w:rPr>
          <w:rFonts w:hint="eastAsia" w:ascii="宋体" w:hAnsi="宋体"/>
          <w:b/>
          <w:color w:val="auto"/>
          <w:szCs w:val="21"/>
          <w:highlight w:val="none"/>
        </w:rPr>
        <w:t>采云平台，供应商应及时登录</w:t>
      </w:r>
      <w:r>
        <w:rPr>
          <w:rFonts w:hint="eastAsia" w:ascii="宋体" w:hAnsi="宋体"/>
          <w:b/>
          <w:color w:val="auto"/>
          <w:szCs w:val="21"/>
          <w:highlight w:val="none"/>
          <w:lang w:val="en-US" w:eastAsia="zh-CN"/>
        </w:rPr>
        <w:t>乐</w:t>
      </w:r>
      <w:r>
        <w:rPr>
          <w:rFonts w:hint="eastAsia" w:ascii="宋体" w:hAnsi="宋体"/>
          <w:b/>
          <w:color w:val="auto"/>
          <w:szCs w:val="21"/>
          <w:highlight w:val="none"/>
        </w:rPr>
        <w:t>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w:t>
      </w:r>
      <w:r>
        <w:rPr>
          <w:rFonts w:hint="eastAsia" w:ascii="宋体" w:hAnsi="宋体"/>
          <w:color w:val="auto"/>
          <w:szCs w:val="21"/>
          <w:highlight w:val="none"/>
          <w:lang w:val="en-US" w:eastAsia="zh-CN"/>
        </w:rPr>
        <w:t>乐</w:t>
      </w:r>
      <w:r>
        <w:rPr>
          <w:rFonts w:hint="eastAsia" w:ascii="宋体" w:hAnsi="宋体"/>
          <w:color w:val="auto"/>
          <w:szCs w:val="21"/>
          <w:highlight w:val="none"/>
        </w:rPr>
        <w:t>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w:t>
      </w:r>
      <w:r>
        <w:rPr>
          <w:rFonts w:hint="eastAsia" w:ascii="宋体" w:hAnsi="宋体"/>
          <w:color w:val="auto"/>
          <w:szCs w:val="21"/>
          <w:highlight w:val="none"/>
          <w:lang w:val="en-US" w:eastAsia="zh-CN"/>
        </w:rPr>
        <w:t>乐</w:t>
      </w:r>
      <w:r>
        <w:rPr>
          <w:rFonts w:hint="eastAsia" w:ascii="宋体" w:hAnsi="宋体"/>
          <w:color w:val="auto"/>
          <w:szCs w:val="21"/>
          <w:highlight w:val="none"/>
        </w:rPr>
        <w:t>采云平台在线方式提出的质疑函，以其他方式提出的质疑不予接收。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乐</w:t>
      </w:r>
      <w:r>
        <w:rPr>
          <w:rFonts w:hint="eastAsia" w:ascii="宋体" w:hAnsi="宋体"/>
          <w:color w:val="auto"/>
          <w:szCs w:val="21"/>
          <w:highlight w:val="none"/>
        </w:rPr>
        <w:t>采云平台在线方式的，以</w:t>
      </w:r>
      <w:r>
        <w:rPr>
          <w:rFonts w:hint="eastAsia" w:ascii="宋体" w:hAnsi="宋体"/>
          <w:color w:val="auto"/>
          <w:szCs w:val="21"/>
          <w:highlight w:val="none"/>
          <w:lang w:val="en-US" w:eastAsia="zh-CN"/>
        </w:rPr>
        <w:t>乐</w:t>
      </w:r>
      <w:r>
        <w:rPr>
          <w:rFonts w:hint="eastAsia" w:ascii="宋体" w:hAnsi="宋体"/>
          <w:color w:val="auto"/>
          <w:szCs w:val="21"/>
          <w:highlight w:val="none"/>
        </w:rPr>
        <w:t>采云平台操作流程为准，附件中须上传供应商盖章的《质疑函》。</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pPr>
        <w:spacing w:line="400" w:lineRule="exact"/>
        <w:ind w:firstLine="422" w:firstLineChars="200"/>
        <w:jc w:val="left"/>
        <w:rPr>
          <w:rFonts w:ascii="宋体" w:hAnsi="宋体" w:cs="宋体"/>
          <w:color w:val="auto"/>
          <w:szCs w:val="21"/>
          <w:highlight w:val="none"/>
        </w:rPr>
      </w:pPr>
      <w:bookmarkStart w:id="19" w:name="_Hlk37142004"/>
      <w:r>
        <w:rPr>
          <w:rFonts w:hint="eastAsia" w:ascii="宋体" w:hAnsi="宋体" w:cs="宋体"/>
          <w:b/>
          <w:color w:val="auto"/>
          <w:szCs w:val="21"/>
          <w:highlight w:val="none"/>
        </w:rPr>
        <w:t>▲十六、预算价和最高限价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1、本次公开招标设有预算价</w:t>
      </w:r>
      <w:r>
        <w:rPr>
          <w:rFonts w:hint="eastAsia" w:ascii="宋体" w:hAnsi="宋体"/>
          <w:color w:val="auto"/>
          <w:szCs w:val="21"/>
          <w:highlight w:val="none"/>
          <w:lang w:val="en-US" w:eastAsia="zh-CN"/>
        </w:rPr>
        <w:t>382650</w:t>
      </w:r>
      <w:r>
        <w:rPr>
          <w:rFonts w:hint="eastAsia" w:ascii="宋体" w:hAnsi="宋体"/>
          <w:color w:val="auto"/>
          <w:szCs w:val="21"/>
          <w:highlight w:val="none"/>
        </w:rPr>
        <w:t>元，投标报价超出预算价的，投标无效。</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2、本次公开招标设有最高限价，最高限价</w:t>
      </w:r>
      <w:r>
        <w:rPr>
          <w:rFonts w:hint="eastAsia" w:ascii="宋体" w:hAnsi="宋体" w:cs="宋体"/>
          <w:color w:val="auto"/>
          <w:kern w:val="0"/>
          <w:szCs w:val="21"/>
          <w:highlight w:val="none"/>
        </w:rPr>
        <w:t>为</w:t>
      </w:r>
      <w:r>
        <w:rPr>
          <w:rFonts w:hint="eastAsia" w:ascii="宋体" w:hAnsi="宋体"/>
          <w:color w:val="auto"/>
          <w:szCs w:val="21"/>
          <w:highlight w:val="none"/>
          <w:lang w:val="en-US" w:eastAsia="zh-CN"/>
        </w:rPr>
        <w:t>382650</w:t>
      </w:r>
      <w:r>
        <w:rPr>
          <w:rFonts w:hint="eastAsia" w:ascii="宋体" w:hAnsi="宋体"/>
          <w:color w:val="auto"/>
          <w:szCs w:val="21"/>
          <w:highlight w:val="none"/>
        </w:rPr>
        <w:t>元，</w:t>
      </w:r>
      <w:r>
        <w:rPr>
          <w:rFonts w:hint="eastAsia" w:ascii="宋体" w:hAnsi="宋体"/>
          <w:color w:val="auto"/>
          <w:szCs w:val="21"/>
          <w:highlight w:val="none"/>
          <w:lang w:val="en-US" w:eastAsia="zh-CN"/>
        </w:rPr>
        <w:t>报价</w:t>
      </w:r>
      <w:r>
        <w:rPr>
          <w:rFonts w:hint="eastAsia" w:ascii="宋体" w:hAnsi="宋体"/>
          <w:color w:val="auto"/>
          <w:szCs w:val="21"/>
          <w:highlight w:val="none"/>
        </w:rPr>
        <w:t>超过最高限价的，投标无效。</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1、本向中标供应商收取招标代理服务费。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w:t>
      </w:r>
      <w:r>
        <w:rPr>
          <w:rFonts w:hint="eastAsia" w:ascii="宋体" w:hAnsi="宋体"/>
          <w:color w:val="auto"/>
          <w:szCs w:val="21"/>
          <w:highlight w:val="none"/>
          <w:lang w:val="en-US" w:eastAsia="zh-CN"/>
        </w:rPr>
        <w:t>领取</w:t>
      </w:r>
      <w:r>
        <w:rPr>
          <w:rFonts w:hint="eastAsia" w:ascii="宋体" w:hAnsi="宋体"/>
          <w:color w:val="auto"/>
          <w:szCs w:val="21"/>
          <w:highlight w:val="none"/>
        </w:rPr>
        <w:t>中标通知书</w:t>
      </w:r>
      <w:r>
        <w:rPr>
          <w:rFonts w:hint="eastAsia" w:ascii="宋体" w:hAnsi="宋体"/>
          <w:color w:val="auto"/>
          <w:szCs w:val="21"/>
          <w:highlight w:val="none"/>
          <w:lang w:val="en-US" w:eastAsia="zh-CN"/>
        </w:rPr>
        <w:t>前</w:t>
      </w:r>
      <w:r>
        <w:rPr>
          <w:rFonts w:hint="eastAsia" w:ascii="宋体" w:hAnsi="宋体"/>
          <w:color w:val="auto"/>
          <w:szCs w:val="21"/>
          <w:highlight w:val="none"/>
        </w:rPr>
        <w:t>向本代理机构支付招标代理服务费。</w:t>
      </w:r>
    </w:p>
    <w:bookmarkEnd w:id="19"/>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pPr>
        <w:spacing w:line="400" w:lineRule="exact"/>
        <w:ind w:firstLine="420" w:firstLineChars="200"/>
        <w:jc w:val="left"/>
        <w:rPr>
          <w:rFonts w:ascii="宋体" w:hAnsi="宋体"/>
          <w:color w:val="auto"/>
          <w:szCs w:val="21"/>
          <w:highlight w:val="none"/>
        </w:rPr>
      </w:pPr>
      <w:bookmarkStart w:id="20" w:name="_Toc441316546"/>
      <w:bookmarkStart w:id="21" w:name="_Toc21541007"/>
      <w:bookmarkStart w:id="22" w:name="_Toc436408700"/>
      <w:bookmarkStart w:id="23" w:name="_Toc41972915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0"/>
      <w:bookmarkEnd w:id="21"/>
      <w:bookmarkEnd w:id="22"/>
      <w:bookmarkEnd w:id="23"/>
    </w:p>
    <w:p>
      <w:pPr>
        <w:spacing w:line="400" w:lineRule="exact"/>
        <w:ind w:firstLine="420" w:firstLineChars="200"/>
        <w:jc w:val="left"/>
        <w:rPr>
          <w:rFonts w:ascii="宋体" w:hAnsi="宋体"/>
          <w:color w:val="auto"/>
          <w:szCs w:val="21"/>
          <w:highlight w:val="none"/>
        </w:rPr>
      </w:pPr>
      <w:bookmarkStart w:id="24" w:name="_Toc436408701"/>
      <w:bookmarkStart w:id="25" w:name="_Toc419729151"/>
      <w:bookmarkStart w:id="26" w:name="_Toc441316547"/>
      <w:bookmarkStart w:id="27"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4"/>
      <w:bookmarkEnd w:id="25"/>
      <w:bookmarkEnd w:id="26"/>
      <w:bookmarkEnd w:id="27"/>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olor w:val="auto"/>
          <w:szCs w:val="21"/>
          <w:highlight w:val="none"/>
        </w:rPr>
      </w:pPr>
      <w:bookmarkStart w:id="28" w:name="_Toc441316548"/>
      <w:bookmarkStart w:id="29" w:name="_Toc419729152"/>
      <w:bookmarkStart w:id="30" w:name="_Toc436408702"/>
      <w:bookmarkStart w:id="31"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28"/>
      <w:bookmarkEnd w:id="29"/>
      <w:bookmarkEnd w:id="30"/>
      <w:bookmarkEnd w:id="31"/>
    </w:p>
    <w:p>
      <w:pPr>
        <w:spacing w:line="400" w:lineRule="exact"/>
        <w:ind w:firstLine="420" w:firstLineChars="200"/>
        <w:jc w:val="left"/>
        <w:rPr>
          <w:rFonts w:ascii="宋体" w:hAnsi="宋体"/>
          <w:color w:val="auto"/>
          <w:szCs w:val="21"/>
          <w:highlight w:val="none"/>
        </w:rPr>
      </w:pPr>
      <w:bookmarkStart w:id="32" w:name="_Toc441316549"/>
      <w:bookmarkStart w:id="33" w:name="_Toc436408703"/>
      <w:bookmarkStart w:id="34" w:name="_Toc419729153"/>
      <w:bookmarkStart w:id="35" w:name="_Toc21541010"/>
      <w:r>
        <w:rPr>
          <w:rFonts w:hint="eastAsia" w:ascii="宋体" w:hAnsi="宋体"/>
          <w:color w:val="auto"/>
          <w:szCs w:val="21"/>
          <w:highlight w:val="none"/>
        </w:rPr>
        <w:t>②在工程采购项目中，工程由中小企业承建，即工程施工单位为中小企业</w:t>
      </w:r>
      <w:bookmarkEnd w:id="32"/>
      <w:bookmarkEnd w:id="33"/>
      <w:bookmarkEnd w:id="34"/>
      <w:bookmarkEnd w:id="35"/>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olor w:val="auto"/>
          <w:szCs w:val="21"/>
          <w:highlight w:val="none"/>
        </w:rPr>
      </w:pPr>
      <w:bookmarkStart w:id="36" w:name="_Toc21541015"/>
      <w:bookmarkStart w:id="37" w:name="_Toc4952442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p>
    <w:p>
      <w:pPr>
        <w:spacing w:line="400" w:lineRule="exact"/>
        <w:ind w:firstLine="420" w:firstLineChars="200"/>
        <w:jc w:val="left"/>
        <w:rPr>
          <w:rFonts w:ascii="宋体" w:hAnsi="宋体"/>
          <w:color w:val="auto"/>
          <w:szCs w:val="21"/>
          <w:highlight w:val="none"/>
        </w:rPr>
      </w:pPr>
      <w:bookmarkStart w:id="38"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8"/>
    </w:p>
    <w:p>
      <w:pPr>
        <w:spacing w:line="400" w:lineRule="exact"/>
        <w:ind w:firstLine="420" w:firstLineChars="200"/>
        <w:jc w:val="left"/>
        <w:rPr>
          <w:rFonts w:ascii="宋体" w:hAnsi="宋体"/>
          <w:color w:val="auto"/>
          <w:szCs w:val="21"/>
          <w:highlight w:val="none"/>
        </w:rPr>
      </w:pPr>
      <w:bookmarkStart w:id="39" w:name="_Toc21541017"/>
      <w:bookmarkStart w:id="4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39"/>
    </w:p>
    <w:p>
      <w:pPr>
        <w:spacing w:line="400" w:lineRule="exact"/>
        <w:ind w:firstLine="420" w:firstLineChars="200"/>
        <w:jc w:val="left"/>
        <w:rPr>
          <w:rFonts w:ascii="宋体" w:hAnsi="宋体"/>
          <w:color w:val="auto"/>
          <w:szCs w:val="21"/>
          <w:highlight w:val="none"/>
        </w:rPr>
      </w:pPr>
      <w:bookmarkStart w:id="41" w:name="_Toc21541018"/>
      <w:r>
        <w:rPr>
          <w:rFonts w:hint="eastAsia" w:ascii="宋体" w:hAnsi="宋体"/>
          <w:color w:val="auto"/>
          <w:szCs w:val="21"/>
          <w:highlight w:val="none"/>
        </w:rPr>
        <w:t>5、本文件未及事项，在签订合同时供需及使用方友好商定。</w:t>
      </w:r>
      <w:bookmarkEnd w:id="40"/>
      <w:bookmarkEnd w:id="41"/>
    </w:p>
    <w:p>
      <w:pPr>
        <w:spacing w:line="400" w:lineRule="exact"/>
        <w:ind w:firstLine="420" w:firstLineChars="200"/>
        <w:jc w:val="left"/>
        <w:rPr>
          <w:rFonts w:ascii="宋体" w:hAnsi="宋体"/>
          <w:color w:val="auto"/>
          <w:szCs w:val="21"/>
          <w:highlight w:val="none"/>
        </w:rPr>
      </w:pPr>
      <w:bookmarkStart w:id="42" w:name="_Toc419729159"/>
      <w:r>
        <w:rPr>
          <w:rFonts w:hint="eastAsia" w:ascii="宋体" w:hAnsi="宋体"/>
          <w:color w:val="auto"/>
          <w:szCs w:val="21"/>
          <w:highlight w:val="none"/>
        </w:rPr>
        <w:t>6、本招标文件解释权归采购人。</w:t>
      </w:r>
      <w:bookmarkEnd w:id="42"/>
    </w:p>
    <w:p>
      <w:pPr>
        <w:spacing w:line="400" w:lineRule="exact"/>
        <w:ind w:firstLine="422" w:firstLineChars="200"/>
        <w:jc w:val="left"/>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sectPr>
          <w:footerReference r:id="rId8" w:type="default"/>
          <w:pgSz w:w="11907" w:h="16840"/>
          <w:pgMar w:top="1247" w:right="1474" w:bottom="1247" w:left="1474" w:header="285" w:footer="441" w:gutter="0"/>
          <w:pgNumType w:start="1"/>
          <w:cols w:space="720" w:num="1"/>
          <w:docGrid w:linePitch="285" w:charSpace="0"/>
        </w:sectPr>
      </w:pPr>
    </w:p>
    <w:p>
      <w:pPr>
        <w:spacing w:line="400" w:lineRule="exact"/>
        <w:jc w:val="center"/>
        <w:outlineLvl w:val="0"/>
        <w:rPr>
          <w:rFonts w:ascii="宋体" w:hAnsi="宋体"/>
          <w:b/>
          <w:color w:val="auto"/>
          <w:sz w:val="32"/>
          <w:highlight w:val="none"/>
        </w:rPr>
      </w:pPr>
      <w:bookmarkStart w:id="43" w:name="_Toc21541019"/>
      <w:bookmarkStart w:id="44" w:name="_Toc65915708"/>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3"/>
      <w:bookmarkEnd w:id="44"/>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本项目评标采用综合评分法。采用百分制，总分</w:t>
      </w:r>
      <w:r>
        <w:rPr>
          <w:rFonts w:ascii="宋体" w:hAnsi="宋体"/>
          <w:color w:val="auto"/>
          <w:szCs w:val="21"/>
          <w:highlight w:val="none"/>
        </w:rPr>
        <w:t>100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100分。供应商的综合得分为商务和技术得分与报价得分之和。按综合得分由高到低的顺序排序，推荐一名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b/>
          <w:color w:val="auto"/>
          <w:szCs w:val="21"/>
          <w:highlight w:val="none"/>
        </w:rPr>
        <w:t>本次采购为</w:t>
      </w:r>
      <w:r>
        <w:rPr>
          <w:rFonts w:hint="eastAsia" w:ascii="宋体" w:hAnsi="宋体" w:cs="仿宋"/>
          <w:b/>
          <w:color w:val="auto"/>
          <w:szCs w:val="21"/>
          <w:highlight w:val="none"/>
          <w:u w:val="single" w:color="auto"/>
        </w:rPr>
        <w:t>专门面向中小企业</w:t>
      </w:r>
      <w:r>
        <w:rPr>
          <w:rFonts w:hint="eastAsia" w:ascii="宋体" w:hAnsi="宋体" w:cs="仿宋"/>
          <w:b/>
          <w:color w:val="auto"/>
          <w:szCs w:val="21"/>
          <w:highlight w:val="none"/>
        </w:rPr>
        <w:t>，采购标的对应的中小企业划分标准所属行业：</w:t>
      </w:r>
      <w:r>
        <w:rPr>
          <w:rFonts w:hint="eastAsia" w:ascii="宋体" w:hAnsi="宋体" w:cs="宋体"/>
          <w:b/>
          <w:color w:val="auto"/>
          <w:highlight w:val="none"/>
          <w:u w:val="single"/>
          <w:lang w:val="en-US" w:eastAsia="zh-CN"/>
        </w:rPr>
        <w:t>其他未列明行业</w:t>
      </w:r>
      <w:r>
        <w:rPr>
          <w:rFonts w:hint="eastAsia" w:ascii="宋体" w:hAnsi="宋体" w:cs="仿宋"/>
          <w:color w:val="auto"/>
          <w:szCs w:val="21"/>
          <w:highlight w:val="none"/>
        </w:rPr>
        <w:t>。</w:t>
      </w:r>
    </w:p>
    <w:p>
      <w:pPr>
        <w:spacing w:line="400" w:lineRule="exact"/>
        <w:ind w:left="-2"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本项目为服务类项目，本条不适用。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6推荐中标候选人：评标委员会根据供应商综合得分由高到低进行排序，向采购人推荐一名中标候选人。若供应商的综合得分相等，则投标报价低者列前。若投标报价也相同时，采取随机抽签的方式确定排序。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中标供应商拒绝与采购人签订合同的，采购人可以按照评审报告推荐的中标候选人名单排序，确定下一候选人为中标供应商，也可以重新采购。</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lang w:val="en-US" w:eastAsia="zh-CN"/>
        </w:rPr>
        <w:t>乐</w:t>
      </w:r>
      <w:r>
        <w:rPr>
          <w:rFonts w:hint="eastAsia" w:ascii="宋体" w:hAnsi="宋体" w:cs="宋体"/>
          <w:color w:val="auto"/>
          <w:highlight w:val="none"/>
        </w:rPr>
        <w:t>采云具体操作如下：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olor w:val="auto"/>
          <w:szCs w:val="21"/>
          <w:highlight w:val="none"/>
          <w:lang w:val="en-US" w:eastAsia="zh-CN"/>
        </w:rPr>
        <w:t>乐</w:t>
      </w:r>
      <w:r>
        <w:rPr>
          <w:rFonts w:hint="eastAsia" w:ascii="宋体" w:hAnsi="宋体"/>
          <w:color w:val="auto"/>
          <w:szCs w:val="21"/>
          <w:highlight w:val="none"/>
        </w:rPr>
        <w:t>采云</w:t>
      </w:r>
      <w:r>
        <w:rPr>
          <w:rFonts w:hint="eastAsia" w:ascii="宋体" w:hAnsi="宋体" w:cs="宋体"/>
          <w:color w:val="auto"/>
          <w:highlight w:val="none"/>
        </w:rPr>
        <w:t>平台通过待办事项和短信提醒供应商在截止时间前完成澄清。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54"/>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716"/>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5"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716"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735"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5"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3716" w:type="dxa"/>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735" w:type="dxa"/>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w:t>
            </w:r>
          </w:p>
          <w:p>
            <w:pPr>
              <w:spacing w:line="400" w:lineRule="exact"/>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5"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3716" w:type="dxa"/>
            <w:vAlign w:val="center"/>
          </w:tcPr>
          <w:p>
            <w:pPr>
              <w:spacing w:line="400" w:lineRule="exact"/>
              <w:jc w:val="left"/>
              <w:rPr>
                <w:rFonts w:ascii="宋体" w:hAnsi="宋体" w:cs="仿宋"/>
                <w:color w:val="auto"/>
                <w:szCs w:val="21"/>
                <w:highlight w:val="none"/>
              </w:rPr>
            </w:pPr>
            <w:r>
              <w:rPr>
                <w:rFonts w:hint="eastAsia" w:ascii="宋体" w:hAnsi="宋体" w:cs="仿宋"/>
                <w:color w:val="auto"/>
                <w:szCs w:val="21"/>
                <w:highlight w:val="none"/>
              </w:rPr>
              <w:t>落实政府采购政策需满足的资格要求：本项目专门面向中小企业。</w:t>
            </w:r>
          </w:p>
        </w:tc>
        <w:tc>
          <w:tcPr>
            <w:tcW w:w="4735"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A4、中小企业声明函；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A5、残疾人福利性单位声明函（如有需提供）；</w:t>
            </w:r>
          </w:p>
          <w:p>
            <w:pPr>
              <w:spacing w:line="400" w:lineRule="exact"/>
              <w:jc w:val="left"/>
              <w:rPr>
                <w:rFonts w:ascii="宋体" w:hAnsi="宋体"/>
                <w:color w:val="auto"/>
                <w:szCs w:val="21"/>
                <w:highlight w:val="none"/>
              </w:rPr>
            </w:pPr>
            <w:r>
              <w:rPr>
                <w:rFonts w:hint="eastAsia" w:ascii="宋体" w:hAnsi="宋体" w:cs="宋体"/>
                <w:color w:val="auto"/>
                <w:szCs w:val="21"/>
                <w:highlight w:val="none"/>
              </w:rPr>
              <w:t>A6、监狱企业（监狱和戒毒企业）提供自己企业的产品（服务）的：提供由省级以上监狱管理局、戒毒管理局（含新疆生产建设兵团）出具的属于监狱企业的证明文件（如有需提供）。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571" w:type="dxa"/>
            <w:gridSpan w:val="2"/>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735" w:type="dxa"/>
            <w:vAlign w:val="center"/>
          </w:tcPr>
          <w:p>
            <w:pPr>
              <w:spacing w:line="400" w:lineRule="exact"/>
              <w:jc w:val="center"/>
              <w:rPr>
                <w:rFonts w:ascii="宋体" w:hAnsi="宋体"/>
                <w:color w:val="auto"/>
                <w:szCs w:val="21"/>
                <w:highlight w:val="none"/>
              </w:rPr>
            </w:pPr>
          </w:p>
        </w:tc>
      </w:tr>
    </w:tbl>
    <w:p>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pPr>
        <w:spacing w:line="340" w:lineRule="exact"/>
        <w:ind w:firstLine="514" w:firstLineChars="245"/>
        <w:jc w:val="center"/>
        <w:rPr>
          <w:rFonts w:ascii="宋体" w:hAnsi="宋体"/>
          <w:color w:val="auto"/>
          <w:szCs w:val="21"/>
          <w:highlight w:val="none"/>
        </w:rPr>
      </w:pPr>
      <w:r>
        <w:rPr>
          <w:rFonts w:ascii="宋体" w:hAnsi="宋体"/>
          <w:color w:val="auto"/>
          <w:szCs w:val="21"/>
          <w:highlight w:val="none"/>
        </w:rPr>
        <w:br w:type="page"/>
      </w:r>
    </w:p>
    <w:p>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5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20" w:type="dxa"/>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782"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913"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782"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782" w:type="dxa"/>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法定代表人身份证明、法定代表人授权书。</w:t>
            </w:r>
          </w:p>
        </w:tc>
        <w:tc>
          <w:tcPr>
            <w:tcW w:w="3913"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（1）投标文件由法定代表人</w:t>
            </w:r>
            <w:r>
              <w:rPr>
                <w:rFonts w:hint="eastAsia" w:ascii="宋体" w:hAnsi="宋体"/>
                <w:color w:val="auto"/>
                <w:szCs w:val="21"/>
                <w:highlight w:val="none"/>
              </w:rPr>
              <w:t>签字（或盖章）</w:t>
            </w:r>
            <w:r>
              <w:rPr>
                <w:rFonts w:hint="eastAsia" w:ascii="宋体" w:hAnsi="宋体" w:cs="宋体"/>
                <w:color w:val="auto"/>
                <w:szCs w:val="21"/>
                <w:highlight w:val="none"/>
              </w:rPr>
              <w:t>的，提供“法定代表人身份证明”。</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（2）投标文件由授权代表</w:t>
            </w:r>
            <w:r>
              <w:rPr>
                <w:rFonts w:hint="eastAsia" w:ascii="宋体" w:hAnsi="宋体"/>
                <w:color w:val="auto"/>
                <w:szCs w:val="21"/>
                <w:highlight w:val="none"/>
              </w:rPr>
              <w:t>签字（或盖章）</w:t>
            </w:r>
            <w:r>
              <w:rPr>
                <w:rFonts w:hint="eastAsia" w:ascii="宋体" w:hAnsi="宋体" w:cs="宋体"/>
                <w:color w:val="auto"/>
                <w:szCs w:val="21"/>
                <w:highlight w:val="none"/>
              </w:rPr>
              <w:t>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782"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782"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资格文件、商务和技术文件中不得出现涉及投标价格的内容。</w:t>
            </w:r>
          </w:p>
        </w:tc>
        <w:tc>
          <w:tcPr>
            <w:tcW w:w="3913"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资格文件、商务和技术文件中是否出现涉及投标价格的内容。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782"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782"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78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有下列情形之一的，属于恶意串通，其投标无效：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①供应商直接或者间接从采购人或者采购机构处获得其他供应商的相关情况并修改其投标文件；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②供应商按照采购人或者采购机构的授意撤换、修改投标文件；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③供应商之间协商报价、技术方案等投标文件的实质性内容；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④属于同一集团、协会、商会等组织成员的供应商按照该组织要求协同参加政府采购活动；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⑤供应商之间事先约定由某一特定供应商中标、成交；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⑥供应商之间商定部分供应商放弃参加政府采购活动或者放弃中标、成交；</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⑦供应商与采购人或者采购机构之间、供应商相互之间，为谋求特定供应商中标、成交或者排斥其他供应商的其他串通行为。</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78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有下列情形之一的，视为供应商串通投标，其投标无效：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①不同供应商的投标文件由同一单位或者个人编制；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②不同供应商委托同一单位或者个人办理投标事宜；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③不同供应商的投标文件载明的项目管理成员或者联系人员为同一人；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④不同供应商的投标文件异常一致或者投标报价呈规律性差异；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⑤不同供应商的投标文件相互混装；</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78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存在下列情形之一且无法合理解释的，其投标文件无效：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①不同供应商的电子投标文件上传计算机的网卡MAC地址或硬盘序列号等硬件信息相同的；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②上传的电子投标文件若出现使用本项目其他投标供应商的数字证书加密的，或者加盖本项目其他投标供应商的电子印章的；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③不同供应商的投标文件的内容存在3处（含）以上错误一致的；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④不同供应商联系人为同一人或不同联系人的联系电话一致的。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⑤不同供应商在相同Internet主机分配地址（相同IP地址）获取招标文件或网上投标的。</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782"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3913" w:type="dxa"/>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478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本项目不接受联合体投标。</w:t>
            </w:r>
          </w:p>
        </w:tc>
        <w:tc>
          <w:tcPr>
            <w:tcW w:w="3913"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2"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3913" w:type="dxa"/>
            <w:vAlign w:val="center"/>
          </w:tcPr>
          <w:p>
            <w:pPr>
              <w:spacing w:line="400" w:lineRule="exact"/>
              <w:rPr>
                <w:rFonts w:ascii="宋体" w:hAnsi="宋体"/>
                <w:color w:val="auto"/>
                <w:szCs w:val="21"/>
                <w:highlight w:val="none"/>
              </w:rPr>
            </w:pPr>
          </w:p>
        </w:tc>
      </w:tr>
    </w:tbl>
    <w:p>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pPr>
        <w:spacing w:line="400" w:lineRule="exact"/>
        <w:rPr>
          <w:rFonts w:ascii="宋体" w:hAnsi="宋体"/>
          <w:color w:val="auto"/>
          <w:szCs w:val="21"/>
          <w:highlight w:val="none"/>
        </w:rPr>
      </w:pPr>
      <w:r>
        <w:rPr>
          <w:rFonts w:hint="eastAsia" w:ascii="宋体" w:hAnsi="宋体"/>
          <w:b/>
          <w:color w:val="auto"/>
          <w:highlight w:val="none"/>
        </w:rPr>
        <w:t xml:space="preserve">    2、序号3-序号11在</w:t>
      </w:r>
      <w:r>
        <w:rPr>
          <w:rFonts w:hint="eastAsia" w:ascii="宋体" w:hAnsi="宋体"/>
          <w:b/>
          <w:color w:val="auto"/>
          <w:highlight w:val="none"/>
          <w:lang w:val="en-US" w:eastAsia="zh-CN"/>
        </w:rPr>
        <w:t>乐</w:t>
      </w:r>
      <w:r>
        <w:rPr>
          <w:rFonts w:hint="eastAsia" w:ascii="宋体" w:hAnsi="宋体"/>
          <w:b/>
          <w:color w:val="auto"/>
          <w:highlight w:val="none"/>
        </w:rPr>
        <w:t>采云上无须添加关联点。</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pPr>
        <w:widowControl w:val="0"/>
        <w:wordWrap/>
        <w:adjustRightInd/>
        <w:snapToGrid/>
        <w:spacing w:line="360" w:lineRule="exact"/>
        <w:jc w:val="center"/>
        <w:textAlignment w:val="auto"/>
        <w:outlineLvl w:val="1"/>
        <w:rPr>
          <w:rFonts w:hint="eastAsia" w:ascii="宋体" w:hAnsi="宋体"/>
          <w:b/>
          <w:color w:val="auto"/>
          <w:szCs w:val="21"/>
          <w:highlight w:val="none"/>
        </w:rPr>
      </w:pPr>
      <w:r>
        <w:rPr>
          <w:rFonts w:hint="eastAsia" w:ascii="宋体" w:hAnsi="宋体"/>
          <w:b/>
          <w:color w:val="auto"/>
          <w:szCs w:val="21"/>
          <w:highlight w:val="none"/>
        </w:rPr>
        <w:t>评分标准（兼评委打分表）</w:t>
      </w:r>
    </w:p>
    <w:p>
      <w:pPr>
        <w:widowControl w:val="0"/>
        <w:wordWrap/>
        <w:adjustRightInd/>
        <w:snapToGrid/>
        <w:spacing w:line="360" w:lineRule="exact"/>
        <w:textAlignment w:val="auto"/>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val="en-US" w:eastAsia="zh-CN"/>
        </w:rPr>
        <w:t>QWQTJY25059</w:t>
      </w:r>
    </w:p>
    <w:tbl>
      <w:tblPr>
        <w:tblStyle w:val="5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397"/>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 w:hRule="atLeast"/>
          <w:tblHeader/>
          <w:jc w:val="center"/>
        </w:trPr>
        <w:tc>
          <w:tcPr>
            <w:tcW w:w="9090" w:type="dxa"/>
            <w:gridSpan w:val="2"/>
            <w:tcBorders>
              <w:top w:val="single" w:color="auto" w:sz="4" w:space="0"/>
              <w:left w:val="single" w:color="auto" w:sz="4" w:space="0"/>
              <w:bottom w:val="single" w:color="auto" w:sz="4" w:space="0"/>
              <w:right w:val="single" w:color="auto" w:sz="4" w:space="0"/>
              <w:tl2br w:val="single" w:color="000000" w:sz="4" w:space="0"/>
            </w:tcBorders>
            <w:vAlign w:val="top"/>
          </w:tcPr>
          <w:p>
            <w:pPr>
              <w:spacing w:line="400" w:lineRule="exact"/>
              <w:ind w:firstLine="7350" w:firstLineChars="35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w:t>
            </w:r>
          </w:p>
          <w:p>
            <w:pPr>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技术商务分</w:t>
            </w:r>
            <w:r>
              <w:rPr>
                <w:rFonts w:hint="eastAsia" w:ascii="宋体" w:hAnsi="宋体" w:cs="宋体"/>
                <w:b/>
                <w:color w:val="auto"/>
                <w:szCs w:val="21"/>
                <w:highlight w:val="none"/>
                <w:lang w:val="en-US" w:eastAsia="zh-CN"/>
              </w:rPr>
              <w:t>60</w:t>
            </w:r>
            <w:r>
              <w:rPr>
                <w:rFonts w:hint="eastAsia" w:ascii="宋体" w:hAnsi="宋体" w:cs="宋体"/>
                <w:b/>
                <w:color w:val="auto"/>
                <w:szCs w:val="21"/>
                <w:highlight w:val="none"/>
              </w:rPr>
              <w:t>分</w:t>
            </w:r>
          </w:p>
        </w:tc>
        <w:tc>
          <w:tcPr>
            <w:tcW w:w="8397"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根据供应商针对本项目提供的</w:t>
            </w:r>
            <w:r>
              <w:rPr>
                <w:rFonts w:hint="eastAsia" w:ascii="宋体" w:hAnsi="宋体" w:cs="宋体"/>
                <w:b/>
                <w:bCs/>
                <w:color w:val="auto"/>
                <w:szCs w:val="21"/>
                <w:highlight w:val="none"/>
                <w:lang w:val="en-US" w:eastAsia="zh-CN"/>
              </w:rPr>
              <w:t>质量监督与管理服务</w:t>
            </w:r>
            <w:r>
              <w:rPr>
                <w:rFonts w:hint="eastAsia" w:ascii="宋体" w:hAnsi="宋体" w:cs="宋体"/>
                <w:b/>
                <w:bCs/>
                <w:color w:val="auto"/>
                <w:szCs w:val="21"/>
                <w:highlight w:val="none"/>
              </w:rPr>
              <w:t>方</w:t>
            </w:r>
            <w:r>
              <w:rPr>
                <w:rFonts w:hint="eastAsia" w:ascii="宋体" w:hAnsi="宋体" w:eastAsia="宋体" w:cs="宋体"/>
                <w:b/>
                <w:bCs/>
                <w:color w:val="auto"/>
                <w:szCs w:val="21"/>
                <w:highlight w:val="none"/>
              </w:rPr>
              <w:t>案进行综合评议：（</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质量监督与管理服务</w:t>
            </w:r>
            <w:r>
              <w:rPr>
                <w:rFonts w:hint="eastAsia" w:ascii="宋体" w:hAnsi="宋体" w:cs="宋体"/>
                <w:color w:val="auto"/>
                <w:szCs w:val="21"/>
                <w:highlight w:val="none"/>
              </w:rPr>
              <w:t>方案路线清晰、准确、完整，方案编制合理、可行，方法科学、合理的得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质量监督与管理服务</w:t>
            </w:r>
            <w:r>
              <w:rPr>
                <w:rFonts w:hint="eastAsia" w:ascii="宋体" w:hAnsi="宋体" w:cs="宋体"/>
                <w:color w:val="auto"/>
                <w:szCs w:val="21"/>
                <w:highlight w:val="none"/>
              </w:rPr>
              <w:t>方案路线准确，方案妥当，方法正确的得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质量监督与管理服务</w:t>
            </w:r>
            <w:r>
              <w:rPr>
                <w:rFonts w:hint="eastAsia" w:ascii="宋体" w:hAnsi="宋体" w:cs="宋体"/>
                <w:color w:val="auto"/>
                <w:szCs w:val="21"/>
                <w:highlight w:val="none"/>
              </w:rPr>
              <w:t>方案存在明显缺陷或无法满足采购人需求的得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未提供的不得分。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snapToGrid w:val="0"/>
                <w:color w:val="auto"/>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left w:val="single" w:color="auto" w:sz="4" w:space="0"/>
              <w:right w:val="single" w:color="auto" w:sz="4" w:space="0"/>
            </w:tcBorders>
            <w:vAlign w:val="center"/>
          </w:tcPr>
          <w:p>
            <w:pPr>
              <w:adjustRightInd/>
              <w:spacing w:line="400" w:lineRule="exact"/>
              <w:rPr>
                <w:rFonts w:ascii="宋体" w:hAnsi="宋体" w:cs="宋体"/>
                <w:color w:val="auto"/>
                <w:kern w:val="0"/>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根据供应商结合项目需求及自身经验对项目</w:t>
            </w:r>
            <w:r>
              <w:rPr>
                <w:rFonts w:hint="eastAsia" w:ascii="宋体" w:hAnsi="宋体" w:cs="宋体"/>
                <w:b/>
                <w:bCs/>
                <w:color w:val="auto"/>
                <w:szCs w:val="21"/>
                <w:highlight w:val="none"/>
                <w:lang w:val="en-US" w:eastAsia="zh-CN"/>
              </w:rPr>
              <w:t>质量监督与管理</w:t>
            </w:r>
            <w:r>
              <w:rPr>
                <w:rFonts w:hint="eastAsia" w:ascii="宋体" w:hAnsi="宋体" w:cs="宋体"/>
                <w:b/>
                <w:bCs/>
                <w:color w:val="auto"/>
                <w:szCs w:val="21"/>
                <w:highlight w:val="none"/>
              </w:rPr>
              <w:t>包括</w:t>
            </w:r>
            <w:r>
              <w:rPr>
                <w:rFonts w:hint="eastAsia" w:ascii="宋体" w:hAnsi="宋体" w:cs="宋体"/>
                <w:b/>
                <w:bCs/>
                <w:color w:val="auto"/>
                <w:szCs w:val="21"/>
                <w:highlight w:val="none"/>
                <w:lang w:val="en-US" w:eastAsia="zh-CN"/>
              </w:rPr>
              <w:t>市政道路</w:t>
            </w:r>
            <w:r>
              <w:rPr>
                <w:rFonts w:hint="eastAsia" w:ascii="宋体" w:hAnsi="宋体" w:cs="宋体"/>
                <w:b/>
                <w:bCs/>
                <w:color w:val="auto"/>
                <w:szCs w:val="21"/>
                <w:highlight w:val="none"/>
              </w:rPr>
              <w:t>维修养护的重难点、关键性技术难题和应对措施的分析阐述</w:t>
            </w:r>
            <w:r>
              <w:rPr>
                <w:rFonts w:hint="eastAsia" w:ascii="宋体" w:hAnsi="宋体" w:eastAsia="宋体" w:cs="宋体"/>
                <w:b/>
                <w:bCs/>
                <w:color w:val="auto"/>
                <w:szCs w:val="21"/>
                <w:highlight w:val="none"/>
              </w:rPr>
              <w:t>进行综合评议：</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重难点分析精准，解决方案周密、科学、合理，完全符合采购人需求的得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重难点分析基本合理，解决方案能够符合采购人需求的得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autoSpaceDE w:val="0"/>
              <w:autoSpaceDN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方案存在明显缺陷或无法满足采购人需求的得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未提供的不得分。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rPr>
            </w:pPr>
            <w:r>
              <w:rPr>
                <w:rFonts w:hint="eastAsia" w:ascii="宋体" w:hAnsi="宋体" w:cs="宋体"/>
                <w:snapToGrid w:val="0"/>
                <w:color w:val="auto"/>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left w:val="single" w:color="auto" w:sz="4" w:space="0"/>
              <w:right w:val="single" w:color="auto" w:sz="4" w:space="0"/>
            </w:tcBorders>
            <w:vAlign w:val="center"/>
          </w:tcPr>
          <w:p>
            <w:pPr>
              <w:adjustRightInd/>
              <w:spacing w:line="400" w:lineRule="exact"/>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根据供应商针对本项目提供的</w:t>
            </w:r>
            <w:r>
              <w:rPr>
                <w:rFonts w:hint="eastAsia" w:ascii="宋体" w:hAnsi="宋体" w:cs="宋体"/>
                <w:b/>
                <w:bCs/>
                <w:color w:val="auto"/>
                <w:szCs w:val="21"/>
                <w:highlight w:val="none"/>
                <w:lang w:val="en-US" w:eastAsia="zh-CN"/>
              </w:rPr>
              <w:t>质量控制方案（包括详细的质量控制技术方案、监督与管理服务质量保障措施、旁站等）</w:t>
            </w:r>
            <w:r>
              <w:rPr>
                <w:rFonts w:hint="eastAsia" w:ascii="宋体" w:hAnsi="宋体" w:cs="宋体"/>
                <w:b/>
                <w:bCs/>
                <w:color w:val="auto"/>
                <w:szCs w:val="21"/>
                <w:highlight w:val="none"/>
              </w:rPr>
              <w:t>进行综合评议：（</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方案内容完善、符合现状、规范性强、合理性好、操作性强的得8</w:t>
            </w:r>
            <w:r>
              <w:rPr>
                <w:rFonts w:hint="eastAsia" w:ascii="宋体" w:hAnsi="宋体" w:cs="宋体"/>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方案内容较齐全、对项目了解程度较好、有规范性、操作性较强的得7</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方案内容基本完整，对项目了解程度一般、规范性一般、操作性一般的得6</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未提供的不得分。</w:t>
            </w:r>
          </w:p>
        </w:tc>
        <w:tc>
          <w:tcPr>
            <w:tcW w:w="581" w:type="dxa"/>
            <w:tcBorders>
              <w:top w:val="single" w:color="auto" w:sz="4" w:space="0"/>
              <w:left w:val="single" w:color="auto" w:sz="4" w:space="0"/>
              <w:right w:val="single" w:color="auto" w:sz="4" w:space="0"/>
            </w:tcBorders>
            <w:vAlign w:val="center"/>
          </w:tcPr>
          <w:p>
            <w:pPr>
              <w:wordWrap/>
              <w:adjustRightInd/>
              <w:snapToGrid/>
              <w:spacing w:line="400" w:lineRule="exact"/>
              <w:jc w:val="center"/>
              <w:rPr>
                <w:rFonts w:hint="default" w:ascii="宋体" w:hAnsi="宋体" w:cs="宋体"/>
                <w:color w:val="auto"/>
                <w:szCs w:val="21"/>
                <w:highlight w:val="none"/>
                <w:lang w:val="en-US"/>
              </w:rPr>
            </w:pPr>
            <w:r>
              <w:rPr>
                <w:rFonts w:hint="eastAsia" w:ascii="宋体" w:hAnsi="宋体" w:cs="宋体"/>
                <w:snapToGrid w:val="0"/>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根据供应商针对本项目提供的现场安全文明</w:t>
            </w:r>
            <w:r>
              <w:rPr>
                <w:rFonts w:hint="eastAsia" w:ascii="宋体" w:hAnsi="宋体" w:cs="宋体"/>
                <w:b/>
                <w:bCs/>
                <w:color w:val="auto"/>
                <w:szCs w:val="21"/>
                <w:highlight w:val="none"/>
                <w:lang w:val="en-US" w:eastAsia="zh-CN"/>
              </w:rPr>
              <w:t>实施方案</w:t>
            </w:r>
            <w:r>
              <w:rPr>
                <w:rFonts w:hint="eastAsia" w:ascii="宋体" w:hAnsi="宋体" w:cs="宋体"/>
                <w:b/>
                <w:bCs/>
                <w:color w:val="auto"/>
                <w:szCs w:val="21"/>
                <w:highlight w:val="none"/>
              </w:rPr>
              <w:t>进行综合评议：（</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对现场安全、文明施工控制方案内容全面性、完整性，控制手段和措施的科学性、合理性和可行性落实的得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对现场安全、文明施工控制具有一定针对性，措施基本合理的得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现场安全、文明施工控制措施存在明显缺陷或无法满足采购人需求的得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未提供的不得分。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snapToGrid w:val="0"/>
                <w:color w:val="auto"/>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、根据供应商提供的</w:t>
            </w:r>
            <w:r>
              <w:rPr>
                <w:rFonts w:hint="eastAsia" w:ascii="宋体" w:hAnsi="宋体"/>
                <w:b/>
                <w:color w:val="auto"/>
                <w:szCs w:val="21"/>
                <w:highlight w:val="none"/>
                <w:lang w:val="en-US" w:eastAsia="zh-CN"/>
              </w:rPr>
              <w:t>项目组成员配备</w:t>
            </w:r>
            <w:r>
              <w:rPr>
                <w:rFonts w:hint="eastAsia" w:ascii="宋体" w:hAnsi="宋体"/>
                <w:b/>
                <w:color w:val="auto"/>
                <w:szCs w:val="21"/>
                <w:highlight w:val="none"/>
              </w:rPr>
              <w:t>情况以及人员内部管理制度</w:t>
            </w:r>
            <w:r>
              <w:rPr>
                <w:rFonts w:hint="eastAsia" w:ascii="宋体" w:hAnsi="宋体" w:eastAsia="宋体" w:cs="宋体"/>
                <w:b/>
                <w:bCs/>
                <w:color w:val="auto"/>
                <w:szCs w:val="21"/>
                <w:highlight w:val="none"/>
              </w:rPr>
              <w:t>进行综合评议：</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7分</w:t>
            </w:r>
            <w:r>
              <w:rPr>
                <w:rFonts w:hint="eastAsia" w:ascii="宋体" w:hAnsi="宋体"/>
                <w:b/>
                <w:color w:val="auto"/>
                <w:szCs w:val="21"/>
                <w:highlight w:val="none"/>
                <w:lang w:eastAsia="zh-CN"/>
              </w:rPr>
              <w:t>）</w:t>
            </w:r>
          </w:p>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服务人员配备情况能够充分满足项目实施与项目需求完全匹配、市政道路养护监督与管理服务经验丰富、年龄结构合理、技能水平高</w:t>
            </w:r>
            <w:r>
              <w:rPr>
                <w:rFonts w:hint="eastAsia" w:ascii="宋体" w:hAnsi="宋体"/>
                <w:color w:val="auto"/>
                <w:szCs w:val="21"/>
                <w:highlight w:val="none"/>
              </w:rPr>
              <w:t>，人员内部管理、激励、监督、考核、奖惩等规章制度健全的得</w:t>
            </w:r>
            <w:r>
              <w:rPr>
                <w:rFonts w:hint="eastAsia" w:ascii="宋体" w:hAnsi="宋体"/>
                <w:color w:val="auto"/>
                <w:szCs w:val="21"/>
                <w:highlight w:val="none"/>
                <w:lang w:val="en-US" w:eastAsia="zh-CN"/>
              </w:rPr>
              <w:t>7分；</w:t>
            </w:r>
          </w:p>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服务人员能够满足项目实施与项目需求基本相符、有市政道路养护监督与管理服务经验、年龄结构基本合理、有技能水平</w:t>
            </w:r>
            <w:r>
              <w:rPr>
                <w:rFonts w:hint="eastAsia" w:ascii="宋体" w:hAnsi="宋体"/>
                <w:color w:val="auto"/>
                <w:szCs w:val="21"/>
                <w:highlight w:val="none"/>
              </w:rPr>
              <w:t>，有人员内部管理、激励、监督、考核、奖惩等规章制度的得</w:t>
            </w:r>
            <w:r>
              <w:rPr>
                <w:rFonts w:hint="eastAsia" w:ascii="宋体" w:hAnsi="宋体"/>
                <w:color w:val="auto"/>
                <w:szCs w:val="21"/>
                <w:highlight w:val="none"/>
                <w:lang w:val="en-US" w:eastAsia="zh-CN"/>
              </w:rPr>
              <w:t>6分；</w:t>
            </w:r>
          </w:p>
          <w:p>
            <w:p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服务人员基本能够满足项目实施、没有市政道路养护监督与管理服务经验、年龄结构不合理、技能水平低，</w:t>
            </w:r>
            <w:r>
              <w:rPr>
                <w:rFonts w:hint="eastAsia" w:ascii="宋体" w:hAnsi="宋体"/>
                <w:color w:val="auto"/>
                <w:szCs w:val="21"/>
                <w:highlight w:val="none"/>
              </w:rPr>
              <w:t>人员内部管理混乱的得</w:t>
            </w:r>
            <w:r>
              <w:rPr>
                <w:rFonts w:hint="eastAsia" w:ascii="宋体" w:hAnsi="宋体"/>
                <w:color w:val="auto"/>
                <w:szCs w:val="21"/>
                <w:highlight w:val="none"/>
                <w:lang w:val="en-US" w:eastAsia="zh-CN"/>
              </w:rPr>
              <w:t>5分。</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未提供的不得分。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6</w:t>
            </w:r>
            <w:r>
              <w:rPr>
                <w:rFonts w:hint="eastAsia" w:ascii="宋体" w:hAnsi="宋体" w:eastAsia="宋体" w:cs="Times New Roman"/>
                <w:b/>
                <w:color w:val="auto"/>
                <w:szCs w:val="21"/>
                <w:highlight w:val="none"/>
                <w:lang w:val="en-US" w:eastAsia="zh-CN"/>
              </w:rPr>
              <w:t>、根据供应商提供的质量监督与管理的</w:t>
            </w:r>
            <w:r>
              <w:rPr>
                <w:rFonts w:hint="eastAsia" w:ascii="宋体" w:hAnsi="宋体" w:eastAsia="宋体" w:cs="Times New Roman"/>
                <w:b/>
                <w:color w:val="auto"/>
                <w:szCs w:val="21"/>
                <w:highlight w:val="none"/>
                <w:lang w:val="zh-CN" w:eastAsia="zh-CN"/>
              </w:rPr>
              <w:t>资料管理方案（包括</w:t>
            </w:r>
            <w:r>
              <w:rPr>
                <w:rFonts w:hint="eastAsia" w:ascii="宋体" w:hAnsi="宋体" w:eastAsia="宋体" w:cs="Times New Roman"/>
                <w:b/>
                <w:color w:val="auto"/>
                <w:szCs w:val="21"/>
                <w:highlight w:val="none"/>
                <w:lang w:val="en-US" w:eastAsia="zh-CN"/>
              </w:rPr>
              <w:t>质量监督</w:t>
            </w:r>
            <w:r>
              <w:rPr>
                <w:rFonts w:hint="eastAsia" w:ascii="宋体" w:hAnsi="宋体" w:eastAsia="宋体" w:cs="Times New Roman"/>
                <w:b/>
                <w:color w:val="auto"/>
                <w:szCs w:val="21"/>
                <w:highlight w:val="none"/>
                <w:lang w:val="zh-CN" w:eastAsia="zh-CN"/>
              </w:rPr>
              <w:t>流程、资料管理的流程、资料信息的收集、处理、归档内容等）、</w:t>
            </w:r>
            <w:r>
              <w:rPr>
                <w:rFonts w:hint="eastAsia" w:ascii="宋体" w:hAnsi="宋体" w:eastAsia="宋体" w:cs="Times New Roman"/>
                <w:b/>
                <w:color w:val="auto"/>
                <w:szCs w:val="21"/>
                <w:highlight w:val="none"/>
                <w:lang w:val="en-US" w:eastAsia="zh-CN"/>
              </w:rPr>
              <w:t>保密制度是否完善可行等</w:t>
            </w:r>
            <w:r>
              <w:rPr>
                <w:rFonts w:hint="eastAsia" w:ascii="宋体" w:hAnsi="宋体" w:eastAsia="宋体" w:cs="宋体"/>
                <w:b/>
                <w:bCs/>
                <w:color w:val="auto"/>
                <w:szCs w:val="21"/>
                <w:highlight w:val="none"/>
              </w:rPr>
              <w:t>进行综合评议：</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6分</w:t>
            </w:r>
            <w:r>
              <w:rPr>
                <w:rFonts w:hint="eastAsia" w:ascii="宋体" w:hAnsi="宋体"/>
                <w:b/>
                <w:color w:val="auto"/>
                <w:szCs w:val="21"/>
                <w:highlight w:val="none"/>
                <w:lang w:eastAsia="zh-CN"/>
              </w:rPr>
              <w:t>）</w:t>
            </w:r>
          </w:p>
          <w:p>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阐述详细，内容全面、合理、清晰，可行性强的得</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分；</w:t>
            </w:r>
          </w:p>
          <w:p>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阐述较为详细，内容较为全面、合理、清晰，具有一定可行性的得</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分；</w:t>
            </w:r>
          </w:p>
          <w:p>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阐述较为粗略，内容不够全面、欠缺合理性，可行性较弱的得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w:t>
            </w:r>
          </w:p>
          <w:p>
            <w:pPr>
              <w:spacing w:line="400" w:lineRule="exact"/>
              <w:rPr>
                <w:rFonts w:hint="eastAsia" w:ascii="宋体" w:hAnsi="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未提供的不得分。</w:t>
            </w:r>
          </w:p>
        </w:tc>
        <w:tc>
          <w:tcPr>
            <w:tcW w:w="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olor w:val="auto"/>
                <w:szCs w:val="21"/>
                <w:highlight w:val="none"/>
                <w:lang w:val="en-US" w:eastAsia="zh-CN"/>
              </w:rPr>
            </w:pPr>
            <w:r>
              <w:rPr>
                <w:rFonts w:hint="eastAsia" w:ascii="宋体" w:hAnsi="宋体" w:cs="宋体"/>
                <w:color w:val="auto"/>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7</w:t>
            </w:r>
            <w:r>
              <w:rPr>
                <w:rFonts w:hint="eastAsia" w:ascii="宋体" w:hAnsi="宋体"/>
                <w:b/>
                <w:color w:val="auto"/>
                <w:szCs w:val="21"/>
                <w:highlight w:val="none"/>
              </w:rPr>
              <w:t>、</w:t>
            </w:r>
            <w:r>
              <w:rPr>
                <w:rFonts w:hint="eastAsia" w:ascii="宋体" w:hAnsi="宋体"/>
                <w:b/>
                <w:color w:val="auto"/>
                <w:szCs w:val="21"/>
                <w:highlight w:val="none"/>
                <w:lang w:eastAsia="zh-CN"/>
              </w:rPr>
              <w:t>拟投入本项目人员情况</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分）：</w:t>
            </w:r>
          </w:p>
          <w:p>
            <w:pPr>
              <w:spacing w:line="400" w:lineRule="exac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投标</w:t>
            </w:r>
            <w:r>
              <w:rPr>
                <w:rFonts w:hint="eastAsia" w:ascii="宋体" w:hAnsi="宋体"/>
                <w:b/>
                <w:color w:val="auto"/>
                <w:szCs w:val="21"/>
                <w:highlight w:val="none"/>
                <w:lang w:eastAsia="zh-CN"/>
              </w:rPr>
              <w:t>文件中提供社保部门出具的2025年</w:t>
            </w:r>
            <w:r>
              <w:rPr>
                <w:rFonts w:hint="eastAsia" w:ascii="宋体" w:hAnsi="宋体"/>
                <w:b/>
                <w:color w:val="auto"/>
                <w:szCs w:val="21"/>
                <w:highlight w:val="none"/>
                <w:lang w:val="en-US" w:eastAsia="zh-CN"/>
              </w:rPr>
              <w:t>3</w:t>
            </w:r>
            <w:r>
              <w:rPr>
                <w:rFonts w:hint="eastAsia" w:ascii="宋体" w:hAnsi="宋体"/>
                <w:b/>
                <w:color w:val="auto"/>
                <w:szCs w:val="21"/>
                <w:highlight w:val="none"/>
                <w:lang w:eastAsia="zh-CN"/>
              </w:rPr>
              <w:t>月-2025年</w:t>
            </w:r>
            <w:r>
              <w:rPr>
                <w:rFonts w:hint="eastAsia" w:ascii="宋体" w:hAnsi="宋体"/>
                <w:b/>
                <w:color w:val="auto"/>
                <w:szCs w:val="21"/>
                <w:highlight w:val="none"/>
                <w:lang w:val="en-US" w:eastAsia="zh-CN"/>
              </w:rPr>
              <w:t>5</w:t>
            </w:r>
            <w:r>
              <w:rPr>
                <w:rFonts w:hint="eastAsia" w:ascii="宋体" w:hAnsi="宋体"/>
                <w:b/>
                <w:color w:val="auto"/>
                <w:szCs w:val="21"/>
                <w:highlight w:val="none"/>
                <w:lang w:eastAsia="zh-CN"/>
              </w:rPr>
              <w:t>月供应商为相关人员缴纳社保的证明资料扫描件加盖供应商公章，否则相应人员的评审内容不得分。</w:t>
            </w:r>
          </w:p>
          <w:p>
            <w:pPr>
              <w:spacing w:line="400" w:lineRule="exact"/>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1、</w:t>
            </w:r>
            <w:r>
              <w:rPr>
                <w:rFonts w:hint="eastAsia" w:ascii="宋体" w:hAnsi="宋体"/>
                <w:b/>
                <w:color w:val="auto"/>
                <w:szCs w:val="21"/>
                <w:highlight w:val="none"/>
              </w:rPr>
              <w:t>项目负责人</w:t>
            </w:r>
            <w:r>
              <w:rPr>
                <w:rFonts w:hint="eastAsia" w:ascii="宋体" w:hAnsi="宋体"/>
                <w:b/>
                <w:color w:val="auto"/>
                <w:szCs w:val="21"/>
                <w:highlight w:val="none"/>
                <w:lang w:eastAsia="zh-CN"/>
              </w:rPr>
              <w:t>：</w:t>
            </w:r>
          </w:p>
          <w:p>
            <w:p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具有市政</w:t>
            </w:r>
            <w:r>
              <w:rPr>
                <w:rFonts w:hint="eastAsia" w:ascii="宋体" w:hAnsi="宋体"/>
                <w:color w:val="auto"/>
                <w:szCs w:val="21"/>
                <w:highlight w:val="none"/>
                <w:lang w:val="en-US" w:eastAsia="zh-CN"/>
              </w:rPr>
              <w:t>类专业</w:t>
            </w:r>
            <w:r>
              <w:rPr>
                <w:rFonts w:hint="eastAsia" w:ascii="宋体" w:hAnsi="宋体"/>
                <w:color w:val="auto"/>
                <w:szCs w:val="21"/>
                <w:highlight w:val="none"/>
                <w:lang w:eastAsia="zh-CN"/>
              </w:rPr>
              <w:t>高级及以上职称的得</w:t>
            </w:r>
            <w:r>
              <w:rPr>
                <w:rFonts w:hint="eastAsia" w:ascii="宋体" w:hAnsi="宋体"/>
                <w:color w:val="auto"/>
                <w:szCs w:val="21"/>
                <w:highlight w:val="none"/>
                <w:lang w:val="en-US" w:eastAsia="zh-CN"/>
              </w:rPr>
              <w:t>3分，具有</w:t>
            </w:r>
            <w:r>
              <w:rPr>
                <w:rFonts w:hint="eastAsia" w:ascii="宋体" w:hAnsi="宋体"/>
                <w:color w:val="auto"/>
                <w:szCs w:val="21"/>
                <w:highlight w:val="none"/>
                <w:lang w:eastAsia="zh-CN"/>
              </w:rPr>
              <w:t>市政</w:t>
            </w:r>
            <w:r>
              <w:rPr>
                <w:rFonts w:hint="eastAsia" w:ascii="宋体" w:hAnsi="宋体"/>
                <w:color w:val="auto"/>
                <w:szCs w:val="21"/>
                <w:highlight w:val="none"/>
                <w:lang w:val="en-US" w:eastAsia="zh-CN"/>
              </w:rPr>
              <w:t>类专业中级</w:t>
            </w:r>
            <w:r>
              <w:rPr>
                <w:rFonts w:hint="eastAsia" w:ascii="宋体" w:hAnsi="宋体"/>
                <w:color w:val="auto"/>
                <w:szCs w:val="21"/>
                <w:highlight w:val="none"/>
                <w:lang w:eastAsia="zh-CN"/>
              </w:rPr>
              <w:t>职称的得</w:t>
            </w:r>
            <w:r>
              <w:rPr>
                <w:rFonts w:hint="eastAsia" w:ascii="宋体" w:hAnsi="宋体"/>
                <w:color w:val="auto"/>
                <w:szCs w:val="21"/>
                <w:highlight w:val="none"/>
                <w:lang w:val="en-US" w:eastAsia="zh-CN"/>
              </w:rPr>
              <w:t>1分。</w:t>
            </w:r>
          </w:p>
          <w:p>
            <w:pPr>
              <w:spacing w:line="400" w:lineRule="exact"/>
              <w:rPr>
                <w:rFonts w:hint="eastAsia" w:ascii="宋体" w:hAnsi="宋体" w:cs="宋体"/>
                <w:color w:val="auto"/>
                <w:kern w:val="0"/>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担任过市政公用工程监理负责人（项目经理）的得</w:t>
            </w:r>
            <w:r>
              <w:rPr>
                <w:rFonts w:hint="eastAsia" w:ascii="宋体" w:hAnsi="宋体"/>
                <w:color w:val="auto"/>
                <w:szCs w:val="21"/>
                <w:highlight w:val="none"/>
                <w:lang w:val="en-US" w:eastAsia="zh-CN"/>
              </w:rPr>
              <w:t>2分，项目</w:t>
            </w:r>
            <w:r>
              <w:rPr>
                <w:rFonts w:hint="eastAsia" w:ascii="宋体" w:hAnsi="宋体" w:cs="宋体"/>
                <w:color w:val="auto"/>
                <w:kern w:val="0"/>
                <w:szCs w:val="21"/>
                <w:highlight w:val="none"/>
              </w:rPr>
              <w:t>至少包含</w:t>
            </w:r>
            <w:r>
              <w:rPr>
                <w:rFonts w:hint="eastAsia" w:ascii="宋体" w:hAnsi="宋体"/>
                <w:color w:val="auto"/>
                <w:szCs w:val="21"/>
                <w:highlight w:val="none"/>
                <w:lang w:val="en-US" w:eastAsia="zh-CN"/>
              </w:rPr>
              <w:t>市政道路养护内容</w:t>
            </w:r>
            <w:r>
              <w:rPr>
                <w:rFonts w:hint="eastAsia" w:ascii="宋体" w:hAnsi="宋体" w:cs="宋体"/>
                <w:color w:val="auto"/>
                <w:kern w:val="0"/>
                <w:szCs w:val="21"/>
                <w:highlight w:val="none"/>
              </w:rPr>
              <w:t>。</w:t>
            </w:r>
          </w:p>
          <w:p>
            <w:pPr>
              <w:spacing w:line="400" w:lineRule="exac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2、其他团队人员不少于3人</w:t>
            </w:r>
          </w:p>
          <w:p>
            <w:pPr>
              <w:spacing w:line="400" w:lineRule="exact"/>
              <w:rPr>
                <w:rFonts w:hint="default" w:ascii="宋体" w:hAnsi="宋体" w:cs="宋体"/>
                <w:b/>
                <w:bCs/>
                <w:color w:val="auto"/>
                <w:kern w:val="0"/>
                <w:szCs w:val="21"/>
                <w:highlight w:val="none"/>
                <w:lang w:val="en-US" w:eastAsia="zh-CN"/>
              </w:rPr>
            </w:pPr>
            <w:r>
              <w:rPr>
                <w:rFonts w:hint="default" w:ascii="宋体" w:hAnsi="宋体" w:cs="宋体"/>
                <w:b/>
                <w:bCs/>
                <w:color w:val="auto"/>
                <w:kern w:val="0"/>
                <w:szCs w:val="21"/>
                <w:highlight w:val="none"/>
                <w:lang w:val="en-US" w:eastAsia="zh-CN"/>
              </w:rPr>
              <w:t>拟投入人员中，具有</w:t>
            </w:r>
            <w:r>
              <w:rPr>
                <w:rFonts w:hint="eastAsia" w:ascii="宋体" w:hAnsi="宋体"/>
                <w:color w:val="auto"/>
                <w:szCs w:val="21"/>
                <w:highlight w:val="none"/>
                <w:lang w:eastAsia="zh-CN"/>
              </w:rPr>
              <w:t>市政</w:t>
            </w:r>
            <w:r>
              <w:rPr>
                <w:rFonts w:hint="eastAsia" w:ascii="宋体" w:hAnsi="宋体"/>
                <w:color w:val="auto"/>
                <w:szCs w:val="21"/>
                <w:highlight w:val="none"/>
                <w:lang w:val="en-US" w:eastAsia="zh-CN"/>
              </w:rPr>
              <w:t>类专业</w:t>
            </w:r>
            <w:r>
              <w:rPr>
                <w:rFonts w:hint="eastAsia" w:ascii="宋体" w:hAnsi="宋体"/>
                <w:color w:val="auto"/>
                <w:szCs w:val="21"/>
                <w:highlight w:val="none"/>
                <w:lang w:eastAsia="zh-CN"/>
              </w:rPr>
              <w:t>高级及以上职称的得</w:t>
            </w:r>
            <w:r>
              <w:rPr>
                <w:rFonts w:hint="eastAsia" w:ascii="宋体" w:hAnsi="宋体"/>
                <w:color w:val="auto"/>
                <w:szCs w:val="21"/>
                <w:highlight w:val="none"/>
                <w:lang w:val="en-US" w:eastAsia="zh-CN"/>
              </w:rPr>
              <w:t>3分</w:t>
            </w:r>
            <w:r>
              <w:rPr>
                <w:rFonts w:hint="default" w:ascii="宋体" w:hAnsi="宋体" w:cs="宋体"/>
                <w:b/>
                <w:bCs/>
                <w:color w:val="auto"/>
                <w:kern w:val="0"/>
                <w:szCs w:val="21"/>
                <w:highlight w:val="none"/>
                <w:lang w:val="en-US" w:eastAsia="zh-CN"/>
              </w:rPr>
              <w:t>，中级职称得2分，初级职称得1分，本项目最多得3分。</w:t>
            </w:r>
          </w:p>
          <w:p>
            <w:pPr>
              <w:spacing w:line="400" w:lineRule="exact"/>
              <w:rPr>
                <w:rFonts w:hint="eastAsia" w:ascii="宋体" w:hAnsi="宋体"/>
                <w:b/>
                <w:color w:val="auto"/>
                <w:kern w:val="2"/>
                <w:sz w:val="21"/>
                <w:szCs w:val="21"/>
                <w:highlight w:val="none"/>
                <w:lang w:val="en-US" w:eastAsia="zh-CN" w:bidi="ar-SA"/>
              </w:rPr>
            </w:pPr>
            <w:r>
              <w:rPr>
                <w:rFonts w:hint="eastAsia" w:ascii="宋体" w:hAnsi="宋体" w:cs="宋体"/>
                <w:b/>
                <w:bCs/>
                <w:color w:val="auto"/>
                <w:kern w:val="0"/>
                <w:szCs w:val="21"/>
                <w:highlight w:val="none"/>
                <w:lang w:val="en-US" w:eastAsia="zh-CN"/>
              </w:rPr>
              <w:t>投标</w:t>
            </w:r>
            <w:r>
              <w:rPr>
                <w:rFonts w:hint="eastAsia" w:ascii="宋体" w:hAnsi="宋体" w:cs="宋体"/>
                <w:b/>
                <w:bCs/>
                <w:color w:val="auto"/>
                <w:kern w:val="0"/>
                <w:szCs w:val="21"/>
                <w:highlight w:val="none"/>
                <w:lang w:eastAsia="zh-CN"/>
              </w:rPr>
              <w:t>文件中提供证书、合同扫描件加盖供应商公章；</w:t>
            </w:r>
            <w:r>
              <w:rPr>
                <w:rFonts w:hint="eastAsia" w:ascii="宋体" w:hAnsi="宋体" w:cs="宋体"/>
                <w:b/>
                <w:bCs/>
                <w:color w:val="auto"/>
                <w:kern w:val="0"/>
                <w:szCs w:val="21"/>
                <w:highlight w:val="none"/>
                <w:lang w:val="en-US" w:eastAsia="zh-CN"/>
              </w:rPr>
              <w:t>若合同内无法体现</w:t>
            </w:r>
            <w:r>
              <w:rPr>
                <w:rFonts w:hint="eastAsia" w:ascii="宋体" w:hAnsi="宋体"/>
                <w:b/>
                <w:bCs/>
                <w:color w:val="auto"/>
                <w:szCs w:val="21"/>
                <w:highlight w:val="none"/>
                <w:lang w:val="en-US" w:eastAsia="zh-CN"/>
              </w:rPr>
              <w:t>市政道路养护内容，则提供用户方</w:t>
            </w:r>
            <w:r>
              <w:rPr>
                <w:rFonts w:hint="eastAsia" w:ascii="宋体" w:hAnsi="宋体" w:cs="宋体"/>
                <w:b/>
                <w:bCs/>
                <w:color w:val="auto"/>
                <w:kern w:val="0"/>
                <w:szCs w:val="21"/>
                <w:highlight w:val="none"/>
                <w:lang w:val="en-US" w:eastAsia="zh-CN"/>
              </w:rPr>
              <w:t>证明（须加盖用户方公章）资料</w:t>
            </w:r>
            <w:r>
              <w:rPr>
                <w:rFonts w:hint="eastAsia" w:ascii="宋体" w:hAnsi="宋体" w:cs="宋体"/>
                <w:b/>
                <w:bCs/>
                <w:color w:val="auto"/>
                <w:kern w:val="0"/>
                <w:szCs w:val="21"/>
                <w:highlight w:val="none"/>
                <w:lang w:eastAsia="zh-CN"/>
              </w:rPr>
              <w:t>扫描件，未完整提供以上资料的不得分。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、证书：（</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（1）具有质量管理体系认证证书的得1分；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（2）具有环境管理体系认证证书的得1分；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）具有职业健康安全体系认证证书的得1分；</w:t>
            </w:r>
          </w:p>
          <w:p>
            <w:pPr>
              <w:spacing w:line="400" w:lineRule="exact"/>
              <w:rPr>
                <w:rFonts w:hint="eastAsia" w:ascii="宋体" w:hAnsi="宋体"/>
                <w:b/>
                <w:bCs/>
                <w:color w:val="auto"/>
                <w:kern w:val="2"/>
                <w:sz w:val="21"/>
                <w:szCs w:val="21"/>
                <w:highlight w:val="none"/>
                <w:lang w:val="en-US" w:eastAsia="zh-CN" w:bidi="ar-SA"/>
              </w:rPr>
            </w:pPr>
            <w:r>
              <w:rPr>
                <w:rFonts w:hint="eastAsia" w:ascii="宋体" w:hAnsi="宋体" w:cs="宋体"/>
                <w:b/>
                <w:bCs/>
                <w:color w:val="auto"/>
                <w:szCs w:val="21"/>
                <w:highlight w:val="none"/>
              </w:rPr>
              <w:t>投标文件中提供有效期内的证书</w:t>
            </w:r>
            <w:r>
              <w:rPr>
                <w:rFonts w:hint="eastAsia" w:ascii="宋体" w:hAnsi="宋体" w:cs="宋体"/>
                <w:b/>
                <w:bCs/>
                <w:color w:val="auto"/>
                <w:szCs w:val="21"/>
                <w:highlight w:val="none"/>
                <w:lang w:eastAsia="zh-CN"/>
              </w:rPr>
              <w:t>，体系认证证书</w:t>
            </w:r>
            <w:r>
              <w:rPr>
                <w:rFonts w:hint="eastAsia" w:ascii="宋体" w:hAnsi="宋体" w:cs="宋体"/>
                <w:b/>
                <w:bCs/>
                <w:color w:val="auto"/>
                <w:szCs w:val="21"/>
                <w:highlight w:val="none"/>
              </w:rPr>
              <w:t>同时提供在“全国认证认可信息公共服务平台”的查询状态为“有效”的网页截图扫描件加盖供应商公章，否则不得分。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auto"/>
                <w:szCs w:val="21"/>
                <w:highlight w:val="none"/>
                <w:lang w:eastAsia="zh-CN"/>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企业资质</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具有市政公用工程监理</w:t>
            </w:r>
            <w:r>
              <w:rPr>
                <w:rFonts w:hint="eastAsia" w:ascii="宋体" w:hAnsi="宋体" w:cs="宋体"/>
                <w:color w:val="auto"/>
                <w:szCs w:val="21"/>
                <w:highlight w:val="none"/>
                <w:lang w:eastAsia="zh-CN"/>
              </w:rPr>
              <w:t>乙</w:t>
            </w:r>
            <w:r>
              <w:rPr>
                <w:rFonts w:hint="eastAsia" w:ascii="宋体" w:hAnsi="宋体" w:cs="宋体"/>
                <w:color w:val="auto"/>
                <w:szCs w:val="21"/>
                <w:highlight w:val="none"/>
              </w:rPr>
              <w:t>级资质证书的得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具有工程监理综合资质或市政公用工程监理</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级资质证书的得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得分就高计取；</w:t>
            </w:r>
            <w:r>
              <w:rPr>
                <w:rFonts w:hint="eastAsia" w:ascii="宋体" w:hAnsi="宋体" w:cs="宋体"/>
                <w:b/>
                <w:bCs/>
                <w:color w:val="auto"/>
                <w:szCs w:val="21"/>
                <w:highlight w:val="none"/>
              </w:rPr>
              <w:t>投标文件中提供有效期内的证书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扫</w:t>
            </w:r>
            <w:r>
              <w:rPr>
                <w:rFonts w:hint="eastAsia" w:ascii="宋体" w:hAnsi="宋体" w:cs="宋体"/>
                <w:b/>
                <w:bCs/>
                <w:color w:val="auto"/>
                <w:szCs w:val="21"/>
                <w:highlight w:val="none"/>
              </w:rPr>
              <w:t>描件加盖供应商公章，否则不得分。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auto"/>
                <w:szCs w:val="21"/>
                <w:highlight w:val="none"/>
              </w:rPr>
            </w:pPr>
          </w:p>
        </w:tc>
        <w:tc>
          <w:tcPr>
            <w:tcW w:w="8397"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rPr>
                <w:rFonts w:ascii="宋体" w:hAnsi="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业绩：（2分）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2022年1月1日至今，完成过市政</w:t>
            </w:r>
            <w:r>
              <w:rPr>
                <w:rFonts w:hint="eastAsia" w:ascii="宋体" w:hAnsi="宋体" w:cs="宋体"/>
                <w:color w:val="auto"/>
                <w:szCs w:val="21"/>
                <w:highlight w:val="none"/>
                <w:lang w:val="en-US" w:eastAsia="zh-CN"/>
              </w:rPr>
              <w:t>道路</w:t>
            </w:r>
            <w:r>
              <w:rPr>
                <w:rFonts w:hint="eastAsia" w:ascii="宋体" w:hAnsi="宋体" w:cs="宋体"/>
                <w:color w:val="auto"/>
                <w:szCs w:val="21"/>
                <w:highlight w:val="none"/>
              </w:rPr>
              <w:t>修养护项目</w:t>
            </w:r>
            <w:r>
              <w:rPr>
                <w:rFonts w:hint="eastAsia" w:ascii="宋体" w:hAnsi="宋体" w:cs="宋体"/>
                <w:color w:val="auto"/>
                <w:szCs w:val="21"/>
                <w:highlight w:val="none"/>
                <w:lang w:val="en-US" w:eastAsia="zh-CN"/>
              </w:rPr>
              <w:t>监督或管理</w:t>
            </w:r>
            <w:r>
              <w:rPr>
                <w:rFonts w:hint="eastAsia" w:ascii="宋体" w:hAnsi="宋体" w:cs="宋体"/>
                <w:color w:val="auto"/>
                <w:szCs w:val="21"/>
                <w:highlight w:val="none"/>
              </w:rPr>
              <w:t>业绩的，每提供一个得1分，最高2分。</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文件中提供</w:t>
            </w:r>
            <w:r>
              <w:rPr>
                <w:rFonts w:ascii="宋体" w:hAnsi="宋体" w:cs="宋体"/>
                <w:b/>
                <w:bCs/>
                <w:color w:val="auto"/>
                <w:szCs w:val="21"/>
                <w:highlight w:val="none"/>
              </w:rPr>
              <w:t>①</w:t>
            </w:r>
            <w:r>
              <w:rPr>
                <w:rFonts w:hint="eastAsia" w:ascii="宋体" w:hAnsi="宋体" w:cs="宋体"/>
                <w:b/>
                <w:bCs/>
                <w:color w:val="auto"/>
                <w:szCs w:val="21"/>
                <w:highlight w:val="none"/>
              </w:rPr>
              <w:t>合同复印件加盖供应商公章；</w:t>
            </w:r>
            <w:r>
              <w:rPr>
                <w:rFonts w:ascii="宋体" w:hAnsi="宋体" w:cs="宋体"/>
                <w:b/>
                <w:bCs/>
                <w:color w:val="auto"/>
                <w:szCs w:val="21"/>
                <w:highlight w:val="none"/>
              </w:rPr>
              <w:t>②</w:t>
            </w:r>
            <w:r>
              <w:rPr>
                <w:rFonts w:hint="eastAsia" w:ascii="宋体" w:hAnsi="宋体" w:cs="宋体"/>
                <w:b/>
                <w:bCs/>
                <w:color w:val="auto"/>
                <w:szCs w:val="21"/>
                <w:highlight w:val="none"/>
              </w:rPr>
              <w:t>对应合同的中标（成交）通知书扫描件或网上结果公示截图或采购公告发布前开具的合同履行期间内任意一期的合同款支付税务发票扫描件加盖供应商公章，未能提供</w:t>
            </w:r>
            <w:r>
              <w:rPr>
                <w:rFonts w:ascii="宋体" w:hAnsi="宋体" w:cs="宋体"/>
                <w:b/>
                <w:bCs/>
                <w:color w:val="auto"/>
                <w:szCs w:val="21"/>
                <w:highlight w:val="none"/>
              </w:rPr>
              <w:t>①</w:t>
            </w:r>
            <w:r>
              <w:rPr>
                <w:rFonts w:hint="eastAsia" w:ascii="宋体" w:hAnsi="宋体" w:cs="宋体"/>
                <w:b/>
                <w:bCs/>
                <w:color w:val="auto"/>
                <w:szCs w:val="21"/>
                <w:highlight w:val="none"/>
              </w:rPr>
              <w:t>和</w:t>
            </w:r>
            <w:r>
              <w:rPr>
                <w:rFonts w:ascii="宋体" w:hAnsi="宋体" w:cs="宋体"/>
                <w:b/>
                <w:bCs/>
                <w:color w:val="auto"/>
                <w:szCs w:val="21"/>
                <w:highlight w:val="none"/>
              </w:rPr>
              <w:t>②</w:t>
            </w:r>
            <w:r>
              <w:rPr>
                <w:rFonts w:hint="eastAsia" w:ascii="宋体" w:hAnsi="宋体" w:cs="宋体"/>
                <w:b/>
                <w:bCs/>
                <w:color w:val="auto"/>
                <w:szCs w:val="21"/>
                <w:highlight w:val="none"/>
              </w:rPr>
              <w:t>的不得分。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90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总分</w:t>
            </w:r>
            <w:r>
              <w:rPr>
                <w:rFonts w:hint="eastAsia" w:ascii="宋体" w:hAnsi="宋体" w:cs="宋体"/>
                <w:b/>
                <w:color w:val="auto"/>
                <w:szCs w:val="21"/>
                <w:highlight w:val="none"/>
                <w:lang w:val="en-US" w:eastAsia="zh-CN"/>
              </w:rPr>
              <w:t>60</w:t>
            </w:r>
            <w:r>
              <w:rPr>
                <w:rFonts w:hint="eastAsia" w:ascii="宋体" w:hAnsi="宋体" w:cs="宋体"/>
                <w:b/>
                <w:color w:val="auto"/>
                <w:szCs w:val="21"/>
                <w:highlight w:val="none"/>
              </w:rPr>
              <w:t>分</w:t>
            </w:r>
          </w:p>
        </w:tc>
        <w:tc>
          <w:tcPr>
            <w:tcW w:w="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60</w:t>
            </w:r>
          </w:p>
        </w:tc>
      </w:tr>
    </w:tbl>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注：1、无相应方案、措施或表内要求提供的资料，未按要求提供的均不得分。</w:t>
      </w:r>
    </w:p>
    <w:p>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r>
        <w:rPr>
          <w:rFonts w:hint="eastAsia" w:ascii="宋体" w:hAnsi="宋体"/>
          <w:color w:val="auto"/>
          <w:szCs w:val="21"/>
          <w:highlight w:val="none"/>
        </w:rPr>
        <w:br w:type="page"/>
      </w:r>
    </w:p>
    <w:p>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pPr>
        <w:widowControl/>
        <w:snapToGrid w:val="0"/>
        <w:spacing w:line="560" w:lineRule="exact"/>
        <w:ind w:right="105"/>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5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pPr>
              <w:spacing w:line="360" w:lineRule="exact"/>
              <w:jc w:val="left"/>
              <w:rPr>
                <w:rFonts w:ascii="宋体" w:hAnsi="宋体" w:cs="宋体"/>
                <w:color w:val="auto"/>
                <w:szCs w:val="21"/>
                <w:highlight w:val="none"/>
              </w:rPr>
            </w:pPr>
            <w:r>
              <w:rPr>
                <w:rFonts w:hint="eastAsia" w:ascii="宋体" w:hAnsi="宋体"/>
                <w:color w:val="auto"/>
                <w:szCs w:val="21"/>
                <w:highlight w:val="none"/>
              </w:rPr>
              <w:t>符合第二章“投标须知”第十六条的要求。</w:t>
            </w:r>
          </w:p>
        </w:tc>
        <w:tc>
          <w:tcPr>
            <w:tcW w:w="2651"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651"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供应商不得出现赠送或零元报价。</w:t>
            </w:r>
          </w:p>
          <w:p>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651"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9"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ascii="宋体" w:hAnsi="宋体"/>
          <w:color w:val="auto"/>
          <w:szCs w:val="21"/>
          <w:highlight w:val="none"/>
        </w:rPr>
      </w:pPr>
      <w:r>
        <w:rPr>
          <w:rFonts w:hint="eastAsia" w:ascii="宋体" w:hAnsi="宋体"/>
          <w:b/>
          <w:color w:val="auto"/>
          <w:highlight w:val="none"/>
        </w:rPr>
        <w:t xml:space="preserve">    2、序号2-序号4在</w:t>
      </w:r>
      <w:r>
        <w:rPr>
          <w:rFonts w:hint="eastAsia" w:ascii="宋体" w:hAnsi="宋体"/>
          <w:b/>
          <w:color w:val="auto"/>
          <w:highlight w:val="none"/>
          <w:lang w:val="en-US" w:eastAsia="zh-CN"/>
        </w:rPr>
        <w:t>乐</w:t>
      </w:r>
      <w:r>
        <w:rPr>
          <w:rFonts w:hint="eastAsia" w:ascii="宋体" w:hAnsi="宋体"/>
          <w:b/>
          <w:color w:val="auto"/>
          <w:highlight w:val="none"/>
        </w:rPr>
        <w:t>采云上无须添加关联点。</w:t>
      </w:r>
    </w:p>
    <w:p>
      <w:pPr>
        <w:spacing w:line="400" w:lineRule="exact"/>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tbl>
      <w:tblPr>
        <w:tblStyle w:val="5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vAlign w:val="top"/>
          </w:tcPr>
          <w:p>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400" w:lineRule="exact"/>
              <w:ind w:firstLine="945" w:firstLineChars="450"/>
              <w:rPr>
                <w:rFonts w:ascii="宋体" w:hAnsi="宋体"/>
                <w:color w:val="auto"/>
                <w:szCs w:val="21"/>
                <w:highlight w:val="none"/>
              </w:rPr>
            </w:pPr>
            <w:r>
              <w:rPr>
                <w:rFonts w:hint="eastAsia" w:ascii="宋体" w:hAnsi="宋体"/>
                <w:color w:val="auto"/>
                <w:szCs w:val="21"/>
                <w:highlight w:val="none"/>
              </w:rPr>
              <w:t>分值</w:t>
            </w:r>
          </w:p>
        </w:tc>
        <w:tc>
          <w:tcPr>
            <w:tcW w:w="95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jc w:val="center"/>
        </w:trPr>
        <w:tc>
          <w:tcPr>
            <w:tcW w:w="675"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价格分</w:t>
            </w:r>
            <w:r>
              <w:rPr>
                <w:rFonts w:hint="eastAsia" w:ascii="宋体" w:hAnsi="宋体"/>
                <w:b/>
                <w:color w:val="auto"/>
                <w:szCs w:val="21"/>
                <w:highlight w:val="none"/>
                <w:lang w:val="en-US" w:eastAsia="zh-CN"/>
              </w:rPr>
              <w:t>4</w:t>
            </w:r>
            <w:r>
              <w:rPr>
                <w:rFonts w:hint="eastAsia" w:ascii="宋体" w:hAnsi="宋体"/>
                <w:b/>
                <w:color w:val="auto"/>
                <w:szCs w:val="21"/>
                <w:highlight w:val="none"/>
              </w:rPr>
              <w:t>0分</w:t>
            </w:r>
          </w:p>
        </w:tc>
        <w:tc>
          <w:tcPr>
            <w:tcW w:w="7604"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p>
          <w:p>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pPr>
              <w:spacing w:line="40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4</w:t>
            </w:r>
            <w:r>
              <w:rPr>
                <w:rFonts w:hint="eastAsia" w:ascii="宋体" w:hAnsi="宋体"/>
                <w:color w:val="auto"/>
                <w:szCs w:val="21"/>
                <w:highlight w:val="none"/>
              </w:rPr>
              <w:t>0分，其他供应商报价得分计算公式如下：</w:t>
            </w:r>
          </w:p>
          <w:p>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79"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4</w:t>
            </w:r>
            <w:r>
              <w:rPr>
                <w:rFonts w:hint="eastAsia" w:ascii="宋体" w:hAnsi="宋体"/>
                <w:b/>
                <w:color w:val="auto"/>
                <w:szCs w:val="21"/>
                <w:highlight w:val="none"/>
              </w:rPr>
              <w:t>0分）</w:t>
            </w:r>
          </w:p>
        </w:tc>
        <w:tc>
          <w:tcPr>
            <w:tcW w:w="955" w:type="dxa"/>
            <w:vAlign w:val="center"/>
          </w:tcPr>
          <w:p>
            <w:pPr>
              <w:spacing w:line="400" w:lineRule="exact"/>
              <w:jc w:val="center"/>
              <w:rPr>
                <w:rFonts w:ascii="宋体" w:hAnsi="宋体"/>
                <w:color w:val="auto"/>
                <w:szCs w:val="21"/>
                <w:highlight w:val="none"/>
              </w:rPr>
            </w:pPr>
          </w:p>
        </w:tc>
      </w:tr>
    </w:tbl>
    <w:p>
      <w:pPr>
        <w:widowControl/>
        <w:snapToGrid w:val="0"/>
        <w:spacing w:line="560" w:lineRule="exact"/>
        <w:jc w:val="center"/>
        <w:rPr>
          <w:rFonts w:ascii="宋体" w:hAnsi="宋体"/>
          <w:b/>
          <w:color w:val="auto"/>
          <w:szCs w:val="21"/>
          <w:highlight w:val="none"/>
        </w:rPr>
      </w:pPr>
    </w:p>
    <w:p>
      <w:pPr>
        <w:ind w:right="-1226" w:rightChars="-584"/>
        <w:jc w:val="center"/>
        <w:rPr>
          <w:rFonts w:ascii="宋体" w:hAnsi="宋体"/>
          <w:color w:val="auto"/>
          <w:sz w:val="28"/>
          <w:szCs w:val="28"/>
          <w:highlight w:val="none"/>
        </w:rPr>
        <w:sectPr>
          <w:headerReference r:id="rId9" w:type="default"/>
          <w:footerReference r:id="rId10" w:type="default"/>
          <w:type w:val="nextColumn"/>
          <w:pgSz w:w="11907" w:h="16840"/>
          <w:pgMar w:top="1247" w:right="1361" w:bottom="993" w:left="1361" w:header="285" w:footer="616" w:gutter="0"/>
          <w:cols w:space="720" w:num="1"/>
          <w:docGrid w:linePitch="285" w:charSpace="0"/>
        </w:sectPr>
      </w:pPr>
    </w:p>
    <w:p>
      <w:pPr>
        <w:spacing w:line="400" w:lineRule="exact"/>
        <w:jc w:val="center"/>
        <w:outlineLvl w:val="0"/>
        <w:rPr>
          <w:rFonts w:ascii="宋体" w:hAnsi="宋体"/>
          <w:b/>
          <w:color w:val="auto"/>
          <w:sz w:val="32"/>
          <w:highlight w:val="none"/>
        </w:rPr>
      </w:pPr>
      <w:bookmarkStart w:id="45" w:name="_Toc21541020"/>
      <w:bookmarkStart w:id="46" w:name="_Toc65915709"/>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合同样本</w:t>
      </w:r>
      <w:bookmarkEnd w:id="45"/>
      <w:bookmarkEnd w:id="46"/>
    </w:p>
    <w:p>
      <w:pPr>
        <w:pStyle w:val="25"/>
        <w:snapToGrid w:val="0"/>
        <w:spacing w:line="400" w:lineRule="exact"/>
        <w:jc w:val="center"/>
        <w:rPr>
          <w:rFonts w:hAnsi="宋体"/>
          <w:b/>
          <w:color w:val="auto"/>
          <w:sz w:val="21"/>
          <w:szCs w:val="21"/>
          <w:highlight w:val="none"/>
        </w:rPr>
      </w:pPr>
      <w:r>
        <w:rPr>
          <w:rFonts w:hint="eastAsia" w:hAnsi="宋体"/>
          <w:b/>
          <w:color w:val="auto"/>
          <w:sz w:val="21"/>
          <w:szCs w:val="21"/>
          <w:highlight w:val="none"/>
        </w:rPr>
        <w:t>（本合同为合同样稿，最终稿由甲乙双方协商后确定）</w:t>
      </w:r>
    </w:p>
    <w:p>
      <w:pPr>
        <w:spacing w:line="440" w:lineRule="exact"/>
        <w:jc w:val="left"/>
        <w:rPr>
          <w:rFonts w:hint="eastAsia" w:ascii="宋体" w:hAnsi="宋体" w:cs="新宋体"/>
          <w:bCs/>
          <w:color w:val="auto"/>
          <w:szCs w:val="21"/>
          <w:highlight w:val="none"/>
        </w:rPr>
      </w:pPr>
      <w:r>
        <w:rPr>
          <w:rFonts w:hint="eastAsia" w:ascii="宋体" w:hAnsi="宋体" w:cs="新宋体"/>
          <w:bCs/>
          <w:color w:val="auto"/>
          <w:szCs w:val="21"/>
          <w:highlight w:val="none"/>
        </w:rPr>
        <w:t>采购人：</w:t>
      </w:r>
      <w:r>
        <w:rPr>
          <w:rFonts w:hint="eastAsia" w:ascii="宋体" w:hAnsi="宋体" w:cs="Arial"/>
          <w:bCs/>
          <w:iCs/>
          <w:color w:val="auto"/>
          <w:szCs w:val="21"/>
          <w:highlight w:val="none"/>
          <w:u w:val="single"/>
        </w:rPr>
        <w:t xml:space="preserve">                         </w:t>
      </w:r>
      <w:r>
        <w:rPr>
          <w:rFonts w:hint="eastAsia" w:ascii="宋体" w:hAnsi="宋体" w:cs="新宋体"/>
          <w:bCs/>
          <w:color w:val="auto"/>
          <w:szCs w:val="21"/>
          <w:highlight w:val="none"/>
        </w:rPr>
        <w:t>（以下简称甲方）</w:t>
      </w:r>
    </w:p>
    <w:p>
      <w:pPr>
        <w:spacing w:line="440" w:lineRule="exact"/>
        <w:rPr>
          <w:rFonts w:ascii="宋体" w:hAnsi="宋体" w:cs="新宋体"/>
          <w:bCs/>
          <w:color w:val="auto"/>
          <w:szCs w:val="21"/>
          <w:highlight w:val="none"/>
        </w:rPr>
      </w:pPr>
      <w:r>
        <w:rPr>
          <w:rFonts w:hint="eastAsia" w:ascii="宋体" w:hAnsi="宋体" w:cs="新宋体"/>
          <w:bCs/>
          <w:color w:val="auto"/>
          <w:szCs w:val="21"/>
          <w:highlight w:val="none"/>
        </w:rPr>
        <w:t>供应商：</w:t>
      </w:r>
      <w:r>
        <w:rPr>
          <w:rFonts w:hint="eastAsia" w:ascii="宋体" w:hAnsi="宋体" w:cs="新宋体"/>
          <w:bCs/>
          <w:color w:val="auto"/>
          <w:szCs w:val="21"/>
          <w:highlight w:val="none"/>
          <w:u w:val="single"/>
        </w:rPr>
        <w:t xml:space="preserve">           </w:t>
      </w:r>
      <w:r>
        <w:rPr>
          <w:rFonts w:hint="eastAsia" w:ascii="宋体" w:hAnsi="宋体" w:cs="新宋体"/>
          <w:bCs/>
          <w:color w:val="auto"/>
          <w:szCs w:val="21"/>
          <w:highlight w:val="none"/>
          <w:u w:val="single"/>
          <w:lang w:val="en-US" w:eastAsia="zh-CN"/>
        </w:rPr>
        <w:t xml:space="preserve">    </w:t>
      </w:r>
      <w:r>
        <w:rPr>
          <w:rFonts w:hint="eastAsia" w:ascii="宋体" w:hAnsi="宋体" w:cs="新宋体"/>
          <w:bCs/>
          <w:color w:val="auto"/>
          <w:szCs w:val="21"/>
          <w:highlight w:val="none"/>
          <w:u w:val="single"/>
        </w:rPr>
        <w:t xml:space="preserve">          </w:t>
      </w:r>
      <w:r>
        <w:rPr>
          <w:rFonts w:hint="eastAsia" w:ascii="宋体" w:hAnsi="宋体" w:cs="新宋体"/>
          <w:bCs/>
          <w:color w:val="auto"/>
          <w:szCs w:val="21"/>
          <w:highlight w:val="none"/>
        </w:rPr>
        <w:t>（以下简称乙方）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经过</w:t>
      </w:r>
      <w:r>
        <w:rPr>
          <w:rFonts w:hint="eastAsia" w:ascii="宋体" w:hAnsi="宋体"/>
          <w:color w:val="auto"/>
          <w:szCs w:val="21"/>
          <w:highlight w:val="none"/>
          <w:lang w:val="en-US" w:eastAsia="zh-CN"/>
        </w:rPr>
        <w:t>公开</w:t>
      </w:r>
      <w:r>
        <w:rPr>
          <w:rFonts w:hint="eastAsia" w:ascii="宋体" w:hAnsi="宋体"/>
          <w:color w:val="auto"/>
          <w:szCs w:val="21"/>
          <w:highlight w:val="none"/>
        </w:rPr>
        <w:t>采购，</w:t>
      </w:r>
      <w:r>
        <w:rPr>
          <w:rFonts w:hint="eastAsia" w:ascii="宋体" w:hAnsi="宋体"/>
          <w:color w:val="auto"/>
          <w:szCs w:val="21"/>
          <w:highlight w:val="none"/>
          <w:u w:val="single"/>
        </w:rPr>
        <w:t>（采购人）</w:t>
      </w:r>
      <w:r>
        <w:rPr>
          <w:rFonts w:hint="eastAsia" w:ascii="宋体" w:hAnsi="宋体"/>
          <w:color w:val="auto"/>
          <w:szCs w:val="21"/>
          <w:highlight w:val="none"/>
        </w:rPr>
        <w:t>确定</w:t>
      </w:r>
      <w:r>
        <w:rPr>
          <w:rFonts w:hint="eastAsia" w:ascii="宋体" w:hAnsi="宋体"/>
          <w:color w:val="auto"/>
          <w:szCs w:val="21"/>
          <w:highlight w:val="none"/>
          <w:u w:val="single"/>
        </w:rPr>
        <w:t>（供应商）</w:t>
      </w:r>
      <w:r>
        <w:rPr>
          <w:rFonts w:hint="eastAsia" w:ascii="宋体" w:hAnsi="宋体"/>
          <w:color w:val="auto"/>
          <w:szCs w:val="21"/>
          <w:highlight w:val="none"/>
        </w:rPr>
        <w:t>为中标单位，依据《中华人民共和国政府采购法》、《中华人民共和国民法典》及有关法律、法规。双方就有关事项协商一致，订立本合同。</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一、服</w:t>
      </w:r>
      <w:r>
        <w:rPr>
          <w:rFonts w:hint="eastAsia" w:ascii="宋体" w:hAnsi="宋体" w:cs="宋体"/>
          <w:b/>
          <w:color w:val="auto"/>
          <w:szCs w:val="21"/>
          <w:highlight w:val="none"/>
        </w:rPr>
        <w:t>务内</w:t>
      </w:r>
      <w:r>
        <w:rPr>
          <w:rFonts w:hint="eastAsia" w:ascii="宋体" w:hAnsi="宋体" w:cs="Dotum"/>
          <w:b/>
          <w:color w:val="auto"/>
          <w:szCs w:val="21"/>
          <w:highlight w:val="none"/>
        </w:rPr>
        <w:t>容及要求</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s="Dotum"/>
          <w:color w:val="auto"/>
          <w:szCs w:val="21"/>
          <w:highlight w:val="none"/>
        </w:rPr>
        <w:t>招</w:t>
      </w:r>
      <w:r>
        <w:rPr>
          <w:rFonts w:hint="eastAsia" w:ascii="宋体" w:hAnsi="宋体" w:cs="宋体"/>
          <w:color w:val="auto"/>
          <w:szCs w:val="21"/>
          <w:highlight w:val="none"/>
        </w:rPr>
        <w:t>标</w:t>
      </w:r>
      <w:r>
        <w:rPr>
          <w:rFonts w:hint="eastAsia" w:ascii="宋体" w:hAnsi="宋体" w:cs="Dotum"/>
          <w:color w:val="auto"/>
          <w:szCs w:val="21"/>
          <w:highlight w:val="none"/>
        </w:rPr>
        <w:t>文件“第五章</w:t>
      </w:r>
      <w:r>
        <w:rPr>
          <w:rFonts w:ascii="宋体" w:hAnsi="宋体"/>
          <w:color w:val="auto"/>
          <w:szCs w:val="21"/>
          <w:highlight w:val="none"/>
        </w:rPr>
        <w:t xml:space="preserve">  </w:t>
      </w:r>
      <w:r>
        <w:rPr>
          <w:rFonts w:hint="eastAsia" w:ascii="宋体" w:hAnsi="宋体"/>
          <w:color w:val="auto"/>
          <w:szCs w:val="21"/>
          <w:highlight w:val="none"/>
        </w:rPr>
        <w:t>招</w:t>
      </w:r>
      <w:r>
        <w:rPr>
          <w:rFonts w:hint="eastAsia" w:ascii="宋体" w:hAnsi="宋体" w:cs="宋体"/>
          <w:color w:val="auto"/>
          <w:szCs w:val="21"/>
          <w:highlight w:val="none"/>
        </w:rPr>
        <w:t>标内</w:t>
      </w:r>
      <w:r>
        <w:rPr>
          <w:rFonts w:hint="eastAsia" w:ascii="宋体" w:hAnsi="宋体" w:cs="Dotum"/>
          <w:color w:val="auto"/>
          <w:szCs w:val="21"/>
          <w:highlight w:val="none"/>
        </w:rPr>
        <w:t>容</w:t>
      </w:r>
      <w:r>
        <w:rPr>
          <w:rFonts w:hint="eastAsia" w:ascii="宋体" w:hAnsi="宋体" w:cs="宋体"/>
          <w:color w:val="auto"/>
          <w:szCs w:val="21"/>
          <w:highlight w:val="none"/>
        </w:rPr>
        <w:t>与</w:t>
      </w:r>
      <w:r>
        <w:rPr>
          <w:rFonts w:hint="eastAsia" w:ascii="宋体" w:hAnsi="宋体" w:cs="Dotum"/>
          <w:color w:val="auto"/>
          <w:szCs w:val="21"/>
          <w:highlight w:val="none"/>
        </w:rPr>
        <w:t>技</w:t>
      </w:r>
      <w:r>
        <w:rPr>
          <w:rFonts w:hint="eastAsia" w:ascii="宋体" w:hAnsi="宋体" w:cs="宋体"/>
          <w:color w:val="auto"/>
          <w:szCs w:val="21"/>
          <w:highlight w:val="none"/>
        </w:rPr>
        <w:t>术</w:t>
      </w:r>
      <w:r>
        <w:rPr>
          <w:rFonts w:hint="eastAsia" w:ascii="宋体" w:hAnsi="宋体" w:cs="Dotum"/>
          <w:color w:val="auto"/>
          <w:szCs w:val="21"/>
          <w:highlight w:val="none"/>
        </w:rPr>
        <w:t>需求”及投</w:t>
      </w:r>
      <w:r>
        <w:rPr>
          <w:rFonts w:hint="eastAsia" w:ascii="宋体" w:hAnsi="宋体" w:cs="宋体"/>
          <w:color w:val="auto"/>
          <w:szCs w:val="21"/>
          <w:highlight w:val="none"/>
        </w:rPr>
        <w:t>标响应</w:t>
      </w:r>
      <w:r>
        <w:rPr>
          <w:rFonts w:hint="eastAsia" w:ascii="宋体" w:hAnsi="宋体" w:cs="Dotum"/>
          <w:color w:val="auto"/>
          <w:szCs w:val="21"/>
          <w:highlight w:val="none"/>
        </w:rPr>
        <w:t>。</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二、合同金</w:t>
      </w:r>
      <w:r>
        <w:rPr>
          <w:rFonts w:hint="eastAsia" w:ascii="宋体" w:hAnsi="宋体" w:cs="宋体"/>
          <w:b/>
          <w:color w:val="auto"/>
          <w:szCs w:val="21"/>
          <w:highlight w:val="none"/>
        </w:rPr>
        <w:t>额</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本合同服务金额：人民</w:t>
      </w:r>
      <w:r>
        <w:rPr>
          <w:rFonts w:hint="eastAsia" w:ascii="宋体" w:hAnsi="宋体" w:cs="宋体"/>
          <w:color w:val="auto"/>
          <w:szCs w:val="21"/>
          <w:highlight w:val="none"/>
        </w:rPr>
        <w:t>币</w:t>
      </w:r>
      <w:r>
        <w:rPr>
          <w:rFonts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lang w:eastAsia="zh-CN"/>
        </w:rPr>
        <w:t>。</w:t>
      </w:r>
    </w:p>
    <w:p>
      <w:pPr>
        <w:spacing w:line="440" w:lineRule="exact"/>
        <w:ind w:right="25" w:rightChars="12"/>
        <w:rPr>
          <w:rFonts w:hint="eastAsia" w:ascii="宋体" w:hAnsi="宋体"/>
          <w:b/>
          <w:color w:val="auto"/>
          <w:szCs w:val="21"/>
          <w:highlight w:val="none"/>
        </w:rPr>
      </w:pPr>
      <w:r>
        <w:rPr>
          <w:rFonts w:hint="eastAsia" w:ascii="宋体" w:hAnsi="宋体"/>
          <w:b/>
          <w:color w:val="auto"/>
          <w:szCs w:val="21"/>
          <w:highlight w:val="none"/>
        </w:rPr>
        <w:t>三、服</w:t>
      </w:r>
      <w:r>
        <w:rPr>
          <w:rFonts w:hint="eastAsia" w:ascii="宋体" w:hAnsi="宋体" w:cs="宋体"/>
          <w:b/>
          <w:color w:val="auto"/>
          <w:szCs w:val="21"/>
          <w:highlight w:val="none"/>
        </w:rPr>
        <w:t>务</w:t>
      </w:r>
      <w:r>
        <w:rPr>
          <w:rFonts w:hint="eastAsia" w:ascii="宋体" w:hAnsi="宋体" w:cs="Dotum"/>
          <w:b/>
          <w:color w:val="auto"/>
          <w:szCs w:val="21"/>
          <w:highlight w:val="none"/>
        </w:rPr>
        <w:t>期限及地点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本合同服务期限：</w:t>
      </w:r>
      <w:r>
        <w:rPr>
          <w:rFonts w:ascii="宋体" w:hAnsi="宋体"/>
          <w:color w:val="auto"/>
          <w:szCs w:val="21"/>
          <w:highlight w:val="none"/>
        </w:rPr>
        <w:t>_____年____月____</w:t>
      </w:r>
      <w:r>
        <w:rPr>
          <w:rFonts w:hint="eastAsia" w:ascii="宋体" w:hAnsi="宋体"/>
          <w:color w:val="auto"/>
          <w:szCs w:val="21"/>
          <w:highlight w:val="none"/>
        </w:rPr>
        <w:t>日</w:t>
      </w:r>
      <w:r>
        <w:rPr>
          <w:rFonts w:ascii="宋体" w:hAnsi="宋体"/>
          <w:color w:val="auto"/>
          <w:szCs w:val="21"/>
          <w:highlight w:val="none"/>
        </w:rPr>
        <w:t>至_____年____月____</w:t>
      </w:r>
      <w:r>
        <w:rPr>
          <w:rFonts w:hint="eastAsia" w:ascii="宋体" w:hAnsi="宋体"/>
          <w:color w:val="auto"/>
          <w:szCs w:val="21"/>
          <w:highlight w:val="none"/>
        </w:rPr>
        <w:t>日</w:t>
      </w:r>
    </w:p>
    <w:p>
      <w:pPr>
        <w:spacing w:line="44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、服</w:t>
      </w:r>
      <w:r>
        <w:rPr>
          <w:rFonts w:hint="eastAsia" w:ascii="宋体" w:hAnsi="宋体" w:cs="宋体"/>
          <w:color w:val="auto"/>
          <w:szCs w:val="21"/>
          <w:highlight w:val="none"/>
        </w:rPr>
        <w:t>务</w:t>
      </w:r>
      <w:r>
        <w:rPr>
          <w:rFonts w:hint="eastAsia" w:ascii="宋体" w:hAnsi="宋体" w:cs="Dotum"/>
          <w:color w:val="auto"/>
          <w:szCs w:val="21"/>
          <w:highlight w:val="none"/>
        </w:rPr>
        <w:t>地点</w:t>
      </w:r>
      <w:r>
        <w:rPr>
          <w:rFonts w:hint="eastAsia" w:ascii="宋体" w:hAnsi="宋体"/>
          <w:color w:val="auto"/>
          <w:szCs w:val="21"/>
          <w:highlight w:val="none"/>
        </w:rPr>
        <w:t>：</w:t>
      </w:r>
      <w:r>
        <w:rPr>
          <w:rFonts w:hint="eastAsia" w:ascii="宋体" w:hAnsi="宋体"/>
          <w:color w:val="auto"/>
          <w:szCs w:val="21"/>
          <w:highlight w:val="none"/>
          <w:lang w:val="en-US" w:eastAsia="zh-CN"/>
        </w:rPr>
        <w:t>甲方指定地点。</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四、技</w:t>
      </w:r>
      <w:r>
        <w:rPr>
          <w:rFonts w:hint="eastAsia" w:ascii="宋体" w:hAnsi="宋体" w:cs="宋体"/>
          <w:b/>
          <w:color w:val="auto"/>
          <w:szCs w:val="21"/>
          <w:highlight w:val="none"/>
        </w:rPr>
        <w:t>术资</w:t>
      </w:r>
      <w:r>
        <w:rPr>
          <w:rFonts w:hint="eastAsia" w:ascii="宋体" w:hAnsi="宋体" w:cs="Dotum"/>
          <w:b/>
          <w:color w:val="auto"/>
          <w:szCs w:val="21"/>
          <w:highlight w:val="none"/>
        </w:rPr>
        <w:t>料</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w:t>
      </w:r>
      <w:r>
        <w:rPr>
          <w:rFonts w:hint="eastAsia" w:ascii="宋体" w:hAnsi="宋体" w:cs="宋体"/>
          <w:color w:val="auto"/>
          <w:szCs w:val="21"/>
          <w:highlight w:val="none"/>
        </w:rPr>
        <w:t>应</w:t>
      </w:r>
      <w:r>
        <w:rPr>
          <w:rFonts w:hint="eastAsia" w:ascii="宋体" w:hAnsi="宋体" w:cs="Dotum"/>
          <w:color w:val="auto"/>
          <w:szCs w:val="21"/>
          <w:highlight w:val="none"/>
        </w:rPr>
        <w:t>按招</w:t>
      </w:r>
      <w:r>
        <w:rPr>
          <w:rFonts w:hint="eastAsia" w:ascii="宋体" w:hAnsi="宋体" w:cs="宋体"/>
          <w:color w:val="auto"/>
          <w:szCs w:val="21"/>
          <w:highlight w:val="none"/>
        </w:rPr>
        <w:t>标</w:t>
      </w:r>
      <w:r>
        <w:rPr>
          <w:rFonts w:hint="eastAsia" w:ascii="宋体" w:hAnsi="宋体" w:cs="Dotum"/>
          <w:color w:val="auto"/>
          <w:szCs w:val="21"/>
          <w:highlight w:val="none"/>
        </w:rPr>
        <w:t>文件</w:t>
      </w:r>
      <w:r>
        <w:rPr>
          <w:rFonts w:hint="eastAsia" w:ascii="宋体" w:hAnsi="宋体" w:cs="宋体"/>
          <w:color w:val="auto"/>
          <w:szCs w:val="21"/>
          <w:highlight w:val="none"/>
        </w:rPr>
        <w:t>规</w:t>
      </w:r>
      <w:r>
        <w:rPr>
          <w:rFonts w:hint="eastAsia" w:ascii="宋体" w:hAnsi="宋体" w:cs="Dotum"/>
          <w:color w:val="auto"/>
          <w:szCs w:val="21"/>
          <w:highlight w:val="none"/>
        </w:rPr>
        <w:t>定的</w:t>
      </w:r>
      <w:r>
        <w:rPr>
          <w:rFonts w:hint="eastAsia" w:ascii="宋体" w:hAnsi="宋体" w:cs="宋体"/>
          <w:color w:val="auto"/>
          <w:szCs w:val="21"/>
          <w:highlight w:val="none"/>
        </w:rPr>
        <w:t>时间</w:t>
      </w:r>
      <w:r>
        <w:rPr>
          <w:rFonts w:hint="eastAsia" w:ascii="宋体" w:hAnsi="宋体" w:cs="Dotum"/>
          <w:color w:val="auto"/>
          <w:szCs w:val="21"/>
          <w:highlight w:val="none"/>
        </w:rPr>
        <w:t>向甲方提供有</w:t>
      </w:r>
      <w:r>
        <w:rPr>
          <w:rFonts w:hint="eastAsia" w:ascii="宋体" w:hAnsi="宋体" w:cs="宋体"/>
          <w:color w:val="auto"/>
          <w:szCs w:val="21"/>
          <w:highlight w:val="none"/>
        </w:rPr>
        <w:t>关</w:t>
      </w:r>
      <w:r>
        <w:rPr>
          <w:rFonts w:hint="eastAsia" w:ascii="宋体" w:hAnsi="宋体" w:cs="Dotum"/>
          <w:color w:val="auto"/>
          <w:szCs w:val="21"/>
          <w:highlight w:val="none"/>
        </w:rPr>
        <w:t>技</w:t>
      </w:r>
      <w:r>
        <w:rPr>
          <w:rFonts w:hint="eastAsia" w:ascii="宋体" w:hAnsi="宋体" w:cs="宋体"/>
          <w:color w:val="auto"/>
          <w:szCs w:val="21"/>
          <w:highlight w:val="none"/>
        </w:rPr>
        <w:t>术资</w:t>
      </w:r>
      <w:r>
        <w:rPr>
          <w:rFonts w:hint="eastAsia" w:ascii="宋体" w:hAnsi="宋体" w:cs="Dotum"/>
          <w:color w:val="auto"/>
          <w:szCs w:val="21"/>
          <w:highlight w:val="none"/>
        </w:rPr>
        <w:t>料。</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没</w:t>
      </w:r>
      <w:r>
        <w:rPr>
          <w:rFonts w:hint="eastAsia" w:ascii="宋体" w:hAnsi="宋体" w:cs="Dotum"/>
          <w:color w:val="auto"/>
          <w:szCs w:val="21"/>
          <w:highlight w:val="none"/>
        </w:rPr>
        <w:t>有甲方事先</w:t>
      </w:r>
      <w:r>
        <w:rPr>
          <w:rFonts w:hint="eastAsia" w:ascii="宋体" w:hAnsi="宋体" w:cs="宋体"/>
          <w:color w:val="auto"/>
          <w:szCs w:val="21"/>
          <w:highlight w:val="none"/>
        </w:rPr>
        <w:t>书</w:t>
      </w:r>
      <w:r>
        <w:rPr>
          <w:rFonts w:hint="eastAsia" w:ascii="宋体" w:hAnsi="宋体" w:cs="Dotum"/>
          <w:color w:val="auto"/>
          <w:szCs w:val="21"/>
          <w:highlight w:val="none"/>
        </w:rPr>
        <w:t>面同意，乙方不得</w:t>
      </w:r>
      <w:r>
        <w:rPr>
          <w:rFonts w:hint="eastAsia" w:ascii="宋体" w:hAnsi="宋体" w:cs="宋体"/>
          <w:color w:val="auto"/>
          <w:szCs w:val="21"/>
          <w:highlight w:val="none"/>
        </w:rPr>
        <w:t>将</w:t>
      </w:r>
      <w:r>
        <w:rPr>
          <w:rFonts w:hint="eastAsia" w:ascii="宋体" w:hAnsi="宋体" w:cs="Dotum"/>
          <w:color w:val="auto"/>
          <w:szCs w:val="21"/>
          <w:highlight w:val="none"/>
        </w:rPr>
        <w:t>由甲方提供的有</w:t>
      </w:r>
      <w:r>
        <w:rPr>
          <w:rFonts w:hint="eastAsia" w:ascii="宋体" w:hAnsi="宋体" w:cs="宋体"/>
          <w:color w:val="auto"/>
          <w:szCs w:val="21"/>
          <w:highlight w:val="none"/>
        </w:rPr>
        <w:t>关</w:t>
      </w:r>
      <w:r>
        <w:rPr>
          <w:rFonts w:hint="eastAsia" w:ascii="宋体" w:hAnsi="宋体" w:cs="Dotum"/>
          <w:color w:val="auto"/>
          <w:szCs w:val="21"/>
          <w:highlight w:val="none"/>
        </w:rPr>
        <w:t>合同或任何合同</w:t>
      </w:r>
      <w:r>
        <w:rPr>
          <w:rFonts w:hint="eastAsia" w:ascii="宋体" w:hAnsi="宋体" w:cs="宋体"/>
          <w:color w:val="auto"/>
          <w:szCs w:val="21"/>
          <w:highlight w:val="none"/>
        </w:rPr>
        <w:t>条</w:t>
      </w:r>
      <w:r>
        <w:rPr>
          <w:rFonts w:hint="eastAsia" w:ascii="宋体" w:hAnsi="宋体" w:cs="Dotum"/>
          <w:color w:val="auto"/>
          <w:szCs w:val="21"/>
          <w:highlight w:val="none"/>
        </w:rPr>
        <w:t>文、</w:t>
      </w:r>
      <w:r>
        <w:rPr>
          <w:rFonts w:hint="eastAsia" w:ascii="宋体" w:hAnsi="宋体" w:cs="宋体"/>
          <w:color w:val="auto"/>
          <w:szCs w:val="21"/>
          <w:highlight w:val="none"/>
        </w:rPr>
        <w:t>规</w:t>
      </w:r>
      <w:r>
        <w:rPr>
          <w:rFonts w:hint="eastAsia" w:ascii="宋体" w:hAnsi="宋体" w:cs="Dotum"/>
          <w:color w:val="auto"/>
          <w:szCs w:val="21"/>
          <w:highlight w:val="none"/>
        </w:rPr>
        <w:t>格、</w:t>
      </w:r>
      <w:r>
        <w:rPr>
          <w:rFonts w:hint="eastAsia" w:ascii="宋体" w:hAnsi="宋体" w:cs="宋体"/>
          <w:color w:val="auto"/>
          <w:szCs w:val="21"/>
          <w:highlight w:val="none"/>
        </w:rPr>
        <w:t>计划</w:t>
      </w:r>
      <w:r>
        <w:rPr>
          <w:rFonts w:hint="eastAsia" w:ascii="宋体" w:hAnsi="宋体" w:cs="Dotum"/>
          <w:color w:val="auto"/>
          <w:szCs w:val="21"/>
          <w:highlight w:val="none"/>
        </w:rPr>
        <w:t>、</w:t>
      </w:r>
      <w:r>
        <w:rPr>
          <w:rFonts w:hint="eastAsia" w:ascii="宋体" w:hAnsi="宋体" w:cs="宋体"/>
          <w:color w:val="auto"/>
          <w:szCs w:val="21"/>
          <w:highlight w:val="none"/>
        </w:rPr>
        <w:t>图纸</w:t>
      </w:r>
      <w:r>
        <w:rPr>
          <w:rFonts w:hint="eastAsia" w:ascii="宋体" w:hAnsi="宋体" w:cs="Dotum"/>
          <w:color w:val="auto"/>
          <w:szCs w:val="21"/>
          <w:highlight w:val="none"/>
        </w:rPr>
        <w:t>、</w:t>
      </w:r>
      <w:r>
        <w:rPr>
          <w:rFonts w:hint="eastAsia" w:ascii="宋体" w:hAnsi="宋体" w:cs="宋体"/>
          <w:color w:val="auto"/>
          <w:szCs w:val="21"/>
          <w:highlight w:val="none"/>
        </w:rPr>
        <w:t>样</w:t>
      </w:r>
      <w:r>
        <w:rPr>
          <w:rFonts w:hint="eastAsia" w:ascii="宋体" w:hAnsi="宋体" w:cs="Dotum"/>
          <w:color w:val="auto"/>
          <w:szCs w:val="21"/>
          <w:highlight w:val="none"/>
        </w:rPr>
        <w:t>品或</w:t>
      </w:r>
      <w:r>
        <w:rPr>
          <w:rFonts w:hint="eastAsia" w:ascii="宋体" w:hAnsi="宋体" w:cs="宋体"/>
          <w:color w:val="auto"/>
          <w:szCs w:val="21"/>
          <w:highlight w:val="none"/>
        </w:rPr>
        <w:t>资</w:t>
      </w:r>
      <w:r>
        <w:rPr>
          <w:rFonts w:hint="eastAsia" w:ascii="宋体" w:hAnsi="宋体" w:cs="Dotum"/>
          <w:color w:val="auto"/>
          <w:szCs w:val="21"/>
          <w:highlight w:val="none"/>
        </w:rPr>
        <w:t>料提供</w:t>
      </w:r>
      <w:r>
        <w:rPr>
          <w:rFonts w:hint="eastAsia" w:ascii="宋体" w:hAnsi="宋体" w:cs="宋体"/>
          <w:color w:val="auto"/>
          <w:szCs w:val="21"/>
          <w:highlight w:val="none"/>
        </w:rPr>
        <w:t>给与</w:t>
      </w:r>
      <w:r>
        <w:rPr>
          <w:rFonts w:hint="eastAsia" w:ascii="宋体" w:hAnsi="宋体" w:cs="Dotum"/>
          <w:color w:val="auto"/>
          <w:szCs w:val="21"/>
          <w:highlight w:val="none"/>
        </w:rPr>
        <w:t>履行本合同无</w:t>
      </w:r>
      <w:r>
        <w:rPr>
          <w:rFonts w:hint="eastAsia" w:ascii="宋体" w:hAnsi="宋体" w:cs="宋体"/>
          <w:color w:val="auto"/>
          <w:szCs w:val="21"/>
          <w:highlight w:val="none"/>
        </w:rPr>
        <w:t>关</w:t>
      </w:r>
      <w:r>
        <w:rPr>
          <w:rFonts w:hint="eastAsia" w:ascii="宋体" w:hAnsi="宋体" w:cs="Dotum"/>
          <w:color w:val="auto"/>
          <w:szCs w:val="21"/>
          <w:highlight w:val="none"/>
        </w:rPr>
        <w:t>的任何其他人。即使向履行本合同有</w:t>
      </w:r>
      <w:r>
        <w:rPr>
          <w:rFonts w:hint="eastAsia" w:ascii="宋体" w:hAnsi="宋体" w:cs="宋体"/>
          <w:color w:val="auto"/>
          <w:szCs w:val="21"/>
          <w:highlight w:val="none"/>
        </w:rPr>
        <w:t>关</w:t>
      </w:r>
      <w:r>
        <w:rPr>
          <w:rFonts w:hint="eastAsia" w:ascii="宋体" w:hAnsi="宋体" w:cs="Dotum"/>
          <w:color w:val="auto"/>
          <w:szCs w:val="21"/>
          <w:highlight w:val="none"/>
        </w:rPr>
        <w:t>的人</w:t>
      </w:r>
      <w:r>
        <w:rPr>
          <w:rFonts w:hint="eastAsia" w:ascii="宋体" w:hAnsi="宋体" w:cs="宋体"/>
          <w:color w:val="auto"/>
          <w:szCs w:val="21"/>
          <w:highlight w:val="none"/>
        </w:rPr>
        <w:t>员</w:t>
      </w:r>
      <w:r>
        <w:rPr>
          <w:rFonts w:hint="eastAsia" w:ascii="宋体" w:hAnsi="宋体" w:cs="Dotum"/>
          <w:color w:val="auto"/>
          <w:szCs w:val="21"/>
          <w:highlight w:val="none"/>
        </w:rPr>
        <w:t>提供，也</w:t>
      </w:r>
      <w:r>
        <w:rPr>
          <w:rFonts w:hint="eastAsia" w:ascii="宋体" w:hAnsi="宋体" w:cs="宋体"/>
          <w:color w:val="auto"/>
          <w:szCs w:val="21"/>
          <w:highlight w:val="none"/>
        </w:rPr>
        <w:t>应</w:t>
      </w:r>
      <w:r>
        <w:rPr>
          <w:rFonts w:hint="eastAsia" w:ascii="宋体" w:hAnsi="宋体" w:cs="Dotum"/>
          <w:color w:val="auto"/>
          <w:szCs w:val="21"/>
          <w:highlight w:val="none"/>
        </w:rPr>
        <w:t>注意保密</w:t>
      </w:r>
      <w:r>
        <w:rPr>
          <w:rFonts w:hint="eastAsia" w:ascii="宋体" w:hAnsi="宋体" w:cs="宋体"/>
          <w:color w:val="auto"/>
          <w:szCs w:val="21"/>
          <w:highlight w:val="none"/>
        </w:rPr>
        <w:t>并</w:t>
      </w:r>
      <w:r>
        <w:rPr>
          <w:rFonts w:hint="eastAsia" w:ascii="宋体" w:hAnsi="宋体" w:cs="Dotum"/>
          <w:color w:val="auto"/>
          <w:szCs w:val="21"/>
          <w:highlight w:val="none"/>
        </w:rPr>
        <w:t>限于履行合同的必需范</w:t>
      </w:r>
      <w:r>
        <w:rPr>
          <w:rFonts w:hint="eastAsia" w:ascii="宋体" w:hAnsi="宋体" w:cs="宋体"/>
          <w:color w:val="auto"/>
          <w:szCs w:val="21"/>
          <w:highlight w:val="none"/>
        </w:rPr>
        <w:t>围</w:t>
      </w:r>
      <w:r>
        <w:rPr>
          <w:rFonts w:hint="eastAsia" w:ascii="宋体" w:hAnsi="宋体" w:cs="Dotum"/>
          <w:color w:val="auto"/>
          <w:szCs w:val="21"/>
          <w:highlight w:val="none"/>
        </w:rPr>
        <w:t>。</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五、知</w:t>
      </w:r>
      <w:r>
        <w:rPr>
          <w:rFonts w:hint="eastAsia" w:ascii="宋体" w:hAnsi="宋体" w:cs="宋体"/>
          <w:b/>
          <w:color w:val="auto"/>
          <w:szCs w:val="21"/>
          <w:highlight w:val="none"/>
        </w:rPr>
        <w:t>识产权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s="宋体"/>
          <w:color w:val="auto"/>
          <w:szCs w:val="21"/>
          <w:highlight w:val="none"/>
        </w:rPr>
        <w:t>应</w:t>
      </w:r>
      <w:r>
        <w:rPr>
          <w:rFonts w:hint="eastAsia" w:ascii="宋体" w:hAnsi="宋体" w:cs="Dotum"/>
          <w:color w:val="auto"/>
          <w:szCs w:val="21"/>
          <w:highlight w:val="none"/>
        </w:rPr>
        <w:t>保</w:t>
      </w:r>
      <w:r>
        <w:rPr>
          <w:rFonts w:hint="eastAsia" w:ascii="宋体" w:hAnsi="宋体" w:cs="宋体"/>
          <w:color w:val="auto"/>
          <w:szCs w:val="21"/>
          <w:highlight w:val="none"/>
        </w:rPr>
        <w:t>证</w:t>
      </w:r>
      <w:r>
        <w:rPr>
          <w:rFonts w:hint="eastAsia" w:ascii="宋体" w:hAnsi="宋体" w:cs="Dotum"/>
          <w:color w:val="auto"/>
          <w:szCs w:val="21"/>
          <w:highlight w:val="none"/>
        </w:rPr>
        <w:t>提供服</w:t>
      </w:r>
      <w:r>
        <w:rPr>
          <w:rFonts w:hint="eastAsia" w:ascii="宋体" w:hAnsi="宋体" w:cs="宋体"/>
          <w:color w:val="auto"/>
          <w:szCs w:val="21"/>
          <w:highlight w:val="none"/>
        </w:rPr>
        <w:t>务过</w:t>
      </w:r>
      <w:r>
        <w:rPr>
          <w:rFonts w:hint="eastAsia" w:ascii="宋体" w:hAnsi="宋体" w:cs="Dotum"/>
          <w:color w:val="auto"/>
          <w:szCs w:val="21"/>
          <w:highlight w:val="none"/>
        </w:rPr>
        <w:t>程中不</w:t>
      </w:r>
      <w:r>
        <w:rPr>
          <w:rFonts w:hint="eastAsia" w:ascii="宋体" w:hAnsi="宋体" w:cs="宋体"/>
          <w:color w:val="auto"/>
          <w:szCs w:val="21"/>
          <w:highlight w:val="none"/>
        </w:rPr>
        <w:t>会</w:t>
      </w:r>
      <w:r>
        <w:rPr>
          <w:rFonts w:hint="eastAsia" w:ascii="宋体" w:hAnsi="宋体" w:cs="Dotum"/>
          <w:color w:val="auto"/>
          <w:szCs w:val="21"/>
          <w:highlight w:val="none"/>
        </w:rPr>
        <w:t>侵犯任何第三方的知</w:t>
      </w:r>
      <w:r>
        <w:rPr>
          <w:rFonts w:hint="eastAsia" w:ascii="宋体" w:hAnsi="宋体" w:cs="宋体"/>
          <w:color w:val="auto"/>
          <w:szCs w:val="21"/>
          <w:highlight w:val="none"/>
        </w:rPr>
        <w:t>识产权</w:t>
      </w:r>
      <w:r>
        <w:rPr>
          <w:rFonts w:hint="eastAsia" w:ascii="宋体" w:hAnsi="宋体"/>
          <w:color w:val="auto"/>
          <w:szCs w:val="21"/>
          <w:highlight w:val="none"/>
        </w:rPr>
        <w:t>。</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六、履</w:t>
      </w:r>
      <w:r>
        <w:rPr>
          <w:rFonts w:hint="eastAsia" w:ascii="宋体" w:hAnsi="宋体" w:cs="宋体"/>
          <w:b/>
          <w:color w:val="auto"/>
          <w:szCs w:val="21"/>
          <w:highlight w:val="none"/>
        </w:rPr>
        <w:t>约</w:t>
      </w:r>
      <w:r>
        <w:rPr>
          <w:rFonts w:hint="eastAsia" w:ascii="宋体" w:hAnsi="宋体" w:cs="Dotum"/>
          <w:b/>
          <w:color w:val="auto"/>
          <w:szCs w:val="21"/>
          <w:highlight w:val="none"/>
        </w:rPr>
        <w:t>保</w:t>
      </w:r>
      <w:r>
        <w:rPr>
          <w:rFonts w:hint="eastAsia" w:ascii="宋体" w:hAnsi="宋体" w:cs="宋体"/>
          <w:b/>
          <w:color w:val="auto"/>
          <w:szCs w:val="21"/>
          <w:highlight w:val="none"/>
        </w:rPr>
        <w:t>证</w:t>
      </w:r>
      <w:r>
        <w:rPr>
          <w:rFonts w:hint="eastAsia" w:ascii="宋体" w:hAnsi="宋体" w:cs="Dotum"/>
          <w:b/>
          <w:color w:val="auto"/>
          <w:szCs w:val="21"/>
          <w:highlight w:val="none"/>
        </w:rPr>
        <w:t>金</w:t>
      </w:r>
    </w:p>
    <w:p>
      <w:pPr>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、履约保证金金额：合同总价的</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2、履约保证金形式：支票、汇票、本票或银行、担保机构出具的保函、保险保单。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3、履约保证金提交时间：合同签订生效后。</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4、履约保证金退还时间：服务期满后退回。</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七、</w:t>
      </w:r>
      <w:r>
        <w:rPr>
          <w:rFonts w:hint="eastAsia" w:ascii="宋体" w:hAnsi="宋体" w:cs="宋体"/>
          <w:b/>
          <w:color w:val="auto"/>
          <w:szCs w:val="21"/>
          <w:highlight w:val="none"/>
        </w:rPr>
        <w:t>转</w:t>
      </w:r>
      <w:r>
        <w:rPr>
          <w:rFonts w:hint="eastAsia" w:ascii="宋体" w:hAnsi="宋体" w:cs="Dotum"/>
          <w:b/>
          <w:color w:val="auto"/>
          <w:szCs w:val="21"/>
          <w:highlight w:val="none"/>
        </w:rPr>
        <w:t>包或分包</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w:t>
      </w:r>
      <w:r>
        <w:rPr>
          <w:rFonts w:hint="eastAsia" w:ascii="宋体" w:hAnsi="宋体" w:cs="宋体"/>
          <w:color w:val="auto"/>
          <w:szCs w:val="21"/>
          <w:highlight w:val="none"/>
        </w:rPr>
        <w:t>项</w:t>
      </w:r>
      <w:r>
        <w:rPr>
          <w:rFonts w:hint="eastAsia" w:ascii="宋体" w:hAnsi="宋体" w:cs="Dotum"/>
          <w:color w:val="auto"/>
          <w:szCs w:val="21"/>
          <w:highlight w:val="none"/>
        </w:rPr>
        <w:t>目不允</w:t>
      </w:r>
      <w:r>
        <w:rPr>
          <w:rFonts w:hint="eastAsia" w:ascii="宋体" w:hAnsi="宋体" w:cs="宋体"/>
          <w:color w:val="auto"/>
          <w:szCs w:val="21"/>
          <w:highlight w:val="none"/>
        </w:rPr>
        <w:t>许转</w:t>
      </w:r>
      <w:r>
        <w:rPr>
          <w:rFonts w:hint="eastAsia" w:ascii="宋体" w:hAnsi="宋体" w:cs="Dotum"/>
          <w:color w:val="auto"/>
          <w:szCs w:val="21"/>
          <w:highlight w:val="none"/>
        </w:rPr>
        <w:t>包或分包，否</w:t>
      </w:r>
      <w:r>
        <w:rPr>
          <w:rFonts w:hint="eastAsia" w:ascii="宋体" w:hAnsi="宋体" w:cs="宋体"/>
          <w:color w:val="auto"/>
          <w:szCs w:val="21"/>
          <w:highlight w:val="none"/>
        </w:rPr>
        <w:t>则</w:t>
      </w:r>
      <w:r>
        <w:rPr>
          <w:rFonts w:hint="eastAsia" w:ascii="宋体" w:hAnsi="宋体" w:cs="Dotum"/>
          <w:color w:val="auto"/>
          <w:szCs w:val="21"/>
          <w:highlight w:val="none"/>
        </w:rPr>
        <w:t>，甲方有</w:t>
      </w:r>
      <w:r>
        <w:rPr>
          <w:rFonts w:hint="eastAsia" w:ascii="宋体" w:hAnsi="宋体" w:cs="宋体"/>
          <w:color w:val="auto"/>
          <w:szCs w:val="21"/>
          <w:highlight w:val="none"/>
        </w:rPr>
        <w:t>权</w:t>
      </w:r>
      <w:r>
        <w:rPr>
          <w:rFonts w:hint="eastAsia" w:ascii="宋体" w:hAnsi="宋体" w:cs="Dotum"/>
          <w:color w:val="auto"/>
          <w:szCs w:val="21"/>
          <w:highlight w:val="none"/>
        </w:rPr>
        <w:t>解除合同。</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八、免</w:t>
      </w:r>
      <w:r>
        <w:rPr>
          <w:rFonts w:hint="eastAsia" w:ascii="宋体" w:hAnsi="宋体" w:cs="宋体"/>
          <w:b/>
          <w:color w:val="auto"/>
          <w:szCs w:val="21"/>
          <w:highlight w:val="none"/>
        </w:rPr>
        <w:t>费质</w:t>
      </w:r>
      <w:r>
        <w:rPr>
          <w:rFonts w:hint="eastAsia" w:ascii="宋体" w:hAnsi="宋体" w:cs="Dotum"/>
          <w:b/>
          <w:color w:val="auto"/>
          <w:szCs w:val="21"/>
          <w:highlight w:val="none"/>
        </w:rPr>
        <w:t>量保</w:t>
      </w:r>
      <w:r>
        <w:rPr>
          <w:rFonts w:hint="eastAsia" w:ascii="宋体" w:hAnsi="宋体" w:cs="宋体"/>
          <w:b/>
          <w:color w:val="auto"/>
          <w:szCs w:val="21"/>
          <w:highlight w:val="none"/>
        </w:rPr>
        <w:t>证</w:t>
      </w:r>
      <w:r>
        <w:rPr>
          <w:rFonts w:hint="eastAsia" w:ascii="宋体" w:hAnsi="宋体" w:cs="Dotum"/>
          <w:b/>
          <w:color w:val="auto"/>
          <w:szCs w:val="21"/>
          <w:highlight w:val="none"/>
        </w:rPr>
        <w:t>期和服</w:t>
      </w:r>
      <w:r>
        <w:rPr>
          <w:rFonts w:hint="eastAsia" w:ascii="宋体" w:hAnsi="宋体" w:cs="宋体"/>
          <w:b/>
          <w:color w:val="auto"/>
          <w:szCs w:val="21"/>
          <w:highlight w:val="none"/>
        </w:rPr>
        <w:t>务质</w:t>
      </w:r>
      <w:r>
        <w:rPr>
          <w:rFonts w:hint="eastAsia" w:ascii="宋体" w:hAnsi="宋体" w:cs="Dotum"/>
          <w:b/>
          <w:color w:val="auto"/>
          <w:szCs w:val="21"/>
          <w:highlight w:val="none"/>
        </w:rPr>
        <w:t>量保</w:t>
      </w:r>
      <w:r>
        <w:rPr>
          <w:rFonts w:hint="eastAsia" w:ascii="宋体" w:hAnsi="宋体" w:cs="宋体"/>
          <w:b/>
          <w:color w:val="auto"/>
          <w:szCs w:val="21"/>
          <w:highlight w:val="none"/>
        </w:rPr>
        <w:t>证</w:t>
      </w:r>
      <w:r>
        <w:rPr>
          <w:rFonts w:hint="eastAsia" w:ascii="宋体" w:hAnsi="宋体" w:cs="Dotum"/>
          <w:b/>
          <w:color w:val="auto"/>
          <w:szCs w:val="21"/>
          <w:highlight w:val="none"/>
        </w:rPr>
        <w:t>金</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、免</w:t>
      </w:r>
      <w:r>
        <w:rPr>
          <w:rFonts w:hint="eastAsia" w:ascii="宋体" w:hAnsi="宋体" w:cs="宋体"/>
          <w:color w:val="auto"/>
          <w:szCs w:val="21"/>
          <w:highlight w:val="none"/>
        </w:rPr>
        <w:t>费质</w:t>
      </w:r>
      <w:r>
        <w:rPr>
          <w:rFonts w:hint="eastAsia" w:ascii="宋体" w:hAnsi="宋体" w:cs="Dotum"/>
          <w:color w:val="auto"/>
          <w:szCs w:val="21"/>
          <w:highlight w:val="none"/>
        </w:rPr>
        <w:t>量保</w:t>
      </w:r>
      <w:r>
        <w:rPr>
          <w:rFonts w:hint="eastAsia" w:ascii="宋体" w:hAnsi="宋体" w:cs="宋体"/>
          <w:color w:val="auto"/>
          <w:szCs w:val="21"/>
          <w:highlight w:val="none"/>
        </w:rPr>
        <w:t>证</w:t>
      </w:r>
      <w:r>
        <w:rPr>
          <w:rFonts w:hint="eastAsia" w:ascii="宋体" w:hAnsi="宋体" w:cs="Dotum"/>
          <w:color w:val="auto"/>
          <w:szCs w:val="21"/>
          <w:highlight w:val="none"/>
        </w:rPr>
        <w:t>期：不适用</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、服</w:t>
      </w:r>
      <w:r>
        <w:rPr>
          <w:rFonts w:hint="eastAsia" w:ascii="宋体" w:hAnsi="宋体" w:cs="宋体"/>
          <w:color w:val="auto"/>
          <w:szCs w:val="21"/>
          <w:highlight w:val="none"/>
        </w:rPr>
        <w:t>务质</w:t>
      </w:r>
      <w:r>
        <w:rPr>
          <w:rFonts w:hint="eastAsia" w:ascii="宋体" w:hAnsi="宋体" w:cs="Dotum"/>
          <w:color w:val="auto"/>
          <w:szCs w:val="21"/>
          <w:highlight w:val="none"/>
        </w:rPr>
        <w:t>量保</w:t>
      </w:r>
      <w:r>
        <w:rPr>
          <w:rFonts w:hint="eastAsia" w:ascii="宋体" w:hAnsi="宋体" w:cs="宋体"/>
          <w:color w:val="auto"/>
          <w:szCs w:val="21"/>
          <w:highlight w:val="none"/>
        </w:rPr>
        <w:t>证</w:t>
      </w:r>
      <w:r>
        <w:rPr>
          <w:rFonts w:hint="eastAsia" w:ascii="宋体" w:hAnsi="宋体" w:cs="Dotum"/>
          <w:color w:val="auto"/>
          <w:szCs w:val="21"/>
          <w:highlight w:val="none"/>
        </w:rPr>
        <w:t>金：不适用</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九、付款方法和</w:t>
      </w:r>
      <w:r>
        <w:rPr>
          <w:rFonts w:hint="eastAsia" w:ascii="宋体" w:hAnsi="宋体" w:cs="宋体"/>
          <w:b/>
          <w:color w:val="auto"/>
          <w:szCs w:val="21"/>
          <w:highlight w:val="none"/>
        </w:rPr>
        <w:t>条</w:t>
      </w:r>
      <w:r>
        <w:rPr>
          <w:rFonts w:hint="eastAsia" w:ascii="宋体" w:hAnsi="宋体" w:cs="Dotum"/>
          <w:b/>
          <w:color w:val="auto"/>
          <w:szCs w:val="21"/>
          <w:highlight w:val="none"/>
        </w:rPr>
        <w:t>件</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1、费用计算：按签约合同价包干，除合同另有约定外，服务费在结算时不作调整。</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预付款：合同生效并提交履约担保以及具备实施条件起7个工作日内支付合同总价20%的预付款(乙方在签订合同时，表示无需预付款或主动要求降低预付款比例的，可不适用本条款)。若需要付预付款，预付款支付前乙方须提交等额的银行、保险公司等金融机构出具的预付款保函或其他担保措施。</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3、进度款：服务费按季度支付，结合每月考核情况进行结算。进度款先从预付款中扣除相应金额，待预付款抵扣完后再另行按实支付。 </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3.1季度服务费=年度服务费/4-月度（本季度）考核扣罚-月度（本季度）直接扣罚款（考核经济处罚）。</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4、因物价变动或其他因素而导致的服务费用的增加，包含在合同价中，采购人不予调整。</w:t>
      </w:r>
    </w:p>
    <w:p>
      <w:pPr>
        <w:spacing w:line="440" w:lineRule="exact"/>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5、采购人在向供应商支付服务费前，供应商人应向采购人提供同等数额的正规增值税专用发票。6、合同履行及结算时增值税税率按最新政策实施</w:t>
      </w:r>
      <w:r>
        <w:rPr>
          <w:rFonts w:hint="eastAsia" w:ascii="宋体" w:hAnsi="宋体" w:cs="宋体"/>
          <w:color w:val="auto"/>
          <w:szCs w:val="21"/>
          <w:highlight w:val="none"/>
        </w:rPr>
        <w:t>。</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cs="宋体"/>
          <w:b/>
          <w:color w:val="auto"/>
          <w:szCs w:val="21"/>
          <w:highlight w:val="none"/>
        </w:rPr>
        <w:t>税费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本合同</w:t>
      </w:r>
      <w:r>
        <w:rPr>
          <w:rFonts w:hint="eastAsia" w:ascii="宋体" w:hAnsi="宋体" w:cs="宋体"/>
          <w:color w:val="auto"/>
          <w:szCs w:val="21"/>
          <w:highlight w:val="none"/>
        </w:rPr>
        <w:t>执</w:t>
      </w:r>
      <w:r>
        <w:rPr>
          <w:rFonts w:hint="eastAsia" w:ascii="宋体" w:hAnsi="宋体" w:cs="Dotum"/>
          <w:color w:val="auto"/>
          <w:szCs w:val="21"/>
          <w:highlight w:val="none"/>
        </w:rPr>
        <w:t>行中相</w:t>
      </w:r>
      <w:r>
        <w:rPr>
          <w:rFonts w:hint="eastAsia" w:ascii="宋体" w:hAnsi="宋体" w:cs="宋体"/>
          <w:color w:val="auto"/>
          <w:szCs w:val="21"/>
          <w:highlight w:val="none"/>
        </w:rPr>
        <w:t>关</w:t>
      </w:r>
      <w:r>
        <w:rPr>
          <w:rFonts w:hint="eastAsia" w:ascii="宋体" w:hAnsi="宋体" w:cs="Dotum"/>
          <w:color w:val="auto"/>
          <w:szCs w:val="21"/>
          <w:highlight w:val="none"/>
        </w:rPr>
        <w:t>的一切</w:t>
      </w:r>
      <w:r>
        <w:rPr>
          <w:rFonts w:hint="eastAsia" w:ascii="宋体" w:hAnsi="宋体" w:cs="宋体"/>
          <w:color w:val="auto"/>
          <w:szCs w:val="21"/>
          <w:highlight w:val="none"/>
        </w:rPr>
        <w:t>税费</w:t>
      </w:r>
      <w:r>
        <w:rPr>
          <w:rFonts w:hint="eastAsia" w:ascii="宋体" w:hAnsi="宋体" w:cs="Dotum"/>
          <w:color w:val="auto"/>
          <w:szCs w:val="21"/>
          <w:highlight w:val="none"/>
        </w:rPr>
        <w:t>均由乙方</w:t>
      </w:r>
      <w:r>
        <w:rPr>
          <w:rFonts w:hint="eastAsia" w:ascii="宋体" w:hAnsi="宋体" w:cs="宋体"/>
          <w:color w:val="auto"/>
          <w:szCs w:val="21"/>
          <w:highlight w:val="none"/>
        </w:rPr>
        <w:t>负</w:t>
      </w:r>
      <w:r>
        <w:rPr>
          <w:rFonts w:hint="eastAsia" w:ascii="宋体" w:hAnsi="宋体" w:cs="Dotum"/>
          <w:color w:val="auto"/>
          <w:szCs w:val="21"/>
          <w:highlight w:val="none"/>
        </w:rPr>
        <w:t>担。</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十一、</w:t>
      </w:r>
      <w:r>
        <w:rPr>
          <w:rFonts w:hint="eastAsia" w:ascii="宋体" w:hAnsi="宋体" w:cs="宋体"/>
          <w:b/>
          <w:color w:val="auto"/>
          <w:szCs w:val="21"/>
          <w:highlight w:val="none"/>
        </w:rPr>
        <w:t>质</w:t>
      </w:r>
      <w:r>
        <w:rPr>
          <w:rFonts w:hint="eastAsia" w:ascii="宋体" w:hAnsi="宋体" w:cs="Dotum"/>
          <w:b/>
          <w:color w:val="auto"/>
          <w:szCs w:val="21"/>
          <w:highlight w:val="none"/>
        </w:rPr>
        <w:t>量保</w:t>
      </w:r>
      <w:r>
        <w:rPr>
          <w:rFonts w:hint="eastAsia" w:ascii="宋体" w:hAnsi="宋体" w:cs="宋体"/>
          <w:b/>
          <w:color w:val="auto"/>
          <w:szCs w:val="21"/>
          <w:highlight w:val="none"/>
        </w:rPr>
        <w:t>证</w:t>
      </w:r>
      <w:r>
        <w:rPr>
          <w:rFonts w:hint="eastAsia" w:ascii="宋体" w:hAnsi="宋体" w:cs="Dotum"/>
          <w:b/>
          <w:color w:val="auto"/>
          <w:szCs w:val="21"/>
          <w:highlight w:val="none"/>
        </w:rPr>
        <w:t>及后</w:t>
      </w:r>
      <w:r>
        <w:rPr>
          <w:rFonts w:hint="eastAsia" w:ascii="宋体" w:hAnsi="宋体" w:cs="宋体"/>
          <w:b/>
          <w:color w:val="auto"/>
          <w:szCs w:val="21"/>
          <w:highlight w:val="none"/>
        </w:rPr>
        <w:t>续</w:t>
      </w:r>
      <w:r>
        <w:rPr>
          <w:rFonts w:hint="eastAsia" w:ascii="宋体" w:hAnsi="宋体" w:cs="Dotum"/>
          <w:b/>
          <w:color w:val="auto"/>
          <w:szCs w:val="21"/>
          <w:highlight w:val="none"/>
        </w:rPr>
        <w:t>服</w:t>
      </w:r>
      <w:r>
        <w:rPr>
          <w:rFonts w:hint="eastAsia" w:ascii="宋体" w:hAnsi="宋体" w:cs="宋体"/>
          <w:b/>
          <w:color w:val="auto"/>
          <w:szCs w:val="21"/>
          <w:highlight w:val="none"/>
        </w:rPr>
        <w:t>务</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w:t>
      </w:r>
      <w:r>
        <w:rPr>
          <w:rFonts w:hint="eastAsia" w:ascii="宋体" w:hAnsi="宋体" w:cs="宋体"/>
          <w:color w:val="auto"/>
          <w:szCs w:val="21"/>
          <w:highlight w:val="none"/>
        </w:rPr>
        <w:t>应</w:t>
      </w:r>
      <w:r>
        <w:rPr>
          <w:rFonts w:hint="eastAsia" w:ascii="宋体" w:hAnsi="宋体" w:cs="Dotum"/>
          <w:color w:val="auto"/>
          <w:szCs w:val="21"/>
          <w:highlight w:val="none"/>
        </w:rPr>
        <w:t>按招</w:t>
      </w:r>
      <w:r>
        <w:rPr>
          <w:rFonts w:hint="eastAsia" w:ascii="宋体" w:hAnsi="宋体" w:cs="宋体"/>
          <w:color w:val="auto"/>
          <w:szCs w:val="21"/>
          <w:highlight w:val="none"/>
        </w:rPr>
        <w:t>标</w:t>
      </w:r>
      <w:r>
        <w:rPr>
          <w:rFonts w:hint="eastAsia" w:ascii="宋体" w:hAnsi="宋体" w:cs="Dotum"/>
          <w:color w:val="auto"/>
          <w:szCs w:val="21"/>
          <w:highlight w:val="none"/>
        </w:rPr>
        <w:t>文件</w:t>
      </w:r>
      <w:r>
        <w:rPr>
          <w:rFonts w:hint="eastAsia" w:ascii="宋体" w:hAnsi="宋体" w:cs="宋体"/>
          <w:color w:val="auto"/>
          <w:szCs w:val="21"/>
          <w:highlight w:val="none"/>
        </w:rPr>
        <w:t>规</w:t>
      </w:r>
      <w:r>
        <w:rPr>
          <w:rFonts w:hint="eastAsia" w:ascii="宋体" w:hAnsi="宋体" w:cs="Dotum"/>
          <w:color w:val="auto"/>
          <w:szCs w:val="21"/>
          <w:highlight w:val="none"/>
        </w:rPr>
        <w:t>定向甲方提供服</w:t>
      </w:r>
      <w:r>
        <w:rPr>
          <w:rFonts w:hint="eastAsia" w:ascii="宋体" w:hAnsi="宋体" w:cs="宋体"/>
          <w:color w:val="auto"/>
          <w:szCs w:val="21"/>
          <w:highlight w:val="none"/>
        </w:rPr>
        <w:t>务</w:t>
      </w:r>
      <w:r>
        <w:rPr>
          <w:rFonts w:hint="eastAsia" w:ascii="宋体" w:hAnsi="宋体" w:cs="Dotum"/>
          <w:color w:val="auto"/>
          <w:szCs w:val="21"/>
          <w:highlight w:val="none"/>
        </w:rPr>
        <w:t>。</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、乙方提供的服</w:t>
      </w:r>
      <w:r>
        <w:rPr>
          <w:rFonts w:hint="eastAsia" w:ascii="宋体" w:hAnsi="宋体" w:cs="宋体"/>
          <w:color w:val="auto"/>
          <w:szCs w:val="21"/>
          <w:highlight w:val="none"/>
        </w:rPr>
        <w:t>务</w:t>
      </w:r>
      <w:r>
        <w:rPr>
          <w:rFonts w:hint="eastAsia" w:ascii="宋体" w:hAnsi="宋体" w:cs="Dotum"/>
          <w:color w:val="auto"/>
          <w:szCs w:val="21"/>
          <w:highlight w:val="none"/>
        </w:rPr>
        <w:t>未</w:t>
      </w:r>
      <w:r>
        <w:rPr>
          <w:rFonts w:hint="eastAsia" w:ascii="宋体" w:hAnsi="宋体" w:cs="宋体"/>
          <w:color w:val="auto"/>
          <w:szCs w:val="21"/>
          <w:highlight w:val="none"/>
        </w:rPr>
        <w:t>达</w:t>
      </w:r>
      <w:r>
        <w:rPr>
          <w:rFonts w:hint="eastAsia" w:ascii="宋体" w:hAnsi="宋体" w:cs="Dotum"/>
          <w:color w:val="auto"/>
          <w:szCs w:val="21"/>
          <w:highlight w:val="none"/>
        </w:rPr>
        <w:t>到甲方要求的，乙方</w:t>
      </w:r>
      <w:r>
        <w:rPr>
          <w:rFonts w:hint="eastAsia" w:ascii="宋体" w:hAnsi="宋体" w:cs="宋体"/>
          <w:color w:val="auto"/>
          <w:szCs w:val="21"/>
          <w:highlight w:val="none"/>
        </w:rPr>
        <w:t>应负责</w:t>
      </w:r>
      <w:r>
        <w:rPr>
          <w:rFonts w:hint="eastAsia" w:ascii="宋体" w:hAnsi="宋体" w:cs="Dotum"/>
          <w:color w:val="auto"/>
          <w:szCs w:val="21"/>
          <w:highlight w:val="none"/>
        </w:rPr>
        <w:t>免</w:t>
      </w:r>
      <w:r>
        <w:rPr>
          <w:rFonts w:hint="eastAsia" w:ascii="宋体" w:hAnsi="宋体" w:cs="宋体"/>
          <w:color w:val="auto"/>
          <w:szCs w:val="21"/>
          <w:highlight w:val="none"/>
        </w:rPr>
        <w:t>费</w:t>
      </w:r>
      <w:r>
        <w:rPr>
          <w:rFonts w:hint="eastAsia" w:ascii="宋体" w:hAnsi="宋体" w:cs="Dotum"/>
          <w:color w:val="auto"/>
          <w:szCs w:val="21"/>
          <w:highlight w:val="none"/>
        </w:rPr>
        <w:t>提供后</w:t>
      </w:r>
      <w:r>
        <w:rPr>
          <w:rFonts w:hint="eastAsia" w:ascii="宋体" w:hAnsi="宋体" w:cs="宋体"/>
          <w:color w:val="auto"/>
          <w:szCs w:val="21"/>
          <w:highlight w:val="none"/>
        </w:rPr>
        <w:t>续</w:t>
      </w:r>
      <w:r>
        <w:rPr>
          <w:rFonts w:hint="eastAsia" w:ascii="宋体" w:hAnsi="宋体" w:cs="Dotum"/>
          <w:color w:val="auto"/>
          <w:szCs w:val="21"/>
          <w:highlight w:val="none"/>
        </w:rPr>
        <w:t>服</w:t>
      </w:r>
      <w:r>
        <w:rPr>
          <w:rFonts w:hint="eastAsia" w:ascii="宋体" w:hAnsi="宋体" w:cs="宋体"/>
          <w:color w:val="auto"/>
          <w:szCs w:val="21"/>
          <w:highlight w:val="none"/>
        </w:rPr>
        <w:t>务</w:t>
      </w:r>
      <w:r>
        <w:rPr>
          <w:rFonts w:hint="eastAsia" w:ascii="宋体" w:hAnsi="宋体" w:cs="Dotum"/>
          <w:color w:val="auto"/>
          <w:szCs w:val="21"/>
          <w:highlight w:val="none"/>
        </w:rPr>
        <w:t>。</w:t>
      </w:r>
      <w:r>
        <w:rPr>
          <w:rFonts w:hint="eastAsia" w:ascii="宋体" w:hAnsi="宋体" w:cs="宋体"/>
          <w:color w:val="auto"/>
          <w:szCs w:val="21"/>
          <w:highlight w:val="none"/>
        </w:rPr>
        <w:t>对达</w:t>
      </w:r>
      <w:r>
        <w:rPr>
          <w:rFonts w:hint="eastAsia" w:ascii="宋体" w:hAnsi="宋体" w:cs="Dotum"/>
          <w:color w:val="auto"/>
          <w:szCs w:val="21"/>
          <w:highlight w:val="none"/>
        </w:rPr>
        <w:t>不到要求者，根据</w:t>
      </w:r>
      <w:r>
        <w:rPr>
          <w:rFonts w:hint="eastAsia" w:ascii="宋体" w:hAnsi="宋体" w:cs="宋体"/>
          <w:color w:val="auto"/>
          <w:szCs w:val="21"/>
          <w:highlight w:val="none"/>
        </w:rPr>
        <w:t>实际</w:t>
      </w:r>
      <w:r>
        <w:rPr>
          <w:rFonts w:hint="eastAsia" w:ascii="宋体" w:hAnsi="宋体" w:cs="Dotum"/>
          <w:color w:val="auto"/>
          <w:szCs w:val="21"/>
          <w:highlight w:val="none"/>
        </w:rPr>
        <w:t>情</w:t>
      </w:r>
      <w:r>
        <w:rPr>
          <w:rFonts w:hint="eastAsia" w:ascii="宋体" w:hAnsi="宋体" w:cs="宋体"/>
          <w:color w:val="auto"/>
          <w:szCs w:val="21"/>
          <w:highlight w:val="none"/>
        </w:rPr>
        <w:t>况</w:t>
      </w:r>
      <w:r>
        <w:rPr>
          <w:rFonts w:hint="eastAsia" w:ascii="宋体" w:hAnsi="宋体" w:cs="Dotum"/>
          <w:color w:val="auto"/>
          <w:szCs w:val="21"/>
          <w:highlight w:val="none"/>
        </w:rPr>
        <w:t>，</w:t>
      </w:r>
      <w:r>
        <w:rPr>
          <w:rFonts w:hint="eastAsia" w:ascii="宋体" w:hAnsi="宋体" w:cs="宋体"/>
          <w:color w:val="auto"/>
          <w:szCs w:val="21"/>
          <w:highlight w:val="none"/>
        </w:rPr>
        <w:t>经双</w:t>
      </w:r>
      <w:r>
        <w:rPr>
          <w:rFonts w:hint="eastAsia" w:ascii="宋体" w:hAnsi="宋体" w:cs="Dotum"/>
          <w:color w:val="auto"/>
          <w:szCs w:val="21"/>
          <w:highlight w:val="none"/>
        </w:rPr>
        <w:t>方</w:t>
      </w:r>
      <w:r>
        <w:rPr>
          <w:rFonts w:hint="eastAsia" w:ascii="宋体" w:hAnsi="宋体" w:cs="宋体"/>
          <w:color w:val="auto"/>
          <w:szCs w:val="21"/>
          <w:highlight w:val="none"/>
        </w:rPr>
        <w:t>协</w:t>
      </w:r>
      <w:r>
        <w:rPr>
          <w:rFonts w:hint="eastAsia" w:ascii="宋体" w:hAnsi="宋体" w:cs="Dotum"/>
          <w:color w:val="auto"/>
          <w:szCs w:val="21"/>
          <w:highlight w:val="none"/>
        </w:rPr>
        <w:t>商，可按以下</w:t>
      </w:r>
      <w:r>
        <w:rPr>
          <w:rFonts w:hint="eastAsia" w:ascii="宋体" w:hAnsi="宋体" w:cs="宋体"/>
          <w:color w:val="auto"/>
          <w:szCs w:val="21"/>
          <w:highlight w:val="none"/>
        </w:rPr>
        <w:t>办</w:t>
      </w:r>
      <w:r>
        <w:rPr>
          <w:rFonts w:hint="eastAsia" w:ascii="宋体" w:hAnsi="宋体" w:cs="Dotum"/>
          <w:color w:val="auto"/>
          <w:szCs w:val="21"/>
          <w:highlight w:val="none"/>
        </w:rPr>
        <w:t>法</w:t>
      </w:r>
      <w:r>
        <w:rPr>
          <w:rFonts w:hint="eastAsia" w:ascii="宋体" w:hAnsi="宋体" w:cs="宋体"/>
          <w:color w:val="auto"/>
          <w:szCs w:val="21"/>
          <w:highlight w:val="none"/>
        </w:rPr>
        <w:t>处</w:t>
      </w:r>
      <w:r>
        <w:rPr>
          <w:rFonts w:hint="eastAsia" w:ascii="宋体" w:hAnsi="宋体" w:cs="Dotum"/>
          <w:color w:val="auto"/>
          <w:szCs w:val="21"/>
          <w:highlight w:val="none"/>
        </w:rPr>
        <w:t>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）重做：由乙方承担所</w:t>
      </w:r>
      <w:r>
        <w:rPr>
          <w:rFonts w:hint="eastAsia" w:ascii="宋体" w:hAnsi="宋体" w:cs="宋体"/>
          <w:color w:val="auto"/>
          <w:szCs w:val="21"/>
          <w:highlight w:val="none"/>
        </w:rPr>
        <w:t>发</w:t>
      </w:r>
      <w:r>
        <w:rPr>
          <w:rFonts w:hint="eastAsia" w:ascii="宋体" w:hAnsi="宋体" w:cs="Dotum"/>
          <w:color w:val="auto"/>
          <w:szCs w:val="21"/>
          <w:highlight w:val="none"/>
        </w:rPr>
        <w:t>生的全部</w:t>
      </w:r>
      <w:r>
        <w:rPr>
          <w:rFonts w:hint="eastAsia" w:ascii="宋体" w:hAnsi="宋体" w:cs="宋体"/>
          <w:color w:val="auto"/>
          <w:szCs w:val="21"/>
          <w:highlight w:val="none"/>
        </w:rPr>
        <w:t>费</w:t>
      </w:r>
      <w:r>
        <w:rPr>
          <w:rFonts w:hint="eastAsia" w:ascii="宋体" w:hAnsi="宋体" w:cs="Dotum"/>
          <w:color w:val="auto"/>
          <w:szCs w:val="21"/>
          <w:highlight w:val="none"/>
        </w:rPr>
        <w:t>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）解除合同。</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、如在服</w:t>
      </w:r>
      <w:r>
        <w:rPr>
          <w:rFonts w:hint="eastAsia" w:ascii="宋体" w:hAnsi="宋体" w:cs="宋体"/>
          <w:color w:val="auto"/>
          <w:szCs w:val="21"/>
          <w:highlight w:val="none"/>
        </w:rPr>
        <w:t>务过</w:t>
      </w:r>
      <w:r>
        <w:rPr>
          <w:rFonts w:hint="eastAsia" w:ascii="宋体" w:hAnsi="宋体" w:cs="Dotum"/>
          <w:color w:val="auto"/>
          <w:szCs w:val="21"/>
          <w:highlight w:val="none"/>
        </w:rPr>
        <w:t>程中</w:t>
      </w:r>
      <w:r>
        <w:rPr>
          <w:rFonts w:hint="eastAsia" w:ascii="宋体" w:hAnsi="宋体" w:cs="宋体"/>
          <w:color w:val="auto"/>
          <w:szCs w:val="21"/>
          <w:highlight w:val="none"/>
        </w:rPr>
        <w:t>发</w:t>
      </w:r>
      <w:r>
        <w:rPr>
          <w:rFonts w:hint="eastAsia" w:ascii="宋体" w:hAnsi="宋体" w:cs="Dotum"/>
          <w:color w:val="auto"/>
          <w:szCs w:val="21"/>
          <w:highlight w:val="none"/>
        </w:rPr>
        <w:t>生</w:t>
      </w:r>
      <w:r>
        <w:rPr>
          <w:rFonts w:hint="eastAsia" w:ascii="宋体" w:hAnsi="宋体" w:cs="宋体"/>
          <w:color w:val="auto"/>
          <w:szCs w:val="21"/>
          <w:highlight w:val="none"/>
        </w:rPr>
        <w:t>问题</w:t>
      </w:r>
      <w:r>
        <w:rPr>
          <w:rFonts w:hint="eastAsia" w:ascii="宋体" w:hAnsi="宋体" w:cs="Dotum"/>
          <w:color w:val="auto"/>
          <w:szCs w:val="21"/>
          <w:highlight w:val="none"/>
        </w:rPr>
        <w:t>，乙方在接到甲方通知后在</w:t>
      </w:r>
      <w:r>
        <w:rPr>
          <w:rFonts w:ascii="宋体" w:hAnsi="宋体"/>
          <w:color w:val="auto"/>
          <w:szCs w:val="21"/>
          <w:highlight w:val="none"/>
        </w:rPr>
        <w:t>3</w:t>
      </w:r>
      <w:r>
        <w:rPr>
          <w:rFonts w:hint="eastAsia" w:ascii="宋体" w:hAnsi="宋体"/>
          <w:color w:val="auto"/>
          <w:szCs w:val="21"/>
          <w:highlight w:val="none"/>
        </w:rPr>
        <w:t>小</w:t>
      </w:r>
      <w:r>
        <w:rPr>
          <w:rFonts w:hint="eastAsia" w:ascii="宋体" w:hAnsi="宋体" w:cs="宋体"/>
          <w:color w:val="auto"/>
          <w:szCs w:val="21"/>
          <w:highlight w:val="none"/>
        </w:rPr>
        <w:t>时内</w:t>
      </w:r>
      <w:r>
        <w:rPr>
          <w:rFonts w:hint="eastAsia" w:ascii="宋体" w:hAnsi="宋体" w:cs="Dotum"/>
          <w:color w:val="auto"/>
          <w:szCs w:val="21"/>
          <w:highlight w:val="none"/>
        </w:rPr>
        <w:t>到</w:t>
      </w:r>
      <w:r>
        <w:rPr>
          <w:rFonts w:hint="eastAsia" w:ascii="宋体" w:hAnsi="宋体" w:cs="宋体"/>
          <w:color w:val="auto"/>
          <w:szCs w:val="21"/>
          <w:highlight w:val="none"/>
        </w:rPr>
        <w:t>达</w:t>
      </w:r>
      <w:r>
        <w:rPr>
          <w:rFonts w:hint="eastAsia" w:ascii="宋体" w:hAnsi="宋体" w:cs="Dotum"/>
          <w:color w:val="auto"/>
          <w:szCs w:val="21"/>
          <w:highlight w:val="none"/>
        </w:rPr>
        <w:t>甲方</w:t>
      </w:r>
      <w:r>
        <w:rPr>
          <w:rFonts w:hint="eastAsia" w:ascii="宋体" w:hAnsi="宋体" w:cs="宋体"/>
          <w:color w:val="auto"/>
          <w:szCs w:val="21"/>
          <w:highlight w:val="none"/>
        </w:rPr>
        <w:t>现场处</w:t>
      </w:r>
      <w:r>
        <w:rPr>
          <w:rFonts w:hint="eastAsia" w:ascii="宋体" w:hAnsi="宋体" w:cs="Dotum"/>
          <w:color w:val="auto"/>
          <w:szCs w:val="21"/>
          <w:highlight w:val="none"/>
        </w:rPr>
        <w:t>理。</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十二、</w:t>
      </w:r>
      <w:r>
        <w:rPr>
          <w:rFonts w:hint="eastAsia" w:ascii="宋体" w:hAnsi="宋体" w:cs="宋体"/>
          <w:b/>
          <w:color w:val="auto"/>
          <w:szCs w:val="21"/>
          <w:highlight w:val="none"/>
        </w:rPr>
        <w:t>违约责</w:t>
      </w:r>
      <w:r>
        <w:rPr>
          <w:rFonts w:hint="eastAsia" w:ascii="宋体" w:hAnsi="宋体" w:cs="Dotum"/>
          <w:b/>
          <w:color w:val="auto"/>
          <w:szCs w:val="21"/>
          <w:highlight w:val="none"/>
        </w:rPr>
        <w:t>任</w:t>
      </w:r>
    </w:p>
    <w:p>
      <w:pPr>
        <w:spacing w:line="440" w:lineRule="exact"/>
        <w:ind w:firstLine="420" w:firstLineChars="200"/>
        <w:rPr>
          <w:rFonts w:hint="eastAsia" w:ascii="宋体" w:hAnsi="宋体" w:cs="Dotum"/>
          <w:color w:val="auto"/>
          <w:szCs w:val="21"/>
          <w:highlight w:val="none"/>
        </w:rPr>
      </w:pPr>
      <w:r>
        <w:rPr>
          <w:rFonts w:ascii="宋体" w:hAnsi="宋体"/>
          <w:color w:val="auto"/>
          <w:szCs w:val="21"/>
          <w:highlight w:val="none"/>
        </w:rPr>
        <w:t>1</w:t>
      </w:r>
      <w:r>
        <w:rPr>
          <w:rFonts w:hint="eastAsia" w:ascii="宋体" w:hAnsi="宋体"/>
          <w:color w:val="auto"/>
          <w:szCs w:val="21"/>
          <w:highlight w:val="none"/>
        </w:rPr>
        <w:t>、甲方无正</w:t>
      </w:r>
      <w:r>
        <w:rPr>
          <w:rFonts w:hint="eastAsia" w:ascii="宋体" w:hAnsi="宋体" w:cs="宋体"/>
          <w:color w:val="auto"/>
          <w:szCs w:val="21"/>
          <w:highlight w:val="none"/>
        </w:rPr>
        <w:t>当</w:t>
      </w:r>
      <w:r>
        <w:rPr>
          <w:rFonts w:hint="eastAsia" w:ascii="宋体" w:hAnsi="宋体" w:cs="Dotum"/>
          <w:color w:val="auto"/>
          <w:szCs w:val="21"/>
          <w:highlight w:val="none"/>
        </w:rPr>
        <w:t>理由拒接受服</w:t>
      </w:r>
      <w:r>
        <w:rPr>
          <w:rFonts w:hint="eastAsia" w:ascii="宋体" w:hAnsi="宋体" w:cs="宋体"/>
          <w:color w:val="auto"/>
          <w:szCs w:val="21"/>
          <w:highlight w:val="none"/>
        </w:rPr>
        <w:t>务</w:t>
      </w:r>
      <w:r>
        <w:rPr>
          <w:rFonts w:hint="eastAsia" w:ascii="宋体" w:hAnsi="宋体" w:cs="Dotum"/>
          <w:color w:val="auto"/>
          <w:szCs w:val="21"/>
          <w:highlight w:val="none"/>
        </w:rPr>
        <w:t>的，甲方向乙方</w:t>
      </w:r>
      <w:r>
        <w:rPr>
          <w:rFonts w:hint="eastAsia" w:ascii="宋体" w:hAnsi="宋体" w:cs="宋体"/>
          <w:color w:val="auto"/>
          <w:szCs w:val="21"/>
          <w:highlight w:val="none"/>
        </w:rPr>
        <w:t>偿</w:t>
      </w:r>
      <w:r>
        <w:rPr>
          <w:rFonts w:hint="eastAsia" w:ascii="宋体" w:hAnsi="宋体" w:cs="Dotum"/>
          <w:color w:val="auto"/>
          <w:szCs w:val="21"/>
          <w:highlight w:val="none"/>
        </w:rPr>
        <w:t>付合同款</w:t>
      </w:r>
      <w:r>
        <w:rPr>
          <w:rFonts w:hint="eastAsia" w:ascii="宋体" w:hAnsi="宋体" w:cs="宋体"/>
          <w:color w:val="auto"/>
          <w:szCs w:val="21"/>
          <w:highlight w:val="none"/>
        </w:rPr>
        <w:t>项</w:t>
      </w:r>
      <w:r>
        <w:rPr>
          <w:rFonts w:hint="eastAsia" w:ascii="宋体" w:hAnsi="宋体" w:cs="Dotum"/>
          <w:color w:val="auto"/>
          <w:szCs w:val="21"/>
          <w:highlight w:val="none"/>
        </w:rPr>
        <w:t>百分之五作</w:t>
      </w:r>
      <w:r>
        <w:rPr>
          <w:rFonts w:hint="eastAsia" w:ascii="宋体" w:hAnsi="宋体" w:cs="宋体"/>
          <w:color w:val="auto"/>
          <w:szCs w:val="21"/>
          <w:highlight w:val="none"/>
        </w:rPr>
        <w:t>为违约</w:t>
      </w:r>
      <w:r>
        <w:rPr>
          <w:rFonts w:hint="eastAsia" w:ascii="宋体" w:hAnsi="宋体" w:cs="Dotum"/>
          <w:color w:val="auto"/>
          <w:szCs w:val="21"/>
          <w:highlight w:val="none"/>
        </w:rPr>
        <w:t>金。</w:t>
      </w:r>
    </w:p>
    <w:p>
      <w:pPr>
        <w:spacing w:line="440" w:lineRule="exact"/>
        <w:ind w:firstLine="420" w:firstLineChars="200"/>
        <w:rPr>
          <w:rFonts w:hint="eastAsia" w:ascii="宋体" w:hAnsi="宋体" w:cs="Dotum"/>
          <w:color w:val="auto"/>
          <w:szCs w:val="21"/>
          <w:highlight w:val="none"/>
        </w:rPr>
      </w:pPr>
      <w:r>
        <w:rPr>
          <w:rFonts w:hint="eastAsia" w:ascii="宋体" w:hAnsi="宋体" w:cs="Dotum"/>
          <w:color w:val="auto"/>
          <w:szCs w:val="21"/>
          <w:highlight w:val="none"/>
          <w:lang w:val="en-US" w:eastAsia="zh-CN"/>
        </w:rPr>
        <w:t>2</w:t>
      </w:r>
      <w:r>
        <w:rPr>
          <w:rFonts w:hint="eastAsia" w:ascii="宋体" w:hAnsi="宋体" w:cs="Dotum"/>
          <w:color w:val="auto"/>
          <w:szCs w:val="21"/>
          <w:highlight w:val="none"/>
        </w:rPr>
        <w:t>、甲方将不定期对乙方的服务内容进行现场</w:t>
      </w:r>
      <w:r>
        <w:rPr>
          <w:rFonts w:hint="eastAsia" w:ascii="宋体" w:hAnsi="宋体" w:cs="Dotum"/>
          <w:color w:val="auto"/>
          <w:szCs w:val="21"/>
          <w:highlight w:val="none"/>
          <w:lang w:val="en-US" w:eastAsia="zh-CN"/>
        </w:rPr>
        <w:t>检查</w:t>
      </w:r>
      <w:r>
        <w:rPr>
          <w:rFonts w:hint="eastAsia" w:ascii="宋体" w:hAnsi="宋体" w:cs="Dotum"/>
          <w:color w:val="auto"/>
          <w:szCs w:val="21"/>
          <w:highlight w:val="none"/>
        </w:rPr>
        <w:t>，每发现一次</w:t>
      </w:r>
      <w:r>
        <w:rPr>
          <w:rFonts w:hint="eastAsia" w:ascii="宋体" w:hAnsi="宋体" w:cs="Dotum"/>
          <w:color w:val="auto"/>
          <w:szCs w:val="21"/>
          <w:highlight w:val="none"/>
          <w:lang w:val="en-US" w:eastAsia="zh-CN"/>
        </w:rPr>
        <w:t>重大安全隐患或严重质量问题</w:t>
      </w:r>
      <w:r>
        <w:rPr>
          <w:rFonts w:hint="eastAsia" w:ascii="宋体" w:hAnsi="宋体" w:cs="Dotum"/>
          <w:color w:val="auto"/>
          <w:szCs w:val="21"/>
          <w:highlight w:val="none"/>
        </w:rPr>
        <w:t>的，扣违约金人民币5000元整。</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、乙方</w:t>
      </w:r>
      <w:r>
        <w:rPr>
          <w:rFonts w:hint="eastAsia" w:ascii="宋体" w:hAnsi="宋体" w:cs="宋体"/>
          <w:color w:val="auto"/>
          <w:szCs w:val="21"/>
          <w:highlight w:val="none"/>
        </w:rPr>
        <w:t>须与</w:t>
      </w:r>
      <w:r>
        <w:rPr>
          <w:rFonts w:hint="eastAsia" w:ascii="宋体" w:hAnsi="宋体" w:cs="Dotum"/>
          <w:color w:val="auto"/>
          <w:szCs w:val="21"/>
          <w:highlight w:val="none"/>
        </w:rPr>
        <w:t>甲方</w:t>
      </w:r>
      <w:r>
        <w:rPr>
          <w:rFonts w:hint="eastAsia" w:ascii="宋体" w:hAnsi="宋体" w:cs="宋体"/>
          <w:color w:val="auto"/>
          <w:szCs w:val="21"/>
          <w:highlight w:val="none"/>
        </w:rPr>
        <w:t>签订</w:t>
      </w:r>
      <w:r>
        <w:rPr>
          <w:rFonts w:hint="eastAsia" w:ascii="宋体" w:hAnsi="宋体" w:cs="Dotum"/>
          <w:color w:val="auto"/>
          <w:szCs w:val="21"/>
          <w:highlight w:val="none"/>
        </w:rPr>
        <w:t>保密</w:t>
      </w:r>
      <w:r>
        <w:rPr>
          <w:rFonts w:hint="eastAsia" w:ascii="宋体" w:hAnsi="宋体" w:cs="宋体"/>
          <w:color w:val="auto"/>
          <w:szCs w:val="21"/>
          <w:highlight w:val="none"/>
        </w:rPr>
        <w:t>协议</w:t>
      </w:r>
      <w:r>
        <w:rPr>
          <w:rFonts w:hint="eastAsia" w:ascii="宋体" w:hAnsi="宋体" w:cs="Dotum"/>
          <w:color w:val="auto"/>
          <w:szCs w:val="21"/>
          <w:highlight w:val="none"/>
        </w:rPr>
        <w:t>，确保不得</w:t>
      </w:r>
      <w:r>
        <w:rPr>
          <w:rFonts w:hint="eastAsia" w:ascii="宋体" w:hAnsi="宋体" w:cs="宋体"/>
          <w:color w:val="auto"/>
          <w:szCs w:val="21"/>
          <w:highlight w:val="none"/>
        </w:rPr>
        <w:t>将</w:t>
      </w:r>
      <w:r>
        <w:rPr>
          <w:rFonts w:hint="eastAsia" w:ascii="宋体" w:hAnsi="宋体" w:cs="Dotum"/>
          <w:color w:val="auto"/>
          <w:szCs w:val="21"/>
          <w:highlight w:val="none"/>
        </w:rPr>
        <w:t>保密信息披露</w:t>
      </w:r>
      <w:r>
        <w:rPr>
          <w:rFonts w:hint="eastAsia" w:ascii="宋体" w:hAnsi="宋体" w:cs="宋体"/>
          <w:color w:val="auto"/>
          <w:szCs w:val="21"/>
          <w:highlight w:val="none"/>
        </w:rPr>
        <w:t>给</w:t>
      </w:r>
      <w:r>
        <w:rPr>
          <w:rFonts w:hint="eastAsia" w:ascii="宋体" w:hAnsi="宋体" w:cs="Dotum"/>
          <w:color w:val="auto"/>
          <w:szCs w:val="21"/>
          <w:highlight w:val="none"/>
        </w:rPr>
        <w:t>第三方，否</w:t>
      </w:r>
      <w:r>
        <w:rPr>
          <w:rFonts w:hint="eastAsia" w:ascii="宋体" w:hAnsi="宋体" w:cs="宋体"/>
          <w:color w:val="auto"/>
          <w:szCs w:val="21"/>
          <w:highlight w:val="none"/>
        </w:rPr>
        <w:t>则</w:t>
      </w:r>
      <w:r>
        <w:rPr>
          <w:rFonts w:hint="eastAsia" w:ascii="宋体" w:hAnsi="宋体" w:cs="Dotum"/>
          <w:color w:val="auto"/>
          <w:szCs w:val="21"/>
          <w:highlight w:val="none"/>
        </w:rPr>
        <w:t>，甲方有</w:t>
      </w:r>
      <w:r>
        <w:rPr>
          <w:rFonts w:hint="eastAsia" w:ascii="宋体" w:hAnsi="宋体" w:cs="宋体"/>
          <w:color w:val="auto"/>
          <w:szCs w:val="21"/>
          <w:highlight w:val="none"/>
        </w:rPr>
        <w:t>权</w:t>
      </w:r>
      <w:r>
        <w:rPr>
          <w:rFonts w:hint="eastAsia" w:ascii="宋体" w:hAnsi="宋体" w:cs="Dotum"/>
          <w:color w:val="auto"/>
          <w:szCs w:val="21"/>
          <w:highlight w:val="none"/>
        </w:rPr>
        <w:t>解除合同，</w:t>
      </w:r>
      <w:r>
        <w:rPr>
          <w:rFonts w:hint="eastAsia" w:ascii="宋体" w:hAnsi="宋体" w:cs="宋体"/>
          <w:color w:val="auto"/>
          <w:szCs w:val="21"/>
          <w:highlight w:val="none"/>
        </w:rPr>
        <w:t>并</w:t>
      </w:r>
      <w:r>
        <w:rPr>
          <w:rFonts w:hint="eastAsia" w:ascii="宋体" w:hAnsi="宋体" w:cs="Dotum"/>
          <w:color w:val="auto"/>
          <w:szCs w:val="21"/>
          <w:highlight w:val="none"/>
        </w:rPr>
        <w:t>不予支付余款，同</w:t>
      </w:r>
      <w:r>
        <w:rPr>
          <w:rFonts w:hint="eastAsia" w:ascii="宋体" w:hAnsi="宋体" w:cs="宋体"/>
          <w:color w:val="auto"/>
          <w:szCs w:val="21"/>
          <w:highlight w:val="none"/>
        </w:rPr>
        <w:t>时</w:t>
      </w:r>
      <w:r>
        <w:rPr>
          <w:rFonts w:hint="eastAsia" w:ascii="宋体" w:hAnsi="宋体" w:cs="Dotum"/>
          <w:color w:val="auto"/>
          <w:szCs w:val="21"/>
          <w:highlight w:val="none"/>
        </w:rPr>
        <w:t>，乙方</w:t>
      </w:r>
      <w:r>
        <w:rPr>
          <w:rFonts w:hint="eastAsia" w:ascii="宋体" w:hAnsi="宋体" w:cs="宋体"/>
          <w:color w:val="auto"/>
          <w:szCs w:val="21"/>
          <w:highlight w:val="none"/>
        </w:rPr>
        <w:t>还将</w:t>
      </w:r>
      <w:r>
        <w:rPr>
          <w:rFonts w:hint="eastAsia" w:ascii="宋体" w:hAnsi="宋体" w:cs="Dotum"/>
          <w:color w:val="auto"/>
          <w:szCs w:val="21"/>
          <w:highlight w:val="none"/>
        </w:rPr>
        <w:t>承担所有</w:t>
      </w:r>
      <w:r>
        <w:rPr>
          <w:rFonts w:hint="eastAsia" w:ascii="宋体" w:hAnsi="宋体" w:cs="宋体"/>
          <w:color w:val="auto"/>
          <w:szCs w:val="21"/>
          <w:highlight w:val="none"/>
        </w:rPr>
        <w:t>责</w:t>
      </w:r>
      <w:r>
        <w:rPr>
          <w:rFonts w:hint="eastAsia" w:ascii="宋体" w:hAnsi="宋体" w:cs="Dotum"/>
          <w:color w:val="auto"/>
          <w:szCs w:val="21"/>
          <w:highlight w:val="none"/>
        </w:rPr>
        <w:t>任。</w:t>
      </w:r>
    </w:p>
    <w:p>
      <w:pPr>
        <w:spacing w:line="440" w:lineRule="exact"/>
        <w:ind w:firstLine="420" w:firstLineChars="200"/>
        <w:rPr>
          <w:rFonts w:hint="eastAsia" w:ascii="宋体" w:hAnsi="宋体" w:cs="Dotum"/>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、乙方的</w:t>
      </w:r>
      <w:r>
        <w:rPr>
          <w:rFonts w:hint="eastAsia" w:ascii="宋体" w:hAnsi="宋体" w:cs="宋体"/>
          <w:color w:val="auto"/>
          <w:szCs w:val="21"/>
          <w:highlight w:val="none"/>
        </w:rPr>
        <w:t>违约</w:t>
      </w:r>
      <w:r>
        <w:rPr>
          <w:rFonts w:hint="eastAsia" w:ascii="宋体" w:hAnsi="宋体" w:cs="Dotum"/>
          <w:color w:val="auto"/>
          <w:szCs w:val="21"/>
          <w:highlight w:val="none"/>
        </w:rPr>
        <w:t>金在余款中予以</w:t>
      </w:r>
      <w:r>
        <w:rPr>
          <w:rFonts w:hint="eastAsia" w:ascii="宋体" w:hAnsi="宋体"/>
          <w:color w:val="auto"/>
          <w:szCs w:val="21"/>
          <w:highlight w:val="none"/>
        </w:rPr>
        <w:t>扣除，如余款金</w:t>
      </w:r>
      <w:r>
        <w:rPr>
          <w:rFonts w:hint="eastAsia" w:ascii="宋体" w:hAnsi="宋体" w:cs="宋体"/>
          <w:color w:val="auto"/>
          <w:szCs w:val="21"/>
          <w:highlight w:val="none"/>
        </w:rPr>
        <w:t>额</w:t>
      </w:r>
      <w:r>
        <w:rPr>
          <w:rFonts w:hint="eastAsia" w:ascii="宋体" w:hAnsi="宋体" w:cs="Dotum"/>
          <w:color w:val="auto"/>
          <w:szCs w:val="21"/>
          <w:highlight w:val="none"/>
        </w:rPr>
        <w:t>不足以支付</w:t>
      </w:r>
      <w:r>
        <w:rPr>
          <w:rFonts w:hint="eastAsia" w:ascii="宋体" w:hAnsi="宋体" w:cs="宋体"/>
          <w:color w:val="auto"/>
          <w:szCs w:val="21"/>
          <w:highlight w:val="none"/>
        </w:rPr>
        <w:t>违约</w:t>
      </w:r>
      <w:r>
        <w:rPr>
          <w:rFonts w:hint="eastAsia" w:ascii="宋体" w:hAnsi="宋体" w:cs="Dotum"/>
          <w:color w:val="auto"/>
          <w:szCs w:val="21"/>
          <w:highlight w:val="none"/>
        </w:rPr>
        <w:t>金的，乙方</w:t>
      </w:r>
      <w:r>
        <w:rPr>
          <w:rFonts w:hint="eastAsia" w:ascii="宋体" w:hAnsi="宋体" w:cs="宋体"/>
          <w:color w:val="auto"/>
          <w:szCs w:val="21"/>
          <w:highlight w:val="none"/>
        </w:rPr>
        <w:t>应</w:t>
      </w:r>
      <w:r>
        <w:rPr>
          <w:rFonts w:hint="eastAsia" w:ascii="宋体" w:hAnsi="宋体" w:cs="Dotum"/>
          <w:color w:val="auto"/>
          <w:szCs w:val="21"/>
          <w:highlight w:val="none"/>
        </w:rPr>
        <w:t>另行支付。</w:t>
      </w:r>
    </w:p>
    <w:p>
      <w:pPr>
        <w:spacing w:line="440" w:lineRule="exact"/>
        <w:ind w:firstLine="420" w:firstLineChars="200"/>
        <w:rPr>
          <w:rFonts w:hint="eastAsia" w:ascii="宋体" w:hAnsi="宋体" w:cs="Dotum"/>
          <w:color w:val="auto"/>
          <w:szCs w:val="21"/>
          <w:highlight w:val="none"/>
        </w:rPr>
      </w:pPr>
      <w:r>
        <w:rPr>
          <w:rFonts w:hint="eastAsia" w:ascii="宋体" w:hAnsi="宋体" w:cs="Dotum"/>
          <w:color w:val="auto"/>
          <w:szCs w:val="21"/>
          <w:highlight w:val="none"/>
          <w:lang w:val="en-US" w:eastAsia="zh-CN"/>
        </w:rPr>
        <w:t>5、</w:t>
      </w:r>
      <w:r>
        <w:rPr>
          <w:rFonts w:hint="eastAsia" w:ascii="宋体" w:hAnsi="宋体" w:cs="Dotum"/>
          <w:color w:val="auto"/>
          <w:szCs w:val="21"/>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如需甲方承担的，甲方有权全额向乙方追偿。</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十三、不可抗力事件</w:t>
      </w:r>
      <w:r>
        <w:rPr>
          <w:rFonts w:hint="eastAsia" w:ascii="宋体" w:hAnsi="宋体" w:cs="宋体"/>
          <w:b/>
          <w:color w:val="auto"/>
          <w:szCs w:val="21"/>
          <w:highlight w:val="none"/>
        </w:rPr>
        <w:t>处</w:t>
      </w:r>
      <w:r>
        <w:rPr>
          <w:rFonts w:hint="eastAsia" w:ascii="宋体" w:hAnsi="宋体" w:cs="Dotum"/>
          <w:b/>
          <w:color w:val="auto"/>
          <w:szCs w:val="21"/>
          <w:highlight w:val="none"/>
        </w:rPr>
        <w:t>理</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、在合同有效期</w:t>
      </w:r>
      <w:r>
        <w:rPr>
          <w:rFonts w:hint="eastAsia" w:ascii="宋体" w:hAnsi="宋体" w:cs="宋体"/>
          <w:color w:val="auto"/>
          <w:szCs w:val="21"/>
          <w:highlight w:val="none"/>
        </w:rPr>
        <w:t>内</w:t>
      </w:r>
      <w:r>
        <w:rPr>
          <w:rFonts w:hint="eastAsia" w:ascii="宋体" w:hAnsi="宋体" w:cs="Dotum"/>
          <w:color w:val="auto"/>
          <w:szCs w:val="21"/>
          <w:highlight w:val="none"/>
        </w:rPr>
        <w:t>，任何一方因不可抗力事件</w:t>
      </w:r>
      <w:r>
        <w:rPr>
          <w:rFonts w:hint="eastAsia" w:ascii="宋体" w:hAnsi="宋体" w:cs="宋体"/>
          <w:color w:val="auto"/>
          <w:szCs w:val="21"/>
          <w:highlight w:val="none"/>
        </w:rPr>
        <w:t>导</w:t>
      </w:r>
      <w:r>
        <w:rPr>
          <w:rFonts w:hint="eastAsia" w:ascii="宋体" w:hAnsi="宋体" w:cs="Dotum"/>
          <w:color w:val="auto"/>
          <w:szCs w:val="21"/>
          <w:highlight w:val="none"/>
        </w:rPr>
        <w:t>致不能履行合同，</w:t>
      </w:r>
      <w:r>
        <w:rPr>
          <w:rFonts w:hint="eastAsia" w:ascii="宋体" w:hAnsi="宋体" w:cs="宋体"/>
          <w:color w:val="auto"/>
          <w:szCs w:val="21"/>
          <w:highlight w:val="none"/>
        </w:rPr>
        <w:t>则</w:t>
      </w:r>
      <w:r>
        <w:rPr>
          <w:rFonts w:hint="eastAsia" w:ascii="宋体" w:hAnsi="宋体" w:cs="Dotum"/>
          <w:color w:val="auto"/>
          <w:szCs w:val="21"/>
          <w:highlight w:val="none"/>
        </w:rPr>
        <w:t>合同履行期可延</w:t>
      </w:r>
      <w:r>
        <w:rPr>
          <w:rFonts w:hint="eastAsia" w:ascii="宋体" w:hAnsi="宋体" w:cs="宋体"/>
          <w:color w:val="auto"/>
          <w:szCs w:val="21"/>
          <w:highlight w:val="none"/>
        </w:rPr>
        <w:t>长</w:t>
      </w:r>
      <w:r>
        <w:rPr>
          <w:rFonts w:hint="eastAsia" w:ascii="宋体" w:hAnsi="宋体" w:cs="Dotum"/>
          <w:color w:val="auto"/>
          <w:szCs w:val="21"/>
          <w:highlight w:val="none"/>
        </w:rPr>
        <w:t>，其延</w:t>
      </w:r>
      <w:r>
        <w:rPr>
          <w:rFonts w:hint="eastAsia" w:ascii="宋体" w:hAnsi="宋体" w:cs="宋体"/>
          <w:color w:val="auto"/>
          <w:szCs w:val="21"/>
          <w:highlight w:val="none"/>
        </w:rPr>
        <w:t>长</w:t>
      </w:r>
      <w:r>
        <w:rPr>
          <w:rFonts w:hint="eastAsia" w:ascii="宋体" w:hAnsi="宋体" w:cs="Dotum"/>
          <w:color w:val="auto"/>
          <w:szCs w:val="21"/>
          <w:highlight w:val="none"/>
        </w:rPr>
        <w:t>期</w:t>
      </w:r>
      <w:r>
        <w:rPr>
          <w:rFonts w:hint="eastAsia" w:ascii="宋体" w:hAnsi="宋体" w:cs="宋体"/>
          <w:color w:val="auto"/>
          <w:szCs w:val="21"/>
          <w:highlight w:val="none"/>
        </w:rPr>
        <w:t>与</w:t>
      </w:r>
      <w:r>
        <w:rPr>
          <w:rFonts w:hint="eastAsia" w:ascii="宋体" w:hAnsi="宋体" w:cs="Dotum"/>
          <w:color w:val="auto"/>
          <w:szCs w:val="21"/>
          <w:highlight w:val="none"/>
        </w:rPr>
        <w:t>不可抗力影</w:t>
      </w:r>
      <w:r>
        <w:rPr>
          <w:rFonts w:hint="eastAsia" w:ascii="宋体" w:hAnsi="宋体" w:cs="宋体"/>
          <w:color w:val="auto"/>
          <w:szCs w:val="21"/>
          <w:highlight w:val="none"/>
        </w:rPr>
        <w:t>响</w:t>
      </w:r>
      <w:r>
        <w:rPr>
          <w:rFonts w:hint="eastAsia" w:ascii="宋体" w:hAnsi="宋体" w:cs="Dotum"/>
          <w:color w:val="auto"/>
          <w:szCs w:val="21"/>
          <w:highlight w:val="none"/>
        </w:rPr>
        <w:t>期相同。</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、不可抗力事件</w:t>
      </w:r>
      <w:r>
        <w:rPr>
          <w:rFonts w:hint="eastAsia" w:ascii="宋体" w:hAnsi="宋体" w:cs="宋体"/>
          <w:color w:val="auto"/>
          <w:szCs w:val="21"/>
          <w:highlight w:val="none"/>
        </w:rPr>
        <w:t>发</w:t>
      </w:r>
      <w:r>
        <w:rPr>
          <w:rFonts w:hint="eastAsia" w:ascii="宋体" w:hAnsi="宋体" w:cs="Dotum"/>
          <w:color w:val="auto"/>
          <w:szCs w:val="21"/>
          <w:highlight w:val="none"/>
        </w:rPr>
        <w:t>生后，</w:t>
      </w:r>
      <w:r>
        <w:rPr>
          <w:rFonts w:hint="eastAsia" w:ascii="宋体" w:hAnsi="宋体" w:cs="宋体"/>
          <w:color w:val="auto"/>
          <w:szCs w:val="21"/>
          <w:highlight w:val="none"/>
        </w:rPr>
        <w:t>应</w:t>
      </w:r>
      <w:r>
        <w:rPr>
          <w:rFonts w:hint="eastAsia" w:ascii="宋体" w:hAnsi="宋体" w:cs="Dotum"/>
          <w:color w:val="auto"/>
          <w:szCs w:val="21"/>
          <w:highlight w:val="none"/>
        </w:rPr>
        <w:t>立即通知</w:t>
      </w:r>
      <w:r>
        <w:rPr>
          <w:rFonts w:hint="eastAsia" w:ascii="宋体" w:hAnsi="宋体" w:cs="宋体"/>
          <w:color w:val="auto"/>
          <w:szCs w:val="21"/>
          <w:highlight w:val="none"/>
        </w:rPr>
        <w:t>对</w:t>
      </w:r>
      <w:r>
        <w:rPr>
          <w:rFonts w:hint="eastAsia" w:ascii="宋体" w:hAnsi="宋体" w:cs="Dotum"/>
          <w:color w:val="auto"/>
          <w:szCs w:val="21"/>
          <w:highlight w:val="none"/>
        </w:rPr>
        <w:t>方，</w:t>
      </w:r>
      <w:r>
        <w:rPr>
          <w:rFonts w:hint="eastAsia" w:ascii="宋体" w:hAnsi="宋体" w:cs="宋体"/>
          <w:color w:val="auto"/>
          <w:szCs w:val="21"/>
          <w:highlight w:val="none"/>
        </w:rPr>
        <w:t>并</w:t>
      </w:r>
      <w:r>
        <w:rPr>
          <w:rFonts w:hint="eastAsia" w:ascii="宋体" w:hAnsi="宋体" w:cs="Dotum"/>
          <w:color w:val="auto"/>
          <w:szCs w:val="21"/>
          <w:highlight w:val="none"/>
        </w:rPr>
        <w:t>寄送有</w:t>
      </w:r>
      <w:r>
        <w:rPr>
          <w:rFonts w:hint="eastAsia" w:ascii="宋体" w:hAnsi="宋体" w:cs="宋体"/>
          <w:color w:val="auto"/>
          <w:szCs w:val="21"/>
          <w:highlight w:val="none"/>
        </w:rPr>
        <w:t>关权</w:t>
      </w:r>
      <w:r>
        <w:rPr>
          <w:rFonts w:hint="eastAsia" w:ascii="宋体" w:hAnsi="宋体" w:cs="Dotum"/>
          <w:color w:val="auto"/>
          <w:szCs w:val="21"/>
          <w:highlight w:val="none"/>
        </w:rPr>
        <w:t>威机</w:t>
      </w:r>
      <w:r>
        <w:rPr>
          <w:rFonts w:hint="eastAsia" w:ascii="宋体" w:hAnsi="宋体" w:cs="宋体"/>
          <w:color w:val="auto"/>
          <w:szCs w:val="21"/>
          <w:highlight w:val="none"/>
        </w:rPr>
        <w:t>构</w:t>
      </w:r>
      <w:r>
        <w:rPr>
          <w:rFonts w:hint="eastAsia" w:ascii="宋体" w:hAnsi="宋体" w:cs="Dotum"/>
          <w:color w:val="auto"/>
          <w:szCs w:val="21"/>
          <w:highlight w:val="none"/>
        </w:rPr>
        <w:t>出具的</w:t>
      </w:r>
      <w:r>
        <w:rPr>
          <w:rFonts w:hint="eastAsia" w:ascii="宋体" w:hAnsi="宋体" w:cs="宋体"/>
          <w:color w:val="auto"/>
          <w:szCs w:val="21"/>
          <w:highlight w:val="none"/>
        </w:rPr>
        <w:t>证</w:t>
      </w:r>
      <w:r>
        <w:rPr>
          <w:rFonts w:hint="eastAsia" w:ascii="宋体" w:hAnsi="宋体" w:cs="Dotum"/>
          <w:color w:val="auto"/>
          <w:szCs w:val="21"/>
          <w:highlight w:val="none"/>
        </w:rPr>
        <w:t>明。</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、不可抗力事件延</w:t>
      </w:r>
      <w:r>
        <w:rPr>
          <w:rFonts w:hint="eastAsia" w:ascii="宋体" w:hAnsi="宋体" w:cs="宋体"/>
          <w:color w:val="auto"/>
          <w:szCs w:val="21"/>
          <w:highlight w:val="none"/>
        </w:rPr>
        <w:t>续</w:t>
      </w:r>
      <w:r>
        <w:rPr>
          <w:rFonts w:ascii="宋体" w:hAnsi="宋体"/>
          <w:color w:val="auto"/>
          <w:szCs w:val="21"/>
          <w:highlight w:val="none"/>
        </w:rPr>
        <w:t>120</w:t>
      </w:r>
      <w:r>
        <w:rPr>
          <w:rFonts w:hint="eastAsia" w:ascii="宋体" w:hAnsi="宋体"/>
          <w:color w:val="auto"/>
          <w:szCs w:val="21"/>
          <w:highlight w:val="none"/>
        </w:rPr>
        <w:t>天以上，</w:t>
      </w:r>
      <w:r>
        <w:rPr>
          <w:rFonts w:hint="eastAsia" w:ascii="宋体" w:hAnsi="宋体" w:cs="宋体"/>
          <w:color w:val="auto"/>
          <w:szCs w:val="21"/>
          <w:highlight w:val="none"/>
        </w:rPr>
        <w:t>双</w:t>
      </w:r>
      <w:r>
        <w:rPr>
          <w:rFonts w:hint="eastAsia" w:ascii="宋体" w:hAnsi="宋体" w:cs="Dotum"/>
          <w:color w:val="auto"/>
          <w:szCs w:val="21"/>
          <w:highlight w:val="none"/>
        </w:rPr>
        <w:t>方</w:t>
      </w:r>
      <w:r>
        <w:rPr>
          <w:rFonts w:hint="eastAsia" w:ascii="宋体" w:hAnsi="宋体" w:cs="宋体"/>
          <w:color w:val="auto"/>
          <w:szCs w:val="21"/>
          <w:highlight w:val="none"/>
        </w:rPr>
        <w:t>应</w:t>
      </w:r>
      <w:r>
        <w:rPr>
          <w:rFonts w:hint="eastAsia" w:ascii="宋体" w:hAnsi="宋体" w:cs="Dotum"/>
          <w:color w:val="auto"/>
          <w:szCs w:val="21"/>
          <w:highlight w:val="none"/>
        </w:rPr>
        <w:t>通</w:t>
      </w:r>
      <w:r>
        <w:rPr>
          <w:rFonts w:hint="eastAsia" w:ascii="宋体" w:hAnsi="宋体" w:cs="宋体"/>
          <w:color w:val="auto"/>
          <w:szCs w:val="21"/>
          <w:highlight w:val="none"/>
        </w:rPr>
        <w:t>过</w:t>
      </w:r>
      <w:r>
        <w:rPr>
          <w:rFonts w:hint="eastAsia" w:ascii="宋体" w:hAnsi="宋体" w:cs="Dotum"/>
          <w:color w:val="auto"/>
          <w:szCs w:val="21"/>
          <w:highlight w:val="none"/>
        </w:rPr>
        <w:t>友好</w:t>
      </w:r>
      <w:r>
        <w:rPr>
          <w:rFonts w:hint="eastAsia" w:ascii="宋体" w:hAnsi="宋体" w:cs="宋体"/>
          <w:color w:val="auto"/>
          <w:szCs w:val="21"/>
          <w:highlight w:val="none"/>
        </w:rPr>
        <w:t>协</w:t>
      </w:r>
      <w:r>
        <w:rPr>
          <w:rFonts w:hint="eastAsia" w:ascii="宋体" w:hAnsi="宋体" w:cs="Dotum"/>
          <w:color w:val="auto"/>
          <w:szCs w:val="21"/>
          <w:highlight w:val="none"/>
        </w:rPr>
        <w:t>商，确定是否</w:t>
      </w:r>
      <w:r>
        <w:rPr>
          <w:rFonts w:hint="eastAsia" w:ascii="宋体" w:hAnsi="宋体" w:cs="宋体"/>
          <w:color w:val="auto"/>
          <w:szCs w:val="21"/>
          <w:highlight w:val="none"/>
        </w:rPr>
        <w:t>继续</w:t>
      </w:r>
      <w:r>
        <w:rPr>
          <w:rFonts w:hint="eastAsia" w:ascii="宋体" w:hAnsi="宋体" w:cs="Dotum"/>
          <w:color w:val="auto"/>
          <w:szCs w:val="21"/>
          <w:highlight w:val="none"/>
        </w:rPr>
        <w:t>履行合同。</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十四、</w:t>
      </w:r>
      <w:r>
        <w:rPr>
          <w:rFonts w:hint="eastAsia" w:ascii="宋体" w:hAnsi="宋体" w:cs="宋体"/>
          <w:b/>
          <w:color w:val="auto"/>
          <w:szCs w:val="21"/>
          <w:highlight w:val="none"/>
        </w:rPr>
        <w:t>诉讼</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双</w:t>
      </w:r>
      <w:r>
        <w:rPr>
          <w:rFonts w:hint="eastAsia" w:ascii="宋体" w:hAnsi="宋体" w:cs="Dotum"/>
          <w:color w:val="auto"/>
          <w:szCs w:val="21"/>
          <w:highlight w:val="none"/>
        </w:rPr>
        <w:t>方在</w:t>
      </w:r>
      <w:r>
        <w:rPr>
          <w:rFonts w:hint="eastAsia" w:ascii="宋体" w:hAnsi="宋体" w:cs="宋体"/>
          <w:color w:val="auto"/>
          <w:szCs w:val="21"/>
          <w:highlight w:val="none"/>
        </w:rPr>
        <w:t>执</w:t>
      </w:r>
      <w:r>
        <w:rPr>
          <w:rFonts w:hint="eastAsia" w:ascii="宋体" w:hAnsi="宋体" w:cs="Dotum"/>
          <w:color w:val="auto"/>
          <w:szCs w:val="21"/>
          <w:highlight w:val="none"/>
        </w:rPr>
        <w:t>行合同中所</w:t>
      </w:r>
      <w:r>
        <w:rPr>
          <w:rFonts w:hint="eastAsia" w:ascii="宋体" w:hAnsi="宋体" w:cs="宋体"/>
          <w:color w:val="auto"/>
          <w:szCs w:val="21"/>
          <w:highlight w:val="none"/>
        </w:rPr>
        <w:t>发</w:t>
      </w:r>
      <w:r>
        <w:rPr>
          <w:rFonts w:hint="eastAsia" w:ascii="宋体" w:hAnsi="宋体" w:cs="Dotum"/>
          <w:color w:val="auto"/>
          <w:szCs w:val="21"/>
          <w:highlight w:val="none"/>
        </w:rPr>
        <w:t>生的一切</w:t>
      </w:r>
      <w:r>
        <w:rPr>
          <w:rFonts w:hint="eastAsia" w:ascii="宋体" w:hAnsi="宋体" w:cs="宋体"/>
          <w:color w:val="auto"/>
          <w:szCs w:val="21"/>
          <w:highlight w:val="none"/>
        </w:rPr>
        <w:t>争议</w:t>
      </w:r>
      <w:r>
        <w:rPr>
          <w:rFonts w:hint="eastAsia" w:ascii="宋体" w:hAnsi="宋体" w:cs="Dotum"/>
          <w:color w:val="auto"/>
          <w:szCs w:val="21"/>
          <w:highlight w:val="none"/>
        </w:rPr>
        <w:t>，</w:t>
      </w:r>
      <w:r>
        <w:rPr>
          <w:rFonts w:hint="eastAsia" w:ascii="宋体" w:hAnsi="宋体" w:cs="宋体"/>
          <w:color w:val="auto"/>
          <w:szCs w:val="21"/>
          <w:highlight w:val="none"/>
        </w:rPr>
        <w:t>应</w:t>
      </w:r>
      <w:r>
        <w:rPr>
          <w:rFonts w:hint="eastAsia" w:ascii="宋体" w:hAnsi="宋体" w:cs="Dotum"/>
          <w:color w:val="auto"/>
          <w:szCs w:val="21"/>
          <w:highlight w:val="none"/>
        </w:rPr>
        <w:t>通</w:t>
      </w:r>
      <w:r>
        <w:rPr>
          <w:rFonts w:hint="eastAsia" w:ascii="宋体" w:hAnsi="宋体" w:cs="宋体"/>
          <w:color w:val="auto"/>
          <w:szCs w:val="21"/>
          <w:highlight w:val="none"/>
        </w:rPr>
        <w:t>过协</w:t>
      </w:r>
      <w:r>
        <w:rPr>
          <w:rFonts w:hint="eastAsia" w:ascii="宋体" w:hAnsi="宋体" w:cs="Dotum"/>
          <w:color w:val="auto"/>
          <w:szCs w:val="21"/>
          <w:highlight w:val="none"/>
        </w:rPr>
        <w:t>商解</w:t>
      </w:r>
      <w:r>
        <w:rPr>
          <w:rFonts w:hint="eastAsia" w:ascii="宋体" w:hAnsi="宋体" w:cs="宋体"/>
          <w:color w:val="auto"/>
          <w:szCs w:val="21"/>
          <w:highlight w:val="none"/>
        </w:rPr>
        <w:t>决</w:t>
      </w:r>
      <w:r>
        <w:rPr>
          <w:rFonts w:hint="eastAsia" w:ascii="宋体" w:hAnsi="宋体" w:cs="Dotum"/>
          <w:color w:val="auto"/>
          <w:szCs w:val="21"/>
          <w:highlight w:val="none"/>
        </w:rPr>
        <w:t>。如</w:t>
      </w:r>
      <w:r>
        <w:rPr>
          <w:rFonts w:hint="eastAsia" w:ascii="宋体" w:hAnsi="宋体" w:cs="宋体"/>
          <w:color w:val="auto"/>
          <w:szCs w:val="21"/>
          <w:highlight w:val="none"/>
        </w:rPr>
        <w:t>协</w:t>
      </w:r>
      <w:r>
        <w:rPr>
          <w:rFonts w:hint="eastAsia" w:ascii="宋体" w:hAnsi="宋体" w:cs="Dotum"/>
          <w:color w:val="auto"/>
          <w:szCs w:val="21"/>
          <w:highlight w:val="none"/>
        </w:rPr>
        <w:t>商不成，可向甲方所在地法院起</w:t>
      </w:r>
      <w:r>
        <w:rPr>
          <w:rFonts w:hint="eastAsia" w:ascii="宋体" w:hAnsi="宋体" w:cs="宋体"/>
          <w:color w:val="auto"/>
          <w:szCs w:val="21"/>
          <w:highlight w:val="none"/>
        </w:rPr>
        <w:t>诉</w:t>
      </w:r>
      <w:r>
        <w:rPr>
          <w:rFonts w:hint="eastAsia" w:ascii="宋体" w:hAnsi="宋体" w:cs="Dotum"/>
          <w:color w:val="auto"/>
          <w:szCs w:val="21"/>
          <w:highlight w:val="none"/>
        </w:rPr>
        <w:t>。</w:t>
      </w:r>
    </w:p>
    <w:p>
      <w:pPr>
        <w:spacing w:line="440" w:lineRule="exact"/>
        <w:ind w:right="25" w:rightChars="12"/>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十五、其他</w:t>
      </w:r>
    </w:p>
    <w:p>
      <w:pPr>
        <w:spacing w:line="440" w:lineRule="exact"/>
        <w:ind w:firstLine="420" w:firstLineChars="200"/>
        <w:rPr>
          <w:rFonts w:hint="eastAsia" w:ascii="宋体" w:hAnsi="宋体" w:eastAsia="宋体" w:cs="Dotum"/>
          <w:color w:val="auto"/>
          <w:szCs w:val="21"/>
          <w:highlight w:val="none"/>
          <w:lang w:val="en-US" w:eastAsia="zh-CN"/>
        </w:rPr>
      </w:pPr>
      <w:r>
        <w:rPr>
          <w:rFonts w:hint="eastAsia" w:ascii="宋体" w:hAnsi="宋体" w:eastAsia="宋体" w:cs="Dotum"/>
          <w:color w:val="auto"/>
          <w:szCs w:val="21"/>
          <w:highlight w:val="none"/>
          <w:lang w:val="en-US" w:eastAsia="zh-CN"/>
        </w:rPr>
        <w:t>1、每个标段委派一名</w:t>
      </w:r>
      <w:r>
        <w:rPr>
          <w:rFonts w:hint="eastAsia" w:ascii="宋体" w:hAnsi="宋体" w:cs="Dotum"/>
          <w:color w:val="auto"/>
          <w:szCs w:val="21"/>
          <w:highlight w:val="none"/>
          <w:lang w:val="en-US" w:eastAsia="zh-CN"/>
        </w:rPr>
        <w:t>普通管理</w:t>
      </w:r>
      <w:r>
        <w:rPr>
          <w:rFonts w:hint="eastAsia" w:ascii="宋体" w:hAnsi="宋体" w:eastAsia="宋体" w:cs="Dotum"/>
          <w:color w:val="auto"/>
          <w:szCs w:val="21"/>
          <w:highlight w:val="none"/>
          <w:lang w:val="en-US" w:eastAsia="zh-CN"/>
        </w:rPr>
        <w:t>人员驻点。</w:t>
      </w:r>
      <w:r>
        <w:rPr>
          <w:rFonts w:hint="eastAsia" w:ascii="宋体" w:hAnsi="宋体" w:eastAsia="宋体" w:cs="宋体"/>
          <w:color w:val="auto"/>
          <w:sz w:val="21"/>
          <w:szCs w:val="21"/>
          <w:highlight w:val="none"/>
        </w:rPr>
        <w:t>每月到岗</w:t>
      </w:r>
      <w:r>
        <w:rPr>
          <w:rFonts w:hint="eastAsia" w:ascii="宋体" w:hAnsi="宋体" w:eastAsia="宋体" w:cs="宋体"/>
          <w:color w:val="auto"/>
          <w:sz w:val="21"/>
          <w:szCs w:val="21"/>
          <w:highlight w:val="none"/>
          <w:lang w:val="en-US" w:eastAsia="zh-CN"/>
        </w:rPr>
        <w:t>普通管理人员</w:t>
      </w:r>
      <w:r>
        <w:rPr>
          <w:rFonts w:hint="eastAsia" w:ascii="宋体" w:hAnsi="宋体" w:eastAsia="宋体" w:cs="宋体"/>
          <w:color w:val="auto"/>
          <w:sz w:val="21"/>
          <w:szCs w:val="21"/>
          <w:highlight w:val="none"/>
        </w:rPr>
        <w:t>不少于2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val="en-US" w:eastAsia="zh-CN"/>
        </w:rPr>
        <w:t>项目负责人不少于22天，</w:t>
      </w:r>
      <w:r>
        <w:rPr>
          <w:rFonts w:hint="eastAsia" w:ascii="宋体" w:hAnsi="宋体" w:eastAsia="宋体" w:cs="宋体"/>
          <w:color w:val="auto"/>
          <w:sz w:val="21"/>
          <w:szCs w:val="21"/>
          <w:highlight w:val="none"/>
        </w:rPr>
        <w:t>少1天给予</w:t>
      </w:r>
      <w:r>
        <w:rPr>
          <w:rFonts w:hint="eastAsia" w:ascii="宋体" w:hAnsi="宋体" w:cs="宋体"/>
          <w:color w:val="auto"/>
          <w:sz w:val="21"/>
          <w:szCs w:val="21"/>
          <w:highlight w:val="none"/>
          <w:lang w:val="en-US" w:eastAsia="zh-CN"/>
        </w:rPr>
        <w:t>2000元</w:t>
      </w:r>
      <w:r>
        <w:rPr>
          <w:rFonts w:hint="eastAsia" w:ascii="宋体" w:hAnsi="宋体" w:eastAsia="宋体" w:cs="宋体"/>
          <w:color w:val="auto"/>
          <w:sz w:val="21"/>
          <w:szCs w:val="21"/>
          <w:highlight w:val="none"/>
        </w:rPr>
        <w:t>经济处罚</w:t>
      </w:r>
      <w:r>
        <w:rPr>
          <w:rFonts w:hint="eastAsia" w:ascii="宋体" w:hAnsi="宋体" w:eastAsia="宋体" w:cs="宋体"/>
          <w:color w:val="auto"/>
          <w:sz w:val="21"/>
          <w:szCs w:val="21"/>
          <w:highlight w:val="none"/>
          <w:lang w:eastAsia="zh-CN"/>
        </w:rPr>
        <w:t>。</w:t>
      </w:r>
    </w:p>
    <w:p>
      <w:pPr>
        <w:spacing w:line="440" w:lineRule="exact"/>
        <w:ind w:firstLine="420" w:firstLineChars="200"/>
        <w:rPr>
          <w:rFonts w:hint="eastAsia" w:ascii="宋体" w:hAnsi="宋体" w:eastAsia="宋体" w:cs="Dotum"/>
          <w:color w:val="auto"/>
          <w:szCs w:val="21"/>
          <w:highlight w:val="none"/>
        </w:rPr>
      </w:pPr>
      <w:r>
        <w:rPr>
          <w:rFonts w:hint="eastAsia" w:ascii="宋体" w:hAnsi="宋体" w:eastAsia="宋体" w:cs="Dotum"/>
          <w:color w:val="auto"/>
          <w:szCs w:val="21"/>
          <w:highlight w:val="none"/>
          <w:lang w:val="en-US" w:eastAsia="zh-CN"/>
        </w:rPr>
        <w:t>2、考勤数据以前湾控股项目建设数据应用平台-人员考勤模块为准；同时建设单位对人员有备案需求时应无条件服从。</w:t>
      </w:r>
    </w:p>
    <w:p>
      <w:pPr>
        <w:spacing w:line="440" w:lineRule="exact"/>
        <w:ind w:right="25" w:rightChars="12"/>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六</w:t>
      </w:r>
      <w:r>
        <w:rPr>
          <w:rFonts w:hint="eastAsia" w:ascii="宋体" w:hAnsi="宋体"/>
          <w:b/>
          <w:color w:val="auto"/>
          <w:szCs w:val="21"/>
          <w:highlight w:val="none"/>
        </w:rPr>
        <w:t>、合同生效</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w:t>
      </w:r>
      <w:r>
        <w:rPr>
          <w:rFonts w:hint="eastAsia" w:ascii="宋体" w:hAnsi="宋体" w:cs="宋体"/>
          <w:color w:val="auto"/>
          <w:szCs w:val="21"/>
          <w:highlight w:val="none"/>
        </w:rPr>
        <w:t>经双</w:t>
      </w:r>
      <w:r>
        <w:rPr>
          <w:rFonts w:hint="eastAsia" w:ascii="宋体" w:hAnsi="宋体" w:cs="Dotum"/>
          <w:color w:val="auto"/>
          <w:szCs w:val="21"/>
          <w:highlight w:val="none"/>
        </w:rPr>
        <w:t>方法定代表人或授</w:t>
      </w:r>
      <w:r>
        <w:rPr>
          <w:rFonts w:hint="eastAsia" w:ascii="宋体" w:hAnsi="宋体" w:cs="宋体"/>
          <w:color w:val="auto"/>
          <w:szCs w:val="21"/>
          <w:highlight w:val="none"/>
        </w:rPr>
        <w:t>权</w:t>
      </w:r>
      <w:r>
        <w:rPr>
          <w:rFonts w:hint="eastAsia" w:ascii="宋体" w:hAnsi="宋体" w:cs="Dotum"/>
          <w:color w:val="auto"/>
          <w:szCs w:val="21"/>
          <w:highlight w:val="none"/>
        </w:rPr>
        <w:t>委托代理人</w:t>
      </w:r>
      <w:r>
        <w:rPr>
          <w:rFonts w:hint="eastAsia" w:ascii="宋体" w:hAnsi="宋体" w:cs="宋体"/>
          <w:color w:val="auto"/>
          <w:szCs w:val="21"/>
          <w:highlight w:val="none"/>
        </w:rPr>
        <w:t>签</w:t>
      </w:r>
      <w:r>
        <w:rPr>
          <w:rFonts w:hint="eastAsia" w:ascii="宋体" w:hAnsi="宋体" w:cs="Dotum"/>
          <w:color w:val="auto"/>
          <w:szCs w:val="21"/>
          <w:highlight w:val="none"/>
        </w:rPr>
        <w:t>字</w:t>
      </w:r>
      <w:r>
        <w:rPr>
          <w:rFonts w:hint="eastAsia" w:ascii="宋体" w:hAnsi="宋体" w:cs="宋体"/>
          <w:color w:val="auto"/>
          <w:szCs w:val="21"/>
          <w:highlight w:val="none"/>
        </w:rPr>
        <w:t>并</w:t>
      </w:r>
      <w:r>
        <w:rPr>
          <w:rFonts w:hint="eastAsia" w:ascii="宋体" w:hAnsi="宋体" w:cs="Dotum"/>
          <w:color w:val="auto"/>
          <w:szCs w:val="21"/>
          <w:highlight w:val="none"/>
        </w:rPr>
        <w:t>加盖</w:t>
      </w:r>
      <w:r>
        <w:rPr>
          <w:rFonts w:hint="eastAsia" w:ascii="宋体" w:hAnsi="宋体" w:cs="宋体"/>
          <w:color w:val="auto"/>
          <w:szCs w:val="21"/>
          <w:highlight w:val="none"/>
        </w:rPr>
        <w:t>单</w:t>
      </w:r>
      <w:r>
        <w:rPr>
          <w:rFonts w:hint="eastAsia" w:ascii="宋体" w:hAnsi="宋体" w:cs="Dotum"/>
          <w:color w:val="auto"/>
          <w:szCs w:val="21"/>
          <w:highlight w:val="none"/>
        </w:rPr>
        <w:t>位公章后生效。</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、合同</w:t>
      </w:r>
      <w:r>
        <w:rPr>
          <w:rFonts w:hint="eastAsia" w:ascii="宋体" w:hAnsi="宋体" w:cs="宋体"/>
          <w:color w:val="auto"/>
          <w:szCs w:val="21"/>
          <w:highlight w:val="none"/>
        </w:rPr>
        <w:t>执</w:t>
      </w:r>
      <w:r>
        <w:rPr>
          <w:rFonts w:hint="eastAsia" w:ascii="宋体" w:hAnsi="宋体" w:cs="Dotum"/>
          <w:color w:val="auto"/>
          <w:szCs w:val="21"/>
          <w:highlight w:val="none"/>
        </w:rPr>
        <w:t>行中涉及采</w:t>
      </w:r>
      <w:r>
        <w:rPr>
          <w:rFonts w:hint="eastAsia" w:ascii="宋体" w:hAnsi="宋体" w:cs="宋体"/>
          <w:color w:val="auto"/>
          <w:szCs w:val="21"/>
          <w:highlight w:val="none"/>
        </w:rPr>
        <w:t>购资</w:t>
      </w:r>
      <w:r>
        <w:rPr>
          <w:rFonts w:hint="eastAsia" w:ascii="宋体" w:hAnsi="宋体" w:cs="Dotum"/>
          <w:color w:val="auto"/>
          <w:szCs w:val="21"/>
          <w:highlight w:val="none"/>
        </w:rPr>
        <w:t>金和采</w:t>
      </w:r>
      <w:r>
        <w:rPr>
          <w:rFonts w:hint="eastAsia" w:ascii="宋体" w:hAnsi="宋体" w:cs="宋体"/>
          <w:color w:val="auto"/>
          <w:szCs w:val="21"/>
          <w:highlight w:val="none"/>
        </w:rPr>
        <w:t>购内</w:t>
      </w:r>
      <w:r>
        <w:rPr>
          <w:rFonts w:hint="eastAsia" w:ascii="宋体" w:hAnsi="宋体" w:cs="Dotum"/>
          <w:color w:val="auto"/>
          <w:szCs w:val="21"/>
          <w:highlight w:val="none"/>
        </w:rPr>
        <w:t>容修改或</w:t>
      </w:r>
      <w:r>
        <w:rPr>
          <w:rFonts w:hint="eastAsia" w:ascii="宋体" w:hAnsi="宋体" w:cs="宋体"/>
          <w:color w:val="auto"/>
          <w:szCs w:val="21"/>
          <w:highlight w:val="none"/>
        </w:rPr>
        <w:t>补</w:t>
      </w:r>
      <w:r>
        <w:rPr>
          <w:rFonts w:hint="eastAsia" w:ascii="宋体" w:hAnsi="宋体" w:cs="Dotum"/>
          <w:color w:val="auto"/>
          <w:szCs w:val="21"/>
          <w:highlight w:val="none"/>
        </w:rPr>
        <w:t>充的，</w:t>
      </w:r>
      <w:r>
        <w:rPr>
          <w:rFonts w:hint="eastAsia" w:ascii="宋体" w:hAnsi="宋体" w:cs="宋体"/>
          <w:color w:val="auto"/>
          <w:szCs w:val="21"/>
          <w:highlight w:val="none"/>
        </w:rPr>
        <w:t>须经财</w:t>
      </w:r>
      <w:r>
        <w:rPr>
          <w:rFonts w:hint="eastAsia" w:ascii="宋体" w:hAnsi="宋体" w:cs="Dotum"/>
          <w:color w:val="auto"/>
          <w:szCs w:val="21"/>
          <w:highlight w:val="none"/>
        </w:rPr>
        <w:t>政部</w:t>
      </w:r>
      <w:r>
        <w:rPr>
          <w:rFonts w:hint="eastAsia" w:ascii="宋体" w:hAnsi="宋体" w:cs="宋体"/>
          <w:color w:val="auto"/>
          <w:szCs w:val="21"/>
          <w:highlight w:val="none"/>
        </w:rPr>
        <w:t>门审</w:t>
      </w:r>
      <w:r>
        <w:rPr>
          <w:rFonts w:hint="eastAsia" w:ascii="宋体" w:hAnsi="宋体" w:cs="Dotum"/>
          <w:color w:val="auto"/>
          <w:szCs w:val="21"/>
          <w:highlight w:val="none"/>
        </w:rPr>
        <w:t>批，</w:t>
      </w:r>
      <w:r>
        <w:rPr>
          <w:rFonts w:hint="eastAsia" w:ascii="宋体" w:hAnsi="宋体" w:cs="宋体"/>
          <w:color w:val="auto"/>
          <w:szCs w:val="21"/>
          <w:highlight w:val="none"/>
        </w:rPr>
        <w:t>并签书</w:t>
      </w:r>
      <w:r>
        <w:rPr>
          <w:rFonts w:hint="eastAsia" w:ascii="宋体" w:hAnsi="宋体" w:cs="Dotum"/>
          <w:color w:val="auto"/>
          <w:szCs w:val="21"/>
          <w:highlight w:val="none"/>
        </w:rPr>
        <w:t>面</w:t>
      </w:r>
      <w:r>
        <w:rPr>
          <w:rFonts w:hint="eastAsia" w:ascii="宋体" w:hAnsi="宋体" w:cs="宋体"/>
          <w:color w:val="auto"/>
          <w:szCs w:val="21"/>
          <w:highlight w:val="none"/>
        </w:rPr>
        <w:t>补</w:t>
      </w:r>
      <w:r>
        <w:rPr>
          <w:rFonts w:hint="eastAsia" w:ascii="宋体" w:hAnsi="宋体" w:cs="Dotum"/>
          <w:color w:val="auto"/>
          <w:szCs w:val="21"/>
          <w:highlight w:val="none"/>
        </w:rPr>
        <w:t>充</w:t>
      </w:r>
      <w:r>
        <w:rPr>
          <w:rFonts w:hint="eastAsia" w:ascii="宋体" w:hAnsi="宋体" w:cs="宋体"/>
          <w:color w:val="auto"/>
          <w:szCs w:val="21"/>
          <w:highlight w:val="none"/>
        </w:rPr>
        <w:t>协议</w:t>
      </w:r>
      <w:r>
        <w:rPr>
          <w:rFonts w:hint="eastAsia" w:ascii="宋体" w:hAnsi="宋体" w:eastAsia="宋体" w:cs="Dotum"/>
          <w:color w:val="auto"/>
          <w:szCs w:val="21"/>
          <w:highlight w:val="none"/>
        </w:rPr>
        <w:t>报</w:t>
      </w:r>
      <w:r>
        <w:rPr>
          <w:rFonts w:hint="eastAsia" w:ascii="宋体" w:hAnsi="宋体" w:eastAsia="宋体" w:cs="Dotum"/>
          <w:color w:val="auto"/>
          <w:szCs w:val="21"/>
          <w:highlight w:val="none"/>
          <w:lang w:val="en-US" w:eastAsia="zh-CN"/>
        </w:rPr>
        <w:t>前湾新区</w:t>
      </w:r>
      <w:r>
        <w:rPr>
          <w:rFonts w:hint="eastAsia" w:ascii="宋体" w:hAnsi="宋体" w:eastAsia="宋体" w:cs="Dotum"/>
          <w:color w:val="auto"/>
          <w:szCs w:val="21"/>
          <w:highlight w:val="none"/>
        </w:rPr>
        <w:t>采购</w:t>
      </w:r>
      <w:r>
        <w:rPr>
          <w:rFonts w:hint="eastAsia" w:ascii="宋体" w:hAnsi="宋体" w:cs="宋体"/>
          <w:color w:val="auto"/>
          <w:szCs w:val="21"/>
          <w:highlight w:val="none"/>
        </w:rPr>
        <w:t>监</w:t>
      </w:r>
      <w:r>
        <w:rPr>
          <w:rFonts w:hint="eastAsia" w:ascii="宋体" w:hAnsi="宋体" w:cs="Dotum"/>
          <w:color w:val="auto"/>
          <w:szCs w:val="21"/>
          <w:highlight w:val="none"/>
        </w:rPr>
        <w:t>督管理部</w:t>
      </w:r>
      <w:r>
        <w:rPr>
          <w:rFonts w:hint="eastAsia" w:ascii="宋体" w:hAnsi="宋体" w:cs="宋体"/>
          <w:color w:val="auto"/>
          <w:szCs w:val="21"/>
          <w:highlight w:val="none"/>
        </w:rPr>
        <w:t>门备</w:t>
      </w:r>
      <w:r>
        <w:rPr>
          <w:rFonts w:hint="eastAsia" w:ascii="宋体" w:hAnsi="宋体" w:cs="Dotum"/>
          <w:color w:val="auto"/>
          <w:szCs w:val="21"/>
          <w:highlight w:val="none"/>
        </w:rPr>
        <w:t>案，方可作</w:t>
      </w:r>
      <w:r>
        <w:rPr>
          <w:rFonts w:hint="eastAsia" w:ascii="宋体" w:hAnsi="宋体" w:cs="宋体"/>
          <w:color w:val="auto"/>
          <w:szCs w:val="21"/>
          <w:highlight w:val="none"/>
        </w:rPr>
        <w:t>为</w:t>
      </w:r>
      <w:r>
        <w:rPr>
          <w:rFonts w:hint="eastAsia" w:ascii="宋体" w:hAnsi="宋体" w:cs="Dotum"/>
          <w:color w:val="auto"/>
          <w:szCs w:val="21"/>
          <w:highlight w:val="none"/>
        </w:rPr>
        <w:t>主合同不可分割的一部分。</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、本合同未</w:t>
      </w:r>
      <w:r>
        <w:rPr>
          <w:rFonts w:hint="eastAsia" w:ascii="宋体" w:hAnsi="宋体" w:cs="宋体"/>
          <w:color w:val="auto"/>
          <w:szCs w:val="21"/>
          <w:highlight w:val="none"/>
        </w:rPr>
        <w:t>尽</w:t>
      </w:r>
      <w:r>
        <w:rPr>
          <w:rFonts w:hint="eastAsia" w:ascii="宋体" w:hAnsi="宋体" w:cs="Dotum"/>
          <w:color w:val="auto"/>
          <w:szCs w:val="21"/>
          <w:highlight w:val="none"/>
        </w:rPr>
        <w:t>事宜，遵照《中华人民共和国民法典》有</w:t>
      </w:r>
      <w:r>
        <w:rPr>
          <w:rFonts w:hint="eastAsia" w:ascii="宋体" w:hAnsi="宋体" w:cs="宋体"/>
          <w:color w:val="auto"/>
          <w:szCs w:val="21"/>
          <w:highlight w:val="none"/>
        </w:rPr>
        <w:t>关条</w:t>
      </w:r>
      <w:r>
        <w:rPr>
          <w:rFonts w:hint="eastAsia" w:ascii="宋体" w:hAnsi="宋体" w:cs="Dotum"/>
          <w:color w:val="auto"/>
          <w:szCs w:val="21"/>
          <w:highlight w:val="none"/>
        </w:rPr>
        <w:t>文</w:t>
      </w:r>
      <w:r>
        <w:rPr>
          <w:rFonts w:hint="eastAsia" w:ascii="宋体" w:hAnsi="宋体" w:cs="宋体"/>
          <w:color w:val="auto"/>
          <w:szCs w:val="21"/>
          <w:highlight w:val="none"/>
        </w:rPr>
        <w:t>执</w:t>
      </w:r>
      <w:r>
        <w:rPr>
          <w:rFonts w:hint="eastAsia" w:ascii="宋体" w:hAnsi="宋体" w:cs="Dotum"/>
          <w:color w:val="auto"/>
          <w:szCs w:val="21"/>
          <w:highlight w:val="none"/>
        </w:rPr>
        <w:t>行。</w:t>
      </w:r>
    </w:p>
    <w:p>
      <w:pPr>
        <w:spacing w:line="440" w:lineRule="exact"/>
        <w:ind w:firstLine="420" w:firstLineChars="200"/>
        <w:rPr>
          <w:rFonts w:ascii="宋体" w:hAnsi="宋体"/>
          <w:b/>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、本合同正本一式</w:t>
      </w:r>
      <w:r>
        <w:rPr>
          <w:rFonts w:hint="eastAsia" w:ascii="宋体" w:hAnsi="宋体" w:cs="宋体"/>
          <w:color w:val="auto"/>
          <w:szCs w:val="21"/>
          <w:highlight w:val="none"/>
          <w:lang w:val="en-US" w:eastAsia="zh-CN"/>
        </w:rPr>
        <w:t>陆</w:t>
      </w:r>
      <w:r>
        <w:rPr>
          <w:rFonts w:hint="eastAsia" w:ascii="宋体" w:hAnsi="宋体" w:cs="宋体"/>
          <w:color w:val="auto"/>
          <w:szCs w:val="21"/>
          <w:highlight w:val="none"/>
        </w:rPr>
        <w:t>份</w:t>
      </w:r>
      <w:r>
        <w:rPr>
          <w:rFonts w:hint="eastAsia" w:ascii="宋体" w:hAnsi="宋体" w:cs="Dotum"/>
          <w:color w:val="auto"/>
          <w:szCs w:val="21"/>
          <w:highlight w:val="none"/>
        </w:rPr>
        <w:t>，具有同等法律效力，甲方</w:t>
      </w:r>
      <w:r>
        <w:rPr>
          <w:rFonts w:hint="eastAsia" w:ascii="宋体" w:hAnsi="宋体" w:cs="宋体"/>
          <w:color w:val="auto"/>
          <w:szCs w:val="21"/>
          <w:highlight w:val="none"/>
        </w:rPr>
        <w:t>执</w:t>
      </w:r>
      <w:r>
        <w:rPr>
          <w:rFonts w:hint="eastAsia" w:ascii="宋体" w:hAnsi="宋体" w:cs="Dotum"/>
          <w:color w:val="auto"/>
          <w:szCs w:val="21"/>
          <w:highlight w:val="none"/>
          <w:lang w:val="en-US" w:eastAsia="zh-CN"/>
        </w:rPr>
        <w:t>肆</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hAnsi="宋体" w:cs="Dotum"/>
          <w:color w:val="auto"/>
          <w:szCs w:val="21"/>
          <w:highlight w:val="none"/>
        </w:rPr>
        <w:t>乙方</w:t>
      </w:r>
      <w:r>
        <w:rPr>
          <w:rFonts w:hint="eastAsia" w:ascii="宋体" w:hAnsi="宋体" w:cs="宋体"/>
          <w:color w:val="auto"/>
          <w:szCs w:val="21"/>
          <w:highlight w:val="none"/>
        </w:rPr>
        <w:t>执</w:t>
      </w:r>
      <w:r>
        <w:rPr>
          <w:rFonts w:hint="eastAsia" w:ascii="宋体" w:hAnsi="宋体" w:cs="Dotum"/>
          <w:color w:val="auto"/>
          <w:szCs w:val="21"/>
          <w:highlight w:val="none"/>
          <w:lang w:val="en-US" w:eastAsia="zh-CN"/>
        </w:rPr>
        <w:t>贰</w:t>
      </w:r>
      <w:r>
        <w:rPr>
          <w:rFonts w:hint="eastAsia" w:ascii="宋体" w:hAnsi="宋体" w:cs="宋体"/>
          <w:color w:val="auto"/>
          <w:szCs w:val="21"/>
          <w:highlight w:val="none"/>
        </w:rPr>
        <w:t>份</w:t>
      </w:r>
      <w:r>
        <w:rPr>
          <w:rFonts w:hint="eastAsia" w:ascii="宋体" w:hAnsi="宋体"/>
          <w:color w:val="auto"/>
          <w:szCs w:val="21"/>
          <w:highlight w:val="none"/>
        </w:rPr>
        <w:t>。</w:t>
      </w:r>
    </w:p>
    <w:p>
      <w:pPr>
        <w:spacing w:line="440" w:lineRule="exact"/>
        <w:ind w:firstLine="420" w:firstLineChars="200"/>
        <w:rPr>
          <w:rFonts w:hint="eastAsia" w:ascii="宋体" w:hAnsi="宋体"/>
          <w:color w:val="auto"/>
          <w:szCs w:val="21"/>
          <w:highlight w:val="none"/>
        </w:rPr>
      </w:pPr>
    </w:p>
    <w:p>
      <w:pPr>
        <w:spacing w:line="440" w:lineRule="exact"/>
        <w:ind w:firstLine="420" w:firstLineChars="200"/>
        <w:rPr>
          <w:rFonts w:hint="eastAsia"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甲  方（盖章）：                                     乙  方（盖章）： </w:t>
      </w:r>
    </w:p>
    <w:p>
      <w:pPr>
        <w:spacing w:line="440" w:lineRule="exact"/>
        <w:rPr>
          <w:rFonts w:ascii="宋体" w:hAnsi="宋体"/>
          <w:color w:val="auto"/>
          <w:szCs w:val="21"/>
          <w:highlight w:val="none"/>
        </w:rPr>
      </w:pPr>
      <w:r>
        <w:rPr>
          <w:rFonts w:hint="eastAsia" w:ascii="宋体" w:hAnsi="宋体"/>
          <w:color w:val="auto"/>
          <w:szCs w:val="21"/>
          <w:highlight w:val="none"/>
        </w:rPr>
        <w:t xml:space="preserve">法定代表人（单位负责人） </w:t>
      </w:r>
      <w:r>
        <w:rPr>
          <w:rFonts w:ascii="宋体" w:hAnsi="宋体"/>
          <w:color w:val="auto"/>
          <w:szCs w:val="21"/>
          <w:highlight w:val="none"/>
        </w:rPr>
        <w:t xml:space="preserve">                           </w:t>
      </w:r>
      <w:r>
        <w:rPr>
          <w:rFonts w:hint="eastAsia" w:ascii="宋体" w:hAnsi="宋体"/>
          <w:color w:val="auto"/>
          <w:szCs w:val="21"/>
          <w:highlight w:val="none"/>
        </w:rPr>
        <w:t>法定代表人（单位负责人）</w:t>
      </w:r>
    </w:p>
    <w:p>
      <w:pPr>
        <w:spacing w:line="440" w:lineRule="exact"/>
        <w:rPr>
          <w:rFonts w:ascii="宋体" w:hAnsi="宋体"/>
          <w:color w:val="auto"/>
          <w:szCs w:val="21"/>
          <w:highlight w:val="none"/>
        </w:rPr>
      </w:pPr>
      <w:r>
        <w:rPr>
          <w:rFonts w:hint="eastAsia" w:ascii="宋体" w:hAnsi="宋体"/>
          <w:color w:val="auto"/>
          <w:szCs w:val="21"/>
          <w:highlight w:val="none"/>
        </w:rPr>
        <w:t xml:space="preserve">或受委托人（签字）：                      </w:t>
      </w:r>
      <w:r>
        <w:rPr>
          <w:rFonts w:ascii="宋体" w:hAnsi="宋体"/>
          <w:color w:val="auto"/>
          <w:szCs w:val="21"/>
          <w:highlight w:val="none"/>
        </w:rPr>
        <w:t xml:space="preserve">          </w:t>
      </w:r>
      <w:r>
        <w:rPr>
          <w:rFonts w:hint="eastAsia" w:ascii="宋体" w:hAnsi="宋体"/>
          <w:color w:val="auto"/>
          <w:szCs w:val="21"/>
          <w:highlight w:val="none"/>
        </w:rPr>
        <w:t xml:space="preserve"> 或受委托人（签字）：</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地  址：                                            地 址： </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开户银行： </w:t>
      </w:r>
      <w:r>
        <w:rPr>
          <w:rFonts w:ascii="宋体" w:hAnsi="宋体"/>
          <w:color w:val="auto"/>
          <w:szCs w:val="21"/>
          <w:highlight w:val="none"/>
        </w:rPr>
        <w:t xml:space="preserve">                                         </w:t>
      </w:r>
      <w:r>
        <w:rPr>
          <w:rFonts w:hint="eastAsia" w:ascii="宋体" w:hAnsi="宋体"/>
          <w:color w:val="auto"/>
          <w:szCs w:val="21"/>
          <w:highlight w:val="none"/>
        </w:rPr>
        <w:t>开户银行：</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账号： </w:t>
      </w:r>
      <w:r>
        <w:rPr>
          <w:rFonts w:ascii="宋体" w:hAnsi="宋体"/>
          <w:color w:val="auto"/>
          <w:szCs w:val="21"/>
          <w:highlight w:val="none"/>
        </w:rPr>
        <w:t xml:space="preserve">                                             </w:t>
      </w:r>
      <w:r>
        <w:rPr>
          <w:rFonts w:hint="eastAsia" w:ascii="宋体" w:hAnsi="宋体"/>
          <w:color w:val="auto"/>
          <w:szCs w:val="21"/>
          <w:highlight w:val="none"/>
        </w:rPr>
        <w:t>账号：</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签约时间：                                       </w:t>
      </w:r>
      <w:r>
        <w:rPr>
          <w:rFonts w:ascii="宋体" w:hAnsi="宋体"/>
          <w:color w:val="auto"/>
          <w:szCs w:val="21"/>
          <w:highlight w:val="none"/>
        </w:rPr>
        <w:t xml:space="preserve">  </w:t>
      </w:r>
      <w:r>
        <w:rPr>
          <w:rFonts w:hint="eastAsia" w:ascii="宋体" w:hAnsi="宋体"/>
          <w:color w:val="auto"/>
          <w:szCs w:val="21"/>
          <w:highlight w:val="none"/>
        </w:rPr>
        <w:t xml:space="preserve"> 签约地点：</w:t>
      </w:r>
    </w:p>
    <w:p>
      <w:pPr>
        <w:spacing w:line="440" w:lineRule="exact"/>
        <w:jc w:val="left"/>
        <w:outlineLvl w:val="0"/>
        <w:rPr>
          <w:rFonts w:ascii="宋体" w:hAnsi="宋体"/>
          <w:color w:val="auto"/>
          <w:highlight w:val="none"/>
        </w:rPr>
      </w:pPr>
    </w:p>
    <w:p>
      <w:pPr>
        <w:spacing w:line="400" w:lineRule="exact"/>
        <w:ind w:left="4849" w:hanging="4849" w:hangingChars="2300"/>
        <w:rPr>
          <w:rFonts w:ascii="宋体" w:hAnsi="宋体"/>
          <w:b/>
          <w:color w:val="auto"/>
          <w:szCs w:val="21"/>
          <w:highlight w:val="none"/>
        </w:rPr>
      </w:pPr>
    </w:p>
    <w:p>
      <w:pPr>
        <w:spacing w:line="400" w:lineRule="exact"/>
        <w:jc w:val="left"/>
        <w:outlineLvl w:val="0"/>
        <w:rPr>
          <w:rFonts w:ascii="宋体" w:hAnsi="宋体"/>
          <w:b/>
          <w:color w:val="auto"/>
          <w:szCs w:val="21"/>
          <w:highlight w:val="none"/>
        </w:rPr>
        <w:sectPr>
          <w:headerReference r:id="rId11" w:type="default"/>
          <w:pgSz w:w="11907" w:h="16840"/>
          <w:pgMar w:top="1134" w:right="1361" w:bottom="1134" w:left="1361" w:header="284" w:footer="727" w:gutter="0"/>
          <w:cols w:space="720" w:num="1"/>
          <w:docGrid w:linePitch="285" w:charSpace="0"/>
        </w:sectPr>
      </w:pPr>
    </w:p>
    <w:p>
      <w:pPr>
        <w:spacing w:line="400" w:lineRule="exact"/>
        <w:jc w:val="center"/>
        <w:outlineLvl w:val="0"/>
        <w:rPr>
          <w:rFonts w:ascii="宋体" w:hAnsi="宋体"/>
          <w:b/>
          <w:color w:val="auto"/>
          <w:sz w:val="32"/>
          <w:highlight w:val="none"/>
        </w:rPr>
      </w:pPr>
      <w:bookmarkStart w:id="47" w:name="_Toc65915710"/>
      <w:bookmarkStart w:id="48" w:name="_Toc21541021"/>
      <w:bookmarkStart w:id="49"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47"/>
      <w:bookmarkEnd w:id="48"/>
    </w:p>
    <w:p>
      <w:pPr>
        <w:widowControl w:val="0"/>
        <w:wordWrap/>
        <w:spacing w:line="400" w:lineRule="exact"/>
        <w:jc w:val="left"/>
        <w:textAlignment w:val="auto"/>
        <w:rPr>
          <w:rFonts w:hint="eastAsia" w:ascii="宋体" w:hAnsi="宋体" w:eastAsia="宋体" w:cs="宋体"/>
          <w:b/>
          <w:bCs/>
          <w:color w:val="auto"/>
          <w:sz w:val="21"/>
          <w:szCs w:val="21"/>
          <w:highlight w:val="none"/>
        </w:rPr>
      </w:pPr>
      <w:bookmarkStart w:id="50" w:name="_Toc21541024"/>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rPr>
        <w:t>概况</w:t>
      </w:r>
    </w:p>
    <w:p>
      <w:pPr>
        <w:widowControl w:val="0"/>
        <w:wordWrap/>
        <w:spacing w:line="400" w:lineRule="exact"/>
        <w:ind w:firstLine="420" w:firstLineChars="200"/>
        <w:jc w:val="left"/>
        <w:textAlignment w:val="auto"/>
        <w:rPr>
          <w:rFonts w:hint="eastAsia"/>
          <w:color w:val="auto"/>
          <w:highlight w:val="none"/>
          <w:u w:val="none"/>
        </w:rPr>
      </w:pPr>
      <w:r>
        <w:rPr>
          <w:rFonts w:hint="eastAsia" w:ascii="宋体" w:hAnsi="宋体" w:eastAsia="宋体" w:cs="宋体"/>
          <w:color w:val="auto"/>
          <w:sz w:val="21"/>
          <w:szCs w:val="21"/>
          <w:highlight w:val="none"/>
          <w:u w:val="none"/>
          <w:lang w:val="en-US" w:eastAsia="zh-CN"/>
        </w:rPr>
        <w:t>本采购项目所涉养护道路共</w:t>
      </w:r>
      <w:r>
        <w:rPr>
          <w:rFonts w:hint="eastAsia" w:ascii="宋体" w:hAnsi="宋体" w:cs="宋体"/>
          <w:color w:val="auto"/>
          <w:sz w:val="21"/>
          <w:szCs w:val="21"/>
          <w:highlight w:val="none"/>
          <w:u w:val="none"/>
          <w:lang w:val="en-US" w:eastAsia="zh-CN"/>
        </w:rPr>
        <w:t>有</w:t>
      </w:r>
      <w:r>
        <w:rPr>
          <w:rFonts w:hint="eastAsia" w:ascii="宋体" w:hAnsi="宋体" w:eastAsia="宋体" w:cs="宋体"/>
          <w:color w:val="auto"/>
          <w:sz w:val="21"/>
          <w:szCs w:val="21"/>
          <w:highlight w:val="none"/>
          <w:u w:val="none"/>
          <w:lang w:val="en-US" w:eastAsia="zh-CN"/>
        </w:rPr>
        <w:t>三个标段，</w:t>
      </w:r>
      <w:r>
        <w:rPr>
          <w:rFonts w:hint="eastAsia" w:ascii="宋体" w:hAnsi="宋体" w:cs="宋体"/>
          <w:color w:val="auto"/>
          <w:sz w:val="21"/>
          <w:szCs w:val="21"/>
          <w:highlight w:val="none"/>
          <w:u w:val="none"/>
          <w:lang w:val="en-US" w:eastAsia="zh-CN"/>
        </w:rPr>
        <w:t>I标段有</w:t>
      </w:r>
      <w:r>
        <w:rPr>
          <w:rFonts w:hint="eastAsia" w:ascii="宋体" w:hAnsi="宋体" w:eastAsia="宋体" w:cs="宋体"/>
          <w:b w:val="0"/>
          <w:bCs w:val="0"/>
          <w:i w:val="0"/>
          <w:iCs w:val="0"/>
          <w:color w:val="auto"/>
          <w:kern w:val="2"/>
          <w:sz w:val="21"/>
          <w:szCs w:val="21"/>
          <w:highlight w:val="none"/>
          <w:u w:val="none"/>
          <w:lang w:val="en-US" w:eastAsia="zh-CN"/>
        </w:rPr>
        <w:t>安源路、银湾东路-潮浦路、八塘路、兴慈一路—兴慈四路、滨海大道、浦东路-兴慈五路、滨海二路、兴慈大道-龙宝路、滨海六路、兴慈大道-兴慈五路、滨海三路、兴慈大道-兴慈七路、滨海三路488弄（滨海三路—句章江）、滨海三路—句章江、滨海四路、兴慈大道-博华路、滨海五路、兴慈大道-龙宝路、滨海一路、浦东路-杭州湾大道、博轩路、合轸路-玉海东路、盛轩路、滨海六路-瓷州路等；II标段有</w:t>
      </w:r>
      <w:r>
        <w:rPr>
          <w:rFonts w:hint="eastAsia" w:ascii="宋体" w:hAnsi="宋体" w:eastAsia="宋体" w:cs="宋体"/>
          <w:b w:val="0"/>
          <w:bCs w:val="0"/>
          <w:i w:val="0"/>
          <w:iCs w:val="0"/>
          <w:color w:val="auto"/>
          <w:sz w:val="21"/>
          <w:szCs w:val="21"/>
          <w:highlight w:val="none"/>
          <w:u w:val="none"/>
          <w:lang w:val="en-US" w:eastAsia="zh-CN"/>
        </w:rPr>
        <w:t>安源路、银湾东路-潮浦路、</w:t>
      </w:r>
      <w:r>
        <w:rPr>
          <w:rFonts w:hint="eastAsia" w:ascii="宋体" w:hAnsi="宋体" w:eastAsia="宋体" w:cs="宋体"/>
          <w:i w:val="0"/>
          <w:iCs w:val="0"/>
          <w:color w:val="auto"/>
          <w:kern w:val="2"/>
          <w:sz w:val="21"/>
          <w:szCs w:val="21"/>
          <w:highlight w:val="none"/>
          <w:u w:val="none"/>
          <w:lang w:val="en-US" w:eastAsia="zh-CN"/>
        </w:rPr>
        <w:t>滨海大道、滨海二路、滨海七路等；III标段有海达路、海富路、海裕路、杭州湾大道、金合路、金源大道、龙宝路、连江路、芦汀路、芦苇路、天宝路、中兴一路、和泽路等</w:t>
      </w:r>
      <w:r>
        <w:rPr>
          <w:rFonts w:hint="eastAsia" w:ascii="宋体" w:hAnsi="宋体" w:eastAsia="宋体" w:cs="宋体"/>
          <w:color w:val="auto"/>
          <w:sz w:val="21"/>
          <w:szCs w:val="21"/>
          <w:highlight w:val="none"/>
          <w:u w:val="none"/>
          <w:lang w:val="en-US" w:eastAsia="zh-CN"/>
        </w:rPr>
        <w:t>总长约339.527公里，总面积约1195万平方米。道路整体状况良好；建安费24648185元。</w:t>
      </w:r>
    </w:p>
    <w:p>
      <w:pPr>
        <w:pStyle w:val="22"/>
        <w:widowControl w:val="0"/>
        <w:wordWrap/>
        <w:spacing w:line="400" w:lineRule="exact"/>
        <w:ind w:left="0" w:leftChars="0" w:firstLine="0" w:firstLineChars="0"/>
        <w:textAlignment w:val="auto"/>
        <w:rPr>
          <w:rFonts w:hint="eastAsia" w:ascii="宋体" w:hAnsi="宋体" w:eastAsia="宋体" w:cs="宋体"/>
          <w:b/>
          <w:snapToGrid w:val="0"/>
          <w:color w:val="auto"/>
          <w:kern w:val="2"/>
          <w:sz w:val="21"/>
          <w:szCs w:val="21"/>
          <w:highlight w:val="none"/>
          <w:u w:val="none"/>
          <w:lang w:val="en-US" w:eastAsia="zh-CN" w:bidi="ar-SA"/>
        </w:rPr>
      </w:pPr>
      <w:r>
        <w:rPr>
          <w:rFonts w:hint="eastAsia" w:ascii="宋体" w:hAnsi="宋体" w:eastAsia="宋体" w:cs="宋体"/>
          <w:b/>
          <w:bCs/>
          <w:color w:val="auto"/>
          <w:kern w:val="2"/>
          <w:sz w:val="21"/>
          <w:szCs w:val="21"/>
          <w:highlight w:val="none"/>
          <w:u w:val="none"/>
          <w:lang w:val="en-US" w:eastAsia="zh-CN" w:bidi="ar-SA"/>
        </w:rPr>
        <w:t>二、合同履约期限：二年，合同一年一签（第一年度合同期满后，经采购人考核合格，可续签下一年度合同，最多可续签一次）；具体时间以合同签订时间为准（同维修养护合同时间）</w:t>
      </w:r>
      <w:r>
        <w:rPr>
          <w:rFonts w:hint="eastAsia" w:ascii="宋体" w:hAnsi="宋体" w:eastAsia="宋体" w:cs="宋体"/>
          <w:color w:val="auto"/>
          <w:kern w:val="2"/>
          <w:sz w:val="21"/>
          <w:szCs w:val="21"/>
          <w:highlight w:val="none"/>
          <w:u w:val="none"/>
          <w:lang w:val="en-US" w:eastAsia="zh-CN" w:bidi="ar-SA"/>
        </w:rPr>
        <w:t>。</w:t>
      </w:r>
    </w:p>
    <w:p>
      <w:pPr>
        <w:widowControl w:val="0"/>
        <w:wordWrap/>
        <w:adjustRightInd w:val="0"/>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三、具体内容</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质量监督与管理</w:t>
      </w:r>
      <w:r>
        <w:rPr>
          <w:rFonts w:hint="eastAsia" w:ascii="宋体" w:hAnsi="宋体" w:eastAsia="宋体" w:cs="宋体"/>
          <w:color w:val="auto"/>
          <w:sz w:val="21"/>
          <w:szCs w:val="21"/>
          <w:highlight w:val="none"/>
        </w:rPr>
        <w:t>服务内容包含但不限于：</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1.1供应商</w:t>
      </w:r>
      <w:r>
        <w:rPr>
          <w:rFonts w:hint="eastAsia" w:ascii="宋体" w:hAnsi="宋体" w:eastAsia="宋体" w:cs="宋体"/>
          <w:color w:val="auto"/>
          <w:sz w:val="21"/>
          <w:szCs w:val="21"/>
          <w:highlight w:val="none"/>
        </w:rPr>
        <w:t>派出</w:t>
      </w:r>
      <w:r>
        <w:rPr>
          <w:rFonts w:hint="eastAsia" w:ascii="宋体" w:hAnsi="宋体" w:eastAsia="宋体" w:cs="宋体"/>
          <w:color w:val="auto"/>
          <w:sz w:val="21"/>
          <w:szCs w:val="21"/>
          <w:highlight w:val="none"/>
          <w:lang w:eastAsia="zh-CN"/>
        </w:rPr>
        <w:t>与本项目</w:t>
      </w:r>
      <w:r>
        <w:rPr>
          <w:rFonts w:hint="eastAsia" w:ascii="宋体" w:hAnsi="宋体" w:eastAsia="宋体" w:cs="宋体"/>
          <w:color w:val="auto"/>
          <w:sz w:val="21"/>
          <w:szCs w:val="21"/>
          <w:highlight w:val="none"/>
        </w:rPr>
        <w:t>相适应的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团队</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val="en-US" w:eastAsia="zh-CN"/>
        </w:rPr>
        <w:t>质量监督与管理</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必须按照国家和有关</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规定进行</w:t>
      </w:r>
      <w:r>
        <w:rPr>
          <w:rFonts w:hint="eastAsia" w:ascii="宋体" w:hAnsi="宋体" w:eastAsia="宋体" w:cs="宋体"/>
          <w:color w:val="auto"/>
          <w:sz w:val="21"/>
          <w:szCs w:val="21"/>
          <w:highlight w:val="none"/>
          <w:lang w:val="en-US" w:eastAsia="zh-CN"/>
        </w:rPr>
        <w:t>监督与管理</w:t>
      </w:r>
      <w:r>
        <w:rPr>
          <w:rFonts w:hint="eastAsia" w:ascii="宋体" w:hAnsi="宋体" w:eastAsia="宋体" w:cs="宋体"/>
          <w:color w:val="auto"/>
          <w:sz w:val="21"/>
          <w:szCs w:val="21"/>
          <w:highlight w:val="none"/>
        </w:rPr>
        <w:t>，代表采购人对</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进行全过程、全方位</w:t>
      </w:r>
      <w:r>
        <w:rPr>
          <w:rFonts w:hint="eastAsia" w:ascii="宋体" w:hAnsi="宋体" w:eastAsia="宋体" w:cs="宋体"/>
          <w:color w:val="auto"/>
          <w:sz w:val="21"/>
          <w:szCs w:val="21"/>
          <w:highlight w:val="none"/>
          <w:lang w:val="en-US" w:eastAsia="zh-CN"/>
        </w:rPr>
        <w:t>监督与管理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按自行职责对</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质量终身负责。</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1.2对维修养护单位日常施工进行巡视检查。</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1.3供应商</w:t>
      </w:r>
      <w:r>
        <w:rPr>
          <w:rFonts w:hint="eastAsia" w:ascii="宋体" w:hAnsi="宋体" w:eastAsia="宋体" w:cs="宋体"/>
          <w:color w:val="auto"/>
          <w:sz w:val="21"/>
          <w:szCs w:val="21"/>
          <w:highlight w:val="none"/>
        </w:rPr>
        <w:t>工作人员不得与本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的有关维修养护</w:t>
      </w:r>
      <w:r>
        <w:rPr>
          <w:rFonts w:hint="eastAsia" w:ascii="宋体" w:hAnsi="宋体" w:eastAsia="宋体" w:cs="宋体"/>
          <w:color w:val="auto"/>
          <w:sz w:val="21"/>
          <w:szCs w:val="21"/>
          <w:highlight w:val="none"/>
          <w:lang w:eastAsia="zh-CN"/>
        </w:rPr>
        <w:t>单位、其他相关人员</w:t>
      </w:r>
      <w:r>
        <w:rPr>
          <w:rFonts w:hint="eastAsia" w:ascii="宋体" w:hAnsi="宋体" w:eastAsia="宋体" w:cs="宋体"/>
          <w:color w:val="auto"/>
          <w:sz w:val="21"/>
          <w:szCs w:val="21"/>
          <w:highlight w:val="none"/>
        </w:rPr>
        <w:t>发生经济利益关系。</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严把质量关。在整个</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过程中要认真检查、督促维修养护</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严格执行国家和省颁布的有关验收规范和技术标准，并根据</w:t>
      </w:r>
      <w:r>
        <w:rPr>
          <w:rFonts w:hint="eastAsia" w:ascii="宋体" w:hAnsi="宋体" w:eastAsia="宋体" w:cs="宋体"/>
          <w:color w:val="auto"/>
          <w:sz w:val="21"/>
          <w:szCs w:val="21"/>
          <w:highlight w:val="none"/>
          <w:lang w:eastAsia="zh-CN"/>
        </w:rPr>
        <w:t>项目情况</w:t>
      </w:r>
      <w:r>
        <w:rPr>
          <w:rFonts w:hint="eastAsia" w:ascii="宋体" w:hAnsi="宋体" w:eastAsia="宋体" w:cs="宋体"/>
          <w:color w:val="auto"/>
          <w:sz w:val="21"/>
          <w:szCs w:val="21"/>
          <w:highlight w:val="none"/>
        </w:rPr>
        <w:t>进行全程旁站、拍照存档，杜绝偷工减料和粗制滥造。</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按采购人意见，核对工程量签证，签发通知单，督促维修养护单位落实相关事宜。</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每月将</w:t>
      </w:r>
      <w:r>
        <w:rPr>
          <w:rFonts w:hint="eastAsia" w:ascii="宋体" w:hAnsi="宋体" w:eastAsia="宋体" w:cs="宋体"/>
          <w:color w:val="auto"/>
          <w:sz w:val="21"/>
          <w:szCs w:val="21"/>
          <w:highlight w:val="none"/>
          <w:lang w:val="en-US" w:eastAsia="zh-CN"/>
        </w:rPr>
        <w:t>维修养护单位</w:t>
      </w:r>
      <w:r>
        <w:rPr>
          <w:rFonts w:hint="eastAsia" w:ascii="宋体" w:hAnsi="宋体" w:eastAsia="宋体" w:cs="宋体"/>
          <w:color w:val="auto"/>
          <w:sz w:val="21"/>
          <w:szCs w:val="21"/>
          <w:highlight w:val="none"/>
        </w:rPr>
        <w:t>作业中的问题及整改进度汇总制成月报</w:t>
      </w:r>
      <w:r>
        <w:rPr>
          <w:rFonts w:hint="eastAsia" w:ascii="宋体" w:hAnsi="宋体" w:eastAsia="宋体" w:cs="宋体"/>
          <w:color w:val="auto"/>
          <w:sz w:val="21"/>
          <w:szCs w:val="21"/>
          <w:highlight w:val="none"/>
          <w:lang w:eastAsia="zh-CN"/>
        </w:rPr>
        <w:t>。</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每月到岗</w:t>
      </w:r>
      <w:r>
        <w:rPr>
          <w:rFonts w:hint="eastAsia" w:ascii="宋体" w:hAnsi="宋体" w:eastAsia="宋体" w:cs="宋体"/>
          <w:color w:val="auto"/>
          <w:sz w:val="21"/>
          <w:szCs w:val="21"/>
          <w:highlight w:val="none"/>
          <w:lang w:val="en-US" w:eastAsia="zh-CN"/>
        </w:rPr>
        <w:t>普通管理人员</w:t>
      </w:r>
      <w:r>
        <w:rPr>
          <w:rFonts w:hint="eastAsia" w:ascii="宋体" w:hAnsi="宋体" w:eastAsia="宋体" w:cs="宋体"/>
          <w:color w:val="auto"/>
          <w:sz w:val="21"/>
          <w:szCs w:val="21"/>
          <w:highlight w:val="none"/>
        </w:rPr>
        <w:t>不少于2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val="en-US" w:eastAsia="zh-CN"/>
        </w:rPr>
        <w:t>项目负责人不少于22天，</w:t>
      </w:r>
      <w:r>
        <w:rPr>
          <w:rFonts w:hint="eastAsia" w:ascii="宋体" w:hAnsi="宋体" w:eastAsia="宋体" w:cs="宋体"/>
          <w:color w:val="auto"/>
          <w:sz w:val="21"/>
          <w:szCs w:val="21"/>
          <w:highlight w:val="none"/>
        </w:rPr>
        <w:t>少1天给予</w:t>
      </w:r>
      <w:r>
        <w:rPr>
          <w:rFonts w:hint="eastAsia" w:ascii="宋体" w:hAnsi="宋体" w:cs="宋体"/>
          <w:color w:val="auto"/>
          <w:sz w:val="21"/>
          <w:szCs w:val="21"/>
          <w:highlight w:val="none"/>
          <w:lang w:val="en-US" w:eastAsia="zh-CN"/>
        </w:rPr>
        <w:t>2000元</w:t>
      </w:r>
      <w:r>
        <w:rPr>
          <w:rFonts w:hint="eastAsia" w:ascii="宋体" w:hAnsi="宋体" w:eastAsia="宋体" w:cs="宋体"/>
          <w:color w:val="auto"/>
          <w:sz w:val="21"/>
          <w:szCs w:val="21"/>
          <w:highlight w:val="none"/>
        </w:rPr>
        <w:t>经济处罚</w:t>
      </w:r>
      <w:r>
        <w:rPr>
          <w:rFonts w:hint="eastAsia" w:ascii="宋体" w:hAnsi="宋体" w:eastAsia="宋体" w:cs="宋体"/>
          <w:color w:val="auto"/>
          <w:sz w:val="21"/>
          <w:szCs w:val="21"/>
          <w:highlight w:val="none"/>
          <w:lang w:eastAsia="zh-CN"/>
        </w:rPr>
        <w:t>。</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1.8 </w:t>
      </w:r>
      <w:r>
        <w:rPr>
          <w:rFonts w:hint="eastAsia" w:ascii="宋体" w:hAnsi="宋体" w:eastAsia="宋体" w:cs="宋体"/>
          <w:color w:val="auto"/>
          <w:sz w:val="21"/>
          <w:szCs w:val="21"/>
          <w:highlight w:val="none"/>
        </w:rPr>
        <w:t>7日内审核完</w:t>
      </w:r>
      <w:r>
        <w:rPr>
          <w:rFonts w:hint="eastAsia" w:ascii="宋体" w:hAnsi="宋体" w:eastAsia="宋体" w:cs="宋体"/>
          <w:color w:val="auto"/>
          <w:sz w:val="21"/>
          <w:szCs w:val="21"/>
          <w:highlight w:val="none"/>
          <w:lang w:val="en-US" w:eastAsia="zh-CN"/>
        </w:rPr>
        <w:t>维修养护单位</w:t>
      </w:r>
      <w:r>
        <w:rPr>
          <w:rFonts w:hint="eastAsia" w:ascii="宋体" w:hAnsi="宋体" w:eastAsia="宋体" w:cs="宋体"/>
          <w:color w:val="auto"/>
          <w:sz w:val="21"/>
          <w:szCs w:val="21"/>
          <w:highlight w:val="none"/>
        </w:rPr>
        <w:t>提交的报告并报送</w:t>
      </w:r>
      <w:r>
        <w:rPr>
          <w:rFonts w:hint="eastAsia" w:ascii="宋体" w:hAnsi="宋体" w:eastAsia="宋体" w:cs="宋体"/>
          <w:color w:val="auto"/>
          <w:sz w:val="21"/>
          <w:szCs w:val="21"/>
          <w:highlight w:val="none"/>
          <w:lang w:eastAsia="zh-CN"/>
        </w:rPr>
        <w:t>采购人。</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1.9协调辅助各方工作，并</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监督与管理</w:t>
      </w:r>
      <w:r>
        <w:rPr>
          <w:rFonts w:hint="eastAsia" w:ascii="宋体" w:hAnsi="宋体" w:eastAsia="宋体" w:cs="宋体"/>
          <w:color w:val="auto"/>
          <w:sz w:val="21"/>
          <w:szCs w:val="21"/>
          <w:highlight w:val="none"/>
        </w:rPr>
        <w:t>规范要求的其他工作内容。</w:t>
      </w:r>
    </w:p>
    <w:p>
      <w:pPr>
        <w:widowControl w:val="0"/>
        <w:wordWrap/>
        <w:spacing w:line="4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1.10监督与管理工作符合国家法律、法规和地方法规、规章等规定。</w:t>
      </w:r>
    </w:p>
    <w:p>
      <w:pPr>
        <w:widowControl w:val="0"/>
        <w:wordWrap/>
        <w:adjustRightInd w:val="0"/>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▲四、拟投入本项目的办公及检测设备配备表（最低要求）</w:t>
      </w:r>
    </w:p>
    <w:tbl>
      <w:tblPr>
        <w:tblStyle w:val="5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090"/>
        <w:gridCol w:w="228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90" w:type="dxa"/>
            <w:vAlign w:val="center"/>
          </w:tcPr>
          <w:p>
            <w:pPr>
              <w:widowControl w:val="0"/>
              <w:tabs>
                <w:tab w:val="left" w:pos="7480"/>
              </w:tabs>
              <w:wordWrap/>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280" w:type="dxa"/>
            <w:vAlign w:val="center"/>
          </w:tcPr>
          <w:p>
            <w:pPr>
              <w:widowControl w:val="0"/>
              <w:tabs>
                <w:tab w:val="left" w:pos="7480"/>
              </w:tabs>
              <w:wordWrap/>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763" w:type="dxa"/>
            <w:vAlign w:val="center"/>
          </w:tcPr>
          <w:p>
            <w:pPr>
              <w:widowControl w:val="0"/>
              <w:tabs>
                <w:tab w:val="left" w:pos="7480"/>
              </w:tabs>
              <w:wordWrap/>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计算机、打印机及相关软件</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贰套</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办公设备</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传真机、固定电话及其他办公设备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经纬仪、水准仪、便携式红外线测距仪等测试设备</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各壹套</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必要检验设备</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壹套</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通讯设备</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每人壹部手机</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rPr>
              <w:t>人员保证24小时通讯畅通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09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交通工具</w:t>
            </w:r>
          </w:p>
        </w:tc>
        <w:tc>
          <w:tcPr>
            <w:tcW w:w="2280"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自备汽车一辆及其他交通工具</w:t>
            </w:r>
          </w:p>
        </w:tc>
        <w:tc>
          <w:tcPr>
            <w:tcW w:w="2763" w:type="dxa"/>
            <w:vAlign w:val="center"/>
          </w:tcPr>
          <w:p>
            <w:pPr>
              <w:widowControl w:val="0"/>
              <w:tabs>
                <w:tab w:val="left" w:pos="54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widowControl w:val="0"/>
              <w:tabs>
                <w:tab w:val="left" w:pos="7480"/>
              </w:tabs>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090" w:type="dxa"/>
            <w:vAlign w:val="center"/>
          </w:tcPr>
          <w:p>
            <w:pPr>
              <w:widowControl w:val="0"/>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数码照相机</w:t>
            </w:r>
          </w:p>
        </w:tc>
        <w:tc>
          <w:tcPr>
            <w:tcW w:w="2280" w:type="dxa"/>
            <w:vAlign w:val="center"/>
          </w:tcPr>
          <w:p>
            <w:pPr>
              <w:widowControl w:val="0"/>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壹台</w:t>
            </w:r>
          </w:p>
        </w:tc>
        <w:tc>
          <w:tcPr>
            <w:tcW w:w="2763" w:type="dxa"/>
            <w:vAlign w:val="center"/>
          </w:tcPr>
          <w:p>
            <w:pPr>
              <w:widowControl w:val="0"/>
              <w:wordWrap/>
              <w:adjustRightInd w:val="0"/>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p>
        </w:tc>
      </w:tr>
    </w:tbl>
    <w:tbl>
      <w:tblPr>
        <w:tblStyle w:val="54"/>
        <w:tblpPr w:leftFromText="180" w:rightFromText="180" w:vertAnchor="text" w:horzAnchor="page" w:tblpX="1574" w:tblpY="603"/>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18"/>
        <w:gridCol w:w="2027"/>
        <w:gridCol w:w="1584"/>
        <w:gridCol w:w="144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18"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岗位要求</w:t>
            </w:r>
          </w:p>
        </w:tc>
        <w:tc>
          <w:tcPr>
            <w:tcW w:w="2027"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技术职称或执业资格要求</w:t>
            </w:r>
          </w:p>
        </w:tc>
        <w:tc>
          <w:tcPr>
            <w:tcW w:w="1584"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专业要求</w:t>
            </w:r>
          </w:p>
        </w:tc>
        <w:tc>
          <w:tcPr>
            <w:tcW w:w="1448"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数量要求（人）</w:t>
            </w:r>
          </w:p>
        </w:tc>
        <w:tc>
          <w:tcPr>
            <w:tcW w:w="1062"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18" w:type="dxa"/>
            <w:vAlign w:val="center"/>
          </w:tcPr>
          <w:p>
            <w:pPr>
              <w:widowControl w:val="0"/>
              <w:tabs>
                <w:tab w:val="left" w:pos="540"/>
              </w:tabs>
              <w:wordWrap/>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2027" w:type="dxa"/>
            <w:vAlign w:val="center"/>
          </w:tcPr>
          <w:p>
            <w:pPr>
              <w:widowControl w:val="0"/>
              <w:tabs>
                <w:tab w:val="left" w:pos="540"/>
              </w:tabs>
              <w:wordWrap/>
              <w:spacing w:line="400" w:lineRule="exact"/>
              <w:jc w:val="center"/>
              <w:textAlignment w:val="auto"/>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国家注册监理工程师</w:t>
            </w:r>
          </w:p>
        </w:tc>
        <w:tc>
          <w:tcPr>
            <w:tcW w:w="1584"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市政公用工程</w:t>
            </w:r>
          </w:p>
        </w:tc>
        <w:tc>
          <w:tcPr>
            <w:tcW w:w="1448"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pPr>
              <w:widowControl w:val="0"/>
              <w:wordWrap/>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18" w:type="dxa"/>
            <w:vAlign w:val="center"/>
          </w:tcPr>
          <w:p>
            <w:pPr>
              <w:widowControl w:val="0"/>
              <w:tabs>
                <w:tab w:val="left" w:pos="540"/>
              </w:tabs>
              <w:wordWrap/>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管理人员</w:t>
            </w:r>
          </w:p>
        </w:tc>
        <w:tc>
          <w:tcPr>
            <w:tcW w:w="2027"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宁波市或浙江省及以上的监理员</w:t>
            </w:r>
          </w:p>
        </w:tc>
        <w:tc>
          <w:tcPr>
            <w:tcW w:w="1584"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市政公用工程</w:t>
            </w:r>
          </w:p>
        </w:tc>
        <w:tc>
          <w:tcPr>
            <w:tcW w:w="1448" w:type="dxa"/>
            <w:vAlign w:val="center"/>
          </w:tcPr>
          <w:p>
            <w:pPr>
              <w:widowControl w:val="0"/>
              <w:tabs>
                <w:tab w:val="left" w:pos="540"/>
              </w:tabs>
              <w:wordWrap/>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062" w:type="dxa"/>
            <w:vAlign w:val="center"/>
          </w:tcPr>
          <w:p>
            <w:pPr>
              <w:widowControl w:val="0"/>
              <w:wordWrap/>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每标段配置1名</w:t>
            </w:r>
          </w:p>
        </w:tc>
      </w:tr>
    </w:tbl>
    <w:p>
      <w:pPr>
        <w:widowControl w:val="0"/>
        <w:wordWrap/>
        <w:adjustRightInd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▲五、拟投入本项目的管理人员配备表（最低要求）</w:t>
      </w:r>
    </w:p>
    <w:p>
      <w:pPr>
        <w:widowControl/>
        <w:jc w:val="left"/>
        <w:rPr>
          <w:rFonts w:ascii="宋体" w:hAnsi="宋体"/>
          <w:b/>
          <w:color w:val="auto"/>
          <w:szCs w:val="21"/>
          <w:highlight w:val="none"/>
        </w:rPr>
      </w:pPr>
    </w:p>
    <w:p>
      <w:pPr>
        <w:widowControl w:val="0"/>
        <w:wordWrap/>
        <w:adjustRightInd w:val="0"/>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六、考核条款和表格</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（1）供应商应按其投标文件中“管理人员组成表”、“办公及检测设备投入表”配备现场人员及办公、设备。</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（2）供应商应认真核实施工单位上报的工程量，若供应商未发现施工单位虚报工程量的现象，发现第一次处罚2000元，发现第二次处罚4000元，第三次8000元，依次类推。</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（3）供应商应当对施工单位提交的资料与工程现场进行审查并签认，若采购人发现经供应商签认后的相关资料与工程现场不相符，则采购人有权扣除供应商的服务费1万元作为处罚，该赔偿金在服务费用中扣除。</w:t>
      </w:r>
    </w:p>
    <w:p>
      <w:pPr>
        <w:widowControl w:val="0"/>
        <w:wordWrap/>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（4）采购人对供应商每个项目每月进行一次考核:考核分95(含)以上为优秀;考核分 85(含)-95之间的，低于 95 分的部分每分扣款500元，低于90分的部分每分扣款1000元。低于85分为不合格且低于85分的部分每分扣款2000元，如连续两次考核不合格，采购人有权单方解除合同，同时年度服务合同不续签。</w:t>
      </w:r>
    </w:p>
    <w:p>
      <w:pPr>
        <w:widowControl w:val="0"/>
        <w:wordWrap/>
        <w:adjustRightInd w:val="0"/>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p>
    <w:p>
      <w:pPr>
        <w:spacing w:line="400" w:lineRule="exact"/>
        <w:ind w:firstLine="420" w:firstLineChars="200"/>
        <w:rPr>
          <w:rFonts w:ascii="宋体" w:hAnsi="宋体" w:cs="仿宋_GB2312"/>
          <w:color w:val="auto"/>
          <w:szCs w:val="21"/>
          <w:highlight w:val="none"/>
        </w:rPr>
      </w:pPr>
    </w:p>
    <w:p>
      <w:pPr>
        <w:spacing w:line="240" w:lineRule="auto"/>
        <w:jc w:val="both"/>
        <w:outlineLvl w:val="0"/>
        <w:rPr>
          <w:rFonts w:ascii="宋体" w:hAnsi="宋体"/>
          <w:b/>
          <w:color w:val="auto"/>
          <w:highlight w:val="none"/>
        </w:rPr>
      </w:pPr>
    </w:p>
    <w:p>
      <w:pPr>
        <w:rPr>
          <w:rFonts w:ascii="宋体" w:hAnsi="宋体"/>
          <w:b/>
          <w:color w:val="auto"/>
          <w:highlight w:val="none"/>
        </w:rPr>
        <w:sectPr>
          <w:pgSz w:w="11907" w:h="16840"/>
          <w:pgMar w:top="1134" w:right="1275" w:bottom="1276" w:left="1276" w:header="285" w:footer="875" w:gutter="0"/>
          <w:cols w:space="720" w:num="1"/>
          <w:docGrid w:linePitch="285" w:charSpace="0"/>
        </w:sect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bookmarkStart w:id="51" w:name="_Toc65915713"/>
      <w:r>
        <w:rPr>
          <w:rFonts w:hint="eastAsia" w:ascii="宋体" w:hAnsi="宋体" w:eastAsia="宋体" w:cs="宋体"/>
          <w:color w:val="auto"/>
          <w:kern w:val="2"/>
          <w:sz w:val="21"/>
          <w:szCs w:val="21"/>
          <w:highlight w:val="none"/>
          <w:u w:val="none"/>
          <w:lang w:val="en-US" w:eastAsia="zh-CN" w:bidi="ar-SA"/>
        </w:rPr>
        <w:t>合同履约情况考核评分表</w:t>
      </w:r>
    </w:p>
    <w:tbl>
      <w:tblPr>
        <w:tblStyle w:val="55"/>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65"/>
        <w:gridCol w:w="8880"/>
        <w:gridCol w:w="1178"/>
        <w:gridCol w:w="108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序号</w:t>
            </w:r>
          </w:p>
        </w:tc>
        <w:tc>
          <w:tcPr>
            <w:tcW w:w="1265"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考核项目</w:t>
            </w:r>
          </w:p>
        </w:tc>
        <w:tc>
          <w:tcPr>
            <w:tcW w:w="88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扣分标准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扣分</w:t>
            </w: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得分</w:t>
            </w: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一</w:t>
            </w:r>
          </w:p>
        </w:tc>
        <w:tc>
          <w:tcPr>
            <w:tcW w:w="1265"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组织管理</w:t>
            </w: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（15分）</w:t>
            </w: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1、未按要求报送质量监督与管理方案的，每项扣2分。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2、未按要求报送管理人员启用文件和人员资格证复印件的，每项扣1分。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3、未做到每月主持召开工地例会并形成会议纪要的，每次扣2分。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4、现场管理人员擅自离岗的，每次扣2分。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5、未按规定考勤，考勤记录不真实的，每次扣</w:t>
            </w:r>
            <w:r>
              <w:rPr>
                <w:rFonts w:hint="eastAsia" w:ascii="宋体" w:hAnsi="宋体" w:cs="宋体"/>
                <w:color w:val="auto"/>
                <w:kern w:val="2"/>
                <w:sz w:val="21"/>
                <w:szCs w:val="21"/>
                <w:highlight w:val="none"/>
                <w:u w:val="none"/>
                <w:lang w:val="en-US" w:eastAsia="zh-CN" w:bidi="ar-SA"/>
              </w:rPr>
              <w:t>5</w:t>
            </w:r>
            <w:r>
              <w:rPr>
                <w:rFonts w:hint="eastAsia" w:ascii="宋体" w:hAnsi="宋体" w:eastAsia="宋体" w:cs="宋体"/>
                <w:color w:val="auto"/>
                <w:kern w:val="2"/>
                <w:sz w:val="21"/>
                <w:szCs w:val="21"/>
                <w:highlight w:val="none"/>
                <w:u w:val="none"/>
                <w:lang w:val="en-US" w:eastAsia="zh-CN" w:bidi="ar-SA"/>
              </w:rPr>
              <w:t>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6、擅自调换现场管理人员的扣2分，擅自调换项目负责人的，考核不合格。</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both"/>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二</w:t>
            </w:r>
          </w:p>
        </w:tc>
        <w:tc>
          <w:tcPr>
            <w:tcW w:w="1265"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both"/>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质量管理</w:t>
            </w: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（35分）</w:t>
            </w: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1、未对施工单位使用的原材料、中间产品、设备的合格证及实验检测报告进行审查的,每项扣1分。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2、未按规范要求进行抽样检测(检验)的，砼、砂浆等实验成果未按月进行统计并上报业主的，每次扣1分。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3、对关键部位漏检或未检的，每次扣</w:t>
            </w:r>
            <w:r>
              <w:rPr>
                <w:rFonts w:hint="eastAsia" w:ascii="宋体" w:hAnsi="宋体" w:cs="宋体"/>
                <w:color w:val="auto"/>
                <w:kern w:val="2"/>
                <w:sz w:val="21"/>
                <w:szCs w:val="21"/>
                <w:highlight w:val="none"/>
                <w:u w:val="none"/>
                <w:lang w:val="en-US" w:eastAsia="zh-CN" w:bidi="ar-SA"/>
              </w:rPr>
              <w:t>5</w:t>
            </w:r>
            <w:r>
              <w:rPr>
                <w:rFonts w:hint="eastAsia" w:ascii="宋体" w:hAnsi="宋体" w:eastAsia="宋体" w:cs="宋体"/>
                <w:color w:val="auto"/>
                <w:kern w:val="2"/>
                <w:sz w:val="21"/>
                <w:szCs w:val="21"/>
                <w:highlight w:val="none"/>
                <w:u w:val="none"/>
                <w:lang w:val="en-US" w:eastAsia="zh-CN" w:bidi="ar-SA"/>
              </w:rPr>
              <w:t>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4、重要隐蔽工程和关键部位报验合格，联合验收未通过的，每次扣2分，通过联合验收的，每次加1分。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5、未按规范要求进行旁站并做好原始记录的，每次扣1分。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6、已签认合格的单元工程，经复检不合格的，每次扣2分。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7、对施工单位的“三检制”监督不力的，扣2分。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8、对施工单位要求进行验收，现场管理人员未按规定时间验收的，每次扣1分。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9、未经现场管理人员验收，施工单位擅自进入下道工序施工的，每次扣</w:t>
            </w:r>
            <w:r>
              <w:rPr>
                <w:rFonts w:hint="eastAsia" w:ascii="宋体" w:hAnsi="宋体" w:cs="宋体"/>
                <w:color w:val="auto"/>
                <w:kern w:val="2"/>
                <w:sz w:val="21"/>
                <w:szCs w:val="21"/>
                <w:highlight w:val="none"/>
                <w:u w:val="none"/>
                <w:lang w:val="en-US" w:eastAsia="zh-CN" w:bidi="ar-SA"/>
              </w:rPr>
              <w:t>2</w:t>
            </w:r>
            <w:r>
              <w:rPr>
                <w:rFonts w:hint="eastAsia" w:ascii="宋体" w:hAnsi="宋体" w:eastAsia="宋体" w:cs="宋体"/>
                <w:color w:val="auto"/>
                <w:kern w:val="2"/>
                <w:sz w:val="21"/>
                <w:szCs w:val="21"/>
                <w:highlight w:val="none"/>
                <w:u w:val="none"/>
                <w:lang w:val="en-US" w:eastAsia="zh-CN" w:bidi="ar-SA"/>
              </w:rPr>
              <w:t>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10、未严格按设计和规范要求进行监督管理并及时纠正不规范行为，出现质量问题造成返工的，每次扣3分。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11、出现重大质量事故的，质量管理总分为0分。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三</w:t>
            </w:r>
          </w:p>
        </w:tc>
        <w:tc>
          <w:tcPr>
            <w:tcW w:w="1265"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安全管理</w:t>
            </w: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（15分）</w:t>
            </w: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1、未及时认真审查施工单位上报的施工组织设计和安全生产措施的，每项扣1分。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2、施工单位未委派专职安全员的，扣1分。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3、施工现场及危险区域未督促做好安全措施及设立安全警示标志的，每项扣2分。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4、安全检查时提出的问题，未督促施工单位整改的，每次扣2分。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5、施工单位电工、电焊工等特殊工种未持证上岗的，每人次扣2分。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6、出项重大安全事故，安全管理总分0分。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四</w:t>
            </w:r>
          </w:p>
        </w:tc>
        <w:tc>
          <w:tcPr>
            <w:tcW w:w="1265"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进度管理</w:t>
            </w: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(15分)</w:t>
            </w: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1、未按要求审核施工单位施工进度计划的，扣2分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2、未及时向采购人报送监督与管理月报的，每次扣2分。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3、未按施工进度计划督促落实，造成工期延误的，扣2分。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4、计量审核不及时、不准确或计量欠真实的，每次扣3分。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5、未按规定要求及时报送工程联系单并提出有效意见的，每次扣2分。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6、工期超原定工期 10%，无合理原因的，进度管理总分0分。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五</w:t>
            </w:r>
          </w:p>
        </w:tc>
        <w:tc>
          <w:tcPr>
            <w:tcW w:w="1265" w:type="dxa"/>
            <w:vMerge w:val="restart"/>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资料管理(20 分)</w:t>
            </w: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1、对工程原始资料未及时、准确审核和妥善管理的，扣3分。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2、对施工单位报送资料审核签证不及时的，每次扣1分。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3、资料填写不规范、不真实、不准确和不完整的，每次扣1分。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4、串通施工单位变更签证、原始记录、质量评定资料的，每项次扣5分。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5、对上报的工程质评资料中未随附工程总监核实证明的，每次扣2分。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6、管理日志记录不及时、不完整，每项扣2分。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265" w:type="dxa"/>
            <w:vMerge w:val="continue"/>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8880" w:type="dxa"/>
            <w:vAlign w:val="top"/>
          </w:tcPr>
          <w:p>
            <w:pPr>
              <w:spacing w:line="600" w:lineRule="exact"/>
              <w:jc w:val="left"/>
              <w:outlineLvl w:val="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7、未按规定向采购人按时移交工程档案资料的，每项扣3分。</w:t>
            </w:r>
          </w:p>
        </w:tc>
        <w:tc>
          <w:tcPr>
            <w:tcW w:w="1178"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1080"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c>
          <w:tcPr>
            <w:tcW w:w="984" w:type="dxa"/>
            <w:vAlign w:val="top"/>
          </w:tcPr>
          <w:p>
            <w:pPr>
              <w:spacing w:line="600" w:lineRule="exact"/>
              <w:jc w:val="center"/>
              <w:outlineLvl w:val="0"/>
              <w:rPr>
                <w:rFonts w:hint="eastAsia" w:ascii="宋体" w:hAnsi="宋体" w:eastAsia="宋体" w:cs="宋体"/>
                <w:color w:val="auto"/>
                <w:kern w:val="2"/>
                <w:sz w:val="21"/>
                <w:szCs w:val="21"/>
                <w:highlight w:val="none"/>
                <w:u w:val="none"/>
                <w:lang w:val="en-US" w:eastAsia="zh-CN" w:bidi="ar-SA"/>
              </w:rPr>
            </w:pPr>
          </w:p>
        </w:tc>
      </w:tr>
    </w:tbl>
    <w:p>
      <w:pPr>
        <w:spacing w:line="600" w:lineRule="exact"/>
        <w:ind w:firstLine="420" w:firstLineChars="200"/>
        <w:jc w:val="left"/>
        <w:outlineLvl w:val="0"/>
        <w:rPr>
          <w:rFonts w:hint="eastAsia" w:ascii="宋体" w:hAnsi="宋体" w:eastAsia="宋体" w:cs="宋体"/>
          <w:color w:val="auto"/>
          <w:kern w:val="2"/>
          <w:sz w:val="21"/>
          <w:szCs w:val="21"/>
          <w:highlight w:val="none"/>
          <w:u w:val="none"/>
          <w:lang w:val="en-US" w:eastAsia="zh-CN" w:bidi="ar-SA"/>
        </w:rPr>
        <w:sectPr>
          <w:pgSz w:w="16838" w:h="11906" w:orient="landscape"/>
          <w:pgMar w:top="1080" w:right="1440" w:bottom="1080" w:left="1440" w:header="851" w:footer="992" w:gutter="0"/>
          <w:cols w:space="720" w:num="1"/>
          <w:titlePg/>
          <w:docGrid w:linePitch="312" w:charSpace="0"/>
        </w:sectPr>
      </w:pPr>
      <w:r>
        <w:rPr>
          <w:rFonts w:hint="eastAsia" w:ascii="宋体" w:hAnsi="宋体" w:eastAsia="宋体" w:cs="宋体"/>
          <w:color w:val="auto"/>
          <w:kern w:val="2"/>
          <w:sz w:val="21"/>
          <w:szCs w:val="21"/>
          <w:highlight w:val="none"/>
          <w:u w:val="none"/>
          <w:lang w:val="en-US" w:eastAsia="zh-CN" w:bidi="ar-SA"/>
        </w:rPr>
        <w:t>注:采购人对供应商每个项目每月进行一次考核:考核分95(含)以上为优秀;考核分 85(含)-95之间的，低于 95 分的部分每分扣款500元，低于90分的部分每分扣款1000元。低于85分为不合格且低于85分的部分每分扣款2000元，如连续两次考核不合格，采购人有权单方解除合同，同时年度服务合同不续签。</w:t>
      </w:r>
    </w:p>
    <w:p>
      <w:pPr>
        <w:spacing w:line="600" w:lineRule="exact"/>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50"/>
      <w:bookmarkEnd w:id="51"/>
    </w:p>
    <w:tbl>
      <w:tblPr>
        <w:tblStyle w:val="54"/>
        <w:tblW w:w="9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0"/>
        <w:gridCol w:w="8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jc w:val="center"/>
        </w:trPr>
        <w:tc>
          <w:tcPr>
            <w:tcW w:w="101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383"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8383"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s="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二</w:t>
            </w:r>
            <w:r>
              <w:rPr>
                <w:rFonts w:hint="eastAsia" w:ascii="宋体" w:hAnsi="宋体"/>
                <w:color w:val="auto"/>
                <w:szCs w:val="21"/>
                <w:highlight w:val="none"/>
              </w:rPr>
              <w:t>年，合同一年一签</w:t>
            </w:r>
            <w:r>
              <w:rPr>
                <w:rFonts w:hint="eastAsia" w:ascii="宋体" w:hAnsi="宋体"/>
                <w:color w:val="auto"/>
                <w:szCs w:val="21"/>
                <w:highlight w:val="none"/>
                <w:lang w:eastAsia="zh-CN"/>
              </w:rPr>
              <w:t>（</w:t>
            </w:r>
            <w:r>
              <w:rPr>
                <w:rFonts w:hint="eastAsia" w:ascii="宋体" w:hAnsi="宋体"/>
                <w:color w:val="auto"/>
                <w:szCs w:val="21"/>
                <w:highlight w:val="none"/>
              </w:rPr>
              <w:t>第一年度合同期满后，经采购人考核合格，可续签下一年度合同，最多可续签</w:t>
            </w:r>
            <w:r>
              <w:rPr>
                <w:rFonts w:hint="eastAsia" w:ascii="宋体" w:hAnsi="宋体"/>
                <w:color w:val="auto"/>
                <w:szCs w:val="21"/>
                <w:highlight w:val="none"/>
                <w:lang w:val="en-US" w:eastAsia="zh-CN"/>
              </w:rPr>
              <w:t>一</w:t>
            </w:r>
            <w:r>
              <w:rPr>
                <w:rFonts w:hint="eastAsia" w:ascii="宋体" w:hAnsi="宋体"/>
                <w:color w:val="auto"/>
                <w:szCs w:val="21"/>
                <w:highlight w:val="none"/>
              </w:rPr>
              <w:t>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具体时间以合同签订时间为准（同维修养护合同时间）。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olor w:val="auto"/>
                <w:szCs w:val="21"/>
                <w:highlight w:val="none"/>
              </w:rPr>
              <w:t>2</w:t>
            </w:r>
          </w:p>
        </w:tc>
        <w:tc>
          <w:tcPr>
            <w:tcW w:w="8383" w:type="dxa"/>
            <w:tcBorders>
              <w:top w:val="single" w:color="auto" w:sz="4" w:space="0"/>
              <w:left w:val="single" w:color="000000" w:sz="6" w:space="0"/>
              <w:bottom w:val="single" w:color="000000" w:sz="6" w:space="0"/>
              <w:right w:val="single" w:color="auto" w:sz="4" w:space="0"/>
            </w:tcBorders>
            <w:vAlign w:val="center"/>
          </w:tcPr>
          <w:p>
            <w:pPr>
              <w:spacing w:line="400" w:lineRule="exact"/>
              <w:rPr>
                <w:color w:val="auto"/>
                <w:highlight w:val="none"/>
              </w:rPr>
            </w:pPr>
            <w:r>
              <w:rPr>
                <w:rFonts w:hint="eastAsia" w:ascii="宋体" w:hAnsi="宋体" w:cs="宋体"/>
                <w:color w:val="auto"/>
                <w:highlight w:val="none"/>
              </w:rPr>
              <w:t>付款方法和条件：</w:t>
            </w:r>
          </w:p>
          <w:p>
            <w:pPr>
              <w:spacing w:line="400" w:lineRule="exact"/>
              <w:rPr>
                <w:rFonts w:ascii="宋体" w:hAnsi="宋体"/>
                <w:color w:val="auto"/>
                <w:szCs w:val="21"/>
                <w:highlight w:val="none"/>
              </w:rPr>
            </w:pPr>
            <w:r>
              <w:rPr>
                <w:rFonts w:hint="eastAsia" w:ascii="宋体" w:hAnsi="宋体" w:cs="宋体"/>
                <w:b w:val="0"/>
                <w:bCs/>
                <w:color w:val="auto"/>
                <w:sz w:val="21"/>
                <w:szCs w:val="21"/>
                <w:highlight w:val="none"/>
                <w:lang w:eastAsia="zh-CN"/>
              </w:rPr>
              <w:t>具体见“第四章</w:t>
            </w:r>
            <w:r>
              <w:rPr>
                <w:rFonts w:hint="eastAsia" w:ascii="宋体" w:hAnsi="宋体" w:cs="宋体"/>
                <w:b w:val="0"/>
                <w:bCs/>
                <w:color w:val="auto"/>
                <w:sz w:val="21"/>
                <w:szCs w:val="21"/>
                <w:highlight w:val="none"/>
                <w:lang w:val="en-US" w:eastAsia="zh-CN"/>
              </w:rPr>
              <w:t xml:space="preserve"> 合同样本</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rPr>
              <w:t>条  款项的支付</w:t>
            </w:r>
            <w:r>
              <w:rPr>
                <w:rFonts w:hint="eastAsia" w:ascii="宋体" w:hAnsi="宋体" w:cs="宋体"/>
                <w:b w:val="0"/>
                <w:bCs/>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01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383"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w:t>
            </w:r>
            <w:r>
              <w:rPr>
                <w:rFonts w:ascii="宋体" w:hAnsi="宋体"/>
                <w:color w:val="auto"/>
                <w:szCs w:val="21"/>
                <w:highlight w:val="none"/>
                <w:lang w:val="zh-CN"/>
              </w:rPr>
              <w:t>30</w:t>
            </w:r>
            <w:r>
              <w:rPr>
                <w:rFonts w:hint="eastAsia" w:ascii="宋体" w:hAnsi="宋体"/>
                <w:color w:val="auto"/>
                <w:szCs w:val="21"/>
                <w:highlight w:val="none"/>
                <w:lang w:val="zh-CN"/>
              </w:rPr>
              <w:t>天内，中标供应商应按照采购文件的规定、中标供应商的投标文件及中标通知书确定的金额签订合同。</w:t>
            </w:r>
          </w:p>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②中标供应商如不遵守</w:t>
            </w:r>
            <w:r>
              <w:rPr>
                <w:rFonts w:hint="eastAsia" w:ascii="宋体" w:hAnsi="宋体" w:cs="宋体"/>
                <w:color w:val="auto"/>
                <w:highlight w:val="none"/>
                <w:lang w:val="zh-CN"/>
              </w:rPr>
              <w:t>招标文件</w:t>
            </w:r>
            <w:r>
              <w:rPr>
                <w:rFonts w:hint="eastAsia" w:ascii="宋体" w:hAnsi="宋体"/>
                <w:color w:val="auto"/>
                <w:szCs w:val="21"/>
                <w:highlight w:val="none"/>
                <w:lang w:val="zh-CN"/>
              </w:rPr>
              <w:t>或投标文件各项条款的邀约与要约，或在接到中标通知书后借故拖延，拒签合同的，给采购人造成的损失的还应当予以赔偿。</w:t>
            </w:r>
          </w:p>
        </w:tc>
      </w:tr>
    </w:tbl>
    <w:p>
      <w:pPr>
        <w:spacing w:line="400" w:lineRule="exact"/>
        <w:jc w:val="center"/>
        <w:rPr>
          <w:rFonts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49"/>
    <w:p>
      <w:pPr>
        <w:spacing w:line="600" w:lineRule="exact"/>
        <w:jc w:val="center"/>
        <w:outlineLvl w:val="0"/>
        <w:rPr>
          <w:rFonts w:ascii="宋体" w:hAnsi="宋体"/>
          <w:b/>
          <w:color w:val="auto"/>
          <w:sz w:val="32"/>
          <w:highlight w:val="none"/>
        </w:rPr>
      </w:pPr>
      <w:bookmarkStart w:id="52" w:name="_Toc21541025"/>
      <w:bookmarkStart w:id="53" w:name="_Toc65915714"/>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52"/>
      <w:bookmarkEnd w:id="53"/>
    </w:p>
    <w:p>
      <w:pPr>
        <w:autoSpaceDE w:val="0"/>
        <w:autoSpaceDN w:val="0"/>
        <w:adjustRightInd w:val="0"/>
        <w:spacing w:beforeLines="400" w:line="420" w:lineRule="exact"/>
        <w:jc w:val="center"/>
        <w:rPr>
          <w:rStyle w:val="176"/>
          <w:rFonts w:ascii="宋体" w:hAnsi="宋体"/>
          <w:color w:val="auto"/>
          <w:sz w:val="32"/>
          <w:szCs w:val="32"/>
          <w:highlight w:val="none"/>
        </w:rPr>
      </w:pPr>
      <w:r>
        <w:rPr>
          <w:rStyle w:val="176"/>
          <w:rFonts w:ascii="宋体" w:hAnsi="宋体"/>
          <w:color w:val="auto"/>
          <w:sz w:val="32"/>
          <w:szCs w:val="32"/>
          <w:highlight w:val="none"/>
        </w:rPr>
        <w:t>A.</w:t>
      </w:r>
      <w:r>
        <w:rPr>
          <w:rStyle w:val="176"/>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spacing w:line="360" w:lineRule="auto"/>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b/>
          <w:color w:val="auto"/>
          <w:sz w:val="40"/>
          <w:szCs w:val="52"/>
          <w:highlight w:val="none"/>
          <w:lang w:eastAsia="zh-CN"/>
        </w:rPr>
      </w:pPr>
      <w:r>
        <w:rPr>
          <w:rFonts w:hint="eastAsia" w:ascii="宋体" w:hAnsi="宋体"/>
          <w:b/>
          <w:color w:val="auto"/>
          <w:sz w:val="40"/>
          <w:szCs w:val="52"/>
          <w:highlight w:val="none"/>
          <w:lang w:eastAsia="zh-CN"/>
        </w:rPr>
        <w:t>2025年度宁波前湾新区市政道路维修养护质量监督与管理服务项目</w:t>
      </w:r>
    </w:p>
    <w:p>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val="en-US" w:eastAsia="zh-CN"/>
        </w:rPr>
        <w:t>QWQTJY25059</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rPr>
          <w:rStyle w:val="176"/>
          <w:rFonts w:ascii="宋体" w:hAnsi="宋体"/>
          <w:color w:val="auto"/>
          <w:sz w:val="21"/>
          <w:szCs w:val="21"/>
          <w:highlight w:val="none"/>
        </w:rPr>
      </w:pPr>
      <w:r>
        <w:rPr>
          <w:rStyle w:val="176"/>
          <w:rFonts w:ascii="宋体" w:hAnsi="宋体"/>
          <w:color w:val="auto"/>
          <w:sz w:val="21"/>
          <w:szCs w:val="21"/>
          <w:highlight w:val="none"/>
        </w:rPr>
        <w:br w:type="page"/>
      </w:r>
    </w:p>
    <w:p>
      <w:pPr>
        <w:spacing w:line="360" w:lineRule="auto"/>
        <w:jc w:val="center"/>
        <w:rPr>
          <w:rFonts w:ascii="宋体" w:hAnsi="宋体"/>
          <w:color w:val="auto"/>
          <w:szCs w:val="21"/>
          <w:highlight w:val="none"/>
        </w:rPr>
      </w:pPr>
      <w:r>
        <w:rPr>
          <w:rStyle w:val="176"/>
          <w:rFonts w:hint="eastAsia" w:ascii="宋体" w:hAnsi="宋体"/>
          <w:color w:val="auto"/>
          <w:sz w:val="21"/>
          <w:szCs w:val="21"/>
          <w:highlight w:val="none"/>
        </w:rPr>
        <w:t>A1、关于资格的承诺函</w:t>
      </w: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4"/>
        <w:spacing w:before="0" w:beforeAutospacing="0" w:after="0" w:afterAutospacing="0" w:line="400" w:lineRule="exact"/>
        <w:ind w:right="159" w:firstLine="660"/>
        <w:jc w:val="both"/>
        <w:rPr>
          <w:bCs/>
          <w:color w:val="auto"/>
          <w:sz w:val="21"/>
          <w:szCs w:val="21"/>
          <w:highlight w:val="none"/>
        </w:rPr>
      </w:pPr>
    </w:p>
    <w:p>
      <w:pPr>
        <w:pStyle w:val="44"/>
        <w:spacing w:before="0" w:beforeAutospacing="0" w:after="0" w:afterAutospacing="0" w:line="400" w:lineRule="exact"/>
        <w:ind w:right="159" w:firstLine="660"/>
        <w:jc w:val="both"/>
        <w:rPr>
          <w:bCs/>
          <w:color w:val="auto"/>
          <w:sz w:val="21"/>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pPr>
        <w:pStyle w:val="44"/>
        <w:spacing w:before="0" w:beforeAutospacing="0" w:after="0" w:afterAutospacing="0" w:line="400" w:lineRule="exact"/>
        <w:ind w:right="159" w:firstLine="660"/>
        <w:jc w:val="both"/>
        <w:rPr>
          <w:bCs/>
          <w:color w:val="auto"/>
          <w:sz w:val="21"/>
          <w:szCs w:val="21"/>
          <w:highlight w:val="none"/>
        </w:rPr>
      </w:pPr>
    </w:p>
    <w:p>
      <w:pPr>
        <w:pStyle w:val="44"/>
        <w:spacing w:before="0" w:beforeAutospacing="0" w:after="0" w:afterAutospacing="0" w:line="400" w:lineRule="exact"/>
        <w:ind w:right="159" w:firstLine="660"/>
        <w:jc w:val="both"/>
        <w:rPr>
          <w:bCs/>
          <w:color w:val="auto"/>
          <w:sz w:val="21"/>
          <w:szCs w:val="21"/>
          <w:highlight w:val="none"/>
        </w:rPr>
      </w:pPr>
    </w:p>
    <w:p>
      <w:pPr>
        <w:spacing w:line="400" w:lineRule="exact"/>
        <w:rPr>
          <w:rFonts w:ascii="宋体" w:hAnsi="宋体"/>
          <w:b/>
          <w:color w:val="auto"/>
          <w:kern w:val="0"/>
          <w:szCs w:val="21"/>
          <w:highlight w:val="none"/>
        </w:rPr>
      </w:pPr>
    </w:p>
    <w:p>
      <w:pPr>
        <w:spacing w:line="400" w:lineRule="exact"/>
        <w:rPr>
          <w:rFonts w:ascii="宋体" w:hAnsi="宋体"/>
          <w:b/>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400" w:lineRule="exact"/>
        <w:jc w:val="center"/>
        <w:rPr>
          <w:rFonts w:ascii="宋体" w:hAnsi="宋体"/>
          <w:b/>
          <w:color w:val="auto"/>
          <w:szCs w:val="21"/>
          <w:highlight w:val="none"/>
        </w:rPr>
      </w:pPr>
    </w:p>
    <w:p>
      <w:pPr>
        <w:pStyle w:val="25"/>
        <w:rPr>
          <w:color w:val="auto"/>
          <w:highlight w:val="none"/>
        </w:rPr>
      </w:pPr>
    </w:p>
    <w:p>
      <w:pPr>
        <w:pStyle w:val="25"/>
        <w:rPr>
          <w:color w:val="auto"/>
          <w:highlight w:val="none"/>
        </w:rPr>
      </w:pPr>
    </w:p>
    <w:p>
      <w:pPr>
        <w:spacing w:line="400" w:lineRule="atLeast"/>
        <w:rPr>
          <w:rFonts w:ascii="宋体" w:hAnsi="宋体"/>
          <w:b/>
          <w:color w:val="auto"/>
          <w:szCs w:val="21"/>
          <w:highlight w:val="none"/>
        </w:rPr>
      </w:pPr>
      <w:r>
        <w:rPr>
          <w:rStyle w:val="176"/>
          <w:rFonts w:ascii="宋体" w:hAnsi="宋体"/>
          <w:color w:val="auto"/>
          <w:sz w:val="21"/>
          <w:szCs w:val="21"/>
          <w:highlight w:val="none"/>
        </w:rPr>
        <w:br w:type="page"/>
      </w:r>
      <w:bookmarkStart w:id="54" w:name="_Toc65915721"/>
    </w:p>
    <w:p>
      <w:pPr>
        <w:spacing w:line="400" w:lineRule="atLeast"/>
        <w:rPr>
          <w:rFonts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pPr>
        <w:spacing w:line="400" w:lineRule="atLeast"/>
        <w:rPr>
          <w:rFonts w:ascii="宋体" w:hAnsi="宋体"/>
          <w:b/>
          <w:bCs/>
          <w:color w:val="auto"/>
          <w:szCs w:val="21"/>
          <w:highlight w:val="none"/>
        </w:rPr>
      </w:pPr>
    </w:p>
    <w:p>
      <w:pPr>
        <w:spacing w:line="400" w:lineRule="atLeast"/>
        <w:rPr>
          <w:rFonts w:ascii="宋体" w:hAnsi="宋体"/>
          <w:b/>
          <w:bCs/>
          <w:color w:val="auto"/>
          <w:szCs w:val="21"/>
          <w:highlight w:val="none"/>
        </w:rPr>
      </w:pPr>
    </w:p>
    <w:p>
      <w:pPr>
        <w:spacing w:line="400" w:lineRule="atLeast"/>
        <w:rPr>
          <w:rFonts w:ascii="宋体" w:hAnsi="宋体"/>
          <w:b/>
          <w:bCs/>
          <w:color w:val="auto"/>
          <w:szCs w:val="21"/>
          <w:highlight w:val="none"/>
        </w:rPr>
      </w:pPr>
    </w:p>
    <w:p>
      <w:pPr>
        <w:widowControl/>
        <w:jc w:val="left"/>
        <w:rPr>
          <w:rFonts w:ascii="宋体" w:hAnsi="宋体"/>
          <w:b/>
          <w:bCs/>
          <w:color w:val="auto"/>
          <w:szCs w:val="21"/>
          <w:highlight w:val="none"/>
        </w:rPr>
      </w:pPr>
      <w:r>
        <w:rPr>
          <w:rFonts w:ascii="宋体" w:hAnsi="宋体"/>
          <w:b/>
          <w:bCs/>
          <w:color w:val="auto"/>
          <w:szCs w:val="21"/>
          <w:highlight w:val="none"/>
        </w:rPr>
        <w:br w:type="page"/>
      </w:r>
    </w:p>
    <w:p>
      <w:pPr>
        <w:spacing w:line="360" w:lineRule="exact"/>
        <w:ind w:firstLine="422" w:firstLineChars="200"/>
        <w:jc w:val="center"/>
        <w:rPr>
          <w:rFonts w:ascii="宋体" w:hAnsi="宋体" w:cs="宋体"/>
          <w:b/>
          <w:color w:val="auto"/>
          <w:szCs w:val="21"/>
          <w:highlight w:val="none"/>
        </w:rPr>
      </w:pPr>
      <w:r>
        <w:rPr>
          <w:rFonts w:hint="eastAsia" w:ascii="宋体" w:hAnsi="宋体"/>
          <w:b/>
          <w:color w:val="auto"/>
          <w:szCs w:val="21"/>
          <w:highlight w:val="none"/>
        </w:rPr>
        <w:t>A</w:t>
      </w:r>
      <w:r>
        <w:rPr>
          <w:rFonts w:hint="eastAsia" w:ascii="宋体" w:hAnsi="宋体"/>
          <w:b/>
          <w:color w:val="auto"/>
          <w:szCs w:val="21"/>
          <w:highlight w:val="none"/>
          <w:lang w:val="en-US" w:eastAsia="zh-CN"/>
        </w:rPr>
        <w:t>3</w:t>
      </w:r>
      <w:r>
        <w:rPr>
          <w:rFonts w:hint="eastAsia" w:ascii="宋体" w:hAnsi="宋体"/>
          <w:b/>
          <w:color w:val="auto"/>
          <w:szCs w:val="21"/>
          <w:highlight w:val="none"/>
        </w:rPr>
        <w:t>、</w:t>
      </w:r>
      <w:r>
        <w:rPr>
          <w:rFonts w:hint="eastAsia" w:ascii="宋体" w:hAnsi="宋体" w:cs="宋体"/>
          <w:b/>
          <w:color w:val="auto"/>
          <w:szCs w:val="21"/>
          <w:highlight w:val="none"/>
        </w:rPr>
        <w:t>中小企业声明函（服务）</w:t>
      </w:r>
    </w:p>
    <w:p>
      <w:pPr>
        <w:spacing w:line="400" w:lineRule="exact"/>
        <w:rPr>
          <w:rFonts w:ascii="宋体" w:hAnsi="宋体"/>
          <w:b/>
          <w:color w:val="auto"/>
          <w:szCs w:val="21"/>
          <w:highlight w:val="none"/>
        </w:rPr>
      </w:pPr>
    </w:p>
    <w:p>
      <w:pPr>
        <w:pStyle w:val="15"/>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本公司（联合体）郑重声明，根据《政府采购促进中小企业发展管理办法》（财库﹝2020﹞46 号）的规定，本公司（联合体）参加</w:t>
      </w:r>
      <w:r>
        <w:rPr>
          <w:rFonts w:hint="eastAsia" w:cs="宋体"/>
          <w:b/>
          <w:iCs/>
          <w:color w:val="auto"/>
          <w:sz w:val="21"/>
          <w:szCs w:val="21"/>
          <w:highlight w:val="none"/>
          <w:u w:val="single"/>
          <w:lang w:eastAsia="zh-CN"/>
        </w:rPr>
        <w:t>宁波杭州湾新区公用事业发展有限公司</w:t>
      </w:r>
      <w:r>
        <w:rPr>
          <w:rFonts w:hint="eastAsia" w:cs="宋体"/>
          <w:iCs/>
          <w:color w:val="auto"/>
          <w:sz w:val="21"/>
          <w:szCs w:val="21"/>
          <w:highlight w:val="none"/>
          <w:u w:val="single"/>
        </w:rPr>
        <w:t>（单位名称）</w:t>
      </w:r>
      <w:r>
        <w:rPr>
          <w:rFonts w:hint="eastAsia" w:cs="宋体"/>
          <w:iCs/>
          <w:color w:val="auto"/>
          <w:sz w:val="21"/>
          <w:szCs w:val="21"/>
          <w:highlight w:val="none"/>
        </w:rPr>
        <w:t>的</w:t>
      </w:r>
      <w:r>
        <w:rPr>
          <w:rFonts w:hint="eastAsia" w:cs="宋体"/>
          <w:b/>
          <w:iCs/>
          <w:color w:val="auto"/>
          <w:sz w:val="21"/>
          <w:szCs w:val="21"/>
          <w:highlight w:val="none"/>
          <w:u w:val="single"/>
          <w:lang w:eastAsia="zh-CN"/>
        </w:rPr>
        <w:t>2025年度宁波前湾新区市政道路维修养护质量监督与管理服务项目</w:t>
      </w:r>
      <w:r>
        <w:rPr>
          <w:rFonts w:hint="eastAsia" w:cs="宋体"/>
          <w:iCs/>
          <w:color w:val="auto"/>
          <w:sz w:val="21"/>
          <w:szCs w:val="21"/>
          <w:highlight w:val="none"/>
          <w:u w:val="single"/>
        </w:rPr>
        <w:t>（项目名称）</w:t>
      </w:r>
      <w:r>
        <w:rPr>
          <w:rFonts w:hint="eastAsia" w:cs="宋体"/>
          <w:iCs/>
          <w:color w:val="auto"/>
          <w:sz w:val="21"/>
          <w:szCs w:val="21"/>
          <w:highlight w:val="none"/>
        </w:rPr>
        <w:t>采购活动，服务全部由符合政策要求的中小企业承接。相关企业（含联合体中的中小企业、签订分包意向协议的中小企业）的具体情况如下：</w:t>
      </w:r>
    </w:p>
    <w:p>
      <w:pPr>
        <w:pStyle w:val="15"/>
        <w:spacing w:line="400" w:lineRule="exact"/>
        <w:ind w:firstLine="420" w:firstLineChars="200"/>
        <w:rPr>
          <w:rFonts w:cs="宋体"/>
          <w:iCs/>
          <w:color w:val="auto"/>
          <w:sz w:val="21"/>
          <w:szCs w:val="21"/>
          <w:highlight w:val="none"/>
        </w:rPr>
      </w:pPr>
      <w:r>
        <w:rPr>
          <w:rFonts w:hint="eastAsia" w:cs="宋体"/>
          <w:iCs/>
          <w:color w:val="auto"/>
          <w:sz w:val="21"/>
          <w:szCs w:val="21"/>
          <w:highlight w:val="none"/>
        </w:rPr>
        <w:t>1.</w:t>
      </w:r>
      <w:r>
        <w:rPr>
          <w:rFonts w:hint="eastAsia"/>
          <w:color w:val="auto"/>
          <w:highlight w:val="none"/>
        </w:rPr>
        <w:t xml:space="preserve"> </w:t>
      </w:r>
      <w:r>
        <w:rPr>
          <w:rFonts w:hint="eastAsia"/>
          <w:color w:val="auto"/>
          <w:highlight w:val="none"/>
          <w:u w:val="single"/>
          <w:lang w:val="en-US" w:eastAsia="zh-CN"/>
        </w:rPr>
        <w:t xml:space="preserve"> </w:t>
      </w:r>
      <w:r>
        <w:rPr>
          <w:rFonts w:hint="eastAsia"/>
          <w:b/>
          <w:bCs/>
          <w:color w:val="auto"/>
          <w:highlight w:val="none"/>
          <w:u w:val="single"/>
          <w:lang w:val="en-US" w:eastAsia="zh-CN"/>
        </w:rPr>
        <w:t>2</w:t>
      </w:r>
      <w:r>
        <w:rPr>
          <w:rFonts w:hint="eastAsia" w:cs="宋体"/>
          <w:b/>
          <w:bCs/>
          <w:iCs/>
          <w:color w:val="auto"/>
          <w:sz w:val="21"/>
          <w:szCs w:val="21"/>
          <w:highlight w:val="none"/>
          <w:u w:val="single"/>
          <w:lang w:eastAsia="zh-CN"/>
        </w:rPr>
        <w:t>025</w:t>
      </w:r>
      <w:r>
        <w:rPr>
          <w:rFonts w:hint="eastAsia" w:cs="宋体"/>
          <w:b/>
          <w:iCs/>
          <w:color w:val="auto"/>
          <w:sz w:val="21"/>
          <w:szCs w:val="21"/>
          <w:highlight w:val="none"/>
          <w:u w:val="single"/>
          <w:lang w:eastAsia="zh-CN"/>
        </w:rPr>
        <w:t>年度宁波前湾新区市政道路维修养护质量监督与管理服务项目</w:t>
      </w:r>
      <w:r>
        <w:rPr>
          <w:rFonts w:hint="eastAsia"/>
          <w:color w:val="auto"/>
          <w:highlight w:val="none"/>
          <w:u w:val="single"/>
          <w:lang w:val="en-US" w:eastAsia="zh-CN"/>
        </w:rPr>
        <w:t xml:space="preserve"> </w:t>
      </w:r>
      <w:r>
        <w:rPr>
          <w:rFonts w:hint="eastAsia" w:cs="宋体"/>
          <w:iCs/>
          <w:color w:val="auto"/>
          <w:sz w:val="21"/>
          <w:szCs w:val="21"/>
          <w:highlight w:val="none"/>
        </w:rPr>
        <w:t>，属于</w:t>
      </w:r>
      <w:r>
        <w:rPr>
          <w:rFonts w:hint="eastAsia" w:cs="宋体"/>
          <w:iCs/>
          <w:color w:val="auto"/>
          <w:sz w:val="21"/>
          <w:szCs w:val="21"/>
          <w:highlight w:val="none"/>
          <w:u w:val="single"/>
          <w:lang w:val="en-US" w:eastAsia="zh-CN"/>
        </w:rPr>
        <w:t xml:space="preserve"> </w:t>
      </w:r>
      <w:r>
        <w:rPr>
          <w:rFonts w:hint="eastAsia" w:ascii="宋体" w:hAnsi="宋体" w:eastAsia="宋体" w:cs="宋体"/>
          <w:b/>
          <w:iCs/>
          <w:color w:val="auto"/>
          <w:sz w:val="21"/>
          <w:szCs w:val="21"/>
          <w:highlight w:val="none"/>
          <w:u w:val="single"/>
          <w:lang w:eastAsia="zh-CN"/>
        </w:rPr>
        <w:t>其他未列明行业</w:t>
      </w:r>
      <w:r>
        <w:rPr>
          <w:rFonts w:hint="eastAsia" w:ascii="宋体" w:hAnsi="宋体" w:eastAsia="宋体" w:cs="宋体"/>
          <w:b/>
          <w:iCs/>
          <w:color w:val="auto"/>
          <w:sz w:val="21"/>
          <w:szCs w:val="21"/>
          <w:highlight w:val="none"/>
          <w:u w:val="single"/>
          <w:lang w:val="en-US" w:eastAsia="zh-CN"/>
        </w:rPr>
        <w:t xml:space="preserve"> </w:t>
      </w:r>
      <w:r>
        <w:rPr>
          <w:rFonts w:hint="eastAsia" w:cs="宋体"/>
          <w:iCs/>
          <w:color w:val="auto"/>
          <w:sz w:val="21"/>
          <w:szCs w:val="21"/>
          <w:highlight w:val="none"/>
        </w:rPr>
        <w:t>；承建（承接）企业为</w:t>
      </w:r>
      <w:r>
        <w:rPr>
          <w:rFonts w:hint="eastAsia" w:cs="宋体"/>
          <w:iCs/>
          <w:color w:val="auto"/>
          <w:sz w:val="21"/>
          <w:szCs w:val="21"/>
          <w:highlight w:val="none"/>
          <w:u w:val="single"/>
        </w:rPr>
        <w:t>（企业名称）</w:t>
      </w:r>
      <w:r>
        <w:rPr>
          <w:rFonts w:hint="eastAsia" w:cs="宋体"/>
          <w:iCs/>
          <w:color w:val="auto"/>
          <w:sz w:val="21"/>
          <w:szCs w:val="21"/>
          <w:highlight w:val="none"/>
        </w:rPr>
        <w:t>，从业人员</w:t>
      </w:r>
      <w:r>
        <w:rPr>
          <w:rFonts w:hint="eastAsia" w:cs="宋体"/>
          <w:iCs/>
          <w:color w:val="auto"/>
          <w:sz w:val="21"/>
          <w:szCs w:val="21"/>
          <w:highlight w:val="none"/>
          <w:u w:val="single"/>
        </w:rPr>
        <w:t xml:space="preserve">   </w:t>
      </w:r>
      <w:r>
        <w:rPr>
          <w:rFonts w:hint="eastAsia" w:cs="宋体"/>
          <w:iCs/>
          <w:color w:val="auto"/>
          <w:sz w:val="21"/>
          <w:szCs w:val="21"/>
          <w:highlight w:val="none"/>
        </w:rPr>
        <w:t>人，营业收入为</w:t>
      </w:r>
      <w:r>
        <w:rPr>
          <w:rFonts w:hint="eastAsia" w:cs="宋体"/>
          <w:iCs/>
          <w:color w:val="auto"/>
          <w:sz w:val="21"/>
          <w:szCs w:val="21"/>
          <w:highlight w:val="none"/>
          <w:u w:val="single"/>
        </w:rPr>
        <w:t xml:space="preserve">   </w:t>
      </w:r>
      <w:r>
        <w:rPr>
          <w:rFonts w:hint="eastAsia" w:cs="宋体"/>
          <w:iCs/>
          <w:color w:val="auto"/>
          <w:sz w:val="21"/>
          <w:szCs w:val="21"/>
          <w:highlight w:val="none"/>
        </w:rPr>
        <w:t>万元，资产总额为</w:t>
      </w:r>
      <w:r>
        <w:rPr>
          <w:rFonts w:hint="eastAsia" w:cs="宋体"/>
          <w:iCs/>
          <w:color w:val="auto"/>
          <w:sz w:val="21"/>
          <w:szCs w:val="21"/>
          <w:highlight w:val="none"/>
          <w:u w:val="single"/>
        </w:rPr>
        <w:t xml:space="preserve">   </w:t>
      </w:r>
      <w:r>
        <w:rPr>
          <w:rFonts w:hint="eastAsia" w:cs="宋体"/>
          <w:iCs/>
          <w:color w:val="auto"/>
          <w:sz w:val="21"/>
          <w:szCs w:val="21"/>
          <w:highlight w:val="none"/>
        </w:rPr>
        <w:t>万元</w:t>
      </w:r>
      <w:r>
        <w:rPr>
          <w:rFonts w:hint="eastAsia" w:cs="宋体"/>
          <w:iCs/>
          <w:color w:val="auto"/>
          <w:sz w:val="21"/>
          <w:szCs w:val="21"/>
          <w:highlight w:val="none"/>
          <w:vertAlign w:val="superscript"/>
        </w:rPr>
        <w:t>1</w:t>
      </w:r>
      <w:r>
        <w:rPr>
          <w:rFonts w:hint="eastAsia" w:cs="宋体"/>
          <w:iCs/>
          <w:color w:val="auto"/>
          <w:sz w:val="21"/>
          <w:szCs w:val="21"/>
          <w:highlight w:val="none"/>
        </w:rPr>
        <w:t>，属于</w:t>
      </w:r>
      <w:r>
        <w:rPr>
          <w:rFonts w:hint="eastAsia" w:cs="宋体"/>
          <w:iCs/>
          <w:color w:val="auto"/>
          <w:sz w:val="21"/>
          <w:szCs w:val="21"/>
          <w:highlight w:val="none"/>
          <w:u w:val="single"/>
        </w:rPr>
        <w:t>（中型企业、小型企业、微型企业）</w:t>
      </w:r>
      <w:r>
        <w:rPr>
          <w:rFonts w:hint="eastAsia" w:cs="宋体"/>
          <w:iCs/>
          <w:color w:val="auto"/>
          <w:sz w:val="21"/>
          <w:szCs w:val="21"/>
          <w:highlight w:val="none"/>
        </w:rPr>
        <w:t>；</w:t>
      </w:r>
    </w:p>
    <w:p>
      <w:pPr>
        <w:pStyle w:val="15"/>
        <w:spacing w:line="400" w:lineRule="exact"/>
        <w:ind w:firstLine="420" w:firstLineChars="200"/>
        <w:rPr>
          <w:rFonts w:cs="宋体"/>
          <w:iCs/>
          <w:color w:val="auto"/>
          <w:sz w:val="21"/>
          <w:szCs w:val="21"/>
          <w:highlight w:val="none"/>
        </w:rPr>
      </w:pPr>
      <w:r>
        <w:rPr>
          <w:rFonts w:hint="eastAsia" w:cs="宋体"/>
          <w:iCs/>
          <w:color w:val="auto"/>
          <w:sz w:val="21"/>
          <w:szCs w:val="21"/>
          <w:highlight w:val="none"/>
        </w:rPr>
        <w:t xml:space="preserve">…… </w:t>
      </w:r>
    </w:p>
    <w:p>
      <w:pPr>
        <w:pStyle w:val="15"/>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以上企业，不属于大企业的分支机构，不存在控股股东为大企业的情形，也不存在与大企业的负责人为同一人的情形。</w:t>
      </w:r>
    </w:p>
    <w:p>
      <w:pPr>
        <w:pStyle w:val="15"/>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本企业对上述声明内容的真实性负责。如有虚假，将依法承担相应责任。</w:t>
      </w:r>
    </w:p>
    <w:p>
      <w:pPr>
        <w:pStyle w:val="15"/>
        <w:spacing w:line="400" w:lineRule="exact"/>
        <w:ind w:firstLine="3360" w:firstLineChars="1600"/>
        <w:jc w:val="left"/>
        <w:rPr>
          <w:rFonts w:cs="宋体"/>
          <w:iCs/>
          <w:color w:val="auto"/>
          <w:sz w:val="21"/>
          <w:szCs w:val="21"/>
          <w:highlight w:val="none"/>
        </w:rPr>
      </w:pPr>
    </w:p>
    <w:p>
      <w:pPr>
        <w:pStyle w:val="15"/>
        <w:spacing w:line="400" w:lineRule="exact"/>
        <w:ind w:firstLine="4095" w:firstLineChars="1950"/>
        <w:rPr>
          <w:rFonts w:cs="宋体"/>
          <w:iCs/>
          <w:color w:val="auto"/>
          <w:sz w:val="21"/>
          <w:szCs w:val="21"/>
          <w:highlight w:val="none"/>
        </w:rPr>
      </w:pPr>
    </w:p>
    <w:p>
      <w:pPr>
        <w:pStyle w:val="15"/>
        <w:spacing w:line="400" w:lineRule="exact"/>
        <w:ind w:firstLine="4095" w:firstLineChars="1950"/>
        <w:rPr>
          <w:rFonts w:cs="宋体"/>
          <w:iCs/>
          <w:color w:val="auto"/>
          <w:sz w:val="21"/>
          <w:szCs w:val="21"/>
          <w:highlight w:val="none"/>
        </w:rPr>
      </w:pPr>
      <w:r>
        <w:rPr>
          <w:rFonts w:hint="eastAsia" w:cs="宋体"/>
          <w:iCs/>
          <w:color w:val="auto"/>
          <w:sz w:val="21"/>
          <w:szCs w:val="21"/>
          <w:highlight w:val="none"/>
        </w:rPr>
        <w:t>单位名称（盖章）：</w:t>
      </w:r>
    </w:p>
    <w:p>
      <w:pPr>
        <w:pStyle w:val="20"/>
        <w:spacing w:line="400" w:lineRule="exact"/>
        <w:ind w:firstLine="4095" w:firstLineChars="1950"/>
        <w:rPr>
          <w:rFonts w:ascii="宋体" w:hAnsi="宋体" w:eastAsia="宋体" w:cs="宋体"/>
          <w:iCs/>
          <w:color w:val="auto"/>
          <w:sz w:val="21"/>
          <w:szCs w:val="21"/>
          <w:highlight w:val="none"/>
        </w:rPr>
      </w:pPr>
    </w:p>
    <w:p>
      <w:pPr>
        <w:pStyle w:val="20"/>
        <w:spacing w:line="400" w:lineRule="exact"/>
        <w:ind w:firstLine="4095" w:firstLineChars="1950"/>
        <w:rPr>
          <w:rFonts w:ascii="宋体" w:hAnsi="宋体" w:eastAsia="宋体"/>
          <w:iCs/>
          <w:color w:val="auto"/>
          <w:sz w:val="21"/>
          <w:szCs w:val="21"/>
          <w:highlight w:val="none"/>
        </w:rPr>
      </w:pPr>
      <w:r>
        <w:rPr>
          <w:rFonts w:hint="eastAsia" w:ascii="宋体" w:hAnsi="宋体" w:eastAsia="宋体" w:cs="宋体"/>
          <w:iCs/>
          <w:color w:val="auto"/>
          <w:sz w:val="21"/>
          <w:szCs w:val="21"/>
          <w:highlight w:val="none"/>
        </w:rPr>
        <w:t>日 期：</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注：1、从业人员、营业收入、资产总额填报上一年度数据，无上一年度数据的新成立企业可不填报。</w:t>
      </w:r>
    </w:p>
    <w:p>
      <w:pPr>
        <w:spacing w:line="400" w:lineRule="exact"/>
        <w:ind w:firstLine="843" w:firstLineChars="400"/>
        <w:rPr>
          <w:rFonts w:ascii="宋体" w:hAnsi="宋体" w:cs="宋体"/>
          <w:b/>
          <w:color w:val="auto"/>
          <w:szCs w:val="21"/>
          <w:highlight w:val="none"/>
        </w:rPr>
      </w:pPr>
      <w:r>
        <w:rPr>
          <w:rFonts w:hint="eastAsia" w:ascii="宋体" w:hAnsi="宋体"/>
          <w:b/>
          <w:color w:val="auto"/>
          <w:szCs w:val="21"/>
          <w:highlight w:val="none"/>
        </w:rPr>
        <w:t>2、招标文件中明确的所属行业：详见招标文件第三章。</w:t>
      </w:r>
    </w:p>
    <w:p>
      <w:pPr>
        <w:spacing w:line="588" w:lineRule="exact"/>
        <w:jc w:val="center"/>
        <w:rPr>
          <w:rFonts w:ascii="宋体" w:hAnsi="宋体"/>
          <w:color w:val="auto"/>
          <w:szCs w:val="21"/>
          <w:highlight w:val="none"/>
        </w:rPr>
      </w:pPr>
    </w:p>
    <w:p>
      <w:pPr>
        <w:spacing w:line="588" w:lineRule="exact"/>
        <w:jc w:val="center"/>
        <w:rPr>
          <w:rFonts w:ascii="宋体" w:hAnsi="宋体"/>
          <w:color w:val="auto"/>
          <w:szCs w:val="21"/>
          <w:highlight w:val="none"/>
        </w:rPr>
      </w:pPr>
    </w:p>
    <w:p>
      <w:pPr>
        <w:spacing w:line="588" w:lineRule="exact"/>
        <w:jc w:val="center"/>
        <w:rPr>
          <w:rFonts w:ascii="宋体" w:hAnsi="宋体"/>
          <w:color w:val="auto"/>
          <w:szCs w:val="21"/>
          <w:highlight w:val="none"/>
        </w:rPr>
      </w:pPr>
    </w:p>
    <w:p>
      <w:pPr>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A</w:t>
      </w:r>
      <w:r>
        <w:rPr>
          <w:rFonts w:hint="eastAsia" w:ascii="宋体" w:hAnsi="宋体"/>
          <w:b/>
          <w:color w:val="auto"/>
          <w:szCs w:val="21"/>
          <w:highlight w:val="none"/>
          <w:lang w:val="en-US" w:eastAsia="zh-CN"/>
        </w:rPr>
        <w:t>4</w:t>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spacing w:line="400" w:lineRule="atLeast"/>
        <w:jc w:val="left"/>
        <w:rPr>
          <w:rFonts w:ascii="宋体" w:hAnsi="宋体"/>
          <w:b/>
          <w:color w:val="auto"/>
          <w:szCs w:val="21"/>
          <w:highlight w:val="none"/>
        </w:rPr>
      </w:pPr>
    </w:p>
    <w:p>
      <w:pPr>
        <w:widowControl/>
        <w:jc w:val="left"/>
        <w:rPr>
          <w:rFonts w:ascii="宋体" w:hAnsi="宋体"/>
          <w:b/>
          <w:bCs/>
          <w:color w:val="auto"/>
          <w:szCs w:val="21"/>
          <w:highlight w:val="none"/>
        </w:rPr>
      </w:pPr>
      <w:r>
        <w:rPr>
          <w:rFonts w:ascii="宋体" w:hAnsi="宋体"/>
          <w:b/>
          <w:bCs/>
          <w:color w:val="auto"/>
          <w:szCs w:val="21"/>
          <w:highlight w:val="none"/>
        </w:rPr>
        <w:br w:type="page"/>
      </w:r>
    </w:p>
    <w:p>
      <w:pPr>
        <w:spacing w:line="400" w:lineRule="exact"/>
        <w:jc w:val="left"/>
        <w:rPr>
          <w:rFonts w:ascii="宋体" w:hAnsi="宋体"/>
          <w:b/>
          <w:color w:val="auto"/>
          <w:szCs w:val="21"/>
          <w:highlight w:val="none"/>
        </w:rPr>
      </w:pPr>
      <w:r>
        <w:rPr>
          <w:rFonts w:hint="eastAsia" w:ascii="宋体" w:hAnsi="宋体"/>
          <w:b/>
          <w:color w:val="auto"/>
          <w:szCs w:val="21"/>
          <w:highlight w:val="none"/>
        </w:rPr>
        <w:t>A</w:t>
      </w:r>
      <w:r>
        <w:rPr>
          <w:rFonts w:hint="eastAsia" w:ascii="宋体" w:hAnsi="宋体"/>
          <w:b/>
          <w:color w:val="auto"/>
          <w:szCs w:val="21"/>
          <w:highlight w:val="none"/>
          <w:lang w:val="en-US" w:eastAsia="zh-CN"/>
        </w:rPr>
        <w:t>5</w:t>
      </w:r>
      <w:r>
        <w:rPr>
          <w:rFonts w:hint="eastAsia" w:ascii="宋体" w:hAnsi="宋体"/>
          <w:b/>
          <w:color w:val="auto"/>
          <w:szCs w:val="21"/>
          <w:highlight w:val="none"/>
        </w:rPr>
        <w:t>、监狱企业（监狱和戒毒企业）提供自己企业的产品（服务）的：提供由省级以上监狱管理局、戒毒管理局（含新疆生产建设兵团）出具的属于监狱企业的证明文件（如有需提供）；</w:t>
      </w:r>
    </w:p>
    <w:p>
      <w:pPr>
        <w:spacing w:line="400" w:lineRule="exact"/>
        <w:jc w:val="left"/>
        <w:rPr>
          <w:rFonts w:ascii="宋体" w:hAnsi="宋体"/>
          <w:b/>
          <w:color w:val="auto"/>
          <w:szCs w:val="21"/>
          <w:highlight w:val="none"/>
        </w:rPr>
      </w:pPr>
    </w:p>
    <w:p>
      <w:pPr>
        <w:spacing w:line="400" w:lineRule="exact"/>
        <w:jc w:val="left"/>
        <w:rPr>
          <w:rFonts w:ascii="宋体" w:hAnsi="宋体"/>
          <w:b/>
          <w:color w:val="auto"/>
          <w:szCs w:val="21"/>
          <w:highlight w:val="none"/>
        </w:rPr>
      </w:pPr>
    </w:p>
    <w:p>
      <w:pPr>
        <w:spacing w:line="400" w:lineRule="exact"/>
        <w:jc w:val="left"/>
        <w:rPr>
          <w:rFonts w:ascii="宋体" w:hAnsi="宋体"/>
          <w:b/>
          <w:color w:val="auto"/>
          <w:szCs w:val="21"/>
          <w:highlight w:val="none"/>
        </w:rPr>
      </w:pPr>
      <w:r>
        <w:rPr>
          <w:rFonts w:hint="eastAsia" w:ascii="宋体" w:hAnsi="宋体"/>
          <w:b/>
          <w:color w:val="auto"/>
          <w:szCs w:val="21"/>
          <w:highlight w:val="none"/>
        </w:rPr>
        <w:t>A</w:t>
      </w:r>
      <w:r>
        <w:rPr>
          <w:rFonts w:hint="eastAsia" w:ascii="宋体" w:hAnsi="宋体"/>
          <w:b/>
          <w:color w:val="auto"/>
          <w:szCs w:val="21"/>
          <w:highlight w:val="none"/>
          <w:lang w:val="en-US" w:eastAsia="zh-CN"/>
        </w:rPr>
        <w:t>6</w:t>
      </w:r>
      <w:r>
        <w:rPr>
          <w:rFonts w:hint="eastAsia" w:ascii="宋体" w:hAnsi="宋体"/>
          <w:b/>
          <w:color w:val="auto"/>
          <w:szCs w:val="21"/>
          <w:highlight w:val="none"/>
        </w:rPr>
        <w:t>、供应商认为需要的其他资料（如有需提供）。</w:t>
      </w:r>
    </w:p>
    <w:p>
      <w:pPr>
        <w:spacing w:line="400" w:lineRule="exact"/>
        <w:jc w:val="left"/>
        <w:rPr>
          <w:rFonts w:ascii="宋体" w:hAnsi="宋体"/>
          <w:b/>
          <w:color w:val="auto"/>
          <w:szCs w:val="21"/>
          <w:highlight w:val="none"/>
        </w:rPr>
      </w:pPr>
    </w:p>
    <w:p>
      <w:pPr>
        <w:spacing w:line="588" w:lineRule="exact"/>
        <w:jc w:val="center"/>
        <w:rPr>
          <w:rStyle w:val="176"/>
          <w:rFonts w:ascii="宋体" w:hAnsi="宋体"/>
          <w:color w:val="auto"/>
          <w:sz w:val="21"/>
          <w:szCs w:val="21"/>
          <w:highlight w:val="none"/>
        </w:rPr>
      </w:pPr>
      <w:r>
        <w:rPr>
          <w:rFonts w:ascii="宋体" w:hAnsi="宋体"/>
          <w:b/>
          <w:bCs/>
          <w:color w:val="auto"/>
          <w:szCs w:val="21"/>
          <w:highlight w:val="none"/>
        </w:rPr>
        <w:br w:type="page"/>
      </w:r>
    </w:p>
    <w:bookmarkEnd w:id="54"/>
    <w:p>
      <w:pPr>
        <w:spacing w:line="400" w:lineRule="exact"/>
        <w:ind w:firstLine="414" w:firstLineChars="200"/>
        <w:jc w:val="left"/>
        <w:rPr>
          <w:rStyle w:val="176"/>
          <w:rFonts w:ascii="宋体" w:hAnsi="宋体"/>
          <w:color w:val="auto"/>
          <w:sz w:val="21"/>
          <w:szCs w:val="21"/>
          <w:highlight w:val="none"/>
        </w:rPr>
      </w:pPr>
    </w:p>
    <w:p>
      <w:pPr>
        <w:spacing w:line="400" w:lineRule="exact"/>
        <w:jc w:val="left"/>
        <w:rPr>
          <w:rStyle w:val="176"/>
          <w:rFonts w:ascii="宋体" w:hAnsi="宋体"/>
          <w:color w:val="auto"/>
          <w:sz w:val="28"/>
          <w:szCs w:val="28"/>
          <w:highlight w:val="none"/>
        </w:rPr>
      </w:pPr>
    </w:p>
    <w:p>
      <w:pPr>
        <w:autoSpaceDE w:val="0"/>
        <w:autoSpaceDN w:val="0"/>
        <w:adjustRightInd w:val="0"/>
        <w:spacing w:beforeLines="100" w:line="400" w:lineRule="exact"/>
        <w:jc w:val="center"/>
        <w:outlineLvl w:val="0"/>
        <w:rPr>
          <w:rStyle w:val="176"/>
          <w:rFonts w:ascii="宋体" w:hAnsi="宋体"/>
          <w:color w:val="auto"/>
          <w:sz w:val="32"/>
          <w:szCs w:val="32"/>
          <w:highlight w:val="none"/>
        </w:rPr>
      </w:pPr>
      <w:bookmarkStart w:id="55" w:name="_Toc21541026"/>
      <w:bookmarkStart w:id="56" w:name="_Toc65915715"/>
      <w:r>
        <w:rPr>
          <w:rStyle w:val="176"/>
          <w:rFonts w:ascii="宋体" w:hAnsi="宋体"/>
          <w:color w:val="auto"/>
          <w:sz w:val="32"/>
          <w:szCs w:val="32"/>
          <w:highlight w:val="none"/>
        </w:rPr>
        <w:t>B.</w:t>
      </w:r>
      <w:r>
        <w:rPr>
          <w:rStyle w:val="176"/>
          <w:rFonts w:hint="eastAsia" w:ascii="宋体" w:hAnsi="宋体"/>
          <w:color w:val="auto"/>
          <w:sz w:val="32"/>
          <w:szCs w:val="32"/>
          <w:highlight w:val="none"/>
        </w:rPr>
        <w:t>商务和技术文件</w:t>
      </w:r>
      <w:bookmarkEnd w:id="55"/>
      <w:bookmarkEnd w:id="56"/>
    </w:p>
    <w:p>
      <w:pPr>
        <w:autoSpaceDE w:val="0"/>
        <w:autoSpaceDN w:val="0"/>
        <w:adjustRightInd w:val="0"/>
        <w:spacing w:line="420" w:lineRule="exact"/>
        <w:rPr>
          <w:rStyle w:val="176"/>
          <w:rFonts w:ascii="宋体" w:hAnsi="宋体"/>
          <w:b w:val="0"/>
          <w:color w:val="auto"/>
          <w:highlight w:val="none"/>
          <w:lang w:val="zh-CN"/>
        </w:rPr>
      </w:pPr>
      <w:r>
        <w:rPr>
          <w:rStyle w:val="176"/>
          <w:rFonts w:ascii="宋体" w:hAnsi="宋体"/>
          <w:color w:val="auto"/>
          <w:sz w:val="32"/>
          <w:szCs w:val="32"/>
          <w:highlight w:val="none"/>
        </w:rPr>
        <w:br w:type="page"/>
      </w:r>
      <w:r>
        <w:rPr>
          <w:rStyle w:val="176"/>
          <w:rFonts w:hint="eastAsia" w:ascii="宋体" w:hAnsi="宋体"/>
          <w:color w:val="auto"/>
          <w:sz w:val="21"/>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b/>
          <w:color w:val="auto"/>
          <w:sz w:val="40"/>
          <w:szCs w:val="52"/>
          <w:highlight w:val="none"/>
          <w:lang w:eastAsia="zh-CN"/>
        </w:rPr>
      </w:pPr>
      <w:r>
        <w:rPr>
          <w:rFonts w:hint="eastAsia" w:ascii="宋体" w:hAnsi="宋体"/>
          <w:b/>
          <w:color w:val="auto"/>
          <w:sz w:val="40"/>
          <w:szCs w:val="52"/>
          <w:highlight w:val="none"/>
          <w:lang w:eastAsia="zh-CN"/>
        </w:rPr>
        <w:t>2025年度宁波前湾新区市政道路维修养护质量监督与管理服务项目</w:t>
      </w:r>
    </w:p>
    <w:p>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val="en-US" w:eastAsia="zh-CN"/>
        </w:rPr>
        <w:t>QWQTJY25059</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76"/>
          <w:rFonts w:ascii="宋体" w:hAnsi="宋体"/>
          <w:color w:val="auto"/>
          <w:sz w:val="28"/>
          <w:szCs w:val="28"/>
          <w:highlight w:val="none"/>
        </w:rPr>
      </w:pPr>
      <w:bookmarkStart w:id="57" w:name="_Toc65915716"/>
      <w:bookmarkStart w:id="58"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7"/>
      <w:bookmarkEnd w:id="58"/>
    </w:p>
    <w:p>
      <w:pPr>
        <w:spacing w:line="360" w:lineRule="auto"/>
        <w:ind w:firstLine="4200" w:firstLineChars="2000"/>
        <w:jc w:val="left"/>
        <w:rPr>
          <w:rFonts w:ascii="宋体" w:hAnsi="宋体"/>
          <w:color w:val="auto"/>
          <w:szCs w:val="21"/>
          <w:highlight w:val="none"/>
        </w:rPr>
      </w:pPr>
    </w:p>
    <w:p>
      <w:pPr>
        <w:spacing w:line="360" w:lineRule="auto"/>
        <w:jc w:val="center"/>
        <w:rPr>
          <w:rFonts w:ascii="宋体" w:hAnsi="宋体"/>
          <w:b/>
          <w:color w:val="auto"/>
          <w:szCs w:val="21"/>
          <w:highlight w:val="none"/>
        </w:rPr>
      </w:pPr>
      <w:r>
        <w:rPr>
          <w:rStyle w:val="176"/>
          <w:rFonts w:ascii="宋体" w:hAnsi="宋体"/>
          <w:color w:val="auto"/>
          <w:sz w:val="21"/>
          <w:szCs w:val="21"/>
          <w:highlight w:val="none"/>
        </w:rPr>
        <w:br w:type="page"/>
      </w:r>
      <w:r>
        <w:rPr>
          <w:rFonts w:hint="eastAsia" w:ascii="宋体" w:hAnsi="宋体"/>
          <w:b/>
          <w:color w:val="auto"/>
          <w:szCs w:val="21"/>
          <w:highlight w:val="none"/>
        </w:rPr>
        <w:t>B1、投标书</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宁波欣科工程项目管理有限公司</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2025年度宁波前湾新区市政道路维修养护质量监督与管理服务项目</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QWQTJY25059</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据此函，签字代表宣布并承诺如下：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jc w:val="center"/>
        <w:rPr>
          <w:rFonts w:ascii="宋体" w:hAnsi="宋体"/>
          <w:b/>
          <w:color w:val="auto"/>
          <w:szCs w:val="21"/>
          <w:highlight w:val="none"/>
        </w:rPr>
      </w:pPr>
      <w:r>
        <w:rPr>
          <w:rStyle w:val="176"/>
          <w:rFonts w:ascii="宋体" w:hAnsi="宋体"/>
          <w:color w:val="auto"/>
          <w:sz w:val="21"/>
          <w:szCs w:val="21"/>
          <w:highlight w:val="none"/>
        </w:rPr>
        <w:br w:type="page"/>
      </w:r>
    </w:p>
    <w:p>
      <w:pPr>
        <w:spacing w:line="360" w:lineRule="auto"/>
        <w:ind w:firstLine="527" w:firstLineChars="250"/>
        <w:jc w:val="center"/>
        <w:rPr>
          <w:rFonts w:ascii="宋体" w:hAnsi="宋体"/>
          <w:b/>
          <w:color w:val="auto"/>
          <w:szCs w:val="21"/>
          <w:highlight w:val="none"/>
        </w:rPr>
      </w:pPr>
      <w:r>
        <w:rPr>
          <w:rFonts w:ascii="宋体" w:hAnsi="宋体"/>
          <w:b/>
          <w:color w:val="auto"/>
          <w:szCs w:val="21"/>
          <w:highlight w:val="none"/>
        </w:rPr>
        <w:t xml:space="preserve"> </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B2</w:t>
      </w:r>
      <w:r>
        <w:rPr>
          <w:rFonts w:hint="eastAsia" w:hAnsi="宋体"/>
          <w:b/>
          <w:color w:val="auto"/>
          <w:szCs w:val="21"/>
          <w:highlight w:val="none"/>
        </w:rPr>
        <w:t>、</w:t>
      </w:r>
      <w:r>
        <w:rPr>
          <w:rFonts w:hint="eastAsia" w:ascii="宋体" w:hAnsi="宋体"/>
          <w:b/>
          <w:color w:val="auto"/>
          <w:szCs w:val="21"/>
          <w:highlight w:val="none"/>
        </w:rPr>
        <w:t>法定代表人身份证明</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pPr>
        <w:spacing w:line="400" w:lineRule="atLeast"/>
        <w:rPr>
          <w:rFonts w:ascii="宋体" w:hAnsi="宋体"/>
          <w:color w:val="auto"/>
          <w:szCs w:val="21"/>
          <w:highlight w:val="none"/>
          <w:u w:val="single"/>
        </w:rPr>
      </w:pPr>
    </w:p>
    <w:p>
      <w:pPr>
        <w:pStyle w:val="25"/>
        <w:rPr>
          <w:color w:val="auto"/>
          <w:highlight w:val="none"/>
        </w:rPr>
      </w:pPr>
    </w:p>
    <w:p>
      <w:pPr>
        <w:pStyle w:val="25"/>
        <w:rPr>
          <w:color w:val="auto"/>
          <w:highlight w:val="none"/>
        </w:rPr>
      </w:pPr>
    </w:p>
    <w:p>
      <w:pPr>
        <w:spacing w:line="400" w:lineRule="exact"/>
        <w:jc w:val="center"/>
        <w:rPr>
          <w:rFonts w:ascii="宋体" w:hAnsi="宋体"/>
          <w:b/>
          <w:color w:val="auto"/>
          <w:szCs w:val="21"/>
          <w:highlight w:val="none"/>
        </w:rPr>
      </w:pPr>
      <w:r>
        <w:rPr>
          <w:rStyle w:val="176"/>
          <w:rFonts w:ascii="宋体" w:hAnsi="宋体"/>
          <w:color w:val="auto"/>
          <w:sz w:val="21"/>
          <w:szCs w:val="21"/>
          <w:highlight w:val="none"/>
        </w:rPr>
        <w:br w:type="page"/>
      </w:r>
      <w:r>
        <w:rPr>
          <w:rFonts w:hint="eastAsia" w:ascii="宋体" w:hAnsi="宋体"/>
          <w:b/>
          <w:color w:val="auto"/>
          <w:szCs w:val="21"/>
          <w:highlight w:val="none"/>
        </w:rPr>
        <w:t>B3、法定代表人授权书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2025年度宁波前湾新区市政道路维修养护质量监督与管理服务项目</w:t>
      </w:r>
      <w:r>
        <w:rPr>
          <w:rFonts w:hint="eastAsia" w:ascii="宋体" w:hAnsi="宋体"/>
          <w:color w:val="auto"/>
          <w:szCs w:val="21"/>
          <w:highlight w:val="none"/>
        </w:rPr>
        <w:t>，项目编号为</w:t>
      </w:r>
      <w:r>
        <w:rPr>
          <w:rFonts w:hint="eastAsia" w:ascii="宋体" w:hAnsi="宋体"/>
          <w:color w:val="auto"/>
          <w:szCs w:val="21"/>
          <w:highlight w:val="none"/>
          <w:u w:val="single" w:color="auto"/>
          <w:lang w:val="en-US" w:eastAsia="zh-CN"/>
        </w:rPr>
        <w:t>QWQTJY25059</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后附：授权代表身份证扫描件（不同页的须加盖供应商公章）</w:t>
      </w:r>
    </w:p>
    <w:p>
      <w:pPr>
        <w:pStyle w:val="25"/>
        <w:rPr>
          <w:color w:val="auto"/>
          <w:highlight w:val="none"/>
        </w:rPr>
      </w:pPr>
    </w:p>
    <w:p>
      <w:pPr>
        <w:spacing w:line="400" w:lineRule="exact"/>
        <w:jc w:val="center"/>
        <w:rPr>
          <w:rFonts w:ascii="宋体" w:hAnsi="宋体"/>
          <w:b/>
          <w:color w:val="auto"/>
          <w:szCs w:val="21"/>
          <w:highlight w:val="none"/>
        </w:rPr>
      </w:pPr>
      <w:r>
        <w:rPr>
          <w:rStyle w:val="176"/>
          <w:rFonts w:ascii="宋体" w:hAnsi="宋体"/>
          <w:color w:val="auto"/>
          <w:sz w:val="21"/>
          <w:szCs w:val="21"/>
          <w:highlight w:val="none"/>
        </w:rPr>
        <w:br w:type="page"/>
      </w:r>
      <w:r>
        <w:rPr>
          <w:rFonts w:ascii="宋体" w:hAnsi="宋体"/>
          <w:b/>
          <w:color w:val="auto"/>
          <w:szCs w:val="21"/>
          <w:highlight w:val="none"/>
        </w:rPr>
        <w:t>B</w:t>
      </w:r>
      <w:r>
        <w:rPr>
          <w:rFonts w:hint="eastAsia" w:ascii="宋体" w:hAnsi="宋体"/>
          <w:b/>
          <w:color w:val="auto"/>
          <w:szCs w:val="21"/>
          <w:highlight w:val="none"/>
        </w:rPr>
        <w:t>4、商务条款响应表</w:t>
      </w:r>
    </w:p>
    <w:p>
      <w:pPr>
        <w:spacing w:line="360" w:lineRule="auto"/>
        <w:ind w:left="540"/>
        <w:jc w:val="center"/>
        <w:rPr>
          <w:rFonts w:ascii="宋体" w:hAnsi="宋体"/>
          <w:b/>
          <w:color w:val="auto"/>
          <w:szCs w:val="21"/>
          <w:highlight w:val="none"/>
        </w:rPr>
      </w:pPr>
    </w:p>
    <w:p>
      <w:pPr>
        <w:adjustRightInd w:val="0"/>
        <w:snapToGrid w:val="0"/>
        <w:spacing w:line="360" w:lineRule="auto"/>
        <w:rPr>
          <w:rFonts w:hint="eastAsia" w:ascii="宋体" w:hAnsi="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2025年度宁波前湾新区市政道路维修养护质量监督与管理服务项目</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QWQTJY25059</w:t>
      </w:r>
    </w:p>
    <w:tbl>
      <w:tblPr>
        <w:tblStyle w:val="5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95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1955"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1955"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1955"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1955"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1955"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50" w:leftChars="119" w:firstLine="250" w:firstLineChars="100"/>
        <w:rPr>
          <w:rFonts w:ascii="宋体" w:hAnsi="宋体"/>
          <w:color w:val="auto"/>
          <w:szCs w:val="21"/>
          <w:highlight w:val="none"/>
        </w:rPr>
      </w:pPr>
      <w:r>
        <w:rPr>
          <w:rFonts w:hint="eastAsia" w:ascii="宋体" w:hAnsi="宋体"/>
          <w:color w:val="auto"/>
          <w:spacing w:val="20"/>
          <w:szCs w:val="21"/>
          <w:highlight w:val="none"/>
        </w:rPr>
        <w:t>注：</w:t>
      </w:r>
      <w:r>
        <w:rPr>
          <w:rFonts w:hint="eastAsia" w:ascii="宋体" w:hAnsi="宋体"/>
          <w:color w:val="auto"/>
          <w:szCs w:val="21"/>
          <w:highlight w:val="none"/>
        </w:rPr>
        <w:t>1、须与“第六章</w:t>
      </w:r>
      <w:r>
        <w:rPr>
          <w:rFonts w:ascii="宋体" w:hAnsi="宋体"/>
          <w:color w:val="auto"/>
          <w:szCs w:val="21"/>
          <w:highlight w:val="none"/>
        </w:rPr>
        <w:t xml:space="preserve">  </w:t>
      </w:r>
      <w:r>
        <w:rPr>
          <w:rFonts w:hint="eastAsia" w:ascii="宋体" w:hAnsi="宋体"/>
          <w:color w:val="auto"/>
          <w:szCs w:val="21"/>
          <w:highlight w:val="none"/>
        </w:rPr>
        <w:t>商务条款”逐项比较，如有偏离的，须在本表中列明，并提供详细的偏离说明。</w:t>
      </w:r>
    </w:p>
    <w:p>
      <w:pPr>
        <w:adjustRightInd w:val="0"/>
        <w:snapToGrid w:val="0"/>
        <w:spacing w:line="440" w:lineRule="exact"/>
        <w:ind w:left="210" w:leftChars="100"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pPr>
        <w:adjustRightInd w:val="0"/>
        <w:snapToGrid w:val="0"/>
        <w:spacing w:line="440" w:lineRule="exact"/>
        <w:ind w:left="210" w:leftChars="100" w:firstLine="210" w:firstLineChars="100"/>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bookmarkStart w:id="59" w:name="_Toc436408720"/>
      <w:bookmarkStart w:id="60"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w:t>
      </w:r>
      <w:r>
        <w:rPr>
          <w:rFonts w:hint="eastAsia" w:ascii="宋体" w:hAnsi="宋体"/>
          <w:b/>
          <w:color w:val="auto"/>
          <w:szCs w:val="21"/>
          <w:highlight w:val="none"/>
        </w:rPr>
        <w:t>5、</w:t>
      </w:r>
      <w:r>
        <w:rPr>
          <w:rFonts w:hint="eastAsia" w:ascii="宋体" w:hAnsi="宋体"/>
          <w:b/>
          <w:bCs/>
          <w:color w:val="auto"/>
          <w:szCs w:val="21"/>
          <w:highlight w:val="none"/>
        </w:rPr>
        <w:t>技术条款响应表</w:t>
      </w:r>
    </w:p>
    <w:p>
      <w:pPr>
        <w:adjustRightInd w:val="0"/>
        <w:snapToGrid w:val="0"/>
        <w:spacing w:line="360" w:lineRule="auto"/>
        <w:jc w:val="center"/>
        <w:rPr>
          <w:rFonts w:ascii="宋体" w:hAnsi="宋体"/>
          <w:iCs/>
          <w:color w:val="auto"/>
          <w:szCs w:val="21"/>
          <w:highlight w:val="none"/>
        </w:rPr>
      </w:pPr>
    </w:p>
    <w:p>
      <w:pPr>
        <w:adjustRightInd w:val="0"/>
        <w:snapToGrid w:val="0"/>
        <w:spacing w:line="360" w:lineRule="auto"/>
        <w:rPr>
          <w:rFonts w:hint="eastAsia" w:ascii="宋体" w:hAnsi="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2025年度宁波前湾新区市政道路维修养护质量监督与管理服务项目</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QWQTJY25059</w:t>
      </w:r>
    </w:p>
    <w:tbl>
      <w:tblPr>
        <w:tblStyle w:val="54"/>
        <w:tblW w:w="89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w:t>
      </w:r>
    </w:p>
    <w:p>
      <w:pPr>
        <w:adjustRightInd w:val="0"/>
        <w:snapToGrid w:val="0"/>
        <w:spacing w:line="440" w:lineRule="exact"/>
        <w:ind w:left="210" w:leftChars="100" w:firstLine="210" w:firstLine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widowControl/>
        <w:jc w:val="left"/>
        <w:rPr>
          <w:rStyle w:val="176"/>
          <w:rFonts w:ascii="宋体" w:hAnsi="宋体"/>
          <w:color w:val="auto"/>
          <w:sz w:val="21"/>
          <w:szCs w:val="21"/>
          <w:highlight w:val="none"/>
        </w:rPr>
      </w:pPr>
      <w:r>
        <w:rPr>
          <w:rStyle w:val="176"/>
          <w:rFonts w:ascii="宋体" w:hAnsi="宋体"/>
          <w:color w:val="auto"/>
          <w:sz w:val="21"/>
          <w:szCs w:val="21"/>
          <w:highlight w:val="none"/>
        </w:rPr>
        <w:br w:type="page"/>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B6、第三章“评标办法及标准”中“商务和技术评分表”要求提供的其他资料（如有需提供）；</w:t>
      </w:r>
    </w:p>
    <w:p>
      <w:pPr>
        <w:spacing w:line="400" w:lineRule="exact"/>
        <w:ind w:firstLine="422" w:firstLineChars="200"/>
        <w:jc w:val="left"/>
        <w:rPr>
          <w:rFonts w:ascii="宋体" w:hAnsi="宋体"/>
          <w:b/>
          <w:color w:val="auto"/>
          <w:szCs w:val="21"/>
          <w:highlight w:val="none"/>
        </w:rPr>
      </w:pPr>
    </w:p>
    <w:p>
      <w:pPr>
        <w:spacing w:line="400" w:lineRule="exact"/>
        <w:ind w:firstLine="422" w:firstLineChars="200"/>
        <w:jc w:val="left"/>
        <w:rPr>
          <w:rFonts w:ascii="宋体" w:hAnsi="宋体"/>
          <w:b/>
          <w:color w:val="auto"/>
          <w:szCs w:val="21"/>
          <w:highlight w:val="none"/>
        </w:rPr>
      </w:pP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7、供应商认为需要的其他资料（如有需提供）。</w:t>
      </w:r>
    </w:p>
    <w:p>
      <w:pPr>
        <w:spacing w:line="400" w:lineRule="exact"/>
        <w:rPr>
          <w:rStyle w:val="176"/>
          <w:rFonts w:ascii="宋体" w:hAnsi="宋体"/>
          <w:color w:val="auto"/>
          <w:sz w:val="21"/>
          <w:szCs w:val="21"/>
          <w:highlight w:val="none"/>
        </w:rPr>
      </w:pPr>
    </w:p>
    <w:p>
      <w:pPr>
        <w:spacing w:line="400" w:lineRule="exact"/>
        <w:rPr>
          <w:rStyle w:val="176"/>
          <w:rFonts w:ascii="宋体" w:hAnsi="宋体"/>
          <w:color w:val="auto"/>
          <w:sz w:val="21"/>
          <w:szCs w:val="21"/>
          <w:highlight w:val="none"/>
        </w:rPr>
      </w:pPr>
    </w:p>
    <w:p>
      <w:pPr>
        <w:spacing w:line="400" w:lineRule="exact"/>
        <w:rPr>
          <w:rFonts w:ascii="宋体" w:hAnsi="宋体"/>
          <w:b/>
          <w:color w:val="auto"/>
          <w:szCs w:val="21"/>
          <w:highlight w:val="none"/>
        </w:rPr>
      </w:pPr>
      <w:r>
        <w:rPr>
          <w:rStyle w:val="176"/>
          <w:rFonts w:ascii="宋体" w:hAnsi="宋体"/>
          <w:color w:val="auto"/>
          <w:sz w:val="21"/>
          <w:szCs w:val="21"/>
          <w:highlight w:val="none"/>
        </w:rPr>
        <w:br w:type="page"/>
      </w:r>
      <w:bookmarkEnd w:id="59"/>
      <w:bookmarkStart w:id="61" w:name="_Toc441316564"/>
    </w:p>
    <w:p>
      <w:pPr>
        <w:spacing w:line="400" w:lineRule="exact"/>
        <w:rPr>
          <w:rStyle w:val="176"/>
          <w:rFonts w:ascii="宋体" w:hAnsi="宋体"/>
          <w:color w:val="auto"/>
          <w:sz w:val="21"/>
          <w:szCs w:val="21"/>
          <w:highlight w:val="none"/>
        </w:rPr>
      </w:pPr>
      <w:r>
        <w:rPr>
          <w:rFonts w:hint="eastAsia" w:ascii="宋体" w:hAnsi="宋体"/>
          <w:b/>
          <w:color w:val="auto"/>
          <w:szCs w:val="21"/>
          <w:highlight w:val="none"/>
        </w:rPr>
        <w:t xml:space="preserve"> </w:t>
      </w:r>
    </w:p>
    <w:p>
      <w:pPr>
        <w:spacing w:line="400" w:lineRule="exact"/>
        <w:ind w:firstLine="414" w:firstLineChars="200"/>
        <w:jc w:val="left"/>
        <w:rPr>
          <w:rStyle w:val="176"/>
          <w:rFonts w:ascii="宋体" w:hAnsi="宋体"/>
          <w:color w:val="auto"/>
          <w:sz w:val="21"/>
          <w:szCs w:val="21"/>
          <w:highlight w:val="none"/>
        </w:rPr>
      </w:pPr>
    </w:p>
    <w:p>
      <w:pPr>
        <w:spacing w:line="400" w:lineRule="exact"/>
        <w:jc w:val="left"/>
        <w:rPr>
          <w:rStyle w:val="176"/>
          <w:rFonts w:ascii="宋体" w:hAnsi="宋体"/>
          <w:color w:val="auto"/>
          <w:sz w:val="28"/>
          <w:szCs w:val="28"/>
          <w:highlight w:val="none"/>
        </w:rPr>
      </w:pPr>
    </w:p>
    <w:p>
      <w:pPr>
        <w:autoSpaceDE w:val="0"/>
        <w:autoSpaceDN w:val="0"/>
        <w:adjustRightInd w:val="0"/>
        <w:spacing w:beforeLines="100" w:line="400" w:lineRule="exact"/>
        <w:jc w:val="center"/>
        <w:outlineLvl w:val="0"/>
        <w:rPr>
          <w:rStyle w:val="176"/>
          <w:rFonts w:ascii="宋体" w:hAnsi="宋体"/>
          <w:color w:val="auto"/>
          <w:sz w:val="32"/>
          <w:szCs w:val="32"/>
          <w:highlight w:val="none"/>
        </w:rPr>
      </w:pPr>
      <w:bookmarkStart w:id="62" w:name="_Toc443468293"/>
      <w:bookmarkStart w:id="63" w:name="_Toc65915717"/>
      <w:bookmarkStart w:id="64" w:name="_Toc21541028"/>
      <w:r>
        <w:rPr>
          <w:rStyle w:val="176"/>
          <w:rFonts w:ascii="宋体" w:hAnsi="宋体"/>
          <w:color w:val="auto"/>
          <w:sz w:val="32"/>
          <w:szCs w:val="32"/>
          <w:highlight w:val="none"/>
        </w:rPr>
        <w:t>C.</w:t>
      </w:r>
      <w:r>
        <w:rPr>
          <w:rStyle w:val="176"/>
          <w:rFonts w:hint="eastAsia" w:ascii="宋体" w:hAnsi="宋体"/>
          <w:color w:val="auto"/>
          <w:sz w:val="32"/>
          <w:szCs w:val="32"/>
          <w:highlight w:val="none"/>
        </w:rPr>
        <w:t>报价文件</w:t>
      </w:r>
      <w:bookmarkEnd w:id="62"/>
      <w:bookmarkEnd w:id="63"/>
      <w:bookmarkEnd w:id="64"/>
    </w:p>
    <w:p>
      <w:pPr>
        <w:autoSpaceDE w:val="0"/>
        <w:autoSpaceDN w:val="0"/>
        <w:adjustRightInd w:val="0"/>
        <w:spacing w:line="420" w:lineRule="exact"/>
        <w:rPr>
          <w:rStyle w:val="176"/>
          <w:rFonts w:ascii="宋体" w:hAnsi="宋体"/>
          <w:b w:val="0"/>
          <w:color w:val="auto"/>
          <w:highlight w:val="none"/>
          <w:lang w:val="zh-CN"/>
        </w:rPr>
      </w:pPr>
      <w:r>
        <w:rPr>
          <w:rStyle w:val="176"/>
          <w:rFonts w:ascii="宋体" w:hAnsi="宋体"/>
          <w:color w:val="auto"/>
          <w:sz w:val="32"/>
          <w:szCs w:val="32"/>
          <w:highlight w:val="none"/>
        </w:rPr>
        <w:br w:type="page"/>
      </w:r>
      <w:r>
        <w:rPr>
          <w:rStyle w:val="176"/>
          <w:rFonts w:hint="eastAsia" w:ascii="宋体" w:hAnsi="宋体"/>
          <w:color w:val="auto"/>
          <w:sz w:val="21"/>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b/>
          <w:color w:val="auto"/>
          <w:sz w:val="40"/>
          <w:szCs w:val="52"/>
          <w:highlight w:val="none"/>
          <w:lang w:eastAsia="zh-CN"/>
        </w:rPr>
      </w:pPr>
      <w:r>
        <w:rPr>
          <w:rFonts w:hint="eastAsia" w:ascii="宋体" w:hAnsi="宋体"/>
          <w:b/>
          <w:color w:val="auto"/>
          <w:sz w:val="40"/>
          <w:szCs w:val="52"/>
          <w:highlight w:val="none"/>
          <w:lang w:eastAsia="zh-CN"/>
        </w:rPr>
        <w:t>2025年度宁波前湾新区市政道路维修养护质量监督与管理服务项目</w:t>
      </w: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val="en-US" w:eastAsia="zh-CN"/>
        </w:rPr>
        <w:t>QWQTJY25059</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76"/>
          <w:rFonts w:ascii="宋体" w:hAnsi="宋体"/>
          <w:color w:val="auto"/>
          <w:sz w:val="28"/>
          <w:szCs w:val="28"/>
          <w:highlight w:val="none"/>
        </w:rPr>
      </w:pPr>
      <w:bookmarkStart w:id="65" w:name="_Toc65915718"/>
      <w:bookmarkStart w:id="66" w:name="_Toc443468294"/>
      <w:bookmarkStart w:id="67"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5"/>
      <w:bookmarkEnd w:id="66"/>
      <w:bookmarkEnd w:id="67"/>
    </w:p>
    <w:p>
      <w:pPr>
        <w:autoSpaceDE w:val="0"/>
        <w:autoSpaceDN w:val="0"/>
        <w:adjustRightInd w:val="0"/>
        <w:spacing w:line="400" w:lineRule="exact"/>
        <w:jc w:val="center"/>
        <w:outlineLvl w:val="0"/>
        <w:rPr>
          <w:rStyle w:val="176"/>
          <w:rFonts w:ascii="宋体" w:hAnsi="宋体"/>
          <w:color w:val="auto"/>
          <w:sz w:val="28"/>
          <w:szCs w:val="28"/>
          <w:highlight w:val="none"/>
        </w:rPr>
      </w:pPr>
    </w:p>
    <w:p>
      <w:pPr>
        <w:autoSpaceDE w:val="0"/>
        <w:autoSpaceDN w:val="0"/>
        <w:adjustRightInd w:val="0"/>
        <w:spacing w:line="400" w:lineRule="exact"/>
        <w:jc w:val="center"/>
        <w:outlineLvl w:val="0"/>
        <w:rPr>
          <w:rStyle w:val="176"/>
          <w:rFonts w:ascii="宋体" w:hAnsi="宋体"/>
          <w:color w:val="auto"/>
          <w:sz w:val="28"/>
          <w:szCs w:val="28"/>
          <w:highlight w:val="none"/>
        </w:rPr>
      </w:pPr>
    </w:p>
    <w:p>
      <w:pPr>
        <w:autoSpaceDE w:val="0"/>
        <w:autoSpaceDN w:val="0"/>
        <w:adjustRightInd w:val="0"/>
        <w:spacing w:line="400" w:lineRule="exact"/>
        <w:jc w:val="center"/>
        <w:outlineLvl w:val="0"/>
        <w:rPr>
          <w:rFonts w:ascii="宋体" w:hAnsi="宋体"/>
          <w:b/>
          <w:color w:val="auto"/>
          <w:szCs w:val="21"/>
          <w:highlight w:val="none"/>
        </w:rPr>
      </w:pPr>
      <w:r>
        <w:rPr>
          <w:rStyle w:val="176"/>
          <w:rFonts w:ascii="宋体" w:hAnsi="宋体"/>
          <w:color w:val="auto"/>
          <w:sz w:val="28"/>
          <w:szCs w:val="28"/>
          <w:highlight w:val="none"/>
        </w:rPr>
        <w:br w:type="page"/>
      </w:r>
      <w:bookmarkEnd w:id="60"/>
      <w:bookmarkEnd w:id="61"/>
      <w:bookmarkStart w:id="68" w:name="_Toc65915719"/>
      <w:bookmarkStart w:id="69"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68"/>
      <w:bookmarkEnd w:id="69"/>
    </w:p>
    <w:p>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2025年度宁波前湾新区市政道路维修养护质量监督与管理服务项目</w:t>
      </w:r>
    </w:p>
    <w:p>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color="auto"/>
          <w:lang w:val="en-US" w:eastAsia="zh-CN"/>
        </w:rPr>
        <w:t>QWQTJY25059</w:t>
      </w:r>
    </w:p>
    <w:p>
      <w:pPr>
        <w:spacing w:line="400" w:lineRule="exact"/>
        <w:rPr>
          <w:rFonts w:ascii="宋体" w:hAnsi="宋体"/>
          <w:b/>
          <w:color w:val="auto"/>
          <w:szCs w:val="21"/>
          <w:highlight w:val="none"/>
        </w:rPr>
      </w:pPr>
      <w:r>
        <w:rPr>
          <w:rFonts w:hAnsi="宋体"/>
          <w:color w:val="auto"/>
          <w:kern w:val="2"/>
          <w:sz w:val="21"/>
          <w:szCs w:val="21"/>
          <w:highlight w:val="none"/>
        </w:rPr>
        <w:t xml:space="preserve">                      </w:t>
      </w:r>
    </w:p>
    <w:tbl>
      <w:tblPr>
        <w:tblStyle w:val="5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4049"/>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53" w:type="dxa"/>
            <w:vAlign w:val="center"/>
          </w:tcPr>
          <w:p>
            <w:pPr>
              <w:spacing w:line="40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标项</w:t>
            </w:r>
          </w:p>
        </w:tc>
        <w:tc>
          <w:tcPr>
            <w:tcW w:w="4049"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标项名称</w:t>
            </w:r>
          </w:p>
        </w:tc>
        <w:tc>
          <w:tcPr>
            <w:tcW w:w="3851" w:type="dxa"/>
            <w:vAlign w:val="center"/>
          </w:tcPr>
          <w:p>
            <w:pPr>
              <w:spacing w:line="52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jc w:val="center"/>
        </w:trPr>
        <w:tc>
          <w:tcPr>
            <w:tcW w:w="1153" w:type="dxa"/>
            <w:vAlign w:val="center"/>
          </w:tcPr>
          <w:p>
            <w:pPr>
              <w:widowControl/>
              <w:wordWrap/>
              <w:adjustRightInd/>
              <w:spacing w:line="400" w:lineRule="exact"/>
              <w:jc w:val="center"/>
              <w:textAlignment w:val="auto"/>
              <w:rPr>
                <w:rFonts w:ascii="宋体" w:hAnsi="宋体" w:cs="仿宋_GB2312"/>
                <w:color w:val="auto"/>
                <w:szCs w:val="21"/>
                <w:highlight w:val="none"/>
              </w:rPr>
            </w:pPr>
            <w:r>
              <w:rPr>
                <w:rFonts w:hint="eastAsia" w:ascii="宋体" w:hAnsi="宋体" w:cs="宋体"/>
                <w:color w:val="auto"/>
                <w:kern w:val="0"/>
                <w:sz w:val="21"/>
                <w:szCs w:val="21"/>
                <w:highlight w:val="none"/>
                <w:lang w:val="en-US" w:eastAsia="zh-CN"/>
              </w:rPr>
              <w:t>1</w:t>
            </w:r>
          </w:p>
        </w:tc>
        <w:tc>
          <w:tcPr>
            <w:tcW w:w="4049" w:type="dxa"/>
            <w:vAlign w:val="center"/>
          </w:tcPr>
          <w:p>
            <w:pPr>
              <w:widowControl/>
              <w:wordWrap/>
              <w:adjustRightInd/>
              <w:snapToGrid/>
              <w:spacing w:line="400" w:lineRule="exact"/>
              <w:jc w:val="center"/>
              <w:textAlignment w:val="auto"/>
              <w:rPr>
                <w:rFonts w:ascii="宋体" w:hAnsi="宋体"/>
                <w:color w:val="auto"/>
                <w:szCs w:val="21"/>
                <w:highlight w:val="none"/>
              </w:rPr>
            </w:pPr>
            <w:r>
              <w:rPr>
                <w:rFonts w:hint="eastAsia" w:ascii="宋体" w:hAnsi="宋体" w:eastAsia="宋体"/>
                <w:color w:val="auto"/>
                <w:sz w:val="21"/>
                <w:szCs w:val="21"/>
                <w:highlight w:val="none"/>
                <w:u w:val="single"/>
                <w:lang w:eastAsia="zh-CN"/>
              </w:rPr>
              <w:t>2025年度宁波前湾新区市政道路维修养护质量监督与管理服务项目</w:t>
            </w:r>
          </w:p>
        </w:tc>
        <w:tc>
          <w:tcPr>
            <w:tcW w:w="3851" w:type="dxa"/>
            <w:vAlign w:val="center"/>
          </w:tcPr>
          <w:p>
            <w:pPr>
              <w:widowControl/>
              <w:wordWrap/>
              <w:adjustRightInd/>
              <w:spacing w:line="400" w:lineRule="exact"/>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小写：</w:t>
            </w:r>
            <w:r>
              <w:rPr>
                <w:rFonts w:hint="eastAsia" w:ascii="宋体" w:hAnsi="宋体" w:cs="宋体"/>
                <w:color w:val="auto"/>
                <w:kern w:val="0"/>
                <w:sz w:val="21"/>
                <w:szCs w:val="21"/>
                <w:highlight w:val="none"/>
                <w:u w:val="single"/>
                <w:lang w:val="en-US" w:eastAsia="zh-CN"/>
              </w:rPr>
              <w:t xml:space="preserve">                </w:t>
            </w:r>
          </w:p>
          <w:p>
            <w:pPr>
              <w:widowControl/>
              <w:wordWrap/>
              <w:adjustRightInd/>
              <w:spacing w:line="400" w:lineRule="exact"/>
              <w:jc w:val="both"/>
              <w:textAlignment w:val="auto"/>
              <w:rPr>
                <w:rFonts w:ascii="宋体" w:hAnsi="宋体"/>
                <w:color w:val="auto"/>
                <w:szCs w:val="21"/>
                <w:highlight w:val="none"/>
              </w:rPr>
            </w:pPr>
            <w:r>
              <w:rPr>
                <w:rFonts w:hint="eastAsia" w:ascii="宋体" w:hAnsi="宋体" w:cs="宋体"/>
                <w:color w:val="auto"/>
                <w:kern w:val="0"/>
                <w:sz w:val="21"/>
                <w:szCs w:val="21"/>
                <w:highlight w:val="none"/>
              </w:rPr>
              <w:t>大写：</w:t>
            </w:r>
            <w:r>
              <w:rPr>
                <w:rFonts w:hint="eastAsia" w:ascii="宋体" w:hAnsi="宋体" w:cs="宋体"/>
                <w:color w:val="auto"/>
                <w:kern w:val="0"/>
                <w:sz w:val="21"/>
                <w:szCs w:val="21"/>
                <w:highlight w:val="none"/>
                <w:u w:val="single"/>
                <w:lang w:val="en-US" w:eastAsia="zh-CN"/>
              </w:rPr>
              <w:t xml:space="preserve">                </w:t>
            </w:r>
          </w:p>
        </w:tc>
      </w:tr>
    </w:tbl>
    <w:p>
      <w:pPr>
        <w:snapToGrid w:val="0"/>
        <w:spacing w:line="400" w:lineRule="exact"/>
        <w:rPr>
          <w:rFonts w:ascii="宋体" w:hAnsi="宋体"/>
          <w:color w:val="auto"/>
          <w:szCs w:val="21"/>
          <w:highlight w:val="none"/>
        </w:rPr>
      </w:pPr>
      <w:r>
        <w:rPr>
          <w:rFonts w:hint="eastAsia" w:ascii="宋体" w:hAnsi="宋体"/>
          <w:color w:val="auto"/>
          <w:szCs w:val="21"/>
          <w:highlight w:val="none"/>
        </w:rPr>
        <w:t>注：本表所填内容与</w:t>
      </w:r>
      <w:r>
        <w:rPr>
          <w:rFonts w:hint="eastAsia" w:ascii="宋体" w:hAnsi="宋体"/>
          <w:color w:val="auto"/>
          <w:szCs w:val="21"/>
          <w:highlight w:val="none"/>
          <w:lang w:val="en-US" w:eastAsia="zh-CN"/>
        </w:rPr>
        <w:t>乐</w:t>
      </w:r>
      <w:r>
        <w:rPr>
          <w:rFonts w:hint="eastAsia" w:ascii="宋体" w:hAnsi="宋体"/>
          <w:color w:val="auto"/>
          <w:szCs w:val="21"/>
          <w:highlight w:val="none"/>
        </w:rPr>
        <w:t>采云系统“报价一览表”中录入的内容不一致的，以上传的签字盖章版响应文件中本表所填内容为准。</w:t>
      </w:r>
    </w:p>
    <w:p>
      <w:pPr>
        <w:snapToGrid w:val="0"/>
        <w:spacing w:line="400" w:lineRule="exact"/>
        <w:rPr>
          <w:rFonts w:ascii="宋体" w:hAnsi="宋体"/>
          <w:color w:val="auto"/>
          <w:szCs w:val="21"/>
          <w:highlight w:val="none"/>
          <w:u w:val="single"/>
        </w:rPr>
      </w:pPr>
    </w:p>
    <w:p>
      <w:pPr>
        <w:snapToGrid w:val="0"/>
        <w:spacing w:line="400" w:lineRule="exact"/>
        <w:rPr>
          <w:rFonts w:ascii="宋体" w:hAnsi="宋体"/>
          <w:color w:val="auto"/>
          <w:szCs w:val="21"/>
          <w:highlight w:val="none"/>
          <w:u w:val="single"/>
        </w:rPr>
      </w:pPr>
    </w:p>
    <w:p>
      <w:pPr>
        <w:snapToGrid w:val="0"/>
        <w:spacing w:line="400" w:lineRule="exact"/>
        <w:rPr>
          <w:rFonts w:ascii="宋体" w:hAnsi="宋体"/>
          <w:color w:val="auto"/>
          <w:szCs w:val="21"/>
          <w:highlight w:val="none"/>
          <w:u w:val="singl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          期：</w:t>
      </w:r>
      <w:r>
        <w:rPr>
          <w:rFonts w:ascii="宋体" w:hAnsi="宋体"/>
          <w:color w:val="auto"/>
          <w:szCs w:val="21"/>
          <w:highlight w:val="none"/>
        </w:rPr>
        <w:t xml:space="preserve">    </w:t>
      </w: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widowControl/>
        <w:jc w:val="left"/>
        <w:rPr>
          <w:rFonts w:ascii="宋体" w:hAnsi="宋体"/>
          <w:b/>
          <w:color w:val="auto"/>
          <w:szCs w:val="21"/>
          <w:highlight w:val="none"/>
        </w:rPr>
      </w:pPr>
      <w:bookmarkStart w:id="70" w:name="_Toc21541032"/>
    </w:p>
    <w:p>
      <w:pPr>
        <w:widowControl/>
        <w:jc w:val="left"/>
        <w:rPr>
          <w:rFonts w:ascii="宋体" w:hAnsi="宋体"/>
          <w:b/>
          <w:color w:val="auto"/>
          <w:szCs w:val="21"/>
          <w:highlight w:val="none"/>
        </w:rPr>
      </w:pPr>
      <w:r>
        <w:rPr>
          <w:rFonts w:ascii="宋体" w:hAnsi="宋体"/>
          <w:b/>
          <w:color w:val="auto"/>
          <w:szCs w:val="21"/>
          <w:highlight w:val="none"/>
        </w:rPr>
        <w:br w:type="page"/>
      </w:r>
    </w:p>
    <w:p>
      <w:pPr>
        <w:spacing w:line="400" w:lineRule="atLeast"/>
        <w:jc w:val="center"/>
        <w:rPr>
          <w:rFonts w:ascii="宋体" w:hAnsi="宋体"/>
          <w:b/>
          <w:bCs/>
          <w:color w:val="auto"/>
          <w:szCs w:val="21"/>
          <w:highlight w:val="none"/>
        </w:rPr>
      </w:pPr>
    </w:p>
    <w:p>
      <w:pPr>
        <w:spacing w:line="400" w:lineRule="exac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2、供应商认为需要的其他资料（如有需提供）。</w:t>
      </w:r>
    </w:p>
    <w:p>
      <w:pPr>
        <w:widowControl/>
        <w:jc w:val="left"/>
        <w:rPr>
          <w:rFonts w:ascii="宋体" w:hAnsi="宋体"/>
          <w:b/>
          <w:color w:val="auto"/>
          <w:szCs w:val="21"/>
          <w:highlight w:val="none"/>
        </w:rPr>
      </w:pPr>
      <w:r>
        <w:rPr>
          <w:rFonts w:ascii="宋体" w:hAnsi="宋体"/>
          <w:b/>
          <w:color w:val="auto"/>
          <w:szCs w:val="21"/>
          <w:highlight w:val="none"/>
        </w:rPr>
        <w:br w:type="page"/>
      </w:r>
      <w:bookmarkEnd w:id="70"/>
      <w:bookmarkStart w:id="71" w:name="_Toc21541033"/>
      <w:bookmarkStart w:id="72" w:name="_Toc65915723"/>
    </w:p>
    <w:bookmarkEnd w:id="71"/>
    <w:bookmarkEnd w:id="72"/>
    <w:p>
      <w:pPr>
        <w:jc w:val="center"/>
        <w:rPr>
          <w:rFonts w:ascii="宋体" w:hAnsi="宋体"/>
          <w:b/>
          <w:color w:val="auto"/>
          <w:highlight w:val="none"/>
        </w:rPr>
      </w:pPr>
      <w:bookmarkStart w:id="73" w:name="_Toc65915725"/>
      <w:r>
        <w:rPr>
          <w:rFonts w:hint="eastAsia" w:ascii="宋体" w:hAnsi="宋体"/>
          <w:b/>
          <w:color w:val="auto"/>
          <w:highlight w:val="none"/>
        </w:rPr>
        <w:t>评分索引表（建议放在目录之前）</w:t>
      </w:r>
      <w:bookmarkEnd w:id="73"/>
    </w:p>
    <w:tbl>
      <w:tblPr>
        <w:tblStyle w:val="5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vAlign w:val="top"/>
          </w:tcPr>
          <w:p>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pPr>
              <w:spacing w:line="300" w:lineRule="exact"/>
              <w:rPr>
                <w:rFonts w:ascii="宋体" w:hAnsi="宋体"/>
                <w:color w:val="auto"/>
                <w:szCs w:val="21"/>
                <w:highlight w:val="none"/>
              </w:rPr>
            </w:pPr>
            <w:r>
              <w:rPr>
                <w:rFonts w:hint="eastAsia" w:ascii="宋体" w:hAnsi="宋体"/>
                <w:color w:val="auto"/>
                <w:szCs w:val="21"/>
                <w:highlight w:val="none"/>
              </w:rPr>
              <w:t>分值</w:t>
            </w:r>
          </w:p>
        </w:tc>
        <w:tc>
          <w:tcPr>
            <w:tcW w:w="1715" w:type="dxa"/>
            <w:tcBorders>
              <w:top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自评分</w:t>
            </w:r>
          </w:p>
        </w:tc>
        <w:tc>
          <w:tcPr>
            <w:tcW w:w="1716" w:type="dxa"/>
            <w:tcBorders>
              <w:top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pPr>
        <w:spacing w:line="400" w:lineRule="exact"/>
        <w:rPr>
          <w:rFonts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7"/>
        <w:spacing w:line="360" w:lineRule="auto"/>
        <w:ind w:left="101" w:leftChars="48" w:firstLine="2880" w:firstLineChars="800"/>
        <w:jc w:val="left"/>
        <w:rPr>
          <w:rFonts w:hAnsi="宋体"/>
          <w:color w:val="auto"/>
          <w:sz w:val="36"/>
          <w:szCs w:val="36"/>
          <w:highlight w:val="none"/>
        </w:rPr>
        <w:sectPr>
          <w:headerReference r:id="rId12" w:type="default"/>
          <w:footerReference r:id="rId13" w:type="default"/>
          <w:pgSz w:w="11907" w:h="16840"/>
          <w:pgMar w:top="1247" w:right="1474" w:bottom="1247" w:left="1474" w:header="285" w:footer="990" w:gutter="0"/>
          <w:cols w:space="720" w:num="1"/>
          <w:docGrid w:linePitch="285" w:charSpace="0"/>
        </w:sectPr>
      </w:pPr>
    </w:p>
    <w:tbl>
      <w:tblPr>
        <w:tblStyle w:val="54"/>
        <w:tblW w:w="15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378" w:hRule="atLeast"/>
          <w:jc w:val="center"/>
        </w:trPr>
        <w:tc>
          <w:tcPr>
            <w:tcW w:w="1994"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49"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427" w:hRule="atLeast"/>
          <w:jc w:val="center"/>
        </w:trPr>
        <w:tc>
          <w:tcPr>
            <w:tcW w:w="1994"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highlight w:val="none"/>
              </w:rPr>
            </w:pPr>
          </w:p>
        </w:tc>
        <w:tc>
          <w:tcPr>
            <w:tcW w:w="150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1"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1"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1"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5" w:type="dxa"/>
          <w:trHeight w:val="293" w:hRule="atLeast"/>
          <w:jc w:val="center"/>
        </w:trPr>
        <w:tc>
          <w:tcPr>
            <w:tcW w:w="1994"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4"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1"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4"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1"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widowControl/>
        <w:ind w:firstLine="600" w:firstLineChars="300"/>
        <w:jc w:val="left"/>
        <w:rPr>
          <w:rFonts w:ascii="宋体" w:hAnsi="宋体" w:cs="宋体"/>
          <w:color w:val="auto"/>
          <w:kern w:val="0"/>
          <w:sz w:val="20"/>
          <w:highlight w:val="none"/>
        </w:rPr>
      </w:pPr>
    </w:p>
    <w:bookmarkEnd w:id="74"/>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Univers">
    <w:altName w:val="Segoe Print"/>
    <w:panose1 w:val="020B0603020202030204"/>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BatangChe">
    <w:altName w:val="Malgun Gothic"/>
    <w:panose1 w:val="02030609000101010101"/>
    <w:charset w:val="81"/>
    <w:family w:val="auto"/>
    <w:pitch w:val="default"/>
    <w:sig w:usb0="00000000" w:usb1="00000000" w:usb2="00000030" w:usb3="00000000" w:csb0="4008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Dotum">
    <w:altName w:val="Malgun Gothic"/>
    <w:panose1 w:val="020B0600000101010101"/>
    <w:charset w:val="81"/>
    <w:family w:val="auto"/>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center" w:y="1"/>
      <w:rPr>
        <w:rStyle w:val="48"/>
      </w:rPr>
    </w:pPr>
    <w:r>
      <w:fldChar w:fldCharType="begin"/>
    </w:r>
    <w:r>
      <w:rPr>
        <w:rStyle w:val="48"/>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29</w: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39</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ᎰҘ⮀㍐₀ᘀⲠ㍐鶌㊖ⷠ㍐鷬㊖⸠㍐鳌㊖⹀㍐鳌㊖㋀㍐⃈ᘀ㍠㍐쳐Ҙ㎀㍐ꊐᘀ㏠㍐첸Ҙ㑀㍐ꆸᗧ㨀㍐鶌㊖摬"/>
  </w:docVars>
  <w:rsids>
    <w:rsidRoot w:val="00D719E6"/>
    <w:rsid w:val="000010C9"/>
    <w:rsid w:val="00001728"/>
    <w:rsid w:val="00001A82"/>
    <w:rsid w:val="00002288"/>
    <w:rsid w:val="00002AC5"/>
    <w:rsid w:val="00002B25"/>
    <w:rsid w:val="00003757"/>
    <w:rsid w:val="0000377D"/>
    <w:rsid w:val="000037AD"/>
    <w:rsid w:val="0000380B"/>
    <w:rsid w:val="00003965"/>
    <w:rsid w:val="000039EB"/>
    <w:rsid w:val="00003E11"/>
    <w:rsid w:val="0000592D"/>
    <w:rsid w:val="00005AD2"/>
    <w:rsid w:val="00007D74"/>
    <w:rsid w:val="00007FB4"/>
    <w:rsid w:val="00010292"/>
    <w:rsid w:val="00011313"/>
    <w:rsid w:val="000117A8"/>
    <w:rsid w:val="00011A31"/>
    <w:rsid w:val="00011D37"/>
    <w:rsid w:val="00012585"/>
    <w:rsid w:val="00012F90"/>
    <w:rsid w:val="00013356"/>
    <w:rsid w:val="00013568"/>
    <w:rsid w:val="00013D65"/>
    <w:rsid w:val="0001420C"/>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9F9"/>
    <w:rsid w:val="00041A39"/>
    <w:rsid w:val="00041B3B"/>
    <w:rsid w:val="00042B3F"/>
    <w:rsid w:val="00043099"/>
    <w:rsid w:val="00043143"/>
    <w:rsid w:val="00043490"/>
    <w:rsid w:val="00043715"/>
    <w:rsid w:val="000437D4"/>
    <w:rsid w:val="00044435"/>
    <w:rsid w:val="00044C2D"/>
    <w:rsid w:val="00045CE3"/>
    <w:rsid w:val="00046E19"/>
    <w:rsid w:val="00046F89"/>
    <w:rsid w:val="00047990"/>
    <w:rsid w:val="00050357"/>
    <w:rsid w:val="000510EC"/>
    <w:rsid w:val="00051226"/>
    <w:rsid w:val="00052035"/>
    <w:rsid w:val="00052187"/>
    <w:rsid w:val="0005429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333"/>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4C01"/>
    <w:rsid w:val="000A51D6"/>
    <w:rsid w:val="000A5C01"/>
    <w:rsid w:val="000A78F5"/>
    <w:rsid w:val="000B0BA5"/>
    <w:rsid w:val="000B1619"/>
    <w:rsid w:val="000B1B5F"/>
    <w:rsid w:val="000B1DB7"/>
    <w:rsid w:val="000B2117"/>
    <w:rsid w:val="000B2A47"/>
    <w:rsid w:val="000B32DD"/>
    <w:rsid w:val="000B3E8F"/>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086"/>
    <w:rsid w:val="000C47C8"/>
    <w:rsid w:val="000C509A"/>
    <w:rsid w:val="000C596C"/>
    <w:rsid w:val="000C59C2"/>
    <w:rsid w:val="000C631E"/>
    <w:rsid w:val="000C7792"/>
    <w:rsid w:val="000D0D36"/>
    <w:rsid w:val="000D190D"/>
    <w:rsid w:val="000D24F3"/>
    <w:rsid w:val="000D2D36"/>
    <w:rsid w:val="000D2FE1"/>
    <w:rsid w:val="000D332C"/>
    <w:rsid w:val="000D4FCA"/>
    <w:rsid w:val="000D550B"/>
    <w:rsid w:val="000D5612"/>
    <w:rsid w:val="000D5E11"/>
    <w:rsid w:val="000D5F1A"/>
    <w:rsid w:val="000D6E5C"/>
    <w:rsid w:val="000D766C"/>
    <w:rsid w:val="000D7EB0"/>
    <w:rsid w:val="000E07CB"/>
    <w:rsid w:val="000E16EE"/>
    <w:rsid w:val="000E18B0"/>
    <w:rsid w:val="000E1D05"/>
    <w:rsid w:val="000E2023"/>
    <w:rsid w:val="000E2364"/>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2B"/>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0C0E"/>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6CF"/>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57ED8"/>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414"/>
    <w:rsid w:val="00173821"/>
    <w:rsid w:val="00173A12"/>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649"/>
    <w:rsid w:val="00182B02"/>
    <w:rsid w:val="00182BB0"/>
    <w:rsid w:val="0018342B"/>
    <w:rsid w:val="001837F7"/>
    <w:rsid w:val="00183839"/>
    <w:rsid w:val="001839E6"/>
    <w:rsid w:val="00183D6F"/>
    <w:rsid w:val="001843A4"/>
    <w:rsid w:val="00184796"/>
    <w:rsid w:val="00184CCA"/>
    <w:rsid w:val="00184DDF"/>
    <w:rsid w:val="0018503F"/>
    <w:rsid w:val="0018517A"/>
    <w:rsid w:val="0018517D"/>
    <w:rsid w:val="001854F3"/>
    <w:rsid w:val="001854FC"/>
    <w:rsid w:val="00185801"/>
    <w:rsid w:val="00185FA1"/>
    <w:rsid w:val="0018608B"/>
    <w:rsid w:val="0018614A"/>
    <w:rsid w:val="001865F4"/>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97FB7"/>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53D"/>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468"/>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4D7D"/>
    <w:rsid w:val="001D501E"/>
    <w:rsid w:val="001D50A0"/>
    <w:rsid w:val="001D523E"/>
    <w:rsid w:val="001D65ED"/>
    <w:rsid w:val="001D6DA4"/>
    <w:rsid w:val="001D7120"/>
    <w:rsid w:val="001D799D"/>
    <w:rsid w:val="001D79FA"/>
    <w:rsid w:val="001E1055"/>
    <w:rsid w:val="001E13E5"/>
    <w:rsid w:val="001E1A66"/>
    <w:rsid w:val="001E1A70"/>
    <w:rsid w:val="001E2D66"/>
    <w:rsid w:val="001E383A"/>
    <w:rsid w:val="001E47D7"/>
    <w:rsid w:val="001E4B3F"/>
    <w:rsid w:val="001E4B42"/>
    <w:rsid w:val="001E513B"/>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1F7B44"/>
    <w:rsid w:val="00201011"/>
    <w:rsid w:val="0020120B"/>
    <w:rsid w:val="0020244F"/>
    <w:rsid w:val="00203D07"/>
    <w:rsid w:val="00204A27"/>
    <w:rsid w:val="00204CB4"/>
    <w:rsid w:val="002059B6"/>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391E"/>
    <w:rsid w:val="00214056"/>
    <w:rsid w:val="0021517E"/>
    <w:rsid w:val="00215858"/>
    <w:rsid w:val="00216171"/>
    <w:rsid w:val="00216684"/>
    <w:rsid w:val="00216ACC"/>
    <w:rsid w:val="00217322"/>
    <w:rsid w:val="00220149"/>
    <w:rsid w:val="002201DB"/>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27ABD"/>
    <w:rsid w:val="002305FF"/>
    <w:rsid w:val="00230BBD"/>
    <w:rsid w:val="00230F5B"/>
    <w:rsid w:val="00231710"/>
    <w:rsid w:val="002327D0"/>
    <w:rsid w:val="002329AA"/>
    <w:rsid w:val="00233797"/>
    <w:rsid w:val="00233995"/>
    <w:rsid w:val="002342A7"/>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154"/>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4EA"/>
    <w:rsid w:val="002529CD"/>
    <w:rsid w:val="00252A15"/>
    <w:rsid w:val="00252B92"/>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2E9"/>
    <w:rsid w:val="00267A1C"/>
    <w:rsid w:val="002707BB"/>
    <w:rsid w:val="00272284"/>
    <w:rsid w:val="00272827"/>
    <w:rsid w:val="00272DD0"/>
    <w:rsid w:val="002739A0"/>
    <w:rsid w:val="00273BF6"/>
    <w:rsid w:val="002750FD"/>
    <w:rsid w:val="002761E0"/>
    <w:rsid w:val="002765CF"/>
    <w:rsid w:val="00276C1B"/>
    <w:rsid w:val="002779BA"/>
    <w:rsid w:val="00277C3C"/>
    <w:rsid w:val="002804F4"/>
    <w:rsid w:val="002806E5"/>
    <w:rsid w:val="002807FE"/>
    <w:rsid w:val="00281E4A"/>
    <w:rsid w:val="00281E7F"/>
    <w:rsid w:val="002823A4"/>
    <w:rsid w:val="00282A40"/>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6DA"/>
    <w:rsid w:val="00295D6D"/>
    <w:rsid w:val="002963A6"/>
    <w:rsid w:val="00296B76"/>
    <w:rsid w:val="00297B92"/>
    <w:rsid w:val="00297BAA"/>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73B"/>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A81"/>
    <w:rsid w:val="002E2D83"/>
    <w:rsid w:val="002E3040"/>
    <w:rsid w:val="002E3CA2"/>
    <w:rsid w:val="002E4FFA"/>
    <w:rsid w:val="002E5AA7"/>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2C99"/>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141"/>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2A2C"/>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303"/>
    <w:rsid w:val="00343640"/>
    <w:rsid w:val="00343815"/>
    <w:rsid w:val="00343C82"/>
    <w:rsid w:val="00343E74"/>
    <w:rsid w:val="003444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4B90"/>
    <w:rsid w:val="0035560F"/>
    <w:rsid w:val="00355752"/>
    <w:rsid w:val="0035578E"/>
    <w:rsid w:val="00355F9F"/>
    <w:rsid w:val="003563F4"/>
    <w:rsid w:val="003569B8"/>
    <w:rsid w:val="00357294"/>
    <w:rsid w:val="00357508"/>
    <w:rsid w:val="003605F2"/>
    <w:rsid w:val="003619CE"/>
    <w:rsid w:val="00361D37"/>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15AB"/>
    <w:rsid w:val="003721E4"/>
    <w:rsid w:val="0037256E"/>
    <w:rsid w:val="00372DB9"/>
    <w:rsid w:val="00372F1D"/>
    <w:rsid w:val="00373369"/>
    <w:rsid w:val="00373AB6"/>
    <w:rsid w:val="00373C35"/>
    <w:rsid w:val="00374082"/>
    <w:rsid w:val="0037468C"/>
    <w:rsid w:val="0037480B"/>
    <w:rsid w:val="00374D26"/>
    <w:rsid w:val="00374F02"/>
    <w:rsid w:val="0037594D"/>
    <w:rsid w:val="00375A68"/>
    <w:rsid w:val="00376205"/>
    <w:rsid w:val="003762F7"/>
    <w:rsid w:val="003765FA"/>
    <w:rsid w:val="00376B09"/>
    <w:rsid w:val="00376F95"/>
    <w:rsid w:val="00377118"/>
    <w:rsid w:val="003777DC"/>
    <w:rsid w:val="003779B8"/>
    <w:rsid w:val="00377B83"/>
    <w:rsid w:val="00377C39"/>
    <w:rsid w:val="00377CD9"/>
    <w:rsid w:val="0038008F"/>
    <w:rsid w:val="003806D3"/>
    <w:rsid w:val="0038085B"/>
    <w:rsid w:val="00380C50"/>
    <w:rsid w:val="00381439"/>
    <w:rsid w:val="00381E97"/>
    <w:rsid w:val="00381ED9"/>
    <w:rsid w:val="0038229E"/>
    <w:rsid w:val="003831E2"/>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54C"/>
    <w:rsid w:val="003927F9"/>
    <w:rsid w:val="00392FA6"/>
    <w:rsid w:val="00393080"/>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B9C"/>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398"/>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3538"/>
    <w:rsid w:val="003D4367"/>
    <w:rsid w:val="003D52A8"/>
    <w:rsid w:val="003D5CA9"/>
    <w:rsid w:val="003D5D8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E7053"/>
    <w:rsid w:val="003F04D7"/>
    <w:rsid w:val="003F08F1"/>
    <w:rsid w:val="003F0AEF"/>
    <w:rsid w:val="003F2594"/>
    <w:rsid w:val="003F25DC"/>
    <w:rsid w:val="003F2D13"/>
    <w:rsid w:val="003F2EB2"/>
    <w:rsid w:val="003F2FB9"/>
    <w:rsid w:val="003F2FDF"/>
    <w:rsid w:val="003F3D6B"/>
    <w:rsid w:val="003F4306"/>
    <w:rsid w:val="003F4D54"/>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3EDB"/>
    <w:rsid w:val="00444B20"/>
    <w:rsid w:val="00445448"/>
    <w:rsid w:val="00446870"/>
    <w:rsid w:val="00446C56"/>
    <w:rsid w:val="00446CE9"/>
    <w:rsid w:val="004508B0"/>
    <w:rsid w:val="00450C96"/>
    <w:rsid w:val="00451850"/>
    <w:rsid w:val="00452121"/>
    <w:rsid w:val="004526A4"/>
    <w:rsid w:val="00452E92"/>
    <w:rsid w:val="0045336C"/>
    <w:rsid w:val="0045380F"/>
    <w:rsid w:val="0045385F"/>
    <w:rsid w:val="00453AB9"/>
    <w:rsid w:val="00453EA5"/>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4D5"/>
    <w:rsid w:val="00476F35"/>
    <w:rsid w:val="00480924"/>
    <w:rsid w:val="00481546"/>
    <w:rsid w:val="00482053"/>
    <w:rsid w:val="00482425"/>
    <w:rsid w:val="00483016"/>
    <w:rsid w:val="004836A3"/>
    <w:rsid w:val="00484E4A"/>
    <w:rsid w:val="00485283"/>
    <w:rsid w:val="00486DBE"/>
    <w:rsid w:val="004874D1"/>
    <w:rsid w:val="00487569"/>
    <w:rsid w:val="00487570"/>
    <w:rsid w:val="004879D6"/>
    <w:rsid w:val="00487D21"/>
    <w:rsid w:val="00490140"/>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0660"/>
    <w:rsid w:val="004B06D8"/>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826"/>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62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188"/>
    <w:rsid w:val="00530680"/>
    <w:rsid w:val="00530800"/>
    <w:rsid w:val="0053088E"/>
    <w:rsid w:val="00530B25"/>
    <w:rsid w:val="00531072"/>
    <w:rsid w:val="005310D8"/>
    <w:rsid w:val="005317C2"/>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A74"/>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98"/>
    <w:rsid w:val="00554CFA"/>
    <w:rsid w:val="0055556E"/>
    <w:rsid w:val="00556401"/>
    <w:rsid w:val="0055707C"/>
    <w:rsid w:val="00557E0F"/>
    <w:rsid w:val="0056054A"/>
    <w:rsid w:val="0056056A"/>
    <w:rsid w:val="00560B7C"/>
    <w:rsid w:val="00560F5E"/>
    <w:rsid w:val="00561255"/>
    <w:rsid w:val="00562CEC"/>
    <w:rsid w:val="00563167"/>
    <w:rsid w:val="00563A9C"/>
    <w:rsid w:val="00563AAB"/>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7A2"/>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133"/>
    <w:rsid w:val="005A4495"/>
    <w:rsid w:val="005A45AF"/>
    <w:rsid w:val="005A46CA"/>
    <w:rsid w:val="005A486C"/>
    <w:rsid w:val="005A495D"/>
    <w:rsid w:val="005A4983"/>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A62"/>
    <w:rsid w:val="005B3B51"/>
    <w:rsid w:val="005B4539"/>
    <w:rsid w:val="005B4D4F"/>
    <w:rsid w:val="005B4EDC"/>
    <w:rsid w:val="005B56B6"/>
    <w:rsid w:val="005B5858"/>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75"/>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1B09"/>
    <w:rsid w:val="005E1D79"/>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211"/>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06FA4"/>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1EC6"/>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4F72"/>
    <w:rsid w:val="00635353"/>
    <w:rsid w:val="00636535"/>
    <w:rsid w:val="006371C3"/>
    <w:rsid w:val="00640052"/>
    <w:rsid w:val="00640068"/>
    <w:rsid w:val="00640994"/>
    <w:rsid w:val="00641391"/>
    <w:rsid w:val="00641624"/>
    <w:rsid w:val="00641B3A"/>
    <w:rsid w:val="00642276"/>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C50"/>
    <w:rsid w:val="00654D85"/>
    <w:rsid w:val="0065510B"/>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1FF6"/>
    <w:rsid w:val="0067314B"/>
    <w:rsid w:val="006740E1"/>
    <w:rsid w:val="006741E7"/>
    <w:rsid w:val="006743E0"/>
    <w:rsid w:val="00674C12"/>
    <w:rsid w:val="006757CE"/>
    <w:rsid w:val="00676063"/>
    <w:rsid w:val="00676813"/>
    <w:rsid w:val="00676A57"/>
    <w:rsid w:val="0067702D"/>
    <w:rsid w:val="0067710C"/>
    <w:rsid w:val="00677F71"/>
    <w:rsid w:val="00680569"/>
    <w:rsid w:val="006805EA"/>
    <w:rsid w:val="0068073D"/>
    <w:rsid w:val="00680A8F"/>
    <w:rsid w:val="00680F9E"/>
    <w:rsid w:val="00680FAC"/>
    <w:rsid w:val="0068217A"/>
    <w:rsid w:val="0068246A"/>
    <w:rsid w:val="00682BCE"/>
    <w:rsid w:val="006833D6"/>
    <w:rsid w:val="00684097"/>
    <w:rsid w:val="00684B8C"/>
    <w:rsid w:val="00685C26"/>
    <w:rsid w:val="006864DE"/>
    <w:rsid w:val="00686C89"/>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E78"/>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345"/>
    <w:rsid w:val="006D2C91"/>
    <w:rsid w:val="006D2E3E"/>
    <w:rsid w:val="006D39E6"/>
    <w:rsid w:val="006D4107"/>
    <w:rsid w:val="006D4A09"/>
    <w:rsid w:val="006D5742"/>
    <w:rsid w:val="006D6426"/>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5C3A"/>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09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070A4"/>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208"/>
    <w:rsid w:val="007554F5"/>
    <w:rsid w:val="00755519"/>
    <w:rsid w:val="00755D9E"/>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F0D"/>
    <w:rsid w:val="0078064D"/>
    <w:rsid w:val="00780C3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0B6"/>
    <w:rsid w:val="007949F3"/>
    <w:rsid w:val="00794A98"/>
    <w:rsid w:val="00795175"/>
    <w:rsid w:val="007953EE"/>
    <w:rsid w:val="00795C2F"/>
    <w:rsid w:val="00796586"/>
    <w:rsid w:val="0079789F"/>
    <w:rsid w:val="007978FF"/>
    <w:rsid w:val="00797FC1"/>
    <w:rsid w:val="007A18B4"/>
    <w:rsid w:val="007A1DCB"/>
    <w:rsid w:val="007A21DD"/>
    <w:rsid w:val="007A222D"/>
    <w:rsid w:val="007A22D1"/>
    <w:rsid w:val="007A2956"/>
    <w:rsid w:val="007A2ABE"/>
    <w:rsid w:val="007A2BC3"/>
    <w:rsid w:val="007A2C9E"/>
    <w:rsid w:val="007A2D06"/>
    <w:rsid w:val="007A322F"/>
    <w:rsid w:val="007A3BEB"/>
    <w:rsid w:val="007A418C"/>
    <w:rsid w:val="007A43D6"/>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D6F"/>
    <w:rsid w:val="007C2E96"/>
    <w:rsid w:val="007C32B9"/>
    <w:rsid w:val="007C33D7"/>
    <w:rsid w:val="007C3719"/>
    <w:rsid w:val="007C374A"/>
    <w:rsid w:val="007C3BAD"/>
    <w:rsid w:val="007C4A5F"/>
    <w:rsid w:val="007C5CFB"/>
    <w:rsid w:val="007C5F2F"/>
    <w:rsid w:val="007C78B4"/>
    <w:rsid w:val="007C78FF"/>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BA2"/>
    <w:rsid w:val="007E41C2"/>
    <w:rsid w:val="007E43AF"/>
    <w:rsid w:val="007E43F8"/>
    <w:rsid w:val="007E4C62"/>
    <w:rsid w:val="007E5D42"/>
    <w:rsid w:val="007E5DAF"/>
    <w:rsid w:val="007E637A"/>
    <w:rsid w:val="007E68BF"/>
    <w:rsid w:val="007F1278"/>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C42"/>
    <w:rsid w:val="00807B0F"/>
    <w:rsid w:val="00807BC1"/>
    <w:rsid w:val="00807C5A"/>
    <w:rsid w:val="00810FDC"/>
    <w:rsid w:val="008113B0"/>
    <w:rsid w:val="008114AA"/>
    <w:rsid w:val="008122FD"/>
    <w:rsid w:val="0081304D"/>
    <w:rsid w:val="00813F10"/>
    <w:rsid w:val="00814B71"/>
    <w:rsid w:val="00814B8A"/>
    <w:rsid w:val="00814F1E"/>
    <w:rsid w:val="0081566C"/>
    <w:rsid w:val="008165AE"/>
    <w:rsid w:val="00816846"/>
    <w:rsid w:val="00817233"/>
    <w:rsid w:val="00817371"/>
    <w:rsid w:val="008173DD"/>
    <w:rsid w:val="00817A9B"/>
    <w:rsid w:val="00820A2A"/>
    <w:rsid w:val="008219F9"/>
    <w:rsid w:val="00821D65"/>
    <w:rsid w:val="00821EED"/>
    <w:rsid w:val="00822327"/>
    <w:rsid w:val="00822A3E"/>
    <w:rsid w:val="00822B95"/>
    <w:rsid w:val="00822BEF"/>
    <w:rsid w:val="00824794"/>
    <w:rsid w:val="00824900"/>
    <w:rsid w:val="00824DB5"/>
    <w:rsid w:val="00824FC2"/>
    <w:rsid w:val="008252EA"/>
    <w:rsid w:val="00825CF0"/>
    <w:rsid w:val="00825DD2"/>
    <w:rsid w:val="0082608A"/>
    <w:rsid w:val="00826419"/>
    <w:rsid w:val="008309B6"/>
    <w:rsid w:val="00830E8A"/>
    <w:rsid w:val="00831067"/>
    <w:rsid w:val="00831183"/>
    <w:rsid w:val="00831647"/>
    <w:rsid w:val="00831817"/>
    <w:rsid w:val="008319B5"/>
    <w:rsid w:val="00831F82"/>
    <w:rsid w:val="00832304"/>
    <w:rsid w:val="008324BE"/>
    <w:rsid w:val="0083281F"/>
    <w:rsid w:val="00832AEF"/>
    <w:rsid w:val="008331A8"/>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1B5"/>
    <w:rsid w:val="008435BB"/>
    <w:rsid w:val="00844BC0"/>
    <w:rsid w:val="0084510B"/>
    <w:rsid w:val="00845298"/>
    <w:rsid w:val="00845AF3"/>
    <w:rsid w:val="00845B9F"/>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D8A"/>
    <w:rsid w:val="00862E95"/>
    <w:rsid w:val="00864F1E"/>
    <w:rsid w:val="00865870"/>
    <w:rsid w:val="00867143"/>
    <w:rsid w:val="0086742B"/>
    <w:rsid w:val="00870528"/>
    <w:rsid w:val="008708E1"/>
    <w:rsid w:val="008710DC"/>
    <w:rsid w:val="008711D2"/>
    <w:rsid w:val="00871BA0"/>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01A"/>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3F9C"/>
    <w:rsid w:val="00894111"/>
    <w:rsid w:val="00894896"/>
    <w:rsid w:val="00894C87"/>
    <w:rsid w:val="00894DE8"/>
    <w:rsid w:val="00895477"/>
    <w:rsid w:val="00895D7E"/>
    <w:rsid w:val="00895F70"/>
    <w:rsid w:val="0089683D"/>
    <w:rsid w:val="00897DD4"/>
    <w:rsid w:val="008A067B"/>
    <w:rsid w:val="008A0AB7"/>
    <w:rsid w:val="008A1154"/>
    <w:rsid w:val="008A137C"/>
    <w:rsid w:val="008A1C7F"/>
    <w:rsid w:val="008A245A"/>
    <w:rsid w:val="008A26B3"/>
    <w:rsid w:val="008A2B1A"/>
    <w:rsid w:val="008A2DA3"/>
    <w:rsid w:val="008A3023"/>
    <w:rsid w:val="008A31FB"/>
    <w:rsid w:val="008A33B1"/>
    <w:rsid w:val="008A5C4D"/>
    <w:rsid w:val="008A63D7"/>
    <w:rsid w:val="008A64E9"/>
    <w:rsid w:val="008A6D51"/>
    <w:rsid w:val="008A6DA8"/>
    <w:rsid w:val="008A745F"/>
    <w:rsid w:val="008A7BBF"/>
    <w:rsid w:val="008A7D00"/>
    <w:rsid w:val="008B0EB6"/>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08A8"/>
    <w:rsid w:val="008D1552"/>
    <w:rsid w:val="008D1AD9"/>
    <w:rsid w:val="008D1E10"/>
    <w:rsid w:val="008D1EB3"/>
    <w:rsid w:val="008D2A79"/>
    <w:rsid w:val="008D2E02"/>
    <w:rsid w:val="008D3C32"/>
    <w:rsid w:val="008D3D51"/>
    <w:rsid w:val="008D4594"/>
    <w:rsid w:val="008D4D38"/>
    <w:rsid w:val="008D54E3"/>
    <w:rsid w:val="008D5A4A"/>
    <w:rsid w:val="008D61EE"/>
    <w:rsid w:val="008D6C4B"/>
    <w:rsid w:val="008D72F1"/>
    <w:rsid w:val="008E0342"/>
    <w:rsid w:val="008E0DE0"/>
    <w:rsid w:val="008E1667"/>
    <w:rsid w:val="008E1991"/>
    <w:rsid w:val="008E1A52"/>
    <w:rsid w:val="008E1E6F"/>
    <w:rsid w:val="008E2A5D"/>
    <w:rsid w:val="008E3589"/>
    <w:rsid w:val="008E380B"/>
    <w:rsid w:val="008E383C"/>
    <w:rsid w:val="008E388F"/>
    <w:rsid w:val="008E43EB"/>
    <w:rsid w:val="008E5134"/>
    <w:rsid w:val="008E5BE0"/>
    <w:rsid w:val="008E63C7"/>
    <w:rsid w:val="008E71BA"/>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8F7EF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3D05"/>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7C3"/>
    <w:rsid w:val="00925C18"/>
    <w:rsid w:val="00927066"/>
    <w:rsid w:val="0092728E"/>
    <w:rsid w:val="0093150A"/>
    <w:rsid w:val="00931776"/>
    <w:rsid w:val="00932FB6"/>
    <w:rsid w:val="0093374B"/>
    <w:rsid w:val="00933C3F"/>
    <w:rsid w:val="00934DB6"/>
    <w:rsid w:val="00935041"/>
    <w:rsid w:val="00935928"/>
    <w:rsid w:val="00936631"/>
    <w:rsid w:val="0093687D"/>
    <w:rsid w:val="00936BB4"/>
    <w:rsid w:val="00936C0A"/>
    <w:rsid w:val="00936CB6"/>
    <w:rsid w:val="00936CBC"/>
    <w:rsid w:val="009371B3"/>
    <w:rsid w:val="00937735"/>
    <w:rsid w:val="00937838"/>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227"/>
    <w:rsid w:val="009535E3"/>
    <w:rsid w:val="00953602"/>
    <w:rsid w:val="00954229"/>
    <w:rsid w:val="009545A3"/>
    <w:rsid w:val="009546A9"/>
    <w:rsid w:val="009551F2"/>
    <w:rsid w:val="00955245"/>
    <w:rsid w:val="0095528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5B4B"/>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395"/>
    <w:rsid w:val="00984DD5"/>
    <w:rsid w:val="0098532F"/>
    <w:rsid w:val="00985864"/>
    <w:rsid w:val="009858CF"/>
    <w:rsid w:val="00985AAD"/>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3B6B"/>
    <w:rsid w:val="009A4249"/>
    <w:rsid w:val="009A47DB"/>
    <w:rsid w:val="009A511B"/>
    <w:rsid w:val="009A5EBE"/>
    <w:rsid w:val="009A6307"/>
    <w:rsid w:val="009A63F9"/>
    <w:rsid w:val="009A6A93"/>
    <w:rsid w:val="009A6AA5"/>
    <w:rsid w:val="009A6E11"/>
    <w:rsid w:val="009A7892"/>
    <w:rsid w:val="009A7F8E"/>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0B55"/>
    <w:rsid w:val="009E10CA"/>
    <w:rsid w:val="009E155F"/>
    <w:rsid w:val="009E160D"/>
    <w:rsid w:val="009E1A51"/>
    <w:rsid w:val="009E25D0"/>
    <w:rsid w:val="009E2B26"/>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98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7FB"/>
    <w:rsid w:val="00A018DB"/>
    <w:rsid w:val="00A01DAD"/>
    <w:rsid w:val="00A02130"/>
    <w:rsid w:val="00A02350"/>
    <w:rsid w:val="00A0242A"/>
    <w:rsid w:val="00A025A0"/>
    <w:rsid w:val="00A02DBB"/>
    <w:rsid w:val="00A02E08"/>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1F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0B11"/>
    <w:rsid w:val="00A31B3C"/>
    <w:rsid w:val="00A31C77"/>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AFE"/>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146"/>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0FC4"/>
    <w:rsid w:val="00A60FD8"/>
    <w:rsid w:val="00A61BB0"/>
    <w:rsid w:val="00A62B12"/>
    <w:rsid w:val="00A631C3"/>
    <w:rsid w:val="00A63248"/>
    <w:rsid w:val="00A6371C"/>
    <w:rsid w:val="00A63DD3"/>
    <w:rsid w:val="00A642B4"/>
    <w:rsid w:val="00A64FBC"/>
    <w:rsid w:val="00A66107"/>
    <w:rsid w:val="00A66F40"/>
    <w:rsid w:val="00A66F46"/>
    <w:rsid w:val="00A66FF4"/>
    <w:rsid w:val="00A67789"/>
    <w:rsid w:val="00A6791D"/>
    <w:rsid w:val="00A7027F"/>
    <w:rsid w:val="00A705C7"/>
    <w:rsid w:val="00A7064D"/>
    <w:rsid w:val="00A71BC1"/>
    <w:rsid w:val="00A71C8B"/>
    <w:rsid w:val="00A71F66"/>
    <w:rsid w:val="00A7249D"/>
    <w:rsid w:val="00A72579"/>
    <w:rsid w:val="00A72AB3"/>
    <w:rsid w:val="00A72CB3"/>
    <w:rsid w:val="00A734C0"/>
    <w:rsid w:val="00A73D0A"/>
    <w:rsid w:val="00A741F5"/>
    <w:rsid w:val="00A7450C"/>
    <w:rsid w:val="00A74A1B"/>
    <w:rsid w:val="00A755B7"/>
    <w:rsid w:val="00A80294"/>
    <w:rsid w:val="00A806F1"/>
    <w:rsid w:val="00A80BB5"/>
    <w:rsid w:val="00A818A9"/>
    <w:rsid w:val="00A81C9B"/>
    <w:rsid w:val="00A81D07"/>
    <w:rsid w:val="00A823E3"/>
    <w:rsid w:val="00A83204"/>
    <w:rsid w:val="00A83CD9"/>
    <w:rsid w:val="00A83D59"/>
    <w:rsid w:val="00A83FB5"/>
    <w:rsid w:val="00A847E6"/>
    <w:rsid w:val="00A8496C"/>
    <w:rsid w:val="00A84E4D"/>
    <w:rsid w:val="00A87C75"/>
    <w:rsid w:val="00A9060A"/>
    <w:rsid w:val="00A90B73"/>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6D"/>
    <w:rsid w:val="00AA3CEF"/>
    <w:rsid w:val="00AA41C1"/>
    <w:rsid w:val="00AA436D"/>
    <w:rsid w:val="00AA5AA1"/>
    <w:rsid w:val="00AA6F07"/>
    <w:rsid w:val="00AA73CD"/>
    <w:rsid w:val="00AA7499"/>
    <w:rsid w:val="00AA79E3"/>
    <w:rsid w:val="00AA7D18"/>
    <w:rsid w:val="00AA7D9C"/>
    <w:rsid w:val="00AB005B"/>
    <w:rsid w:val="00AB0938"/>
    <w:rsid w:val="00AB14A1"/>
    <w:rsid w:val="00AB177E"/>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251A"/>
    <w:rsid w:val="00AC37FA"/>
    <w:rsid w:val="00AC3DCB"/>
    <w:rsid w:val="00AC4026"/>
    <w:rsid w:val="00AC4072"/>
    <w:rsid w:val="00AC4288"/>
    <w:rsid w:val="00AC48E4"/>
    <w:rsid w:val="00AC4DBB"/>
    <w:rsid w:val="00AC56EE"/>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5735"/>
    <w:rsid w:val="00AD6508"/>
    <w:rsid w:val="00AD68EF"/>
    <w:rsid w:val="00AD69F5"/>
    <w:rsid w:val="00AD7E6C"/>
    <w:rsid w:val="00AE0214"/>
    <w:rsid w:val="00AE02BC"/>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4E5"/>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1185"/>
    <w:rsid w:val="00B22B65"/>
    <w:rsid w:val="00B23168"/>
    <w:rsid w:val="00B236E8"/>
    <w:rsid w:val="00B239A9"/>
    <w:rsid w:val="00B23AA5"/>
    <w:rsid w:val="00B24039"/>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37E4"/>
    <w:rsid w:val="00B340EF"/>
    <w:rsid w:val="00B34638"/>
    <w:rsid w:val="00B3477D"/>
    <w:rsid w:val="00B3480B"/>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6064"/>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8744A"/>
    <w:rsid w:val="00B904F9"/>
    <w:rsid w:val="00B90EA1"/>
    <w:rsid w:val="00B910A1"/>
    <w:rsid w:val="00B91436"/>
    <w:rsid w:val="00B91782"/>
    <w:rsid w:val="00B921E7"/>
    <w:rsid w:val="00B925EE"/>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265"/>
    <w:rsid w:val="00BA762E"/>
    <w:rsid w:val="00BA7D7B"/>
    <w:rsid w:val="00BB06C9"/>
    <w:rsid w:val="00BB090D"/>
    <w:rsid w:val="00BB09C3"/>
    <w:rsid w:val="00BB0A9D"/>
    <w:rsid w:val="00BB0EEF"/>
    <w:rsid w:val="00BB0FAE"/>
    <w:rsid w:val="00BB17D5"/>
    <w:rsid w:val="00BB1914"/>
    <w:rsid w:val="00BB2294"/>
    <w:rsid w:val="00BB29FC"/>
    <w:rsid w:val="00BB2BD9"/>
    <w:rsid w:val="00BB3C2D"/>
    <w:rsid w:val="00BB47ED"/>
    <w:rsid w:val="00BB714A"/>
    <w:rsid w:val="00BB7E3D"/>
    <w:rsid w:val="00BC0CC5"/>
    <w:rsid w:val="00BC0E11"/>
    <w:rsid w:val="00BC0F69"/>
    <w:rsid w:val="00BC1037"/>
    <w:rsid w:val="00BC1B49"/>
    <w:rsid w:val="00BC2CD0"/>
    <w:rsid w:val="00BC365C"/>
    <w:rsid w:val="00BC4C4D"/>
    <w:rsid w:val="00BC4DAF"/>
    <w:rsid w:val="00BC5005"/>
    <w:rsid w:val="00BC6022"/>
    <w:rsid w:val="00BC62CF"/>
    <w:rsid w:val="00BC637B"/>
    <w:rsid w:val="00BC6F53"/>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5E06"/>
    <w:rsid w:val="00BF6210"/>
    <w:rsid w:val="00BF6FF7"/>
    <w:rsid w:val="00BF7044"/>
    <w:rsid w:val="00BF7132"/>
    <w:rsid w:val="00BF7202"/>
    <w:rsid w:val="00C00DD2"/>
    <w:rsid w:val="00C00E0D"/>
    <w:rsid w:val="00C00EAB"/>
    <w:rsid w:val="00C02164"/>
    <w:rsid w:val="00C02B6B"/>
    <w:rsid w:val="00C03181"/>
    <w:rsid w:val="00C0323A"/>
    <w:rsid w:val="00C034FE"/>
    <w:rsid w:val="00C039C6"/>
    <w:rsid w:val="00C04005"/>
    <w:rsid w:val="00C04347"/>
    <w:rsid w:val="00C045DE"/>
    <w:rsid w:val="00C04F94"/>
    <w:rsid w:val="00C051D1"/>
    <w:rsid w:val="00C065A5"/>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38D"/>
    <w:rsid w:val="00C26A67"/>
    <w:rsid w:val="00C27C89"/>
    <w:rsid w:val="00C27E35"/>
    <w:rsid w:val="00C3052F"/>
    <w:rsid w:val="00C31E6E"/>
    <w:rsid w:val="00C321DB"/>
    <w:rsid w:val="00C32664"/>
    <w:rsid w:val="00C3316D"/>
    <w:rsid w:val="00C332B3"/>
    <w:rsid w:val="00C33C90"/>
    <w:rsid w:val="00C3430C"/>
    <w:rsid w:val="00C34877"/>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0AB1"/>
    <w:rsid w:val="00C6142B"/>
    <w:rsid w:val="00C6146E"/>
    <w:rsid w:val="00C6170D"/>
    <w:rsid w:val="00C62193"/>
    <w:rsid w:val="00C62842"/>
    <w:rsid w:val="00C62A10"/>
    <w:rsid w:val="00C62FBD"/>
    <w:rsid w:val="00C63653"/>
    <w:rsid w:val="00C636DE"/>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6BD4"/>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656"/>
    <w:rsid w:val="00C849D6"/>
    <w:rsid w:val="00C84C73"/>
    <w:rsid w:val="00C84EE8"/>
    <w:rsid w:val="00C85716"/>
    <w:rsid w:val="00C8682B"/>
    <w:rsid w:val="00C86F06"/>
    <w:rsid w:val="00C870C6"/>
    <w:rsid w:val="00C875AA"/>
    <w:rsid w:val="00C87B96"/>
    <w:rsid w:val="00C87CE5"/>
    <w:rsid w:val="00C87F48"/>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333"/>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BF"/>
    <w:rsid w:val="00CC28C3"/>
    <w:rsid w:val="00CC2BD8"/>
    <w:rsid w:val="00CC2D27"/>
    <w:rsid w:val="00CC307C"/>
    <w:rsid w:val="00CC32F6"/>
    <w:rsid w:val="00CC49E3"/>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4DC6"/>
    <w:rsid w:val="00CD5159"/>
    <w:rsid w:val="00CD51F7"/>
    <w:rsid w:val="00CD5F67"/>
    <w:rsid w:val="00CD67C4"/>
    <w:rsid w:val="00CD6C10"/>
    <w:rsid w:val="00CD71B4"/>
    <w:rsid w:val="00CD7766"/>
    <w:rsid w:val="00CD7B89"/>
    <w:rsid w:val="00CE080D"/>
    <w:rsid w:val="00CE0DE1"/>
    <w:rsid w:val="00CE1D5E"/>
    <w:rsid w:val="00CE3F47"/>
    <w:rsid w:val="00CE63F6"/>
    <w:rsid w:val="00CE6AE0"/>
    <w:rsid w:val="00CE6CAE"/>
    <w:rsid w:val="00CE72FD"/>
    <w:rsid w:val="00CE7678"/>
    <w:rsid w:val="00CE792A"/>
    <w:rsid w:val="00CE7C23"/>
    <w:rsid w:val="00CF04C3"/>
    <w:rsid w:val="00CF06E5"/>
    <w:rsid w:val="00CF07F5"/>
    <w:rsid w:val="00CF0D08"/>
    <w:rsid w:val="00CF2721"/>
    <w:rsid w:val="00CF2C4F"/>
    <w:rsid w:val="00CF31E0"/>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5DC0"/>
    <w:rsid w:val="00D063CE"/>
    <w:rsid w:val="00D070FE"/>
    <w:rsid w:val="00D07887"/>
    <w:rsid w:val="00D07D9A"/>
    <w:rsid w:val="00D104E8"/>
    <w:rsid w:val="00D1056B"/>
    <w:rsid w:val="00D109D9"/>
    <w:rsid w:val="00D119E2"/>
    <w:rsid w:val="00D12B33"/>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A34"/>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6F70"/>
    <w:rsid w:val="00D37703"/>
    <w:rsid w:val="00D40A33"/>
    <w:rsid w:val="00D40AED"/>
    <w:rsid w:val="00D4165C"/>
    <w:rsid w:val="00D419C6"/>
    <w:rsid w:val="00D4262E"/>
    <w:rsid w:val="00D4333A"/>
    <w:rsid w:val="00D43497"/>
    <w:rsid w:val="00D43788"/>
    <w:rsid w:val="00D43CB3"/>
    <w:rsid w:val="00D448A5"/>
    <w:rsid w:val="00D44B89"/>
    <w:rsid w:val="00D44EAC"/>
    <w:rsid w:val="00D45D31"/>
    <w:rsid w:val="00D46F90"/>
    <w:rsid w:val="00D47877"/>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552"/>
    <w:rsid w:val="00D62B3D"/>
    <w:rsid w:val="00D630DD"/>
    <w:rsid w:val="00D6313F"/>
    <w:rsid w:val="00D633F0"/>
    <w:rsid w:val="00D63B66"/>
    <w:rsid w:val="00D64005"/>
    <w:rsid w:val="00D64963"/>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1DF9"/>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2AFF"/>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F53"/>
    <w:rsid w:val="00DB30DD"/>
    <w:rsid w:val="00DB31F2"/>
    <w:rsid w:val="00DB368A"/>
    <w:rsid w:val="00DB3B8A"/>
    <w:rsid w:val="00DB4BBE"/>
    <w:rsid w:val="00DB5644"/>
    <w:rsid w:val="00DB594F"/>
    <w:rsid w:val="00DB595B"/>
    <w:rsid w:val="00DB5D7B"/>
    <w:rsid w:val="00DB6659"/>
    <w:rsid w:val="00DB6CB1"/>
    <w:rsid w:val="00DB7323"/>
    <w:rsid w:val="00DB7710"/>
    <w:rsid w:val="00DC05CE"/>
    <w:rsid w:val="00DC0723"/>
    <w:rsid w:val="00DC088D"/>
    <w:rsid w:val="00DC0ED0"/>
    <w:rsid w:val="00DC2873"/>
    <w:rsid w:val="00DC2B8A"/>
    <w:rsid w:val="00DC2D7F"/>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1FF2"/>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03E"/>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2CEB"/>
    <w:rsid w:val="00DF31CF"/>
    <w:rsid w:val="00DF344B"/>
    <w:rsid w:val="00DF3CCE"/>
    <w:rsid w:val="00DF4035"/>
    <w:rsid w:val="00DF4277"/>
    <w:rsid w:val="00DF46AB"/>
    <w:rsid w:val="00DF4E7F"/>
    <w:rsid w:val="00DF4FAA"/>
    <w:rsid w:val="00DF5F90"/>
    <w:rsid w:val="00DF65B6"/>
    <w:rsid w:val="00DF67D6"/>
    <w:rsid w:val="00DF700F"/>
    <w:rsid w:val="00DF7350"/>
    <w:rsid w:val="00DF7DDB"/>
    <w:rsid w:val="00DF7F9A"/>
    <w:rsid w:val="00E00313"/>
    <w:rsid w:val="00E00FC2"/>
    <w:rsid w:val="00E0102C"/>
    <w:rsid w:val="00E03036"/>
    <w:rsid w:val="00E036D4"/>
    <w:rsid w:val="00E03E4F"/>
    <w:rsid w:val="00E03E74"/>
    <w:rsid w:val="00E042B1"/>
    <w:rsid w:val="00E049CC"/>
    <w:rsid w:val="00E04AD1"/>
    <w:rsid w:val="00E04B37"/>
    <w:rsid w:val="00E054EF"/>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17568"/>
    <w:rsid w:val="00E20157"/>
    <w:rsid w:val="00E205B1"/>
    <w:rsid w:val="00E20CAA"/>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5F52"/>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0897"/>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5626"/>
    <w:rsid w:val="00E66714"/>
    <w:rsid w:val="00E66CC8"/>
    <w:rsid w:val="00E67D89"/>
    <w:rsid w:val="00E7032B"/>
    <w:rsid w:val="00E704DC"/>
    <w:rsid w:val="00E70CE9"/>
    <w:rsid w:val="00E70F44"/>
    <w:rsid w:val="00E72987"/>
    <w:rsid w:val="00E731BC"/>
    <w:rsid w:val="00E734DB"/>
    <w:rsid w:val="00E735A8"/>
    <w:rsid w:val="00E73681"/>
    <w:rsid w:val="00E759CF"/>
    <w:rsid w:val="00E76A2A"/>
    <w:rsid w:val="00E802C5"/>
    <w:rsid w:val="00E8037B"/>
    <w:rsid w:val="00E80BEB"/>
    <w:rsid w:val="00E8201A"/>
    <w:rsid w:val="00E822CA"/>
    <w:rsid w:val="00E82AC7"/>
    <w:rsid w:val="00E82B99"/>
    <w:rsid w:val="00E82C06"/>
    <w:rsid w:val="00E82C8A"/>
    <w:rsid w:val="00E83CF7"/>
    <w:rsid w:val="00E84004"/>
    <w:rsid w:val="00E84DAB"/>
    <w:rsid w:val="00E84E31"/>
    <w:rsid w:val="00E8500B"/>
    <w:rsid w:val="00E859DF"/>
    <w:rsid w:val="00E85FC6"/>
    <w:rsid w:val="00E87465"/>
    <w:rsid w:val="00E8791B"/>
    <w:rsid w:val="00E903D9"/>
    <w:rsid w:val="00E90878"/>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5FE4"/>
    <w:rsid w:val="00EB61F9"/>
    <w:rsid w:val="00EB63B2"/>
    <w:rsid w:val="00EB6630"/>
    <w:rsid w:val="00EB67FB"/>
    <w:rsid w:val="00EB6967"/>
    <w:rsid w:val="00EB6ADD"/>
    <w:rsid w:val="00EB6D2B"/>
    <w:rsid w:val="00EB709C"/>
    <w:rsid w:val="00EB75BF"/>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3B6"/>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D7F6A"/>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5CFE"/>
    <w:rsid w:val="00EE618F"/>
    <w:rsid w:val="00EE6857"/>
    <w:rsid w:val="00EE7B08"/>
    <w:rsid w:val="00EF01D6"/>
    <w:rsid w:val="00EF042C"/>
    <w:rsid w:val="00EF0B99"/>
    <w:rsid w:val="00EF11F7"/>
    <w:rsid w:val="00EF1DDF"/>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3E87"/>
    <w:rsid w:val="00F043BC"/>
    <w:rsid w:val="00F057D5"/>
    <w:rsid w:val="00F05F5E"/>
    <w:rsid w:val="00F05F78"/>
    <w:rsid w:val="00F066FD"/>
    <w:rsid w:val="00F06AA6"/>
    <w:rsid w:val="00F06DB4"/>
    <w:rsid w:val="00F0716D"/>
    <w:rsid w:val="00F073A9"/>
    <w:rsid w:val="00F1031D"/>
    <w:rsid w:val="00F10691"/>
    <w:rsid w:val="00F110A0"/>
    <w:rsid w:val="00F110DF"/>
    <w:rsid w:val="00F1177D"/>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2AD"/>
    <w:rsid w:val="00F223E5"/>
    <w:rsid w:val="00F22599"/>
    <w:rsid w:val="00F22727"/>
    <w:rsid w:val="00F22801"/>
    <w:rsid w:val="00F22837"/>
    <w:rsid w:val="00F2348D"/>
    <w:rsid w:val="00F238BB"/>
    <w:rsid w:val="00F239B9"/>
    <w:rsid w:val="00F23F47"/>
    <w:rsid w:val="00F23FD8"/>
    <w:rsid w:val="00F2443F"/>
    <w:rsid w:val="00F24EB7"/>
    <w:rsid w:val="00F250AF"/>
    <w:rsid w:val="00F25324"/>
    <w:rsid w:val="00F261DB"/>
    <w:rsid w:val="00F264EC"/>
    <w:rsid w:val="00F2762E"/>
    <w:rsid w:val="00F27ABA"/>
    <w:rsid w:val="00F31243"/>
    <w:rsid w:val="00F31C45"/>
    <w:rsid w:val="00F32088"/>
    <w:rsid w:val="00F32AFA"/>
    <w:rsid w:val="00F331E6"/>
    <w:rsid w:val="00F334B9"/>
    <w:rsid w:val="00F33B4D"/>
    <w:rsid w:val="00F33FEB"/>
    <w:rsid w:val="00F34AB8"/>
    <w:rsid w:val="00F34E0E"/>
    <w:rsid w:val="00F35A2F"/>
    <w:rsid w:val="00F379EB"/>
    <w:rsid w:val="00F40613"/>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0070"/>
    <w:rsid w:val="00F51AC0"/>
    <w:rsid w:val="00F51F41"/>
    <w:rsid w:val="00F52C82"/>
    <w:rsid w:val="00F5337F"/>
    <w:rsid w:val="00F53D5F"/>
    <w:rsid w:val="00F540C8"/>
    <w:rsid w:val="00F54616"/>
    <w:rsid w:val="00F54A0B"/>
    <w:rsid w:val="00F5515F"/>
    <w:rsid w:val="00F559A5"/>
    <w:rsid w:val="00F562CC"/>
    <w:rsid w:val="00F5665A"/>
    <w:rsid w:val="00F5743B"/>
    <w:rsid w:val="00F5767C"/>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08"/>
    <w:rsid w:val="00F65BF0"/>
    <w:rsid w:val="00F66B9E"/>
    <w:rsid w:val="00F67EBA"/>
    <w:rsid w:val="00F7022F"/>
    <w:rsid w:val="00F70297"/>
    <w:rsid w:val="00F7049D"/>
    <w:rsid w:val="00F70843"/>
    <w:rsid w:val="00F70B8A"/>
    <w:rsid w:val="00F70D6F"/>
    <w:rsid w:val="00F721FF"/>
    <w:rsid w:val="00F728E8"/>
    <w:rsid w:val="00F72B3D"/>
    <w:rsid w:val="00F72DAE"/>
    <w:rsid w:val="00F73BD5"/>
    <w:rsid w:val="00F73D21"/>
    <w:rsid w:val="00F7465C"/>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0FE"/>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0DB"/>
    <w:rsid w:val="00FA147A"/>
    <w:rsid w:val="00FA184F"/>
    <w:rsid w:val="00FA25D4"/>
    <w:rsid w:val="00FA2D45"/>
    <w:rsid w:val="00FA3757"/>
    <w:rsid w:val="00FA3C48"/>
    <w:rsid w:val="00FA3E6D"/>
    <w:rsid w:val="00FA46C0"/>
    <w:rsid w:val="00FA4880"/>
    <w:rsid w:val="00FA4BF0"/>
    <w:rsid w:val="00FA5301"/>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BC"/>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24"/>
    <w:rsid w:val="00FE14E6"/>
    <w:rsid w:val="00FE18D7"/>
    <w:rsid w:val="00FE1BD6"/>
    <w:rsid w:val="00FE2022"/>
    <w:rsid w:val="00FE2419"/>
    <w:rsid w:val="00FE2E16"/>
    <w:rsid w:val="00FE394E"/>
    <w:rsid w:val="00FE4039"/>
    <w:rsid w:val="00FE4ADC"/>
    <w:rsid w:val="00FE555E"/>
    <w:rsid w:val="00FE5D98"/>
    <w:rsid w:val="00FE5FDB"/>
    <w:rsid w:val="00FE66AC"/>
    <w:rsid w:val="00FE6764"/>
    <w:rsid w:val="00FE6791"/>
    <w:rsid w:val="00FE67DD"/>
    <w:rsid w:val="00FE727C"/>
    <w:rsid w:val="00FE78E5"/>
    <w:rsid w:val="00FF0247"/>
    <w:rsid w:val="00FF0449"/>
    <w:rsid w:val="00FF111B"/>
    <w:rsid w:val="00FF1421"/>
    <w:rsid w:val="00FF16AF"/>
    <w:rsid w:val="00FF16FD"/>
    <w:rsid w:val="00FF1952"/>
    <w:rsid w:val="00FF1B5C"/>
    <w:rsid w:val="00FF2631"/>
    <w:rsid w:val="00FF2B8A"/>
    <w:rsid w:val="00FF2B8E"/>
    <w:rsid w:val="00FF2D8B"/>
    <w:rsid w:val="00FF2E79"/>
    <w:rsid w:val="00FF3FEA"/>
    <w:rsid w:val="00FF4202"/>
    <w:rsid w:val="00FF472C"/>
    <w:rsid w:val="00FF4A0A"/>
    <w:rsid w:val="00FF4A3E"/>
    <w:rsid w:val="00FF4B29"/>
    <w:rsid w:val="00FF521B"/>
    <w:rsid w:val="00FF67DE"/>
    <w:rsid w:val="00FF7A1B"/>
    <w:rsid w:val="00FF7AEE"/>
    <w:rsid w:val="01113D6B"/>
    <w:rsid w:val="01E4333E"/>
    <w:rsid w:val="01E53AAB"/>
    <w:rsid w:val="02551A35"/>
    <w:rsid w:val="026B18E1"/>
    <w:rsid w:val="02B35D48"/>
    <w:rsid w:val="02CF14AA"/>
    <w:rsid w:val="02D0381A"/>
    <w:rsid w:val="02DB25A8"/>
    <w:rsid w:val="02F900F0"/>
    <w:rsid w:val="02FF7A7B"/>
    <w:rsid w:val="030B1CC3"/>
    <w:rsid w:val="030E4812"/>
    <w:rsid w:val="03970EF3"/>
    <w:rsid w:val="03D3399E"/>
    <w:rsid w:val="043D3538"/>
    <w:rsid w:val="04664A43"/>
    <w:rsid w:val="04897582"/>
    <w:rsid w:val="04A071A7"/>
    <w:rsid w:val="04F505BF"/>
    <w:rsid w:val="05615F60"/>
    <w:rsid w:val="05914531"/>
    <w:rsid w:val="05BB4A66"/>
    <w:rsid w:val="05D22D9C"/>
    <w:rsid w:val="05EE1047"/>
    <w:rsid w:val="05F42EA9"/>
    <w:rsid w:val="05F973D8"/>
    <w:rsid w:val="065906F6"/>
    <w:rsid w:val="06A27BF1"/>
    <w:rsid w:val="06BC05EB"/>
    <w:rsid w:val="07036991"/>
    <w:rsid w:val="08311B3B"/>
    <w:rsid w:val="08EF7436"/>
    <w:rsid w:val="091650F7"/>
    <w:rsid w:val="09960EC9"/>
    <w:rsid w:val="09B513A5"/>
    <w:rsid w:val="09D53326"/>
    <w:rsid w:val="09E81DF1"/>
    <w:rsid w:val="0A1D4625"/>
    <w:rsid w:val="0A264F34"/>
    <w:rsid w:val="0A4D65AF"/>
    <w:rsid w:val="0A7814BB"/>
    <w:rsid w:val="0A906B62"/>
    <w:rsid w:val="0AAE7E99"/>
    <w:rsid w:val="0B0E7430"/>
    <w:rsid w:val="0BCD61ED"/>
    <w:rsid w:val="0BE13394"/>
    <w:rsid w:val="0C67174B"/>
    <w:rsid w:val="0C8A286D"/>
    <w:rsid w:val="0D1B1A8F"/>
    <w:rsid w:val="0D5364A5"/>
    <w:rsid w:val="0D834936"/>
    <w:rsid w:val="0DE576A6"/>
    <w:rsid w:val="0DED3FE6"/>
    <w:rsid w:val="0E1267A4"/>
    <w:rsid w:val="0E806DD8"/>
    <w:rsid w:val="0E922575"/>
    <w:rsid w:val="0F5D0D44"/>
    <w:rsid w:val="0F6F0C5E"/>
    <w:rsid w:val="0F891808"/>
    <w:rsid w:val="0F980C7B"/>
    <w:rsid w:val="0FD15480"/>
    <w:rsid w:val="102C0C75"/>
    <w:rsid w:val="10783D30"/>
    <w:rsid w:val="10C14D88"/>
    <w:rsid w:val="112160A6"/>
    <w:rsid w:val="11702AED"/>
    <w:rsid w:val="117B7A3A"/>
    <w:rsid w:val="11A402E3"/>
    <w:rsid w:val="12160F3D"/>
    <w:rsid w:val="12383670"/>
    <w:rsid w:val="123E24E6"/>
    <w:rsid w:val="128D43FF"/>
    <w:rsid w:val="12D2386F"/>
    <w:rsid w:val="12E54A8E"/>
    <w:rsid w:val="130A724C"/>
    <w:rsid w:val="131555DD"/>
    <w:rsid w:val="13383B68"/>
    <w:rsid w:val="134A5AAF"/>
    <w:rsid w:val="1382238D"/>
    <w:rsid w:val="139C67BB"/>
    <w:rsid w:val="13CE280D"/>
    <w:rsid w:val="141D000D"/>
    <w:rsid w:val="143119FB"/>
    <w:rsid w:val="14512AC1"/>
    <w:rsid w:val="14601D7C"/>
    <w:rsid w:val="149A2E5A"/>
    <w:rsid w:val="14BA590D"/>
    <w:rsid w:val="15633BC1"/>
    <w:rsid w:val="15FD2AA2"/>
    <w:rsid w:val="163D388B"/>
    <w:rsid w:val="16EF007E"/>
    <w:rsid w:val="172F3149"/>
    <w:rsid w:val="17DC4231"/>
    <w:rsid w:val="18021EF2"/>
    <w:rsid w:val="181F47DA"/>
    <w:rsid w:val="182E0907"/>
    <w:rsid w:val="18511C71"/>
    <w:rsid w:val="18546479"/>
    <w:rsid w:val="188D7D23"/>
    <w:rsid w:val="18B81128"/>
    <w:rsid w:val="18EC084A"/>
    <w:rsid w:val="190D7E26"/>
    <w:rsid w:val="19636636"/>
    <w:rsid w:val="19BE5A4B"/>
    <w:rsid w:val="19D55670"/>
    <w:rsid w:val="1A7F30B1"/>
    <w:rsid w:val="1AC861DB"/>
    <w:rsid w:val="1AF91F50"/>
    <w:rsid w:val="1B57738F"/>
    <w:rsid w:val="1B6028EE"/>
    <w:rsid w:val="1C323174"/>
    <w:rsid w:val="1CFD009B"/>
    <w:rsid w:val="1D7D3E6D"/>
    <w:rsid w:val="1D97029A"/>
    <w:rsid w:val="1DAE3742"/>
    <w:rsid w:val="1E3F5C0E"/>
    <w:rsid w:val="1F1C0096"/>
    <w:rsid w:val="1F371F44"/>
    <w:rsid w:val="1F423B59"/>
    <w:rsid w:val="1F5E7C06"/>
    <w:rsid w:val="1F7E7F8B"/>
    <w:rsid w:val="1FAA6C81"/>
    <w:rsid w:val="20947009"/>
    <w:rsid w:val="20AB20DE"/>
    <w:rsid w:val="20F4571D"/>
    <w:rsid w:val="20FD05AB"/>
    <w:rsid w:val="214F03B6"/>
    <w:rsid w:val="21E63DAC"/>
    <w:rsid w:val="224927CC"/>
    <w:rsid w:val="226642AC"/>
    <w:rsid w:val="2277369B"/>
    <w:rsid w:val="22773964"/>
    <w:rsid w:val="22F30A66"/>
    <w:rsid w:val="23111B23"/>
    <w:rsid w:val="234D1568"/>
    <w:rsid w:val="245C47B5"/>
    <w:rsid w:val="24764DC1"/>
    <w:rsid w:val="24B11CC1"/>
    <w:rsid w:val="250F386E"/>
    <w:rsid w:val="25761F9D"/>
    <w:rsid w:val="25766D86"/>
    <w:rsid w:val="257A3908"/>
    <w:rsid w:val="2581355B"/>
    <w:rsid w:val="25AA584B"/>
    <w:rsid w:val="262827A7"/>
    <w:rsid w:val="26586D9D"/>
    <w:rsid w:val="26606567"/>
    <w:rsid w:val="26831BBC"/>
    <w:rsid w:val="268663C4"/>
    <w:rsid w:val="272546BA"/>
    <w:rsid w:val="2758671C"/>
    <w:rsid w:val="281C3EDC"/>
    <w:rsid w:val="28247630"/>
    <w:rsid w:val="285F1E1A"/>
    <w:rsid w:val="28E54ED2"/>
    <w:rsid w:val="28EA18BF"/>
    <w:rsid w:val="28F01A47"/>
    <w:rsid w:val="293933AF"/>
    <w:rsid w:val="2941403E"/>
    <w:rsid w:val="296D179E"/>
    <w:rsid w:val="29AA76F5"/>
    <w:rsid w:val="29FB25CC"/>
    <w:rsid w:val="2A4370E4"/>
    <w:rsid w:val="2A9860B3"/>
    <w:rsid w:val="2ACF254B"/>
    <w:rsid w:val="2B4C3B06"/>
    <w:rsid w:val="2B8509F5"/>
    <w:rsid w:val="2BAB57EE"/>
    <w:rsid w:val="2C0B66D0"/>
    <w:rsid w:val="2C1106C8"/>
    <w:rsid w:val="2C14155E"/>
    <w:rsid w:val="2C2475FA"/>
    <w:rsid w:val="2C31409D"/>
    <w:rsid w:val="2C34520C"/>
    <w:rsid w:val="2C4D5A62"/>
    <w:rsid w:val="2CAB07D7"/>
    <w:rsid w:val="2CE53E34"/>
    <w:rsid w:val="2D0B4074"/>
    <w:rsid w:val="2D3C4843"/>
    <w:rsid w:val="2D5F2CCC"/>
    <w:rsid w:val="2D6D0895"/>
    <w:rsid w:val="2D925252"/>
    <w:rsid w:val="2E093F97"/>
    <w:rsid w:val="2E1848DF"/>
    <w:rsid w:val="2E1E06B9"/>
    <w:rsid w:val="2E423D71"/>
    <w:rsid w:val="2E6220A7"/>
    <w:rsid w:val="2E683FB0"/>
    <w:rsid w:val="2EA25969"/>
    <w:rsid w:val="2F0B37BA"/>
    <w:rsid w:val="2F0D2540"/>
    <w:rsid w:val="2FEC539E"/>
    <w:rsid w:val="30243E70"/>
    <w:rsid w:val="3074397A"/>
    <w:rsid w:val="307643DE"/>
    <w:rsid w:val="30F96E53"/>
    <w:rsid w:val="313708CB"/>
    <w:rsid w:val="31543CBD"/>
    <w:rsid w:val="31C74937"/>
    <w:rsid w:val="32055AA1"/>
    <w:rsid w:val="320A0628"/>
    <w:rsid w:val="322E2CC1"/>
    <w:rsid w:val="32513718"/>
    <w:rsid w:val="32744B8F"/>
    <w:rsid w:val="32A23532"/>
    <w:rsid w:val="32FC4D34"/>
    <w:rsid w:val="341E030F"/>
    <w:rsid w:val="3424001A"/>
    <w:rsid w:val="346F6E14"/>
    <w:rsid w:val="347A0A28"/>
    <w:rsid w:val="352E0E96"/>
    <w:rsid w:val="356928AF"/>
    <w:rsid w:val="35C44201"/>
    <w:rsid w:val="35D65462"/>
    <w:rsid w:val="35D72EE3"/>
    <w:rsid w:val="3619454C"/>
    <w:rsid w:val="36882D07"/>
    <w:rsid w:val="369B5418"/>
    <w:rsid w:val="36C33DE5"/>
    <w:rsid w:val="36FB77C2"/>
    <w:rsid w:val="37061B9E"/>
    <w:rsid w:val="370C54DE"/>
    <w:rsid w:val="371C53DD"/>
    <w:rsid w:val="373A1EFF"/>
    <w:rsid w:val="376513F0"/>
    <w:rsid w:val="379B18CA"/>
    <w:rsid w:val="39026893"/>
    <w:rsid w:val="39255B4E"/>
    <w:rsid w:val="398F2FFF"/>
    <w:rsid w:val="3A1A0893"/>
    <w:rsid w:val="3A1E15E9"/>
    <w:rsid w:val="3A4532C4"/>
    <w:rsid w:val="3ADC2753"/>
    <w:rsid w:val="3AE57D2D"/>
    <w:rsid w:val="3B263C85"/>
    <w:rsid w:val="3B601BF5"/>
    <w:rsid w:val="3BFE07FA"/>
    <w:rsid w:val="3BFF1AFF"/>
    <w:rsid w:val="3C7C2505"/>
    <w:rsid w:val="3D1073BD"/>
    <w:rsid w:val="3D494F99"/>
    <w:rsid w:val="3D5172E6"/>
    <w:rsid w:val="3D6C4254"/>
    <w:rsid w:val="3E226C98"/>
    <w:rsid w:val="3E921E11"/>
    <w:rsid w:val="3E964C3B"/>
    <w:rsid w:val="3E9D7E49"/>
    <w:rsid w:val="3EEF43D0"/>
    <w:rsid w:val="3F1B30E3"/>
    <w:rsid w:val="3F1C0717"/>
    <w:rsid w:val="3F9C376B"/>
    <w:rsid w:val="3FED2FEE"/>
    <w:rsid w:val="3FF461EF"/>
    <w:rsid w:val="402975CF"/>
    <w:rsid w:val="408C297B"/>
    <w:rsid w:val="40D01062"/>
    <w:rsid w:val="412C397A"/>
    <w:rsid w:val="42025F5C"/>
    <w:rsid w:val="426339F7"/>
    <w:rsid w:val="42CB0706"/>
    <w:rsid w:val="42EC00D8"/>
    <w:rsid w:val="436D772C"/>
    <w:rsid w:val="43C57DBB"/>
    <w:rsid w:val="43CB4F3C"/>
    <w:rsid w:val="440F4D37"/>
    <w:rsid w:val="441577C0"/>
    <w:rsid w:val="44C50CF1"/>
    <w:rsid w:val="45365B70"/>
    <w:rsid w:val="45BE5977"/>
    <w:rsid w:val="45C9178A"/>
    <w:rsid w:val="45FC0CDF"/>
    <w:rsid w:val="45FF7A66"/>
    <w:rsid w:val="46077070"/>
    <w:rsid w:val="461D4A97"/>
    <w:rsid w:val="469455ED"/>
    <w:rsid w:val="46FC6684"/>
    <w:rsid w:val="475950F1"/>
    <w:rsid w:val="475F0777"/>
    <w:rsid w:val="47A63299"/>
    <w:rsid w:val="48E07B1E"/>
    <w:rsid w:val="49A3785C"/>
    <w:rsid w:val="49AE4D95"/>
    <w:rsid w:val="49FB27FD"/>
    <w:rsid w:val="4A5E7F8F"/>
    <w:rsid w:val="4B1A19C7"/>
    <w:rsid w:val="4B1D70C8"/>
    <w:rsid w:val="4B2679D8"/>
    <w:rsid w:val="4B4B5BA4"/>
    <w:rsid w:val="4C555ECC"/>
    <w:rsid w:val="4C713D2E"/>
    <w:rsid w:val="4D170188"/>
    <w:rsid w:val="4D8207D1"/>
    <w:rsid w:val="4E3B7E9A"/>
    <w:rsid w:val="4F1E3BC4"/>
    <w:rsid w:val="4F45079D"/>
    <w:rsid w:val="4F7E481F"/>
    <w:rsid w:val="4F9F2130"/>
    <w:rsid w:val="4FC32966"/>
    <w:rsid w:val="50AF405F"/>
    <w:rsid w:val="51D677D1"/>
    <w:rsid w:val="51F2387E"/>
    <w:rsid w:val="52715451"/>
    <w:rsid w:val="5321599A"/>
    <w:rsid w:val="533F1322"/>
    <w:rsid w:val="53A00A1B"/>
    <w:rsid w:val="544C2657"/>
    <w:rsid w:val="54553068"/>
    <w:rsid w:val="546148FC"/>
    <w:rsid w:val="54684287"/>
    <w:rsid w:val="54AF4E20"/>
    <w:rsid w:val="5604752C"/>
    <w:rsid w:val="56157047"/>
    <w:rsid w:val="56164708"/>
    <w:rsid w:val="564D0C25"/>
    <w:rsid w:val="56694CD1"/>
    <w:rsid w:val="56707EE0"/>
    <w:rsid w:val="56920730"/>
    <w:rsid w:val="56D7432E"/>
    <w:rsid w:val="56F3261D"/>
    <w:rsid w:val="56F810BD"/>
    <w:rsid w:val="57494340"/>
    <w:rsid w:val="57D26822"/>
    <w:rsid w:val="584D1551"/>
    <w:rsid w:val="58E95FEA"/>
    <w:rsid w:val="58F9252C"/>
    <w:rsid w:val="59456704"/>
    <w:rsid w:val="59C97EB4"/>
    <w:rsid w:val="5A567846"/>
    <w:rsid w:val="5A9056E2"/>
    <w:rsid w:val="5ACA5D03"/>
    <w:rsid w:val="5B0B723D"/>
    <w:rsid w:val="5B667984"/>
    <w:rsid w:val="5BA10461"/>
    <w:rsid w:val="5BAA46BB"/>
    <w:rsid w:val="5BEA3E40"/>
    <w:rsid w:val="5C341545"/>
    <w:rsid w:val="5C60789B"/>
    <w:rsid w:val="5C751DBE"/>
    <w:rsid w:val="5C9E5181"/>
    <w:rsid w:val="5CE25F1F"/>
    <w:rsid w:val="5D273664"/>
    <w:rsid w:val="5D35250A"/>
    <w:rsid w:val="5D3F1487"/>
    <w:rsid w:val="5DA94893"/>
    <w:rsid w:val="5DE8500B"/>
    <w:rsid w:val="5E677FF0"/>
    <w:rsid w:val="5E917028"/>
    <w:rsid w:val="5EAF1175"/>
    <w:rsid w:val="5EC12013"/>
    <w:rsid w:val="5ED73B27"/>
    <w:rsid w:val="5ED8702A"/>
    <w:rsid w:val="5F5543F5"/>
    <w:rsid w:val="5FC324AB"/>
    <w:rsid w:val="5FDB5953"/>
    <w:rsid w:val="5FE23F86"/>
    <w:rsid w:val="5FF067F2"/>
    <w:rsid w:val="60204DC3"/>
    <w:rsid w:val="60235D47"/>
    <w:rsid w:val="602D6CC3"/>
    <w:rsid w:val="60731B94"/>
    <w:rsid w:val="60A24097"/>
    <w:rsid w:val="60FE69AF"/>
    <w:rsid w:val="61063DBC"/>
    <w:rsid w:val="61890B12"/>
    <w:rsid w:val="61F4110B"/>
    <w:rsid w:val="62165216"/>
    <w:rsid w:val="62487D97"/>
    <w:rsid w:val="625649E2"/>
    <w:rsid w:val="62E742D1"/>
    <w:rsid w:val="62EB1A78"/>
    <w:rsid w:val="63014E7B"/>
    <w:rsid w:val="63020EEB"/>
    <w:rsid w:val="633059CA"/>
    <w:rsid w:val="633F11E7"/>
    <w:rsid w:val="63AF0497"/>
    <w:rsid w:val="646B1ECF"/>
    <w:rsid w:val="647C2F74"/>
    <w:rsid w:val="64E0408C"/>
    <w:rsid w:val="651435E1"/>
    <w:rsid w:val="65451832"/>
    <w:rsid w:val="65806194"/>
    <w:rsid w:val="65847385"/>
    <w:rsid w:val="65B60EFB"/>
    <w:rsid w:val="65D3019C"/>
    <w:rsid w:val="65F604BD"/>
    <w:rsid w:val="66071BDE"/>
    <w:rsid w:val="664034E9"/>
    <w:rsid w:val="665C6DFC"/>
    <w:rsid w:val="66696111"/>
    <w:rsid w:val="66D0216E"/>
    <w:rsid w:val="66DF121A"/>
    <w:rsid w:val="676D5D3F"/>
    <w:rsid w:val="68065131"/>
    <w:rsid w:val="68C33E75"/>
    <w:rsid w:val="68C7478C"/>
    <w:rsid w:val="68D6620B"/>
    <w:rsid w:val="68D86854"/>
    <w:rsid w:val="69382A2C"/>
    <w:rsid w:val="69434640"/>
    <w:rsid w:val="698279A8"/>
    <w:rsid w:val="69A86563"/>
    <w:rsid w:val="69D925B6"/>
    <w:rsid w:val="69DB5D7C"/>
    <w:rsid w:val="6AB14817"/>
    <w:rsid w:val="6AFB6F7F"/>
    <w:rsid w:val="6B702DA0"/>
    <w:rsid w:val="6B940981"/>
    <w:rsid w:val="6BD745FA"/>
    <w:rsid w:val="6C284FCF"/>
    <w:rsid w:val="6C5164C2"/>
    <w:rsid w:val="6C7132C9"/>
    <w:rsid w:val="6C920B69"/>
    <w:rsid w:val="6CBD6E76"/>
    <w:rsid w:val="6CC11FF9"/>
    <w:rsid w:val="6D0D4676"/>
    <w:rsid w:val="6D936E79"/>
    <w:rsid w:val="6D955A37"/>
    <w:rsid w:val="6DA1296C"/>
    <w:rsid w:val="6DB056A8"/>
    <w:rsid w:val="6DDF15C1"/>
    <w:rsid w:val="6DEF7AF4"/>
    <w:rsid w:val="6DF87AF7"/>
    <w:rsid w:val="6E062690"/>
    <w:rsid w:val="6E26675E"/>
    <w:rsid w:val="6E6B3416"/>
    <w:rsid w:val="6E755BDC"/>
    <w:rsid w:val="6EA97E5C"/>
    <w:rsid w:val="6F1D56DB"/>
    <w:rsid w:val="6FE1733C"/>
    <w:rsid w:val="70D71A88"/>
    <w:rsid w:val="717A5259"/>
    <w:rsid w:val="7185354B"/>
    <w:rsid w:val="7248108B"/>
    <w:rsid w:val="72873766"/>
    <w:rsid w:val="72AB332E"/>
    <w:rsid w:val="73823391"/>
    <w:rsid w:val="73850A93"/>
    <w:rsid w:val="73866514"/>
    <w:rsid w:val="73B20DCE"/>
    <w:rsid w:val="746A200A"/>
    <w:rsid w:val="747B5B27"/>
    <w:rsid w:val="74917CCB"/>
    <w:rsid w:val="750461D7"/>
    <w:rsid w:val="75581C92"/>
    <w:rsid w:val="7599260A"/>
    <w:rsid w:val="76081290"/>
    <w:rsid w:val="765E3B82"/>
    <w:rsid w:val="766E211A"/>
    <w:rsid w:val="768C680C"/>
    <w:rsid w:val="76B10FCA"/>
    <w:rsid w:val="77AF0244"/>
    <w:rsid w:val="77CE269B"/>
    <w:rsid w:val="77E36DBE"/>
    <w:rsid w:val="788A0850"/>
    <w:rsid w:val="79B73810"/>
    <w:rsid w:val="79FD0732"/>
    <w:rsid w:val="7A140357"/>
    <w:rsid w:val="7AD0650C"/>
    <w:rsid w:val="7AD2618C"/>
    <w:rsid w:val="7B222A93"/>
    <w:rsid w:val="7B28499C"/>
    <w:rsid w:val="7B3A497C"/>
    <w:rsid w:val="7B9038E4"/>
    <w:rsid w:val="7BBB198C"/>
    <w:rsid w:val="7BCB1C27"/>
    <w:rsid w:val="7C0A4F8F"/>
    <w:rsid w:val="7C442DB7"/>
    <w:rsid w:val="7C4C347A"/>
    <w:rsid w:val="7C5A65DC"/>
    <w:rsid w:val="7C5E0E16"/>
    <w:rsid w:val="7C6C17B0"/>
    <w:rsid w:val="7D1D3B52"/>
    <w:rsid w:val="7D7D15ED"/>
    <w:rsid w:val="7D7D678B"/>
    <w:rsid w:val="7E055EA7"/>
    <w:rsid w:val="7E073678"/>
    <w:rsid w:val="7E1D1C13"/>
    <w:rsid w:val="7E377B22"/>
    <w:rsid w:val="7E4B2F3F"/>
    <w:rsid w:val="7E616C9A"/>
    <w:rsid w:val="7E9349B9"/>
    <w:rsid w:val="7EBB0C32"/>
    <w:rsid w:val="7EC42C09"/>
    <w:rsid w:val="7ED52CBB"/>
    <w:rsid w:val="7F253F27"/>
    <w:rsid w:val="7F4C3DE7"/>
    <w:rsid w:val="7F9B7693"/>
    <w:rsid w:val="7FD9242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0"/>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131"/>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132"/>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133"/>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134"/>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135"/>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136"/>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137"/>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138"/>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unhideWhenUsed/>
    <w:qFormat/>
    <w:uiPriority w:val="1"/>
  </w:style>
  <w:style w:type="table" w:default="1" w:styleId="54">
    <w:name w:val="Normal Table"/>
    <w:unhideWhenUsed/>
    <w:qFormat/>
    <w:uiPriority w:val="99"/>
    <w:tblPr>
      <w:tblStyle w:val="54"/>
      <w:tblLayout w:type="fixed"/>
      <w:tblCellMar>
        <w:top w:w="0" w:type="dxa"/>
        <w:left w:w="108" w:type="dxa"/>
        <w:bottom w:w="0" w:type="dxa"/>
        <w:right w:w="108" w:type="dxa"/>
      </w:tblCellMar>
    </w:tblPr>
  </w:style>
  <w:style w:type="paragraph" w:styleId="11">
    <w:name w:val="annotation subject"/>
    <w:basedOn w:val="12"/>
    <w:next w:val="12"/>
    <w:link w:val="154"/>
    <w:semiHidden/>
    <w:qFormat/>
    <w:uiPriority w:val="99"/>
    <w:rPr>
      <w:b/>
    </w:rPr>
  </w:style>
  <w:style w:type="paragraph" w:styleId="12">
    <w:name w:val="annotation text"/>
    <w:basedOn w:val="1"/>
    <w:link w:val="141"/>
    <w:qFormat/>
    <w:uiPriority w:val="99"/>
    <w:pPr>
      <w:jc w:val="left"/>
    </w:pPr>
    <w:rPr>
      <w:rFonts w:ascii="宋体" w:hAnsi="宋体"/>
      <w:szCs w:val="21"/>
    </w:rPr>
  </w:style>
  <w:style w:type="paragraph" w:styleId="13">
    <w:name w:val="toc 7"/>
    <w:basedOn w:val="1"/>
    <w:next w:val="1"/>
    <w:qFormat/>
    <w:uiPriority w:val="39"/>
    <w:pPr>
      <w:ind w:left="1260"/>
      <w:jc w:val="left"/>
    </w:pPr>
    <w:rPr>
      <w:sz w:val="18"/>
      <w:szCs w:val="18"/>
    </w:rPr>
  </w:style>
  <w:style w:type="paragraph" w:styleId="14">
    <w:name w:val="Body Text First Indent"/>
    <w:basedOn w:val="15"/>
    <w:link w:val="155"/>
    <w:qFormat/>
    <w:uiPriority w:val="99"/>
    <w:pPr>
      <w:spacing w:after="120"/>
      <w:ind w:firstLine="420" w:firstLineChars="100"/>
    </w:pPr>
    <w:rPr>
      <w:i/>
      <w:kern w:val="2"/>
      <w:sz w:val="24"/>
    </w:rPr>
  </w:style>
  <w:style w:type="paragraph" w:styleId="15">
    <w:name w:val="Body Text"/>
    <w:basedOn w:val="1"/>
    <w:next w:val="16"/>
    <w:link w:val="143"/>
    <w:qFormat/>
    <w:uiPriority w:val="99"/>
    <w:rPr>
      <w:rFonts w:ascii="宋体" w:hAnsi="宋体"/>
      <w:kern w:val="0"/>
      <w:sz w:val="20"/>
    </w:rPr>
  </w:style>
  <w:style w:type="paragraph" w:customStyle="1" w:styleId="16">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styleId="17">
    <w:name w:val="Normal Indent"/>
    <w:basedOn w:val="1"/>
    <w:link w:val="139"/>
    <w:qFormat/>
    <w:uiPriority w:val="0"/>
    <w:pPr>
      <w:ind w:firstLine="420" w:firstLineChars="200"/>
    </w:pPr>
    <w:rPr>
      <w:rFonts w:ascii="宋体" w:hAnsi="宋体"/>
      <w:spacing w:val="14"/>
      <w:kern w:val="24"/>
      <w:sz w:val="24"/>
      <w:szCs w:val="24"/>
    </w:rPr>
  </w:style>
  <w:style w:type="paragraph" w:styleId="18">
    <w:name w:val="Document Map"/>
    <w:basedOn w:val="1"/>
    <w:link w:val="140"/>
    <w:semiHidden/>
    <w:qFormat/>
    <w:uiPriority w:val="99"/>
    <w:pPr>
      <w:shd w:val="clear" w:color="auto" w:fill="000080"/>
    </w:pPr>
  </w:style>
  <w:style w:type="paragraph" w:styleId="19">
    <w:name w:val="Body Text 3"/>
    <w:basedOn w:val="1"/>
    <w:link w:val="142"/>
    <w:qFormat/>
    <w:uiPriority w:val="99"/>
    <w:pPr>
      <w:spacing w:after="120" w:line="360" w:lineRule="auto"/>
    </w:pPr>
    <w:rPr>
      <w:kern w:val="0"/>
      <w:sz w:val="16"/>
    </w:rPr>
  </w:style>
  <w:style w:type="paragraph" w:styleId="20">
    <w:name w:val="Body Text Indent"/>
    <w:basedOn w:val="1"/>
    <w:link w:val="144"/>
    <w:qFormat/>
    <w:uiPriority w:val="0"/>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List 2"/>
    <w:basedOn w:val="1"/>
    <w:qFormat/>
    <w:uiPriority w:val="0"/>
    <w:pPr>
      <w:adjustRightInd/>
      <w:spacing w:line="360" w:lineRule="auto"/>
      <w:ind w:left="100" w:leftChars="200" w:hanging="200" w:hangingChars="200"/>
    </w:pPr>
    <w:rPr>
      <w:rFonts w:eastAsia="微软雅黑"/>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Plain Text"/>
    <w:basedOn w:val="1"/>
    <w:link w:val="145"/>
    <w:qFormat/>
    <w:uiPriority w:val="0"/>
    <w:pPr>
      <w:widowControl/>
      <w:spacing w:before="100" w:beforeAutospacing="1" w:after="100" w:afterAutospacing="1"/>
      <w:jc w:val="left"/>
    </w:pPr>
    <w:rPr>
      <w:rFonts w:ascii="宋体" w:hAnsi="Courier New"/>
      <w:kern w:val="0"/>
      <w:sz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46"/>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147"/>
    <w:qFormat/>
    <w:uiPriority w:val="99"/>
    <w:pPr>
      <w:spacing w:line="380" w:lineRule="exact"/>
      <w:ind w:left="840" w:hanging="45"/>
    </w:pPr>
    <w:rPr>
      <w:rFonts w:ascii="宋体"/>
      <w:sz w:val="24"/>
    </w:rPr>
  </w:style>
  <w:style w:type="paragraph" w:styleId="29">
    <w:name w:val="Balloon Text"/>
    <w:basedOn w:val="1"/>
    <w:link w:val="148"/>
    <w:semiHidden/>
    <w:qFormat/>
    <w:uiPriority w:val="99"/>
    <w:rPr>
      <w:rFonts w:ascii="宋体" w:hAnsi="宋体"/>
      <w:sz w:val="18"/>
      <w:szCs w:val="18"/>
    </w:rPr>
  </w:style>
  <w:style w:type="paragraph" w:styleId="30">
    <w:name w:val="footer"/>
    <w:basedOn w:val="1"/>
    <w:link w:val="149"/>
    <w:qFormat/>
    <w:uiPriority w:val="99"/>
    <w:pPr>
      <w:tabs>
        <w:tab w:val="center" w:pos="4153"/>
        <w:tab w:val="right" w:pos="8306"/>
      </w:tabs>
      <w:snapToGrid w:val="0"/>
      <w:jc w:val="left"/>
    </w:pPr>
    <w:rPr>
      <w:rFonts w:ascii="宋体" w:hAnsi="宋体"/>
      <w:sz w:val="18"/>
      <w:szCs w:val="18"/>
    </w:rPr>
  </w:style>
  <w:style w:type="paragraph" w:styleId="31">
    <w:name w:val="Body Text First Indent 2"/>
    <w:basedOn w:val="20"/>
    <w:link w:val="156"/>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styleId="32">
    <w:name w:val="header"/>
    <w:basedOn w:val="1"/>
    <w:link w:val="15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qFormat/>
    <w:uiPriority w:val="39"/>
    <w:pPr>
      <w:ind w:left="630"/>
      <w:jc w:val="left"/>
    </w:pPr>
    <w:rPr>
      <w:sz w:val="18"/>
      <w:szCs w:val="18"/>
    </w:rPr>
  </w:style>
  <w:style w:type="paragraph" w:styleId="35">
    <w:name w:val="List Number 5"/>
    <w:basedOn w:val="1"/>
    <w:qFormat/>
    <w:uiPriority w:val="99"/>
    <w:pPr>
      <w:tabs>
        <w:tab w:val="left" w:pos="2608"/>
      </w:tabs>
      <w:spacing w:line="360" w:lineRule="auto"/>
      <w:ind w:left="840" w:hanging="360"/>
    </w:pPr>
    <w:rPr>
      <w:sz w:val="24"/>
      <w:szCs w:val="24"/>
    </w:rPr>
  </w:style>
  <w:style w:type="paragraph" w:styleId="36">
    <w:name w:val="List"/>
    <w:basedOn w:val="1"/>
    <w:unhideWhenUsed/>
    <w:qFormat/>
    <w:uiPriority w:val="0"/>
    <w:pPr>
      <w:ind w:left="200" w:hanging="200" w:hangingChars="200"/>
      <w:contextualSpacing/>
    </w:p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151"/>
    <w:qFormat/>
    <w:uiPriority w:val="99"/>
    <w:pPr>
      <w:spacing w:line="380" w:lineRule="exact"/>
      <w:ind w:left="525"/>
    </w:pPr>
    <w:rPr>
      <w:rFonts w:ascii="宋体" w:hAnsi="宋体"/>
      <w:b/>
      <w:sz w:val="24"/>
      <w:szCs w:val="24"/>
    </w:rPr>
  </w:style>
  <w:style w:type="paragraph" w:styleId="39">
    <w:name w:val="table of figures"/>
    <w:basedOn w:val="1"/>
    <w:next w:val="1"/>
    <w:qFormat/>
    <w:uiPriority w:val="99"/>
    <w:pPr>
      <w:ind w:left="420" w:hanging="420"/>
      <w:jc w:val="left"/>
    </w:pPr>
    <w:rPr>
      <w:smallCaps/>
      <w:sz w:val="20"/>
    </w:rPr>
  </w:style>
  <w:style w:type="paragraph" w:styleId="40">
    <w:name w:val="toc 2"/>
    <w:basedOn w:val="1"/>
    <w:next w:val="1"/>
    <w:qFormat/>
    <w:uiPriority w:val="39"/>
    <w:pPr>
      <w:ind w:left="210"/>
      <w:jc w:val="left"/>
    </w:pPr>
    <w:rPr>
      <w:smallCaps/>
      <w:sz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152"/>
    <w:qFormat/>
    <w:uiPriority w:val="99"/>
    <w:pPr>
      <w:spacing w:after="120" w:line="480" w:lineRule="auto"/>
    </w:pPr>
    <w:rPr>
      <w:kern w:val="0"/>
      <w:sz w:val="24"/>
    </w:rPr>
  </w:style>
  <w:style w:type="paragraph" w:styleId="43">
    <w:name w:val="HTML Preformatted"/>
    <w:basedOn w:val="1"/>
    <w:link w:val="153"/>
    <w:qFormat/>
    <w:uiPriority w:val="99"/>
    <w:rPr>
      <w:rFonts w:ascii="Courier New" w:hAnsi="Courier New"/>
      <w:sz w:val="20"/>
    </w:rPr>
  </w:style>
  <w:style w:type="paragraph" w:styleId="44">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5">
    <w:name w:val="index 1"/>
    <w:basedOn w:val="1"/>
    <w:next w:val="1"/>
    <w:semiHidden/>
    <w:qFormat/>
    <w:uiPriority w:val="99"/>
  </w:style>
  <w:style w:type="character" w:styleId="47">
    <w:name w:val="Strong"/>
    <w:qFormat/>
    <w:uiPriority w:val="0"/>
    <w:rPr>
      <w:b/>
    </w:rPr>
  </w:style>
  <w:style w:type="character" w:styleId="48">
    <w:name w:val="page number"/>
    <w:basedOn w:val="46"/>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table" w:styleId="55">
    <w:name w:val="Table Grid"/>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6">
    <w:name w:val="样式5"/>
    <w:basedOn w:val="1"/>
    <w:link w:val="161"/>
    <w:qFormat/>
    <w:uiPriority w:val="0"/>
    <w:pPr>
      <w:keepNext/>
      <w:keepLines/>
      <w:spacing w:before="280" w:after="290" w:line="376" w:lineRule="auto"/>
      <w:ind w:left="210" w:leftChars="100" w:right="210" w:rightChars="100"/>
      <w:outlineLvl w:val="4"/>
    </w:pPr>
    <w:rPr>
      <w:b/>
      <w:sz w:val="28"/>
    </w:rPr>
  </w:style>
  <w:style w:type="paragraph" w:customStyle="1" w:styleId="57">
    <w:name w:val="纯文本1"/>
    <w:basedOn w:val="1"/>
    <w:link w:val="168"/>
    <w:qFormat/>
    <w:uiPriority w:val="0"/>
    <w:rPr>
      <w:rFonts w:ascii="宋体" w:hAnsi="Courier New"/>
    </w:rPr>
  </w:style>
  <w:style w:type="paragraph" w:customStyle="1" w:styleId="58">
    <w:name w:val="方案－正文"/>
    <w:basedOn w:val="1"/>
    <w:link w:val="172"/>
    <w:qFormat/>
    <w:uiPriority w:val="0"/>
    <w:pPr>
      <w:spacing w:line="360" w:lineRule="auto"/>
      <w:ind w:firstLine="480" w:firstLineChars="200"/>
    </w:pPr>
    <w:rPr>
      <w:rFonts w:ascii="仿宋_GB2312" w:hAnsi="宋体"/>
      <w:kern w:val="0"/>
      <w:sz w:val="24"/>
    </w:rPr>
  </w:style>
  <w:style w:type="paragraph" w:customStyle="1" w:styleId="59">
    <w:name w:val="标题2正文 Char"/>
    <w:basedOn w:val="1"/>
    <w:link w:val="177"/>
    <w:qFormat/>
    <w:uiPriority w:val="0"/>
    <w:pPr>
      <w:spacing w:beforeLines="50" w:afterLines="50"/>
      <w:ind w:right="38" w:rightChars="18" w:firstLine="420"/>
    </w:pPr>
    <w:rPr>
      <w:kern w:val="0"/>
      <w:sz w:val="24"/>
    </w:rPr>
  </w:style>
  <w:style w:type="paragraph" w:customStyle="1" w:styleId="60">
    <w:name w:val="List Paragraph"/>
    <w:basedOn w:val="1"/>
    <w:link w:val="178"/>
    <w:qFormat/>
    <w:uiPriority w:val="34"/>
    <w:pPr>
      <w:ind w:firstLine="420" w:firstLineChars="200"/>
    </w:pPr>
    <w:rPr>
      <w:sz w:val="24"/>
    </w:rPr>
  </w:style>
  <w:style w:type="paragraph" w:customStyle="1" w:styleId="61">
    <w:name w:val="无间距"/>
    <w:link w:val="191"/>
    <w:qFormat/>
    <w:uiPriority w:val="0"/>
    <w:rPr>
      <w:rFonts w:ascii="Calibri" w:hAnsi="Calibri" w:eastAsia="宋体" w:cs="Times New Roman"/>
      <w:sz w:val="22"/>
      <w:lang w:val="en-US" w:eastAsia="zh-CN" w:bidi="ar-SA"/>
    </w:rPr>
  </w:style>
  <w:style w:type="paragraph" w:customStyle="1" w:styleId="62">
    <w:name w:val="列出段落1"/>
    <w:basedOn w:val="1"/>
    <w:link w:val="193"/>
    <w:qFormat/>
    <w:uiPriority w:val="0"/>
    <w:pPr>
      <w:ind w:firstLine="420" w:firstLineChars="200"/>
    </w:pPr>
    <w:rPr>
      <w:rFonts w:ascii="Calibri" w:hAnsi="Calibri"/>
      <w:sz w:val="22"/>
    </w:rPr>
  </w:style>
  <w:style w:type="paragraph" w:customStyle="1" w:styleId="63">
    <w:name w:val="样式4"/>
    <w:basedOn w:val="2"/>
    <w:link w:val="197"/>
    <w:qFormat/>
    <w:uiPriority w:val="0"/>
    <w:pPr>
      <w:keepLines/>
      <w:spacing w:line="360" w:lineRule="auto"/>
    </w:pPr>
    <w:rPr>
      <w:rFonts w:ascii="黑体" w:hAnsi="黑体" w:eastAsia="黑体"/>
      <w:b w:val="0"/>
      <w:szCs w:val="20"/>
    </w:rPr>
  </w:style>
  <w:style w:type="paragraph" w:customStyle="1" w:styleId="64">
    <w:name w:val="样式2"/>
    <w:basedOn w:val="4"/>
    <w:link w:val="202"/>
    <w:qFormat/>
    <w:uiPriority w:val="0"/>
    <w:pPr>
      <w:adjustRightInd w:val="0"/>
      <w:spacing w:beforeLines="0" w:afterLines="0"/>
      <w:ind w:left="0" w:firstLine="0"/>
      <w:textAlignment w:val="baseline"/>
    </w:pPr>
    <w:rPr>
      <w:rFonts w:ascii="黑体" w:hAnsi="黑体" w:eastAsia="黑体"/>
      <w:b w:val="0"/>
      <w:color w:val="FF0000"/>
      <w:szCs w:val="20"/>
    </w:rPr>
  </w:style>
  <w:style w:type="paragraph" w:customStyle="1" w:styleId="65">
    <w:name w:val="样式1"/>
    <w:basedOn w:val="3"/>
    <w:link w:val="206"/>
    <w:qFormat/>
    <w:uiPriority w:val="0"/>
    <w:pPr>
      <w:tabs>
        <w:tab w:val="clear" w:pos="578"/>
      </w:tabs>
      <w:spacing w:beforeLines="0" w:afterLines="0"/>
      <w:ind w:left="0" w:firstLine="0"/>
    </w:pPr>
    <w:rPr>
      <w:rFonts w:ascii="黑体" w:hAnsi="黑体" w:eastAsia="黑体"/>
      <w:b/>
      <w:sz w:val="32"/>
      <w:szCs w:val="20"/>
    </w:rPr>
  </w:style>
  <w:style w:type="paragraph" w:customStyle="1" w:styleId="66">
    <w:name w:val="中等深浅网格 1 - 强调文字颜色 21"/>
    <w:basedOn w:val="1"/>
    <w:link w:val="224"/>
    <w:qFormat/>
    <w:uiPriority w:val="34"/>
    <w:pPr>
      <w:ind w:firstLine="420" w:firstLineChars="200"/>
    </w:pPr>
    <w:rPr>
      <w:rFonts w:ascii="Calibri" w:hAnsi="Calibri"/>
      <w:sz w:val="22"/>
    </w:rPr>
  </w:style>
  <w:style w:type="paragraph" w:customStyle="1" w:styleId="67">
    <w:name w:val="表格用"/>
    <w:basedOn w:val="1"/>
    <w:link w:val="228"/>
    <w:qFormat/>
    <w:uiPriority w:val="0"/>
    <w:pPr>
      <w:widowControl/>
      <w:spacing w:line="360" w:lineRule="auto"/>
      <w:jc w:val="left"/>
    </w:pPr>
    <w:rPr>
      <w:rFonts w:ascii="宋体" w:hAnsi="宋体"/>
      <w:kern w:val="0"/>
      <w:sz w:val="20"/>
      <w:szCs w:val="24"/>
    </w:rPr>
  </w:style>
  <w:style w:type="paragraph" w:customStyle="1" w:styleId="68">
    <w:name w:val="哈哈正文"/>
    <w:basedOn w:val="1"/>
    <w:link w:val="231"/>
    <w:qFormat/>
    <w:uiPriority w:val="0"/>
    <w:pPr>
      <w:spacing w:line="360" w:lineRule="auto"/>
      <w:ind w:firstLine="200" w:firstLineChars="200"/>
    </w:pPr>
    <w:rPr>
      <w:rFonts w:ascii="宋体" w:hAnsi="宋体"/>
      <w:sz w:val="24"/>
    </w:rPr>
  </w:style>
  <w:style w:type="paragraph" w:customStyle="1" w:styleId="69">
    <w:name w:val="金保标题3"/>
    <w:basedOn w:val="4"/>
    <w:next w:val="1"/>
    <w:link w:val="24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paragraph" w:customStyle="1" w:styleId="70">
    <w:name w:val="表格正文"/>
    <w:basedOn w:val="1"/>
    <w:qFormat/>
    <w:uiPriority w:val="0"/>
    <w:rPr>
      <w:rFonts w:eastAsia="黑体"/>
    </w:rPr>
  </w:style>
  <w:style w:type="paragraph" w:customStyle="1" w:styleId="71">
    <w:name w:val="Char Char Char Char Char Char Char"/>
    <w:basedOn w:val="1"/>
    <w:qFormat/>
    <w:uiPriority w:val="0"/>
    <w:pPr>
      <w:tabs>
        <w:tab w:val="left" w:pos="432"/>
      </w:tabs>
      <w:ind w:left="432" w:hanging="432"/>
    </w:pPr>
    <w:rPr>
      <w:rFonts w:ascii="Tahoma" w:hAnsi="Tahoma"/>
      <w:sz w:val="24"/>
    </w:rPr>
  </w:style>
  <w:style w:type="paragraph" w:customStyle="1" w:styleId="72">
    <w:name w:val="正文段"/>
    <w:basedOn w:val="1"/>
    <w:qFormat/>
    <w:uiPriority w:val="0"/>
    <w:pPr>
      <w:widowControl/>
      <w:snapToGrid w:val="0"/>
      <w:spacing w:afterLines="50"/>
      <w:ind w:firstLine="200" w:firstLineChars="200"/>
    </w:pPr>
    <w:rPr>
      <w:kern w:val="0"/>
      <w:sz w:val="24"/>
    </w:rPr>
  </w:style>
  <w:style w:type="paragraph" w:customStyle="1" w:styleId="7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7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75">
    <w:name w:val="Char Char1 Char Char Char Char"/>
    <w:basedOn w:val="1"/>
    <w:qFormat/>
    <w:uiPriority w:val="0"/>
    <w:rPr>
      <w:rFonts w:ascii="Tahoma" w:hAnsi="Tahoma"/>
      <w:sz w:val="24"/>
    </w:rPr>
  </w:style>
  <w:style w:type="paragraph" w:customStyle="1" w:styleId="76">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rPr>
  </w:style>
  <w:style w:type="paragraph" w:customStyle="1" w:styleId="77">
    <w:name w:val="彩色列表 - 强调文字颜色 11"/>
    <w:basedOn w:val="1"/>
    <w:qFormat/>
    <w:uiPriority w:val="0"/>
    <w:pPr>
      <w:ind w:firstLine="420" w:firstLineChars="200"/>
    </w:pPr>
    <w:rPr>
      <w:rFonts w:ascii="Calibri" w:hAnsi="Calibri"/>
      <w:szCs w:val="22"/>
    </w:rPr>
  </w:style>
  <w:style w:type="paragraph" w:customStyle="1" w:styleId="78">
    <w:name w:val="Char Char Char1 Char"/>
    <w:basedOn w:val="1"/>
    <w:qFormat/>
    <w:uiPriority w:val="0"/>
    <w:pPr>
      <w:spacing w:line="360" w:lineRule="auto"/>
      <w:ind w:firstLine="200" w:firstLineChars="200"/>
    </w:pPr>
  </w:style>
  <w:style w:type="paragraph" w:customStyle="1" w:styleId="7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80">
    <w:name w:val="p0"/>
    <w:basedOn w:val="1"/>
    <w:qFormat/>
    <w:uiPriority w:val="0"/>
    <w:pPr>
      <w:widowControl/>
    </w:pPr>
    <w:rPr>
      <w:kern w:val="0"/>
      <w:szCs w:val="21"/>
    </w:rPr>
  </w:style>
  <w:style w:type="paragraph" w:customStyle="1" w:styleId="81">
    <w:name w:val="标准小四"/>
    <w:basedOn w:val="1"/>
    <w:qFormat/>
    <w:uiPriority w:val="0"/>
    <w:pPr>
      <w:spacing w:line="360" w:lineRule="auto"/>
      <w:ind w:firstLine="480" w:firstLineChars="200"/>
    </w:pPr>
    <w:rPr>
      <w:rFonts w:ascii="Arial" w:hAnsi="Arial"/>
      <w:sz w:val="24"/>
      <w:szCs w:val="21"/>
    </w:rPr>
  </w:style>
  <w:style w:type="paragraph" w:customStyle="1" w:styleId="82">
    <w:name w:val="Char2"/>
    <w:basedOn w:val="1"/>
    <w:qFormat/>
    <w:uiPriority w:val="0"/>
    <w:pPr>
      <w:tabs>
        <w:tab w:val="left" w:pos="1200"/>
      </w:tabs>
      <w:ind w:left="1200" w:hanging="720"/>
    </w:pPr>
    <w:rPr>
      <w:sz w:val="24"/>
      <w:szCs w:val="24"/>
    </w:rPr>
  </w:style>
  <w:style w:type="paragraph" w:customStyle="1" w:styleId="8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8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无间隔1"/>
    <w:qFormat/>
    <w:uiPriority w:val="0"/>
    <w:rPr>
      <w:rFonts w:ascii="Times New Roman" w:hAnsi="Times New Roman" w:eastAsia="宋体" w:cs="Times New Roman"/>
      <w:sz w:val="21"/>
      <w:lang w:val="en-US" w:eastAsia="zh-CN" w:bidi="ar-SA"/>
    </w:rPr>
  </w:style>
  <w:style w:type="paragraph" w:customStyle="1" w:styleId="86">
    <w:name w:val="Char11"/>
    <w:basedOn w:val="1"/>
    <w:qFormat/>
    <w:uiPriority w:val="0"/>
    <w:rPr>
      <w:szCs w:val="24"/>
    </w:rPr>
  </w:style>
  <w:style w:type="paragraph" w:customStyle="1" w:styleId="87">
    <w:name w:val="UserStyle_4"/>
    <w:basedOn w:val="1"/>
    <w:qFormat/>
    <w:uiPriority w:val="0"/>
    <w:pPr>
      <w:widowControl/>
      <w:ind w:firstLine="420" w:firstLineChars="200"/>
    </w:pPr>
    <w:rPr>
      <w:rFonts w:ascii="Calibri" w:hAnsi="Calibri"/>
      <w:szCs w:val="22"/>
    </w:rPr>
  </w:style>
  <w:style w:type="paragraph" w:customStyle="1" w:styleId="88">
    <w:name w:val="正文文本缩进1"/>
    <w:basedOn w:val="1"/>
    <w:qFormat/>
    <w:uiPriority w:val="0"/>
    <w:pPr>
      <w:spacing w:after="120"/>
      <w:ind w:left="420" w:leftChars="200"/>
    </w:pPr>
    <w:rPr>
      <w:szCs w:val="24"/>
    </w:rPr>
  </w:style>
  <w:style w:type="paragraph" w:customStyle="1" w:styleId="89">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标准正文"/>
    <w:basedOn w:val="1"/>
    <w:qFormat/>
    <w:uiPriority w:val="0"/>
    <w:pPr>
      <w:adjustRightInd w:val="0"/>
      <w:spacing w:line="360" w:lineRule="auto"/>
      <w:ind w:firstLine="480" w:firstLineChars="200"/>
    </w:pPr>
    <w:rPr>
      <w:kern w:val="0"/>
      <w:sz w:val="24"/>
    </w:rPr>
  </w:style>
  <w:style w:type="paragraph" w:customStyle="1" w:styleId="91">
    <w:name w:val="正文 居中"/>
    <w:basedOn w:val="1"/>
    <w:qFormat/>
    <w:uiPriority w:val="0"/>
    <w:pPr>
      <w:spacing w:line="360" w:lineRule="auto"/>
      <w:jc w:val="center"/>
    </w:pPr>
    <w:rPr>
      <w:rFonts w:cs="宋体"/>
      <w:sz w:val="24"/>
    </w:rPr>
  </w:style>
  <w:style w:type="paragraph" w:customStyle="1" w:styleId="92">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93">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正文编码"/>
    <w:basedOn w:val="14"/>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95">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96">
    <w:name w:val="Char Char Char"/>
    <w:basedOn w:val="1"/>
    <w:qFormat/>
    <w:uiPriority w:val="0"/>
    <w:pPr>
      <w:spacing w:before="120" w:after="120" w:line="360" w:lineRule="auto"/>
      <w:ind w:firstLine="200" w:firstLineChars="200"/>
    </w:pPr>
    <w:rPr>
      <w:rFonts w:ascii="Tahoma" w:hAnsi="Tahoma"/>
      <w:sz w:val="24"/>
    </w:rPr>
  </w:style>
  <w:style w:type="paragraph" w:customStyle="1" w:styleId="97">
    <w:name w:val="列出段落11"/>
    <w:basedOn w:val="1"/>
    <w:qFormat/>
    <w:uiPriority w:val="0"/>
    <w:pPr>
      <w:ind w:firstLine="420" w:firstLineChars="200"/>
    </w:pPr>
    <w:rPr>
      <w:szCs w:val="24"/>
    </w:rPr>
  </w:style>
  <w:style w:type="paragraph" w:customStyle="1" w:styleId="98">
    <w:name w:val="Table Text"/>
    <w:basedOn w:val="1"/>
    <w:qFormat/>
    <w:uiPriority w:val="0"/>
    <w:pPr>
      <w:widowControl/>
      <w:jc w:val="left"/>
    </w:pPr>
    <w:rPr>
      <w:rFonts w:ascii="Arial" w:hAnsi="Arial"/>
      <w:kern w:val="0"/>
      <w:szCs w:val="21"/>
    </w:rPr>
  </w:style>
  <w:style w:type="paragraph" w:customStyle="1" w:styleId="99">
    <w:name w:val="符号 2"/>
    <w:basedOn w:val="100"/>
    <w:qFormat/>
    <w:uiPriority w:val="0"/>
    <w:pPr>
      <w:tabs>
        <w:tab w:val="left" w:pos="900"/>
        <w:tab w:val="left" w:pos="1320"/>
      </w:tabs>
      <w:ind w:left="1320" w:hanging="420"/>
    </w:pPr>
  </w:style>
  <w:style w:type="paragraph" w:customStyle="1" w:styleId="100">
    <w:name w:val="符号 1"/>
    <w:basedOn w:val="20"/>
    <w:qFormat/>
    <w:uiPriority w:val="0"/>
    <w:pPr>
      <w:tabs>
        <w:tab w:val="left" w:pos="900"/>
      </w:tabs>
      <w:spacing w:line="360" w:lineRule="auto"/>
      <w:ind w:left="1200" w:hanging="720"/>
    </w:pPr>
    <w:rPr>
      <w:rFonts w:eastAsia="宋体"/>
      <w:kern w:val="28"/>
      <w:szCs w:val="24"/>
    </w:rPr>
  </w:style>
  <w:style w:type="paragraph" w:customStyle="1" w:styleId="101">
    <w:name w:val="默认段落字体11"/>
    <w:basedOn w:val="1"/>
    <w:qFormat/>
    <w:uiPriority w:val="0"/>
    <w:pPr>
      <w:widowControl/>
      <w:spacing w:before="100" w:beforeAutospacing="1" w:after="100" w:afterAutospacing="1"/>
      <w:jc w:val="left"/>
    </w:pPr>
    <w:rPr>
      <w:szCs w:val="22"/>
    </w:rPr>
  </w:style>
  <w:style w:type="paragraph" w:customStyle="1" w:styleId="10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0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4">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05">
    <w:name w:val="Char1"/>
    <w:basedOn w:val="1"/>
    <w:qFormat/>
    <w:uiPriority w:val="0"/>
    <w:rPr>
      <w:rFonts w:ascii="仿宋_GB2312" w:eastAsia="仿宋_GB2312"/>
      <w:b/>
      <w:sz w:val="32"/>
      <w:szCs w:val="32"/>
    </w:rPr>
  </w:style>
  <w:style w:type="paragraph" w:customStyle="1" w:styleId="106">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07">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09">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1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12">
    <w:name w:val="此正文"/>
    <w:basedOn w:val="1"/>
    <w:qFormat/>
    <w:uiPriority w:val="0"/>
    <w:pPr>
      <w:spacing w:line="360" w:lineRule="auto"/>
      <w:ind w:firstLine="200" w:firstLineChars="200"/>
    </w:pPr>
    <w:rPr>
      <w:sz w:val="24"/>
      <w:szCs w:val="24"/>
    </w:rPr>
  </w:style>
  <w:style w:type="paragraph" w:customStyle="1" w:styleId="113">
    <w:name w:val="Char Char Char Char"/>
    <w:basedOn w:val="1"/>
    <w:qFormat/>
    <w:uiPriority w:val="0"/>
    <w:pPr>
      <w:widowControl/>
      <w:spacing w:line="400" w:lineRule="exact"/>
      <w:jc w:val="center"/>
    </w:pPr>
    <w:rPr>
      <w:rFonts w:ascii="Verdana" w:hAnsi="Verdana"/>
      <w:kern w:val="0"/>
      <w:lang w:eastAsia="en-US"/>
    </w:rPr>
  </w:style>
  <w:style w:type="paragraph" w:customStyle="1" w:styleId="11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15">
    <w:name w:val="默认段落字体 Para Char Char Char Char Char Char Char Char Char Char"/>
    <w:basedOn w:val="1"/>
    <w:qFormat/>
    <w:uiPriority w:val="0"/>
    <w:rPr>
      <w:rFonts w:ascii="Tahoma" w:hAnsi="Tahoma"/>
      <w:sz w:val="24"/>
    </w:rPr>
  </w:style>
  <w:style w:type="paragraph" w:customStyle="1" w:styleId="116">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1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List Paragraph1"/>
    <w:basedOn w:val="1"/>
    <w:qFormat/>
    <w:uiPriority w:val="34"/>
    <w:pPr>
      <w:ind w:firstLine="420" w:firstLineChars="200"/>
    </w:pPr>
    <w:rPr>
      <w:szCs w:val="24"/>
    </w:rPr>
  </w:style>
  <w:style w:type="paragraph" w:customStyle="1" w:styleId="11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Item List in Table"/>
    <w:basedOn w:val="1"/>
    <w:qFormat/>
    <w:uiPriority w:val="0"/>
    <w:pPr>
      <w:widowControl/>
      <w:tabs>
        <w:tab w:val="left" w:pos="284"/>
      </w:tabs>
      <w:topLinePunct w:val="1"/>
      <w:adjustRightInd w:val="0"/>
      <w:snapToGrid w:val="0"/>
      <w:spacing w:before="80" w:after="80" w:line="240" w:lineRule="atLeast"/>
      <w:jc w:val="left"/>
    </w:pPr>
    <w:rPr>
      <w:rFonts w:cs="Arial"/>
      <w:kern w:val="0"/>
      <w:szCs w:val="21"/>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Proposals body"/>
    <w:basedOn w:val="1"/>
    <w:next w:val="1"/>
    <w:qFormat/>
    <w:uiPriority w:val="0"/>
    <w:pPr>
      <w:widowControl/>
      <w:spacing w:line="360" w:lineRule="auto"/>
      <w:jc w:val="left"/>
    </w:pPr>
    <w:rPr>
      <w:rFonts w:ascii="宋体"/>
      <w:color w:val="000000"/>
      <w:kern w:val="0"/>
      <w:sz w:val="24"/>
    </w:rPr>
  </w:style>
  <w:style w:type="paragraph" w:customStyle="1" w:styleId="123">
    <w:name w:val="UserStyle_2"/>
    <w:basedOn w:val="1"/>
    <w:qFormat/>
    <w:uiPriority w:val="0"/>
    <w:pPr>
      <w:widowControl/>
      <w:ind w:firstLine="420" w:firstLineChars="200"/>
      <w:textAlignment w:val="baseline"/>
    </w:pPr>
  </w:style>
  <w:style w:type="paragraph" w:customStyle="1" w:styleId="124">
    <w:name w:val="표준11"/>
    <w:basedOn w:val="1"/>
    <w:qFormat/>
    <w:uiPriority w:val="0"/>
    <w:pPr>
      <w:wordWrap w:val="0"/>
      <w:jc w:val="left"/>
    </w:pPr>
    <w:rPr>
      <w:rFonts w:ascii="Arial" w:hAnsi="Arial" w:eastAsia="BatangChe"/>
      <w:sz w:val="22"/>
      <w:lang w:eastAsia="ko-KR"/>
    </w:rPr>
  </w:style>
  <w:style w:type="paragraph" w:customStyle="1" w:styleId="125">
    <w:name w:val="Char Char Char Char Char Char Char Char Char Char"/>
    <w:basedOn w:val="1"/>
    <w:qFormat/>
    <w:uiPriority w:val="0"/>
    <w:pPr>
      <w:widowControl/>
      <w:spacing w:after="160" w:line="240" w:lineRule="exact"/>
      <w:jc w:val="left"/>
    </w:pPr>
  </w:style>
  <w:style w:type="paragraph" w:customStyle="1" w:styleId="126">
    <w:name w:val="列表段落1"/>
    <w:basedOn w:val="1"/>
    <w:qFormat/>
    <w:uiPriority w:val="34"/>
    <w:pPr>
      <w:ind w:firstLine="420" w:firstLineChars="200"/>
    </w:pPr>
  </w:style>
  <w:style w:type="paragraph" w:customStyle="1" w:styleId="127">
    <w:name w:val="_Style 243"/>
    <w:basedOn w:val="20"/>
    <w:next w:val="31"/>
    <w:link w:val="245"/>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128">
    <w:name w:val="段落文字"/>
    <w:basedOn w:val="1"/>
    <w:qFormat/>
    <w:uiPriority w:val="0"/>
    <w:pPr>
      <w:widowControl/>
      <w:spacing w:line="360" w:lineRule="auto"/>
      <w:ind w:firstLine="560" w:firstLineChars="200"/>
    </w:pPr>
    <w:rPr>
      <w:rFonts w:cs="黑体"/>
      <w:sz w:val="24"/>
      <w:szCs w:val="22"/>
    </w:rPr>
  </w:style>
  <w:style w:type="paragraph" w:customStyle="1" w:styleId="129">
    <w:name w:val="样式3"/>
    <w:basedOn w:val="25"/>
    <w:qFormat/>
    <w:uiPriority w:val="0"/>
    <w:pPr>
      <w:spacing w:line="0" w:lineRule="atLeast"/>
      <w:outlineLvl w:val="0"/>
    </w:pPr>
    <w:rPr>
      <w:sz w:val="28"/>
    </w:rPr>
  </w:style>
  <w:style w:type="character" w:customStyle="1" w:styleId="130">
    <w:name w:val="标题 1 Char1"/>
    <w:link w:val="2"/>
    <w:qFormat/>
    <w:locked/>
    <w:uiPriority w:val="9"/>
    <w:rPr>
      <w:rFonts w:ascii="宋体" w:hAnsi="宋体" w:eastAsia="宋体" w:cs="宋体"/>
      <w:b/>
      <w:kern w:val="44"/>
      <w:sz w:val="44"/>
      <w:szCs w:val="44"/>
      <w:lang w:val="en-US" w:eastAsia="zh-CN"/>
    </w:rPr>
  </w:style>
  <w:style w:type="character" w:customStyle="1" w:styleId="131">
    <w:name w:val="标题 2 Char1"/>
    <w:link w:val="3"/>
    <w:qFormat/>
    <w:locked/>
    <w:uiPriority w:val="9"/>
    <w:rPr>
      <w:rFonts w:ascii="Cambria" w:hAnsi="Cambria" w:eastAsia="宋体" w:cs="Cambria"/>
      <w:kern w:val="2"/>
      <w:sz w:val="21"/>
      <w:szCs w:val="21"/>
      <w:lang w:val="en-US" w:eastAsia="zh-CN"/>
    </w:rPr>
  </w:style>
  <w:style w:type="character" w:customStyle="1" w:styleId="132">
    <w:name w:val="标题 3 Char1"/>
    <w:link w:val="4"/>
    <w:qFormat/>
    <w:locked/>
    <w:uiPriority w:val="9"/>
    <w:rPr>
      <w:rFonts w:ascii="宋体" w:hAnsi="宋体" w:eastAsia="宋体" w:cs="宋体"/>
      <w:b/>
      <w:kern w:val="2"/>
      <w:sz w:val="32"/>
      <w:szCs w:val="32"/>
      <w:lang w:val="en-US" w:eastAsia="zh-CN"/>
    </w:rPr>
  </w:style>
  <w:style w:type="character" w:customStyle="1" w:styleId="133">
    <w:name w:val="标题 4 Char"/>
    <w:link w:val="5"/>
    <w:qFormat/>
    <w:locked/>
    <w:uiPriority w:val="0"/>
    <w:rPr>
      <w:rFonts w:ascii="Arial" w:hAnsi="Arial" w:eastAsia="黑体"/>
      <w:b/>
      <w:kern w:val="2"/>
      <w:sz w:val="28"/>
      <w:lang w:val="en-US" w:eastAsia="zh-CN"/>
    </w:rPr>
  </w:style>
  <w:style w:type="character" w:customStyle="1" w:styleId="134">
    <w:name w:val="标题 5 Char"/>
    <w:link w:val="6"/>
    <w:qFormat/>
    <w:locked/>
    <w:uiPriority w:val="9"/>
    <w:rPr>
      <w:rFonts w:eastAsia="宋体"/>
      <w:b/>
      <w:kern w:val="2"/>
      <w:sz w:val="28"/>
      <w:lang w:val="en-US" w:eastAsia="zh-CN"/>
    </w:rPr>
  </w:style>
  <w:style w:type="character" w:customStyle="1" w:styleId="135">
    <w:name w:val="标题 6 Char"/>
    <w:link w:val="7"/>
    <w:qFormat/>
    <w:locked/>
    <w:uiPriority w:val="9"/>
    <w:rPr>
      <w:rFonts w:ascii="Cambria" w:hAnsi="Cambria" w:eastAsia="宋体"/>
      <w:b/>
      <w:kern w:val="2"/>
      <w:sz w:val="24"/>
      <w:lang w:val="en-US" w:eastAsia="zh-CN"/>
    </w:rPr>
  </w:style>
  <w:style w:type="character" w:customStyle="1" w:styleId="136">
    <w:name w:val="标题 7 Char"/>
    <w:link w:val="8"/>
    <w:qFormat/>
    <w:locked/>
    <w:uiPriority w:val="9"/>
    <w:rPr>
      <w:b/>
      <w:kern w:val="2"/>
      <w:sz w:val="24"/>
    </w:rPr>
  </w:style>
  <w:style w:type="character" w:customStyle="1" w:styleId="137">
    <w:name w:val="标题 8 Char"/>
    <w:link w:val="9"/>
    <w:qFormat/>
    <w:locked/>
    <w:uiPriority w:val="9"/>
    <w:rPr>
      <w:rFonts w:ascii="Arial" w:hAnsi="Arial" w:eastAsia="黑体"/>
      <w:kern w:val="2"/>
      <w:sz w:val="24"/>
    </w:rPr>
  </w:style>
  <w:style w:type="character" w:customStyle="1" w:styleId="138">
    <w:name w:val="标题 9 Char"/>
    <w:link w:val="10"/>
    <w:qFormat/>
    <w:locked/>
    <w:uiPriority w:val="9"/>
    <w:rPr>
      <w:rFonts w:ascii="Arial" w:hAnsi="Arial" w:eastAsia="黑体"/>
      <w:kern w:val="2"/>
      <w:sz w:val="21"/>
    </w:rPr>
  </w:style>
  <w:style w:type="character" w:customStyle="1" w:styleId="139">
    <w:name w:val="正文缩进 Char1"/>
    <w:link w:val="17"/>
    <w:qFormat/>
    <w:locked/>
    <w:uiPriority w:val="0"/>
    <w:rPr>
      <w:rFonts w:ascii="宋体" w:hAnsi="宋体" w:eastAsia="宋体" w:cs="宋体"/>
      <w:spacing w:val="14"/>
      <w:kern w:val="24"/>
      <w:sz w:val="24"/>
      <w:szCs w:val="24"/>
      <w:lang w:val="en-US" w:eastAsia="zh-CN"/>
    </w:rPr>
  </w:style>
  <w:style w:type="character" w:customStyle="1" w:styleId="140">
    <w:name w:val="文档结构图 Char"/>
    <w:link w:val="18"/>
    <w:qFormat/>
    <w:locked/>
    <w:uiPriority w:val="99"/>
    <w:rPr>
      <w:rFonts w:eastAsia="宋体"/>
      <w:kern w:val="2"/>
      <w:sz w:val="21"/>
      <w:lang w:val="en-US" w:eastAsia="zh-CN"/>
    </w:rPr>
  </w:style>
  <w:style w:type="character" w:customStyle="1" w:styleId="141">
    <w:name w:val="批注文字 Char1"/>
    <w:link w:val="12"/>
    <w:qFormat/>
    <w:locked/>
    <w:uiPriority w:val="99"/>
    <w:rPr>
      <w:rFonts w:ascii="宋体" w:hAnsi="宋体" w:eastAsia="宋体" w:cs="宋体"/>
      <w:kern w:val="2"/>
      <w:sz w:val="21"/>
      <w:szCs w:val="21"/>
      <w:lang w:val="en-US" w:eastAsia="zh-CN"/>
    </w:rPr>
  </w:style>
  <w:style w:type="character" w:customStyle="1" w:styleId="142">
    <w:name w:val="正文文本 3 Char"/>
    <w:link w:val="19"/>
    <w:qFormat/>
    <w:locked/>
    <w:uiPriority w:val="99"/>
    <w:rPr>
      <w:rFonts w:eastAsia="宋体"/>
      <w:sz w:val="16"/>
    </w:rPr>
  </w:style>
  <w:style w:type="character" w:customStyle="1" w:styleId="143">
    <w:name w:val="正文文本 Char2"/>
    <w:link w:val="15"/>
    <w:qFormat/>
    <w:locked/>
    <w:uiPriority w:val="99"/>
    <w:rPr>
      <w:rFonts w:ascii="宋体" w:hAnsi="宋体" w:eastAsia="宋体" w:cs="宋体"/>
      <w:lang w:val="en-US" w:eastAsia="zh-CN"/>
    </w:rPr>
  </w:style>
  <w:style w:type="character" w:customStyle="1" w:styleId="144">
    <w:name w:val="正文文本缩进 Char2"/>
    <w:link w:val="20"/>
    <w:qFormat/>
    <w:locked/>
    <w:uiPriority w:val="99"/>
    <w:rPr>
      <w:rFonts w:eastAsia="方正书宋简体"/>
      <w:kern w:val="2"/>
      <w:sz w:val="24"/>
      <w:lang w:val="en-US" w:eastAsia="zh-CN"/>
    </w:rPr>
  </w:style>
  <w:style w:type="character" w:customStyle="1" w:styleId="145">
    <w:name w:val="纯文本 Char3"/>
    <w:link w:val="25"/>
    <w:qFormat/>
    <w:locked/>
    <w:uiPriority w:val="99"/>
    <w:rPr>
      <w:rFonts w:ascii="宋体" w:hAnsi="Courier New" w:eastAsia="宋体" w:cs="宋体"/>
      <w:lang w:val="en-US" w:eastAsia="zh-CN"/>
    </w:rPr>
  </w:style>
  <w:style w:type="character" w:customStyle="1" w:styleId="146">
    <w:name w:val="日期 Char"/>
    <w:link w:val="27"/>
    <w:qFormat/>
    <w:locked/>
    <w:uiPriority w:val="99"/>
    <w:rPr>
      <w:rFonts w:ascii="宋体" w:cs="Times New Roman"/>
      <w:sz w:val="24"/>
    </w:rPr>
  </w:style>
  <w:style w:type="character" w:customStyle="1" w:styleId="147">
    <w:name w:val="正文文本缩进 2 Char"/>
    <w:link w:val="28"/>
    <w:qFormat/>
    <w:locked/>
    <w:uiPriority w:val="99"/>
    <w:rPr>
      <w:rFonts w:ascii="宋体" w:eastAsia="宋体"/>
      <w:kern w:val="2"/>
      <w:sz w:val="24"/>
      <w:lang w:val="en-US" w:eastAsia="zh-CN"/>
    </w:rPr>
  </w:style>
  <w:style w:type="character" w:customStyle="1" w:styleId="148">
    <w:name w:val="批注框文本 Char1"/>
    <w:link w:val="29"/>
    <w:qFormat/>
    <w:locked/>
    <w:uiPriority w:val="99"/>
    <w:rPr>
      <w:rFonts w:ascii="宋体" w:hAnsi="宋体" w:eastAsia="宋体" w:cs="宋体"/>
      <w:kern w:val="2"/>
      <w:sz w:val="18"/>
      <w:szCs w:val="18"/>
      <w:lang w:val="en-US" w:eastAsia="zh-CN"/>
    </w:rPr>
  </w:style>
  <w:style w:type="character" w:customStyle="1" w:styleId="149">
    <w:name w:val="页脚 Char1"/>
    <w:link w:val="30"/>
    <w:qFormat/>
    <w:locked/>
    <w:uiPriority w:val="99"/>
    <w:rPr>
      <w:rFonts w:ascii="宋体" w:hAnsi="宋体" w:eastAsia="宋体" w:cs="宋体"/>
      <w:kern w:val="2"/>
      <w:sz w:val="18"/>
      <w:szCs w:val="18"/>
      <w:lang w:val="en-US" w:eastAsia="zh-CN"/>
    </w:rPr>
  </w:style>
  <w:style w:type="character" w:customStyle="1" w:styleId="150">
    <w:name w:val="页眉 Char1"/>
    <w:link w:val="32"/>
    <w:qFormat/>
    <w:locked/>
    <w:uiPriority w:val="99"/>
    <w:rPr>
      <w:rFonts w:ascii="宋体" w:hAnsi="宋体" w:eastAsia="宋体" w:cs="宋体"/>
      <w:kern w:val="2"/>
      <w:sz w:val="18"/>
      <w:szCs w:val="18"/>
      <w:lang w:val="en-US" w:eastAsia="zh-CN"/>
    </w:rPr>
  </w:style>
  <w:style w:type="character" w:customStyle="1" w:styleId="151">
    <w:name w:val="正文文本缩进 3 Char1"/>
    <w:link w:val="38"/>
    <w:qFormat/>
    <w:locked/>
    <w:uiPriority w:val="99"/>
    <w:rPr>
      <w:rFonts w:ascii="宋体" w:hAnsi="宋体" w:eastAsia="宋体" w:cs="宋体"/>
      <w:b/>
      <w:kern w:val="2"/>
      <w:sz w:val="24"/>
      <w:szCs w:val="24"/>
      <w:lang w:val="en-US" w:eastAsia="zh-CN"/>
    </w:rPr>
  </w:style>
  <w:style w:type="character" w:customStyle="1" w:styleId="152">
    <w:name w:val="正文文本 2 Char"/>
    <w:link w:val="42"/>
    <w:qFormat/>
    <w:locked/>
    <w:uiPriority w:val="99"/>
    <w:rPr>
      <w:rFonts w:eastAsia="宋体"/>
      <w:sz w:val="24"/>
    </w:rPr>
  </w:style>
  <w:style w:type="character" w:customStyle="1" w:styleId="153">
    <w:name w:val="HTML 预设格式 Char"/>
    <w:link w:val="43"/>
    <w:qFormat/>
    <w:locked/>
    <w:uiPriority w:val="99"/>
    <w:rPr>
      <w:rFonts w:ascii="Courier New" w:hAnsi="Courier New"/>
      <w:kern w:val="2"/>
    </w:rPr>
  </w:style>
  <w:style w:type="character" w:customStyle="1" w:styleId="154">
    <w:name w:val="批注主题 Char1"/>
    <w:link w:val="11"/>
    <w:qFormat/>
    <w:locked/>
    <w:uiPriority w:val="99"/>
    <w:rPr>
      <w:rFonts w:ascii="宋体" w:hAnsi="宋体" w:eastAsia="宋体" w:cs="宋体"/>
      <w:b/>
      <w:kern w:val="2"/>
      <w:sz w:val="21"/>
      <w:szCs w:val="21"/>
      <w:lang w:val="en-US" w:eastAsia="zh-CN"/>
    </w:rPr>
  </w:style>
  <w:style w:type="character" w:customStyle="1" w:styleId="155">
    <w:name w:val="正文首行缩进 Char"/>
    <w:link w:val="14"/>
    <w:qFormat/>
    <w:locked/>
    <w:uiPriority w:val="99"/>
    <w:rPr>
      <w:rFonts w:ascii="宋体" w:hAnsi="宋体" w:eastAsia="宋体" w:cs="宋体"/>
      <w:i/>
      <w:kern w:val="2"/>
      <w:sz w:val="24"/>
      <w:lang w:val="en-US" w:eastAsia="zh-CN"/>
    </w:rPr>
  </w:style>
  <w:style w:type="character" w:customStyle="1" w:styleId="156">
    <w:name w:val="正文首行缩进 2 Char"/>
    <w:link w:val="31"/>
    <w:qFormat/>
    <w:uiPriority w:val="0"/>
    <w:rPr>
      <w:rFonts w:ascii="Calibri" w:hAnsi="Calibri" w:eastAsia="幼圆"/>
      <w:szCs w:val="24"/>
      <w:lang w:val="en-US" w:eastAsia="zh-CN"/>
    </w:rPr>
  </w:style>
  <w:style w:type="character" w:customStyle="1" w:styleId="157">
    <w:name w:val="正文文本缩进 2 字符"/>
    <w:qFormat/>
    <w:locked/>
    <w:uiPriority w:val="99"/>
    <w:rPr>
      <w:rFonts w:ascii="宋体" w:eastAsia="宋体"/>
      <w:kern w:val="2"/>
      <w:sz w:val="24"/>
      <w:lang w:val="en-US" w:eastAsia="zh-CN"/>
    </w:rPr>
  </w:style>
  <w:style w:type="character" w:customStyle="1" w:styleId="158">
    <w:name w:val="标题 1 字符"/>
    <w:qFormat/>
    <w:locked/>
    <w:uiPriority w:val="9"/>
    <w:rPr>
      <w:rFonts w:ascii="宋体" w:hAnsi="宋体" w:eastAsia="宋体" w:cs="宋体"/>
      <w:b/>
      <w:kern w:val="44"/>
      <w:sz w:val="44"/>
      <w:szCs w:val="44"/>
      <w:lang w:val="en-US" w:eastAsia="zh-CN"/>
    </w:rPr>
  </w:style>
  <w:style w:type="character" w:customStyle="1" w:styleId="159">
    <w:name w:val="正文文本缩进 Char1"/>
    <w:qFormat/>
    <w:uiPriority w:val="0"/>
    <w:rPr>
      <w:rFonts w:eastAsia="方正书宋简体"/>
      <w:kern w:val="2"/>
      <w:sz w:val="24"/>
      <w:lang w:val="en-US" w:eastAsia="zh-CN"/>
    </w:rPr>
  </w:style>
  <w:style w:type="character" w:customStyle="1" w:styleId="160">
    <w:name w:val="正文文本 3 字符"/>
    <w:qFormat/>
    <w:locked/>
    <w:uiPriority w:val="99"/>
    <w:rPr>
      <w:rFonts w:eastAsia="宋体"/>
      <w:sz w:val="16"/>
    </w:rPr>
  </w:style>
  <w:style w:type="character" w:customStyle="1" w:styleId="161">
    <w:name w:val="样式5 Char"/>
    <w:link w:val="56"/>
    <w:qFormat/>
    <w:locked/>
    <w:uiPriority w:val="0"/>
    <w:rPr>
      <w:rFonts w:eastAsia="宋体"/>
      <w:b/>
      <w:kern w:val="2"/>
      <w:sz w:val="28"/>
      <w:lang w:val="en-US" w:eastAsia="zh-CN"/>
    </w:rPr>
  </w:style>
  <w:style w:type="character" w:customStyle="1" w:styleId="162">
    <w:name w:val="正文缩进 Char"/>
    <w:qFormat/>
    <w:uiPriority w:val="0"/>
    <w:rPr>
      <w:rFonts w:eastAsia="宋体"/>
      <w:kern w:val="2"/>
      <w:sz w:val="24"/>
      <w:lang w:val="en-US" w:eastAsia="zh-CN"/>
    </w:rPr>
  </w:style>
  <w:style w:type="character" w:customStyle="1" w:styleId="163">
    <w:name w:val="标题 3 字符"/>
    <w:qFormat/>
    <w:locked/>
    <w:uiPriority w:val="9"/>
    <w:rPr>
      <w:rFonts w:ascii="宋体" w:hAnsi="宋体" w:eastAsia="宋体" w:cs="宋体"/>
      <w:b/>
      <w:kern w:val="2"/>
      <w:sz w:val="32"/>
      <w:szCs w:val="32"/>
      <w:lang w:val="en-US" w:eastAsia="zh-CN"/>
    </w:rPr>
  </w:style>
  <w:style w:type="character" w:customStyle="1" w:styleId="164">
    <w:name w:val="标题 4 字符"/>
    <w:qFormat/>
    <w:locked/>
    <w:uiPriority w:val="9"/>
    <w:rPr>
      <w:rFonts w:ascii="Arial" w:hAnsi="Arial" w:eastAsia="黑体"/>
      <w:b/>
      <w:kern w:val="2"/>
      <w:sz w:val="28"/>
      <w:lang w:val="en-US" w:eastAsia="zh-CN"/>
    </w:rPr>
  </w:style>
  <w:style w:type="character" w:customStyle="1" w:styleId="165">
    <w:name w:val="正文文本缩进 3 Char"/>
    <w:qFormat/>
    <w:uiPriority w:val="0"/>
    <w:rPr>
      <w:rFonts w:ascii="宋体" w:eastAsia="宋体"/>
      <w:kern w:val="2"/>
      <w:sz w:val="24"/>
      <w:lang w:val="en-US" w:eastAsia="zh-CN"/>
    </w:rPr>
  </w:style>
  <w:style w:type="character" w:customStyle="1" w:styleId="166">
    <w:name w:val="标题 8 字符"/>
    <w:qFormat/>
    <w:locked/>
    <w:uiPriority w:val="9"/>
    <w:rPr>
      <w:rFonts w:ascii="Arial" w:hAnsi="Arial" w:eastAsia="黑体"/>
      <w:kern w:val="2"/>
      <w:sz w:val="24"/>
    </w:rPr>
  </w:style>
  <w:style w:type="character" w:customStyle="1" w:styleId="167">
    <w:name w:val="日期 字符1"/>
    <w:semiHidden/>
    <w:qFormat/>
    <w:uiPriority w:val="99"/>
    <w:rPr>
      <w:kern w:val="2"/>
      <w:sz w:val="21"/>
    </w:rPr>
  </w:style>
  <w:style w:type="character" w:customStyle="1" w:styleId="168">
    <w:name w:val="纯文本 Char Char"/>
    <w:link w:val="57"/>
    <w:qFormat/>
    <w:uiPriority w:val="0"/>
    <w:rPr>
      <w:rFonts w:ascii="宋体" w:hAnsi="Courier New"/>
      <w:kern w:val="2"/>
      <w:sz w:val="21"/>
    </w:rPr>
  </w:style>
  <w:style w:type="character" w:customStyle="1" w:styleId="169">
    <w:name w:val="纯文本 字符"/>
    <w:qFormat/>
    <w:locked/>
    <w:uiPriority w:val="99"/>
    <w:rPr>
      <w:rFonts w:ascii="宋体" w:hAnsi="Courier New" w:eastAsia="宋体" w:cs="宋体"/>
      <w:lang w:val="en-US" w:eastAsia="zh-CN"/>
    </w:rPr>
  </w:style>
  <w:style w:type="character" w:customStyle="1" w:styleId="170">
    <w:name w:val="批注文字 Char"/>
    <w:qFormat/>
    <w:locked/>
    <w:uiPriority w:val="99"/>
    <w:rPr>
      <w:rFonts w:cs="Times New Roman"/>
      <w:kern w:val="2"/>
      <w:sz w:val="21"/>
    </w:rPr>
  </w:style>
  <w:style w:type="character" w:customStyle="1" w:styleId="171">
    <w:name w:val="批注框文本 字符"/>
    <w:qFormat/>
    <w:locked/>
    <w:uiPriority w:val="99"/>
    <w:rPr>
      <w:rFonts w:ascii="宋体" w:hAnsi="宋体" w:eastAsia="宋体" w:cs="宋体"/>
      <w:kern w:val="2"/>
      <w:sz w:val="18"/>
      <w:szCs w:val="18"/>
      <w:lang w:val="en-US" w:eastAsia="zh-CN"/>
    </w:rPr>
  </w:style>
  <w:style w:type="character" w:customStyle="1" w:styleId="172">
    <w:name w:val="方案－正文 Char"/>
    <w:link w:val="58"/>
    <w:qFormat/>
    <w:locked/>
    <w:uiPriority w:val="0"/>
    <w:rPr>
      <w:rFonts w:ascii="仿宋_GB2312" w:hAnsi="宋体"/>
      <w:sz w:val="24"/>
    </w:rPr>
  </w:style>
  <w:style w:type="character" w:customStyle="1" w:styleId="173">
    <w:name w:val="apple-converted-space"/>
    <w:qFormat/>
    <w:uiPriority w:val="0"/>
    <w:rPr>
      <w:rFonts w:cs="Times New Roman"/>
    </w:rPr>
  </w:style>
  <w:style w:type="character" w:customStyle="1" w:styleId="174">
    <w:name w:val="NormalCharacter"/>
    <w:qFormat/>
    <w:uiPriority w:val="0"/>
  </w:style>
  <w:style w:type="character" w:customStyle="1" w:styleId="175">
    <w:name w:val="正文文本 Char1"/>
    <w:qFormat/>
    <w:uiPriority w:val="0"/>
    <w:rPr>
      <w:rFonts w:ascii="Times New Roman" w:hAnsi="Times New Roman" w:eastAsia="宋体" w:cs="Times New Roman"/>
      <w:sz w:val="24"/>
      <w:szCs w:val="24"/>
    </w:rPr>
  </w:style>
  <w:style w:type="character" w:customStyle="1" w:styleId="176">
    <w:name w:val="标题 1 Char Char"/>
    <w:qFormat/>
    <w:uiPriority w:val="0"/>
    <w:rPr>
      <w:rFonts w:eastAsia="宋体"/>
      <w:b/>
      <w:spacing w:val="-2"/>
      <w:sz w:val="24"/>
      <w:lang w:val="en-US" w:eastAsia="zh-CN"/>
    </w:rPr>
  </w:style>
  <w:style w:type="character" w:customStyle="1" w:styleId="177">
    <w:name w:val="标题2正文 Char Char"/>
    <w:link w:val="59"/>
    <w:qFormat/>
    <w:locked/>
    <w:uiPriority w:val="0"/>
    <w:rPr>
      <w:rFonts w:eastAsia="宋体"/>
      <w:sz w:val="24"/>
    </w:rPr>
  </w:style>
  <w:style w:type="character" w:customStyle="1" w:styleId="178">
    <w:name w:val="列出段落 Char"/>
    <w:link w:val="60"/>
    <w:qFormat/>
    <w:locked/>
    <w:uiPriority w:val="99"/>
    <w:rPr>
      <w:rFonts w:eastAsia="宋体"/>
      <w:kern w:val="2"/>
      <w:sz w:val="24"/>
      <w:lang w:val="en-US" w:eastAsia="zh-CN"/>
    </w:rPr>
  </w:style>
  <w:style w:type="character" w:customStyle="1" w:styleId="179">
    <w:name w:val="标题 9 字符"/>
    <w:qFormat/>
    <w:locked/>
    <w:uiPriority w:val="9"/>
    <w:rPr>
      <w:rFonts w:ascii="Arial" w:hAnsi="Arial" w:eastAsia="黑体"/>
      <w:kern w:val="2"/>
      <w:sz w:val="21"/>
    </w:rPr>
  </w:style>
  <w:style w:type="character" w:customStyle="1" w:styleId="180">
    <w:name w:val="日期 字符"/>
    <w:qFormat/>
    <w:locked/>
    <w:uiPriority w:val="99"/>
    <w:rPr>
      <w:rFonts w:ascii="宋体" w:cs="Times New Roman"/>
      <w:sz w:val="24"/>
    </w:rPr>
  </w:style>
  <w:style w:type="character" w:customStyle="1" w:styleId="181">
    <w:name w:val="hui3"/>
    <w:qFormat/>
    <w:uiPriority w:val="0"/>
    <w:rPr>
      <w:color w:val="333333"/>
    </w:rPr>
  </w:style>
  <w:style w:type="character" w:customStyle="1" w:styleId="182">
    <w:name w:val="正文文本 2 字符1"/>
    <w:semiHidden/>
    <w:qFormat/>
    <w:uiPriority w:val="99"/>
    <w:rPr>
      <w:kern w:val="2"/>
      <w:sz w:val="21"/>
    </w:rPr>
  </w:style>
  <w:style w:type="character" w:customStyle="1" w:styleId="183">
    <w:name w:val="批注文字 字符1"/>
    <w:semiHidden/>
    <w:qFormat/>
    <w:uiPriority w:val="99"/>
    <w:rPr>
      <w:kern w:val="2"/>
      <w:sz w:val="21"/>
    </w:rPr>
  </w:style>
  <w:style w:type="character" w:customStyle="1" w:styleId="184">
    <w:name w:val="标题 5 字符"/>
    <w:qFormat/>
    <w:locked/>
    <w:uiPriority w:val="9"/>
    <w:rPr>
      <w:rFonts w:eastAsia="宋体"/>
      <w:b/>
      <w:kern w:val="2"/>
      <w:sz w:val="28"/>
      <w:lang w:val="en-US" w:eastAsia="zh-CN"/>
    </w:rPr>
  </w:style>
  <w:style w:type="character" w:customStyle="1" w:styleId="185">
    <w:name w:val="批注主题 字符"/>
    <w:qFormat/>
    <w:locked/>
    <w:uiPriority w:val="99"/>
    <w:rPr>
      <w:rFonts w:ascii="宋体" w:hAnsi="宋体" w:eastAsia="宋体" w:cs="宋体"/>
      <w:b/>
      <w:kern w:val="2"/>
      <w:sz w:val="21"/>
      <w:szCs w:val="21"/>
      <w:lang w:val="en-US" w:eastAsia="zh-CN"/>
    </w:rPr>
  </w:style>
  <w:style w:type="character" w:customStyle="1" w:styleId="186">
    <w:name w:val="纯文本 Char1"/>
    <w:qFormat/>
    <w:locked/>
    <w:uiPriority w:val="0"/>
    <w:rPr>
      <w:rFonts w:ascii="宋体" w:hAnsi="Courier New" w:eastAsia="宋体" w:cs="宋体"/>
      <w:lang w:val="en-US" w:eastAsia="zh-CN"/>
    </w:rPr>
  </w:style>
  <w:style w:type="character" w:customStyle="1" w:styleId="187">
    <w:name w:val="未处理的提及1"/>
    <w:unhideWhenUsed/>
    <w:qFormat/>
    <w:uiPriority w:val="99"/>
    <w:rPr>
      <w:color w:val="605E5C"/>
      <w:shd w:val="clear" w:color="auto" w:fill="E1DFDD"/>
    </w:rPr>
  </w:style>
  <w:style w:type="character" w:customStyle="1" w:styleId="188">
    <w:name w:val="标题 6 字符"/>
    <w:qFormat/>
    <w:locked/>
    <w:uiPriority w:val="9"/>
    <w:rPr>
      <w:rFonts w:ascii="Cambria" w:hAnsi="Cambria" w:eastAsia="宋体"/>
      <w:b/>
      <w:kern w:val="2"/>
      <w:sz w:val="24"/>
      <w:lang w:val="en-US" w:eastAsia="zh-CN"/>
    </w:rPr>
  </w:style>
  <w:style w:type="character" w:customStyle="1" w:styleId="189">
    <w:name w:val="h6 Char"/>
    <w:qFormat/>
    <w:uiPriority w:val="0"/>
    <w:rPr>
      <w:rFonts w:ascii="Arial" w:hAnsi="Arial" w:eastAsia="宋体"/>
      <w:b/>
      <w:kern w:val="2"/>
      <w:sz w:val="24"/>
      <w:lang w:val="en-US" w:eastAsia="zh-CN"/>
    </w:rPr>
  </w:style>
  <w:style w:type="character" w:customStyle="1" w:styleId="190">
    <w:name w:val="正文文本缩进 字符2"/>
    <w:semiHidden/>
    <w:qFormat/>
    <w:uiPriority w:val="99"/>
    <w:rPr>
      <w:kern w:val="2"/>
      <w:sz w:val="21"/>
    </w:rPr>
  </w:style>
  <w:style w:type="character" w:customStyle="1" w:styleId="191">
    <w:name w:val="无间距字符"/>
    <w:link w:val="61"/>
    <w:qFormat/>
    <w:locked/>
    <w:uiPriority w:val="0"/>
    <w:rPr>
      <w:rFonts w:ascii="Calibri" w:hAnsi="Calibri"/>
      <w:sz w:val="22"/>
      <w:lang w:val="en-US" w:eastAsia="zh-CN" w:bidi="ar-SA"/>
    </w:rPr>
  </w:style>
  <w:style w:type="character" w:customStyle="1" w:styleId="192">
    <w:name w:val="正文首行缩进 字符"/>
    <w:qFormat/>
    <w:locked/>
    <w:uiPriority w:val="99"/>
    <w:rPr>
      <w:rFonts w:ascii="宋体" w:hAnsi="宋体" w:eastAsia="宋体" w:cs="宋体"/>
      <w:i/>
      <w:kern w:val="2"/>
      <w:sz w:val="24"/>
      <w:lang w:val="en-US" w:eastAsia="zh-CN"/>
    </w:rPr>
  </w:style>
  <w:style w:type="character" w:customStyle="1" w:styleId="193">
    <w:name w:val="List Paragraph Char"/>
    <w:link w:val="62"/>
    <w:qFormat/>
    <w:locked/>
    <w:uiPriority w:val="0"/>
    <w:rPr>
      <w:rFonts w:ascii="Calibri" w:hAnsi="Calibri" w:eastAsia="宋体"/>
      <w:kern w:val="2"/>
      <w:sz w:val="22"/>
      <w:lang w:val="en-US" w:eastAsia="zh-CN"/>
    </w:rPr>
  </w:style>
  <w:style w:type="character" w:customStyle="1" w:styleId="194">
    <w:name w:val="font61"/>
    <w:qFormat/>
    <w:uiPriority w:val="0"/>
    <w:rPr>
      <w:rFonts w:ascii="Times New Roman" w:hAnsi="Times New Roman"/>
      <w:color w:val="000000"/>
      <w:sz w:val="20"/>
      <w:u w:val="none"/>
    </w:rPr>
  </w:style>
  <w:style w:type="character" w:customStyle="1" w:styleId="195">
    <w:name w:val="正文缩进 字符"/>
    <w:qFormat/>
    <w:locked/>
    <w:uiPriority w:val="0"/>
    <w:rPr>
      <w:rFonts w:ascii="宋体" w:hAnsi="宋体" w:eastAsia="宋体" w:cs="宋体"/>
      <w:spacing w:val="14"/>
      <w:kern w:val="24"/>
      <w:sz w:val="24"/>
      <w:szCs w:val="24"/>
      <w:lang w:val="en-US" w:eastAsia="zh-CN"/>
    </w:rPr>
  </w:style>
  <w:style w:type="character" w:customStyle="1" w:styleId="196">
    <w:name w:val="HTML 预设格式 字符1"/>
    <w:semiHidden/>
    <w:qFormat/>
    <w:uiPriority w:val="99"/>
    <w:rPr>
      <w:rFonts w:ascii="Courier New" w:hAnsi="Courier New" w:cs="Courier New"/>
      <w:kern w:val="2"/>
    </w:rPr>
  </w:style>
  <w:style w:type="character" w:customStyle="1" w:styleId="197">
    <w:name w:val="样式4 Char"/>
    <w:link w:val="63"/>
    <w:qFormat/>
    <w:locked/>
    <w:uiPriority w:val="0"/>
    <w:rPr>
      <w:rFonts w:ascii="黑体" w:hAnsi="黑体" w:eastAsia="黑体"/>
      <w:kern w:val="44"/>
      <w:sz w:val="44"/>
      <w:lang w:val="en-US" w:eastAsia="zh-CN"/>
    </w:rPr>
  </w:style>
  <w:style w:type="character" w:customStyle="1" w:styleId="198">
    <w:name w:val="font21"/>
    <w:qFormat/>
    <w:uiPriority w:val="0"/>
    <w:rPr>
      <w:rFonts w:ascii="Arial" w:hAnsi="Arial" w:eastAsia="Arial"/>
      <w:color w:val="000000"/>
      <w:sz w:val="22"/>
      <w:szCs w:val="22"/>
      <w:u w:val="none"/>
      <w:shd w:val="clear" w:color="000000" w:fill="auto"/>
    </w:rPr>
  </w:style>
  <w:style w:type="character" w:customStyle="1" w:styleId="199">
    <w:name w:val="font31"/>
    <w:qFormat/>
    <w:uiPriority w:val="0"/>
    <w:rPr>
      <w:rFonts w:ascii="宋体" w:hAnsi="宋体" w:eastAsia="宋体"/>
      <w:color w:val="000000"/>
      <w:sz w:val="22"/>
      <w:szCs w:val="22"/>
      <w:u w:val="none"/>
      <w:shd w:val="clear" w:color="000000" w:fill="auto"/>
    </w:rPr>
  </w:style>
  <w:style w:type="character" w:customStyle="1" w:styleId="200">
    <w:name w:val="标题 7 字符"/>
    <w:qFormat/>
    <w:locked/>
    <w:uiPriority w:val="9"/>
    <w:rPr>
      <w:b/>
      <w:kern w:val="2"/>
      <w:sz w:val="24"/>
    </w:rPr>
  </w:style>
  <w:style w:type="character" w:customStyle="1" w:styleId="201">
    <w:name w:val="HTML 预设格式 字符"/>
    <w:qFormat/>
    <w:locked/>
    <w:uiPriority w:val="99"/>
    <w:rPr>
      <w:rFonts w:ascii="Courier New" w:hAnsi="Courier New"/>
      <w:kern w:val="2"/>
    </w:rPr>
  </w:style>
  <w:style w:type="character" w:customStyle="1" w:styleId="202">
    <w:name w:val="样式2 Char"/>
    <w:link w:val="64"/>
    <w:qFormat/>
    <w:locked/>
    <w:uiPriority w:val="0"/>
    <w:rPr>
      <w:rFonts w:ascii="黑体" w:hAnsi="黑体" w:eastAsia="黑体"/>
      <w:color w:val="FF0000"/>
      <w:kern w:val="2"/>
      <w:sz w:val="32"/>
      <w:lang w:val="en-US" w:eastAsia="zh-CN"/>
    </w:rPr>
  </w:style>
  <w:style w:type="character" w:customStyle="1" w:styleId="203">
    <w:name w:val="正文文本缩进 3 字符1"/>
    <w:semiHidden/>
    <w:qFormat/>
    <w:uiPriority w:val="99"/>
    <w:rPr>
      <w:kern w:val="2"/>
      <w:sz w:val="16"/>
      <w:szCs w:val="16"/>
    </w:rPr>
  </w:style>
  <w:style w:type="character" w:customStyle="1" w:styleId="204">
    <w:name w:val="font01"/>
    <w:qFormat/>
    <w:uiPriority w:val="0"/>
    <w:rPr>
      <w:rFonts w:ascii="宋体" w:hAnsi="宋体" w:eastAsia="宋体"/>
      <w:color w:val="000000"/>
      <w:sz w:val="24"/>
      <w:u w:val="none"/>
    </w:rPr>
  </w:style>
  <w:style w:type="character" w:customStyle="1" w:styleId="205">
    <w:name w:val="页眉 字符"/>
    <w:qFormat/>
    <w:locked/>
    <w:uiPriority w:val="99"/>
    <w:rPr>
      <w:rFonts w:ascii="宋体" w:hAnsi="宋体" w:eastAsia="宋体" w:cs="宋体"/>
      <w:kern w:val="2"/>
      <w:sz w:val="18"/>
      <w:szCs w:val="18"/>
      <w:lang w:val="en-US" w:eastAsia="zh-CN"/>
    </w:rPr>
  </w:style>
  <w:style w:type="character" w:customStyle="1" w:styleId="206">
    <w:name w:val="样式1 Char"/>
    <w:link w:val="65"/>
    <w:qFormat/>
    <w:locked/>
    <w:uiPriority w:val="0"/>
    <w:rPr>
      <w:rFonts w:ascii="黑体" w:hAnsi="黑体" w:eastAsia="黑体"/>
      <w:b/>
      <w:kern w:val="2"/>
      <w:sz w:val="32"/>
    </w:rPr>
  </w:style>
  <w:style w:type="character" w:customStyle="1" w:styleId="207">
    <w:name w:val="正文文本缩进 字符1"/>
    <w:qFormat/>
    <w:locked/>
    <w:uiPriority w:val="99"/>
    <w:rPr>
      <w:rFonts w:eastAsia="方正书宋简体"/>
      <w:kern w:val="2"/>
      <w:sz w:val="24"/>
      <w:lang w:val="en-US" w:eastAsia="zh-CN"/>
    </w:rPr>
  </w:style>
  <w:style w:type="character" w:customStyle="1" w:styleId="208">
    <w:name w:val="纯文本 Char2"/>
    <w:qFormat/>
    <w:uiPriority w:val="0"/>
    <w:rPr>
      <w:rFonts w:ascii="宋体" w:hAnsi="宋体" w:eastAsia="宋体"/>
      <w:color w:val="000000"/>
      <w:sz w:val="24"/>
      <w:lang w:val="en-US" w:eastAsia="zh-CN"/>
    </w:rPr>
  </w:style>
  <w:style w:type="character" w:customStyle="1" w:styleId="209">
    <w:name w:val="正文文本缩进 字符"/>
    <w:qFormat/>
    <w:uiPriority w:val="0"/>
    <w:rPr>
      <w:rFonts w:ascii="Calibri" w:hAnsi="Calibri" w:cs="Calibri"/>
    </w:rPr>
  </w:style>
  <w:style w:type="character" w:customStyle="1" w:styleId="210">
    <w:name w:val="纯文本 Char"/>
    <w:qFormat/>
    <w:uiPriority w:val="0"/>
    <w:rPr>
      <w:rFonts w:ascii="宋体" w:hAnsi="宋体" w:eastAsia="宋体"/>
      <w:color w:val="000000"/>
      <w:sz w:val="24"/>
      <w:lang w:val="en-US" w:eastAsia="zh-CN"/>
    </w:rPr>
  </w:style>
  <w:style w:type="character" w:customStyle="1" w:styleId="211">
    <w:name w:val="纯文本 字符1"/>
    <w:semiHidden/>
    <w:qFormat/>
    <w:uiPriority w:val="99"/>
    <w:rPr>
      <w:rFonts w:ascii="等线" w:hAnsi="Courier New" w:eastAsia="等线" w:cs="Courier New"/>
      <w:kern w:val="2"/>
      <w:sz w:val="21"/>
    </w:rPr>
  </w:style>
  <w:style w:type="character" w:customStyle="1" w:styleId="212">
    <w:name w:val="正文文本缩进 3 字符"/>
    <w:qFormat/>
    <w:locked/>
    <w:uiPriority w:val="99"/>
    <w:rPr>
      <w:rFonts w:ascii="宋体" w:hAnsi="宋体" w:eastAsia="宋体" w:cs="宋体"/>
      <w:b/>
      <w:kern w:val="2"/>
      <w:sz w:val="24"/>
      <w:szCs w:val="24"/>
      <w:lang w:val="en-US" w:eastAsia="zh-CN"/>
    </w:rPr>
  </w:style>
  <w:style w:type="character" w:customStyle="1" w:styleId="213">
    <w:name w:val="标题 1 Char"/>
    <w:qFormat/>
    <w:uiPriority w:val="0"/>
    <w:rPr>
      <w:rFonts w:ascii="宋体" w:eastAsia="宋体"/>
      <w:b/>
      <w:kern w:val="2"/>
      <w:sz w:val="28"/>
      <w:lang w:val="en-US" w:eastAsia="zh-CN"/>
    </w:rPr>
  </w:style>
  <w:style w:type="character" w:customStyle="1" w:styleId="214">
    <w:name w:val="正文文本 3 字符1"/>
    <w:semiHidden/>
    <w:qFormat/>
    <w:uiPriority w:val="99"/>
    <w:rPr>
      <w:kern w:val="2"/>
      <w:sz w:val="16"/>
      <w:szCs w:val="16"/>
    </w:rPr>
  </w:style>
  <w:style w:type="character" w:customStyle="1" w:styleId="215">
    <w:name w:val="标题 3 Char"/>
    <w:qFormat/>
    <w:uiPriority w:val="0"/>
    <w:rPr>
      <w:rFonts w:ascii="Arial" w:hAnsi="Arial" w:eastAsia="黑体"/>
      <w:b/>
      <w:kern w:val="2"/>
      <w:sz w:val="32"/>
      <w:lang w:val="en-US" w:eastAsia="zh-CN"/>
    </w:rPr>
  </w:style>
  <w:style w:type="character" w:customStyle="1" w:styleId="216">
    <w:name w:val="页脚 Char"/>
    <w:qFormat/>
    <w:uiPriority w:val="99"/>
    <w:rPr>
      <w:rFonts w:eastAsia="宋体"/>
      <w:kern w:val="2"/>
      <w:sz w:val="18"/>
      <w:lang w:val="en-US" w:eastAsia="zh-CN"/>
    </w:rPr>
  </w:style>
  <w:style w:type="character" w:customStyle="1" w:styleId="217">
    <w:name w:val="页脚 字符"/>
    <w:qFormat/>
    <w:locked/>
    <w:uiPriority w:val="99"/>
    <w:rPr>
      <w:rFonts w:ascii="宋体" w:hAnsi="宋体" w:eastAsia="宋体" w:cs="宋体"/>
      <w:kern w:val="2"/>
      <w:sz w:val="18"/>
      <w:szCs w:val="18"/>
      <w:lang w:val="en-US" w:eastAsia="zh-CN"/>
    </w:rPr>
  </w:style>
  <w:style w:type="character" w:customStyle="1" w:styleId="218">
    <w:name w:val="页脚 字符1"/>
    <w:semiHidden/>
    <w:qFormat/>
    <w:uiPriority w:val="99"/>
    <w:rPr>
      <w:kern w:val="2"/>
      <w:sz w:val="18"/>
      <w:szCs w:val="18"/>
    </w:rPr>
  </w:style>
  <w:style w:type="character" w:customStyle="1" w:styleId="219">
    <w:name w:val="批注框文本 Char"/>
    <w:semiHidden/>
    <w:qFormat/>
    <w:locked/>
    <w:uiPriority w:val="99"/>
    <w:rPr>
      <w:rFonts w:cs="Times New Roman"/>
      <w:kern w:val="2"/>
      <w:sz w:val="18"/>
      <w:szCs w:val="18"/>
    </w:rPr>
  </w:style>
  <w:style w:type="character" w:customStyle="1" w:styleId="220">
    <w:name w:val="正文文本首行缩进 字符"/>
    <w:semiHidden/>
    <w:qFormat/>
    <w:uiPriority w:val="99"/>
  </w:style>
  <w:style w:type="character" w:customStyle="1" w:styleId="221">
    <w:name w:val="标题 2 Char"/>
    <w:qFormat/>
    <w:uiPriority w:val="0"/>
    <w:rPr>
      <w:rFonts w:ascii="Arial" w:hAnsi="Arial" w:eastAsia="黑体"/>
      <w:b/>
      <w:kern w:val="2"/>
      <w:sz w:val="32"/>
      <w:lang w:val="en-US" w:eastAsia="zh-CN"/>
    </w:rPr>
  </w:style>
  <w:style w:type="character" w:customStyle="1" w:styleId="222">
    <w:name w:val="正文文本 字符"/>
    <w:qFormat/>
    <w:locked/>
    <w:uiPriority w:val="99"/>
    <w:rPr>
      <w:rFonts w:ascii="宋体" w:hAnsi="宋体" w:eastAsia="宋体" w:cs="宋体"/>
      <w:lang w:val="en-US" w:eastAsia="zh-CN"/>
    </w:rPr>
  </w:style>
  <w:style w:type="character" w:customStyle="1" w:styleId="223">
    <w:name w:val="正文文本 2 字符"/>
    <w:qFormat/>
    <w:locked/>
    <w:uiPriority w:val="99"/>
    <w:rPr>
      <w:rFonts w:eastAsia="宋体"/>
      <w:sz w:val="24"/>
    </w:rPr>
  </w:style>
  <w:style w:type="character" w:customStyle="1" w:styleId="224">
    <w:name w:val="中等深浅网格 1 - 强调文字颜色 2 Char"/>
    <w:link w:val="66"/>
    <w:qFormat/>
    <w:locked/>
    <w:uiPriority w:val="34"/>
    <w:rPr>
      <w:rFonts w:ascii="Calibri" w:hAnsi="Calibri"/>
      <w:kern w:val="2"/>
      <w:sz w:val="22"/>
    </w:rPr>
  </w:style>
  <w:style w:type="character" w:customStyle="1" w:styleId="225">
    <w:name w:val="批注文字 字符"/>
    <w:qFormat/>
    <w:locked/>
    <w:uiPriority w:val="99"/>
    <w:rPr>
      <w:rFonts w:ascii="宋体" w:hAnsi="宋体" w:eastAsia="宋体" w:cs="宋体"/>
      <w:kern w:val="2"/>
      <w:sz w:val="21"/>
      <w:szCs w:val="21"/>
      <w:lang w:val="en-US" w:eastAsia="zh-CN"/>
    </w:rPr>
  </w:style>
  <w:style w:type="character" w:customStyle="1" w:styleId="226">
    <w:name w:val="批注框文本 字符1"/>
    <w:semiHidden/>
    <w:qFormat/>
    <w:uiPriority w:val="99"/>
    <w:rPr>
      <w:kern w:val="2"/>
      <w:sz w:val="18"/>
      <w:szCs w:val="18"/>
    </w:rPr>
  </w:style>
  <w:style w:type="character" w:customStyle="1" w:styleId="227">
    <w:name w:val="文档结构图 字符"/>
    <w:qFormat/>
    <w:locked/>
    <w:uiPriority w:val="99"/>
    <w:rPr>
      <w:rFonts w:eastAsia="宋体"/>
      <w:kern w:val="2"/>
      <w:sz w:val="21"/>
      <w:lang w:val="en-US" w:eastAsia="zh-CN"/>
    </w:rPr>
  </w:style>
  <w:style w:type="character" w:customStyle="1" w:styleId="228">
    <w:name w:val="表格用 Char Char"/>
    <w:link w:val="67"/>
    <w:qFormat/>
    <w:locked/>
    <w:uiPriority w:val="0"/>
    <w:rPr>
      <w:rFonts w:ascii="宋体" w:hAnsi="宋体" w:cs="宋体"/>
      <w:szCs w:val="24"/>
    </w:rPr>
  </w:style>
  <w:style w:type="character" w:customStyle="1" w:styleId="229">
    <w:name w:val="正文文本 字符1"/>
    <w:semiHidden/>
    <w:qFormat/>
    <w:uiPriority w:val="99"/>
    <w:rPr>
      <w:kern w:val="2"/>
      <w:sz w:val="21"/>
    </w:rPr>
  </w:style>
  <w:style w:type="character" w:customStyle="1" w:styleId="230">
    <w:name w:val="批注主题 字符1"/>
    <w:semiHidden/>
    <w:qFormat/>
    <w:uiPriority w:val="99"/>
    <w:rPr>
      <w:b/>
      <w:bCs/>
      <w:kern w:val="2"/>
      <w:sz w:val="21"/>
    </w:rPr>
  </w:style>
  <w:style w:type="character" w:customStyle="1" w:styleId="231">
    <w:name w:val="哈哈正文 Char"/>
    <w:link w:val="68"/>
    <w:qFormat/>
    <w:locked/>
    <w:uiPriority w:val="0"/>
    <w:rPr>
      <w:rFonts w:ascii="宋体" w:hAnsi="宋体" w:eastAsia="宋体"/>
      <w:kern w:val="2"/>
      <w:sz w:val="24"/>
      <w:lang w:val="en-US" w:eastAsia="zh-CN"/>
    </w:rPr>
  </w:style>
  <w:style w:type="character" w:customStyle="1" w:styleId="232">
    <w:name w:val="批注主题 Char"/>
    <w:semiHidden/>
    <w:qFormat/>
    <w:locked/>
    <w:uiPriority w:val="0"/>
    <w:rPr>
      <w:rFonts w:cs="Times New Roman"/>
      <w:b/>
      <w:bCs/>
      <w:kern w:val="2"/>
      <w:sz w:val="21"/>
    </w:rPr>
  </w:style>
  <w:style w:type="character" w:customStyle="1" w:styleId="233">
    <w:name w:val="文档结构图 字符1"/>
    <w:semiHidden/>
    <w:qFormat/>
    <w:uiPriority w:val="99"/>
    <w:rPr>
      <w:rFonts w:ascii="Microsoft YaHei UI" w:eastAsia="Microsoft YaHei UI"/>
      <w:kern w:val="2"/>
      <w:sz w:val="18"/>
      <w:szCs w:val="18"/>
    </w:rPr>
  </w:style>
  <w:style w:type="character" w:customStyle="1" w:styleId="234">
    <w:name w:val="正文文本缩进 Char"/>
    <w:qFormat/>
    <w:locked/>
    <w:uiPriority w:val="0"/>
    <w:rPr>
      <w:rFonts w:eastAsia="方正书宋简体"/>
      <w:kern w:val="2"/>
      <w:sz w:val="24"/>
      <w:lang w:val="en-US" w:eastAsia="zh-CN"/>
    </w:rPr>
  </w:style>
  <w:style w:type="character" w:customStyle="1" w:styleId="235">
    <w:name w:val="页眉 Char"/>
    <w:qFormat/>
    <w:uiPriority w:val="99"/>
    <w:rPr>
      <w:rFonts w:eastAsia="宋体"/>
      <w:kern w:val="2"/>
      <w:sz w:val="18"/>
      <w:lang w:val="en-US" w:eastAsia="zh-CN"/>
    </w:rPr>
  </w:style>
  <w:style w:type="character" w:customStyle="1" w:styleId="236">
    <w:name w:val="页眉 字符1"/>
    <w:semiHidden/>
    <w:qFormat/>
    <w:uiPriority w:val="99"/>
    <w:rPr>
      <w:kern w:val="2"/>
      <w:sz w:val="18"/>
      <w:szCs w:val="18"/>
    </w:rPr>
  </w:style>
  <w:style w:type="character" w:customStyle="1" w:styleId="237">
    <w:name w:val="font11"/>
    <w:qFormat/>
    <w:uiPriority w:val="0"/>
    <w:rPr>
      <w:rFonts w:ascii="Times New Roman" w:hAnsi="Times New Roman"/>
      <w:color w:val="000000"/>
      <w:sz w:val="24"/>
      <w:u w:val="none"/>
    </w:rPr>
  </w:style>
  <w:style w:type="character" w:customStyle="1" w:styleId="238">
    <w:name w:val="apple-style-span"/>
    <w:qFormat/>
    <w:uiPriority w:val="0"/>
    <w:rPr>
      <w:rFonts w:cs="Times New Roman"/>
    </w:rPr>
  </w:style>
  <w:style w:type="character" w:customStyle="1" w:styleId="239">
    <w:name w:val="正文文本 Char"/>
    <w:qFormat/>
    <w:uiPriority w:val="99"/>
    <w:rPr>
      <w:rFonts w:eastAsia="宋体"/>
      <w:i/>
      <w:kern w:val="2"/>
      <w:sz w:val="18"/>
      <w:lang w:val="en-US" w:eastAsia="zh-CN"/>
    </w:rPr>
  </w:style>
  <w:style w:type="character" w:customStyle="1" w:styleId="240">
    <w:name w:val="金保标题3 Char"/>
    <w:link w:val="69"/>
    <w:qFormat/>
    <w:locked/>
    <w:uiPriority w:val="0"/>
    <w:rPr>
      <w:rFonts w:ascii="楷体" w:hAnsi="楷体" w:eastAsia="楷体"/>
      <w:b/>
      <w:sz w:val="28"/>
    </w:rPr>
  </w:style>
  <w:style w:type="character" w:customStyle="1" w:styleId="241">
    <w:name w:val="正文文本缩进 2 字符1"/>
    <w:semiHidden/>
    <w:qFormat/>
    <w:uiPriority w:val="99"/>
    <w:rPr>
      <w:kern w:val="2"/>
      <w:sz w:val="21"/>
    </w:rPr>
  </w:style>
  <w:style w:type="character" w:customStyle="1" w:styleId="242">
    <w:name w:val="标题 2 字符"/>
    <w:qFormat/>
    <w:locked/>
    <w:uiPriority w:val="9"/>
    <w:rPr>
      <w:rFonts w:ascii="Cambria" w:hAnsi="Cambria" w:eastAsia="宋体" w:cs="Cambria"/>
      <w:kern w:val="2"/>
      <w:sz w:val="21"/>
      <w:szCs w:val="21"/>
      <w:lang w:val="en-US" w:eastAsia="zh-CN"/>
    </w:rPr>
  </w:style>
  <w:style w:type="character" w:customStyle="1" w:styleId="243">
    <w:name w:val="列出段落 字符"/>
    <w:qFormat/>
    <w:locked/>
    <w:uiPriority w:val="34"/>
    <w:rPr>
      <w:rFonts w:eastAsia="宋体"/>
      <w:kern w:val="2"/>
      <w:sz w:val="24"/>
      <w:lang w:val="en-US" w:eastAsia="zh-CN"/>
    </w:rPr>
  </w:style>
  <w:style w:type="character" w:customStyle="1" w:styleId="244">
    <w:name w:val="Anrede1IhrZeichen"/>
    <w:qFormat/>
    <w:uiPriority w:val="0"/>
    <w:rPr>
      <w:rFonts w:ascii="Arial" w:hAnsi="Arial"/>
      <w:sz w:val="20"/>
    </w:rPr>
  </w:style>
  <w:style w:type="character" w:customStyle="1" w:styleId="245">
    <w:name w:val="正文文本首行缩进 2 字符"/>
    <w:link w:val="127"/>
    <w:qFormat/>
    <w:uiPriority w:val="0"/>
    <w:rPr>
      <w:rFonts w:ascii="Calibri" w:hAnsi="Calibri" w:eastAsia="幼圆"/>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22707</Words>
  <Characters>23645</Characters>
  <Lines>240</Lines>
  <Paragraphs>67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2024-06-26T09:14:00Z</dcterms:created>
  <dc:creator>dyp</dc:creator>
  <cp:lastModifiedBy>宁波欣科工程项目管理有限公司</cp:lastModifiedBy>
  <cp:lastPrinted>2025-05-17T09:37:00Z</cp:lastPrinted>
  <dcterms:modified xsi:type="dcterms:W3CDTF">2025-06-27T08:47:21Z</dcterms:modified>
  <dc:title>第一部分  投标方须知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0A2337ABB4D7464C8B9B97C4003CEF68_13</vt:lpwstr>
  </property>
  <property fmtid="{D5CDD505-2E9C-101B-9397-08002B2CF9AE}" pid="4" name="KSOTemplateDocerSaveRecord">
    <vt:lpwstr>eyJoZGlkIjoiYzMxZGZiMTgyMjI1MzRmMGIzNDcyNzNkNzczYTMyODciLCJ1c2VySWQiOiI1NDY4MzY1MDYifQ==</vt:lpwstr>
  </property>
</Properties>
</file>