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8D0D1">
      <w:pPr>
        <w:jc w:val="center"/>
        <w:rPr>
          <w:rFonts w:ascii="宋体" w:hAnsi="宋体"/>
          <w:b/>
          <w:bCs/>
          <w:color w:val="auto"/>
          <w:spacing w:val="20"/>
          <w:sz w:val="72"/>
          <w:szCs w:val="72"/>
          <w:highlight w:val="none"/>
        </w:rPr>
      </w:pPr>
      <w:r>
        <w:rPr>
          <w:rFonts w:hint="eastAsia" w:ascii="新宋体" w:hAnsi="新宋体" w:eastAsia="新宋体" w:cs="新宋体"/>
          <w:b/>
          <w:bCs/>
          <w:color w:val="auto"/>
          <w:spacing w:val="120"/>
          <w:sz w:val="72"/>
          <w:szCs w:val="72"/>
          <w:highlight w:val="none"/>
        </w:rPr>
        <w:t>温州市国有企业采购</w:t>
      </w:r>
    </w:p>
    <w:p w14:paraId="7E9AD9E9">
      <w:pPr>
        <w:ind w:firstLine="2357" w:firstLineChars="235"/>
        <w:rPr>
          <w:rFonts w:ascii="宋体" w:hAnsi="宋体"/>
          <w:b/>
          <w:bCs/>
          <w:color w:val="auto"/>
          <w:spacing w:val="140"/>
          <w:sz w:val="72"/>
          <w:highlight w:val="none"/>
        </w:rPr>
      </w:pPr>
    </w:p>
    <w:p w14:paraId="079EF348">
      <w:pPr>
        <w:spacing w:line="360" w:lineRule="exact"/>
        <w:jc w:val="center"/>
        <w:rPr>
          <w:rFonts w:ascii="宋体" w:hAnsi="宋体"/>
          <w:b/>
          <w:bCs/>
          <w:color w:val="auto"/>
          <w:spacing w:val="140"/>
          <w:sz w:val="72"/>
          <w:highlight w:val="none"/>
        </w:rPr>
      </w:pPr>
    </w:p>
    <w:p w14:paraId="1134A24C">
      <w:pPr>
        <w:jc w:val="center"/>
        <w:rPr>
          <w:rFonts w:ascii="宋体" w:hAnsi="宋体" w:cs="hakuyoxingshu7000"/>
          <w:b/>
          <w:bCs/>
          <w:color w:val="auto"/>
          <w:spacing w:val="120"/>
          <w:sz w:val="72"/>
          <w:szCs w:val="72"/>
          <w:highlight w:val="none"/>
        </w:rPr>
      </w:pPr>
      <w:r>
        <w:rPr>
          <w:rFonts w:hint="eastAsia" w:ascii="宋体" w:hAnsi="宋体" w:cs="hakuyoxingshu7000"/>
          <w:b/>
          <w:bCs/>
          <w:color w:val="auto"/>
          <w:spacing w:val="120"/>
          <w:sz w:val="72"/>
          <w:szCs w:val="72"/>
          <w:highlight w:val="none"/>
        </w:rPr>
        <w:t xml:space="preserve"> </w:t>
      </w:r>
    </w:p>
    <w:p w14:paraId="45F3BCF2">
      <w:pPr>
        <w:jc w:val="center"/>
        <w:rPr>
          <w:rFonts w:ascii="宋体" w:hAnsi="宋体" w:cs="hakuyoxingshu7000"/>
          <w:b/>
          <w:bCs/>
          <w:color w:val="auto"/>
          <w:spacing w:val="120"/>
          <w:sz w:val="72"/>
          <w:szCs w:val="72"/>
          <w:highlight w:val="none"/>
        </w:rPr>
      </w:pPr>
      <w:r>
        <w:rPr>
          <w:rFonts w:hint="eastAsia" w:ascii="宋体" w:hAnsi="宋体" w:cs="hakuyoxingshu7000"/>
          <w:b/>
          <w:bCs/>
          <w:color w:val="auto"/>
          <w:spacing w:val="120"/>
          <w:sz w:val="72"/>
          <w:szCs w:val="72"/>
          <w:highlight w:val="none"/>
        </w:rPr>
        <w:t>采 购 文 件</w:t>
      </w:r>
    </w:p>
    <w:p w14:paraId="42B9ED35">
      <w:pPr>
        <w:autoSpaceDE w:val="0"/>
        <w:autoSpaceDN w:val="0"/>
        <w:spacing w:line="276" w:lineRule="auto"/>
        <w:jc w:val="center"/>
        <w:textAlignment w:val="bottom"/>
        <w:rPr>
          <w:rFonts w:hint="eastAsia" w:ascii="宋体" w:hAnsi="宋体" w:eastAsia="宋体" w:cs="宋体"/>
          <w:b/>
          <w:bCs/>
          <w:color w:val="auto"/>
          <w:sz w:val="42"/>
          <w:szCs w:val="72"/>
          <w:highlight w:val="none"/>
        </w:rPr>
      </w:pPr>
      <w:r>
        <w:rPr>
          <w:rFonts w:hint="eastAsia" w:ascii="宋体" w:hAnsi="宋体" w:eastAsia="宋体" w:cs="宋体"/>
          <w:b/>
          <w:bCs/>
          <w:color w:val="auto"/>
          <w:sz w:val="42"/>
          <w:szCs w:val="72"/>
          <w:highlight w:val="none"/>
        </w:rPr>
        <w:t>(线上电子招投标)</w:t>
      </w:r>
    </w:p>
    <w:p w14:paraId="4E96EB10">
      <w:pPr>
        <w:spacing w:line="400" w:lineRule="exact"/>
        <w:jc w:val="center"/>
        <w:rPr>
          <w:rFonts w:ascii="宋体" w:hAnsi="宋体"/>
          <w:b/>
          <w:bCs/>
          <w:color w:val="auto"/>
          <w:sz w:val="32"/>
          <w:szCs w:val="32"/>
          <w:highlight w:val="none"/>
        </w:rPr>
      </w:pPr>
    </w:p>
    <w:p w14:paraId="0B3E22A2">
      <w:pPr>
        <w:spacing w:line="400" w:lineRule="exact"/>
        <w:jc w:val="center"/>
        <w:rPr>
          <w:rFonts w:ascii="宋体" w:hAnsi="宋体"/>
          <w:b/>
          <w:bCs/>
          <w:color w:val="auto"/>
          <w:sz w:val="32"/>
          <w:szCs w:val="32"/>
          <w:highlight w:val="none"/>
        </w:rPr>
      </w:pPr>
    </w:p>
    <w:p w14:paraId="166310F0">
      <w:pPr>
        <w:spacing w:line="400" w:lineRule="exact"/>
        <w:jc w:val="center"/>
        <w:rPr>
          <w:rFonts w:ascii="宋体" w:hAnsi="宋体"/>
          <w:b/>
          <w:bCs/>
          <w:color w:val="auto"/>
          <w:sz w:val="32"/>
          <w:szCs w:val="32"/>
          <w:highlight w:val="none"/>
        </w:rPr>
      </w:pPr>
    </w:p>
    <w:p w14:paraId="24AB399B">
      <w:pPr>
        <w:spacing w:line="400" w:lineRule="exact"/>
        <w:jc w:val="center"/>
        <w:rPr>
          <w:rFonts w:ascii="宋体" w:hAnsi="宋体"/>
          <w:b/>
          <w:bCs/>
          <w:color w:val="auto"/>
          <w:sz w:val="32"/>
          <w:szCs w:val="32"/>
          <w:highlight w:val="none"/>
        </w:rPr>
      </w:pPr>
    </w:p>
    <w:p w14:paraId="4A80A329">
      <w:pPr>
        <w:spacing w:line="400" w:lineRule="exact"/>
        <w:jc w:val="center"/>
        <w:rPr>
          <w:rFonts w:ascii="宋体" w:hAnsi="宋体"/>
          <w:b/>
          <w:bCs/>
          <w:color w:val="auto"/>
          <w:sz w:val="32"/>
          <w:szCs w:val="32"/>
          <w:highlight w:val="none"/>
        </w:rPr>
      </w:pPr>
    </w:p>
    <w:p w14:paraId="04F53967">
      <w:pPr>
        <w:spacing w:line="400" w:lineRule="exact"/>
        <w:jc w:val="center"/>
        <w:rPr>
          <w:rFonts w:ascii="宋体" w:hAnsi="宋体"/>
          <w:b/>
          <w:bCs/>
          <w:color w:val="auto"/>
          <w:sz w:val="32"/>
          <w:szCs w:val="32"/>
          <w:highlight w:val="none"/>
        </w:rPr>
      </w:pPr>
    </w:p>
    <w:p w14:paraId="0A078137">
      <w:pPr>
        <w:spacing w:line="400" w:lineRule="exact"/>
        <w:jc w:val="center"/>
        <w:rPr>
          <w:rFonts w:ascii="宋体" w:hAnsi="宋体"/>
          <w:b/>
          <w:bCs/>
          <w:color w:val="auto"/>
          <w:sz w:val="32"/>
          <w:szCs w:val="32"/>
          <w:highlight w:val="none"/>
        </w:rPr>
      </w:pPr>
    </w:p>
    <w:p w14:paraId="39926F35">
      <w:pPr>
        <w:spacing w:line="600" w:lineRule="exact"/>
        <w:ind w:left="3751" w:leftChars="607" w:hanging="2476" w:hangingChars="688"/>
        <w:rPr>
          <w:rFonts w:hint="eastAsia" w:ascii="宋体" w:hAnsi="宋体" w:eastAsia="宋体"/>
          <w:color w:val="auto"/>
          <w:spacing w:val="30"/>
          <w:sz w:val="30"/>
          <w:szCs w:val="30"/>
          <w:highlight w:val="none"/>
          <w:lang w:eastAsia="zh-CN"/>
        </w:rPr>
      </w:pPr>
      <w:r>
        <w:rPr>
          <w:rFonts w:hint="eastAsia" w:ascii="宋体" w:hAnsi="宋体"/>
          <w:color w:val="auto"/>
          <w:spacing w:val="30"/>
          <w:sz w:val="30"/>
          <w:szCs w:val="30"/>
          <w:highlight w:val="none"/>
        </w:rPr>
        <w:t>项 目 编 号</w:t>
      </w:r>
      <w:r>
        <w:rPr>
          <w:rFonts w:hint="eastAsia" w:ascii="宋体" w:hAnsi="宋体" w:cs="宋体"/>
          <w:color w:val="auto"/>
          <w:spacing w:val="30"/>
          <w:sz w:val="30"/>
          <w:szCs w:val="30"/>
          <w:highlight w:val="none"/>
        </w:rPr>
        <w:t>：</w:t>
      </w:r>
      <w:r>
        <w:rPr>
          <w:rFonts w:hint="eastAsia" w:ascii="宋体" w:hAnsi="宋体" w:cs="宋体"/>
          <w:color w:val="auto"/>
          <w:sz w:val="30"/>
          <w:szCs w:val="30"/>
          <w:highlight w:val="none"/>
          <w:lang w:eastAsia="zh-CN"/>
        </w:rPr>
        <w:t>ZZJS-2025042801</w:t>
      </w:r>
    </w:p>
    <w:p w14:paraId="0B0AED66">
      <w:pPr>
        <w:spacing w:line="600" w:lineRule="exact"/>
        <w:ind w:firstLine="1260" w:firstLineChars="350"/>
        <w:rPr>
          <w:rFonts w:hint="eastAsia" w:ascii="宋体" w:hAnsi="宋体"/>
          <w:color w:val="auto"/>
          <w:spacing w:val="0"/>
          <w:sz w:val="30"/>
          <w:szCs w:val="30"/>
          <w:highlight w:val="none"/>
          <w:lang w:eastAsia="zh-CN"/>
        </w:rPr>
      </w:pPr>
      <w:r>
        <w:rPr>
          <w:rFonts w:hint="eastAsia" w:ascii="宋体" w:hAnsi="宋体"/>
          <w:color w:val="auto"/>
          <w:spacing w:val="30"/>
          <w:sz w:val="30"/>
          <w:szCs w:val="30"/>
          <w:highlight w:val="none"/>
        </w:rPr>
        <w:t>项 目 名 称：</w:t>
      </w:r>
      <w:r>
        <w:rPr>
          <w:rFonts w:hint="eastAsia" w:ascii="宋体" w:hAnsi="宋体"/>
          <w:color w:val="auto"/>
          <w:spacing w:val="0"/>
          <w:sz w:val="30"/>
          <w:szCs w:val="30"/>
          <w:highlight w:val="none"/>
          <w:lang w:eastAsia="zh-CN"/>
        </w:rPr>
        <w:t>龙湾二期建筑垃圾消纳及</w:t>
      </w:r>
    </w:p>
    <w:p w14:paraId="37B92FB6">
      <w:pPr>
        <w:spacing w:line="600" w:lineRule="exact"/>
        <w:ind w:left="0" w:leftChars="0" w:firstLine="3780" w:firstLineChars="1260"/>
        <w:rPr>
          <w:rFonts w:hint="eastAsia" w:ascii="宋体" w:hAnsi="宋体" w:eastAsia="宋体"/>
          <w:color w:val="auto"/>
          <w:spacing w:val="30"/>
          <w:sz w:val="30"/>
          <w:szCs w:val="30"/>
          <w:highlight w:val="none"/>
          <w:lang w:eastAsia="zh-CN"/>
        </w:rPr>
      </w:pPr>
      <w:r>
        <w:rPr>
          <w:rFonts w:hint="eastAsia" w:ascii="宋体" w:hAnsi="宋体"/>
          <w:color w:val="auto"/>
          <w:spacing w:val="0"/>
          <w:sz w:val="30"/>
          <w:szCs w:val="30"/>
          <w:highlight w:val="none"/>
          <w:lang w:eastAsia="zh-CN"/>
        </w:rPr>
        <w:t>资源化利用项目后场消纳管理服务</w:t>
      </w:r>
    </w:p>
    <w:p w14:paraId="584FC6AB">
      <w:pPr>
        <w:spacing w:line="600" w:lineRule="exact"/>
        <w:ind w:firstLine="1260" w:firstLineChars="350"/>
        <w:rPr>
          <w:rFonts w:ascii="宋体" w:hAnsi="宋体"/>
          <w:color w:val="auto"/>
          <w:spacing w:val="30"/>
          <w:sz w:val="30"/>
          <w:szCs w:val="30"/>
          <w:highlight w:val="none"/>
        </w:rPr>
      </w:pPr>
      <w:r>
        <w:rPr>
          <w:rFonts w:hint="eastAsia" w:ascii="宋体" w:hAnsi="宋体"/>
          <w:color w:val="auto"/>
          <w:spacing w:val="30"/>
          <w:sz w:val="30"/>
          <w:szCs w:val="30"/>
          <w:highlight w:val="none"/>
        </w:rPr>
        <w:t>采 购 方 式：公开招标</w:t>
      </w:r>
    </w:p>
    <w:p w14:paraId="7BBCFB5D">
      <w:pPr>
        <w:rPr>
          <w:color w:val="auto"/>
          <w:sz w:val="44"/>
          <w:szCs w:val="44"/>
          <w:highlight w:val="none"/>
        </w:rPr>
      </w:pPr>
    </w:p>
    <w:p w14:paraId="136EA862">
      <w:pPr>
        <w:rPr>
          <w:color w:val="auto"/>
          <w:sz w:val="44"/>
          <w:szCs w:val="44"/>
          <w:highlight w:val="none"/>
        </w:rPr>
      </w:pPr>
    </w:p>
    <w:p w14:paraId="3A39AA75">
      <w:pPr>
        <w:rPr>
          <w:color w:val="auto"/>
          <w:sz w:val="44"/>
          <w:szCs w:val="44"/>
          <w:highlight w:val="none"/>
        </w:rPr>
      </w:pPr>
    </w:p>
    <w:p w14:paraId="342147F1">
      <w:pPr>
        <w:rPr>
          <w:color w:val="auto"/>
          <w:sz w:val="44"/>
          <w:szCs w:val="44"/>
          <w:highlight w:val="none"/>
        </w:rPr>
      </w:pPr>
    </w:p>
    <w:tbl>
      <w:tblPr>
        <w:tblStyle w:val="29"/>
        <w:tblW w:w="0" w:type="auto"/>
        <w:jc w:val="center"/>
        <w:tblLayout w:type="fixed"/>
        <w:tblCellMar>
          <w:top w:w="0" w:type="dxa"/>
          <w:left w:w="108" w:type="dxa"/>
          <w:bottom w:w="0" w:type="dxa"/>
          <w:right w:w="108" w:type="dxa"/>
        </w:tblCellMar>
      </w:tblPr>
      <w:tblGrid>
        <w:gridCol w:w="1342"/>
        <w:gridCol w:w="236"/>
        <w:gridCol w:w="5345"/>
      </w:tblGrid>
      <w:tr w14:paraId="4B9E3DC7">
        <w:tblPrEx>
          <w:tblCellMar>
            <w:top w:w="0" w:type="dxa"/>
            <w:left w:w="108" w:type="dxa"/>
            <w:bottom w:w="0" w:type="dxa"/>
            <w:right w:w="108" w:type="dxa"/>
          </w:tblCellMar>
        </w:tblPrEx>
        <w:trPr>
          <w:trHeight w:val="707" w:hRule="atLeast"/>
          <w:jc w:val="center"/>
        </w:trPr>
        <w:tc>
          <w:tcPr>
            <w:tcW w:w="1342" w:type="dxa"/>
            <w:vAlign w:val="center"/>
          </w:tcPr>
          <w:p w14:paraId="087DDDC4">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采购人</w:t>
            </w:r>
          </w:p>
        </w:tc>
        <w:tc>
          <w:tcPr>
            <w:tcW w:w="236" w:type="dxa"/>
            <w:vAlign w:val="center"/>
          </w:tcPr>
          <w:p w14:paraId="41DFDA51">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5345" w:type="dxa"/>
            <w:vAlign w:val="center"/>
          </w:tcPr>
          <w:p w14:paraId="2A03F001">
            <w:pPr>
              <w:jc w:val="distribute"/>
              <w:rPr>
                <w:rFonts w:hint="eastAsia" w:ascii="新宋体" w:hAnsi="新宋体" w:eastAsia="新宋体" w:cs="新宋体"/>
                <w:b/>
                <w:color w:val="auto"/>
                <w:sz w:val="28"/>
                <w:szCs w:val="28"/>
                <w:highlight w:val="none"/>
                <w:lang w:eastAsia="zh-CN"/>
              </w:rPr>
            </w:pPr>
            <w:r>
              <w:rPr>
                <w:rFonts w:hint="eastAsia" w:ascii="宋体" w:hAnsi="宋体" w:eastAsia="新宋体"/>
                <w:b/>
                <w:color w:val="auto"/>
                <w:sz w:val="28"/>
                <w:szCs w:val="28"/>
                <w:highlight w:val="none"/>
                <w:lang w:eastAsia="zh-CN"/>
              </w:rPr>
              <w:t>温州市瓯飞砂石料有限公司</w:t>
            </w:r>
          </w:p>
        </w:tc>
      </w:tr>
      <w:tr w14:paraId="287DCBB0">
        <w:tblPrEx>
          <w:tblCellMar>
            <w:top w:w="0" w:type="dxa"/>
            <w:left w:w="108" w:type="dxa"/>
            <w:bottom w:w="0" w:type="dxa"/>
            <w:right w:w="108" w:type="dxa"/>
          </w:tblCellMar>
        </w:tblPrEx>
        <w:trPr>
          <w:trHeight w:val="707" w:hRule="atLeast"/>
          <w:jc w:val="center"/>
        </w:trPr>
        <w:tc>
          <w:tcPr>
            <w:tcW w:w="1342" w:type="dxa"/>
            <w:vAlign w:val="center"/>
          </w:tcPr>
          <w:p w14:paraId="2712DF67">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代理机构</w:t>
            </w:r>
          </w:p>
        </w:tc>
        <w:tc>
          <w:tcPr>
            <w:tcW w:w="236" w:type="dxa"/>
            <w:vAlign w:val="center"/>
          </w:tcPr>
          <w:p w14:paraId="76FBA365">
            <w:pPr>
              <w:jc w:val="distribute"/>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5345" w:type="dxa"/>
            <w:vAlign w:val="center"/>
          </w:tcPr>
          <w:p w14:paraId="0E077CFD">
            <w:pPr>
              <w:jc w:val="distribute"/>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正展建设管理集团有限公司</w:t>
            </w:r>
          </w:p>
        </w:tc>
      </w:tr>
    </w:tbl>
    <w:p w14:paraId="3EDBBD75">
      <w:pPr>
        <w:spacing w:line="760" w:lineRule="exact"/>
        <w:ind w:left="750" w:hanging="753" w:hangingChars="250"/>
        <w:jc w:val="center"/>
        <w:rPr>
          <w:rFonts w:ascii="宋体" w:hAnsi="宋体"/>
          <w:b/>
          <w:bCs/>
          <w:color w:val="auto"/>
          <w:sz w:val="30"/>
          <w:szCs w:val="30"/>
          <w:highlight w:val="none"/>
        </w:rPr>
        <w:sectPr>
          <w:headerReference r:id="rId3" w:type="default"/>
          <w:footerReference r:id="rId4" w:type="default"/>
          <w:footerReference r:id="rId5" w:type="even"/>
          <w:pgSz w:w="11906" w:h="16838"/>
          <w:pgMar w:top="1134" w:right="1700" w:bottom="1134" w:left="1134" w:header="851" w:footer="992" w:gutter="284"/>
          <w:pgNumType w:start="0"/>
          <w:cols w:space="720" w:num="1"/>
          <w:titlePg/>
          <w:docGrid w:linePitch="312" w:charSpace="0"/>
        </w:sectPr>
      </w:pPr>
      <w:r>
        <w:rPr>
          <w:rFonts w:hint="eastAsia" w:ascii="宋体" w:hAnsi="宋体"/>
          <w:b/>
          <w:bCs/>
          <w:color w:val="auto"/>
          <w:sz w:val="30"/>
          <w:szCs w:val="30"/>
          <w:highlight w:val="none"/>
        </w:rPr>
        <w:t>二〇二</w:t>
      </w:r>
      <w:r>
        <w:rPr>
          <w:rFonts w:hint="eastAsia" w:ascii="宋体" w:hAnsi="宋体"/>
          <w:b/>
          <w:bCs/>
          <w:color w:val="auto"/>
          <w:sz w:val="30"/>
          <w:szCs w:val="30"/>
          <w:highlight w:val="none"/>
          <w:lang w:val="en-US" w:eastAsia="zh-CN"/>
        </w:rPr>
        <w:t>五</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七</w:t>
      </w:r>
      <w:r>
        <w:rPr>
          <w:rFonts w:hint="eastAsia" w:ascii="宋体" w:hAnsi="宋体"/>
          <w:b/>
          <w:bCs/>
          <w:color w:val="auto"/>
          <w:sz w:val="30"/>
          <w:szCs w:val="30"/>
          <w:highlight w:val="none"/>
        </w:rPr>
        <w:t>月</w:t>
      </w:r>
    </w:p>
    <w:p w14:paraId="6A2C3372">
      <w:pPr>
        <w:overflowPunct w:val="0"/>
        <w:spacing w:line="480" w:lineRule="auto"/>
        <w:jc w:val="center"/>
        <w:rPr>
          <w:rFonts w:ascii="宋体" w:hAnsi="宋体" w:cs="楷体"/>
          <w:b/>
          <w:bCs/>
          <w:color w:val="auto"/>
          <w:sz w:val="48"/>
          <w:szCs w:val="48"/>
          <w:highlight w:val="none"/>
        </w:rPr>
      </w:pPr>
      <w:r>
        <w:rPr>
          <w:rFonts w:hint="eastAsia" w:ascii="宋体" w:hAnsi="宋体" w:cs="楷体"/>
          <w:b/>
          <w:bCs/>
          <w:color w:val="auto"/>
          <w:sz w:val="48"/>
          <w:szCs w:val="48"/>
          <w:highlight w:val="none"/>
        </w:rPr>
        <w:t>目    录</w:t>
      </w:r>
    </w:p>
    <w:p w14:paraId="786DF40C">
      <w:pPr>
        <w:pStyle w:val="21"/>
        <w:tabs>
          <w:tab w:val="right" w:leader="dot" w:pos="9638"/>
          <w:tab w:val="clear" w:pos="9061"/>
        </w:tabs>
        <w:spacing w:line="480" w:lineRule="auto"/>
        <w:rPr>
          <w:color w:val="auto"/>
          <w:sz w:val="22"/>
          <w:szCs w:val="22"/>
          <w:highlight w:val="none"/>
        </w:rPr>
      </w:pPr>
      <w:r>
        <w:rPr>
          <w:rStyle w:val="36"/>
          <w:rFonts w:hint="eastAsia"/>
          <w:color w:val="auto"/>
          <w:sz w:val="22"/>
          <w:szCs w:val="22"/>
          <w:highlight w:val="none"/>
        </w:rPr>
        <w:fldChar w:fldCharType="begin"/>
      </w:r>
      <w:r>
        <w:rPr>
          <w:rStyle w:val="36"/>
          <w:rFonts w:hint="eastAsia" w:ascii="宋体" w:hAnsi="宋体" w:cs="楷体"/>
          <w:color w:val="auto"/>
          <w:sz w:val="22"/>
          <w:szCs w:val="22"/>
          <w:highlight w:val="none"/>
        </w:rPr>
        <w:instrText xml:space="preserve"> TOC \o "1-3" \h \z \u </w:instrText>
      </w:r>
      <w:r>
        <w:rPr>
          <w:rStyle w:val="36"/>
          <w:rFonts w:hint="eastAsia"/>
          <w:color w:val="auto"/>
          <w:sz w:val="22"/>
          <w:szCs w:val="22"/>
          <w:highlight w:val="none"/>
        </w:rPr>
        <w:fldChar w:fldCharType="separate"/>
      </w:r>
      <w:r>
        <w:rPr>
          <w:rFonts w:hint="eastAsia"/>
          <w:color w:val="auto"/>
          <w:sz w:val="22"/>
          <w:szCs w:val="22"/>
          <w:highlight w:val="none"/>
        </w:rPr>
        <w:fldChar w:fldCharType="begin"/>
      </w:r>
      <w:r>
        <w:rPr>
          <w:rFonts w:hint="eastAsia"/>
          <w:color w:val="auto"/>
          <w:sz w:val="22"/>
          <w:szCs w:val="22"/>
          <w:highlight w:val="none"/>
        </w:rPr>
        <w:instrText xml:space="preserve"> HYPERLINK \l _Toc7259 </w:instrText>
      </w:r>
      <w:r>
        <w:rPr>
          <w:rFonts w:hint="eastAsia"/>
          <w:color w:val="auto"/>
          <w:sz w:val="22"/>
          <w:szCs w:val="22"/>
          <w:highlight w:val="none"/>
        </w:rPr>
        <w:fldChar w:fldCharType="separate"/>
      </w:r>
      <w:r>
        <w:rPr>
          <w:rFonts w:hint="eastAsia" w:ascii="宋体" w:hAnsi="宋体" w:cs="宋体"/>
          <w:color w:val="auto"/>
          <w:sz w:val="22"/>
          <w:szCs w:val="22"/>
          <w:highlight w:val="none"/>
          <w:lang w:eastAsia="zh-CN"/>
        </w:rPr>
        <w:t>正展建设管理集团有限公司</w:t>
      </w:r>
      <w:r>
        <w:rPr>
          <w:rFonts w:hint="eastAsia" w:ascii="宋体" w:hAnsi="宋体" w:eastAsia="宋体" w:cs="宋体"/>
          <w:color w:val="auto"/>
          <w:sz w:val="22"/>
          <w:szCs w:val="22"/>
          <w:highlight w:val="none"/>
        </w:rPr>
        <w:t>关于</w:t>
      </w:r>
      <w:r>
        <w:rPr>
          <w:rFonts w:hint="eastAsia" w:ascii="宋体" w:hAnsi="宋体" w:cs="宋体"/>
          <w:color w:val="auto"/>
          <w:sz w:val="22"/>
          <w:szCs w:val="22"/>
          <w:highlight w:val="none"/>
          <w:lang w:eastAsia="zh-CN"/>
        </w:rPr>
        <w:t>龙湾二期建筑垃圾消纳及资源化利用项目后场消纳管理服务</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公开招标公告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_Toc7259 \h </w:instrText>
      </w:r>
      <w:r>
        <w:rPr>
          <w:color w:val="auto"/>
          <w:sz w:val="22"/>
          <w:szCs w:val="22"/>
          <w:highlight w:val="none"/>
        </w:rPr>
        <w:fldChar w:fldCharType="separate"/>
      </w:r>
      <w:r>
        <w:rPr>
          <w:color w:val="auto"/>
          <w:sz w:val="22"/>
          <w:szCs w:val="22"/>
          <w:highlight w:val="none"/>
        </w:rPr>
        <w:t>2</w:t>
      </w:r>
      <w:r>
        <w:rPr>
          <w:color w:val="auto"/>
          <w:sz w:val="22"/>
          <w:szCs w:val="22"/>
          <w:highlight w:val="none"/>
        </w:rPr>
        <w:fldChar w:fldCharType="end"/>
      </w:r>
      <w:r>
        <w:rPr>
          <w:rFonts w:hint="eastAsia"/>
          <w:color w:val="auto"/>
          <w:sz w:val="22"/>
          <w:szCs w:val="22"/>
          <w:highlight w:val="none"/>
        </w:rPr>
        <w:fldChar w:fldCharType="end"/>
      </w:r>
    </w:p>
    <w:p w14:paraId="43402C98">
      <w:pPr>
        <w:pStyle w:val="21"/>
        <w:tabs>
          <w:tab w:val="right" w:leader="dot" w:pos="9638"/>
          <w:tab w:val="clear" w:pos="9061"/>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_Toc6562 </w:instrText>
      </w:r>
      <w:r>
        <w:rPr>
          <w:rFonts w:hint="eastAsia"/>
          <w:color w:val="auto"/>
          <w:sz w:val="22"/>
          <w:szCs w:val="22"/>
          <w:highlight w:val="none"/>
        </w:rPr>
        <w:fldChar w:fldCharType="separate"/>
      </w:r>
      <w:r>
        <w:rPr>
          <w:rFonts w:hint="eastAsia" w:ascii="宋体" w:hAnsi="宋体" w:eastAsia="宋体" w:cs="新宋体"/>
          <w:color w:val="auto"/>
          <w:sz w:val="22"/>
          <w:szCs w:val="22"/>
          <w:highlight w:val="none"/>
        </w:rPr>
        <w:t>投标人须知前附表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_Toc6562 \h </w:instrText>
      </w:r>
      <w:r>
        <w:rPr>
          <w:color w:val="auto"/>
          <w:sz w:val="22"/>
          <w:szCs w:val="22"/>
          <w:highlight w:val="none"/>
        </w:rPr>
        <w:fldChar w:fldCharType="separate"/>
      </w:r>
      <w:r>
        <w:rPr>
          <w:color w:val="auto"/>
          <w:sz w:val="22"/>
          <w:szCs w:val="22"/>
          <w:highlight w:val="none"/>
        </w:rPr>
        <w:t>5</w:t>
      </w:r>
      <w:r>
        <w:rPr>
          <w:color w:val="auto"/>
          <w:sz w:val="22"/>
          <w:szCs w:val="22"/>
          <w:highlight w:val="none"/>
        </w:rPr>
        <w:fldChar w:fldCharType="end"/>
      </w:r>
      <w:r>
        <w:rPr>
          <w:rFonts w:hint="eastAsia"/>
          <w:color w:val="auto"/>
          <w:sz w:val="22"/>
          <w:szCs w:val="22"/>
          <w:highlight w:val="none"/>
        </w:rPr>
        <w:fldChar w:fldCharType="end"/>
      </w:r>
    </w:p>
    <w:p w14:paraId="6DD4C422">
      <w:pPr>
        <w:pStyle w:val="21"/>
        <w:tabs>
          <w:tab w:val="right" w:leader="dot" w:pos="9638"/>
          <w:tab w:val="clear" w:pos="9061"/>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_Toc19923 </w:instrText>
      </w:r>
      <w:r>
        <w:rPr>
          <w:rFonts w:hint="eastAsia"/>
          <w:color w:val="auto"/>
          <w:sz w:val="22"/>
          <w:szCs w:val="22"/>
          <w:highlight w:val="none"/>
        </w:rPr>
        <w:fldChar w:fldCharType="separate"/>
      </w:r>
      <w:r>
        <w:rPr>
          <w:rFonts w:hint="eastAsia" w:ascii="宋体" w:hAnsi="宋体" w:eastAsia="宋体" w:cs="楷体"/>
          <w:color w:val="auto"/>
          <w:sz w:val="22"/>
          <w:szCs w:val="22"/>
          <w:highlight w:val="none"/>
        </w:rPr>
        <w:t>第一部分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_Toc19923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color w:val="auto"/>
          <w:sz w:val="22"/>
          <w:szCs w:val="22"/>
          <w:highlight w:val="none"/>
        </w:rPr>
        <w:fldChar w:fldCharType="end"/>
      </w:r>
    </w:p>
    <w:p w14:paraId="38146045">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_Toc14366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一、  说明</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_Toc14366 \h </w:instrText>
      </w:r>
      <w:r>
        <w:rPr>
          <w:color w:val="auto"/>
          <w:sz w:val="22"/>
          <w:szCs w:val="22"/>
          <w:highlight w:val="none"/>
        </w:rPr>
        <w:fldChar w:fldCharType="separate"/>
      </w:r>
      <w:r>
        <w:rPr>
          <w:color w:val="auto"/>
          <w:sz w:val="22"/>
          <w:szCs w:val="22"/>
          <w:highlight w:val="none"/>
        </w:rPr>
        <w:t>9</w:t>
      </w:r>
      <w:r>
        <w:rPr>
          <w:color w:val="auto"/>
          <w:sz w:val="22"/>
          <w:szCs w:val="22"/>
          <w:highlight w:val="none"/>
        </w:rPr>
        <w:fldChar w:fldCharType="end"/>
      </w:r>
      <w:r>
        <w:rPr>
          <w:rFonts w:hint="eastAsia"/>
          <w:color w:val="auto"/>
          <w:sz w:val="22"/>
          <w:szCs w:val="22"/>
          <w:highlight w:val="none"/>
        </w:rPr>
        <w:fldChar w:fldCharType="end"/>
      </w:r>
    </w:p>
    <w:p w14:paraId="478CD60C">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_Toc980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二、 采购文件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_Toc980 \h </w:instrText>
      </w:r>
      <w:r>
        <w:rPr>
          <w:color w:val="auto"/>
          <w:sz w:val="22"/>
          <w:szCs w:val="22"/>
          <w:highlight w:val="none"/>
        </w:rPr>
        <w:fldChar w:fldCharType="separate"/>
      </w:r>
      <w:r>
        <w:rPr>
          <w:color w:val="auto"/>
          <w:sz w:val="22"/>
          <w:szCs w:val="22"/>
          <w:highlight w:val="none"/>
        </w:rPr>
        <w:t>10</w:t>
      </w:r>
      <w:r>
        <w:rPr>
          <w:color w:val="auto"/>
          <w:sz w:val="22"/>
          <w:szCs w:val="22"/>
          <w:highlight w:val="none"/>
        </w:rPr>
        <w:fldChar w:fldCharType="end"/>
      </w:r>
      <w:r>
        <w:rPr>
          <w:rFonts w:hint="eastAsia"/>
          <w:color w:val="auto"/>
          <w:sz w:val="22"/>
          <w:szCs w:val="22"/>
          <w:highlight w:val="none"/>
        </w:rPr>
        <w:fldChar w:fldCharType="end"/>
      </w:r>
    </w:p>
    <w:p w14:paraId="57AB2CEA">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_Toc25440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三、 投标文件的编制</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_Toc25440 \h </w:instrText>
      </w:r>
      <w:r>
        <w:rPr>
          <w:color w:val="auto"/>
          <w:sz w:val="22"/>
          <w:szCs w:val="22"/>
          <w:highlight w:val="none"/>
        </w:rPr>
        <w:fldChar w:fldCharType="separate"/>
      </w:r>
      <w:r>
        <w:rPr>
          <w:color w:val="auto"/>
          <w:sz w:val="22"/>
          <w:szCs w:val="22"/>
          <w:highlight w:val="none"/>
        </w:rPr>
        <w:t>11</w:t>
      </w:r>
      <w:r>
        <w:rPr>
          <w:color w:val="auto"/>
          <w:sz w:val="22"/>
          <w:szCs w:val="22"/>
          <w:highlight w:val="none"/>
        </w:rPr>
        <w:fldChar w:fldCharType="end"/>
      </w:r>
      <w:r>
        <w:rPr>
          <w:rFonts w:hint="eastAsia"/>
          <w:color w:val="auto"/>
          <w:sz w:val="22"/>
          <w:szCs w:val="22"/>
          <w:highlight w:val="none"/>
        </w:rPr>
        <w:fldChar w:fldCharType="end"/>
      </w:r>
    </w:p>
    <w:p w14:paraId="6C0514A1">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_Toc5473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四、 投标文件的递交</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_Toc5473 \h </w:instrText>
      </w:r>
      <w:r>
        <w:rPr>
          <w:color w:val="auto"/>
          <w:sz w:val="22"/>
          <w:szCs w:val="22"/>
          <w:highlight w:val="none"/>
        </w:rPr>
        <w:fldChar w:fldCharType="separate"/>
      </w:r>
      <w:r>
        <w:rPr>
          <w:color w:val="auto"/>
          <w:sz w:val="22"/>
          <w:szCs w:val="22"/>
          <w:highlight w:val="none"/>
        </w:rPr>
        <w:t>14</w:t>
      </w:r>
      <w:r>
        <w:rPr>
          <w:color w:val="auto"/>
          <w:sz w:val="22"/>
          <w:szCs w:val="22"/>
          <w:highlight w:val="none"/>
        </w:rPr>
        <w:fldChar w:fldCharType="end"/>
      </w:r>
      <w:r>
        <w:rPr>
          <w:rFonts w:hint="eastAsia"/>
          <w:color w:val="auto"/>
          <w:sz w:val="22"/>
          <w:szCs w:val="22"/>
          <w:highlight w:val="none"/>
        </w:rPr>
        <w:fldChar w:fldCharType="end"/>
      </w:r>
    </w:p>
    <w:p w14:paraId="5DF4D3EA">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_Toc865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五、 开标和评标</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_Toc865 \h </w:instrText>
      </w:r>
      <w:r>
        <w:rPr>
          <w:color w:val="auto"/>
          <w:sz w:val="22"/>
          <w:szCs w:val="22"/>
          <w:highlight w:val="none"/>
        </w:rPr>
        <w:fldChar w:fldCharType="separate"/>
      </w:r>
      <w:r>
        <w:rPr>
          <w:color w:val="auto"/>
          <w:sz w:val="22"/>
          <w:szCs w:val="22"/>
          <w:highlight w:val="none"/>
        </w:rPr>
        <w:t>15</w:t>
      </w:r>
      <w:r>
        <w:rPr>
          <w:color w:val="auto"/>
          <w:sz w:val="22"/>
          <w:szCs w:val="22"/>
          <w:highlight w:val="none"/>
        </w:rPr>
        <w:fldChar w:fldCharType="end"/>
      </w:r>
      <w:r>
        <w:rPr>
          <w:rFonts w:hint="eastAsia"/>
          <w:color w:val="auto"/>
          <w:sz w:val="22"/>
          <w:szCs w:val="22"/>
          <w:highlight w:val="none"/>
        </w:rPr>
        <w:fldChar w:fldCharType="end"/>
      </w:r>
    </w:p>
    <w:p w14:paraId="723FD41F">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_Toc2956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六、 评  标</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_Toc2956 \h </w:instrText>
      </w:r>
      <w:r>
        <w:rPr>
          <w:color w:val="auto"/>
          <w:sz w:val="22"/>
          <w:szCs w:val="22"/>
          <w:highlight w:val="none"/>
        </w:rPr>
        <w:fldChar w:fldCharType="separate"/>
      </w:r>
      <w:r>
        <w:rPr>
          <w:color w:val="auto"/>
          <w:sz w:val="22"/>
          <w:szCs w:val="22"/>
          <w:highlight w:val="none"/>
        </w:rPr>
        <w:t>16</w:t>
      </w:r>
      <w:r>
        <w:rPr>
          <w:color w:val="auto"/>
          <w:sz w:val="22"/>
          <w:szCs w:val="22"/>
          <w:highlight w:val="none"/>
        </w:rPr>
        <w:fldChar w:fldCharType="end"/>
      </w:r>
      <w:r>
        <w:rPr>
          <w:rFonts w:hint="eastAsia"/>
          <w:color w:val="auto"/>
          <w:sz w:val="22"/>
          <w:szCs w:val="22"/>
          <w:highlight w:val="none"/>
        </w:rPr>
        <w:fldChar w:fldCharType="end"/>
      </w:r>
    </w:p>
    <w:p w14:paraId="2B7EC119">
      <w:pPr>
        <w:pStyle w:val="25"/>
        <w:tabs>
          <w:tab w:val="right" w:leader="dot" w:pos="9638"/>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_Toc8699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七、 授予合同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_Toc8699 \h </w:instrText>
      </w:r>
      <w:r>
        <w:rPr>
          <w:color w:val="auto"/>
          <w:sz w:val="22"/>
          <w:szCs w:val="22"/>
          <w:highlight w:val="none"/>
        </w:rPr>
        <w:fldChar w:fldCharType="separate"/>
      </w:r>
      <w:r>
        <w:rPr>
          <w:color w:val="auto"/>
          <w:sz w:val="22"/>
          <w:szCs w:val="22"/>
          <w:highlight w:val="none"/>
        </w:rPr>
        <w:t>20</w:t>
      </w:r>
      <w:r>
        <w:rPr>
          <w:color w:val="auto"/>
          <w:sz w:val="22"/>
          <w:szCs w:val="22"/>
          <w:highlight w:val="none"/>
        </w:rPr>
        <w:fldChar w:fldCharType="end"/>
      </w:r>
      <w:r>
        <w:rPr>
          <w:rFonts w:hint="eastAsia"/>
          <w:color w:val="auto"/>
          <w:sz w:val="22"/>
          <w:szCs w:val="22"/>
          <w:highlight w:val="none"/>
        </w:rPr>
        <w:fldChar w:fldCharType="end"/>
      </w:r>
    </w:p>
    <w:p w14:paraId="25DAF374">
      <w:pPr>
        <w:pStyle w:val="21"/>
        <w:tabs>
          <w:tab w:val="right" w:leader="dot" w:pos="9638"/>
          <w:tab w:val="clear" w:pos="9061"/>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_Toc8587 </w:instrText>
      </w:r>
      <w:r>
        <w:rPr>
          <w:rFonts w:hint="eastAsia"/>
          <w:color w:val="auto"/>
          <w:sz w:val="22"/>
          <w:szCs w:val="22"/>
          <w:highlight w:val="none"/>
        </w:rPr>
        <w:fldChar w:fldCharType="separate"/>
      </w:r>
      <w:r>
        <w:rPr>
          <w:rFonts w:hint="eastAsia" w:ascii="宋体" w:hAnsi="宋体" w:eastAsia="宋体" w:cs="楷体"/>
          <w:color w:val="auto"/>
          <w:sz w:val="22"/>
          <w:szCs w:val="22"/>
          <w:highlight w:val="none"/>
        </w:rPr>
        <w:t>第二部分   合同条款</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_Toc8587 \h </w:instrText>
      </w:r>
      <w:r>
        <w:rPr>
          <w:color w:val="auto"/>
          <w:sz w:val="22"/>
          <w:szCs w:val="22"/>
          <w:highlight w:val="none"/>
        </w:rPr>
        <w:fldChar w:fldCharType="separate"/>
      </w:r>
      <w:r>
        <w:rPr>
          <w:color w:val="auto"/>
          <w:sz w:val="22"/>
          <w:szCs w:val="22"/>
          <w:highlight w:val="none"/>
        </w:rPr>
        <w:t>22</w:t>
      </w:r>
      <w:r>
        <w:rPr>
          <w:color w:val="auto"/>
          <w:sz w:val="22"/>
          <w:szCs w:val="22"/>
          <w:highlight w:val="none"/>
        </w:rPr>
        <w:fldChar w:fldCharType="end"/>
      </w:r>
      <w:r>
        <w:rPr>
          <w:rFonts w:hint="eastAsia"/>
          <w:color w:val="auto"/>
          <w:sz w:val="22"/>
          <w:szCs w:val="22"/>
          <w:highlight w:val="none"/>
        </w:rPr>
        <w:fldChar w:fldCharType="end"/>
      </w:r>
    </w:p>
    <w:p w14:paraId="6AD40313">
      <w:pPr>
        <w:pStyle w:val="21"/>
        <w:tabs>
          <w:tab w:val="right" w:leader="dot" w:pos="9638"/>
          <w:tab w:val="clear" w:pos="9061"/>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_Toc11053 </w:instrText>
      </w:r>
      <w:r>
        <w:rPr>
          <w:rFonts w:hint="eastAsia"/>
          <w:color w:val="auto"/>
          <w:sz w:val="22"/>
          <w:szCs w:val="22"/>
          <w:highlight w:val="none"/>
        </w:rPr>
        <w:fldChar w:fldCharType="separate"/>
      </w:r>
      <w:r>
        <w:rPr>
          <w:rFonts w:hint="eastAsia" w:ascii="新宋体" w:hAnsi="新宋体" w:eastAsia="新宋体" w:cs="新宋体"/>
          <w:color w:val="auto"/>
          <w:sz w:val="22"/>
          <w:szCs w:val="22"/>
          <w:highlight w:val="none"/>
        </w:rPr>
        <w:t>第三部分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_Toc11053 \h </w:instrText>
      </w:r>
      <w:r>
        <w:rPr>
          <w:color w:val="auto"/>
          <w:sz w:val="22"/>
          <w:szCs w:val="22"/>
          <w:highlight w:val="none"/>
        </w:rPr>
        <w:fldChar w:fldCharType="separate"/>
      </w:r>
      <w:r>
        <w:rPr>
          <w:color w:val="auto"/>
          <w:sz w:val="22"/>
          <w:szCs w:val="22"/>
          <w:highlight w:val="none"/>
        </w:rPr>
        <w:t>29</w:t>
      </w:r>
      <w:r>
        <w:rPr>
          <w:color w:val="auto"/>
          <w:sz w:val="22"/>
          <w:szCs w:val="22"/>
          <w:highlight w:val="none"/>
        </w:rPr>
        <w:fldChar w:fldCharType="end"/>
      </w:r>
      <w:r>
        <w:rPr>
          <w:rFonts w:hint="eastAsia"/>
          <w:color w:val="auto"/>
          <w:sz w:val="22"/>
          <w:szCs w:val="22"/>
          <w:highlight w:val="none"/>
        </w:rPr>
        <w:fldChar w:fldCharType="end"/>
      </w:r>
    </w:p>
    <w:p w14:paraId="5D9460EB">
      <w:pPr>
        <w:pStyle w:val="21"/>
        <w:tabs>
          <w:tab w:val="right" w:leader="dot" w:pos="9638"/>
          <w:tab w:val="clear" w:pos="9061"/>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_Toc17027 </w:instrText>
      </w:r>
      <w:r>
        <w:rPr>
          <w:rFonts w:hint="eastAsia"/>
          <w:color w:val="auto"/>
          <w:sz w:val="22"/>
          <w:szCs w:val="22"/>
          <w:highlight w:val="none"/>
        </w:rPr>
        <w:fldChar w:fldCharType="separate"/>
      </w:r>
      <w:r>
        <w:rPr>
          <w:rFonts w:hint="eastAsia" w:ascii="新宋体" w:hAnsi="新宋体" w:eastAsia="新宋体" w:cs="新宋体"/>
          <w:bCs w:val="0"/>
          <w:color w:val="auto"/>
          <w:kern w:val="44"/>
          <w:sz w:val="22"/>
          <w:szCs w:val="22"/>
          <w:highlight w:val="none"/>
        </w:rPr>
        <w:t>第四部分   采购内容及要求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_Toc17027 \h </w:instrText>
      </w:r>
      <w:r>
        <w:rPr>
          <w:color w:val="auto"/>
          <w:sz w:val="22"/>
          <w:szCs w:val="22"/>
          <w:highlight w:val="none"/>
        </w:rPr>
        <w:fldChar w:fldCharType="separate"/>
      </w:r>
      <w:r>
        <w:rPr>
          <w:color w:val="auto"/>
          <w:sz w:val="22"/>
          <w:szCs w:val="22"/>
          <w:highlight w:val="none"/>
        </w:rPr>
        <w:t>48</w:t>
      </w:r>
      <w:r>
        <w:rPr>
          <w:color w:val="auto"/>
          <w:sz w:val="22"/>
          <w:szCs w:val="22"/>
          <w:highlight w:val="none"/>
        </w:rPr>
        <w:fldChar w:fldCharType="end"/>
      </w:r>
      <w:r>
        <w:rPr>
          <w:rFonts w:hint="eastAsia"/>
          <w:color w:val="auto"/>
          <w:sz w:val="22"/>
          <w:szCs w:val="22"/>
          <w:highlight w:val="none"/>
        </w:rPr>
        <w:fldChar w:fldCharType="end"/>
      </w:r>
    </w:p>
    <w:p w14:paraId="7EDC111A">
      <w:pPr>
        <w:pStyle w:val="21"/>
        <w:tabs>
          <w:tab w:val="right" w:leader="dot" w:pos="9638"/>
          <w:tab w:val="clear" w:pos="9061"/>
        </w:tabs>
        <w:spacing w:line="48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HYPERLINK \l _Toc14399 </w:instrText>
      </w:r>
      <w:r>
        <w:rPr>
          <w:rFonts w:hint="eastAsia"/>
          <w:color w:val="auto"/>
          <w:sz w:val="22"/>
          <w:szCs w:val="22"/>
          <w:highlight w:val="none"/>
        </w:rPr>
        <w:fldChar w:fldCharType="separate"/>
      </w:r>
      <w:r>
        <w:rPr>
          <w:rFonts w:hint="eastAsia" w:ascii="新宋体" w:hAnsi="新宋体" w:eastAsia="新宋体" w:cs="新宋体"/>
          <w:bCs w:val="0"/>
          <w:color w:val="auto"/>
          <w:kern w:val="44"/>
          <w:sz w:val="22"/>
          <w:szCs w:val="22"/>
          <w:highlight w:val="none"/>
        </w:rPr>
        <w:t>第五部分   评标原则及方法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_Toc14399 \h </w:instrText>
      </w:r>
      <w:r>
        <w:rPr>
          <w:color w:val="auto"/>
          <w:sz w:val="22"/>
          <w:szCs w:val="22"/>
          <w:highlight w:val="none"/>
        </w:rPr>
        <w:fldChar w:fldCharType="separate"/>
      </w:r>
      <w:r>
        <w:rPr>
          <w:color w:val="auto"/>
          <w:sz w:val="22"/>
          <w:szCs w:val="22"/>
          <w:highlight w:val="none"/>
        </w:rPr>
        <w:t>51</w:t>
      </w:r>
      <w:r>
        <w:rPr>
          <w:color w:val="auto"/>
          <w:sz w:val="22"/>
          <w:szCs w:val="22"/>
          <w:highlight w:val="none"/>
        </w:rPr>
        <w:fldChar w:fldCharType="end"/>
      </w:r>
      <w:r>
        <w:rPr>
          <w:rFonts w:hint="eastAsia"/>
          <w:color w:val="auto"/>
          <w:sz w:val="22"/>
          <w:szCs w:val="22"/>
          <w:highlight w:val="none"/>
        </w:rPr>
        <w:fldChar w:fldCharType="end"/>
      </w:r>
    </w:p>
    <w:p w14:paraId="734C39F3">
      <w:pPr>
        <w:pStyle w:val="21"/>
        <w:tabs>
          <w:tab w:val="right" w:leader="dot" w:pos="9639"/>
          <w:tab w:val="clear" w:pos="9061"/>
        </w:tabs>
        <w:spacing w:line="480" w:lineRule="auto"/>
        <w:ind w:left="307" w:hanging="307"/>
        <w:rPr>
          <w:rStyle w:val="36"/>
          <w:rFonts w:ascii="宋体" w:hAnsi="宋体" w:cs="楷体"/>
          <w:color w:val="auto"/>
          <w:sz w:val="22"/>
          <w:szCs w:val="22"/>
          <w:highlight w:val="none"/>
          <w:u w:val="none"/>
        </w:rPr>
      </w:pPr>
      <w:r>
        <w:rPr>
          <w:rFonts w:hint="eastAsia"/>
          <w:color w:val="auto"/>
          <w:sz w:val="22"/>
          <w:szCs w:val="22"/>
          <w:highlight w:val="none"/>
        </w:rPr>
        <w:fldChar w:fldCharType="end"/>
      </w:r>
    </w:p>
    <w:p w14:paraId="710FC19D">
      <w:pPr>
        <w:overflowPunct w:val="0"/>
        <w:spacing w:line="480" w:lineRule="auto"/>
        <w:rPr>
          <w:rFonts w:ascii="宋体" w:hAnsi="宋体" w:cs="楷体"/>
          <w:b/>
          <w:bCs/>
          <w:color w:val="auto"/>
          <w:sz w:val="22"/>
          <w:szCs w:val="22"/>
          <w:highlight w:val="none"/>
        </w:rPr>
      </w:pPr>
      <w:r>
        <w:rPr>
          <w:rFonts w:hint="eastAsia" w:ascii="宋体" w:hAnsi="宋体" w:cs="楷体"/>
          <w:b/>
          <w:bCs/>
          <w:color w:val="auto"/>
          <w:sz w:val="22"/>
          <w:szCs w:val="22"/>
          <w:highlight w:val="none"/>
        </w:rPr>
        <w:t>注：采购文件中加</w:t>
      </w:r>
      <w:r>
        <w:rPr>
          <w:rFonts w:hint="eastAsia" w:ascii="宋体" w:hAnsi="宋体" w:cs="楷体"/>
          <w:b/>
          <w:bCs/>
          <w:color w:val="auto"/>
          <w:szCs w:val="21"/>
          <w:highlight w:val="none"/>
        </w:rPr>
        <w:t>“▲”且</w:t>
      </w:r>
      <w:r>
        <w:rPr>
          <w:rFonts w:hint="eastAsia" w:ascii="宋体" w:hAnsi="宋体" w:cs="楷体"/>
          <w:b/>
          <w:bCs/>
          <w:color w:val="auto"/>
          <w:sz w:val="22"/>
          <w:szCs w:val="22"/>
          <w:highlight w:val="none"/>
        </w:rPr>
        <w:t>加下划线的条款，为招标的实质性要求和条件，着重提醒各投标人注意，并认真查看采购文件中的每一个条款及要求，因误读采购文件而造成的后果，</w:t>
      </w:r>
      <w:r>
        <w:rPr>
          <w:rFonts w:hint="eastAsia" w:ascii="宋体" w:hAnsi="宋体" w:cs="楷体"/>
          <w:b/>
          <w:bCs/>
          <w:color w:val="auto"/>
          <w:sz w:val="22"/>
          <w:szCs w:val="22"/>
          <w:highlight w:val="none"/>
          <w:lang w:eastAsia="zh-CN"/>
        </w:rPr>
        <w:t>采购人</w:t>
      </w:r>
      <w:r>
        <w:rPr>
          <w:rFonts w:hint="eastAsia" w:ascii="宋体" w:hAnsi="宋体" w:cs="楷体"/>
          <w:b/>
          <w:bCs/>
          <w:color w:val="auto"/>
          <w:sz w:val="22"/>
          <w:szCs w:val="22"/>
          <w:highlight w:val="none"/>
        </w:rPr>
        <w:t>概不负责。</w:t>
      </w:r>
    </w:p>
    <w:p w14:paraId="38AD6491">
      <w:pPr>
        <w:rPr>
          <w:rStyle w:val="36"/>
          <w:rFonts w:hint="eastAsia" w:ascii="宋体" w:hAnsi="宋体" w:eastAsia="宋体" w:cs="楷体"/>
          <w:color w:val="auto"/>
          <w:sz w:val="20"/>
          <w:szCs w:val="20"/>
          <w:highlight w:val="none"/>
          <w:u w:val="none"/>
        </w:rPr>
      </w:pPr>
      <w:r>
        <w:rPr>
          <w:rStyle w:val="36"/>
          <w:rFonts w:hint="eastAsia" w:ascii="宋体" w:hAnsi="宋体" w:eastAsia="宋体" w:cs="楷体"/>
          <w:color w:val="auto"/>
          <w:sz w:val="20"/>
          <w:szCs w:val="20"/>
          <w:highlight w:val="none"/>
          <w:u w:val="none"/>
        </w:rPr>
        <w:br w:type="page"/>
      </w:r>
    </w:p>
    <w:p w14:paraId="0F3D6A37">
      <w:pPr>
        <w:pStyle w:val="3"/>
        <w:rPr>
          <w:rFonts w:hint="default" w:ascii="宋体" w:hAnsi="宋体" w:eastAsia="宋体" w:cs="宋体"/>
          <w:color w:val="auto"/>
          <w:sz w:val="36"/>
          <w:szCs w:val="36"/>
          <w:highlight w:val="none"/>
          <w:lang w:val="en-US" w:eastAsia="zh-CN"/>
        </w:rPr>
      </w:pPr>
      <w:bookmarkStart w:id="0" w:name="_Toc38618579"/>
      <w:bookmarkStart w:id="1" w:name="_Toc10155"/>
      <w:bookmarkStart w:id="2" w:name="_Toc7259"/>
      <w:r>
        <w:rPr>
          <w:rFonts w:hint="eastAsia" w:ascii="宋体" w:hAnsi="宋体" w:eastAsia="宋体" w:cs="宋体"/>
          <w:color w:val="auto"/>
          <w:sz w:val="36"/>
          <w:szCs w:val="36"/>
          <w:highlight w:val="none"/>
          <w:lang w:eastAsia="zh-CN"/>
        </w:rPr>
        <w:t>正展建设管理集团有限公司</w:t>
      </w:r>
      <w:r>
        <w:rPr>
          <w:rFonts w:hint="eastAsia" w:ascii="宋体" w:hAnsi="宋体" w:eastAsia="宋体" w:cs="宋体"/>
          <w:color w:val="auto"/>
          <w:sz w:val="36"/>
          <w:szCs w:val="36"/>
          <w:highlight w:val="none"/>
        </w:rPr>
        <w:t>关于</w:t>
      </w:r>
      <w:r>
        <w:rPr>
          <w:rFonts w:hint="eastAsia" w:ascii="宋体" w:hAnsi="宋体" w:eastAsia="宋体" w:cs="宋体"/>
          <w:color w:val="auto"/>
          <w:sz w:val="36"/>
          <w:szCs w:val="36"/>
          <w:highlight w:val="none"/>
          <w:lang w:eastAsia="zh-CN"/>
        </w:rPr>
        <w:t>龙湾二期建筑垃圾消纳及资源化利用项目后场消纳管理服务</w:t>
      </w:r>
      <w:r>
        <w:rPr>
          <w:rFonts w:hint="eastAsia" w:ascii="宋体" w:hAnsi="宋体" w:eastAsia="宋体" w:cs="宋体"/>
          <w:color w:val="auto"/>
          <w:sz w:val="36"/>
          <w:szCs w:val="36"/>
          <w:highlight w:val="none"/>
          <w:lang w:val="en-US" w:eastAsia="zh-CN"/>
        </w:rPr>
        <w:t>项目</w:t>
      </w:r>
      <w:r>
        <w:rPr>
          <w:rFonts w:hint="eastAsia" w:ascii="宋体" w:hAnsi="宋体" w:eastAsia="宋体" w:cs="宋体"/>
          <w:color w:val="auto"/>
          <w:sz w:val="36"/>
          <w:szCs w:val="36"/>
          <w:highlight w:val="none"/>
        </w:rPr>
        <w:t>的</w:t>
      </w:r>
      <w:bookmarkEnd w:id="0"/>
      <w:r>
        <w:rPr>
          <w:rFonts w:hint="eastAsia" w:ascii="宋体" w:hAnsi="宋体" w:eastAsia="宋体" w:cs="宋体"/>
          <w:color w:val="auto"/>
          <w:sz w:val="36"/>
          <w:szCs w:val="36"/>
          <w:highlight w:val="none"/>
          <w:lang w:val="en-US" w:eastAsia="zh-CN"/>
        </w:rPr>
        <w:t>公开</w:t>
      </w:r>
      <w:bookmarkEnd w:id="1"/>
      <w:r>
        <w:rPr>
          <w:rFonts w:hint="eastAsia" w:ascii="宋体" w:hAnsi="宋体" w:eastAsia="宋体" w:cs="宋体"/>
          <w:color w:val="auto"/>
          <w:sz w:val="36"/>
          <w:szCs w:val="36"/>
          <w:highlight w:val="none"/>
          <w:lang w:val="en-US" w:eastAsia="zh-CN"/>
        </w:rPr>
        <w:t>招标公告</w:t>
      </w:r>
      <w:bookmarkEnd w:id="2"/>
    </w:p>
    <w:p w14:paraId="429E0B7F">
      <w:pPr>
        <w:rPr>
          <w:rFonts w:hint="eastAsia" w:ascii="宋体" w:hAnsi="宋体" w:eastAsia="宋体" w:cs="宋体"/>
          <w:color w:val="auto"/>
          <w:highlight w:val="none"/>
        </w:rPr>
      </w:pPr>
    </w:p>
    <w:p w14:paraId="1AFE6B23">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14:paraId="41514C91">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龙湾二期建筑垃圾消纳及资源化利用项目后场消纳管理服务</w:t>
      </w:r>
      <w:r>
        <w:rPr>
          <w:rFonts w:hint="eastAsia" w:ascii="宋体" w:hAnsi="宋体" w:eastAsia="宋体" w:cs="宋体"/>
          <w:color w:val="auto"/>
          <w:sz w:val="22"/>
          <w:szCs w:val="22"/>
          <w:highlight w:val="none"/>
        </w:rPr>
        <w:t>招标项目的潜在</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应在“</w:t>
      </w:r>
      <w:r>
        <w:rPr>
          <w:rFonts w:hint="eastAsia" w:ascii="宋体" w:hAnsi="宋体" w:cs="宋体"/>
          <w:color w:val="auto"/>
          <w:sz w:val="22"/>
          <w:szCs w:val="22"/>
          <w:highlight w:val="none"/>
          <w:lang w:val="en-US" w:eastAsia="zh-CN"/>
        </w:rPr>
        <w:t>乐采云</w:t>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www.lecaiyun.com</w:t>
      </w:r>
      <w:r>
        <w:rPr>
          <w:rFonts w:hint="eastAsia" w:ascii="宋体" w:hAnsi="宋体" w:eastAsia="宋体" w:cs="宋体"/>
          <w:color w:val="auto"/>
          <w:sz w:val="22"/>
          <w:szCs w:val="22"/>
          <w:highlight w:val="none"/>
        </w:rPr>
        <w:t>）平台获取</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，并于</w:t>
      </w:r>
      <w:r>
        <w:rPr>
          <w:rFonts w:hint="eastAsia" w:ascii="宋体" w:hAnsi="宋体" w:cs="宋体"/>
          <w:color w:val="auto"/>
          <w:sz w:val="22"/>
          <w:szCs w:val="22"/>
          <w:highlight w:val="none"/>
          <w:lang w:val="en-US" w:eastAsia="zh-CN"/>
        </w:rPr>
        <w:t>2025年7月25日09</w:t>
      </w:r>
      <w:r>
        <w:rPr>
          <w:rFonts w:hint="eastAsia" w:ascii="宋体" w:hAnsi="宋体" w:eastAsia="宋体" w:cs="宋体"/>
          <w:color w:val="auto"/>
          <w:sz w:val="22"/>
          <w:szCs w:val="22"/>
          <w:highlight w:val="none"/>
        </w:rPr>
        <w:t>:30（北京时间）前递交投标文件。</w:t>
      </w:r>
    </w:p>
    <w:p w14:paraId="35060320">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bookmarkStart w:id="3" w:name="_Toc28359089"/>
      <w:bookmarkStart w:id="4" w:name="_Toc28359012"/>
      <w:bookmarkStart w:id="5" w:name="_Toc35393629"/>
      <w:bookmarkStart w:id="6" w:name="_Toc35393798"/>
      <w:r>
        <w:rPr>
          <w:rFonts w:hint="eastAsia" w:ascii="宋体" w:hAnsi="宋体" w:eastAsia="宋体" w:cs="宋体"/>
          <w:b/>
          <w:bCs/>
          <w:color w:val="auto"/>
          <w:sz w:val="22"/>
          <w:szCs w:val="22"/>
          <w:highlight w:val="none"/>
        </w:rPr>
        <w:t>一、项目基本情况</w:t>
      </w:r>
      <w:bookmarkEnd w:id="3"/>
      <w:bookmarkEnd w:id="4"/>
      <w:bookmarkEnd w:id="5"/>
      <w:bookmarkEnd w:id="6"/>
    </w:p>
    <w:p w14:paraId="701C674D">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项目编号：</w:t>
      </w:r>
      <w:r>
        <w:rPr>
          <w:rFonts w:hint="eastAsia" w:ascii="宋体" w:hAnsi="宋体" w:cs="宋体"/>
          <w:color w:val="auto"/>
          <w:sz w:val="22"/>
          <w:szCs w:val="22"/>
          <w:highlight w:val="none"/>
          <w:lang w:eastAsia="zh-CN"/>
        </w:rPr>
        <w:t>ZZJS-2025042801</w:t>
      </w:r>
    </w:p>
    <w:p w14:paraId="71918771">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cs="宋体"/>
          <w:color w:val="auto"/>
          <w:kern w:val="0"/>
          <w:sz w:val="22"/>
          <w:szCs w:val="22"/>
          <w:highlight w:val="none"/>
          <w:lang w:eastAsia="zh-CN"/>
        </w:rPr>
        <w:t>龙湾二期建筑垃圾消纳及资源化利用项目后场消纳管理服务</w:t>
      </w:r>
    </w:p>
    <w:p w14:paraId="5778073A">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w:t>
      </w:r>
      <w:r>
        <w:rPr>
          <w:rFonts w:hint="eastAsia" w:ascii="宋体" w:hAnsi="宋体" w:cs="宋体"/>
          <w:color w:val="auto"/>
          <w:sz w:val="22"/>
          <w:szCs w:val="22"/>
          <w:highlight w:val="none"/>
          <w:lang w:val="en-US" w:eastAsia="zh-CN"/>
        </w:rPr>
        <w:t>7576000.00</w:t>
      </w:r>
      <w:r>
        <w:rPr>
          <w:rFonts w:hint="eastAsia" w:ascii="宋体" w:hAnsi="宋体" w:eastAsia="宋体" w:cs="宋体"/>
          <w:color w:val="auto"/>
          <w:kern w:val="0"/>
          <w:sz w:val="22"/>
          <w:szCs w:val="22"/>
          <w:highlight w:val="none"/>
        </w:rPr>
        <w:t>元</w:t>
      </w:r>
    </w:p>
    <w:p w14:paraId="751AB49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最高限价：</w:t>
      </w:r>
      <w:r>
        <w:rPr>
          <w:rFonts w:hint="eastAsia" w:ascii="宋体" w:hAnsi="宋体" w:cs="宋体"/>
          <w:color w:val="auto"/>
          <w:sz w:val="22"/>
          <w:szCs w:val="22"/>
          <w:highlight w:val="none"/>
          <w:lang w:val="en-US" w:eastAsia="zh-CN"/>
        </w:rPr>
        <w:t>/</w:t>
      </w:r>
    </w:p>
    <w:p w14:paraId="0672E3D5">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采购需求：</w:t>
      </w:r>
      <w:r>
        <w:rPr>
          <w:rFonts w:hint="eastAsia" w:ascii="宋体" w:hAnsi="宋体" w:cs="宋体"/>
          <w:color w:val="auto"/>
          <w:sz w:val="22"/>
          <w:szCs w:val="22"/>
          <w:highlight w:val="none"/>
          <w:lang w:val="en-US" w:eastAsia="zh-CN"/>
        </w:rPr>
        <w:t>详见采购文件</w:t>
      </w:r>
    </w:p>
    <w:p w14:paraId="68C4E34C">
      <w:pPr>
        <w:keepNext w:val="0"/>
        <w:keepLines w:val="0"/>
        <w:pageBreakBefore w:val="0"/>
        <w:kinsoku/>
        <w:wordWrap/>
        <w:overflowPunct/>
        <w:topLinePunct w:val="0"/>
        <w:autoSpaceDE/>
        <w:autoSpaceDN/>
        <w:bidi w:val="0"/>
        <w:adjustRightInd/>
        <w:snapToGrid/>
        <w:spacing w:line="440" w:lineRule="exact"/>
        <w:ind w:left="437" w:leftChars="208" w:firstLine="0" w:firstLineChars="0"/>
        <w:textAlignment w:val="auto"/>
        <w:rPr>
          <w:rFonts w:hint="eastAsia" w:ascii="宋体" w:hAnsi="宋体" w:eastAsia="宋体" w:cs="宋体"/>
          <w:b w:val="0"/>
          <w:bCs w:val="0"/>
          <w:color w:val="auto"/>
          <w:kern w:val="2"/>
          <w:sz w:val="22"/>
          <w:szCs w:val="22"/>
          <w:highlight w:val="none"/>
          <w:lang w:val="en-US" w:eastAsia="zh-CN" w:bidi="ar-SA"/>
        </w:rPr>
      </w:pPr>
    </w:p>
    <w:p w14:paraId="1BFE0C8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 xml:space="preserve">标项名称: </w:t>
      </w:r>
      <w:r>
        <w:rPr>
          <w:rFonts w:hint="eastAsia" w:ascii="宋体" w:hAnsi="宋体" w:cs="宋体"/>
          <w:color w:val="auto"/>
          <w:kern w:val="0"/>
          <w:sz w:val="22"/>
          <w:szCs w:val="22"/>
          <w:highlight w:val="none"/>
          <w:lang w:eastAsia="zh-CN"/>
        </w:rPr>
        <w:t>龙湾二期建筑垃圾消纳及资源化利用项目后场消纳管理服务</w:t>
      </w:r>
      <w:r>
        <w:rPr>
          <w:rFonts w:hint="eastAsia" w:ascii="宋体" w:hAnsi="宋体" w:eastAsia="宋体" w:cs="宋体"/>
          <w:b w:val="0"/>
          <w:bCs w:val="0"/>
          <w:color w:val="auto"/>
          <w:kern w:val="2"/>
          <w:sz w:val="22"/>
          <w:szCs w:val="22"/>
          <w:highlight w:val="none"/>
          <w:lang w:val="en-US" w:eastAsia="zh-CN" w:bidi="ar-SA"/>
        </w:rPr>
        <w:t xml:space="preserve"> </w:t>
      </w:r>
    </w:p>
    <w:p w14:paraId="35F5EEF8">
      <w:pPr>
        <w:keepNext w:val="0"/>
        <w:keepLines w:val="0"/>
        <w:pageBreakBefore w:val="0"/>
        <w:kinsoku/>
        <w:wordWrap/>
        <w:overflowPunct/>
        <w:topLinePunct w:val="0"/>
        <w:autoSpaceDE/>
        <w:autoSpaceDN/>
        <w:bidi w:val="0"/>
        <w:adjustRightInd/>
        <w:snapToGrid/>
        <w:spacing w:line="440" w:lineRule="exact"/>
        <w:ind w:left="437" w:leftChars="208"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 xml:space="preserve">数量: 1  </w:t>
      </w:r>
    </w:p>
    <w:p w14:paraId="42FFE9A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预算金额（元）:</w:t>
      </w:r>
      <w:r>
        <w:rPr>
          <w:rFonts w:hint="eastAsia" w:ascii="宋体" w:hAnsi="宋体" w:cs="宋体"/>
          <w:color w:val="auto"/>
          <w:sz w:val="22"/>
          <w:szCs w:val="22"/>
          <w:highlight w:val="none"/>
          <w:lang w:val="en-US" w:eastAsia="zh-CN"/>
        </w:rPr>
        <w:t>7576000.</w:t>
      </w:r>
      <w:r>
        <w:rPr>
          <w:rFonts w:hint="eastAsia" w:ascii="宋体" w:hAnsi="宋体" w:cs="楷体"/>
          <w:color w:val="auto"/>
          <w:kern w:val="0"/>
          <w:sz w:val="22"/>
          <w:szCs w:val="22"/>
          <w:highlight w:val="none"/>
          <w:lang w:val="en-US" w:eastAsia="zh-CN"/>
        </w:rPr>
        <w:t>00</w:t>
      </w:r>
      <w:r>
        <w:rPr>
          <w:rFonts w:hint="eastAsia" w:ascii="宋体" w:hAnsi="宋体" w:eastAsia="宋体" w:cs="宋体"/>
          <w:color w:val="auto"/>
          <w:kern w:val="0"/>
          <w:sz w:val="22"/>
          <w:szCs w:val="22"/>
          <w:highlight w:val="none"/>
        </w:rPr>
        <w:t>元</w:t>
      </w:r>
    </w:p>
    <w:p w14:paraId="07C31A88">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简要规格描述或项目基本概况介绍</w:t>
      </w:r>
      <w:r>
        <w:rPr>
          <w:rFonts w:hint="eastAsia" w:ascii="宋体" w:hAnsi="宋体" w:cs="宋体"/>
          <w:b w:val="0"/>
          <w:bCs w:val="0"/>
          <w:color w:val="auto"/>
          <w:kern w:val="2"/>
          <w:sz w:val="22"/>
          <w:szCs w:val="22"/>
          <w:highlight w:val="none"/>
          <w:lang w:val="en-US" w:eastAsia="zh-CN" w:bidi="ar-SA"/>
        </w:rPr>
        <w:t>：</w:t>
      </w:r>
      <w:r>
        <w:rPr>
          <w:rFonts w:hint="eastAsia" w:ascii="宋体" w:hAnsi="宋体" w:cs="楷体"/>
          <w:color w:val="auto"/>
          <w:kern w:val="0"/>
          <w:sz w:val="22"/>
          <w:szCs w:val="22"/>
          <w:highlight w:val="none"/>
          <w:lang w:eastAsia="zh-CN"/>
        </w:rPr>
        <w:t>龙湾二期建筑垃圾消纳及资源化利用项目后场消纳管理服务</w:t>
      </w:r>
      <w:r>
        <w:rPr>
          <w:rFonts w:hint="eastAsia" w:ascii="宋体" w:hAnsi="宋体" w:cs="楷体"/>
          <w:color w:val="auto"/>
          <w:kern w:val="0"/>
          <w:sz w:val="22"/>
          <w:szCs w:val="22"/>
          <w:highlight w:val="none"/>
        </w:rPr>
        <w:t>，具体采购内容及详细技术要求见采购文件相关部分。</w:t>
      </w:r>
    </w:p>
    <w:p w14:paraId="445EB702">
      <w:pPr>
        <w:keepNext w:val="0"/>
        <w:keepLines w:val="0"/>
        <w:pageBreakBefore w:val="0"/>
        <w:kinsoku/>
        <w:wordWrap/>
        <w:overflowPunct/>
        <w:topLinePunct w:val="0"/>
        <w:autoSpaceDE/>
        <w:autoSpaceDN/>
        <w:bidi w:val="0"/>
        <w:adjustRightInd/>
        <w:snapToGrid/>
        <w:spacing w:line="440" w:lineRule="exact"/>
        <w:ind w:left="437" w:leftChars="208"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 xml:space="preserve">备注： </w:t>
      </w:r>
    </w:p>
    <w:p w14:paraId="248C924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cs="宋体"/>
          <w:color w:val="auto"/>
          <w:kern w:val="0"/>
          <w:sz w:val="22"/>
          <w:highlight w:val="none"/>
        </w:rPr>
      </w:pPr>
    </w:p>
    <w:p w14:paraId="422DFAC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kern w:val="0"/>
          <w:sz w:val="22"/>
          <w:highlight w:val="none"/>
        </w:rPr>
        <w:t>合同履约期限：项目服务期为自合同签订之日起一年，一年合同期满，</w:t>
      </w:r>
      <w:r>
        <w:rPr>
          <w:rFonts w:hint="eastAsia" w:ascii="宋体" w:hAnsi="宋体" w:cs="宋体"/>
          <w:color w:val="auto"/>
          <w:kern w:val="0"/>
          <w:sz w:val="22"/>
          <w:highlight w:val="none"/>
          <w:lang w:eastAsia="zh-CN"/>
        </w:rPr>
        <w:t>采购人</w:t>
      </w:r>
      <w:r>
        <w:rPr>
          <w:rFonts w:hint="eastAsia" w:ascii="宋体" w:hAnsi="宋体" w:cs="宋体"/>
          <w:color w:val="auto"/>
          <w:kern w:val="0"/>
          <w:sz w:val="22"/>
          <w:highlight w:val="none"/>
        </w:rPr>
        <w:t>对中标人服务期内所提供的服务考核满意的情况下，</w:t>
      </w:r>
      <w:r>
        <w:rPr>
          <w:rFonts w:hint="eastAsia" w:ascii="宋体" w:hAnsi="宋体" w:cs="宋体"/>
          <w:color w:val="auto"/>
          <w:kern w:val="0"/>
          <w:sz w:val="22"/>
          <w:highlight w:val="none"/>
          <w:lang w:eastAsia="zh-CN"/>
        </w:rPr>
        <w:t>采购人</w:t>
      </w:r>
      <w:r>
        <w:rPr>
          <w:rFonts w:hint="eastAsia" w:ascii="宋体" w:hAnsi="宋体" w:cs="宋体"/>
          <w:color w:val="auto"/>
          <w:kern w:val="0"/>
          <w:sz w:val="22"/>
          <w:highlight w:val="none"/>
        </w:rPr>
        <w:t>可选择与中标人续签一年期合同（1+1模式）</w:t>
      </w:r>
      <w:r>
        <w:rPr>
          <w:rFonts w:hint="eastAsia" w:ascii="宋体" w:hAnsi="宋体" w:eastAsia="宋体" w:cs="宋体"/>
          <w:b w:val="0"/>
          <w:bCs w:val="0"/>
          <w:color w:val="auto"/>
          <w:kern w:val="2"/>
          <w:sz w:val="22"/>
          <w:szCs w:val="22"/>
          <w:highlight w:val="none"/>
          <w:lang w:val="en-US" w:eastAsia="zh-CN" w:bidi="ar-SA"/>
        </w:rPr>
        <w:t>。</w:t>
      </w:r>
    </w:p>
    <w:p w14:paraId="53AC66E3">
      <w:pPr>
        <w:keepNext w:val="0"/>
        <w:keepLines w:val="0"/>
        <w:pageBreakBefore w:val="0"/>
        <w:kinsoku/>
        <w:wordWrap/>
        <w:overflowPunct/>
        <w:topLinePunct w:val="0"/>
        <w:autoSpaceDE/>
        <w:autoSpaceDN/>
        <w:bidi w:val="0"/>
        <w:adjustRightInd/>
        <w:snapToGrid/>
        <w:spacing w:line="440" w:lineRule="exact"/>
        <w:ind w:left="437" w:leftChars="208" w:firstLine="0" w:firstLineChars="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本项目（否）接受联合体投标</w:t>
      </w:r>
      <w:r>
        <w:rPr>
          <w:rFonts w:hint="eastAsia" w:ascii="宋体" w:hAnsi="宋体" w:cs="宋体"/>
          <w:b w:val="0"/>
          <w:bCs w:val="0"/>
          <w:color w:val="auto"/>
          <w:kern w:val="2"/>
          <w:sz w:val="22"/>
          <w:szCs w:val="22"/>
          <w:highlight w:val="none"/>
          <w:lang w:val="en-US" w:eastAsia="zh-CN" w:bidi="ar-SA"/>
        </w:rPr>
        <w:t>。</w:t>
      </w:r>
    </w:p>
    <w:p w14:paraId="3A2CCE5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bookmarkStart w:id="7" w:name="_Toc35393630"/>
      <w:bookmarkStart w:id="8" w:name="_Toc28359090"/>
      <w:bookmarkStart w:id="9" w:name="_Toc28359013"/>
      <w:bookmarkStart w:id="10" w:name="_Toc35393799"/>
      <w:r>
        <w:rPr>
          <w:rFonts w:hint="eastAsia" w:ascii="宋体" w:hAnsi="宋体" w:eastAsia="宋体" w:cs="宋体"/>
          <w:b/>
          <w:bCs/>
          <w:color w:val="auto"/>
          <w:sz w:val="22"/>
          <w:szCs w:val="22"/>
          <w:highlight w:val="none"/>
        </w:rPr>
        <w:t>二、申请人的资格要求：</w:t>
      </w:r>
      <w:bookmarkEnd w:id="7"/>
      <w:bookmarkEnd w:id="8"/>
      <w:bookmarkEnd w:id="9"/>
      <w:bookmarkEnd w:id="10"/>
    </w:p>
    <w:p w14:paraId="2AAF4B44">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rPr>
      </w:pPr>
      <w:bookmarkStart w:id="11" w:name="_Toc35393800"/>
      <w:bookmarkStart w:id="12" w:name="_Toc28359091"/>
      <w:bookmarkStart w:id="13" w:name="_Toc35393631"/>
      <w:bookmarkStart w:id="14" w:name="_Toc28359014"/>
      <w:r>
        <w:rPr>
          <w:rFonts w:hint="eastAsia" w:ascii="宋体" w:hAnsi="宋体" w:eastAsia="宋体" w:cs="宋体"/>
          <w:color w:val="auto"/>
          <w:sz w:val="22"/>
          <w:szCs w:val="22"/>
          <w:highlight w:val="none"/>
        </w:rPr>
        <w:t>1.具有《</w:t>
      </w:r>
      <w:r>
        <w:rPr>
          <w:rFonts w:hint="eastAsia" w:ascii="宋体" w:hAnsi="宋体" w:cs="宋体"/>
          <w:color w:val="auto"/>
          <w:sz w:val="22"/>
          <w:szCs w:val="22"/>
          <w:highlight w:val="none"/>
          <w:lang w:eastAsia="zh-CN"/>
        </w:rPr>
        <w:t>温州湾新区、龙湾区区属国有企业采购管理办法</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关于供应商要求中对供应商</w:t>
      </w:r>
      <w:r>
        <w:rPr>
          <w:rFonts w:hint="eastAsia" w:ascii="宋体" w:hAnsi="宋体" w:eastAsia="宋体" w:cs="宋体"/>
          <w:color w:val="auto"/>
          <w:sz w:val="22"/>
          <w:szCs w:val="22"/>
          <w:highlight w:val="none"/>
        </w:rPr>
        <w:t>参加温州市龙湾区国有企业采购活动应当具备的要求；</w:t>
      </w:r>
    </w:p>
    <w:p w14:paraId="6D2EE506">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2.落实政府采购政策需满足的资格要求：</w:t>
      </w:r>
      <w:r>
        <w:rPr>
          <w:rFonts w:hint="eastAsia" w:ascii="宋体" w:hAnsi="宋体" w:eastAsia="宋体" w:cs="宋体"/>
          <w:color w:val="auto"/>
          <w:sz w:val="22"/>
          <w:szCs w:val="22"/>
          <w:highlight w:val="none"/>
          <w:lang w:val="en-US" w:eastAsia="zh-CN"/>
        </w:rPr>
        <w:t>无</w:t>
      </w:r>
      <w:r>
        <w:rPr>
          <w:rFonts w:hint="eastAsia" w:ascii="宋体" w:hAnsi="宋体" w:eastAsia="宋体" w:cs="宋体"/>
          <w:color w:val="auto"/>
          <w:sz w:val="22"/>
          <w:szCs w:val="22"/>
          <w:highlight w:val="none"/>
          <w:lang w:eastAsia="zh-CN"/>
        </w:rPr>
        <w:t>；</w:t>
      </w:r>
    </w:p>
    <w:p w14:paraId="04A4F7B0">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3.本项目的特定资格要求：</w:t>
      </w:r>
      <w:r>
        <w:rPr>
          <w:rFonts w:hint="eastAsia" w:ascii="宋体" w:hAnsi="宋体" w:cs="楷体"/>
          <w:color w:val="auto"/>
          <w:kern w:val="0"/>
          <w:sz w:val="22"/>
          <w:szCs w:val="22"/>
          <w:highlight w:val="none"/>
          <w:lang w:val="en-US" w:eastAsia="zh-CN"/>
        </w:rPr>
        <w:t>无</w:t>
      </w:r>
      <w:r>
        <w:rPr>
          <w:rFonts w:hint="eastAsia" w:ascii="新宋体" w:hAnsi="新宋体" w:eastAsia="新宋体" w:cs="新宋体"/>
          <w:color w:val="auto"/>
          <w:kern w:val="0"/>
          <w:sz w:val="22"/>
          <w:szCs w:val="22"/>
          <w:highlight w:val="none"/>
          <w:lang w:val="zh-CN"/>
        </w:rPr>
        <w:t>。</w:t>
      </w:r>
    </w:p>
    <w:p w14:paraId="5BB354E1">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三、获取采购文件</w:t>
      </w:r>
      <w:bookmarkEnd w:id="11"/>
      <w:bookmarkEnd w:id="12"/>
      <w:bookmarkEnd w:id="13"/>
      <w:bookmarkEnd w:id="14"/>
    </w:p>
    <w:p w14:paraId="2B3E58EE">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val="en-US" w:eastAsia="zh-CN"/>
        </w:rPr>
      </w:pPr>
      <w:bookmarkStart w:id="15" w:name="_Toc28359015"/>
      <w:bookmarkStart w:id="16" w:name="_Toc35393632"/>
      <w:bookmarkStart w:id="17" w:name="_Toc35393801"/>
      <w:bookmarkStart w:id="18" w:name="_Toc28359092"/>
      <w:r>
        <w:rPr>
          <w:rFonts w:hint="eastAsia" w:ascii="宋体" w:hAnsi="宋体" w:eastAsia="宋体" w:cs="宋体"/>
          <w:color w:val="auto"/>
          <w:sz w:val="22"/>
          <w:szCs w:val="22"/>
          <w:highlight w:val="none"/>
          <w:lang w:val="en-US" w:eastAsia="zh-CN"/>
        </w:rPr>
        <w:t>1.时间：</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至</w:t>
      </w:r>
      <w:r>
        <w:rPr>
          <w:rFonts w:hint="eastAsia" w:ascii="宋体" w:hAnsi="宋体" w:cs="宋体"/>
          <w:color w:val="auto"/>
          <w:sz w:val="22"/>
          <w:szCs w:val="22"/>
          <w:highlight w:val="none"/>
          <w:lang w:val="en-US" w:eastAsia="zh-CN"/>
        </w:rPr>
        <w:t xml:space="preserve">2025年07月25日 </w:t>
      </w:r>
      <w:r>
        <w:rPr>
          <w:rFonts w:hint="eastAsia" w:ascii="宋体" w:hAnsi="宋体" w:eastAsia="宋体" w:cs="宋体"/>
          <w:color w:val="auto"/>
          <w:sz w:val="22"/>
          <w:szCs w:val="22"/>
          <w:highlight w:val="none"/>
          <w:lang w:val="en-US" w:eastAsia="zh-CN"/>
        </w:rPr>
        <w:t>，每天上午00:00至12:00，下午12:00至23:59（北京时间，线上获取法定节假日均可，线下获取文件法定节假日除外）。</w:t>
      </w:r>
    </w:p>
    <w:p w14:paraId="473D4B12">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地点：乐采云平台（http://</w:t>
      </w:r>
      <w:r>
        <w:rPr>
          <w:rFonts w:hint="eastAsia" w:ascii="宋体" w:hAnsi="宋体" w:cs="宋体"/>
          <w:color w:val="auto"/>
          <w:sz w:val="22"/>
          <w:szCs w:val="22"/>
          <w:highlight w:val="none"/>
          <w:lang w:eastAsia="zh-CN"/>
        </w:rPr>
        <w:t>www.lecaiyun.com</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p>
    <w:p w14:paraId="4417F43C">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方式：1）本项目采购文件实行“</w:t>
      </w:r>
      <w:r>
        <w:rPr>
          <w:rFonts w:hint="eastAsia" w:ascii="宋体" w:hAnsi="宋体" w:cs="宋体"/>
          <w:color w:val="auto"/>
          <w:sz w:val="22"/>
          <w:szCs w:val="22"/>
          <w:highlight w:val="none"/>
          <w:lang w:val="en-US" w:eastAsia="zh-CN"/>
        </w:rPr>
        <w:t>乐采</w:t>
      </w:r>
      <w:r>
        <w:rPr>
          <w:rFonts w:hint="eastAsia" w:ascii="宋体" w:hAnsi="宋体" w:eastAsia="宋体" w:cs="宋体"/>
          <w:color w:val="auto"/>
          <w:sz w:val="22"/>
          <w:szCs w:val="22"/>
          <w:highlight w:val="none"/>
        </w:rPr>
        <w:t>云平台”在线获取，不提供采购文件纸质版。供应商获取采购文件前应先完成“政府采购云平台”的账号注册；</w:t>
      </w:r>
    </w:p>
    <w:p w14:paraId="2FFB8AC3">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2）潜在供应商通过账号登陆</w:t>
      </w:r>
      <w:r>
        <w:rPr>
          <w:rFonts w:hint="eastAsia" w:ascii="宋体" w:hAnsi="宋体" w:cs="宋体"/>
          <w:color w:val="auto"/>
          <w:sz w:val="22"/>
          <w:szCs w:val="22"/>
          <w:highlight w:val="none"/>
          <w:lang w:val="en-US" w:eastAsia="zh-CN"/>
        </w:rPr>
        <w:t>乐采</w:t>
      </w:r>
      <w:r>
        <w:rPr>
          <w:rFonts w:hint="eastAsia" w:ascii="宋体" w:hAnsi="宋体" w:eastAsia="宋体" w:cs="宋体"/>
          <w:color w:val="auto"/>
          <w:sz w:val="22"/>
          <w:szCs w:val="22"/>
          <w:highlight w:val="none"/>
        </w:rPr>
        <w:t>云平台：项目采购--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w:t>
      </w:r>
    </w:p>
    <w:p w14:paraId="2171958A">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3）采购公告附件内的采购文件（或采购需求）仅供阅览使用，供应商只有在“</w:t>
      </w:r>
      <w:r>
        <w:rPr>
          <w:rFonts w:hint="eastAsia" w:ascii="宋体" w:hAnsi="宋体" w:eastAsia="宋体" w:cs="宋体"/>
          <w:color w:val="auto"/>
          <w:sz w:val="22"/>
          <w:szCs w:val="22"/>
          <w:highlight w:val="none"/>
          <w:lang w:val="en-US" w:eastAsia="zh-CN"/>
        </w:rPr>
        <w:t>乐采</w:t>
      </w:r>
      <w:r>
        <w:rPr>
          <w:rFonts w:hint="eastAsia" w:ascii="宋体" w:hAnsi="宋体" w:eastAsia="宋体" w:cs="宋体"/>
          <w:color w:val="auto"/>
          <w:sz w:val="22"/>
          <w:szCs w:val="22"/>
          <w:highlight w:val="none"/>
        </w:rPr>
        <w:t>云平台”完成获取采购文件申请并下载了采购文件后才视作依法获取采购文件（法律法规所指的供应商获取采购文件时间以供应商完成获取采购文件申请后下载采购文件的时间为准）。</w:t>
      </w:r>
    </w:p>
    <w:p w14:paraId="1D5FE428">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注：请供应商按上述要求获取采购文件，如未在“</w:t>
      </w:r>
      <w:r>
        <w:rPr>
          <w:rFonts w:hint="eastAsia" w:ascii="宋体" w:hAnsi="宋体" w:eastAsia="宋体" w:cs="宋体"/>
          <w:color w:val="auto"/>
          <w:sz w:val="22"/>
          <w:szCs w:val="22"/>
          <w:highlight w:val="none"/>
          <w:lang w:val="en-US" w:eastAsia="zh-CN"/>
        </w:rPr>
        <w:t>乐采</w:t>
      </w:r>
      <w:r>
        <w:rPr>
          <w:rFonts w:hint="eastAsia" w:ascii="宋体" w:hAnsi="宋体" w:eastAsia="宋体" w:cs="宋体"/>
          <w:color w:val="auto"/>
          <w:sz w:val="22"/>
          <w:szCs w:val="22"/>
          <w:highlight w:val="none"/>
        </w:rPr>
        <w:t>云”系统内完成相关流程，引起的投标无效责任自负</w:t>
      </w:r>
      <w:r>
        <w:rPr>
          <w:rFonts w:hint="eastAsia" w:ascii="宋体" w:hAnsi="宋体" w:eastAsia="宋体" w:cs="宋体"/>
          <w:color w:val="auto"/>
          <w:sz w:val="22"/>
          <w:szCs w:val="22"/>
          <w:highlight w:val="none"/>
          <w:lang w:eastAsia="zh-CN"/>
        </w:rPr>
        <w:t>。</w:t>
      </w:r>
    </w:p>
    <w:p w14:paraId="686E7755">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val="en-US" w:eastAsia="zh-CN"/>
        </w:rPr>
      </w:pPr>
      <w:bookmarkStart w:id="19" w:name="_Toc20818"/>
      <w:r>
        <w:rPr>
          <w:rFonts w:hint="eastAsia" w:ascii="宋体" w:hAnsi="宋体" w:eastAsia="宋体" w:cs="宋体"/>
          <w:color w:val="auto"/>
          <w:sz w:val="22"/>
          <w:szCs w:val="22"/>
          <w:highlight w:val="none"/>
          <w:lang w:val="en-US" w:eastAsia="zh-CN"/>
        </w:rPr>
        <w:t>4.售价：</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元。</w:t>
      </w:r>
      <w:bookmarkEnd w:id="19"/>
    </w:p>
    <w:p w14:paraId="408D18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w:t>
      </w:r>
      <w:bookmarkEnd w:id="15"/>
      <w:bookmarkEnd w:id="16"/>
      <w:bookmarkEnd w:id="17"/>
      <w:bookmarkEnd w:id="18"/>
      <w:r>
        <w:rPr>
          <w:rFonts w:hint="eastAsia" w:ascii="宋体" w:hAnsi="宋体" w:eastAsia="宋体" w:cs="宋体"/>
          <w:b/>
          <w:bCs/>
          <w:color w:val="auto"/>
          <w:sz w:val="22"/>
          <w:szCs w:val="22"/>
          <w:highlight w:val="none"/>
        </w:rPr>
        <w:t>提交投标文件截止时间、开标时间和地点</w:t>
      </w:r>
    </w:p>
    <w:p w14:paraId="3CF5EB5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szCs w:val="22"/>
          <w:highlight w:val="none"/>
          <w:lang w:val="en-US" w:eastAsia="zh-CN"/>
        </w:rPr>
        <w:t>2025年07月25日09：30</w:t>
      </w:r>
      <w:r>
        <w:rPr>
          <w:rFonts w:hint="eastAsia" w:ascii="宋体" w:hAnsi="宋体" w:eastAsia="宋体" w:cs="宋体"/>
          <w:color w:val="auto"/>
          <w:sz w:val="22"/>
          <w:szCs w:val="22"/>
          <w:highlight w:val="none"/>
        </w:rPr>
        <w:t>（北京时间）</w:t>
      </w:r>
    </w:p>
    <w:p w14:paraId="53B7813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投标地点（网址）：“</w:t>
      </w:r>
      <w:r>
        <w:rPr>
          <w:rFonts w:hint="eastAsia" w:ascii="宋体" w:hAnsi="宋体" w:cs="宋体"/>
          <w:color w:val="auto"/>
          <w:sz w:val="22"/>
          <w:szCs w:val="22"/>
          <w:highlight w:val="none"/>
          <w:lang w:val="en-US" w:eastAsia="zh-CN"/>
        </w:rPr>
        <w:t>乐采</w:t>
      </w:r>
      <w:r>
        <w:rPr>
          <w:rFonts w:hint="eastAsia" w:ascii="宋体" w:hAnsi="宋体" w:eastAsia="宋体" w:cs="宋体"/>
          <w:color w:val="auto"/>
          <w:sz w:val="22"/>
          <w:szCs w:val="22"/>
          <w:highlight w:val="none"/>
        </w:rPr>
        <w:t>云”（http://</w:t>
      </w:r>
      <w:r>
        <w:rPr>
          <w:rFonts w:hint="eastAsia" w:ascii="宋体" w:hAnsi="宋体" w:cs="宋体"/>
          <w:color w:val="auto"/>
          <w:sz w:val="22"/>
          <w:szCs w:val="22"/>
          <w:highlight w:val="none"/>
          <w:lang w:eastAsia="zh-CN"/>
        </w:rPr>
        <w:t>www.lecaiyun.com</w:t>
      </w:r>
      <w:r>
        <w:rPr>
          <w:rFonts w:hint="eastAsia" w:ascii="宋体" w:hAnsi="宋体" w:eastAsia="宋体" w:cs="宋体"/>
          <w:color w:val="auto"/>
          <w:sz w:val="22"/>
          <w:szCs w:val="22"/>
          <w:highlight w:val="none"/>
        </w:rPr>
        <w:t xml:space="preserve">）平台在线递交 </w:t>
      </w:r>
    </w:p>
    <w:p w14:paraId="7EA4221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r>
        <w:rPr>
          <w:rFonts w:hint="eastAsia" w:ascii="宋体" w:hAnsi="宋体" w:cs="宋体"/>
          <w:color w:val="auto"/>
          <w:sz w:val="22"/>
          <w:szCs w:val="22"/>
          <w:highlight w:val="none"/>
          <w:lang w:val="en-US" w:eastAsia="zh-CN"/>
        </w:rPr>
        <w:t>2025年07月25日09：30</w:t>
      </w:r>
      <w:r>
        <w:rPr>
          <w:rFonts w:hint="eastAsia" w:ascii="宋体" w:hAnsi="宋体" w:eastAsia="宋体" w:cs="宋体"/>
          <w:color w:val="auto"/>
          <w:sz w:val="22"/>
          <w:szCs w:val="22"/>
          <w:highlight w:val="none"/>
        </w:rPr>
        <w:t>（北京时间）</w:t>
      </w:r>
    </w:p>
    <w:p w14:paraId="2F91CA3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开标地点（网址）：“</w:t>
      </w:r>
      <w:r>
        <w:rPr>
          <w:rFonts w:hint="eastAsia" w:ascii="宋体" w:hAnsi="宋体" w:cs="宋体"/>
          <w:color w:val="auto"/>
          <w:sz w:val="22"/>
          <w:szCs w:val="22"/>
          <w:highlight w:val="none"/>
          <w:lang w:val="en-US" w:eastAsia="zh-CN"/>
        </w:rPr>
        <w:t>乐采</w:t>
      </w:r>
      <w:r>
        <w:rPr>
          <w:rFonts w:hint="eastAsia" w:ascii="宋体" w:hAnsi="宋体" w:eastAsia="宋体" w:cs="宋体"/>
          <w:color w:val="auto"/>
          <w:sz w:val="22"/>
          <w:szCs w:val="22"/>
          <w:highlight w:val="none"/>
        </w:rPr>
        <w:t>云”（http://</w:t>
      </w:r>
      <w:r>
        <w:rPr>
          <w:rFonts w:hint="eastAsia" w:ascii="宋体" w:hAnsi="宋体" w:cs="宋体"/>
          <w:color w:val="auto"/>
          <w:sz w:val="22"/>
          <w:szCs w:val="22"/>
          <w:highlight w:val="none"/>
          <w:lang w:eastAsia="zh-CN"/>
        </w:rPr>
        <w:t>www.lecaiyun.com</w:t>
      </w:r>
      <w:r>
        <w:rPr>
          <w:rFonts w:hint="eastAsia" w:ascii="宋体" w:hAnsi="宋体" w:eastAsia="宋体" w:cs="宋体"/>
          <w:color w:val="auto"/>
          <w:sz w:val="22"/>
          <w:szCs w:val="22"/>
          <w:highlight w:val="none"/>
        </w:rPr>
        <w:t>）平台在线</w:t>
      </w:r>
      <w:r>
        <w:rPr>
          <w:rFonts w:hint="eastAsia" w:ascii="宋体" w:hAnsi="宋体" w:cs="宋体"/>
          <w:color w:val="auto"/>
          <w:sz w:val="22"/>
          <w:szCs w:val="22"/>
          <w:highlight w:val="none"/>
          <w:lang w:val="en-US" w:eastAsia="zh-CN"/>
        </w:rPr>
        <w:t>开标</w:t>
      </w:r>
    </w:p>
    <w:p w14:paraId="58615B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bookmarkStart w:id="20" w:name="_Toc35393634"/>
      <w:bookmarkStart w:id="21" w:name="_Toc35393803"/>
      <w:bookmarkStart w:id="22" w:name="_Toc28359017"/>
      <w:bookmarkStart w:id="23" w:name="_Toc28359094"/>
      <w:r>
        <w:rPr>
          <w:rFonts w:hint="eastAsia" w:ascii="宋体" w:hAnsi="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rPr>
        <w:t>、公告期限</w:t>
      </w:r>
      <w:bookmarkEnd w:id="20"/>
      <w:bookmarkEnd w:id="21"/>
      <w:bookmarkEnd w:id="22"/>
      <w:bookmarkEnd w:id="23"/>
    </w:p>
    <w:p w14:paraId="7B73576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自本公告发布之日起</w:t>
      </w: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个工作日。</w:t>
      </w:r>
    </w:p>
    <w:p w14:paraId="10331F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bookmarkStart w:id="24" w:name="_Toc35393804"/>
      <w:bookmarkStart w:id="25" w:name="_Toc35393635"/>
      <w:r>
        <w:rPr>
          <w:rFonts w:hint="eastAsia" w:ascii="宋体" w:hAnsi="宋体" w:eastAsia="宋体" w:cs="宋体"/>
          <w:b/>
          <w:bCs/>
          <w:color w:val="auto"/>
          <w:sz w:val="22"/>
          <w:szCs w:val="22"/>
          <w:highlight w:val="none"/>
        </w:rPr>
        <w:t>六、其他收费</w:t>
      </w:r>
    </w:p>
    <w:p w14:paraId="48FD05B7">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中标供应商需向乐采云平台缴纳服务费，收费标准如下：</w:t>
      </w:r>
    </w:p>
    <w:p w14:paraId="414772D6">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default"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（一）不涉及具体金额的采购项目，技术服务费800元/件；</w:t>
      </w:r>
    </w:p>
    <w:p w14:paraId="6621F2ED">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default"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（二）涉及具体金额的采购项目，根据标的额，按照以下比例收取技术服务费：</w:t>
      </w:r>
    </w:p>
    <w:p w14:paraId="5F4F7282">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default"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中标价80万元以下（含80万元的）：按800元收取；</w:t>
      </w:r>
    </w:p>
    <w:p w14:paraId="1C5EB7C8">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default"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中标价超过80万元的：中标价的千分之一（0.1%），以30000元封顶。</w:t>
      </w:r>
    </w:p>
    <w:p w14:paraId="42913897">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default"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（三）乐采云平台收费标准规则公示网址：https://t.zcygov.cn/t/RLqage</w:t>
      </w:r>
    </w:p>
    <w:p w14:paraId="3870E7F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、其他补充事宜</w:t>
      </w:r>
      <w:bookmarkEnd w:id="24"/>
      <w:bookmarkEnd w:id="25"/>
    </w:p>
    <w:p w14:paraId="3E9017DB">
      <w:pPr>
        <w:keepNext w:val="0"/>
        <w:keepLines w:val="0"/>
        <w:pageBreakBefore w:val="0"/>
        <w:widowControl/>
        <w:kinsoku/>
        <w:wordWrap/>
        <w:overflowPunct/>
        <w:topLinePunct w:val="0"/>
        <w:autoSpaceDE/>
        <w:autoSpaceDN/>
        <w:bidi w:val="0"/>
        <w:adjustRightInd/>
        <w:snapToGrid/>
        <w:spacing w:line="440" w:lineRule="exact"/>
        <w:ind w:left="0" w:leftChars="0" w:right="62"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1、本项目通过</w:t>
      </w:r>
      <w:r>
        <w:rPr>
          <w:rFonts w:hint="eastAsia" w:ascii="宋体" w:hAnsi="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乐采云平台（</w:t>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www.lecaiyun.com</w:t>
      </w:r>
      <w:r>
        <w:rPr>
          <w:rFonts w:hint="eastAsia" w:ascii="宋体" w:hAnsi="宋体" w:eastAsia="宋体" w:cs="宋体"/>
          <w:bCs/>
          <w:color w:val="auto"/>
          <w:kern w:val="0"/>
          <w:sz w:val="22"/>
          <w:szCs w:val="22"/>
          <w:highlight w:val="none"/>
        </w:rPr>
        <w:t>）</w:t>
      </w:r>
      <w:r>
        <w:rPr>
          <w:rFonts w:hint="eastAsia" w:ascii="宋体" w:hAnsi="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实行在线投标响应（电子投标），供应商应先安装“</w:t>
      </w:r>
      <w:r>
        <w:rPr>
          <w:rFonts w:hint="eastAsia" w:ascii="宋体" w:hAnsi="宋体" w:cs="宋体"/>
          <w:bCs/>
          <w:color w:val="auto"/>
          <w:kern w:val="0"/>
          <w:sz w:val="22"/>
          <w:szCs w:val="22"/>
          <w:highlight w:val="none"/>
          <w:lang w:eastAsia="zh-CN"/>
        </w:rPr>
        <w:t>乐采云</w:t>
      </w:r>
      <w:r>
        <w:rPr>
          <w:rFonts w:hint="eastAsia" w:ascii="宋体" w:hAnsi="宋体" w:eastAsia="宋体" w:cs="宋体"/>
          <w:bCs/>
          <w:color w:val="auto"/>
          <w:kern w:val="0"/>
          <w:sz w:val="22"/>
          <w:szCs w:val="22"/>
          <w:highlight w:val="none"/>
        </w:rPr>
        <w:t>电子交易客户端”，并按照本</w:t>
      </w:r>
      <w:r>
        <w:rPr>
          <w:rFonts w:hint="eastAsia" w:ascii="宋体" w:hAnsi="宋体" w:cs="宋体"/>
          <w:bCs/>
          <w:color w:val="auto"/>
          <w:kern w:val="0"/>
          <w:sz w:val="22"/>
          <w:szCs w:val="22"/>
          <w:highlight w:val="none"/>
          <w:lang w:eastAsia="zh-CN"/>
        </w:rPr>
        <w:t>采购文件</w:t>
      </w:r>
      <w:r>
        <w:rPr>
          <w:rFonts w:hint="eastAsia" w:ascii="宋体" w:hAnsi="宋体" w:eastAsia="宋体" w:cs="宋体"/>
          <w:bCs/>
          <w:color w:val="auto"/>
          <w:kern w:val="0"/>
          <w:sz w:val="22"/>
          <w:szCs w:val="22"/>
          <w:highlight w:val="none"/>
        </w:rPr>
        <w:t>和“政府采购云平台”的要求，通过“</w:t>
      </w:r>
      <w:r>
        <w:rPr>
          <w:rFonts w:hint="eastAsia" w:ascii="宋体" w:hAnsi="宋体" w:cs="宋体"/>
          <w:bCs/>
          <w:color w:val="auto"/>
          <w:kern w:val="0"/>
          <w:sz w:val="22"/>
          <w:szCs w:val="22"/>
          <w:highlight w:val="none"/>
          <w:lang w:val="en-US" w:eastAsia="zh-CN"/>
        </w:rPr>
        <w:t>乐采</w:t>
      </w:r>
      <w:r>
        <w:rPr>
          <w:rFonts w:hint="eastAsia" w:ascii="宋体" w:hAnsi="宋体" w:eastAsia="宋体" w:cs="宋体"/>
          <w:bCs/>
          <w:color w:val="auto"/>
          <w:kern w:val="0"/>
          <w:sz w:val="22"/>
          <w:szCs w:val="22"/>
          <w:highlight w:val="none"/>
        </w:rPr>
        <w:t>云电子交易客户端”编制并加密投标文件。供应商未按规定加密的投标文件，“</w:t>
      </w:r>
      <w:r>
        <w:rPr>
          <w:rFonts w:hint="eastAsia" w:ascii="宋体" w:hAnsi="宋体" w:cs="宋体"/>
          <w:bCs/>
          <w:color w:val="auto"/>
          <w:kern w:val="0"/>
          <w:sz w:val="22"/>
          <w:szCs w:val="22"/>
          <w:highlight w:val="none"/>
          <w:lang w:val="en-US" w:eastAsia="zh-CN"/>
        </w:rPr>
        <w:t>乐采</w:t>
      </w:r>
      <w:r>
        <w:rPr>
          <w:rFonts w:hint="eastAsia" w:ascii="宋体" w:hAnsi="宋体" w:eastAsia="宋体" w:cs="宋体"/>
          <w:bCs/>
          <w:color w:val="auto"/>
          <w:kern w:val="0"/>
          <w:sz w:val="22"/>
          <w:szCs w:val="22"/>
          <w:highlight w:val="none"/>
        </w:rPr>
        <w:t>云平台”将予以拒收。 “</w:t>
      </w:r>
      <w:r>
        <w:rPr>
          <w:rFonts w:hint="eastAsia" w:ascii="宋体" w:hAnsi="宋体" w:cs="宋体"/>
          <w:bCs/>
          <w:color w:val="auto"/>
          <w:kern w:val="0"/>
          <w:sz w:val="22"/>
          <w:szCs w:val="22"/>
          <w:highlight w:val="none"/>
          <w:lang w:val="en-US" w:eastAsia="zh-CN"/>
        </w:rPr>
        <w:t>乐采</w:t>
      </w:r>
      <w:r>
        <w:rPr>
          <w:rFonts w:hint="eastAsia" w:ascii="宋体" w:hAnsi="宋体" w:eastAsia="宋体" w:cs="宋体"/>
          <w:bCs/>
          <w:color w:val="auto"/>
          <w:kern w:val="0"/>
          <w:sz w:val="22"/>
          <w:szCs w:val="22"/>
          <w:highlight w:val="none"/>
        </w:rPr>
        <w:t>云电子交易客户端”请自行前往“浙江政府采购网-下载专区-电子交易客户端”进行下载；电子投标具体操作流程详见本公告附件《供应商项目采购-电子招投标操作指南》；通过“</w:t>
      </w:r>
      <w:r>
        <w:rPr>
          <w:rFonts w:hint="eastAsia" w:ascii="宋体" w:hAnsi="宋体" w:cs="宋体"/>
          <w:bCs/>
          <w:color w:val="auto"/>
          <w:kern w:val="0"/>
          <w:sz w:val="22"/>
          <w:szCs w:val="22"/>
          <w:highlight w:val="none"/>
          <w:lang w:val="en-US" w:eastAsia="zh-CN"/>
        </w:rPr>
        <w:t>乐采</w:t>
      </w:r>
      <w:r>
        <w:rPr>
          <w:rFonts w:hint="eastAsia" w:ascii="宋体" w:hAnsi="宋体" w:eastAsia="宋体" w:cs="宋体"/>
          <w:bCs/>
          <w:color w:val="auto"/>
          <w:kern w:val="0"/>
          <w:sz w:val="22"/>
          <w:szCs w:val="22"/>
          <w:highlight w:val="none"/>
        </w:rPr>
        <w:t>云平台”参与在线投标时如遇平台技术问题详询95763。 2、为确保网上操作合法、有效和安全，</w:t>
      </w:r>
      <w:r>
        <w:rPr>
          <w:rFonts w:hint="eastAsia" w:ascii="宋体" w:hAnsi="宋体" w:cs="宋体"/>
          <w:bCs/>
          <w:color w:val="auto"/>
          <w:kern w:val="0"/>
          <w:sz w:val="22"/>
          <w:szCs w:val="22"/>
          <w:highlight w:val="none"/>
          <w:lang w:val="en-US" w:eastAsia="zh-CN"/>
        </w:rPr>
        <w:t>供应商</w:t>
      </w:r>
      <w:r>
        <w:rPr>
          <w:rFonts w:hint="eastAsia" w:ascii="宋体" w:hAnsi="宋体" w:eastAsia="宋体" w:cs="宋体"/>
          <w:bCs/>
          <w:color w:val="auto"/>
          <w:kern w:val="0"/>
          <w:sz w:val="22"/>
          <w:szCs w:val="22"/>
          <w:highlight w:val="none"/>
        </w:rPr>
        <w:t>应当在投标截止时间前完成在“</w:t>
      </w:r>
      <w:r>
        <w:rPr>
          <w:rFonts w:hint="eastAsia" w:ascii="宋体" w:hAnsi="宋体" w:cs="宋体"/>
          <w:bCs/>
          <w:color w:val="auto"/>
          <w:kern w:val="0"/>
          <w:sz w:val="22"/>
          <w:szCs w:val="22"/>
          <w:highlight w:val="none"/>
          <w:lang w:val="en-US" w:eastAsia="zh-CN"/>
        </w:rPr>
        <w:t>乐采</w:t>
      </w:r>
      <w:r>
        <w:rPr>
          <w:rFonts w:hint="eastAsia" w:ascii="宋体" w:hAnsi="宋体" w:eastAsia="宋体" w:cs="宋体"/>
          <w:bCs/>
          <w:color w:val="auto"/>
          <w:kern w:val="0"/>
          <w:sz w:val="22"/>
          <w:szCs w:val="22"/>
          <w:highlight w:val="none"/>
        </w:rPr>
        <w:t>云平台”的身份认证，确保在电子投标过程中能够对相关数据电文进行加密和使用电子签章。使用“</w:t>
      </w:r>
      <w:r>
        <w:rPr>
          <w:rFonts w:hint="eastAsia" w:ascii="宋体" w:hAnsi="宋体" w:cs="宋体"/>
          <w:bCs/>
          <w:color w:val="auto"/>
          <w:kern w:val="0"/>
          <w:sz w:val="22"/>
          <w:szCs w:val="22"/>
          <w:highlight w:val="none"/>
          <w:lang w:eastAsia="zh-CN"/>
        </w:rPr>
        <w:t>乐采云</w:t>
      </w:r>
      <w:r>
        <w:rPr>
          <w:rFonts w:hint="eastAsia" w:ascii="宋体" w:hAnsi="宋体" w:eastAsia="宋体" w:cs="宋体"/>
          <w:bCs/>
          <w:color w:val="auto"/>
          <w:kern w:val="0"/>
          <w:sz w:val="22"/>
          <w:szCs w:val="22"/>
          <w:highlight w:val="none"/>
        </w:rPr>
        <w:t>电子交易客户端”需要提前申领CA数字证书，申领流程请自行前往“浙江政府采购网-下载专区-电子交易客户端-CA驱动和申领流程”进行查阅； 3、</w:t>
      </w:r>
      <w:r>
        <w:rPr>
          <w:rFonts w:hint="eastAsia" w:ascii="宋体" w:hAnsi="宋体" w:cs="宋体"/>
          <w:bCs/>
          <w:color w:val="auto"/>
          <w:kern w:val="0"/>
          <w:sz w:val="22"/>
          <w:szCs w:val="22"/>
          <w:highlight w:val="none"/>
          <w:lang w:val="en-US" w:eastAsia="zh-CN"/>
        </w:rPr>
        <w:t>供应商</w:t>
      </w:r>
      <w:r>
        <w:rPr>
          <w:rFonts w:hint="eastAsia" w:ascii="宋体" w:hAnsi="宋体" w:eastAsia="宋体" w:cs="宋体"/>
          <w:bCs/>
          <w:color w:val="auto"/>
          <w:kern w:val="0"/>
          <w:sz w:val="22"/>
          <w:szCs w:val="22"/>
          <w:highlight w:val="none"/>
        </w:rPr>
        <w:t>应当在投标截止时间前，将生成的“电子加密投标文件”上传递交至“政府采购云平台”。投标截止时间以后上传递交的投标文件将被“</w:t>
      </w:r>
      <w:r>
        <w:rPr>
          <w:rFonts w:hint="eastAsia" w:ascii="宋体" w:hAnsi="宋体" w:cs="宋体"/>
          <w:bCs/>
          <w:color w:val="auto"/>
          <w:kern w:val="0"/>
          <w:sz w:val="22"/>
          <w:szCs w:val="22"/>
          <w:highlight w:val="none"/>
          <w:lang w:val="en-US" w:eastAsia="zh-CN"/>
        </w:rPr>
        <w:t>乐采</w:t>
      </w:r>
      <w:r>
        <w:rPr>
          <w:rFonts w:hint="eastAsia" w:ascii="宋体" w:hAnsi="宋体" w:eastAsia="宋体" w:cs="宋体"/>
          <w:bCs/>
          <w:color w:val="auto"/>
          <w:kern w:val="0"/>
          <w:sz w:val="22"/>
          <w:szCs w:val="22"/>
          <w:highlight w:val="none"/>
        </w:rPr>
        <w:t>云平台”拒收。 4、</w:t>
      </w:r>
      <w:r>
        <w:rPr>
          <w:rFonts w:hint="eastAsia" w:ascii="宋体" w:hAnsi="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在“</w:t>
      </w:r>
      <w:r>
        <w:rPr>
          <w:rFonts w:hint="eastAsia" w:ascii="宋体" w:hAnsi="宋体" w:cs="宋体"/>
          <w:bCs/>
          <w:color w:val="auto"/>
          <w:kern w:val="0"/>
          <w:sz w:val="22"/>
          <w:szCs w:val="22"/>
          <w:highlight w:val="none"/>
          <w:lang w:val="en-US" w:eastAsia="zh-CN"/>
        </w:rPr>
        <w:t>乐采云</w:t>
      </w:r>
      <w:r>
        <w:rPr>
          <w:rFonts w:hint="eastAsia" w:ascii="宋体" w:hAnsi="宋体" w:eastAsia="宋体" w:cs="宋体"/>
          <w:bCs/>
          <w:color w:val="auto"/>
          <w:kern w:val="0"/>
          <w:sz w:val="22"/>
          <w:szCs w:val="22"/>
          <w:highlight w:val="none"/>
        </w:rPr>
        <w:t>平台”完成“电子加密投标文件”的上传递交后，还可以在投标截止时间前递交以介质（U盘）存储的数据电文形式的“备份投标文件”，“备份投标文件”应当密封包装并在包装上标注投标项目名称、</w:t>
      </w:r>
      <w:r>
        <w:rPr>
          <w:rFonts w:hint="eastAsia" w:ascii="宋体" w:hAnsi="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名称并加盖公章。（可以（邮寄形式，建议顺丰）在投标截止时间前递交，并需采购代理机构确认是否收到） 5、通过“政府采购云平台”上传递交的“电子加密投标文件”无法按时解密，</w:t>
      </w:r>
      <w:r>
        <w:rPr>
          <w:rFonts w:hint="eastAsia" w:ascii="宋体" w:hAnsi="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递交了备份投标文件的，以备份投标文件为依据，否则视为投标文件撤回。通过“</w:t>
      </w:r>
      <w:r>
        <w:rPr>
          <w:rFonts w:hint="eastAsia" w:ascii="宋体" w:hAnsi="宋体" w:cs="宋体"/>
          <w:bCs/>
          <w:color w:val="auto"/>
          <w:kern w:val="0"/>
          <w:sz w:val="22"/>
          <w:szCs w:val="22"/>
          <w:highlight w:val="none"/>
          <w:lang w:val="en-US" w:eastAsia="zh-CN"/>
        </w:rPr>
        <w:t>乐采云</w:t>
      </w:r>
      <w:r>
        <w:rPr>
          <w:rFonts w:hint="eastAsia" w:ascii="宋体" w:hAnsi="宋体" w:eastAsia="宋体" w:cs="宋体"/>
          <w:bCs/>
          <w:color w:val="auto"/>
          <w:kern w:val="0"/>
          <w:sz w:val="22"/>
          <w:szCs w:val="22"/>
          <w:highlight w:val="none"/>
        </w:rPr>
        <w:t>平台”上传递交的“电子加密投标文件”已按时解密的，“备份投标文件”自动失效。</w:t>
      </w:r>
      <w:r>
        <w:rPr>
          <w:rFonts w:hint="eastAsia" w:ascii="宋体" w:hAnsi="宋体" w:cs="宋体"/>
          <w:bCs/>
          <w:color w:val="auto"/>
          <w:kern w:val="0"/>
          <w:sz w:val="22"/>
          <w:szCs w:val="22"/>
          <w:highlight w:val="none"/>
          <w:lang w:eastAsia="zh-CN"/>
        </w:rPr>
        <w:t>供应商</w:t>
      </w:r>
      <w:r>
        <w:rPr>
          <w:rFonts w:hint="eastAsia" w:ascii="宋体" w:hAnsi="宋体" w:eastAsia="宋体" w:cs="宋体"/>
          <w:bCs/>
          <w:color w:val="auto"/>
          <w:kern w:val="0"/>
          <w:sz w:val="22"/>
          <w:szCs w:val="22"/>
          <w:highlight w:val="none"/>
        </w:rPr>
        <w:t>仅递交备份投标文件的，投标无效</w:t>
      </w:r>
      <w:r>
        <w:rPr>
          <w:rFonts w:hint="eastAsia" w:ascii="宋体" w:hAnsi="宋体" w:cs="宋体"/>
          <w:bCs/>
          <w:color w:val="auto"/>
          <w:kern w:val="0"/>
          <w:sz w:val="22"/>
          <w:szCs w:val="22"/>
          <w:highlight w:val="none"/>
          <w:lang w:eastAsia="zh-CN"/>
        </w:rPr>
        <w:t>。</w:t>
      </w:r>
    </w:p>
    <w:p w14:paraId="536BBDB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rPr>
      </w:pPr>
      <w:bookmarkStart w:id="26" w:name="_Toc35393805"/>
      <w:bookmarkStart w:id="27" w:name="_Toc35393636"/>
      <w:bookmarkStart w:id="28" w:name="_Toc28359095"/>
      <w:bookmarkStart w:id="29" w:name="_Toc28359018"/>
      <w:r>
        <w:rPr>
          <w:rFonts w:hint="eastAsia" w:ascii="宋体" w:hAnsi="宋体" w:cs="宋体"/>
          <w:b/>
          <w:bCs/>
          <w:color w:val="auto"/>
          <w:sz w:val="22"/>
          <w:szCs w:val="22"/>
          <w:highlight w:val="none"/>
          <w:lang w:val="en-US" w:eastAsia="zh-CN"/>
        </w:rPr>
        <w:t>八</w:t>
      </w:r>
      <w:bookmarkStart w:id="203" w:name="_GoBack"/>
      <w:bookmarkEnd w:id="203"/>
      <w:r>
        <w:rPr>
          <w:rFonts w:hint="eastAsia" w:ascii="宋体" w:hAnsi="宋体" w:eastAsia="宋体" w:cs="宋体"/>
          <w:b/>
          <w:bCs/>
          <w:color w:val="auto"/>
          <w:sz w:val="22"/>
          <w:szCs w:val="22"/>
          <w:highlight w:val="none"/>
        </w:rPr>
        <w:t>、对本次采购提出询问、质疑、投诉，请按以下方式联系。</w:t>
      </w:r>
      <w:bookmarkEnd w:id="26"/>
      <w:bookmarkEnd w:id="27"/>
      <w:bookmarkEnd w:id="28"/>
      <w:bookmarkEnd w:id="29"/>
    </w:p>
    <w:p w14:paraId="26E7FA6B">
      <w:pPr>
        <w:keepNext w:val="0"/>
        <w:keepLines w:val="0"/>
        <w:pageBreakBefore w:val="0"/>
        <w:kinsoku/>
        <w:wordWrap/>
        <w:overflowPunct/>
        <w:topLinePunct w:val="0"/>
        <w:autoSpaceDE/>
        <w:autoSpaceDN/>
        <w:bidi w:val="0"/>
        <w:adjustRightInd/>
        <w:snapToGrid/>
        <w:spacing w:line="440" w:lineRule="exact"/>
        <w:ind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采购人：</w:t>
      </w:r>
      <w:r>
        <w:rPr>
          <w:rFonts w:hint="eastAsia" w:ascii="宋体" w:hAnsi="宋体" w:cs="宋体"/>
          <w:color w:val="auto"/>
          <w:sz w:val="22"/>
          <w:szCs w:val="22"/>
          <w:highlight w:val="none"/>
          <w:lang w:eastAsia="zh-CN"/>
        </w:rPr>
        <w:t>温州市瓯飞砂石料有限公司</w:t>
      </w:r>
    </w:p>
    <w:p w14:paraId="6CE83119">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联系人:赖新宇</w:t>
      </w:r>
    </w:p>
    <w:p w14:paraId="21D75073">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联系方式:0577-85859216</w:t>
      </w:r>
      <w:r>
        <w:rPr>
          <w:rFonts w:hint="eastAsia" w:ascii="宋体" w:hAnsi="宋体" w:cs="宋体"/>
          <w:color w:val="auto"/>
          <w:sz w:val="22"/>
          <w:szCs w:val="22"/>
          <w:highlight w:val="none"/>
          <w:lang w:val="en-US" w:eastAsia="zh-CN"/>
        </w:rPr>
        <w:t xml:space="preserve"> </w:t>
      </w:r>
    </w:p>
    <w:p w14:paraId="12670A4D">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地址：</w:t>
      </w:r>
      <w:r>
        <w:rPr>
          <w:rFonts w:hint="eastAsia" w:ascii="新宋体" w:hAnsi="新宋体" w:eastAsia="新宋体" w:cs="仿宋_GB2312"/>
          <w:color w:val="auto"/>
          <w:kern w:val="0"/>
          <w:sz w:val="22"/>
          <w:szCs w:val="22"/>
          <w:highlight w:val="none"/>
        </w:rPr>
        <w:t>浙江省温州市经济技术开发区星海街道滨海十六路481号浙南海洋经济总部大厦</w:t>
      </w:r>
    </w:p>
    <w:p w14:paraId="48C4ACD6">
      <w:pPr>
        <w:keepNext w:val="0"/>
        <w:keepLines w:val="0"/>
        <w:pageBreakBefore w:val="0"/>
        <w:kinsoku/>
        <w:wordWrap/>
        <w:overflowPunct/>
        <w:topLinePunct w:val="0"/>
        <w:autoSpaceDE/>
        <w:autoSpaceDN/>
        <w:bidi w:val="0"/>
        <w:adjustRightInd/>
        <w:snapToGrid/>
        <w:spacing w:line="440" w:lineRule="exact"/>
        <w:ind w:firstLine="220" w:firstLineChars="1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采购代理机构：</w:t>
      </w:r>
      <w:r>
        <w:rPr>
          <w:rFonts w:hint="eastAsia" w:ascii="宋体" w:hAnsi="宋体" w:cs="宋体"/>
          <w:color w:val="auto"/>
          <w:sz w:val="22"/>
          <w:szCs w:val="22"/>
          <w:highlight w:val="none"/>
          <w:lang w:eastAsia="zh-CN"/>
        </w:rPr>
        <w:t>正展建设管理集团有限公司</w:t>
      </w:r>
    </w:p>
    <w:p w14:paraId="5583BA93">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黄女士/王先生</w:t>
      </w:r>
    </w:p>
    <w:p w14:paraId="676BE7E9">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val="en-US" w:eastAsia="zh-CN"/>
        </w:rPr>
        <w:t>15868709132/</w:t>
      </w:r>
      <w:r>
        <w:rPr>
          <w:rFonts w:hint="eastAsia" w:ascii="宋体" w:hAnsi="宋体" w:eastAsia="宋体" w:cs="宋体"/>
          <w:color w:val="auto"/>
          <w:sz w:val="22"/>
          <w:szCs w:val="22"/>
          <w:highlight w:val="none"/>
        </w:rPr>
        <w:t>18958781234</w:t>
      </w:r>
    </w:p>
    <w:p w14:paraId="799D3EFE">
      <w:pPr>
        <w:keepNext w:val="0"/>
        <w:keepLines w:val="0"/>
        <w:pageBreakBefore w:val="0"/>
        <w:kinsoku/>
        <w:wordWrap/>
        <w:overflowPunct/>
        <w:topLinePunct w:val="0"/>
        <w:autoSpaceDE/>
        <w:autoSpaceDN/>
        <w:bidi w:val="0"/>
        <w:adjustRightInd/>
        <w:snapToGrid/>
        <w:spacing w:line="440" w:lineRule="exact"/>
        <w:ind w:firstLine="495" w:firstLineChars="225"/>
        <w:textAlignment w:val="auto"/>
        <w:rPr>
          <w:rFonts w:hint="eastAsia" w:ascii="宋体" w:hAnsi="宋体" w:cs="宋体"/>
          <w:color w:val="auto"/>
          <w:sz w:val="22"/>
          <w:szCs w:val="22"/>
          <w:highlight w:val="none"/>
          <w:lang w:val="en-US" w:eastAsia="zh-CN"/>
        </w:rPr>
      </w:pPr>
      <w:r>
        <w:rPr>
          <w:rFonts w:hint="eastAsia" w:ascii="宋体" w:hAnsi="宋体" w:eastAsia="宋体" w:cs="宋体"/>
          <w:color w:val="auto"/>
          <w:sz w:val="22"/>
          <w:szCs w:val="22"/>
          <w:highlight w:val="none"/>
        </w:rPr>
        <w:t>地点：温州市龙湾区永中街道繁青路208号龙和大厦东首9楼</w:t>
      </w:r>
    </w:p>
    <w:p w14:paraId="17BA722B">
      <w:pPr>
        <w:keepNext w:val="0"/>
        <w:keepLines w:val="0"/>
        <w:pageBreakBefore w:val="0"/>
        <w:kinsoku/>
        <w:wordWrap/>
        <w:overflowPunct/>
        <w:topLinePunct w:val="0"/>
        <w:autoSpaceDE/>
        <w:autoSpaceDN/>
        <w:bidi w:val="0"/>
        <w:adjustRightInd/>
        <w:snapToGrid/>
        <w:spacing w:line="440" w:lineRule="exact"/>
        <w:ind w:firstLine="220" w:firstLineChars="1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采购监管部门</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温州市瓯飞开发建设投资集团有限公司监察监事审计室</w:t>
      </w:r>
    </w:p>
    <w:p w14:paraId="7E7D957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联系电话：0577-88962305</w:t>
      </w:r>
    </w:p>
    <w:p w14:paraId="235F72A7">
      <w:pPr>
        <w:pStyle w:val="3"/>
        <w:overflowPunct w:val="0"/>
        <w:rPr>
          <w:rFonts w:ascii="宋体" w:hAnsi="宋体" w:eastAsia="宋体" w:cs="新宋体"/>
          <w:color w:val="auto"/>
          <w:sz w:val="36"/>
          <w:szCs w:val="36"/>
          <w:highlight w:val="none"/>
        </w:rPr>
      </w:pPr>
      <w:r>
        <w:rPr>
          <w:rStyle w:val="36"/>
          <w:rFonts w:hint="eastAsia" w:ascii="宋体" w:hAnsi="宋体" w:eastAsia="宋体" w:cs="楷体"/>
          <w:color w:val="auto"/>
          <w:sz w:val="20"/>
          <w:szCs w:val="20"/>
          <w:highlight w:val="none"/>
          <w:u w:val="none"/>
        </w:rPr>
        <w:br w:type="page"/>
      </w:r>
      <w:bookmarkStart w:id="30" w:name="_Toc221356946"/>
      <w:bookmarkStart w:id="31" w:name="_Toc222114874"/>
      <w:bookmarkStart w:id="32" w:name="_Toc241404197"/>
      <w:bookmarkStart w:id="33" w:name="_Toc245191309"/>
      <w:bookmarkStart w:id="34" w:name="_Toc221356881"/>
      <w:bookmarkStart w:id="35" w:name="_Toc221423614"/>
      <w:bookmarkStart w:id="36" w:name="_Toc251592732"/>
      <w:bookmarkStart w:id="37" w:name="_Toc252194847"/>
      <w:bookmarkStart w:id="38" w:name="_Toc245722276"/>
      <w:bookmarkStart w:id="39" w:name="_Toc223715993"/>
      <w:bookmarkStart w:id="40" w:name="_Toc251325209"/>
      <w:bookmarkStart w:id="41" w:name="_Toc221374621"/>
      <w:bookmarkStart w:id="42" w:name="_Toc239145349"/>
      <w:bookmarkStart w:id="43" w:name="_Toc6562"/>
      <w:bookmarkStart w:id="44" w:name="_Toc246261260"/>
      <w:r>
        <w:rPr>
          <w:rFonts w:hint="eastAsia" w:ascii="宋体" w:hAnsi="宋体" w:eastAsia="宋体" w:cs="新宋体"/>
          <w:color w:val="auto"/>
          <w:sz w:val="36"/>
          <w:szCs w:val="36"/>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29"/>
        <w:tblW w:w="0" w:type="auto"/>
        <w:tblInd w:w="0" w:type="dxa"/>
        <w:tblLayout w:type="fixed"/>
        <w:tblCellMar>
          <w:top w:w="0" w:type="dxa"/>
          <w:left w:w="108" w:type="dxa"/>
          <w:bottom w:w="0" w:type="dxa"/>
          <w:right w:w="108" w:type="dxa"/>
        </w:tblCellMar>
      </w:tblPr>
      <w:tblGrid>
        <w:gridCol w:w="658"/>
        <w:gridCol w:w="1974"/>
        <w:gridCol w:w="7222"/>
      </w:tblGrid>
      <w:tr w14:paraId="2F97FAD5">
        <w:tblPrEx>
          <w:tblCellMar>
            <w:top w:w="0" w:type="dxa"/>
            <w:left w:w="108" w:type="dxa"/>
            <w:bottom w:w="0" w:type="dxa"/>
            <w:right w:w="108" w:type="dxa"/>
          </w:tblCellMar>
        </w:tblPrEx>
        <w:trPr>
          <w:trHeight w:val="567" w:hRule="exact"/>
          <w:tblHeader/>
        </w:trPr>
        <w:tc>
          <w:tcPr>
            <w:tcW w:w="658" w:type="dxa"/>
            <w:tcBorders>
              <w:top w:val="single" w:color="auto" w:sz="4" w:space="0"/>
              <w:left w:val="single" w:color="auto" w:sz="4" w:space="0"/>
              <w:bottom w:val="single" w:color="auto" w:sz="4" w:space="0"/>
              <w:right w:val="single" w:color="auto" w:sz="4" w:space="0"/>
            </w:tcBorders>
            <w:vAlign w:val="center"/>
          </w:tcPr>
          <w:p w14:paraId="6A27BFC2">
            <w:pPr>
              <w:keepNext w:val="0"/>
              <w:keepLines w:val="0"/>
              <w:pageBreakBefore w:val="0"/>
              <w:kinsoku/>
              <w:wordWrap/>
              <w:overflowPunct/>
              <w:topLinePunct w:val="0"/>
              <w:bidi w:val="0"/>
              <w:snapToGrid/>
              <w:spacing w:line="308" w:lineRule="auto"/>
              <w:jc w:val="center"/>
              <w:rPr>
                <w:rFonts w:ascii="宋体" w:hAnsi="宋体" w:cs="楷体"/>
                <w:b/>
                <w:color w:val="auto"/>
                <w:kern w:val="0"/>
                <w:sz w:val="22"/>
                <w:szCs w:val="22"/>
                <w:highlight w:val="none"/>
              </w:rPr>
            </w:pPr>
            <w:bookmarkStart w:id="45" w:name="_Toc251592733"/>
            <w:bookmarkStart w:id="46" w:name="_Toc241404198"/>
            <w:bookmarkStart w:id="47" w:name="_Toc221356947"/>
            <w:bookmarkStart w:id="48" w:name="_Toc245191310"/>
            <w:bookmarkStart w:id="49" w:name="_Toc221374622"/>
            <w:bookmarkStart w:id="50" w:name="_Toc221423615"/>
            <w:bookmarkStart w:id="51" w:name="_Toc223715994"/>
            <w:bookmarkStart w:id="52" w:name="_Toc239145350"/>
            <w:bookmarkStart w:id="53" w:name="_Toc221356882"/>
            <w:bookmarkStart w:id="54" w:name="_Toc246261261"/>
            <w:bookmarkStart w:id="55" w:name="_Toc222114875"/>
            <w:bookmarkStart w:id="56" w:name="_Toc251325210"/>
            <w:bookmarkStart w:id="57" w:name="_Toc245722277"/>
            <w:bookmarkStart w:id="58" w:name="_Toc252194848"/>
            <w:r>
              <w:rPr>
                <w:rFonts w:hint="eastAsia" w:ascii="宋体" w:hAnsi="宋体" w:cs="楷体"/>
                <w:b/>
                <w:color w:val="auto"/>
                <w:kern w:val="0"/>
                <w:sz w:val="22"/>
                <w:szCs w:val="22"/>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78CABDCC">
            <w:pPr>
              <w:keepNext w:val="0"/>
              <w:keepLines w:val="0"/>
              <w:pageBreakBefore w:val="0"/>
              <w:kinsoku/>
              <w:wordWrap/>
              <w:overflowPunct/>
              <w:topLinePunct w:val="0"/>
              <w:bidi w:val="0"/>
              <w:snapToGrid/>
              <w:spacing w:line="308" w:lineRule="auto"/>
              <w:jc w:val="center"/>
              <w:rPr>
                <w:rFonts w:ascii="宋体" w:hAnsi="宋体" w:cs="楷体"/>
                <w:b/>
                <w:color w:val="auto"/>
                <w:kern w:val="0"/>
                <w:sz w:val="22"/>
                <w:szCs w:val="22"/>
                <w:highlight w:val="none"/>
              </w:rPr>
            </w:pPr>
            <w:r>
              <w:rPr>
                <w:rFonts w:hint="eastAsia" w:ascii="宋体" w:hAnsi="宋体" w:cs="楷体"/>
                <w:b/>
                <w:color w:val="auto"/>
                <w:kern w:val="0"/>
                <w:sz w:val="22"/>
                <w:szCs w:val="22"/>
                <w:highlight w:val="none"/>
              </w:rPr>
              <w:t>条款名称</w:t>
            </w:r>
          </w:p>
        </w:tc>
        <w:tc>
          <w:tcPr>
            <w:tcW w:w="7222" w:type="dxa"/>
            <w:tcBorders>
              <w:top w:val="single" w:color="auto" w:sz="4" w:space="0"/>
              <w:left w:val="single" w:color="auto" w:sz="4" w:space="0"/>
              <w:bottom w:val="single" w:color="auto" w:sz="4" w:space="0"/>
              <w:right w:val="single" w:color="auto" w:sz="4" w:space="0"/>
            </w:tcBorders>
            <w:vAlign w:val="center"/>
          </w:tcPr>
          <w:p w14:paraId="730ECF00">
            <w:pPr>
              <w:keepNext w:val="0"/>
              <w:keepLines w:val="0"/>
              <w:pageBreakBefore w:val="0"/>
              <w:kinsoku/>
              <w:wordWrap/>
              <w:overflowPunct/>
              <w:topLinePunct w:val="0"/>
              <w:bidi w:val="0"/>
              <w:snapToGrid/>
              <w:spacing w:line="308" w:lineRule="auto"/>
              <w:jc w:val="center"/>
              <w:rPr>
                <w:rFonts w:ascii="宋体" w:hAnsi="宋体" w:cs="楷体"/>
                <w:b/>
                <w:color w:val="auto"/>
                <w:kern w:val="0"/>
                <w:sz w:val="22"/>
                <w:szCs w:val="22"/>
                <w:highlight w:val="none"/>
              </w:rPr>
            </w:pPr>
            <w:r>
              <w:rPr>
                <w:rFonts w:hint="eastAsia" w:ascii="宋体" w:hAnsi="宋体" w:cs="楷体"/>
                <w:b/>
                <w:color w:val="auto"/>
                <w:kern w:val="0"/>
                <w:sz w:val="22"/>
                <w:szCs w:val="22"/>
                <w:highlight w:val="none"/>
              </w:rPr>
              <w:t>编列内容</w:t>
            </w:r>
          </w:p>
        </w:tc>
      </w:tr>
      <w:tr w14:paraId="4881618E">
        <w:tblPrEx>
          <w:tblCellMar>
            <w:top w:w="0" w:type="dxa"/>
            <w:left w:w="108" w:type="dxa"/>
            <w:bottom w:w="0" w:type="dxa"/>
            <w:right w:w="108" w:type="dxa"/>
          </w:tblCellMar>
        </w:tblPrEx>
        <w:trPr>
          <w:trHeight w:val="1060" w:hRule="atLeast"/>
        </w:trPr>
        <w:tc>
          <w:tcPr>
            <w:tcW w:w="658" w:type="dxa"/>
            <w:tcBorders>
              <w:top w:val="single" w:color="auto" w:sz="4" w:space="0"/>
              <w:left w:val="single" w:color="auto" w:sz="4" w:space="0"/>
              <w:bottom w:val="single" w:color="auto" w:sz="4" w:space="0"/>
              <w:right w:val="single" w:color="auto" w:sz="4" w:space="0"/>
            </w:tcBorders>
            <w:vAlign w:val="center"/>
          </w:tcPr>
          <w:p w14:paraId="23824733">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1</w:t>
            </w:r>
          </w:p>
        </w:tc>
        <w:tc>
          <w:tcPr>
            <w:tcW w:w="1974" w:type="dxa"/>
            <w:tcBorders>
              <w:top w:val="single" w:color="auto" w:sz="4" w:space="0"/>
              <w:left w:val="single" w:color="auto" w:sz="4" w:space="0"/>
              <w:bottom w:val="single" w:color="auto" w:sz="4" w:space="0"/>
              <w:right w:val="single" w:color="auto" w:sz="4" w:space="0"/>
            </w:tcBorders>
            <w:vAlign w:val="center"/>
          </w:tcPr>
          <w:p w14:paraId="4C142C74">
            <w:pPr>
              <w:keepNext w:val="0"/>
              <w:keepLines w:val="0"/>
              <w:pageBreakBefore w:val="0"/>
              <w:kinsoku/>
              <w:wordWrap/>
              <w:overflowPunct/>
              <w:topLinePunct w:val="0"/>
              <w:bidi w:val="0"/>
              <w:snapToGrid/>
              <w:spacing w:line="308" w:lineRule="auto"/>
              <w:jc w:val="center"/>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eastAsia="zh-CN"/>
              </w:rPr>
              <w:t>采购人</w:t>
            </w:r>
          </w:p>
        </w:tc>
        <w:tc>
          <w:tcPr>
            <w:tcW w:w="7222" w:type="dxa"/>
            <w:tcBorders>
              <w:top w:val="single" w:color="auto" w:sz="4" w:space="0"/>
              <w:left w:val="single" w:color="auto" w:sz="4" w:space="0"/>
              <w:bottom w:val="single" w:color="auto" w:sz="4" w:space="0"/>
              <w:right w:val="single" w:color="auto" w:sz="4" w:space="0"/>
            </w:tcBorders>
            <w:vAlign w:val="center"/>
          </w:tcPr>
          <w:p w14:paraId="5B124851">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eastAsia="zh-CN"/>
              </w:rPr>
              <w:t>采购人</w:t>
            </w:r>
            <w:r>
              <w:rPr>
                <w:rFonts w:hint="eastAsia" w:ascii="宋体" w:hAnsi="宋体" w:cs="楷体"/>
                <w:color w:val="auto"/>
                <w:kern w:val="0"/>
                <w:sz w:val="22"/>
                <w:szCs w:val="22"/>
                <w:highlight w:val="none"/>
              </w:rPr>
              <w:t>名称：</w:t>
            </w:r>
            <w:r>
              <w:rPr>
                <w:rFonts w:hint="eastAsia" w:ascii="宋体" w:hAnsi="宋体" w:cs="楷体"/>
                <w:color w:val="auto"/>
                <w:kern w:val="0"/>
                <w:sz w:val="22"/>
                <w:szCs w:val="22"/>
                <w:highlight w:val="none"/>
                <w:lang w:eastAsia="zh-CN"/>
              </w:rPr>
              <w:t>温州市瓯飞砂石料有限公司</w:t>
            </w:r>
          </w:p>
          <w:p w14:paraId="16EE840B">
            <w:pPr>
              <w:keepNext w:val="0"/>
              <w:keepLines w:val="0"/>
              <w:pageBreakBefore w:val="0"/>
              <w:kinsoku/>
              <w:wordWrap/>
              <w:overflowPunct/>
              <w:topLinePunct w:val="0"/>
              <w:bidi w:val="0"/>
              <w:snapToGrid/>
              <w:spacing w:line="308" w:lineRule="auto"/>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联系人:赖新宇</w:t>
            </w:r>
          </w:p>
          <w:p w14:paraId="6A1573C7">
            <w:pPr>
              <w:keepNext w:val="0"/>
              <w:keepLines w:val="0"/>
              <w:pageBreakBefore w:val="0"/>
              <w:kinsoku/>
              <w:wordWrap/>
              <w:overflowPunct/>
              <w:topLinePunct w:val="0"/>
              <w:bidi w:val="0"/>
              <w:snapToGrid/>
              <w:spacing w:line="308" w:lineRule="auto"/>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rPr>
              <w:t>联系方式:0577-85859216</w:t>
            </w:r>
          </w:p>
          <w:p w14:paraId="15A45324">
            <w:pPr>
              <w:keepNext w:val="0"/>
              <w:keepLines w:val="0"/>
              <w:pageBreakBefore w:val="0"/>
              <w:kinsoku/>
              <w:wordWrap/>
              <w:overflowPunct/>
              <w:topLinePunct w:val="0"/>
              <w:bidi w:val="0"/>
              <w:snapToGrid/>
              <w:spacing w:line="308" w:lineRule="auto"/>
              <w:rPr>
                <w:rFonts w:ascii="宋体" w:hAnsi="宋体" w:cs="楷体"/>
                <w:color w:val="auto"/>
                <w:kern w:val="0"/>
                <w:sz w:val="22"/>
                <w:szCs w:val="22"/>
                <w:highlight w:val="none"/>
              </w:rPr>
            </w:pPr>
            <w:r>
              <w:rPr>
                <w:rFonts w:hint="eastAsia" w:ascii="宋体" w:hAnsi="宋体" w:cs="楷体"/>
                <w:color w:val="auto"/>
                <w:kern w:val="0"/>
                <w:sz w:val="22"/>
                <w:szCs w:val="22"/>
                <w:highlight w:val="none"/>
              </w:rPr>
              <w:t>地址：</w:t>
            </w:r>
            <w:r>
              <w:rPr>
                <w:rFonts w:hint="eastAsia" w:ascii="新宋体" w:hAnsi="新宋体" w:eastAsia="新宋体" w:cs="仿宋_GB2312"/>
                <w:color w:val="auto"/>
                <w:kern w:val="0"/>
                <w:sz w:val="22"/>
                <w:szCs w:val="22"/>
                <w:highlight w:val="none"/>
              </w:rPr>
              <w:t>浙江省温州市经济技术开发区星海街道滨海十六路481号浙南海洋经济总部大厦</w:t>
            </w:r>
          </w:p>
        </w:tc>
      </w:tr>
      <w:tr w14:paraId="27E71FB7">
        <w:tblPrEx>
          <w:tblCellMar>
            <w:top w:w="0" w:type="dxa"/>
            <w:left w:w="108" w:type="dxa"/>
            <w:bottom w:w="0" w:type="dxa"/>
            <w:right w:w="108" w:type="dxa"/>
          </w:tblCellMar>
        </w:tblPrEx>
        <w:trPr>
          <w:trHeight w:val="620" w:hRule="atLeast"/>
        </w:trPr>
        <w:tc>
          <w:tcPr>
            <w:tcW w:w="658" w:type="dxa"/>
            <w:tcBorders>
              <w:top w:val="single" w:color="auto" w:sz="4" w:space="0"/>
              <w:left w:val="single" w:color="auto" w:sz="4" w:space="0"/>
              <w:bottom w:val="single" w:color="auto" w:sz="4" w:space="0"/>
              <w:right w:val="single" w:color="auto" w:sz="4" w:space="0"/>
            </w:tcBorders>
            <w:vAlign w:val="center"/>
          </w:tcPr>
          <w:p w14:paraId="638EB7B2">
            <w:pPr>
              <w:keepNext w:val="0"/>
              <w:keepLines w:val="0"/>
              <w:pageBreakBefore w:val="0"/>
              <w:kinsoku/>
              <w:wordWrap/>
              <w:overflowPunct/>
              <w:topLinePunct w:val="0"/>
              <w:bidi w:val="0"/>
              <w:snapToGrid/>
              <w:spacing w:line="308" w:lineRule="auto"/>
              <w:jc w:val="center"/>
              <w:rPr>
                <w:rFonts w:hint="eastAsia"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2</w:t>
            </w:r>
          </w:p>
        </w:tc>
        <w:tc>
          <w:tcPr>
            <w:tcW w:w="1974" w:type="dxa"/>
            <w:tcBorders>
              <w:top w:val="single" w:color="auto" w:sz="4" w:space="0"/>
              <w:left w:val="single" w:color="auto" w:sz="4" w:space="0"/>
              <w:bottom w:val="single" w:color="auto" w:sz="4" w:space="0"/>
              <w:right w:val="single" w:color="auto" w:sz="4" w:space="0"/>
            </w:tcBorders>
            <w:vAlign w:val="center"/>
          </w:tcPr>
          <w:p w14:paraId="35F46594">
            <w:pPr>
              <w:keepNext w:val="0"/>
              <w:keepLines w:val="0"/>
              <w:pageBreakBefore w:val="0"/>
              <w:kinsoku/>
              <w:wordWrap/>
              <w:overflowPunct/>
              <w:topLinePunct w:val="0"/>
              <w:bidi w:val="0"/>
              <w:snapToGrid/>
              <w:spacing w:line="308" w:lineRule="auto"/>
              <w:jc w:val="center"/>
              <w:rPr>
                <w:rFonts w:hint="default" w:ascii="宋体" w:hAnsi="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项目性质</w:t>
            </w:r>
          </w:p>
        </w:tc>
        <w:tc>
          <w:tcPr>
            <w:tcW w:w="7222" w:type="dxa"/>
            <w:tcBorders>
              <w:top w:val="single" w:color="auto" w:sz="4" w:space="0"/>
              <w:left w:val="single" w:color="auto" w:sz="4" w:space="0"/>
              <w:bottom w:val="single" w:color="auto" w:sz="4" w:space="0"/>
              <w:right w:val="single" w:color="auto" w:sz="4" w:space="0"/>
            </w:tcBorders>
            <w:vAlign w:val="center"/>
          </w:tcPr>
          <w:p w14:paraId="3F32D12B">
            <w:pPr>
              <w:keepNext w:val="0"/>
              <w:keepLines w:val="0"/>
              <w:pageBreakBefore w:val="0"/>
              <w:kinsoku/>
              <w:wordWrap/>
              <w:overflowPunct/>
              <w:topLinePunct w:val="0"/>
              <w:bidi w:val="0"/>
              <w:snapToGrid/>
              <w:spacing w:line="308" w:lineRule="auto"/>
              <w:rPr>
                <w:rFonts w:hint="eastAsia" w:ascii="宋体" w:hAnsi="宋体" w:cs="楷体"/>
                <w:color w:val="auto"/>
                <w:kern w:val="0"/>
                <w:sz w:val="22"/>
                <w:szCs w:val="22"/>
                <w:highlight w:val="none"/>
              </w:rPr>
            </w:pPr>
            <w:r>
              <w:rPr>
                <w:rFonts w:hint="eastAsia" w:ascii="宋体" w:hAnsi="宋体" w:cs="宋体"/>
                <w:color w:val="auto"/>
                <w:sz w:val="22"/>
                <w:szCs w:val="22"/>
                <w:highlight w:val="none"/>
                <w:lang w:eastAsia="zh-CN"/>
              </w:rPr>
              <w:t>龙湾区区属</w:t>
            </w:r>
            <w:r>
              <w:rPr>
                <w:rFonts w:hint="eastAsia" w:ascii="宋体" w:hAnsi="宋体" w:cs="宋体"/>
                <w:color w:val="auto"/>
                <w:sz w:val="22"/>
                <w:szCs w:val="22"/>
                <w:highlight w:val="none"/>
                <w:lang w:val="en-US" w:eastAsia="zh-CN"/>
              </w:rPr>
              <w:t>国企</w:t>
            </w:r>
            <w:r>
              <w:rPr>
                <w:rFonts w:hint="eastAsia" w:ascii="宋体" w:hAnsi="宋体" w:eastAsia="宋体" w:cs="宋体"/>
                <w:color w:val="auto"/>
                <w:sz w:val="22"/>
                <w:szCs w:val="22"/>
                <w:highlight w:val="none"/>
                <w:lang w:val="zh-CN"/>
              </w:rPr>
              <w:t>采购（</w:t>
            </w:r>
            <w:r>
              <w:rPr>
                <w:rFonts w:hint="eastAsia" w:ascii="宋体" w:hAnsi="宋体" w:cs="宋体"/>
                <w:color w:val="auto"/>
                <w:sz w:val="22"/>
                <w:szCs w:val="22"/>
                <w:highlight w:val="none"/>
                <w:lang w:val="en-US" w:eastAsia="zh-CN"/>
              </w:rPr>
              <w:t>服务类</w:t>
            </w:r>
            <w:r>
              <w:rPr>
                <w:rFonts w:hint="eastAsia" w:ascii="宋体" w:hAnsi="宋体" w:eastAsia="宋体" w:cs="宋体"/>
                <w:color w:val="auto"/>
                <w:sz w:val="22"/>
                <w:szCs w:val="22"/>
                <w:highlight w:val="none"/>
                <w:lang w:val="zh-CN"/>
              </w:rPr>
              <w:t>）</w:t>
            </w:r>
          </w:p>
        </w:tc>
      </w:tr>
      <w:tr w14:paraId="27263B1C">
        <w:tblPrEx>
          <w:tblCellMar>
            <w:top w:w="0" w:type="dxa"/>
            <w:left w:w="108" w:type="dxa"/>
            <w:bottom w:w="0" w:type="dxa"/>
            <w:right w:w="108" w:type="dxa"/>
          </w:tblCellMar>
        </w:tblPrEx>
        <w:trPr>
          <w:trHeight w:val="1120" w:hRule="atLeast"/>
        </w:trPr>
        <w:tc>
          <w:tcPr>
            <w:tcW w:w="658" w:type="dxa"/>
            <w:tcBorders>
              <w:top w:val="single" w:color="auto" w:sz="4" w:space="0"/>
              <w:left w:val="single" w:color="auto" w:sz="4" w:space="0"/>
              <w:bottom w:val="single" w:color="auto" w:sz="4" w:space="0"/>
              <w:right w:val="single" w:color="auto" w:sz="4" w:space="0"/>
            </w:tcBorders>
            <w:vAlign w:val="center"/>
          </w:tcPr>
          <w:p w14:paraId="2ED50160">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3</w:t>
            </w:r>
          </w:p>
        </w:tc>
        <w:tc>
          <w:tcPr>
            <w:tcW w:w="1974" w:type="dxa"/>
            <w:tcBorders>
              <w:top w:val="single" w:color="auto" w:sz="4" w:space="0"/>
              <w:left w:val="single" w:color="auto" w:sz="4" w:space="0"/>
              <w:bottom w:val="single" w:color="auto" w:sz="4" w:space="0"/>
              <w:right w:val="single" w:color="auto" w:sz="4" w:space="0"/>
            </w:tcBorders>
            <w:vAlign w:val="center"/>
          </w:tcPr>
          <w:p w14:paraId="175B33E7">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招标代理机构</w:t>
            </w:r>
          </w:p>
        </w:tc>
        <w:tc>
          <w:tcPr>
            <w:tcW w:w="7222" w:type="dxa"/>
            <w:tcBorders>
              <w:top w:val="single" w:color="auto" w:sz="4" w:space="0"/>
              <w:left w:val="single" w:color="auto" w:sz="4" w:space="0"/>
              <w:bottom w:val="single" w:color="auto" w:sz="4" w:space="0"/>
              <w:right w:val="single" w:color="auto" w:sz="4" w:space="0"/>
            </w:tcBorders>
            <w:vAlign w:val="center"/>
          </w:tcPr>
          <w:p w14:paraId="158F8EEA">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代理机构名称：</w:t>
            </w:r>
            <w:r>
              <w:rPr>
                <w:rFonts w:hint="eastAsia" w:ascii="宋体" w:hAnsi="宋体" w:cs="楷体"/>
                <w:color w:val="auto"/>
                <w:kern w:val="0"/>
                <w:sz w:val="22"/>
                <w:szCs w:val="22"/>
                <w:highlight w:val="none"/>
                <w:lang w:eastAsia="zh-CN"/>
              </w:rPr>
              <w:t>正展建设管理集团有限公司</w:t>
            </w:r>
          </w:p>
          <w:p w14:paraId="07472B07">
            <w:pPr>
              <w:keepNext w:val="0"/>
              <w:keepLines w:val="0"/>
              <w:pageBreakBefore w:val="0"/>
              <w:kinsoku/>
              <w:wordWrap/>
              <w:overflowPunct/>
              <w:topLinePunct w:val="0"/>
              <w:bidi w:val="0"/>
              <w:snapToGrid/>
              <w:spacing w:line="308" w:lineRule="auto"/>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联系人：黄女士/王先生</w:t>
            </w:r>
          </w:p>
          <w:p w14:paraId="46AA35AB">
            <w:pPr>
              <w:keepNext w:val="0"/>
              <w:keepLines w:val="0"/>
              <w:pageBreakBefore w:val="0"/>
              <w:kinsoku/>
              <w:wordWrap/>
              <w:overflowPunct/>
              <w:topLinePunct w:val="0"/>
              <w:bidi w:val="0"/>
              <w:snapToGrid/>
              <w:spacing w:line="308" w:lineRule="auto"/>
              <w:rPr>
                <w:rFonts w:hint="eastAsia" w:ascii="宋体" w:hAnsi="宋体" w:cs="楷体"/>
                <w:color w:val="auto"/>
                <w:kern w:val="0"/>
                <w:sz w:val="22"/>
                <w:szCs w:val="22"/>
                <w:highlight w:val="none"/>
              </w:rPr>
            </w:pPr>
            <w:r>
              <w:rPr>
                <w:rFonts w:hint="eastAsia" w:ascii="宋体" w:hAnsi="宋体" w:cs="楷体"/>
                <w:color w:val="auto"/>
                <w:kern w:val="0"/>
                <w:sz w:val="22"/>
                <w:szCs w:val="22"/>
                <w:highlight w:val="none"/>
              </w:rPr>
              <w:t xml:space="preserve">联系电话：15868709132/18958781234 </w:t>
            </w:r>
          </w:p>
          <w:p w14:paraId="57CA1F29">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地址：温州市龙湾区永中街道繁青路208号龙和大厦东首9楼</w:t>
            </w:r>
          </w:p>
        </w:tc>
      </w:tr>
      <w:tr w14:paraId="10804485">
        <w:tblPrEx>
          <w:tblCellMar>
            <w:top w:w="0" w:type="dxa"/>
            <w:left w:w="108" w:type="dxa"/>
            <w:bottom w:w="0" w:type="dxa"/>
            <w:right w:w="108" w:type="dxa"/>
          </w:tblCellMar>
        </w:tblPrEx>
        <w:trPr>
          <w:trHeight w:val="750" w:hRule="atLeast"/>
        </w:trPr>
        <w:tc>
          <w:tcPr>
            <w:tcW w:w="658" w:type="dxa"/>
            <w:tcBorders>
              <w:top w:val="single" w:color="auto" w:sz="4" w:space="0"/>
              <w:left w:val="single" w:color="auto" w:sz="4" w:space="0"/>
              <w:bottom w:val="single" w:color="auto" w:sz="4" w:space="0"/>
              <w:right w:val="single" w:color="auto" w:sz="4" w:space="0"/>
            </w:tcBorders>
            <w:vAlign w:val="center"/>
          </w:tcPr>
          <w:p w14:paraId="60A5BB52">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4</w:t>
            </w:r>
          </w:p>
        </w:tc>
        <w:tc>
          <w:tcPr>
            <w:tcW w:w="1974" w:type="dxa"/>
            <w:tcBorders>
              <w:top w:val="single" w:color="auto" w:sz="4" w:space="0"/>
              <w:left w:val="single" w:color="auto" w:sz="4" w:space="0"/>
              <w:bottom w:val="single" w:color="auto" w:sz="4" w:space="0"/>
              <w:right w:val="single" w:color="auto" w:sz="4" w:space="0"/>
            </w:tcBorders>
            <w:vAlign w:val="center"/>
          </w:tcPr>
          <w:p w14:paraId="254263A2">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rPr>
              <w:t>项目名称</w:t>
            </w:r>
            <w:r>
              <w:rPr>
                <w:rFonts w:hint="eastAsia" w:ascii="宋体" w:hAnsi="宋体" w:cs="楷体"/>
                <w:color w:val="auto"/>
                <w:kern w:val="0"/>
                <w:sz w:val="22"/>
                <w:szCs w:val="22"/>
                <w:highlight w:val="none"/>
                <w:lang w:val="en-US" w:eastAsia="zh-CN"/>
              </w:rPr>
              <w:t>及编号</w:t>
            </w:r>
          </w:p>
        </w:tc>
        <w:tc>
          <w:tcPr>
            <w:tcW w:w="7222" w:type="dxa"/>
            <w:tcBorders>
              <w:top w:val="single" w:color="auto" w:sz="4" w:space="0"/>
              <w:left w:val="single" w:color="auto" w:sz="4" w:space="0"/>
              <w:bottom w:val="single" w:color="auto" w:sz="4" w:space="0"/>
              <w:right w:val="single" w:color="auto" w:sz="4" w:space="0"/>
            </w:tcBorders>
            <w:vAlign w:val="center"/>
          </w:tcPr>
          <w:p w14:paraId="239419AA">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lang w:val="en-US" w:eastAsia="zh-CN"/>
              </w:rPr>
              <w:t>项目名称：</w:t>
            </w:r>
            <w:r>
              <w:rPr>
                <w:rFonts w:hint="eastAsia" w:ascii="宋体" w:hAnsi="宋体" w:cs="楷体"/>
                <w:color w:val="auto"/>
                <w:kern w:val="0"/>
                <w:sz w:val="22"/>
                <w:szCs w:val="22"/>
                <w:highlight w:val="none"/>
                <w:lang w:eastAsia="zh-CN"/>
              </w:rPr>
              <w:t>龙湾二期建筑垃圾消纳及资源化利用项目后场消纳管理服务</w:t>
            </w:r>
          </w:p>
          <w:p w14:paraId="50672F9C">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eastAsia="zh-CN"/>
              </w:rPr>
            </w:pPr>
            <w:r>
              <w:rPr>
                <w:rFonts w:hint="eastAsia" w:ascii="宋体" w:hAnsi="宋体" w:cs="楷体"/>
                <w:color w:val="auto"/>
                <w:kern w:val="0"/>
                <w:sz w:val="22"/>
                <w:szCs w:val="22"/>
                <w:highlight w:val="none"/>
              </w:rPr>
              <w:t>项目编号：</w:t>
            </w:r>
            <w:r>
              <w:rPr>
                <w:rFonts w:hint="eastAsia" w:ascii="宋体" w:hAnsi="宋体" w:cs="楷体"/>
                <w:color w:val="auto"/>
                <w:kern w:val="0"/>
                <w:sz w:val="22"/>
                <w:szCs w:val="22"/>
                <w:highlight w:val="none"/>
                <w:lang w:eastAsia="zh-CN"/>
              </w:rPr>
              <w:t>ZZJS-2025042801</w:t>
            </w:r>
          </w:p>
        </w:tc>
      </w:tr>
      <w:tr w14:paraId="6CF784E4">
        <w:tblPrEx>
          <w:tblCellMar>
            <w:top w:w="0" w:type="dxa"/>
            <w:left w:w="108" w:type="dxa"/>
            <w:bottom w:w="0" w:type="dxa"/>
            <w:right w:w="108" w:type="dxa"/>
          </w:tblCellMar>
        </w:tblPrEx>
        <w:trPr>
          <w:trHeight w:val="750" w:hRule="atLeast"/>
        </w:trPr>
        <w:tc>
          <w:tcPr>
            <w:tcW w:w="658" w:type="dxa"/>
            <w:tcBorders>
              <w:top w:val="single" w:color="auto" w:sz="4" w:space="0"/>
              <w:left w:val="single" w:color="auto" w:sz="4" w:space="0"/>
              <w:bottom w:val="single" w:color="auto" w:sz="4" w:space="0"/>
              <w:right w:val="single" w:color="auto" w:sz="4" w:space="0"/>
            </w:tcBorders>
            <w:vAlign w:val="center"/>
          </w:tcPr>
          <w:p w14:paraId="18775820">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5</w:t>
            </w:r>
          </w:p>
        </w:tc>
        <w:tc>
          <w:tcPr>
            <w:tcW w:w="1974" w:type="dxa"/>
            <w:tcBorders>
              <w:top w:val="single" w:color="auto" w:sz="4" w:space="0"/>
              <w:left w:val="single" w:color="auto" w:sz="4" w:space="0"/>
              <w:bottom w:val="single" w:color="auto" w:sz="4" w:space="0"/>
              <w:right w:val="single" w:color="auto" w:sz="4" w:space="0"/>
            </w:tcBorders>
            <w:vAlign w:val="center"/>
          </w:tcPr>
          <w:p w14:paraId="63F88031">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招标内容</w:t>
            </w:r>
          </w:p>
        </w:tc>
        <w:tc>
          <w:tcPr>
            <w:tcW w:w="7222" w:type="dxa"/>
            <w:tcBorders>
              <w:top w:val="single" w:color="auto" w:sz="4" w:space="0"/>
              <w:left w:val="single" w:color="auto" w:sz="4" w:space="0"/>
              <w:bottom w:val="single" w:color="auto" w:sz="4" w:space="0"/>
              <w:right w:val="single" w:color="auto" w:sz="4" w:space="0"/>
            </w:tcBorders>
            <w:vAlign w:val="center"/>
          </w:tcPr>
          <w:p w14:paraId="1F145141">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eastAsia="zh-CN"/>
              </w:rPr>
              <w:t>龙湾二期建筑垃圾消纳及资源化利用项目后场消纳管理服务</w:t>
            </w:r>
            <w:r>
              <w:rPr>
                <w:rFonts w:hint="eastAsia" w:ascii="宋体" w:hAnsi="宋体" w:cs="楷体"/>
                <w:color w:val="auto"/>
                <w:kern w:val="0"/>
                <w:sz w:val="22"/>
                <w:szCs w:val="22"/>
                <w:highlight w:val="none"/>
              </w:rPr>
              <w:t>，具体采购内容及详细技术要求见采购文件相关部分。预算金额：</w:t>
            </w:r>
            <w:r>
              <w:rPr>
                <w:rFonts w:hint="eastAsia" w:ascii="宋体" w:hAnsi="宋体" w:cs="宋体"/>
                <w:color w:val="auto"/>
                <w:sz w:val="22"/>
                <w:szCs w:val="22"/>
                <w:highlight w:val="none"/>
                <w:lang w:val="en-US" w:eastAsia="zh-CN"/>
              </w:rPr>
              <w:t>7576000</w:t>
            </w:r>
            <w:r>
              <w:rPr>
                <w:rFonts w:hint="eastAsia" w:ascii="宋体" w:hAnsi="宋体" w:cs="楷体"/>
                <w:color w:val="auto"/>
                <w:kern w:val="0"/>
                <w:sz w:val="22"/>
                <w:szCs w:val="22"/>
                <w:highlight w:val="none"/>
              </w:rPr>
              <w:t>元</w:t>
            </w:r>
          </w:p>
        </w:tc>
      </w:tr>
      <w:tr w14:paraId="54AE0382">
        <w:tblPrEx>
          <w:tblCellMar>
            <w:top w:w="0" w:type="dxa"/>
            <w:left w:w="108" w:type="dxa"/>
            <w:bottom w:w="0" w:type="dxa"/>
            <w:right w:w="108" w:type="dxa"/>
          </w:tblCellMar>
        </w:tblPrEx>
        <w:trPr>
          <w:trHeight w:val="750" w:hRule="atLeast"/>
        </w:trPr>
        <w:tc>
          <w:tcPr>
            <w:tcW w:w="658" w:type="dxa"/>
            <w:tcBorders>
              <w:top w:val="single" w:color="auto" w:sz="4" w:space="0"/>
              <w:left w:val="single" w:color="auto" w:sz="4" w:space="0"/>
              <w:bottom w:val="single" w:color="auto" w:sz="4" w:space="0"/>
              <w:right w:val="single" w:color="auto" w:sz="4" w:space="0"/>
            </w:tcBorders>
            <w:vAlign w:val="center"/>
          </w:tcPr>
          <w:p w14:paraId="04CAAD3D">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6</w:t>
            </w:r>
          </w:p>
        </w:tc>
        <w:tc>
          <w:tcPr>
            <w:tcW w:w="1974" w:type="dxa"/>
            <w:tcBorders>
              <w:top w:val="single" w:color="auto" w:sz="4" w:space="0"/>
              <w:left w:val="single" w:color="auto" w:sz="4" w:space="0"/>
              <w:bottom w:val="single" w:color="auto" w:sz="4" w:space="0"/>
              <w:right w:val="single" w:color="auto" w:sz="4" w:space="0"/>
            </w:tcBorders>
            <w:vAlign w:val="center"/>
          </w:tcPr>
          <w:p w14:paraId="20DC9B57">
            <w:pPr>
              <w:keepNext w:val="0"/>
              <w:keepLines w:val="0"/>
              <w:pageBreakBefore w:val="0"/>
              <w:kinsoku/>
              <w:wordWrap/>
              <w:overflowPunct/>
              <w:topLinePunct w:val="0"/>
              <w:bidi w:val="0"/>
              <w:snapToGrid/>
              <w:spacing w:line="308" w:lineRule="auto"/>
              <w:jc w:val="center"/>
              <w:rPr>
                <w:rFonts w:hint="eastAsia" w:ascii="宋体" w:hAnsi="宋体" w:eastAsia="宋体" w:cs="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服务期</w:t>
            </w:r>
          </w:p>
        </w:tc>
        <w:tc>
          <w:tcPr>
            <w:tcW w:w="7222" w:type="dxa"/>
            <w:tcBorders>
              <w:top w:val="single" w:color="auto" w:sz="4" w:space="0"/>
              <w:left w:val="single" w:color="auto" w:sz="4" w:space="0"/>
              <w:bottom w:val="single" w:color="auto" w:sz="4" w:space="0"/>
              <w:right w:val="single" w:color="auto" w:sz="4" w:space="0"/>
            </w:tcBorders>
            <w:vAlign w:val="center"/>
          </w:tcPr>
          <w:p w14:paraId="3FA38C67">
            <w:pPr>
              <w:keepNext w:val="0"/>
              <w:keepLines w:val="0"/>
              <w:pageBreakBefore w:val="0"/>
              <w:widowControl/>
              <w:kinsoku/>
              <w:wordWrap/>
              <w:overflowPunct/>
              <w:topLinePunct w:val="0"/>
              <w:bidi w:val="0"/>
              <w:snapToGrid/>
              <w:spacing w:line="308" w:lineRule="auto"/>
              <w:jc w:val="left"/>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highlight w:val="none"/>
              </w:rPr>
              <w:t>项目服务期为自合同签订之日起一年，一年合同期满，</w:t>
            </w:r>
            <w:r>
              <w:rPr>
                <w:rFonts w:hint="eastAsia" w:ascii="宋体" w:hAnsi="宋体" w:cs="宋体"/>
                <w:color w:val="auto"/>
                <w:kern w:val="0"/>
                <w:sz w:val="22"/>
                <w:highlight w:val="none"/>
                <w:lang w:eastAsia="zh-CN"/>
              </w:rPr>
              <w:t>采购人</w:t>
            </w:r>
            <w:r>
              <w:rPr>
                <w:rFonts w:hint="eastAsia" w:ascii="宋体" w:hAnsi="宋体" w:cs="宋体"/>
                <w:color w:val="auto"/>
                <w:kern w:val="0"/>
                <w:sz w:val="22"/>
                <w:highlight w:val="none"/>
              </w:rPr>
              <w:t>对中标人服务期内所提供的服务考核满意的情况下，</w:t>
            </w:r>
            <w:r>
              <w:rPr>
                <w:rFonts w:hint="eastAsia" w:ascii="宋体" w:hAnsi="宋体" w:cs="宋体"/>
                <w:color w:val="auto"/>
                <w:kern w:val="0"/>
                <w:sz w:val="22"/>
                <w:highlight w:val="none"/>
                <w:lang w:eastAsia="zh-CN"/>
              </w:rPr>
              <w:t>采购人</w:t>
            </w:r>
            <w:r>
              <w:rPr>
                <w:rFonts w:hint="eastAsia" w:ascii="宋体" w:hAnsi="宋体" w:cs="宋体"/>
                <w:color w:val="auto"/>
                <w:kern w:val="0"/>
                <w:sz w:val="22"/>
                <w:highlight w:val="none"/>
              </w:rPr>
              <w:t>可选择与中标人续签一年期合同（1+1模式）。</w:t>
            </w:r>
          </w:p>
        </w:tc>
      </w:tr>
      <w:tr w14:paraId="3B288B6F">
        <w:tblPrEx>
          <w:tblCellMar>
            <w:top w:w="0" w:type="dxa"/>
            <w:left w:w="108" w:type="dxa"/>
            <w:bottom w:w="0" w:type="dxa"/>
            <w:right w:w="108" w:type="dxa"/>
          </w:tblCellMar>
        </w:tblPrEx>
        <w:trPr>
          <w:trHeight w:val="90" w:hRule="atLeast"/>
        </w:trPr>
        <w:tc>
          <w:tcPr>
            <w:tcW w:w="658" w:type="dxa"/>
            <w:tcBorders>
              <w:top w:val="single" w:color="auto" w:sz="4" w:space="0"/>
              <w:left w:val="single" w:color="auto" w:sz="4" w:space="0"/>
              <w:bottom w:val="single" w:color="auto" w:sz="4" w:space="0"/>
              <w:right w:val="single" w:color="auto" w:sz="4" w:space="0"/>
            </w:tcBorders>
            <w:vAlign w:val="center"/>
          </w:tcPr>
          <w:p w14:paraId="3169B529">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7</w:t>
            </w:r>
          </w:p>
        </w:tc>
        <w:tc>
          <w:tcPr>
            <w:tcW w:w="1974" w:type="dxa"/>
            <w:tcBorders>
              <w:top w:val="single" w:color="auto" w:sz="4" w:space="0"/>
              <w:left w:val="single" w:color="auto" w:sz="4" w:space="0"/>
              <w:bottom w:val="single" w:color="auto" w:sz="4" w:space="0"/>
              <w:right w:val="single" w:color="auto" w:sz="4" w:space="0"/>
            </w:tcBorders>
            <w:vAlign w:val="center"/>
          </w:tcPr>
          <w:p w14:paraId="33FDBBC2">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lang w:eastAsia="zh-CN"/>
              </w:rPr>
              <w:t>供应商</w:t>
            </w:r>
            <w:r>
              <w:rPr>
                <w:rFonts w:hint="eastAsia" w:ascii="宋体" w:hAnsi="宋体" w:cs="楷体"/>
                <w:color w:val="auto"/>
                <w:kern w:val="0"/>
                <w:sz w:val="22"/>
                <w:szCs w:val="22"/>
                <w:highlight w:val="none"/>
              </w:rPr>
              <w:t>资格要求</w:t>
            </w:r>
          </w:p>
        </w:tc>
        <w:tc>
          <w:tcPr>
            <w:tcW w:w="7222" w:type="dxa"/>
            <w:tcBorders>
              <w:top w:val="single" w:color="auto" w:sz="4" w:space="0"/>
              <w:left w:val="single" w:color="auto" w:sz="4" w:space="0"/>
              <w:bottom w:val="single" w:color="auto" w:sz="4" w:space="0"/>
              <w:right w:val="single" w:color="auto" w:sz="4" w:space="0"/>
            </w:tcBorders>
            <w:vAlign w:val="center"/>
          </w:tcPr>
          <w:p w14:paraId="6304A7B4">
            <w:pPr>
              <w:keepNext w:val="0"/>
              <w:keepLines w:val="0"/>
              <w:pageBreakBefore w:val="0"/>
              <w:kinsoku/>
              <w:wordWrap/>
              <w:overflowPunct/>
              <w:topLinePunct w:val="0"/>
              <w:autoSpaceDE w:val="0"/>
              <w:autoSpaceDN w:val="0"/>
              <w:bidi w:val="0"/>
              <w:snapToGrid/>
              <w:spacing w:line="308" w:lineRule="auto"/>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1.满足《</w:t>
            </w:r>
            <w:r>
              <w:rPr>
                <w:rFonts w:hint="eastAsia" w:ascii="宋体" w:hAnsi="宋体" w:cs="宋体"/>
                <w:color w:val="auto"/>
                <w:kern w:val="0"/>
                <w:sz w:val="22"/>
                <w:szCs w:val="22"/>
                <w:highlight w:val="none"/>
                <w:lang w:eastAsia="zh-CN"/>
              </w:rPr>
              <w:t>温州湾新区、龙湾区区属国有企业采购管理办法</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关于供应商要求</w:t>
            </w:r>
            <w:r>
              <w:rPr>
                <w:rFonts w:hint="eastAsia" w:ascii="宋体" w:hAnsi="宋体" w:eastAsia="宋体" w:cs="宋体"/>
                <w:color w:val="auto"/>
                <w:kern w:val="0"/>
                <w:sz w:val="22"/>
                <w:szCs w:val="22"/>
                <w:highlight w:val="none"/>
                <w:lang w:eastAsia="zh-CN"/>
              </w:rPr>
              <w:t>规定；</w:t>
            </w:r>
          </w:p>
          <w:p w14:paraId="1FDBAB19">
            <w:pPr>
              <w:keepNext w:val="0"/>
              <w:keepLines w:val="0"/>
              <w:pageBreakBefore w:val="0"/>
              <w:kinsoku/>
              <w:wordWrap/>
              <w:overflowPunct/>
              <w:topLinePunct w:val="0"/>
              <w:autoSpaceDE w:val="0"/>
              <w:autoSpaceDN w:val="0"/>
              <w:bidi w:val="0"/>
              <w:snapToGrid/>
              <w:spacing w:line="308" w:lineRule="auto"/>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2.落实政府采购政策需满足的资格要求：</w:t>
            </w:r>
            <w:r>
              <w:rPr>
                <w:rFonts w:hint="eastAsia" w:ascii="宋体" w:hAnsi="宋体" w:eastAsia="宋体" w:cs="宋体"/>
                <w:color w:val="auto"/>
                <w:kern w:val="0"/>
                <w:sz w:val="22"/>
                <w:szCs w:val="22"/>
                <w:highlight w:val="none"/>
                <w:lang w:val="en-US" w:eastAsia="zh-CN"/>
              </w:rPr>
              <w:t>无</w:t>
            </w:r>
          </w:p>
          <w:p w14:paraId="7ECCD24C">
            <w:pPr>
              <w:keepNext w:val="0"/>
              <w:keepLines w:val="0"/>
              <w:pageBreakBefore w:val="0"/>
              <w:kinsoku/>
              <w:wordWrap/>
              <w:overflowPunct/>
              <w:topLinePunct w:val="0"/>
              <w:autoSpaceDE w:val="0"/>
              <w:autoSpaceDN w:val="0"/>
              <w:bidi w:val="0"/>
              <w:snapToGrid/>
              <w:spacing w:line="308" w:lineRule="auto"/>
              <w:jc w:val="left"/>
              <w:rPr>
                <w:rFonts w:hint="default" w:ascii="宋体" w:hAnsi="宋体" w:cs="楷体"/>
                <w:color w:val="auto"/>
                <w:kern w:val="0"/>
                <w:sz w:val="22"/>
                <w:szCs w:val="22"/>
                <w:highlight w:val="none"/>
                <w:lang w:val="en-US"/>
              </w:rPr>
            </w:pPr>
            <w:r>
              <w:rPr>
                <w:rFonts w:hint="eastAsia" w:ascii="宋体" w:hAnsi="宋体" w:eastAsia="宋体" w:cs="宋体"/>
                <w:color w:val="auto"/>
                <w:kern w:val="0"/>
                <w:sz w:val="22"/>
                <w:szCs w:val="22"/>
                <w:highlight w:val="none"/>
                <w:lang w:eastAsia="zh-CN"/>
              </w:rPr>
              <w:t>3.本项目的特定资格要求：</w:t>
            </w:r>
            <w:r>
              <w:rPr>
                <w:rFonts w:hint="eastAsia" w:ascii="宋体" w:hAnsi="宋体" w:cs="宋体"/>
                <w:color w:val="auto"/>
                <w:kern w:val="0"/>
                <w:sz w:val="22"/>
                <w:szCs w:val="22"/>
                <w:highlight w:val="none"/>
                <w:lang w:val="en-US" w:eastAsia="zh-CN"/>
              </w:rPr>
              <w:t>无</w:t>
            </w:r>
          </w:p>
        </w:tc>
      </w:tr>
      <w:tr w14:paraId="4B474053">
        <w:tblPrEx>
          <w:tblCellMar>
            <w:top w:w="0" w:type="dxa"/>
            <w:left w:w="108" w:type="dxa"/>
            <w:bottom w:w="0" w:type="dxa"/>
            <w:right w:w="108" w:type="dxa"/>
          </w:tblCellMar>
        </w:tblPrEx>
        <w:trPr>
          <w:trHeight w:val="90" w:hRule="atLeast"/>
        </w:trPr>
        <w:tc>
          <w:tcPr>
            <w:tcW w:w="658" w:type="dxa"/>
            <w:tcBorders>
              <w:top w:val="single" w:color="auto" w:sz="4" w:space="0"/>
              <w:left w:val="single" w:color="auto" w:sz="4" w:space="0"/>
              <w:bottom w:val="single" w:color="auto" w:sz="4" w:space="0"/>
              <w:right w:val="single" w:color="auto" w:sz="4" w:space="0"/>
            </w:tcBorders>
            <w:vAlign w:val="center"/>
          </w:tcPr>
          <w:p w14:paraId="3B879E90">
            <w:pPr>
              <w:keepNext w:val="0"/>
              <w:keepLines w:val="0"/>
              <w:pageBreakBefore w:val="0"/>
              <w:kinsoku/>
              <w:wordWrap/>
              <w:overflowPunct/>
              <w:topLinePunct w:val="0"/>
              <w:bidi w:val="0"/>
              <w:snapToGrid/>
              <w:spacing w:line="308" w:lineRule="auto"/>
              <w:jc w:val="center"/>
              <w:rPr>
                <w:rFonts w:hint="eastAsia"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8</w:t>
            </w:r>
          </w:p>
        </w:tc>
        <w:tc>
          <w:tcPr>
            <w:tcW w:w="1974" w:type="dxa"/>
            <w:tcBorders>
              <w:top w:val="single" w:color="auto" w:sz="4" w:space="0"/>
              <w:left w:val="single" w:color="auto" w:sz="4" w:space="0"/>
              <w:bottom w:val="single" w:color="auto" w:sz="4" w:space="0"/>
              <w:right w:val="single" w:color="auto" w:sz="4" w:space="0"/>
            </w:tcBorders>
            <w:vAlign w:val="center"/>
          </w:tcPr>
          <w:p w14:paraId="70D11366">
            <w:pPr>
              <w:keepNext w:val="0"/>
              <w:keepLines w:val="0"/>
              <w:pageBreakBefore w:val="0"/>
              <w:kinsoku/>
              <w:wordWrap/>
              <w:overflowPunct/>
              <w:topLinePunct w:val="0"/>
              <w:autoSpaceDE w:val="0"/>
              <w:autoSpaceDN w:val="0"/>
              <w:bidi w:val="0"/>
              <w:snapToGrid/>
              <w:spacing w:line="308"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zh-CN"/>
              </w:rPr>
              <w:t>限制参加说明</w:t>
            </w:r>
          </w:p>
        </w:tc>
        <w:tc>
          <w:tcPr>
            <w:tcW w:w="7222" w:type="dxa"/>
            <w:tcBorders>
              <w:top w:val="single" w:color="auto" w:sz="4" w:space="0"/>
              <w:left w:val="single" w:color="auto" w:sz="4" w:space="0"/>
              <w:bottom w:val="single" w:color="auto" w:sz="4" w:space="0"/>
              <w:right w:val="single" w:color="auto" w:sz="4" w:space="0"/>
            </w:tcBorders>
            <w:vAlign w:val="center"/>
          </w:tcPr>
          <w:p w14:paraId="4F36B7B7">
            <w:pPr>
              <w:keepNext w:val="0"/>
              <w:keepLines w:val="0"/>
              <w:pageBreakBefore w:val="0"/>
              <w:kinsoku/>
              <w:wordWrap/>
              <w:overflowPunct/>
              <w:topLinePunct w:val="0"/>
              <w:bidi w:val="0"/>
              <w:snapToGrid/>
              <w:spacing w:line="308" w:lineRule="auto"/>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1.</w:t>
            </w:r>
            <w:r>
              <w:rPr>
                <w:rFonts w:hint="eastAsia" w:ascii="宋体" w:hAnsi="宋体" w:eastAsia="宋体" w:cs="宋体"/>
                <w:color w:val="auto"/>
                <w:kern w:val="0"/>
                <w:sz w:val="22"/>
                <w:szCs w:val="22"/>
                <w:highlight w:val="none"/>
              </w:rPr>
              <w:t>为采购项目提供整体设计、规范编制或者项目管理、监理、检测等服务的供应商，不得再参加该采购项目的其他采购活动。</w:t>
            </w:r>
          </w:p>
          <w:p w14:paraId="7BFC0C0D">
            <w:pPr>
              <w:keepNext w:val="0"/>
              <w:keepLines w:val="0"/>
              <w:pageBreakBefore w:val="0"/>
              <w:kinsoku/>
              <w:wordWrap/>
              <w:overflowPunct/>
              <w:topLinePunct w:val="0"/>
              <w:bidi w:val="0"/>
              <w:snapToGrid/>
              <w:spacing w:line="308" w:lineRule="auto"/>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eastAsia="zh-CN"/>
              </w:rPr>
              <w:t>2.</w:t>
            </w:r>
            <w:r>
              <w:rPr>
                <w:rFonts w:hint="eastAsia" w:ascii="宋体" w:hAnsi="宋体" w:eastAsia="宋体" w:cs="宋体"/>
                <w:color w:val="auto"/>
                <w:kern w:val="0"/>
                <w:sz w:val="22"/>
                <w:szCs w:val="22"/>
                <w:highlight w:val="none"/>
              </w:rPr>
              <w:t>单位负责人为同一人或者存在直接控股、管理关系的不同供应商，不得参加同一合同项下的</w:t>
            </w:r>
            <w:r>
              <w:rPr>
                <w:rFonts w:hint="eastAsia" w:ascii="宋体" w:hAnsi="宋体" w:cs="宋体"/>
                <w:color w:val="auto"/>
                <w:kern w:val="0"/>
                <w:sz w:val="22"/>
                <w:szCs w:val="22"/>
                <w:highlight w:val="none"/>
                <w:lang w:val="en-US" w:eastAsia="zh-CN"/>
              </w:rPr>
              <w:t>国企</w:t>
            </w:r>
            <w:r>
              <w:rPr>
                <w:rFonts w:hint="eastAsia" w:ascii="宋体" w:hAnsi="宋体" w:eastAsia="宋体" w:cs="宋体"/>
                <w:color w:val="auto"/>
                <w:kern w:val="0"/>
                <w:sz w:val="22"/>
                <w:szCs w:val="22"/>
                <w:highlight w:val="none"/>
              </w:rPr>
              <w:t>采购活动。</w:t>
            </w:r>
          </w:p>
        </w:tc>
      </w:tr>
      <w:tr w14:paraId="2E219ED8">
        <w:tblPrEx>
          <w:tblCellMar>
            <w:top w:w="0" w:type="dxa"/>
            <w:left w:w="108" w:type="dxa"/>
            <w:bottom w:w="0" w:type="dxa"/>
            <w:right w:w="108" w:type="dxa"/>
          </w:tblCellMar>
        </w:tblPrEx>
        <w:trPr>
          <w:trHeight w:val="651" w:hRule="atLeast"/>
        </w:trPr>
        <w:tc>
          <w:tcPr>
            <w:tcW w:w="658" w:type="dxa"/>
            <w:tcBorders>
              <w:top w:val="single" w:color="auto" w:sz="4" w:space="0"/>
              <w:left w:val="single" w:color="auto" w:sz="4" w:space="0"/>
              <w:bottom w:val="single" w:color="auto" w:sz="4" w:space="0"/>
              <w:right w:val="single" w:color="auto" w:sz="4" w:space="0"/>
            </w:tcBorders>
            <w:vAlign w:val="center"/>
          </w:tcPr>
          <w:p w14:paraId="2572A851">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9</w:t>
            </w:r>
          </w:p>
        </w:tc>
        <w:tc>
          <w:tcPr>
            <w:tcW w:w="1974" w:type="dxa"/>
            <w:tcBorders>
              <w:top w:val="single" w:color="auto" w:sz="4" w:space="0"/>
              <w:left w:val="single" w:color="auto" w:sz="4" w:space="0"/>
              <w:bottom w:val="single" w:color="auto" w:sz="4" w:space="0"/>
              <w:right w:val="single" w:color="auto" w:sz="4" w:space="0"/>
            </w:tcBorders>
            <w:vAlign w:val="center"/>
          </w:tcPr>
          <w:p w14:paraId="2EFDD6CF">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是否接受联合体投标</w:t>
            </w:r>
          </w:p>
        </w:tc>
        <w:tc>
          <w:tcPr>
            <w:tcW w:w="7222" w:type="dxa"/>
            <w:tcBorders>
              <w:top w:val="single" w:color="auto" w:sz="4" w:space="0"/>
              <w:left w:val="single" w:color="auto" w:sz="4" w:space="0"/>
              <w:bottom w:val="single" w:color="auto" w:sz="4" w:space="0"/>
              <w:right w:val="single" w:color="auto" w:sz="4" w:space="0"/>
            </w:tcBorders>
            <w:vAlign w:val="center"/>
          </w:tcPr>
          <w:p w14:paraId="0AE1B6B6">
            <w:pPr>
              <w:keepNext w:val="0"/>
              <w:keepLines w:val="0"/>
              <w:pageBreakBefore w:val="0"/>
              <w:kinsoku/>
              <w:wordWrap/>
              <w:overflowPunct/>
              <w:topLinePunct w:val="0"/>
              <w:bidi w:val="0"/>
              <w:snapToGrid/>
              <w:spacing w:line="308" w:lineRule="auto"/>
              <w:rPr>
                <w:color w:val="auto"/>
                <w:sz w:val="22"/>
                <w:szCs w:val="22"/>
                <w:highlight w:val="none"/>
              </w:rPr>
            </w:pPr>
            <w:r>
              <w:rPr>
                <w:rFonts w:hint="eastAsia"/>
                <w:color w:val="auto"/>
                <w:sz w:val="22"/>
                <w:szCs w:val="22"/>
                <w:highlight w:val="none"/>
              </w:rPr>
              <w:t>不接受</w:t>
            </w:r>
          </w:p>
        </w:tc>
      </w:tr>
      <w:tr w14:paraId="4B398CCC">
        <w:tblPrEx>
          <w:tblCellMar>
            <w:top w:w="0" w:type="dxa"/>
            <w:left w:w="108" w:type="dxa"/>
            <w:bottom w:w="0" w:type="dxa"/>
            <w:right w:w="108" w:type="dxa"/>
          </w:tblCellMar>
        </w:tblPrEx>
        <w:trPr>
          <w:trHeight w:val="643" w:hRule="atLeast"/>
        </w:trPr>
        <w:tc>
          <w:tcPr>
            <w:tcW w:w="658" w:type="dxa"/>
            <w:tcBorders>
              <w:top w:val="single" w:color="auto" w:sz="4" w:space="0"/>
              <w:left w:val="single" w:color="auto" w:sz="4" w:space="0"/>
              <w:bottom w:val="single" w:color="auto" w:sz="4" w:space="0"/>
              <w:right w:val="single" w:color="auto" w:sz="4" w:space="0"/>
            </w:tcBorders>
            <w:vAlign w:val="center"/>
          </w:tcPr>
          <w:p w14:paraId="05468304">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10</w:t>
            </w:r>
          </w:p>
        </w:tc>
        <w:tc>
          <w:tcPr>
            <w:tcW w:w="1974" w:type="dxa"/>
            <w:tcBorders>
              <w:top w:val="single" w:color="auto" w:sz="4" w:space="0"/>
              <w:left w:val="single" w:color="auto" w:sz="4" w:space="0"/>
              <w:bottom w:val="single" w:color="auto" w:sz="4" w:space="0"/>
              <w:right w:val="single" w:color="auto" w:sz="4" w:space="0"/>
            </w:tcBorders>
            <w:vAlign w:val="center"/>
          </w:tcPr>
          <w:p w14:paraId="63C92F7B">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踏勘现场</w:t>
            </w:r>
          </w:p>
        </w:tc>
        <w:tc>
          <w:tcPr>
            <w:tcW w:w="7222" w:type="dxa"/>
            <w:tcBorders>
              <w:top w:val="single" w:color="auto" w:sz="4" w:space="0"/>
              <w:left w:val="single" w:color="auto" w:sz="4" w:space="0"/>
              <w:bottom w:val="single" w:color="auto" w:sz="4" w:space="0"/>
              <w:right w:val="single" w:color="auto" w:sz="4" w:space="0"/>
            </w:tcBorders>
            <w:vAlign w:val="center"/>
          </w:tcPr>
          <w:p w14:paraId="0469FFEF">
            <w:pPr>
              <w:keepNext w:val="0"/>
              <w:keepLines w:val="0"/>
              <w:pageBreakBefore w:val="0"/>
              <w:kinsoku/>
              <w:wordWrap/>
              <w:overflowPunct/>
              <w:topLinePunct w:val="0"/>
              <w:bidi w:val="0"/>
              <w:snapToGrid/>
              <w:spacing w:line="308" w:lineRule="auto"/>
              <w:rPr>
                <w:rFonts w:ascii="宋体" w:hAnsi="宋体" w:cs="楷体"/>
                <w:color w:val="auto"/>
                <w:kern w:val="0"/>
                <w:sz w:val="22"/>
                <w:szCs w:val="22"/>
                <w:highlight w:val="none"/>
              </w:rPr>
            </w:pPr>
            <w:r>
              <w:rPr>
                <w:rFonts w:hint="eastAsia" w:ascii="新宋体" w:hAnsi="新宋体" w:eastAsia="新宋体" w:cs="新宋体"/>
                <w:color w:val="auto"/>
                <w:kern w:val="0"/>
                <w:sz w:val="22"/>
                <w:szCs w:val="22"/>
                <w:highlight w:val="none"/>
              </w:rPr>
              <w:t>采购人</w:t>
            </w:r>
            <w:r>
              <w:rPr>
                <w:rFonts w:hint="eastAsia" w:ascii="宋体" w:hAnsi="宋体" w:cs="楷体"/>
                <w:color w:val="auto"/>
                <w:kern w:val="0"/>
                <w:sz w:val="22"/>
                <w:szCs w:val="22"/>
                <w:highlight w:val="none"/>
              </w:rPr>
              <w:t>不统一组织，潜在</w:t>
            </w:r>
            <w:r>
              <w:rPr>
                <w:rFonts w:hint="eastAsia" w:ascii="宋体" w:hAnsi="宋体" w:cs="楷体"/>
                <w:color w:val="auto"/>
                <w:kern w:val="0"/>
                <w:sz w:val="22"/>
                <w:szCs w:val="22"/>
                <w:highlight w:val="none"/>
                <w:lang w:eastAsia="zh-CN"/>
              </w:rPr>
              <w:t>供应商</w:t>
            </w:r>
            <w:r>
              <w:rPr>
                <w:rFonts w:hint="eastAsia" w:ascii="宋体" w:hAnsi="宋体" w:cs="楷体"/>
                <w:color w:val="auto"/>
                <w:kern w:val="0"/>
                <w:sz w:val="22"/>
                <w:szCs w:val="22"/>
                <w:highlight w:val="none"/>
              </w:rPr>
              <w:t>如需对现场进行详细踏勘自行前往。</w:t>
            </w:r>
          </w:p>
        </w:tc>
      </w:tr>
      <w:tr w14:paraId="17584C48">
        <w:tblPrEx>
          <w:tblCellMar>
            <w:top w:w="0" w:type="dxa"/>
            <w:left w:w="108" w:type="dxa"/>
            <w:bottom w:w="0" w:type="dxa"/>
            <w:right w:w="108" w:type="dxa"/>
          </w:tblCellMar>
        </w:tblPrEx>
        <w:trPr>
          <w:trHeight w:val="553" w:hRule="atLeast"/>
        </w:trPr>
        <w:tc>
          <w:tcPr>
            <w:tcW w:w="658" w:type="dxa"/>
            <w:tcBorders>
              <w:top w:val="single" w:color="auto" w:sz="4" w:space="0"/>
              <w:left w:val="single" w:color="auto" w:sz="4" w:space="0"/>
              <w:bottom w:val="single" w:color="auto" w:sz="4" w:space="0"/>
              <w:right w:val="single" w:color="auto" w:sz="4" w:space="0"/>
            </w:tcBorders>
            <w:vAlign w:val="center"/>
          </w:tcPr>
          <w:p w14:paraId="42716004">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11</w:t>
            </w:r>
          </w:p>
        </w:tc>
        <w:tc>
          <w:tcPr>
            <w:tcW w:w="1974" w:type="dxa"/>
            <w:tcBorders>
              <w:top w:val="single" w:color="auto" w:sz="4" w:space="0"/>
              <w:left w:val="single" w:color="auto" w:sz="4" w:space="0"/>
              <w:bottom w:val="single" w:color="auto" w:sz="4" w:space="0"/>
              <w:right w:val="single" w:color="auto" w:sz="4" w:space="0"/>
            </w:tcBorders>
            <w:vAlign w:val="center"/>
          </w:tcPr>
          <w:p w14:paraId="382E03FC">
            <w:pPr>
              <w:keepNext w:val="0"/>
              <w:keepLines w:val="0"/>
              <w:pageBreakBefore w:val="0"/>
              <w:kinsoku/>
              <w:wordWrap/>
              <w:overflowPunct/>
              <w:topLinePunct w:val="0"/>
              <w:bidi w:val="0"/>
              <w:snapToGrid/>
              <w:spacing w:line="308" w:lineRule="auto"/>
              <w:jc w:val="center"/>
              <w:rPr>
                <w:rFonts w:ascii="宋体" w:hAnsi="宋体" w:cs="楷体"/>
                <w:color w:val="auto"/>
                <w:kern w:val="0"/>
                <w:sz w:val="22"/>
                <w:szCs w:val="22"/>
                <w:highlight w:val="none"/>
              </w:rPr>
            </w:pPr>
            <w:r>
              <w:rPr>
                <w:rFonts w:hint="eastAsia" w:ascii="宋体" w:hAnsi="宋体" w:cs="楷体"/>
                <w:color w:val="auto"/>
                <w:kern w:val="0"/>
                <w:sz w:val="22"/>
                <w:szCs w:val="22"/>
                <w:highlight w:val="none"/>
              </w:rPr>
              <w:t>投标预备会</w:t>
            </w:r>
          </w:p>
        </w:tc>
        <w:tc>
          <w:tcPr>
            <w:tcW w:w="7222" w:type="dxa"/>
            <w:tcBorders>
              <w:top w:val="single" w:color="auto" w:sz="4" w:space="0"/>
              <w:left w:val="single" w:color="auto" w:sz="4" w:space="0"/>
              <w:bottom w:val="single" w:color="auto" w:sz="4" w:space="0"/>
              <w:right w:val="single" w:color="auto" w:sz="4" w:space="0"/>
            </w:tcBorders>
            <w:vAlign w:val="center"/>
          </w:tcPr>
          <w:p w14:paraId="7A53CC4B">
            <w:pPr>
              <w:keepNext w:val="0"/>
              <w:keepLines w:val="0"/>
              <w:pageBreakBefore w:val="0"/>
              <w:kinsoku/>
              <w:wordWrap/>
              <w:overflowPunct/>
              <w:topLinePunct w:val="0"/>
              <w:bidi w:val="0"/>
              <w:snapToGrid/>
              <w:spacing w:line="308" w:lineRule="auto"/>
              <w:rPr>
                <w:rFonts w:ascii="宋体" w:hAnsi="宋体" w:cs="楷体"/>
                <w:color w:val="auto"/>
                <w:kern w:val="0"/>
                <w:sz w:val="22"/>
                <w:szCs w:val="22"/>
                <w:highlight w:val="none"/>
              </w:rPr>
            </w:pPr>
            <w:r>
              <w:rPr>
                <w:rFonts w:hint="eastAsia"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不召开</w:t>
            </w:r>
          </w:p>
        </w:tc>
      </w:tr>
      <w:tr w14:paraId="552DC6B2">
        <w:tblPrEx>
          <w:tblCellMar>
            <w:top w:w="0" w:type="dxa"/>
            <w:left w:w="108" w:type="dxa"/>
            <w:bottom w:w="0" w:type="dxa"/>
            <w:right w:w="108" w:type="dxa"/>
          </w:tblCellMar>
        </w:tblPrEx>
        <w:trPr>
          <w:trHeight w:val="624" w:hRule="atLeast"/>
        </w:trPr>
        <w:tc>
          <w:tcPr>
            <w:tcW w:w="658" w:type="dxa"/>
            <w:tcBorders>
              <w:top w:val="single" w:color="auto" w:sz="4" w:space="0"/>
              <w:left w:val="single" w:color="auto" w:sz="4" w:space="0"/>
              <w:bottom w:val="single" w:color="auto" w:sz="4" w:space="0"/>
              <w:right w:val="single" w:color="auto" w:sz="4" w:space="0"/>
            </w:tcBorders>
            <w:vAlign w:val="center"/>
          </w:tcPr>
          <w:p w14:paraId="5B56B290">
            <w:pPr>
              <w:keepNext w:val="0"/>
              <w:keepLines w:val="0"/>
              <w:pageBreakBefore w:val="0"/>
              <w:kinsoku/>
              <w:wordWrap/>
              <w:overflowPunct/>
              <w:topLinePunct w:val="0"/>
              <w:bidi w:val="0"/>
              <w:snapToGrid/>
              <w:spacing w:line="308" w:lineRule="auto"/>
              <w:jc w:val="center"/>
              <w:rPr>
                <w:rFonts w:hint="eastAsia"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12</w:t>
            </w:r>
          </w:p>
        </w:tc>
        <w:tc>
          <w:tcPr>
            <w:tcW w:w="1974" w:type="dxa"/>
            <w:tcBorders>
              <w:top w:val="single" w:color="auto" w:sz="4" w:space="0"/>
              <w:left w:val="single" w:color="auto" w:sz="4" w:space="0"/>
              <w:bottom w:val="single" w:color="auto" w:sz="4" w:space="0"/>
              <w:right w:val="single" w:color="auto" w:sz="4" w:space="0"/>
            </w:tcBorders>
            <w:vAlign w:val="center"/>
          </w:tcPr>
          <w:p w14:paraId="5BBC29F5">
            <w:pPr>
              <w:keepNext w:val="0"/>
              <w:keepLines w:val="0"/>
              <w:pageBreakBefore w:val="0"/>
              <w:kinsoku/>
              <w:wordWrap/>
              <w:overflowPunct/>
              <w:topLinePunct w:val="0"/>
              <w:bidi w:val="0"/>
              <w:snapToGrid/>
              <w:spacing w:line="308" w:lineRule="auto"/>
              <w:jc w:val="center"/>
              <w:rPr>
                <w:rFonts w:hint="eastAsia"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投标截止时间</w:t>
            </w:r>
          </w:p>
        </w:tc>
        <w:tc>
          <w:tcPr>
            <w:tcW w:w="7222" w:type="dxa"/>
            <w:tcBorders>
              <w:top w:val="single" w:color="auto" w:sz="4" w:space="0"/>
              <w:left w:val="single" w:color="auto" w:sz="4" w:space="0"/>
              <w:bottom w:val="single" w:color="auto" w:sz="4" w:space="0"/>
              <w:right w:val="single" w:color="auto" w:sz="4" w:space="0"/>
            </w:tcBorders>
            <w:vAlign w:val="center"/>
          </w:tcPr>
          <w:p w14:paraId="7ECA7C8A">
            <w:pPr>
              <w:keepNext w:val="0"/>
              <w:keepLines w:val="0"/>
              <w:pageBreakBefore w:val="0"/>
              <w:kinsoku/>
              <w:wordWrap/>
              <w:overflowPunct/>
              <w:topLinePunct w:val="0"/>
              <w:bidi w:val="0"/>
              <w:snapToGrid/>
              <w:spacing w:line="308" w:lineRule="auto"/>
              <w:rPr>
                <w:rFonts w:hint="eastAsia" w:ascii="宋体" w:hAnsi="宋体" w:eastAsia="宋体" w:cs="楷体"/>
                <w:color w:val="auto"/>
                <w:kern w:val="0"/>
                <w:sz w:val="22"/>
                <w:szCs w:val="22"/>
                <w:highlight w:val="none"/>
                <w:lang w:val="en-US" w:eastAsia="zh-CN" w:bidi="ar-SA"/>
              </w:rPr>
            </w:pPr>
            <w:r>
              <w:rPr>
                <w:rFonts w:hint="eastAsia" w:ascii="宋体" w:hAnsi="宋体" w:cs="宋体"/>
                <w:color w:val="auto"/>
                <w:sz w:val="22"/>
                <w:szCs w:val="22"/>
                <w:highlight w:val="none"/>
                <w:lang w:val="en-US" w:eastAsia="zh-CN"/>
              </w:rPr>
              <w:t>2025年07月25日09：30</w:t>
            </w:r>
          </w:p>
        </w:tc>
      </w:tr>
      <w:tr w14:paraId="2ECC18C2">
        <w:tblPrEx>
          <w:tblCellMar>
            <w:top w:w="0" w:type="dxa"/>
            <w:left w:w="108" w:type="dxa"/>
            <w:bottom w:w="0" w:type="dxa"/>
            <w:right w:w="108" w:type="dxa"/>
          </w:tblCellMar>
        </w:tblPrEx>
        <w:trPr>
          <w:trHeight w:val="521" w:hRule="atLeast"/>
        </w:trPr>
        <w:tc>
          <w:tcPr>
            <w:tcW w:w="658" w:type="dxa"/>
            <w:tcBorders>
              <w:top w:val="single" w:color="auto" w:sz="4" w:space="0"/>
              <w:left w:val="single" w:color="auto" w:sz="4" w:space="0"/>
              <w:bottom w:val="single" w:color="auto" w:sz="4" w:space="0"/>
              <w:right w:val="single" w:color="auto" w:sz="4" w:space="0"/>
            </w:tcBorders>
            <w:vAlign w:val="center"/>
          </w:tcPr>
          <w:p w14:paraId="64688EA6">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13</w:t>
            </w:r>
          </w:p>
        </w:tc>
        <w:tc>
          <w:tcPr>
            <w:tcW w:w="1974" w:type="dxa"/>
            <w:tcBorders>
              <w:top w:val="single" w:color="auto" w:sz="4" w:space="0"/>
              <w:left w:val="single" w:color="auto" w:sz="4" w:space="0"/>
              <w:bottom w:val="single" w:color="auto" w:sz="4" w:space="0"/>
              <w:right w:val="single" w:color="auto" w:sz="4" w:space="0"/>
            </w:tcBorders>
            <w:vAlign w:val="center"/>
          </w:tcPr>
          <w:p w14:paraId="7FE6F04F">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分包</w:t>
            </w:r>
          </w:p>
        </w:tc>
        <w:tc>
          <w:tcPr>
            <w:tcW w:w="7222" w:type="dxa"/>
            <w:tcBorders>
              <w:top w:val="single" w:color="auto" w:sz="4" w:space="0"/>
              <w:left w:val="single" w:color="auto" w:sz="4" w:space="0"/>
              <w:bottom w:val="single" w:color="auto" w:sz="4" w:space="0"/>
              <w:right w:val="single" w:color="auto" w:sz="4" w:space="0"/>
            </w:tcBorders>
            <w:vAlign w:val="center"/>
          </w:tcPr>
          <w:p w14:paraId="09B781D5">
            <w:pPr>
              <w:keepNext w:val="0"/>
              <w:keepLines w:val="0"/>
              <w:pageBreakBefore w:val="0"/>
              <w:kinsoku/>
              <w:wordWrap/>
              <w:overflowPunct/>
              <w:topLinePunct w:val="0"/>
              <w:bidi w:val="0"/>
              <w:snapToGrid/>
              <w:spacing w:line="308" w:lineRule="auto"/>
              <w:rPr>
                <w:rFonts w:ascii="宋体" w:hAnsi="宋体" w:eastAsia="宋体" w:cs="楷体"/>
                <w:color w:val="auto"/>
                <w:kern w:val="0"/>
                <w:sz w:val="22"/>
                <w:szCs w:val="22"/>
                <w:highlight w:val="none"/>
                <w:lang w:val="en-US" w:eastAsia="zh-CN" w:bidi="ar-SA"/>
              </w:rPr>
            </w:pPr>
            <w:r>
              <w:rPr>
                <w:rFonts w:hint="eastAsia" w:ascii="宋体" w:hAnsi="宋体" w:cs="楷体"/>
                <w:b/>
                <w:snapToGrid w:val="0"/>
                <w:color w:val="auto"/>
                <w:sz w:val="22"/>
                <w:szCs w:val="22"/>
                <w:highlight w:val="none"/>
              </w:rPr>
              <w:sym w:font="Wingdings" w:char="F0FE"/>
            </w:r>
            <w:r>
              <w:rPr>
                <w:rFonts w:hint="eastAsia" w:ascii="宋体" w:hAnsi="宋体" w:cs="楷体"/>
                <w:color w:val="auto"/>
                <w:kern w:val="0"/>
                <w:sz w:val="22"/>
                <w:szCs w:val="22"/>
                <w:highlight w:val="none"/>
              </w:rPr>
              <w:t>不允许</w:t>
            </w:r>
          </w:p>
        </w:tc>
      </w:tr>
      <w:tr w14:paraId="660BCCDF">
        <w:tblPrEx>
          <w:tblCellMar>
            <w:top w:w="0" w:type="dxa"/>
            <w:left w:w="108" w:type="dxa"/>
            <w:bottom w:w="0" w:type="dxa"/>
            <w:right w:w="108" w:type="dxa"/>
          </w:tblCellMar>
        </w:tblPrEx>
        <w:trPr>
          <w:trHeight w:val="735" w:hRule="atLeast"/>
        </w:trPr>
        <w:tc>
          <w:tcPr>
            <w:tcW w:w="658" w:type="dxa"/>
            <w:tcBorders>
              <w:top w:val="single" w:color="auto" w:sz="4" w:space="0"/>
              <w:left w:val="single" w:color="auto" w:sz="4" w:space="0"/>
              <w:bottom w:val="single" w:color="auto" w:sz="4" w:space="0"/>
              <w:right w:val="single" w:color="auto" w:sz="4" w:space="0"/>
            </w:tcBorders>
            <w:vAlign w:val="center"/>
          </w:tcPr>
          <w:p w14:paraId="53FE3F31">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14</w:t>
            </w:r>
          </w:p>
        </w:tc>
        <w:tc>
          <w:tcPr>
            <w:tcW w:w="1974" w:type="dxa"/>
            <w:tcBorders>
              <w:top w:val="single" w:color="auto" w:sz="4" w:space="0"/>
              <w:left w:val="single" w:color="auto" w:sz="4" w:space="0"/>
              <w:bottom w:val="single" w:color="auto" w:sz="4" w:space="0"/>
              <w:right w:val="single" w:color="auto" w:sz="4" w:space="0"/>
            </w:tcBorders>
            <w:vAlign w:val="center"/>
          </w:tcPr>
          <w:p w14:paraId="0986A42C">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偏离</w:t>
            </w:r>
          </w:p>
        </w:tc>
        <w:tc>
          <w:tcPr>
            <w:tcW w:w="7222" w:type="dxa"/>
            <w:tcBorders>
              <w:top w:val="single" w:color="auto" w:sz="4" w:space="0"/>
              <w:left w:val="single" w:color="auto" w:sz="4" w:space="0"/>
              <w:bottom w:val="single" w:color="auto" w:sz="4" w:space="0"/>
              <w:right w:val="single" w:color="auto" w:sz="4" w:space="0"/>
            </w:tcBorders>
            <w:vAlign w:val="center"/>
          </w:tcPr>
          <w:p w14:paraId="72EEECD2">
            <w:pPr>
              <w:keepNext w:val="0"/>
              <w:keepLines w:val="0"/>
              <w:pageBreakBefore w:val="0"/>
              <w:kinsoku/>
              <w:wordWrap/>
              <w:overflowPunct/>
              <w:topLinePunct w:val="0"/>
              <w:bidi w:val="0"/>
              <w:snapToGrid/>
              <w:spacing w:line="308" w:lineRule="auto"/>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偏差允许幅度及其处理方法：允许细微偏差，不允许重大偏差。由评标委员会判断，细微偏差要求</w:t>
            </w:r>
            <w:r>
              <w:rPr>
                <w:rFonts w:hint="eastAsia" w:ascii="宋体" w:hAnsi="宋体" w:cs="楷体"/>
                <w:color w:val="auto"/>
                <w:kern w:val="0"/>
                <w:sz w:val="22"/>
                <w:szCs w:val="22"/>
                <w:highlight w:val="none"/>
                <w:lang w:eastAsia="zh-CN"/>
              </w:rPr>
              <w:t>供应商</w:t>
            </w:r>
            <w:r>
              <w:rPr>
                <w:rFonts w:hint="eastAsia" w:ascii="宋体" w:hAnsi="宋体" w:cs="楷体"/>
                <w:color w:val="auto"/>
                <w:kern w:val="0"/>
                <w:sz w:val="22"/>
                <w:szCs w:val="22"/>
                <w:highlight w:val="none"/>
              </w:rPr>
              <w:t>在评标结束前予以澄清、说明或补正，不接受要求进行的，评标委员会有权做无效标处理，详见评标办法。</w:t>
            </w:r>
          </w:p>
        </w:tc>
      </w:tr>
      <w:tr w14:paraId="173436B7">
        <w:tblPrEx>
          <w:tblCellMar>
            <w:top w:w="0" w:type="dxa"/>
            <w:left w:w="108" w:type="dxa"/>
            <w:bottom w:w="0" w:type="dxa"/>
            <w:right w:w="108" w:type="dxa"/>
          </w:tblCellMar>
        </w:tblPrEx>
        <w:trPr>
          <w:trHeight w:val="617" w:hRule="atLeast"/>
        </w:trPr>
        <w:tc>
          <w:tcPr>
            <w:tcW w:w="658" w:type="dxa"/>
            <w:tcBorders>
              <w:top w:val="single" w:color="auto" w:sz="4" w:space="0"/>
              <w:left w:val="single" w:color="auto" w:sz="4" w:space="0"/>
              <w:bottom w:val="single" w:color="auto" w:sz="4" w:space="0"/>
              <w:right w:val="single" w:color="auto" w:sz="4" w:space="0"/>
            </w:tcBorders>
            <w:vAlign w:val="center"/>
          </w:tcPr>
          <w:p w14:paraId="2C9AE468">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15</w:t>
            </w:r>
          </w:p>
        </w:tc>
        <w:tc>
          <w:tcPr>
            <w:tcW w:w="1974" w:type="dxa"/>
            <w:tcBorders>
              <w:top w:val="single" w:color="auto" w:sz="4" w:space="0"/>
              <w:left w:val="single" w:color="auto" w:sz="4" w:space="0"/>
              <w:bottom w:val="single" w:color="auto" w:sz="4" w:space="0"/>
              <w:right w:val="single" w:color="auto" w:sz="4" w:space="0"/>
            </w:tcBorders>
            <w:vAlign w:val="center"/>
          </w:tcPr>
          <w:p w14:paraId="40ADAE45">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投标有效期</w:t>
            </w:r>
          </w:p>
        </w:tc>
        <w:tc>
          <w:tcPr>
            <w:tcW w:w="7222" w:type="dxa"/>
            <w:tcBorders>
              <w:top w:val="single" w:color="auto" w:sz="4" w:space="0"/>
              <w:left w:val="single" w:color="auto" w:sz="4" w:space="0"/>
              <w:bottom w:val="single" w:color="auto" w:sz="4" w:space="0"/>
              <w:right w:val="single" w:color="auto" w:sz="4" w:space="0"/>
            </w:tcBorders>
            <w:vAlign w:val="center"/>
          </w:tcPr>
          <w:p w14:paraId="1490D4CC">
            <w:pPr>
              <w:keepNext w:val="0"/>
              <w:keepLines w:val="0"/>
              <w:pageBreakBefore w:val="0"/>
              <w:kinsoku/>
              <w:wordWrap/>
              <w:overflowPunct/>
              <w:topLinePunct w:val="0"/>
              <w:bidi w:val="0"/>
              <w:snapToGrid/>
              <w:spacing w:line="308" w:lineRule="auto"/>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投标文件自投标截止时间起生效，有效期90天。</w:t>
            </w:r>
          </w:p>
        </w:tc>
      </w:tr>
      <w:tr w14:paraId="2710B412">
        <w:tblPrEx>
          <w:tblCellMar>
            <w:top w:w="0" w:type="dxa"/>
            <w:left w:w="108" w:type="dxa"/>
            <w:bottom w:w="0" w:type="dxa"/>
            <w:right w:w="108" w:type="dxa"/>
          </w:tblCellMar>
        </w:tblPrEx>
        <w:trPr>
          <w:trHeight w:val="568" w:hRule="atLeast"/>
        </w:trPr>
        <w:tc>
          <w:tcPr>
            <w:tcW w:w="658" w:type="dxa"/>
            <w:tcBorders>
              <w:top w:val="single" w:color="auto" w:sz="4" w:space="0"/>
              <w:left w:val="single" w:color="auto" w:sz="4" w:space="0"/>
              <w:bottom w:val="single" w:color="auto" w:sz="4" w:space="0"/>
              <w:right w:val="single" w:color="auto" w:sz="4" w:space="0"/>
            </w:tcBorders>
            <w:vAlign w:val="center"/>
          </w:tcPr>
          <w:p w14:paraId="0E3D4BC7">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16</w:t>
            </w:r>
          </w:p>
        </w:tc>
        <w:tc>
          <w:tcPr>
            <w:tcW w:w="1974" w:type="dxa"/>
            <w:tcBorders>
              <w:top w:val="single" w:color="auto" w:sz="4" w:space="0"/>
              <w:left w:val="single" w:color="auto" w:sz="4" w:space="0"/>
              <w:bottom w:val="single" w:color="auto" w:sz="4" w:space="0"/>
              <w:right w:val="single" w:color="auto" w:sz="4" w:space="0"/>
            </w:tcBorders>
            <w:vAlign w:val="center"/>
          </w:tcPr>
          <w:p w14:paraId="1AC412EA">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投标保证金</w:t>
            </w:r>
          </w:p>
        </w:tc>
        <w:tc>
          <w:tcPr>
            <w:tcW w:w="7222" w:type="dxa"/>
            <w:tcBorders>
              <w:top w:val="single" w:color="auto" w:sz="4" w:space="0"/>
              <w:left w:val="single" w:color="auto" w:sz="4" w:space="0"/>
              <w:bottom w:val="single" w:color="auto" w:sz="4" w:space="0"/>
              <w:right w:val="single" w:color="auto" w:sz="4" w:space="0"/>
            </w:tcBorders>
            <w:vAlign w:val="center"/>
          </w:tcPr>
          <w:p w14:paraId="16C3038C">
            <w:pPr>
              <w:keepNext w:val="0"/>
              <w:keepLines w:val="0"/>
              <w:pageBreakBefore w:val="0"/>
              <w:widowControl/>
              <w:tabs>
                <w:tab w:val="left" w:pos="-360"/>
              </w:tabs>
              <w:kinsoku/>
              <w:wordWrap/>
              <w:overflowPunct/>
              <w:topLinePunct w:val="0"/>
              <w:autoSpaceDE w:val="0"/>
              <w:autoSpaceDN w:val="0"/>
              <w:bidi w:val="0"/>
              <w:snapToGrid/>
              <w:spacing w:line="308" w:lineRule="auto"/>
              <w:ind w:right="-34" w:rightChars="0"/>
              <w:textAlignment w:val="bottom"/>
              <w:rPr>
                <w:rFonts w:ascii="宋体" w:hAnsi="宋体" w:eastAsia="宋体" w:cs="楷体"/>
                <w:color w:val="auto"/>
                <w:kern w:val="0"/>
                <w:sz w:val="22"/>
                <w:szCs w:val="22"/>
                <w:highlight w:val="none"/>
                <w:lang w:val="en-US" w:eastAsia="zh-CN" w:bidi="ar-SA"/>
              </w:rPr>
            </w:pPr>
            <w:r>
              <w:rPr>
                <w:rFonts w:hint="eastAsia" w:ascii="宋体" w:hAnsi="宋体" w:cs="新宋体"/>
                <w:color w:val="auto"/>
                <w:kern w:val="0"/>
                <w:sz w:val="22"/>
                <w:szCs w:val="22"/>
                <w:highlight w:val="none"/>
                <w:lang w:val="zh-CN"/>
              </w:rPr>
              <w:t>不需要</w:t>
            </w:r>
          </w:p>
        </w:tc>
      </w:tr>
      <w:tr w14:paraId="5DDF21B8">
        <w:tblPrEx>
          <w:tblCellMar>
            <w:top w:w="0" w:type="dxa"/>
            <w:left w:w="108" w:type="dxa"/>
            <w:bottom w:w="0" w:type="dxa"/>
            <w:right w:w="108" w:type="dxa"/>
          </w:tblCellMar>
        </w:tblPrEx>
        <w:trPr>
          <w:trHeight w:val="719" w:hRule="exact"/>
        </w:trPr>
        <w:tc>
          <w:tcPr>
            <w:tcW w:w="658" w:type="dxa"/>
            <w:tcBorders>
              <w:top w:val="single" w:color="auto" w:sz="4" w:space="0"/>
              <w:left w:val="single" w:color="auto" w:sz="4" w:space="0"/>
              <w:bottom w:val="single" w:color="auto" w:sz="4" w:space="0"/>
              <w:right w:val="single" w:color="auto" w:sz="4" w:space="0"/>
            </w:tcBorders>
            <w:vAlign w:val="center"/>
          </w:tcPr>
          <w:p w14:paraId="3DB02C8A">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17</w:t>
            </w:r>
          </w:p>
        </w:tc>
        <w:tc>
          <w:tcPr>
            <w:tcW w:w="1974" w:type="dxa"/>
            <w:tcBorders>
              <w:top w:val="single" w:color="auto" w:sz="4" w:space="0"/>
              <w:left w:val="single" w:color="auto" w:sz="4" w:space="0"/>
              <w:bottom w:val="single" w:color="auto" w:sz="4" w:space="0"/>
              <w:right w:val="single" w:color="auto" w:sz="4" w:space="0"/>
            </w:tcBorders>
            <w:vAlign w:val="center"/>
          </w:tcPr>
          <w:p w14:paraId="631837D3">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投标文件的组成</w:t>
            </w:r>
          </w:p>
        </w:tc>
        <w:tc>
          <w:tcPr>
            <w:tcW w:w="7222" w:type="dxa"/>
            <w:tcBorders>
              <w:top w:val="single" w:color="auto" w:sz="4" w:space="0"/>
              <w:left w:val="single" w:color="auto" w:sz="4" w:space="0"/>
              <w:bottom w:val="single" w:color="auto" w:sz="4" w:space="0"/>
              <w:right w:val="single" w:color="auto" w:sz="4" w:space="0"/>
            </w:tcBorders>
            <w:vAlign w:val="center"/>
          </w:tcPr>
          <w:p w14:paraId="5D15BF58">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完整的投标文件由资格审查资料、商务技术文件、报价文件三个部分组成。</w:t>
            </w:r>
          </w:p>
        </w:tc>
      </w:tr>
      <w:tr w14:paraId="5231B3DA">
        <w:tblPrEx>
          <w:tblCellMar>
            <w:top w:w="0" w:type="dxa"/>
            <w:left w:w="108" w:type="dxa"/>
            <w:bottom w:w="0" w:type="dxa"/>
            <w:right w:w="108" w:type="dxa"/>
          </w:tblCellMar>
        </w:tblPrEx>
        <w:trPr>
          <w:trHeight w:val="836" w:hRule="atLeast"/>
        </w:trPr>
        <w:tc>
          <w:tcPr>
            <w:tcW w:w="658" w:type="dxa"/>
            <w:tcBorders>
              <w:top w:val="single" w:color="auto" w:sz="4" w:space="0"/>
              <w:left w:val="single" w:color="auto" w:sz="4" w:space="0"/>
              <w:bottom w:val="single" w:color="auto" w:sz="4" w:space="0"/>
              <w:right w:val="single" w:color="auto" w:sz="4" w:space="0"/>
            </w:tcBorders>
            <w:vAlign w:val="center"/>
          </w:tcPr>
          <w:p w14:paraId="2BAB71BC">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18</w:t>
            </w:r>
          </w:p>
        </w:tc>
        <w:tc>
          <w:tcPr>
            <w:tcW w:w="1974" w:type="dxa"/>
            <w:tcBorders>
              <w:top w:val="single" w:color="auto" w:sz="4" w:space="0"/>
              <w:left w:val="single" w:color="auto" w:sz="4" w:space="0"/>
              <w:bottom w:val="single" w:color="auto" w:sz="4" w:space="0"/>
              <w:right w:val="single" w:color="auto" w:sz="4" w:space="0"/>
            </w:tcBorders>
            <w:vAlign w:val="center"/>
          </w:tcPr>
          <w:p w14:paraId="2A36B93A">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投标文件的编制</w:t>
            </w:r>
          </w:p>
        </w:tc>
        <w:tc>
          <w:tcPr>
            <w:tcW w:w="7222" w:type="dxa"/>
            <w:tcBorders>
              <w:top w:val="single" w:color="auto" w:sz="4" w:space="0"/>
              <w:left w:val="single" w:color="auto" w:sz="4" w:space="0"/>
              <w:bottom w:val="single" w:color="auto" w:sz="4" w:space="0"/>
              <w:right w:val="single" w:color="auto" w:sz="4" w:space="0"/>
            </w:tcBorders>
            <w:vAlign w:val="center"/>
          </w:tcPr>
          <w:p w14:paraId="7CA5F2E7">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供应商应先安装“乐采云电子交易客户端”，并按照本采购文件和“乐采云平台”的要求，通过“乐采云电子交易客户端”编制并加密投标文件。</w:t>
            </w:r>
          </w:p>
        </w:tc>
      </w:tr>
      <w:tr w14:paraId="175616A5">
        <w:tblPrEx>
          <w:tblCellMar>
            <w:top w:w="0" w:type="dxa"/>
            <w:left w:w="108" w:type="dxa"/>
            <w:bottom w:w="0" w:type="dxa"/>
            <w:right w:w="108" w:type="dxa"/>
          </w:tblCellMar>
        </w:tblPrEx>
        <w:trPr>
          <w:trHeight w:val="676" w:hRule="atLeast"/>
        </w:trPr>
        <w:tc>
          <w:tcPr>
            <w:tcW w:w="658" w:type="dxa"/>
            <w:tcBorders>
              <w:top w:val="single" w:color="auto" w:sz="4" w:space="0"/>
              <w:left w:val="single" w:color="auto" w:sz="4" w:space="0"/>
              <w:bottom w:val="single" w:color="auto" w:sz="4" w:space="0"/>
              <w:right w:val="single" w:color="auto" w:sz="4" w:space="0"/>
            </w:tcBorders>
            <w:vAlign w:val="center"/>
          </w:tcPr>
          <w:p w14:paraId="3BA5A7A3">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19</w:t>
            </w:r>
          </w:p>
        </w:tc>
        <w:tc>
          <w:tcPr>
            <w:tcW w:w="1974" w:type="dxa"/>
            <w:tcBorders>
              <w:top w:val="single" w:color="auto" w:sz="4" w:space="0"/>
              <w:left w:val="single" w:color="auto" w:sz="4" w:space="0"/>
              <w:bottom w:val="single" w:color="auto" w:sz="4" w:space="0"/>
              <w:right w:val="single" w:color="auto" w:sz="4" w:space="0"/>
            </w:tcBorders>
            <w:vAlign w:val="center"/>
          </w:tcPr>
          <w:p w14:paraId="14FE9AB4">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签字或盖章要求</w:t>
            </w:r>
          </w:p>
        </w:tc>
        <w:tc>
          <w:tcPr>
            <w:tcW w:w="7222" w:type="dxa"/>
            <w:tcBorders>
              <w:top w:val="single" w:color="auto" w:sz="4" w:space="0"/>
              <w:left w:val="single" w:color="auto" w:sz="4" w:space="0"/>
              <w:bottom w:val="single" w:color="auto" w:sz="4" w:space="0"/>
              <w:right w:val="single" w:color="auto" w:sz="4" w:space="0"/>
            </w:tcBorders>
            <w:vAlign w:val="center"/>
          </w:tcPr>
          <w:p w14:paraId="45109B62">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投标文件的相应位置应加盖：电子签章。</w:t>
            </w:r>
          </w:p>
        </w:tc>
      </w:tr>
      <w:tr w14:paraId="54A54CC5">
        <w:tblPrEx>
          <w:tblCellMar>
            <w:top w:w="0" w:type="dxa"/>
            <w:left w:w="108" w:type="dxa"/>
            <w:bottom w:w="0" w:type="dxa"/>
            <w:right w:w="108" w:type="dxa"/>
          </w:tblCellMar>
        </w:tblPrEx>
        <w:trPr>
          <w:trHeight w:val="795" w:hRule="atLeast"/>
        </w:trPr>
        <w:tc>
          <w:tcPr>
            <w:tcW w:w="658" w:type="dxa"/>
            <w:tcBorders>
              <w:top w:val="single" w:color="auto" w:sz="4" w:space="0"/>
              <w:left w:val="single" w:color="auto" w:sz="4" w:space="0"/>
              <w:bottom w:val="single" w:color="auto" w:sz="4" w:space="0"/>
              <w:right w:val="single" w:color="auto" w:sz="4" w:space="0"/>
            </w:tcBorders>
            <w:vAlign w:val="center"/>
          </w:tcPr>
          <w:p w14:paraId="47A8CA35">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20</w:t>
            </w:r>
          </w:p>
        </w:tc>
        <w:tc>
          <w:tcPr>
            <w:tcW w:w="1974" w:type="dxa"/>
            <w:tcBorders>
              <w:top w:val="single" w:color="auto" w:sz="4" w:space="0"/>
              <w:left w:val="single" w:color="auto" w:sz="4" w:space="0"/>
              <w:bottom w:val="single" w:color="auto" w:sz="4" w:space="0"/>
              <w:right w:val="single" w:color="auto" w:sz="4" w:space="0"/>
            </w:tcBorders>
            <w:vAlign w:val="center"/>
          </w:tcPr>
          <w:p w14:paraId="199CA914">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投标文件的形式、制作及组成</w:t>
            </w:r>
          </w:p>
        </w:tc>
        <w:tc>
          <w:tcPr>
            <w:tcW w:w="7222" w:type="dxa"/>
            <w:tcBorders>
              <w:top w:val="single" w:color="auto" w:sz="4" w:space="0"/>
              <w:left w:val="single" w:color="auto" w:sz="4" w:space="0"/>
              <w:bottom w:val="single" w:color="auto" w:sz="4" w:space="0"/>
              <w:right w:val="single" w:color="auto" w:sz="4" w:space="0"/>
            </w:tcBorders>
            <w:vAlign w:val="center"/>
          </w:tcPr>
          <w:p w14:paraId="58F5B3D9">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741B35CC">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供应商须准备电子投标文件（包括“电子加密投标文件”和“备份投标文件”两类，在投标文件编制完成后同时生成）。</w:t>
            </w:r>
          </w:p>
          <w:p w14:paraId="3FA708C4">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（1）“电子加密投标文件”是指通过“乐采云电子交易客户端”完成投标文件编制后生成并加密的数据电文形式的投标文件。</w:t>
            </w:r>
          </w:p>
          <w:p w14:paraId="01C806A0">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54453041">
            <w:pPr>
              <w:keepNext w:val="0"/>
              <w:keepLines w:val="0"/>
              <w:pageBreakBefore w:val="0"/>
              <w:kinsoku/>
              <w:wordWrap/>
              <w:overflowPunct/>
              <w:topLinePunct w:val="0"/>
              <w:bidi w:val="0"/>
              <w:snapToGrid/>
              <w:spacing w:line="308" w:lineRule="auto"/>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以上两类投标文件均由资格审查资料、商务技术文件、报价文件三部分组成。</w:t>
            </w:r>
          </w:p>
        </w:tc>
      </w:tr>
      <w:tr w14:paraId="7B31DEE8">
        <w:tblPrEx>
          <w:tblCellMar>
            <w:top w:w="0" w:type="dxa"/>
            <w:left w:w="108" w:type="dxa"/>
            <w:bottom w:w="0" w:type="dxa"/>
            <w:right w:w="108" w:type="dxa"/>
          </w:tblCellMar>
        </w:tblPrEx>
        <w:trPr>
          <w:trHeight w:val="795" w:hRule="atLeast"/>
        </w:trPr>
        <w:tc>
          <w:tcPr>
            <w:tcW w:w="658" w:type="dxa"/>
            <w:tcBorders>
              <w:top w:val="single" w:color="auto" w:sz="4" w:space="0"/>
              <w:left w:val="single" w:color="auto" w:sz="4" w:space="0"/>
              <w:bottom w:val="single" w:color="auto" w:sz="4" w:space="0"/>
              <w:right w:val="single" w:color="auto" w:sz="4" w:space="0"/>
            </w:tcBorders>
            <w:vAlign w:val="center"/>
          </w:tcPr>
          <w:p w14:paraId="3A2B081F">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21</w:t>
            </w:r>
          </w:p>
        </w:tc>
        <w:tc>
          <w:tcPr>
            <w:tcW w:w="1974" w:type="dxa"/>
            <w:tcBorders>
              <w:top w:val="single" w:color="auto" w:sz="4" w:space="0"/>
              <w:left w:val="single" w:color="auto" w:sz="4" w:space="0"/>
              <w:bottom w:val="single" w:color="auto" w:sz="4" w:space="0"/>
              <w:right w:val="single" w:color="auto" w:sz="4" w:space="0"/>
            </w:tcBorders>
            <w:vAlign w:val="center"/>
          </w:tcPr>
          <w:p w14:paraId="54CE9D45">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投标文件份数</w:t>
            </w:r>
          </w:p>
        </w:tc>
        <w:tc>
          <w:tcPr>
            <w:tcW w:w="7222" w:type="dxa"/>
            <w:tcBorders>
              <w:top w:val="single" w:color="auto" w:sz="4" w:space="0"/>
              <w:left w:val="single" w:color="auto" w:sz="4" w:space="0"/>
              <w:bottom w:val="single" w:color="auto" w:sz="4" w:space="0"/>
              <w:right w:val="single" w:color="auto" w:sz="4" w:space="0"/>
            </w:tcBorders>
            <w:vAlign w:val="center"/>
          </w:tcPr>
          <w:p w14:paraId="76E5ECEC">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4764DFAC">
            <w:pPr>
              <w:keepNext w:val="0"/>
              <w:keepLines w:val="0"/>
              <w:pageBreakBefore w:val="0"/>
              <w:kinsoku/>
              <w:wordWrap/>
              <w:overflowPunct/>
              <w:topLinePunct w:val="0"/>
              <w:bidi w:val="0"/>
              <w:snapToGrid/>
              <w:spacing w:line="308" w:lineRule="auto"/>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（2）“备份投标文件”： 以U盘存储，密封包装后（顺丰快递形式）在</w:t>
            </w:r>
            <w:r>
              <w:rPr>
                <w:rFonts w:hint="eastAsia" w:ascii="宋体" w:hAnsi="宋体" w:cs="宋体"/>
                <w:color w:val="auto"/>
                <w:sz w:val="22"/>
                <w:szCs w:val="22"/>
                <w:highlight w:val="none"/>
                <w:lang w:val="en-US" w:eastAsia="zh-CN"/>
              </w:rPr>
              <w:t>2025年07月24日</w:t>
            </w:r>
            <w:r>
              <w:rPr>
                <w:rFonts w:hint="eastAsia" w:ascii="宋体" w:hAnsi="宋体" w:cs="楷体"/>
                <w:color w:val="auto"/>
                <w:kern w:val="0"/>
                <w:sz w:val="22"/>
                <w:szCs w:val="22"/>
                <w:highlight w:val="none"/>
                <w:lang w:val="en-US" w:eastAsia="zh-CN"/>
              </w:rPr>
              <w:t>16</w:t>
            </w:r>
            <w:r>
              <w:rPr>
                <w:rFonts w:hint="eastAsia" w:ascii="宋体" w:hAnsi="宋体" w:cs="楷体"/>
                <w:color w:val="auto"/>
                <w:kern w:val="0"/>
                <w:sz w:val="22"/>
                <w:szCs w:val="22"/>
                <w:highlight w:val="none"/>
              </w:rPr>
              <w:t>时</w:t>
            </w:r>
            <w:r>
              <w:rPr>
                <w:rFonts w:hint="eastAsia" w:ascii="宋体" w:hAnsi="宋体" w:cs="楷体"/>
                <w:color w:val="auto"/>
                <w:kern w:val="0"/>
                <w:sz w:val="22"/>
                <w:szCs w:val="22"/>
                <w:highlight w:val="none"/>
                <w:lang w:val="en-US" w:eastAsia="zh-CN"/>
              </w:rPr>
              <w:t>00</w:t>
            </w:r>
            <w:r>
              <w:rPr>
                <w:rFonts w:hint="eastAsia" w:ascii="宋体" w:hAnsi="宋体" w:cs="楷体"/>
                <w:color w:val="auto"/>
                <w:kern w:val="0"/>
                <w:sz w:val="22"/>
                <w:szCs w:val="22"/>
                <w:highlight w:val="none"/>
              </w:rPr>
              <w:t>分</w:t>
            </w:r>
            <w:r>
              <w:rPr>
                <w:rFonts w:hint="eastAsia" w:ascii="新宋体" w:hAnsi="新宋体" w:eastAsia="新宋体" w:cs="新宋体"/>
                <w:color w:val="auto"/>
                <w:kern w:val="0"/>
                <w:sz w:val="22"/>
                <w:szCs w:val="22"/>
                <w:highlight w:val="none"/>
                <w:lang w:val="zh-CN"/>
              </w:rPr>
              <w:t>前递交（以采购代理机构签收时间为准，下同），一份，邮寄地址：温州市龙湾区永中街道繁青路208号龙和大厦东首9楼。</w:t>
            </w:r>
          </w:p>
        </w:tc>
      </w:tr>
      <w:tr w14:paraId="111E1928">
        <w:tblPrEx>
          <w:tblCellMar>
            <w:top w:w="0" w:type="dxa"/>
            <w:left w:w="108" w:type="dxa"/>
            <w:bottom w:w="0" w:type="dxa"/>
            <w:right w:w="108" w:type="dxa"/>
          </w:tblCellMar>
        </w:tblPrEx>
        <w:trPr>
          <w:trHeight w:val="372" w:hRule="atLeast"/>
        </w:trPr>
        <w:tc>
          <w:tcPr>
            <w:tcW w:w="658" w:type="dxa"/>
            <w:tcBorders>
              <w:top w:val="single" w:color="auto" w:sz="4" w:space="0"/>
              <w:left w:val="single" w:color="auto" w:sz="4" w:space="0"/>
              <w:bottom w:val="single" w:color="auto" w:sz="4" w:space="0"/>
              <w:right w:val="single" w:color="auto" w:sz="4" w:space="0"/>
            </w:tcBorders>
            <w:vAlign w:val="center"/>
          </w:tcPr>
          <w:p w14:paraId="1E884A78">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22</w:t>
            </w:r>
          </w:p>
        </w:tc>
        <w:tc>
          <w:tcPr>
            <w:tcW w:w="1974" w:type="dxa"/>
            <w:tcBorders>
              <w:top w:val="single" w:color="auto" w:sz="4" w:space="0"/>
              <w:left w:val="single" w:color="auto" w:sz="4" w:space="0"/>
              <w:bottom w:val="single" w:color="auto" w:sz="4" w:space="0"/>
              <w:right w:val="single" w:color="auto" w:sz="4" w:space="0"/>
            </w:tcBorders>
            <w:vAlign w:val="center"/>
          </w:tcPr>
          <w:p w14:paraId="4F246CE1">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投标文件的上传和递交</w:t>
            </w:r>
          </w:p>
        </w:tc>
        <w:tc>
          <w:tcPr>
            <w:tcW w:w="7222" w:type="dxa"/>
            <w:tcBorders>
              <w:top w:val="single" w:color="auto" w:sz="4" w:space="0"/>
              <w:left w:val="single" w:color="auto" w:sz="4" w:space="0"/>
              <w:bottom w:val="single" w:color="auto" w:sz="4" w:space="0"/>
              <w:right w:val="single" w:color="auto" w:sz="4" w:space="0"/>
            </w:tcBorders>
            <w:vAlign w:val="center"/>
          </w:tcPr>
          <w:p w14:paraId="2A4BFA3C">
            <w:pPr>
              <w:pStyle w:val="124"/>
              <w:keepNext w:val="0"/>
              <w:keepLines w:val="0"/>
              <w:pageBreakBefore w:val="0"/>
              <w:kinsoku/>
              <w:wordWrap/>
              <w:overflowPunct/>
              <w:topLinePunct w:val="0"/>
              <w:autoSpaceDE w:val="0"/>
              <w:autoSpaceDN w:val="0"/>
              <w:bidi w:val="0"/>
              <w:adjustRightInd w:val="0"/>
              <w:snapToGrid/>
              <w:spacing w:line="308" w:lineRule="auto"/>
              <w:jc w:val="both"/>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5993DC4C">
            <w:pPr>
              <w:pStyle w:val="124"/>
              <w:keepNext w:val="0"/>
              <w:keepLines w:val="0"/>
              <w:pageBreakBefore w:val="0"/>
              <w:kinsoku/>
              <w:wordWrap/>
              <w:overflowPunct/>
              <w:topLinePunct w:val="0"/>
              <w:autoSpaceDE w:val="0"/>
              <w:autoSpaceDN w:val="0"/>
              <w:bidi w:val="0"/>
              <w:adjustRightInd w:val="0"/>
              <w:snapToGrid/>
              <w:spacing w:line="308" w:lineRule="auto"/>
              <w:jc w:val="both"/>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应在投标文件递交截止时间前将“电子加密投标文件”成功上传递交至“</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平台”，否则投标无效。</w:t>
            </w:r>
          </w:p>
          <w:p w14:paraId="674726F5">
            <w:pPr>
              <w:pStyle w:val="124"/>
              <w:keepNext w:val="0"/>
              <w:keepLines w:val="0"/>
              <w:pageBreakBefore w:val="0"/>
              <w:kinsoku/>
              <w:wordWrap/>
              <w:overflowPunct/>
              <w:topLinePunct w:val="0"/>
              <w:autoSpaceDE w:val="0"/>
              <w:autoSpaceDN w:val="0"/>
              <w:bidi w:val="0"/>
              <w:adjustRightInd w:val="0"/>
              <w:snapToGrid/>
              <w:spacing w:line="308" w:lineRule="auto"/>
              <w:jc w:val="both"/>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3F9753C3">
            <w:pPr>
              <w:pStyle w:val="124"/>
              <w:keepNext w:val="0"/>
              <w:keepLines w:val="0"/>
              <w:pageBreakBefore w:val="0"/>
              <w:kinsoku/>
              <w:wordWrap/>
              <w:overflowPunct/>
              <w:topLinePunct w:val="0"/>
              <w:autoSpaceDE w:val="0"/>
              <w:autoSpaceDN w:val="0"/>
              <w:bidi w:val="0"/>
              <w:adjustRightInd w:val="0"/>
              <w:snapToGrid/>
              <w:spacing w:line="308" w:lineRule="auto"/>
              <w:jc w:val="both"/>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44053DD8">
            <w:pPr>
              <w:pStyle w:val="124"/>
              <w:keepNext w:val="0"/>
              <w:keepLines w:val="0"/>
              <w:pageBreakBefore w:val="0"/>
              <w:kinsoku/>
              <w:wordWrap/>
              <w:overflowPunct/>
              <w:topLinePunct w:val="0"/>
              <w:autoSpaceDE w:val="0"/>
              <w:autoSpaceDN w:val="0"/>
              <w:bidi w:val="0"/>
              <w:adjustRightInd w:val="0"/>
              <w:snapToGrid/>
              <w:spacing w:line="308" w:lineRule="auto"/>
              <w:jc w:val="both"/>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在“</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平台”完成“电子加密投标文件”的上传递交后，还可以（建议顺丰快递寄形式）在</w:t>
            </w:r>
            <w:r>
              <w:rPr>
                <w:rFonts w:hint="eastAsia" w:ascii="宋体" w:hAnsi="宋体" w:cs="宋体"/>
                <w:color w:val="auto"/>
                <w:sz w:val="22"/>
                <w:szCs w:val="22"/>
                <w:highlight w:val="none"/>
                <w:lang w:val="en-US" w:eastAsia="zh-CN"/>
              </w:rPr>
              <w:t>2025年07月24日</w:t>
            </w:r>
            <w:r>
              <w:rPr>
                <w:rFonts w:hint="eastAsia" w:ascii="宋体" w:hAnsi="宋体" w:cs="楷体"/>
                <w:color w:val="auto"/>
                <w:kern w:val="0"/>
                <w:sz w:val="22"/>
                <w:szCs w:val="22"/>
                <w:highlight w:val="none"/>
                <w:lang w:val="en-US" w:eastAsia="zh-CN"/>
              </w:rPr>
              <w:t>16</w:t>
            </w:r>
            <w:r>
              <w:rPr>
                <w:rFonts w:hint="eastAsia" w:ascii="宋体" w:hAnsi="宋体" w:cs="楷体"/>
                <w:color w:val="auto"/>
                <w:kern w:val="0"/>
                <w:sz w:val="22"/>
                <w:szCs w:val="22"/>
                <w:highlight w:val="none"/>
              </w:rPr>
              <w:t>时</w:t>
            </w:r>
            <w:r>
              <w:rPr>
                <w:rFonts w:hint="eastAsia" w:ascii="宋体" w:hAnsi="宋体" w:cs="楷体"/>
                <w:color w:val="auto"/>
                <w:kern w:val="0"/>
                <w:sz w:val="22"/>
                <w:szCs w:val="22"/>
                <w:highlight w:val="none"/>
                <w:lang w:val="en-US" w:eastAsia="zh-CN"/>
              </w:rPr>
              <w:t>00</w:t>
            </w:r>
            <w:r>
              <w:rPr>
                <w:rFonts w:hint="eastAsia" w:ascii="宋体" w:hAnsi="宋体" w:cs="楷体"/>
                <w:color w:val="auto"/>
                <w:kern w:val="0"/>
                <w:sz w:val="22"/>
                <w:szCs w:val="22"/>
                <w:highlight w:val="none"/>
              </w:rPr>
              <w:t>分</w:t>
            </w:r>
            <w:r>
              <w:rPr>
                <w:rFonts w:hint="eastAsia" w:ascii="新宋体" w:hAnsi="新宋体" w:eastAsia="新宋体" w:cs="新宋体"/>
                <w:color w:val="auto"/>
                <w:sz w:val="22"/>
                <w:szCs w:val="22"/>
                <w:highlight w:val="none"/>
              </w:rPr>
              <w:t>前递交以介质（U盘）存储的 “备份投标文件”（一份）；顺丰快递邮寄形式快递至采购代理机构地址（地址详见采购文件</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；解密CA必须是上传并制作电子投标文件CA锁。</w:t>
            </w:r>
          </w:p>
          <w:p w14:paraId="342ECFDD">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400EBA89">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乐采云平台”成功上传递交的“电子加密投标文件”已按时解密的，“备份投标文件”自动失效。投标文件递交截止时间前，供应商仅递交了“备份投标文件”而未将“电子加密投标文件”成功上传至“乐采云平台”的，投标无效。</w:t>
            </w:r>
          </w:p>
          <w:p w14:paraId="06479BBD">
            <w:pPr>
              <w:keepNext w:val="0"/>
              <w:keepLines w:val="0"/>
              <w:pageBreakBefore w:val="0"/>
              <w:kinsoku/>
              <w:wordWrap/>
              <w:overflowPunct/>
              <w:topLinePunct w:val="0"/>
              <w:bidi w:val="0"/>
              <w:snapToGrid/>
              <w:spacing w:line="308" w:lineRule="auto"/>
              <w:rPr>
                <w:rFonts w:ascii="新宋体" w:hAnsi="新宋体" w:eastAsia="新宋体" w:cs="新宋体"/>
                <w:bCs/>
                <w:color w:val="auto"/>
                <w:kern w:val="2"/>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d.供应商应加强U盘的包装与保护，因包装不当而造成“备份投标文件”损坏或不能在开评标现场设备上正确读取的责任由供应商自负。</w:t>
            </w:r>
          </w:p>
        </w:tc>
      </w:tr>
      <w:tr w14:paraId="6F117332">
        <w:tblPrEx>
          <w:tblCellMar>
            <w:top w:w="0" w:type="dxa"/>
            <w:left w:w="108" w:type="dxa"/>
            <w:bottom w:w="0" w:type="dxa"/>
            <w:right w:w="108" w:type="dxa"/>
          </w:tblCellMar>
        </w:tblPrEx>
        <w:trPr>
          <w:trHeight w:val="784" w:hRule="atLeast"/>
        </w:trPr>
        <w:tc>
          <w:tcPr>
            <w:tcW w:w="658" w:type="dxa"/>
            <w:tcBorders>
              <w:top w:val="single" w:color="auto" w:sz="4" w:space="0"/>
              <w:left w:val="single" w:color="auto" w:sz="4" w:space="0"/>
              <w:bottom w:val="single" w:color="auto" w:sz="4" w:space="0"/>
              <w:right w:val="single" w:color="auto" w:sz="4" w:space="0"/>
            </w:tcBorders>
            <w:vAlign w:val="center"/>
          </w:tcPr>
          <w:p w14:paraId="0F0E1BF9">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23</w:t>
            </w:r>
          </w:p>
        </w:tc>
        <w:tc>
          <w:tcPr>
            <w:tcW w:w="1974" w:type="dxa"/>
            <w:tcBorders>
              <w:top w:val="single" w:color="auto" w:sz="4" w:space="0"/>
              <w:left w:val="single" w:color="auto" w:sz="4" w:space="0"/>
              <w:bottom w:val="single" w:color="auto" w:sz="4" w:space="0"/>
              <w:right w:val="single" w:color="auto" w:sz="4" w:space="0"/>
            </w:tcBorders>
            <w:vAlign w:val="center"/>
          </w:tcPr>
          <w:p w14:paraId="1439CF61">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222" w:type="dxa"/>
            <w:tcBorders>
              <w:top w:val="single" w:color="auto" w:sz="4" w:space="0"/>
              <w:left w:val="single" w:color="auto" w:sz="4" w:space="0"/>
              <w:bottom w:val="single" w:color="auto" w:sz="4" w:space="0"/>
              <w:right w:val="single" w:color="auto" w:sz="4" w:space="0"/>
            </w:tcBorders>
            <w:vAlign w:val="center"/>
          </w:tcPr>
          <w:p w14:paraId="4CDAB28A">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（1）开标后，采购组织机构将向各供应商发出“电子加密投标文件”的解密通知，各供应商代表应当在接到解密通知后30分钟内自行完成“电子加密投标文件”的在线解密。</w:t>
            </w:r>
          </w:p>
          <w:p w14:paraId="38E64A6E">
            <w:pPr>
              <w:keepNext w:val="0"/>
              <w:keepLines w:val="0"/>
              <w:pageBreakBefore w:val="0"/>
              <w:kinsoku/>
              <w:wordWrap/>
              <w:overflowPunct/>
              <w:topLinePunct w:val="0"/>
              <w:autoSpaceDE w:val="0"/>
              <w:autoSpaceDN w:val="0"/>
              <w:bidi w:val="0"/>
              <w:adjustRightInd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乐采云平台”成功上传递交的“电子加密投标文件”无法按时解密，供应商如按规定递交了“备份投标文件”的，以“备份投标文件”为依据（由采购组织机构按“乐采云平台”操作规范将“备份投标文件”上传至“乐采云平台”，上传成功后，“电子加密投标文件”自动失效），否则视为投标文件撤回。</w:t>
            </w:r>
          </w:p>
          <w:p w14:paraId="4B27F31C">
            <w:pPr>
              <w:keepNext w:val="0"/>
              <w:keepLines w:val="0"/>
              <w:pageBreakBefore w:val="0"/>
              <w:kinsoku/>
              <w:wordWrap/>
              <w:overflowPunct/>
              <w:topLinePunct w:val="0"/>
              <w:bidi w:val="0"/>
              <w:snapToGrid/>
              <w:spacing w:line="308" w:lineRule="auto"/>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val="zh-CN"/>
              </w:rPr>
              <w:t>（3）投标文件递交截止时间前，供应商仅递交了“备份投标文件”而未将电子加密投标文件上传至“乐采云平台”的，投标无效。</w:t>
            </w:r>
          </w:p>
        </w:tc>
      </w:tr>
      <w:tr w14:paraId="73EB071C">
        <w:tblPrEx>
          <w:tblCellMar>
            <w:top w:w="0" w:type="dxa"/>
            <w:left w:w="108" w:type="dxa"/>
            <w:bottom w:w="0" w:type="dxa"/>
            <w:right w:w="108" w:type="dxa"/>
          </w:tblCellMar>
        </w:tblPrEx>
        <w:trPr>
          <w:trHeight w:val="781" w:hRule="exact"/>
        </w:trPr>
        <w:tc>
          <w:tcPr>
            <w:tcW w:w="658" w:type="dxa"/>
            <w:tcBorders>
              <w:top w:val="single" w:color="auto" w:sz="4" w:space="0"/>
              <w:left w:val="single" w:color="auto" w:sz="4" w:space="0"/>
              <w:bottom w:val="single" w:color="auto" w:sz="4" w:space="0"/>
              <w:right w:val="single" w:color="auto" w:sz="4" w:space="0"/>
            </w:tcBorders>
            <w:vAlign w:val="center"/>
          </w:tcPr>
          <w:p w14:paraId="01DDB49F">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24</w:t>
            </w:r>
          </w:p>
        </w:tc>
        <w:tc>
          <w:tcPr>
            <w:tcW w:w="1974" w:type="dxa"/>
            <w:tcBorders>
              <w:top w:val="single" w:color="auto" w:sz="4" w:space="0"/>
              <w:left w:val="single" w:color="auto" w:sz="4" w:space="0"/>
              <w:bottom w:val="single" w:color="auto" w:sz="4" w:space="0"/>
              <w:right w:val="single" w:color="auto" w:sz="4" w:space="0"/>
            </w:tcBorders>
            <w:vAlign w:val="center"/>
          </w:tcPr>
          <w:p w14:paraId="73B33478">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递交投标文件地点</w:t>
            </w:r>
          </w:p>
        </w:tc>
        <w:tc>
          <w:tcPr>
            <w:tcW w:w="7222" w:type="dxa"/>
            <w:tcBorders>
              <w:top w:val="single" w:color="auto" w:sz="4" w:space="0"/>
              <w:left w:val="single" w:color="auto" w:sz="4" w:space="0"/>
              <w:bottom w:val="single" w:color="auto" w:sz="4" w:space="0"/>
              <w:right w:val="single" w:color="auto" w:sz="4" w:space="0"/>
            </w:tcBorders>
            <w:vAlign w:val="center"/>
          </w:tcPr>
          <w:p w14:paraId="7117865A">
            <w:pPr>
              <w:keepNext w:val="0"/>
              <w:keepLines w:val="0"/>
              <w:pageBreakBefore w:val="0"/>
              <w:kinsoku/>
              <w:wordWrap/>
              <w:overflowPunct/>
              <w:topLinePunct w:val="0"/>
              <w:bidi w:val="0"/>
              <w:snapToGrid/>
              <w:spacing w:line="308" w:lineRule="auto"/>
              <w:jc w:val="left"/>
              <w:rPr>
                <w:rFonts w:ascii="新宋体" w:hAnsi="新宋体" w:eastAsia="新宋体" w:cs="新宋体"/>
                <w:bCs/>
                <w:color w:val="auto"/>
                <w:kern w:val="2"/>
                <w:sz w:val="22"/>
                <w:szCs w:val="22"/>
                <w:highlight w:val="none"/>
                <w:lang w:val="en-US" w:eastAsia="zh-CN" w:bidi="ar-SA"/>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乐采云</w:t>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www.lecaiyun.com</w:t>
            </w:r>
            <w:r>
              <w:rPr>
                <w:rFonts w:hint="eastAsia" w:ascii="宋体" w:hAnsi="宋体" w:eastAsia="宋体" w:cs="宋体"/>
                <w:color w:val="auto"/>
                <w:sz w:val="22"/>
                <w:szCs w:val="22"/>
                <w:highlight w:val="none"/>
              </w:rPr>
              <w:t>）平台在线</w:t>
            </w:r>
            <w:r>
              <w:rPr>
                <w:rFonts w:hint="eastAsia" w:ascii="宋体" w:hAnsi="宋体" w:cs="宋体"/>
                <w:color w:val="auto"/>
                <w:sz w:val="22"/>
                <w:szCs w:val="22"/>
                <w:highlight w:val="none"/>
                <w:lang w:val="en-US" w:eastAsia="zh-CN"/>
              </w:rPr>
              <w:t>递交</w:t>
            </w:r>
          </w:p>
        </w:tc>
      </w:tr>
      <w:tr w14:paraId="744BACF9">
        <w:tblPrEx>
          <w:tblCellMar>
            <w:top w:w="0" w:type="dxa"/>
            <w:left w:w="108" w:type="dxa"/>
            <w:bottom w:w="0" w:type="dxa"/>
            <w:right w:w="108" w:type="dxa"/>
          </w:tblCellMar>
        </w:tblPrEx>
        <w:trPr>
          <w:trHeight w:val="660" w:hRule="atLeast"/>
        </w:trPr>
        <w:tc>
          <w:tcPr>
            <w:tcW w:w="658" w:type="dxa"/>
            <w:tcBorders>
              <w:top w:val="single" w:color="auto" w:sz="4" w:space="0"/>
              <w:left w:val="single" w:color="auto" w:sz="4" w:space="0"/>
              <w:bottom w:val="single" w:color="auto" w:sz="4" w:space="0"/>
              <w:right w:val="single" w:color="auto" w:sz="4" w:space="0"/>
            </w:tcBorders>
            <w:vAlign w:val="center"/>
          </w:tcPr>
          <w:p w14:paraId="5171F1A6">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25</w:t>
            </w:r>
          </w:p>
        </w:tc>
        <w:tc>
          <w:tcPr>
            <w:tcW w:w="1974" w:type="dxa"/>
            <w:tcBorders>
              <w:top w:val="single" w:color="auto" w:sz="4" w:space="0"/>
              <w:left w:val="single" w:color="auto" w:sz="4" w:space="0"/>
              <w:bottom w:val="single" w:color="auto" w:sz="4" w:space="0"/>
              <w:right w:val="single" w:color="auto" w:sz="4" w:space="0"/>
            </w:tcBorders>
            <w:vAlign w:val="center"/>
          </w:tcPr>
          <w:p w14:paraId="475CB87B">
            <w:pPr>
              <w:keepNext w:val="0"/>
              <w:keepLines w:val="0"/>
              <w:pageBreakBefore w:val="0"/>
              <w:kinsoku/>
              <w:wordWrap/>
              <w:overflowPunct/>
              <w:topLinePunct w:val="0"/>
              <w:autoSpaceDE w:val="0"/>
              <w:autoSpaceDN w:val="0"/>
              <w:bidi w:val="0"/>
              <w:adjustRightInd w:val="0"/>
              <w:snapToGrid/>
              <w:spacing w:line="308" w:lineRule="auto"/>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2C0EB073">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lang w:val="zh-CN"/>
              </w:rPr>
              <w:t>和评标地点</w:t>
            </w:r>
          </w:p>
        </w:tc>
        <w:tc>
          <w:tcPr>
            <w:tcW w:w="7222" w:type="dxa"/>
            <w:tcBorders>
              <w:top w:val="single" w:color="auto" w:sz="4" w:space="0"/>
              <w:left w:val="single" w:color="auto" w:sz="4" w:space="0"/>
              <w:bottom w:val="single" w:color="auto" w:sz="4" w:space="0"/>
              <w:right w:val="single" w:color="auto" w:sz="4" w:space="0"/>
            </w:tcBorders>
            <w:vAlign w:val="center"/>
          </w:tcPr>
          <w:p w14:paraId="0698F37E">
            <w:pPr>
              <w:keepNext w:val="0"/>
              <w:keepLines w:val="0"/>
              <w:pageBreakBefore w:val="0"/>
              <w:kinsoku/>
              <w:wordWrap/>
              <w:overflowPunct/>
              <w:topLinePunct w:val="0"/>
              <w:bidi w:val="0"/>
              <w:snapToGrid/>
              <w:spacing w:line="308" w:lineRule="auto"/>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宋体" w:hAnsi="宋体" w:cs="宋体"/>
                <w:color w:val="auto"/>
                <w:sz w:val="22"/>
                <w:szCs w:val="22"/>
                <w:highlight w:val="none"/>
                <w:lang w:val="en-US" w:eastAsia="zh-CN"/>
              </w:rPr>
              <w:t>2025年07月25日09：30</w:t>
            </w:r>
          </w:p>
          <w:p w14:paraId="2F5BA5D2">
            <w:pPr>
              <w:keepNext w:val="0"/>
              <w:keepLines w:val="0"/>
              <w:pageBreakBefore w:val="0"/>
              <w:kinsoku/>
              <w:wordWrap/>
              <w:overflowPunct/>
              <w:topLinePunct w:val="0"/>
              <w:bidi w:val="0"/>
              <w:snapToGrid/>
              <w:spacing w:line="308" w:lineRule="auto"/>
              <w:jc w:val="left"/>
              <w:rPr>
                <w:rFonts w:hint="eastAsia" w:ascii="宋体" w:hAnsi="宋体" w:cs="宋体"/>
                <w:color w:val="auto"/>
                <w:sz w:val="22"/>
                <w:szCs w:val="22"/>
                <w:highlight w:val="none"/>
                <w:lang w:val="en-US" w:eastAsia="zh-CN"/>
              </w:rPr>
            </w:pPr>
            <w:r>
              <w:rPr>
                <w:rFonts w:hint="eastAsia" w:ascii="新宋体" w:hAnsi="新宋体" w:eastAsia="新宋体" w:cs="新宋体"/>
                <w:color w:val="auto"/>
                <w:kern w:val="0"/>
                <w:sz w:val="22"/>
                <w:szCs w:val="22"/>
                <w:highlight w:val="none"/>
              </w:rPr>
              <w:t>开标</w:t>
            </w:r>
            <w:r>
              <w:rPr>
                <w:rFonts w:hint="eastAsia" w:ascii="新宋体" w:hAnsi="新宋体" w:eastAsia="新宋体" w:cs="新宋体"/>
                <w:color w:val="auto"/>
                <w:kern w:val="0"/>
                <w:sz w:val="22"/>
                <w:szCs w:val="22"/>
                <w:highlight w:val="none"/>
                <w:lang w:val="zh-CN"/>
              </w:rPr>
              <w:t>地点：</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乐采云</w:t>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www.lecaiyun.com</w:t>
            </w:r>
            <w:r>
              <w:rPr>
                <w:rFonts w:hint="eastAsia" w:ascii="宋体" w:hAnsi="宋体" w:eastAsia="宋体" w:cs="宋体"/>
                <w:color w:val="auto"/>
                <w:sz w:val="22"/>
                <w:szCs w:val="22"/>
                <w:highlight w:val="none"/>
              </w:rPr>
              <w:t>）平台在线</w:t>
            </w:r>
            <w:r>
              <w:rPr>
                <w:rFonts w:hint="eastAsia" w:ascii="宋体" w:hAnsi="宋体" w:cs="宋体"/>
                <w:color w:val="auto"/>
                <w:sz w:val="22"/>
                <w:szCs w:val="22"/>
                <w:highlight w:val="none"/>
                <w:lang w:val="en-US" w:eastAsia="zh-CN"/>
              </w:rPr>
              <w:t>开标</w:t>
            </w:r>
          </w:p>
          <w:p w14:paraId="13DCD643">
            <w:pPr>
              <w:keepNext w:val="0"/>
              <w:keepLines w:val="0"/>
              <w:pageBreakBefore w:val="0"/>
              <w:kinsoku/>
              <w:wordWrap/>
              <w:overflowPunct/>
              <w:topLinePunct w:val="0"/>
              <w:bidi w:val="0"/>
              <w:snapToGrid/>
              <w:spacing w:line="308" w:lineRule="auto"/>
              <w:jc w:val="left"/>
              <w:rPr>
                <w:rFonts w:hint="default"/>
                <w:color w:val="auto"/>
                <w:highlight w:val="none"/>
                <w:lang w:val="en-US" w:eastAsia="zh-CN"/>
              </w:rPr>
            </w:pPr>
            <w:r>
              <w:rPr>
                <w:rFonts w:hint="eastAsia" w:ascii="宋体" w:hAnsi="宋体" w:cs="宋体"/>
                <w:color w:val="auto"/>
                <w:sz w:val="22"/>
                <w:szCs w:val="22"/>
                <w:highlight w:val="none"/>
                <w:lang w:val="en-US" w:eastAsia="zh-CN"/>
              </w:rPr>
              <w:t>评标地点：龙湾区公共资源交易中心(温州市龙湾区永中街道府后路77号行政服务中心主楼四楼)</w:t>
            </w:r>
          </w:p>
        </w:tc>
      </w:tr>
      <w:tr w14:paraId="4F77D6FF">
        <w:tblPrEx>
          <w:tblCellMar>
            <w:top w:w="0" w:type="dxa"/>
            <w:left w:w="108" w:type="dxa"/>
            <w:bottom w:w="0" w:type="dxa"/>
            <w:right w:w="108" w:type="dxa"/>
          </w:tblCellMar>
        </w:tblPrEx>
        <w:trPr>
          <w:trHeight w:val="660" w:hRule="atLeast"/>
        </w:trPr>
        <w:tc>
          <w:tcPr>
            <w:tcW w:w="658" w:type="dxa"/>
            <w:tcBorders>
              <w:top w:val="single" w:color="auto" w:sz="4" w:space="0"/>
              <w:left w:val="single" w:color="auto" w:sz="4" w:space="0"/>
              <w:bottom w:val="single" w:color="auto" w:sz="4" w:space="0"/>
              <w:right w:val="single" w:color="auto" w:sz="4" w:space="0"/>
            </w:tcBorders>
            <w:vAlign w:val="center"/>
          </w:tcPr>
          <w:p w14:paraId="6DB1FAD1">
            <w:pPr>
              <w:keepNext w:val="0"/>
              <w:keepLines w:val="0"/>
              <w:pageBreakBefore w:val="0"/>
              <w:kinsoku/>
              <w:wordWrap/>
              <w:overflowPunct/>
              <w:topLinePunct w:val="0"/>
              <w:bidi w:val="0"/>
              <w:snapToGrid/>
              <w:spacing w:line="308" w:lineRule="auto"/>
              <w:jc w:val="center"/>
              <w:rPr>
                <w:rFonts w:ascii="宋体" w:hAnsi="宋体" w:eastAsia="宋体" w:cs="楷体"/>
                <w:color w:val="auto"/>
                <w:kern w:val="0"/>
                <w:sz w:val="22"/>
                <w:szCs w:val="22"/>
                <w:highlight w:val="none"/>
                <w:lang w:val="en-US" w:eastAsia="zh-CN" w:bidi="ar-SA"/>
              </w:rPr>
            </w:pPr>
            <w:r>
              <w:rPr>
                <w:rFonts w:hint="eastAsia" w:ascii="宋体" w:hAnsi="宋体" w:cs="楷体"/>
                <w:color w:val="auto"/>
                <w:kern w:val="0"/>
                <w:sz w:val="22"/>
                <w:szCs w:val="22"/>
                <w:highlight w:val="none"/>
              </w:rPr>
              <w:t>26</w:t>
            </w:r>
          </w:p>
        </w:tc>
        <w:tc>
          <w:tcPr>
            <w:tcW w:w="1974" w:type="dxa"/>
            <w:tcBorders>
              <w:top w:val="single" w:color="auto" w:sz="4" w:space="0"/>
              <w:left w:val="single" w:color="auto" w:sz="4" w:space="0"/>
              <w:bottom w:val="single" w:color="auto" w:sz="4" w:space="0"/>
              <w:right w:val="single" w:color="auto" w:sz="4" w:space="0"/>
            </w:tcBorders>
            <w:vAlign w:val="center"/>
          </w:tcPr>
          <w:p w14:paraId="18C20503">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253D1FFC">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rPr>
              <w:t>的组建</w:t>
            </w:r>
          </w:p>
        </w:tc>
        <w:tc>
          <w:tcPr>
            <w:tcW w:w="7222" w:type="dxa"/>
            <w:tcBorders>
              <w:top w:val="single" w:color="auto" w:sz="4" w:space="0"/>
              <w:left w:val="single" w:color="auto" w:sz="4" w:space="0"/>
              <w:bottom w:val="single" w:color="auto" w:sz="4" w:space="0"/>
              <w:right w:val="single" w:color="auto" w:sz="4" w:space="0"/>
            </w:tcBorders>
            <w:vAlign w:val="center"/>
          </w:tcPr>
          <w:p w14:paraId="19FEE0C1">
            <w:pPr>
              <w:keepNext w:val="0"/>
              <w:keepLines w:val="0"/>
              <w:pageBreakBefore w:val="0"/>
              <w:kinsoku/>
              <w:wordWrap/>
              <w:overflowPunct/>
              <w:topLinePunct w:val="0"/>
              <w:bidi w:val="0"/>
              <w:snapToGrid/>
              <w:spacing w:line="308" w:lineRule="auto"/>
              <w:jc w:val="lef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采购人</w:t>
            </w:r>
            <w:r>
              <w:rPr>
                <w:rFonts w:hint="eastAsia" w:ascii="新宋体" w:hAnsi="新宋体" w:eastAsia="新宋体" w:cs="新宋体"/>
                <w:bCs/>
                <w:color w:val="auto"/>
                <w:sz w:val="22"/>
                <w:szCs w:val="22"/>
                <w:highlight w:val="none"/>
                <w:lang w:val="en-US" w:eastAsia="zh-CN"/>
              </w:rPr>
              <w:t>按</w:t>
            </w:r>
            <w:r>
              <w:rPr>
                <w:rFonts w:hint="eastAsia" w:ascii="新宋体" w:hAnsi="新宋体" w:eastAsia="新宋体" w:cs="新宋体"/>
                <w:bCs/>
                <w:color w:val="auto"/>
                <w:sz w:val="22"/>
                <w:szCs w:val="22"/>
                <w:highlight w:val="none"/>
              </w:rPr>
              <w:t>照</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温州湾新区、龙湾区区属国有企业采购管理办法</w:t>
            </w:r>
            <w:r>
              <w:rPr>
                <w:rFonts w:hint="eastAsia" w:ascii="宋体" w:hAnsi="宋体" w:eastAsia="宋体" w:cs="宋体"/>
                <w:color w:val="auto"/>
                <w:sz w:val="22"/>
                <w:szCs w:val="22"/>
                <w:highlight w:val="none"/>
              </w:rPr>
              <w:t>》</w:t>
            </w:r>
            <w:r>
              <w:rPr>
                <w:rFonts w:hint="eastAsia" w:ascii="新宋体" w:hAnsi="新宋体" w:eastAsia="新宋体" w:cs="新宋体"/>
                <w:bCs/>
                <w:color w:val="auto"/>
                <w:sz w:val="22"/>
                <w:szCs w:val="22"/>
                <w:highlight w:val="none"/>
              </w:rPr>
              <w:t>等有关法律、法规的规定组建评标委员会，评标委员会成员由采购人代表和有关技术、经济等方面的专家组成，成员人数为5人（含）以上单数，除采购人代表外的专家将在评标专家库中随机抽取产生。</w:t>
            </w:r>
          </w:p>
        </w:tc>
      </w:tr>
      <w:tr w14:paraId="7B8B983D">
        <w:tblPrEx>
          <w:tblCellMar>
            <w:top w:w="0" w:type="dxa"/>
            <w:left w:w="108" w:type="dxa"/>
            <w:bottom w:w="0" w:type="dxa"/>
            <w:right w:w="108" w:type="dxa"/>
          </w:tblCellMar>
        </w:tblPrEx>
        <w:trPr>
          <w:trHeight w:val="610" w:hRule="atLeast"/>
        </w:trPr>
        <w:tc>
          <w:tcPr>
            <w:tcW w:w="658" w:type="dxa"/>
            <w:tcBorders>
              <w:top w:val="single" w:color="auto" w:sz="4" w:space="0"/>
              <w:left w:val="single" w:color="auto" w:sz="4" w:space="0"/>
              <w:bottom w:val="single" w:color="auto" w:sz="4" w:space="0"/>
              <w:right w:val="single" w:color="auto" w:sz="4" w:space="0"/>
            </w:tcBorders>
            <w:vAlign w:val="center"/>
          </w:tcPr>
          <w:p w14:paraId="12466833">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27</w:t>
            </w:r>
          </w:p>
        </w:tc>
        <w:tc>
          <w:tcPr>
            <w:tcW w:w="1974" w:type="dxa"/>
            <w:tcBorders>
              <w:top w:val="single" w:color="auto" w:sz="4" w:space="0"/>
              <w:left w:val="single" w:color="auto" w:sz="4" w:space="0"/>
              <w:bottom w:val="single" w:color="auto" w:sz="4" w:space="0"/>
              <w:right w:val="single" w:color="auto" w:sz="4" w:space="0"/>
            </w:tcBorders>
            <w:vAlign w:val="center"/>
          </w:tcPr>
          <w:p w14:paraId="2D836301">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kern w:val="0"/>
                <w:sz w:val="22"/>
                <w:szCs w:val="22"/>
                <w:highlight w:val="none"/>
              </w:rPr>
              <w:t>履约保证金</w:t>
            </w:r>
          </w:p>
        </w:tc>
        <w:tc>
          <w:tcPr>
            <w:tcW w:w="7222" w:type="dxa"/>
            <w:tcBorders>
              <w:top w:val="single" w:color="auto" w:sz="4" w:space="0"/>
              <w:left w:val="single" w:color="auto" w:sz="4" w:space="0"/>
              <w:bottom w:val="single" w:color="auto" w:sz="4" w:space="0"/>
              <w:right w:val="single" w:color="auto" w:sz="4" w:space="0"/>
            </w:tcBorders>
            <w:vAlign w:val="center"/>
          </w:tcPr>
          <w:p w14:paraId="44C2E989">
            <w:pPr>
              <w:keepNext w:val="0"/>
              <w:keepLines w:val="0"/>
              <w:pageBreakBefore w:val="0"/>
              <w:kinsoku/>
              <w:wordWrap/>
              <w:overflowPunct/>
              <w:topLinePunct w:val="0"/>
              <w:bidi w:val="0"/>
              <w:snapToGrid/>
              <w:spacing w:line="308" w:lineRule="auto"/>
              <w:rPr>
                <w:rFonts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lang w:eastAsia="zh-CN"/>
              </w:rPr>
              <w:t>在合同签订前，</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lang w:eastAsia="zh-CN"/>
              </w:rPr>
              <w:t>须以银行转账方式向</w:t>
            </w:r>
            <w:r>
              <w:rPr>
                <w:rFonts w:hint="eastAsia" w:ascii="新宋体" w:hAnsi="新宋体" w:eastAsia="新宋体" w:cs="新宋体"/>
                <w:color w:val="auto"/>
                <w:sz w:val="22"/>
                <w:szCs w:val="22"/>
                <w:highlight w:val="none"/>
                <w:lang w:val="en-US" w:eastAsia="zh-CN"/>
              </w:rPr>
              <w:t>采购人年</w:t>
            </w:r>
            <w:r>
              <w:rPr>
                <w:rFonts w:hint="eastAsia" w:ascii="新宋体" w:hAnsi="新宋体" w:eastAsia="新宋体" w:cs="新宋体"/>
                <w:color w:val="auto"/>
                <w:sz w:val="22"/>
                <w:szCs w:val="22"/>
                <w:highlight w:val="none"/>
                <w:lang w:eastAsia="zh-CN"/>
              </w:rPr>
              <w:t>合同金额</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的履约担保。合同履行终止且所有义务已履行完毕后，</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lang w:eastAsia="zh-CN"/>
              </w:rPr>
              <w:t>按照</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lang w:eastAsia="zh-CN"/>
              </w:rPr>
              <w:t>要求提供相关结算材料，经</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lang w:eastAsia="zh-CN"/>
              </w:rPr>
              <w:t>审核后15个工作日内无息退还。</w:t>
            </w:r>
          </w:p>
        </w:tc>
      </w:tr>
      <w:tr w14:paraId="5FCEE8E8">
        <w:tblPrEx>
          <w:tblCellMar>
            <w:top w:w="0" w:type="dxa"/>
            <w:left w:w="108" w:type="dxa"/>
            <w:bottom w:w="0" w:type="dxa"/>
            <w:right w:w="108" w:type="dxa"/>
          </w:tblCellMar>
        </w:tblPrEx>
        <w:trPr>
          <w:trHeight w:val="90" w:hRule="atLeast"/>
        </w:trPr>
        <w:tc>
          <w:tcPr>
            <w:tcW w:w="658" w:type="dxa"/>
            <w:tcBorders>
              <w:top w:val="single" w:color="auto" w:sz="4" w:space="0"/>
              <w:left w:val="single" w:color="auto" w:sz="4" w:space="0"/>
              <w:bottom w:val="single" w:color="auto" w:sz="4" w:space="0"/>
              <w:right w:val="single" w:color="auto" w:sz="4" w:space="0"/>
            </w:tcBorders>
            <w:vAlign w:val="center"/>
          </w:tcPr>
          <w:p w14:paraId="326F40F8">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28</w:t>
            </w:r>
          </w:p>
        </w:tc>
        <w:tc>
          <w:tcPr>
            <w:tcW w:w="1974" w:type="dxa"/>
            <w:tcBorders>
              <w:top w:val="single" w:color="auto" w:sz="4" w:space="0"/>
              <w:left w:val="single" w:color="auto" w:sz="4" w:space="0"/>
              <w:bottom w:val="single" w:color="auto" w:sz="4" w:space="0"/>
              <w:right w:val="single" w:color="auto" w:sz="4" w:space="0"/>
            </w:tcBorders>
            <w:vAlign w:val="center"/>
          </w:tcPr>
          <w:p w14:paraId="7C2FFEE9">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信用</w:t>
            </w:r>
          </w:p>
          <w:p w14:paraId="268F6224">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sz w:val="22"/>
                <w:szCs w:val="22"/>
                <w:highlight w:val="none"/>
              </w:rPr>
              <w:t>查询</w:t>
            </w:r>
          </w:p>
        </w:tc>
        <w:tc>
          <w:tcPr>
            <w:tcW w:w="7222" w:type="dxa"/>
            <w:tcBorders>
              <w:top w:val="single" w:color="auto" w:sz="4" w:space="0"/>
              <w:left w:val="single" w:color="auto" w:sz="4" w:space="0"/>
              <w:bottom w:val="single" w:color="auto" w:sz="4" w:space="0"/>
              <w:right w:val="single" w:color="auto" w:sz="4" w:space="0"/>
            </w:tcBorders>
            <w:vAlign w:val="center"/>
          </w:tcPr>
          <w:p w14:paraId="322B34C7">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color w:val="auto"/>
                <w:sz w:val="22"/>
                <w:szCs w:val="22"/>
                <w:highlight w:val="none"/>
              </w:rPr>
              <w:fldChar w:fldCharType="begin"/>
            </w:r>
            <w:r>
              <w:rPr>
                <w:color w:val="auto"/>
                <w:sz w:val="22"/>
                <w:szCs w:val="22"/>
                <w:highlight w:val="none"/>
              </w:rPr>
              <w:instrText xml:space="preserve"> HYPERLINK "http://www.creditchina.gov.cn" </w:instrText>
            </w:r>
            <w:r>
              <w:rPr>
                <w:color w:val="auto"/>
                <w:sz w:val="22"/>
                <w:szCs w:val="22"/>
                <w:highlight w:val="none"/>
              </w:rPr>
              <w:fldChar w:fldCharType="separate"/>
            </w:r>
            <w:r>
              <w:rPr>
                <w:rFonts w:hint="eastAsia" w:ascii="新宋体" w:hAnsi="新宋体" w:eastAsia="新宋体" w:cs="新宋体"/>
                <w:color w:val="auto"/>
                <w:sz w:val="22"/>
                <w:szCs w:val="22"/>
                <w:highlight w:val="none"/>
              </w:rPr>
              <w:t>www.creditchina.gov.cn</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14:paraId="2B1FB6A2">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（2）供应商信用信息查询截止时点：本项目</w:t>
            </w:r>
            <w:r>
              <w:rPr>
                <w:rFonts w:hint="eastAsia" w:ascii="新宋体" w:hAnsi="新宋体" w:eastAsia="新宋体" w:cs="新宋体"/>
                <w:color w:val="auto"/>
                <w:sz w:val="22"/>
                <w:szCs w:val="22"/>
                <w:highlight w:val="none"/>
                <w:lang w:val="en-US" w:eastAsia="zh-CN"/>
              </w:rPr>
              <w:t>公告发布至</w:t>
            </w:r>
            <w:r>
              <w:rPr>
                <w:rFonts w:hint="eastAsia" w:ascii="新宋体" w:hAnsi="新宋体" w:eastAsia="新宋体" w:cs="新宋体"/>
                <w:color w:val="auto"/>
                <w:sz w:val="22"/>
                <w:szCs w:val="22"/>
                <w:highlight w:val="none"/>
              </w:rPr>
              <w:t>投标文件递交截止时间。</w:t>
            </w:r>
          </w:p>
          <w:p w14:paraId="5618F26E">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14:paraId="6FF5D1AF">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14:paraId="52FCFD9D">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①在“信用中国”具有负面记录：列入失信被执行人、重大税收违法案件当事人名单、政府采购严重违法失信行为名单；</w:t>
            </w:r>
          </w:p>
          <w:p w14:paraId="7A1312A3">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②被“中国政府采购网”(www.ccgp.gov.cn)列入政府采购严重违法失信行为记录名单。</w:t>
            </w:r>
          </w:p>
          <w:p w14:paraId="6D618F4F">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（5）具有以上（4）所述信息记录的供应商，其投标做无效投标处理。</w:t>
            </w:r>
          </w:p>
          <w:p w14:paraId="4E943097">
            <w:pPr>
              <w:keepNext w:val="0"/>
              <w:keepLines w:val="0"/>
              <w:pageBreakBefore w:val="0"/>
              <w:kinsoku/>
              <w:wordWrap/>
              <w:overflowPunct/>
              <w:topLinePunct w:val="0"/>
              <w:bidi w:val="0"/>
              <w:snapToGrid/>
              <w:spacing w:line="308"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（6）▲</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343DE7F5">
            <w:pPr>
              <w:keepNext w:val="0"/>
              <w:keepLines w:val="0"/>
              <w:pageBreakBefore w:val="0"/>
              <w:kinsoku/>
              <w:wordWrap/>
              <w:overflowPunct/>
              <w:topLinePunct w:val="0"/>
              <w:bidi w:val="0"/>
              <w:snapToGrid/>
              <w:spacing w:line="308"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560CE936">
            <w:pPr>
              <w:keepNext w:val="0"/>
              <w:keepLines w:val="0"/>
              <w:pageBreakBefore w:val="0"/>
              <w:kinsoku/>
              <w:wordWrap/>
              <w:overflowPunct/>
              <w:topLinePunct w:val="0"/>
              <w:bidi w:val="0"/>
              <w:snapToGrid/>
              <w:spacing w:line="308" w:lineRule="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p w14:paraId="32CA7C3C">
            <w:pPr>
              <w:keepNext w:val="0"/>
              <w:keepLines w:val="0"/>
              <w:pageBreakBefore w:val="0"/>
              <w:kinsoku/>
              <w:wordWrap/>
              <w:overflowPunct/>
              <w:topLinePunct w:val="0"/>
              <w:bidi w:val="0"/>
              <w:snapToGrid/>
              <w:spacing w:line="308" w:lineRule="auto"/>
              <w:rPr>
                <w:rFonts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bCs/>
                <w:color w:val="auto"/>
                <w:sz w:val="22"/>
                <w:szCs w:val="22"/>
                <w:highlight w:val="none"/>
              </w:rPr>
              <w:t>（7）具体结果以开标当日采购人或采购代理机构对</w:t>
            </w:r>
            <w:r>
              <w:rPr>
                <w:rFonts w:hint="eastAsia" w:ascii="新宋体" w:hAnsi="新宋体" w:eastAsia="新宋体" w:cs="楷体"/>
                <w:color w:val="auto"/>
                <w:kern w:val="0"/>
                <w:sz w:val="22"/>
                <w:szCs w:val="22"/>
                <w:highlight w:val="none"/>
                <w:lang w:eastAsia="zh-CN"/>
              </w:rPr>
              <w:t>供应商</w:t>
            </w:r>
            <w:r>
              <w:rPr>
                <w:rFonts w:hint="eastAsia" w:ascii="新宋体" w:hAnsi="新宋体" w:eastAsia="新宋体" w:cs="楷体"/>
                <w:color w:val="auto"/>
                <w:kern w:val="0"/>
                <w:sz w:val="22"/>
                <w:szCs w:val="22"/>
                <w:highlight w:val="none"/>
              </w:rPr>
              <w:t>信用查询网页的</w:t>
            </w:r>
            <w:r>
              <w:rPr>
                <w:rFonts w:hint="eastAsia" w:ascii="新宋体" w:hAnsi="新宋体" w:eastAsia="新宋体" w:cs="新宋体"/>
                <w:bCs/>
                <w:color w:val="auto"/>
                <w:sz w:val="22"/>
                <w:szCs w:val="22"/>
                <w:highlight w:val="none"/>
              </w:rPr>
              <w:t>查询结果为准。</w:t>
            </w:r>
          </w:p>
        </w:tc>
      </w:tr>
      <w:tr w14:paraId="65935413">
        <w:tblPrEx>
          <w:tblCellMar>
            <w:top w:w="0" w:type="dxa"/>
            <w:left w:w="108" w:type="dxa"/>
            <w:bottom w:w="0" w:type="dxa"/>
            <w:right w:w="108" w:type="dxa"/>
          </w:tblCellMar>
        </w:tblPrEx>
        <w:trPr>
          <w:trHeight w:val="660" w:hRule="atLeast"/>
        </w:trPr>
        <w:tc>
          <w:tcPr>
            <w:tcW w:w="658" w:type="dxa"/>
            <w:tcBorders>
              <w:top w:val="single" w:color="auto" w:sz="4" w:space="0"/>
              <w:left w:val="single" w:color="auto" w:sz="4" w:space="0"/>
              <w:bottom w:val="single" w:color="auto" w:sz="4" w:space="0"/>
              <w:right w:val="single" w:color="auto" w:sz="4" w:space="0"/>
            </w:tcBorders>
            <w:vAlign w:val="center"/>
          </w:tcPr>
          <w:p w14:paraId="491570B2">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29</w:t>
            </w:r>
          </w:p>
        </w:tc>
        <w:tc>
          <w:tcPr>
            <w:tcW w:w="1974" w:type="dxa"/>
            <w:tcBorders>
              <w:top w:val="single" w:color="auto" w:sz="4" w:space="0"/>
              <w:left w:val="single" w:color="auto" w:sz="4" w:space="0"/>
              <w:bottom w:val="single" w:color="auto" w:sz="4" w:space="0"/>
              <w:right w:val="single" w:color="auto" w:sz="4" w:space="0"/>
            </w:tcBorders>
            <w:vAlign w:val="center"/>
          </w:tcPr>
          <w:p w14:paraId="3F9E9E33">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合同备案</w:t>
            </w:r>
          </w:p>
        </w:tc>
        <w:tc>
          <w:tcPr>
            <w:tcW w:w="7222" w:type="dxa"/>
            <w:tcBorders>
              <w:top w:val="single" w:color="auto" w:sz="4" w:space="0"/>
              <w:left w:val="single" w:color="auto" w:sz="4" w:space="0"/>
              <w:bottom w:val="single" w:color="auto" w:sz="4" w:space="0"/>
              <w:right w:val="single" w:color="auto" w:sz="4" w:space="0"/>
            </w:tcBorders>
            <w:vAlign w:val="center"/>
          </w:tcPr>
          <w:p w14:paraId="0A796622">
            <w:pPr>
              <w:keepNext w:val="0"/>
              <w:keepLines w:val="0"/>
              <w:pageBreakBefore w:val="0"/>
              <w:kinsoku/>
              <w:wordWrap/>
              <w:overflowPunct/>
              <w:topLinePunct w:val="0"/>
              <w:bidi w:val="0"/>
              <w:snapToGrid/>
              <w:spacing w:line="308" w:lineRule="auto"/>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须在中标通知书发出之日起30日历天内与采购人签订合同。</w:t>
            </w:r>
          </w:p>
          <w:p w14:paraId="4716DFCD">
            <w:pPr>
              <w:keepNext w:val="0"/>
              <w:keepLines w:val="0"/>
              <w:pageBreakBefore w:val="0"/>
              <w:kinsoku/>
              <w:wordWrap/>
              <w:overflowPunct/>
              <w:topLinePunct w:val="0"/>
              <w:bidi w:val="0"/>
              <w:snapToGrid/>
              <w:spacing w:line="308" w:lineRule="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（2）中标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与采购人签订合同后，2日历天内将合同扫描件电子版发给采购代理机构邮箱：</w:t>
            </w:r>
            <w:r>
              <w:rPr>
                <w:rFonts w:hint="eastAsia" w:ascii="新宋体" w:hAnsi="新宋体" w:eastAsia="新宋体" w:cs="新宋体"/>
                <w:b/>
                <w:bCs/>
                <w:color w:val="auto"/>
                <w:sz w:val="22"/>
                <w:szCs w:val="22"/>
                <w:highlight w:val="none"/>
              </w:rPr>
              <w:t>zhengzhanjianshe@163.com</w:t>
            </w:r>
            <w:r>
              <w:rPr>
                <w:rFonts w:hint="eastAsia" w:ascii="新宋体" w:hAnsi="新宋体" w:eastAsia="新宋体" w:cs="新宋体"/>
                <w:color w:val="auto"/>
                <w:sz w:val="22"/>
                <w:szCs w:val="22"/>
                <w:highlight w:val="none"/>
              </w:rPr>
              <w:t>。</w:t>
            </w:r>
            <w:r>
              <w:rPr>
                <w:rFonts w:hint="eastAsia" w:ascii="新宋体" w:hAnsi="新宋体" w:eastAsia="新宋体" w:cs="新宋体"/>
                <w:b/>
                <w:color w:val="auto"/>
                <w:sz w:val="22"/>
                <w:szCs w:val="22"/>
                <w:highlight w:val="none"/>
                <w:u w:val="single"/>
                <w:lang w:val="en-US" w:eastAsia="zh-CN"/>
              </w:rPr>
              <w:t xml:space="preserve"> </w:t>
            </w:r>
          </w:p>
        </w:tc>
      </w:tr>
      <w:tr w14:paraId="3F22306D">
        <w:tblPrEx>
          <w:tblCellMar>
            <w:top w:w="0" w:type="dxa"/>
            <w:left w:w="108" w:type="dxa"/>
            <w:bottom w:w="0" w:type="dxa"/>
            <w:right w:w="108" w:type="dxa"/>
          </w:tblCellMar>
        </w:tblPrEx>
        <w:trPr>
          <w:trHeight w:val="660" w:hRule="atLeast"/>
        </w:trPr>
        <w:tc>
          <w:tcPr>
            <w:tcW w:w="658" w:type="dxa"/>
            <w:tcBorders>
              <w:top w:val="single" w:color="auto" w:sz="4" w:space="0"/>
              <w:left w:val="single" w:color="auto" w:sz="4" w:space="0"/>
              <w:bottom w:val="single" w:color="auto" w:sz="4" w:space="0"/>
              <w:right w:val="single" w:color="auto" w:sz="4" w:space="0"/>
            </w:tcBorders>
            <w:vAlign w:val="center"/>
          </w:tcPr>
          <w:p w14:paraId="179CAA65">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30</w:t>
            </w:r>
          </w:p>
        </w:tc>
        <w:tc>
          <w:tcPr>
            <w:tcW w:w="1974" w:type="dxa"/>
            <w:tcBorders>
              <w:top w:val="single" w:color="auto" w:sz="4" w:space="0"/>
              <w:left w:val="single" w:color="auto" w:sz="4" w:space="0"/>
              <w:bottom w:val="single" w:color="auto" w:sz="4" w:space="0"/>
              <w:right w:val="single" w:color="auto" w:sz="4" w:space="0"/>
            </w:tcBorders>
            <w:vAlign w:val="center"/>
          </w:tcPr>
          <w:p w14:paraId="0EBED0A2">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合同履约管理</w:t>
            </w:r>
          </w:p>
        </w:tc>
        <w:tc>
          <w:tcPr>
            <w:tcW w:w="7222" w:type="dxa"/>
            <w:tcBorders>
              <w:top w:val="single" w:color="auto" w:sz="4" w:space="0"/>
              <w:left w:val="single" w:color="auto" w:sz="4" w:space="0"/>
              <w:bottom w:val="single" w:color="auto" w:sz="4" w:space="0"/>
              <w:right w:val="single" w:color="auto" w:sz="4" w:space="0"/>
            </w:tcBorders>
            <w:vAlign w:val="center"/>
          </w:tcPr>
          <w:p w14:paraId="47393395">
            <w:pPr>
              <w:keepNext w:val="0"/>
              <w:keepLines w:val="0"/>
              <w:pageBreakBefore w:val="0"/>
              <w:kinsoku/>
              <w:wordWrap/>
              <w:overflowPunct/>
              <w:topLinePunct w:val="0"/>
              <w:bidi w:val="0"/>
              <w:snapToGrid/>
              <w:spacing w:line="308" w:lineRule="auto"/>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4225D92D">
        <w:tblPrEx>
          <w:tblCellMar>
            <w:top w:w="0" w:type="dxa"/>
            <w:left w:w="108" w:type="dxa"/>
            <w:bottom w:w="0" w:type="dxa"/>
            <w:right w:w="108" w:type="dxa"/>
          </w:tblCellMar>
        </w:tblPrEx>
        <w:trPr>
          <w:trHeight w:val="660" w:hRule="atLeast"/>
        </w:trPr>
        <w:tc>
          <w:tcPr>
            <w:tcW w:w="658" w:type="dxa"/>
            <w:tcBorders>
              <w:top w:val="single" w:color="auto" w:sz="4" w:space="0"/>
              <w:left w:val="single" w:color="auto" w:sz="4" w:space="0"/>
              <w:bottom w:val="single" w:color="auto" w:sz="4" w:space="0"/>
              <w:right w:val="single" w:color="auto" w:sz="4" w:space="0"/>
            </w:tcBorders>
            <w:vAlign w:val="center"/>
          </w:tcPr>
          <w:p w14:paraId="7E42F208">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31</w:t>
            </w:r>
          </w:p>
        </w:tc>
        <w:tc>
          <w:tcPr>
            <w:tcW w:w="1974" w:type="dxa"/>
            <w:tcBorders>
              <w:top w:val="single" w:color="auto" w:sz="4" w:space="0"/>
              <w:left w:val="single" w:color="auto" w:sz="4" w:space="0"/>
              <w:bottom w:val="single" w:color="auto" w:sz="4" w:space="0"/>
              <w:right w:val="single" w:color="auto" w:sz="4" w:space="0"/>
            </w:tcBorders>
            <w:vAlign w:val="center"/>
          </w:tcPr>
          <w:p w14:paraId="778B89EE">
            <w:pPr>
              <w:keepNext w:val="0"/>
              <w:keepLines w:val="0"/>
              <w:pageBreakBefore w:val="0"/>
              <w:kinsoku/>
              <w:wordWrap/>
              <w:overflowPunct/>
              <w:topLinePunct w:val="0"/>
              <w:bidi w:val="0"/>
              <w:snapToGrid/>
              <w:spacing w:line="308" w:lineRule="auto"/>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解释权</w:t>
            </w:r>
          </w:p>
        </w:tc>
        <w:tc>
          <w:tcPr>
            <w:tcW w:w="7222" w:type="dxa"/>
            <w:tcBorders>
              <w:top w:val="single" w:color="auto" w:sz="4" w:space="0"/>
              <w:left w:val="single" w:color="auto" w:sz="4" w:space="0"/>
              <w:bottom w:val="single" w:color="auto" w:sz="4" w:space="0"/>
              <w:right w:val="single" w:color="auto" w:sz="4" w:space="0"/>
            </w:tcBorders>
            <w:vAlign w:val="center"/>
          </w:tcPr>
          <w:p w14:paraId="710CF44D">
            <w:pPr>
              <w:keepNext w:val="0"/>
              <w:keepLines w:val="0"/>
              <w:pageBreakBefore w:val="0"/>
              <w:kinsoku/>
              <w:wordWrap/>
              <w:overflowPunct/>
              <w:topLinePunct w:val="0"/>
              <w:bidi w:val="0"/>
              <w:snapToGrid/>
              <w:spacing w:line="308" w:lineRule="auto"/>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376AA07A">
        <w:tblPrEx>
          <w:tblCellMar>
            <w:top w:w="0" w:type="dxa"/>
            <w:left w:w="108" w:type="dxa"/>
            <w:bottom w:w="0" w:type="dxa"/>
            <w:right w:w="108" w:type="dxa"/>
          </w:tblCellMar>
        </w:tblPrEx>
        <w:trPr>
          <w:trHeight w:val="660" w:hRule="atLeast"/>
        </w:trPr>
        <w:tc>
          <w:tcPr>
            <w:tcW w:w="658" w:type="dxa"/>
            <w:tcBorders>
              <w:top w:val="single" w:color="auto" w:sz="4" w:space="0"/>
              <w:left w:val="single" w:color="auto" w:sz="4" w:space="0"/>
              <w:bottom w:val="single" w:color="auto" w:sz="4" w:space="0"/>
              <w:right w:val="single" w:color="auto" w:sz="4" w:space="0"/>
            </w:tcBorders>
            <w:vAlign w:val="center"/>
          </w:tcPr>
          <w:p w14:paraId="5F0191D7">
            <w:pPr>
              <w:keepNext w:val="0"/>
              <w:keepLines w:val="0"/>
              <w:pageBreakBefore w:val="0"/>
              <w:kinsoku/>
              <w:wordWrap/>
              <w:overflowPunct/>
              <w:topLinePunct w:val="0"/>
              <w:bidi w:val="0"/>
              <w:snapToGrid/>
              <w:spacing w:line="308" w:lineRule="auto"/>
              <w:jc w:val="center"/>
              <w:rPr>
                <w:rFonts w:hint="default" w:ascii="宋体" w:hAnsi="宋体" w:eastAsia="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32</w:t>
            </w:r>
          </w:p>
        </w:tc>
        <w:tc>
          <w:tcPr>
            <w:tcW w:w="1974" w:type="dxa"/>
            <w:tcBorders>
              <w:top w:val="single" w:color="auto" w:sz="4" w:space="0"/>
              <w:left w:val="single" w:color="auto" w:sz="4" w:space="0"/>
              <w:bottom w:val="single" w:color="auto" w:sz="4" w:space="0"/>
              <w:right w:val="single" w:color="auto" w:sz="4" w:space="0"/>
            </w:tcBorders>
            <w:vAlign w:val="center"/>
          </w:tcPr>
          <w:p w14:paraId="4CACB466">
            <w:pPr>
              <w:keepNext w:val="0"/>
              <w:keepLines w:val="0"/>
              <w:pageBreakBefore w:val="0"/>
              <w:kinsoku/>
              <w:wordWrap/>
              <w:overflowPunct/>
              <w:topLinePunct w:val="0"/>
              <w:bidi w:val="0"/>
              <w:snapToGrid/>
              <w:spacing w:line="308" w:lineRule="auto"/>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采购代理服务费</w:t>
            </w:r>
          </w:p>
        </w:tc>
        <w:tc>
          <w:tcPr>
            <w:tcW w:w="7222" w:type="dxa"/>
            <w:tcBorders>
              <w:top w:val="single" w:color="auto" w:sz="4" w:space="0"/>
              <w:left w:val="single" w:color="auto" w:sz="4" w:space="0"/>
              <w:bottom w:val="single" w:color="auto" w:sz="4" w:space="0"/>
              <w:right w:val="single" w:color="auto" w:sz="4" w:space="0"/>
            </w:tcBorders>
            <w:vAlign w:val="center"/>
          </w:tcPr>
          <w:p w14:paraId="5AFDDE2D">
            <w:pPr>
              <w:keepNext w:val="0"/>
              <w:keepLines w:val="0"/>
              <w:pageBreakBefore w:val="0"/>
              <w:tabs>
                <w:tab w:val="left" w:pos="540"/>
              </w:tabs>
              <w:kinsoku/>
              <w:wordWrap/>
              <w:overflowPunct w:val="0"/>
              <w:topLinePunct w:val="0"/>
              <w:bidi w:val="0"/>
              <w:snapToGrid/>
              <w:spacing w:line="308" w:lineRule="auto"/>
              <w:rPr>
                <w:rFonts w:ascii="Times New Roman" w:hAnsi="Times New Roman" w:eastAsia="宋体" w:cs="Times New Roman"/>
                <w:color w:val="auto"/>
                <w:kern w:val="2"/>
                <w:sz w:val="22"/>
                <w:szCs w:val="22"/>
                <w:highlight w:val="none"/>
                <w:lang w:val="en-US" w:eastAsia="zh-CN" w:bidi="ar-SA"/>
              </w:rPr>
            </w:pPr>
            <w:r>
              <w:rPr>
                <w:rFonts w:hint="eastAsia" w:ascii="新宋体" w:hAnsi="新宋体" w:eastAsia="新宋体"/>
                <w:color w:val="auto"/>
                <w:sz w:val="22"/>
                <w:szCs w:val="22"/>
                <w:highlight w:val="none"/>
              </w:rPr>
              <w:t>本项目招标代理服务费按</w:t>
            </w:r>
            <w:r>
              <w:rPr>
                <w:rFonts w:hint="eastAsia" w:ascii="新宋体" w:hAnsi="新宋体" w:eastAsia="新宋体"/>
                <w:color w:val="auto"/>
                <w:sz w:val="22"/>
                <w:szCs w:val="22"/>
                <w:highlight w:val="none"/>
                <w:lang w:val="en-US" w:eastAsia="zh-CN"/>
              </w:rPr>
              <w:t>固定金额壹万伍仟元收取</w:t>
            </w:r>
            <w:r>
              <w:rPr>
                <w:rStyle w:val="128"/>
                <w:rFonts w:ascii="新宋体" w:hAnsi="新宋体" w:eastAsia="新宋体"/>
                <w:color w:val="auto"/>
                <w:sz w:val="22"/>
                <w:szCs w:val="22"/>
                <w:highlight w:val="none"/>
              </w:rPr>
              <w:t>，</w:t>
            </w:r>
            <w:r>
              <w:rPr>
                <w:rStyle w:val="128"/>
                <w:rFonts w:hint="eastAsia" w:ascii="新宋体" w:hAnsi="新宋体" w:eastAsia="新宋体"/>
                <w:color w:val="auto"/>
                <w:sz w:val="22"/>
                <w:szCs w:val="22"/>
                <w:highlight w:val="none"/>
              </w:rPr>
              <w:t>由</w:t>
            </w:r>
            <w:r>
              <w:rPr>
                <w:rStyle w:val="128"/>
                <w:rFonts w:hint="eastAsia" w:ascii="新宋体" w:hAnsi="新宋体" w:eastAsia="新宋体"/>
                <w:color w:val="auto"/>
                <w:sz w:val="22"/>
                <w:szCs w:val="22"/>
                <w:highlight w:val="none"/>
                <w:lang w:eastAsia="zh-CN"/>
              </w:rPr>
              <w:t>中标供应商</w:t>
            </w:r>
            <w:r>
              <w:rPr>
                <w:rStyle w:val="128"/>
                <w:rFonts w:ascii="新宋体" w:hAnsi="新宋体" w:eastAsia="新宋体"/>
                <w:color w:val="auto"/>
                <w:sz w:val="22"/>
                <w:szCs w:val="22"/>
                <w:highlight w:val="none"/>
              </w:rPr>
              <w:t>在领取中标通知书时向采购代理机构进行支付，该服务费须计入投标报价</w:t>
            </w:r>
            <w:r>
              <w:rPr>
                <w:rFonts w:hint="eastAsia"/>
                <w:color w:val="auto"/>
                <w:sz w:val="22"/>
                <w:szCs w:val="22"/>
                <w:highlight w:val="none"/>
              </w:rPr>
              <w:t>。</w:t>
            </w:r>
          </w:p>
        </w:tc>
      </w:tr>
      <w:tr w14:paraId="5B1C9F95">
        <w:tblPrEx>
          <w:tblCellMar>
            <w:top w:w="0" w:type="dxa"/>
            <w:left w:w="108" w:type="dxa"/>
            <w:bottom w:w="0" w:type="dxa"/>
            <w:right w:w="108" w:type="dxa"/>
          </w:tblCellMar>
        </w:tblPrEx>
        <w:trPr>
          <w:trHeight w:val="315" w:hRule="atLeast"/>
        </w:trPr>
        <w:tc>
          <w:tcPr>
            <w:tcW w:w="658" w:type="dxa"/>
            <w:tcBorders>
              <w:top w:val="single" w:color="auto" w:sz="4" w:space="0"/>
              <w:left w:val="single" w:color="auto" w:sz="4" w:space="0"/>
              <w:bottom w:val="single" w:color="auto" w:sz="4" w:space="0"/>
              <w:right w:val="single" w:color="auto" w:sz="4" w:space="0"/>
            </w:tcBorders>
            <w:vAlign w:val="center"/>
          </w:tcPr>
          <w:p w14:paraId="4AC3ED05">
            <w:pPr>
              <w:keepNext w:val="0"/>
              <w:keepLines w:val="0"/>
              <w:pageBreakBefore w:val="0"/>
              <w:kinsoku/>
              <w:wordWrap/>
              <w:overflowPunct/>
              <w:topLinePunct w:val="0"/>
              <w:bidi w:val="0"/>
              <w:snapToGrid/>
              <w:spacing w:line="308" w:lineRule="auto"/>
              <w:jc w:val="center"/>
              <w:rPr>
                <w:rFonts w:hint="default" w:ascii="宋体" w:hAnsi="宋体" w:cs="楷体"/>
                <w:color w:val="auto"/>
                <w:kern w:val="0"/>
                <w:sz w:val="22"/>
                <w:szCs w:val="22"/>
                <w:highlight w:val="none"/>
                <w:lang w:val="en-US" w:eastAsia="zh-CN"/>
              </w:rPr>
            </w:pPr>
            <w:r>
              <w:rPr>
                <w:rFonts w:hint="eastAsia" w:ascii="宋体" w:hAnsi="宋体" w:cs="楷体"/>
                <w:color w:val="auto"/>
                <w:kern w:val="0"/>
                <w:sz w:val="22"/>
                <w:szCs w:val="22"/>
                <w:highlight w:val="none"/>
                <w:lang w:val="en-US" w:eastAsia="zh-CN"/>
              </w:rPr>
              <w:t>33</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14:paraId="379CB2DD">
            <w:pPr>
              <w:keepNext w:val="0"/>
              <w:keepLines w:val="0"/>
              <w:pageBreakBefore w:val="0"/>
              <w:kinsoku/>
              <w:wordWrap/>
              <w:overflowPunct/>
              <w:topLinePunct w:val="0"/>
              <w:bidi w:val="0"/>
              <w:snapToGrid/>
              <w:spacing w:line="308"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乐采云平台费</w:t>
            </w:r>
          </w:p>
        </w:tc>
        <w:tc>
          <w:tcPr>
            <w:tcW w:w="7222" w:type="dxa"/>
            <w:tcBorders>
              <w:top w:val="single" w:color="auto" w:sz="4" w:space="0"/>
              <w:left w:val="single" w:color="auto" w:sz="4" w:space="0"/>
              <w:bottom w:val="single" w:color="auto" w:sz="4" w:space="0"/>
              <w:right w:val="single" w:color="auto" w:sz="4" w:space="0"/>
            </w:tcBorders>
            <w:shd w:val="clear" w:color="auto" w:fill="auto"/>
            <w:vAlign w:val="center"/>
          </w:tcPr>
          <w:p w14:paraId="3350DCCB">
            <w:pPr>
              <w:keepNext w:val="0"/>
              <w:keepLines w:val="0"/>
              <w:pageBreakBefore w:val="0"/>
              <w:kinsoku/>
              <w:wordWrap/>
              <w:overflowPunct/>
              <w:topLinePunct w:val="0"/>
              <w:bidi w:val="0"/>
              <w:snapToGrid/>
              <w:spacing w:line="308" w:lineRule="auto"/>
              <w:ind w:firstLine="0" w:firstLineChars="0"/>
              <w:jc w:val="left"/>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本次招标通过乐采云平台进行，中标供应商需缴纳乐采云技术服务费，相关收费标准详见链接：https://www.lecaiyun.com/helpcenter/document#/document/detail?siteCode=lecaiyun&amp;manualId=2061&amp;topicId=8625（具体以系统实际收费为准）。</w:t>
            </w:r>
          </w:p>
        </w:tc>
      </w:tr>
    </w:tbl>
    <w:p w14:paraId="5B650A8C">
      <w:pPr>
        <w:pStyle w:val="3"/>
        <w:overflowPunct w:val="0"/>
        <w:rPr>
          <w:rFonts w:ascii="宋体" w:hAnsi="宋体" w:eastAsia="宋体" w:cs="楷体"/>
          <w:color w:val="auto"/>
          <w:sz w:val="36"/>
          <w:szCs w:val="36"/>
          <w:highlight w:val="none"/>
        </w:rPr>
      </w:pPr>
      <w:r>
        <w:rPr>
          <w:rFonts w:hint="eastAsia" w:ascii="宋体" w:hAnsi="宋体" w:eastAsia="宋体" w:cs="楷体"/>
          <w:color w:val="auto"/>
          <w:sz w:val="36"/>
          <w:szCs w:val="36"/>
          <w:highlight w:val="none"/>
        </w:rPr>
        <w:br w:type="page"/>
      </w:r>
      <w:bookmarkStart w:id="59" w:name="_Toc19923"/>
      <w:r>
        <w:rPr>
          <w:rFonts w:hint="eastAsia" w:ascii="宋体" w:hAnsi="宋体" w:eastAsia="宋体" w:cs="楷体"/>
          <w:color w:val="auto"/>
          <w:sz w:val="36"/>
          <w:szCs w:val="36"/>
          <w:highlight w:val="none"/>
        </w:rPr>
        <w:t>第一部分    投标人须知</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DF5A87C">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60" w:name="_Toc223715995"/>
      <w:bookmarkStart w:id="61" w:name="_Toc221374623"/>
      <w:bookmarkStart w:id="62" w:name="_Toc221423616"/>
      <w:bookmarkStart w:id="63" w:name="_Toc221356883"/>
      <w:bookmarkStart w:id="64" w:name="_Toc94205986"/>
      <w:bookmarkStart w:id="65" w:name="_Toc222114876"/>
      <w:bookmarkStart w:id="66" w:name="_Toc265529380"/>
      <w:bookmarkStart w:id="67" w:name="_Toc14366"/>
      <w:bookmarkStart w:id="68" w:name="_Toc94208448"/>
      <w:bookmarkStart w:id="69" w:name="_Toc241404199"/>
      <w:bookmarkStart w:id="70" w:name="_Toc16193"/>
      <w:bookmarkStart w:id="71" w:name="_Toc239145351"/>
      <w:bookmarkStart w:id="72" w:name="_Toc221356948"/>
      <w:bookmarkStart w:id="73" w:name="_Toc223716001"/>
      <w:bookmarkStart w:id="74" w:name="_Toc245191317"/>
      <w:bookmarkStart w:id="75" w:name="_Toc251325217"/>
      <w:bookmarkStart w:id="76" w:name="_Toc222114882"/>
      <w:bookmarkStart w:id="77" w:name="_Toc221423622"/>
      <w:bookmarkStart w:id="78" w:name="_Toc252194855"/>
      <w:bookmarkStart w:id="79" w:name="_Toc241404205"/>
      <w:bookmarkStart w:id="80" w:name="_Toc221356954"/>
      <w:bookmarkStart w:id="81" w:name="_Toc245722284"/>
      <w:bookmarkStart w:id="82" w:name="_Toc239145357"/>
      <w:bookmarkStart w:id="83" w:name="_Toc251592740"/>
      <w:bookmarkStart w:id="84" w:name="_Toc221374629"/>
      <w:bookmarkStart w:id="85" w:name="_Toc221356890"/>
      <w:bookmarkStart w:id="86" w:name="_Toc246261268"/>
      <w:r>
        <w:rPr>
          <w:rFonts w:hint="eastAsia" w:ascii="新宋体" w:hAnsi="新宋体" w:eastAsia="新宋体" w:cs="新宋体"/>
          <w:color w:val="auto"/>
          <w:sz w:val="22"/>
          <w:szCs w:val="22"/>
          <w:highlight w:val="none"/>
        </w:rPr>
        <w:t>一、  说明</w:t>
      </w:r>
      <w:bookmarkEnd w:id="60"/>
      <w:bookmarkEnd w:id="61"/>
      <w:bookmarkEnd w:id="62"/>
      <w:bookmarkEnd w:id="63"/>
      <w:bookmarkEnd w:id="64"/>
      <w:bookmarkEnd w:id="65"/>
      <w:bookmarkEnd w:id="66"/>
      <w:bookmarkEnd w:id="67"/>
      <w:bookmarkEnd w:id="68"/>
      <w:bookmarkEnd w:id="69"/>
      <w:bookmarkEnd w:id="70"/>
      <w:bookmarkEnd w:id="71"/>
      <w:bookmarkEnd w:id="72"/>
    </w:p>
    <w:p w14:paraId="55713433">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1.本次采购是</w:t>
      </w:r>
      <w:r>
        <w:rPr>
          <w:rFonts w:hint="eastAsia" w:ascii="新宋体" w:hAnsi="新宋体" w:eastAsia="新宋体" w:cs="新宋体"/>
          <w:color w:val="auto"/>
          <w:sz w:val="22"/>
          <w:szCs w:val="22"/>
          <w:highlight w:val="none"/>
          <w:lang w:val="en-US" w:eastAsia="zh-CN"/>
        </w:rPr>
        <w:t>按</w:t>
      </w:r>
      <w:r>
        <w:rPr>
          <w:rFonts w:hint="eastAsia" w:ascii="新宋体" w:hAnsi="新宋体" w:eastAsia="新宋体" w:cs="新宋体"/>
          <w:color w:val="auto"/>
          <w:sz w:val="22"/>
          <w:szCs w:val="22"/>
          <w:highlight w:val="none"/>
        </w:rPr>
        <w:t>照</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温州湾新区、龙湾区区属国有企业采购管理办法</w:t>
      </w:r>
      <w:r>
        <w:rPr>
          <w:rFonts w:hint="eastAsia" w:ascii="宋体" w:hAnsi="宋体" w:eastAsia="宋体" w:cs="宋体"/>
          <w:color w:val="auto"/>
          <w:sz w:val="22"/>
          <w:szCs w:val="22"/>
          <w:highlight w:val="none"/>
        </w:rPr>
        <w:t>》</w:t>
      </w:r>
      <w:r>
        <w:rPr>
          <w:rFonts w:hint="eastAsia" w:ascii="新宋体" w:hAnsi="新宋体" w:eastAsia="新宋体" w:cs="新宋体"/>
          <w:color w:val="auto"/>
          <w:sz w:val="22"/>
          <w:szCs w:val="22"/>
          <w:highlight w:val="none"/>
        </w:rPr>
        <w:t>等有关规定及有关法规组织和实施的。</w:t>
      </w:r>
    </w:p>
    <w:p w14:paraId="659DE175">
      <w:pPr>
        <w:tabs>
          <w:tab w:val="left" w:pos="540"/>
          <w:tab w:val="left" w:pos="90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2.合格</w:t>
      </w:r>
      <w:r>
        <w:rPr>
          <w:rFonts w:hint="eastAsia" w:ascii="新宋体" w:hAnsi="新宋体" w:eastAsia="新宋体" w:cs="新宋体"/>
          <w:b/>
          <w:color w:val="auto"/>
          <w:sz w:val="22"/>
          <w:szCs w:val="22"/>
          <w:highlight w:val="none"/>
          <w:lang w:eastAsia="zh-CN"/>
        </w:rPr>
        <w:t>供应商</w:t>
      </w:r>
      <w:r>
        <w:rPr>
          <w:rFonts w:hint="eastAsia" w:ascii="新宋体" w:hAnsi="新宋体" w:eastAsia="新宋体" w:cs="新宋体"/>
          <w:b/>
          <w:color w:val="auto"/>
          <w:sz w:val="22"/>
          <w:szCs w:val="22"/>
          <w:highlight w:val="none"/>
        </w:rPr>
        <w:t>要求以采购公告对</w:t>
      </w:r>
      <w:r>
        <w:rPr>
          <w:rFonts w:hint="eastAsia" w:ascii="新宋体" w:hAnsi="新宋体" w:eastAsia="新宋体" w:cs="新宋体"/>
          <w:b/>
          <w:color w:val="auto"/>
          <w:sz w:val="22"/>
          <w:szCs w:val="22"/>
          <w:highlight w:val="none"/>
          <w:lang w:eastAsia="zh-CN"/>
        </w:rPr>
        <w:t>供应商</w:t>
      </w:r>
      <w:r>
        <w:rPr>
          <w:rFonts w:hint="eastAsia" w:ascii="新宋体" w:hAnsi="新宋体" w:eastAsia="新宋体" w:cs="新宋体"/>
          <w:b/>
          <w:color w:val="auto"/>
          <w:sz w:val="22"/>
          <w:szCs w:val="22"/>
          <w:highlight w:val="none"/>
        </w:rPr>
        <w:t>资格条件要求的表述为准。</w:t>
      </w:r>
    </w:p>
    <w:p w14:paraId="7F5ED7A3">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代表</w:t>
      </w:r>
    </w:p>
    <w:p w14:paraId="544F07B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参加投标活动并签署投标文件的人。如果</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代表不是法定代表人（法定负责人），须持有《法定代表人授权书》。</w:t>
      </w:r>
    </w:p>
    <w:p w14:paraId="61890EBF">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64E652A1">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应承担所有与准备和参加投标有关费用，不论投标的结果如何，采购人和采购代理机构均无义务和责任承担这些费用。</w:t>
      </w:r>
    </w:p>
    <w:p w14:paraId="396F8BF1">
      <w:pPr>
        <w:spacing w:line="400" w:lineRule="exact"/>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5.优化政府采购金融服务</w:t>
      </w:r>
    </w:p>
    <w:p w14:paraId="2EEB9F86">
      <w:pPr>
        <w:spacing w:line="400" w:lineRule="exact"/>
        <w:ind w:firstLine="464" w:firstLineChars="200"/>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w:t>
      </w:r>
      <w:r>
        <w:rPr>
          <w:rFonts w:hint="eastAsia" w:ascii="新宋体" w:hAnsi="新宋体" w:eastAsia="新宋体" w:cs="新宋体"/>
          <w:bCs/>
          <w:color w:val="auto"/>
          <w:spacing w:val="6"/>
          <w:sz w:val="22"/>
          <w:szCs w:val="22"/>
          <w:highlight w:val="none"/>
          <w:lang w:eastAsia="zh-CN"/>
        </w:rPr>
        <w:t>乐采云</w:t>
      </w:r>
      <w:r>
        <w:rPr>
          <w:rFonts w:hint="eastAsia" w:ascii="新宋体" w:hAnsi="新宋体" w:eastAsia="新宋体" w:cs="新宋体"/>
          <w:bCs/>
          <w:color w:val="auto"/>
          <w:spacing w:val="6"/>
          <w:sz w:val="22"/>
          <w:szCs w:val="22"/>
          <w:highlight w:val="none"/>
        </w:rPr>
        <w:t>金融服务平台进行整合，做到金融机构统一接入，供应商统一入口，数据统一标准，构建政府采购金融服务全省互联互通共享机制，实现全省一盘棋，切实缓解供应商资金难题。</w:t>
      </w:r>
    </w:p>
    <w:p w14:paraId="70A3B53E">
      <w:pPr>
        <w:spacing w:line="400" w:lineRule="exact"/>
        <w:ind w:firstLine="464" w:firstLineChars="200"/>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5.2鼓励各金融机构与</w:t>
      </w:r>
      <w:r>
        <w:rPr>
          <w:rFonts w:hint="eastAsia" w:ascii="新宋体" w:hAnsi="新宋体" w:eastAsia="新宋体" w:cs="新宋体"/>
          <w:bCs/>
          <w:color w:val="auto"/>
          <w:spacing w:val="6"/>
          <w:sz w:val="22"/>
          <w:szCs w:val="22"/>
          <w:highlight w:val="none"/>
          <w:lang w:eastAsia="zh-CN"/>
        </w:rPr>
        <w:t>乐采云</w:t>
      </w:r>
      <w:r>
        <w:rPr>
          <w:rFonts w:hint="eastAsia" w:ascii="新宋体" w:hAnsi="新宋体" w:eastAsia="新宋体" w:cs="新宋体"/>
          <w:bCs/>
          <w:color w:val="auto"/>
          <w:spacing w:val="6"/>
          <w:sz w:val="22"/>
          <w:szCs w:val="22"/>
          <w:highlight w:val="none"/>
        </w:rPr>
        <w:t>平台合作，利用平台的业务协同和数据集合优势，积极开展政采贷、履约保函等金融服务。</w:t>
      </w:r>
      <w:r>
        <w:rPr>
          <w:rFonts w:hint="eastAsia" w:ascii="新宋体" w:hAnsi="新宋体" w:eastAsia="新宋体" w:cs="新宋体"/>
          <w:bCs/>
          <w:color w:val="auto"/>
          <w:spacing w:val="6"/>
          <w:sz w:val="22"/>
          <w:szCs w:val="22"/>
          <w:highlight w:val="none"/>
          <w:lang w:eastAsia="zh-CN"/>
        </w:rPr>
        <w:t>乐采云</w:t>
      </w:r>
      <w:r>
        <w:rPr>
          <w:rFonts w:hint="eastAsia" w:ascii="新宋体" w:hAnsi="新宋体" w:eastAsia="新宋体" w:cs="新宋体"/>
          <w:bCs/>
          <w:color w:val="auto"/>
          <w:spacing w:val="6"/>
          <w:sz w:val="22"/>
          <w:szCs w:val="22"/>
          <w:highlight w:val="none"/>
        </w:rPr>
        <w:t>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1548FE6A">
      <w:pPr>
        <w:spacing w:line="400" w:lineRule="exact"/>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6.特别说明：</w:t>
      </w:r>
    </w:p>
    <w:p w14:paraId="457E6DB4">
      <w:pPr>
        <w:spacing w:line="400" w:lineRule="exact"/>
        <w:ind w:firstLine="480"/>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6.1</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应仔细阅读采购文件的所有内容，按照采购文件的要求提交投标文件，并对所提供的全部资料的真实性承担法律责任。</w:t>
      </w:r>
    </w:p>
    <w:p w14:paraId="1AE27258">
      <w:pPr>
        <w:spacing w:line="400" w:lineRule="exact"/>
        <w:ind w:firstLine="480"/>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参加同一合同项下投标的，按一家</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计算，评审后得分最高的同品牌</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获得</w:t>
      </w:r>
      <w:r>
        <w:rPr>
          <w:rFonts w:hint="eastAsia" w:ascii="新宋体" w:hAnsi="新宋体" w:eastAsia="新宋体" w:cs="新宋体"/>
          <w:bCs/>
          <w:color w:val="auto"/>
          <w:spacing w:val="6"/>
          <w:sz w:val="22"/>
          <w:szCs w:val="22"/>
          <w:highlight w:val="none"/>
          <w:lang w:eastAsia="zh-CN"/>
        </w:rPr>
        <w:t>中标供应商</w:t>
      </w:r>
      <w:r>
        <w:rPr>
          <w:rFonts w:hint="eastAsia" w:ascii="新宋体" w:hAnsi="新宋体" w:eastAsia="新宋体" w:cs="新宋体"/>
          <w:bCs/>
          <w:color w:val="auto"/>
          <w:spacing w:val="6"/>
          <w:sz w:val="22"/>
          <w:szCs w:val="22"/>
          <w:highlight w:val="none"/>
        </w:rPr>
        <w:t>推荐资格；评审得分相同的，由采购人或者采购人委托评标委员会按照采购文件规定的方式确定一个</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获得</w:t>
      </w:r>
      <w:r>
        <w:rPr>
          <w:rFonts w:hint="eastAsia" w:ascii="新宋体" w:hAnsi="新宋体" w:eastAsia="新宋体" w:cs="新宋体"/>
          <w:bCs/>
          <w:color w:val="auto"/>
          <w:spacing w:val="6"/>
          <w:sz w:val="22"/>
          <w:szCs w:val="22"/>
          <w:highlight w:val="none"/>
          <w:lang w:eastAsia="zh-CN"/>
        </w:rPr>
        <w:t>中标供应商</w:t>
      </w:r>
      <w:r>
        <w:rPr>
          <w:rFonts w:hint="eastAsia" w:ascii="新宋体" w:hAnsi="新宋体" w:eastAsia="新宋体" w:cs="新宋体"/>
          <w:bCs/>
          <w:color w:val="auto"/>
          <w:spacing w:val="6"/>
          <w:sz w:val="22"/>
          <w:szCs w:val="22"/>
          <w:highlight w:val="none"/>
        </w:rPr>
        <w:t>推荐资格，采购文件未规定的采取随机抽取方式确定，其他同品牌</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不作为中标候选</w:t>
      </w:r>
      <w:r>
        <w:rPr>
          <w:rFonts w:hint="eastAsia" w:ascii="新宋体" w:hAnsi="新宋体" w:eastAsia="新宋体" w:cs="新宋体"/>
          <w:bCs/>
          <w:color w:val="auto"/>
          <w:spacing w:val="6"/>
          <w:sz w:val="22"/>
          <w:szCs w:val="22"/>
          <w:highlight w:val="none"/>
          <w:lang w:val="en-US" w:eastAsia="zh-CN"/>
        </w:rPr>
        <w:t>供应商</w:t>
      </w:r>
      <w:r>
        <w:rPr>
          <w:rFonts w:hint="eastAsia" w:ascii="新宋体" w:hAnsi="新宋体" w:eastAsia="新宋体" w:cs="新宋体"/>
          <w:bCs/>
          <w:color w:val="auto"/>
          <w:spacing w:val="6"/>
          <w:sz w:val="22"/>
          <w:szCs w:val="22"/>
          <w:highlight w:val="none"/>
        </w:rPr>
        <w:t>。</w:t>
      </w:r>
    </w:p>
    <w:p w14:paraId="363E4912">
      <w:pPr>
        <w:spacing w:line="400" w:lineRule="exact"/>
        <w:ind w:firstLine="464" w:firstLineChars="200"/>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提供的核心产品品牌相同的，按前两款规定处理。</w:t>
      </w:r>
    </w:p>
    <w:p w14:paraId="23B122EE">
      <w:pPr>
        <w:spacing w:line="400" w:lineRule="exact"/>
        <w:ind w:firstLine="464" w:firstLineChars="200"/>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注：所有核心产品品牌均相同按同品牌</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计算。</w:t>
      </w:r>
    </w:p>
    <w:p w14:paraId="6A6FA681">
      <w:pPr>
        <w:spacing w:line="400" w:lineRule="exact"/>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 xml:space="preserve">    6.3单位负责人为同一人或者存在直接控股、管理关系的不同</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，不得参加同一合同项下的政府采购活动。为采购项目提供整体设计、规范编制或者项目管理、监理、检测等服务的</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，不得再参加该采购项目的其他采购活动。</w:t>
      </w:r>
    </w:p>
    <w:p w14:paraId="65BEDB28">
      <w:pPr>
        <w:spacing w:line="400" w:lineRule="exact"/>
        <w:rPr>
          <w:rFonts w:hint="eastAsia" w:ascii="新宋体" w:hAnsi="新宋体" w:eastAsia="新宋体" w:cs="新宋体"/>
          <w:bCs/>
          <w:color w:val="auto"/>
          <w:spacing w:val="6"/>
          <w:sz w:val="22"/>
          <w:szCs w:val="22"/>
          <w:highlight w:val="none"/>
        </w:rPr>
      </w:pPr>
      <w:r>
        <w:rPr>
          <w:rFonts w:hint="eastAsia" w:ascii="新宋体" w:hAnsi="新宋体" w:eastAsia="新宋体" w:cs="新宋体"/>
          <w:bCs/>
          <w:color w:val="auto"/>
          <w:spacing w:val="6"/>
          <w:sz w:val="22"/>
          <w:szCs w:val="22"/>
          <w:highlight w:val="none"/>
        </w:rPr>
        <w:t xml:space="preserve">    6.4</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在投标活动中提供任何虚假材料，其投标无效，并报监管部门查处；中标后发现的，</w:t>
      </w:r>
      <w:r>
        <w:rPr>
          <w:rFonts w:hint="eastAsia" w:ascii="新宋体" w:hAnsi="新宋体" w:eastAsia="新宋体" w:cs="新宋体"/>
          <w:bCs/>
          <w:color w:val="auto"/>
          <w:spacing w:val="6"/>
          <w:sz w:val="22"/>
          <w:szCs w:val="22"/>
          <w:highlight w:val="none"/>
          <w:lang w:eastAsia="zh-CN"/>
        </w:rPr>
        <w:t>中标供应商</w:t>
      </w:r>
      <w:r>
        <w:rPr>
          <w:rFonts w:hint="eastAsia" w:ascii="新宋体" w:hAnsi="新宋体" w:eastAsia="新宋体" w:cs="新宋体"/>
          <w:bCs/>
          <w:color w:val="auto"/>
          <w:spacing w:val="6"/>
          <w:sz w:val="22"/>
          <w:szCs w:val="22"/>
          <w:highlight w:val="none"/>
        </w:rPr>
        <w:t>须依照《中华人民共和国消费者权益保护法》第49条之规定双倍赔偿采购人，且民事赔偿并不免除违法</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的行政与刑事责任。</w:t>
      </w:r>
    </w:p>
    <w:p w14:paraId="434A4F3F">
      <w:pPr>
        <w:spacing w:line="460" w:lineRule="exact"/>
        <w:ind w:firstLine="480"/>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供应商的，在合同签订前按本办法的规定完成注册并成为正式注册供应商。</w:t>
      </w:r>
    </w:p>
    <w:p w14:paraId="45CCEB99">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87" w:name="_Toc94205987"/>
      <w:bookmarkStart w:id="88" w:name="_Toc221356949"/>
      <w:bookmarkStart w:id="89" w:name="_Toc221423617"/>
      <w:bookmarkStart w:id="90" w:name="_Toc221374624"/>
      <w:bookmarkStart w:id="91" w:name="_Toc222114877"/>
      <w:bookmarkStart w:id="92" w:name="_Toc8257"/>
      <w:bookmarkStart w:id="93" w:name="_Toc94208449"/>
      <w:bookmarkStart w:id="94" w:name="_Toc221356884"/>
      <w:bookmarkStart w:id="95" w:name="_Toc241404200"/>
      <w:bookmarkStart w:id="96" w:name="_Toc265529381"/>
      <w:bookmarkStart w:id="97" w:name="_Toc980"/>
      <w:bookmarkStart w:id="98" w:name="_Toc223715996"/>
      <w:bookmarkStart w:id="99" w:name="_Toc239145352"/>
      <w:r>
        <w:rPr>
          <w:rFonts w:hint="eastAsia" w:ascii="新宋体" w:hAnsi="新宋体" w:eastAsia="新宋体" w:cs="新宋体"/>
          <w:color w:val="auto"/>
          <w:sz w:val="22"/>
          <w:szCs w:val="22"/>
          <w:highlight w:val="none"/>
        </w:rPr>
        <w:t>二、 采购文件</w:t>
      </w:r>
      <w:bookmarkEnd w:id="87"/>
      <w:bookmarkEnd w:id="88"/>
      <w:bookmarkEnd w:id="89"/>
      <w:bookmarkEnd w:id="90"/>
      <w:bookmarkEnd w:id="91"/>
      <w:bookmarkEnd w:id="92"/>
      <w:bookmarkEnd w:id="93"/>
      <w:bookmarkEnd w:id="94"/>
      <w:bookmarkEnd w:id="95"/>
      <w:bookmarkEnd w:id="96"/>
      <w:bookmarkEnd w:id="97"/>
      <w:bookmarkEnd w:id="98"/>
      <w:bookmarkEnd w:id="99"/>
    </w:p>
    <w:p w14:paraId="5839496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1401E0E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246C38C4">
      <w:pPr>
        <w:tabs>
          <w:tab w:val="left" w:pos="540"/>
        </w:tabs>
        <w:spacing w:line="46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 xml:space="preserve">    8.1</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5E947B4A">
      <w:pPr>
        <w:tabs>
          <w:tab w:val="left" w:pos="540"/>
        </w:tabs>
        <w:spacing w:line="46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8.2</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提出质疑应当提交质疑函和必要的证明材料，质疑函范本请到“浙江政府采购网下载专区”下载，质疑函内容及签署等相关要求请参看《政府采购质疑和投诉办法》相关规定。</w:t>
      </w:r>
    </w:p>
    <w:p w14:paraId="19F240FA">
      <w:pPr>
        <w:tabs>
          <w:tab w:val="left" w:pos="540"/>
        </w:tabs>
        <w:spacing w:line="460" w:lineRule="exact"/>
        <w:rPr>
          <w:rFonts w:hint="eastAsia" w:ascii="新宋体" w:hAnsi="新宋体" w:eastAsia="新宋体" w:cs="新宋体"/>
          <w:b/>
          <w:bCs/>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8.3提出质疑的</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应当是参与本项目采购活动的</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b/>
          <w:bCs/>
          <w:color w:val="auto"/>
          <w:spacing w:val="6"/>
          <w:sz w:val="22"/>
          <w:szCs w:val="22"/>
          <w:highlight w:val="none"/>
          <w:lang w:eastAsia="zh-CN"/>
        </w:rPr>
        <w:t>供应商</w:t>
      </w:r>
      <w:r>
        <w:rPr>
          <w:rFonts w:hint="eastAsia" w:ascii="新宋体" w:hAnsi="新宋体" w:eastAsia="新宋体" w:cs="新宋体"/>
          <w:b/>
          <w:bCs/>
          <w:color w:val="auto"/>
          <w:spacing w:val="6"/>
          <w:sz w:val="22"/>
          <w:szCs w:val="22"/>
          <w:highlight w:val="none"/>
        </w:rPr>
        <w:t>在法定质疑期内一次性提出针对同一采购程序环节的质疑。</w:t>
      </w:r>
    </w:p>
    <w:p w14:paraId="71585889">
      <w:pPr>
        <w:tabs>
          <w:tab w:val="left" w:pos="540"/>
        </w:tabs>
        <w:spacing w:line="46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8.4根据《政府采购质疑和投诉办法》第三十七条的规定，投诉人在全国范围12个月内三次以上投诉查无实据的，由财政部门列入不良行为记录名单。</w:t>
      </w:r>
    </w:p>
    <w:p w14:paraId="1CEAE7A5">
      <w:pPr>
        <w:tabs>
          <w:tab w:val="left" w:pos="540"/>
        </w:tabs>
        <w:spacing w:line="46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9.投诉</w:t>
      </w:r>
    </w:p>
    <w:p w14:paraId="1A83F56C">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 xml:space="preserve">    质疑</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对采购人、采购代理机构的答复不满意或者采购人、采购代理机构未在规定的时间内作出答复的，可以在答复期满后十五个工作日内向采购监督部门投诉。投诉书范本请到“浙江政府采购网下载专区”下载。</w:t>
      </w:r>
    </w:p>
    <w:p w14:paraId="503A3A2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5703E27C">
      <w:pPr>
        <w:spacing w:line="40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10.1采购人或者采购代理机构可以对已发出的采购文件进行必要的澄清或者修改。澄清或者修改</w:t>
      </w:r>
      <w:r>
        <w:rPr>
          <w:rFonts w:hint="eastAsia" w:ascii="新宋体" w:hAnsi="新宋体" w:eastAsia="新宋体" w:cs="新宋体"/>
          <w:bCs/>
          <w:color w:val="auto"/>
          <w:spacing w:val="6"/>
          <w:sz w:val="22"/>
          <w:szCs w:val="22"/>
          <w:highlight w:val="none"/>
        </w:rPr>
        <w:t>在浙江政府采购网上发布公告，同时</w:t>
      </w:r>
      <w:r>
        <w:rPr>
          <w:rFonts w:hint="eastAsia" w:ascii="新宋体" w:hAnsi="新宋体" w:eastAsia="新宋体" w:cs="新宋体"/>
          <w:bCs/>
          <w:color w:val="auto"/>
          <w:spacing w:val="6"/>
          <w:sz w:val="22"/>
          <w:szCs w:val="22"/>
          <w:highlight w:val="none"/>
          <w:lang w:eastAsia="zh-CN"/>
        </w:rPr>
        <w:t>乐采云</w:t>
      </w:r>
      <w:r>
        <w:rPr>
          <w:rFonts w:hint="eastAsia" w:ascii="新宋体" w:hAnsi="新宋体" w:eastAsia="新宋体" w:cs="新宋体"/>
          <w:bCs/>
          <w:color w:val="auto"/>
          <w:spacing w:val="6"/>
          <w:sz w:val="22"/>
          <w:szCs w:val="22"/>
          <w:highlight w:val="none"/>
        </w:rPr>
        <w:t>系统会向所有已按采购文件规定方式获取采购文件的潜在</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发送更正提醒信息，潜在</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请自行到浙江省政府采购网上下载公告附件，潜在</w:t>
      </w:r>
      <w:r>
        <w:rPr>
          <w:rFonts w:hint="eastAsia" w:ascii="新宋体" w:hAnsi="新宋体" w:eastAsia="新宋体" w:cs="新宋体"/>
          <w:bCs/>
          <w:color w:val="auto"/>
          <w:spacing w:val="6"/>
          <w:sz w:val="22"/>
          <w:szCs w:val="22"/>
          <w:highlight w:val="none"/>
          <w:lang w:eastAsia="zh-CN"/>
        </w:rPr>
        <w:t>供应商</w:t>
      </w:r>
      <w:r>
        <w:rPr>
          <w:rFonts w:hint="eastAsia" w:ascii="新宋体" w:hAnsi="新宋体" w:eastAsia="新宋体" w:cs="新宋体"/>
          <w:bCs/>
          <w:color w:val="auto"/>
          <w:spacing w:val="6"/>
          <w:sz w:val="22"/>
          <w:szCs w:val="22"/>
          <w:highlight w:val="none"/>
        </w:rPr>
        <w:t>在收到该公告附件后应于1日内，以书面或传真形式（签署意见并加盖公章）向采购代理机构回函给予确认。过期未回复的，视为默认接受。</w:t>
      </w:r>
      <w:r>
        <w:rPr>
          <w:rFonts w:hint="eastAsia" w:ascii="新宋体" w:hAnsi="新宋体" w:eastAsia="新宋体" w:cs="新宋体"/>
          <w:color w:val="auto"/>
          <w:spacing w:val="6"/>
          <w:sz w:val="22"/>
          <w:szCs w:val="22"/>
          <w:highlight w:val="none"/>
        </w:rPr>
        <w:t>澄清或者修改的内容为采购文件的组成部分。</w:t>
      </w:r>
    </w:p>
    <w:p w14:paraId="0809144D">
      <w:pPr>
        <w:spacing w:line="40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10.2澄清或者修改的内容可能影响投标文件编制的，采购人或者采购代理机构应当在投标截止时间至少15日前，以书面形式（</w:t>
      </w:r>
      <w:r>
        <w:rPr>
          <w:rFonts w:hint="eastAsia" w:ascii="新宋体" w:hAnsi="新宋体" w:eastAsia="新宋体" w:cs="新宋体"/>
          <w:bCs/>
          <w:color w:val="auto"/>
          <w:spacing w:val="6"/>
          <w:sz w:val="22"/>
          <w:szCs w:val="22"/>
          <w:highlight w:val="none"/>
        </w:rPr>
        <w:t>在浙江政府采购网上发布公告</w:t>
      </w:r>
      <w:r>
        <w:rPr>
          <w:rFonts w:hint="eastAsia" w:ascii="新宋体" w:hAnsi="新宋体" w:eastAsia="新宋体" w:cs="新宋体"/>
          <w:color w:val="auto"/>
          <w:spacing w:val="6"/>
          <w:sz w:val="22"/>
          <w:szCs w:val="22"/>
          <w:highlight w:val="none"/>
        </w:rPr>
        <w:t>）通知所有获取采购文件的潜在</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；不足15日的，采购人或者采购代理机构应当顺延提交投标文件的截止时间。</w:t>
      </w:r>
    </w:p>
    <w:p w14:paraId="4BDEDDD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 xml:space="preserve">    10.3采购文件如有补充更正均见“</w:t>
      </w:r>
      <w:r>
        <w:rPr>
          <w:rFonts w:hint="eastAsia" w:ascii="新宋体" w:hAnsi="新宋体" w:eastAsia="新宋体" w:cs="新宋体"/>
          <w:color w:val="auto"/>
          <w:spacing w:val="6"/>
          <w:sz w:val="22"/>
          <w:szCs w:val="22"/>
          <w:highlight w:val="none"/>
          <w:lang w:val="en-US" w:eastAsia="zh-CN"/>
        </w:rPr>
        <w:t>乐采云</w:t>
      </w:r>
      <w:r>
        <w:rPr>
          <w:rFonts w:hint="eastAsia" w:ascii="新宋体" w:hAnsi="新宋体" w:eastAsia="新宋体" w:cs="新宋体"/>
          <w:color w:val="auto"/>
          <w:spacing w:val="6"/>
          <w:sz w:val="22"/>
          <w:szCs w:val="22"/>
          <w:highlight w:val="none"/>
        </w:rPr>
        <w:t>”（</w:t>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www.lecaiyun.com</w:t>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color w:val="auto"/>
          <w:spacing w:val="6"/>
          <w:sz w:val="22"/>
          <w:szCs w:val="22"/>
          <w:highlight w:val="none"/>
          <w:lang w:eastAsia="zh-CN"/>
        </w:rPr>
        <w:t>供应商</w:t>
      </w:r>
      <w:r>
        <w:rPr>
          <w:rFonts w:hint="eastAsia" w:ascii="新宋体" w:hAnsi="新宋体" w:eastAsia="新宋体" w:cs="新宋体"/>
          <w:color w:val="auto"/>
          <w:spacing w:val="6"/>
          <w:sz w:val="22"/>
          <w:szCs w:val="22"/>
          <w:highlight w:val="none"/>
        </w:rPr>
        <w:t>须在开标前一日自行查看是否有补充更正文件，并按补充更正文件要求投标，否则责任自负。</w:t>
      </w:r>
    </w:p>
    <w:p w14:paraId="1B87040B">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100" w:name="_Toc239145353"/>
      <w:bookmarkStart w:id="101" w:name="_Toc94205988"/>
      <w:bookmarkStart w:id="102" w:name="_Toc223715997"/>
      <w:bookmarkStart w:id="103" w:name="_Toc221423618"/>
      <w:bookmarkStart w:id="104" w:name="_Toc265529382"/>
      <w:bookmarkStart w:id="105" w:name="_Toc241404201"/>
      <w:bookmarkStart w:id="106" w:name="_Toc221356885"/>
      <w:bookmarkStart w:id="107" w:name="_Toc221374625"/>
      <w:bookmarkStart w:id="108" w:name="_Toc221356950"/>
      <w:bookmarkStart w:id="109" w:name="_Toc25440"/>
      <w:bookmarkStart w:id="110" w:name="_Toc542"/>
      <w:bookmarkStart w:id="111" w:name="_Toc222114878"/>
      <w:bookmarkStart w:id="112" w:name="_Toc94208450"/>
      <w:r>
        <w:rPr>
          <w:rFonts w:hint="eastAsia" w:ascii="新宋体" w:hAnsi="新宋体" w:eastAsia="新宋体" w:cs="新宋体"/>
          <w:color w:val="auto"/>
          <w:sz w:val="22"/>
          <w:szCs w:val="22"/>
          <w:highlight w:val="none"/>
        </w:rPr>
        <w:t>三、 投标文件的编制</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691FA741">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 投标文件的形式和效力</w:t>
      </w:r>
    </w:p>
    <w:p w14:paraId="3835E7E8">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 xml:space="preserve">    11.1投标文件分为 “电子加密投标文件”和“备份投标文件”两类，在投标文件编制完成后同时生成。</w:t>
      </w:r>
    </w:p>
    <w:p w14:paraId="0F40279A">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 xml:space="preserve">    11.2“电子加密投标文件”是指通过“</w:t>
      </w:r>
      <w:r>
        <w:rPr>
          <w:rFonts w:hint="eastAsia" w:ascii="新宋体" w:hAnsi="新宋体" w:eastAsia="新宋体" w:cs="新宋体"/>
          <w:snapToGrid w:val="0"/>
          <w:color w:val="auto"/>
          <w:sz w:val="22"/>
          <w:szCs w:val="22"/>
          <w:highlight w:val="none"/>
          <w:lang w:eastAsia="zh-CN"/>
        </w:rPr>
        <w:t>乐采云</w:t>
      </w:r>
      <w:r>
        <w:rPr>
          <w:rFonts w:hint="eastAsia" w:ascii="新宋体" w:hAnsi="新宋体" w:eastAsia="新宋体" w:cs="新宋体"/>
          <w:snapToGrid w:val="0"/>
          <w:color w:val="auto"/>
          <w:sz w:val="22"/>
          <w:szCs w:val="22"/>
          <w:highlight w:val="none"/>
        </w:rPr>
        <w:t>电子交易客户端”完成投标文件编制后生成并加密的数据电文形式的投标文件。</w:t>
      </w:r>
    </w:p>
    <w:p w14:paraId="61881717">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 xml:space="preserve">    11.3“备份投标文件”是指与“电子加密投标文件”同时生成的数据电文形式的电子文件（备份标书</w:t>
      </w:r>
      <w:r>
        <w:rPr>
          <w:rFonts w:hint="eastAsia" w:ascii="新宋体" w:hAnsi="新宋体" w:eastAsia="新宋体" w:cs="新宋体"/>
          <w:color w:val="auto"/>
          <w:sz w:val="22"/>
          <w:szCs w:val="22"/>
          <w:highlight w:val="none"/>
        </w:rPr>
        <w:t>（bfbs 格式）</w:t>
      </w:r>
      <w:r>
        <w:rPr>
          <w:rFonts w:hint="eastAsia" w:ascii="新宋体" w:hAnsi="新宋体" w:eastAsia="新宋体" w:cs="新宋体"/>
          <w:snapToGrid w:val="0"/>
          <w:color w:val="auto"/>
          <w:sz w:val="22"/>
          <w:szCs w:val="22"/>
          <w:highlight w:val="none"/>
        </w:rPr>
        <w:t>），其他方式编制的备份投标文件视为无效备份投标文件。</w:t>
      </w:r>
    </w:p>
    <w:p w14:paraId="3B66E7AD">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 xml:space="preserve">    11.4投标文件的启用，按先后顺位分别为“电子加密投标文件”、 “备份投标文件”。在下一顺位的投标文件启用时，前一顺位的投标文件自动失效。</w:t>
      </w:r>
    </w:p>
    <w:p w14:paraId="1FB2F0AA">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 投标文件的构成</w:t>
      </w:r>
    </w:p>
    <w:p w14:paraId="156ECE4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12.1 投标文件包括资格审查资料、商务技术文件、报价文件三部分。</w:t>
      </w:r>
    </w:p>
    <w:p w14:paraId="22A53718">
      <w:pPr>
        <w:spacing w:line="430" w:lineRule="exact"/>
        <w:ind w:firstLine="46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资格审查资料须包括下列部分：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431D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9" w:type="dxa"/>
            <w:noWrap w:val="0"/>
            <w:vAlign w:val="center"/>
          </w:tcPr>
          <w:p w14:paraId="1C9EDFEA">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noWrap w:val="0"/>
            <w:vAlign w:val="center"/>
          </w:tcPr>
          <w:p w14:paraId="3081925C">
            <w:pPr>
              <w:overflowPunct w:val="0"/>
              <w:spacing w:line="43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1671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759A23CE">
            <w:pPr>
              <w:overflowPunct w:val="0"/>
              <w:spacing w:line="430" w:lineRule="exact"/>
              <w:jc w:val="center"/>
              <w:rPr>
                <w:rFonts w:ascii="新宋体" w:hAnsi="新宋体" w:eastAsia="新宋体" w:cs="新宋体"/>
                <w:bCs/>
                <w:color w:val="auto"/>
                <w:sz w:val="22"/>
                <w:szCs w:val="22"/>
                <w:highlight w:val="none"/>
              </w:rPr>
            </w:pPr>
            <w:bookmarkStart w:id="113" w:name="_Hlk16667472"/>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7916651F">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法定代表人（单位负责人）授权书和被授权人有效身份证明。</w:t>
            </w:r>
          </w:p>
        </w:tc>
      </w:tr>
      <w:tr w14:paraId="6647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5388E6CB">
            <w:pPr>
              <w:overflowPunct w:val="0"/>
              <w:spacing w:line="43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28EE5DBF">
            <w:pPr>
              <w:rPr>
                <w:rFonts w:ascii="新宋体" w:hAnsi="新宋体" w:eastAsia="新宋体" w:cs="楷体"/>
                <w:color w:val="auto"/>
                <w:kern w:val="0"/>
                <w:sz w:val="22"/>
                <w:szCs w:val="22"/>
                <w:highlight w:val="none"/>
              </w:rPr>
            </w:pPr>
            <w:r>
              <w:rPr>
                <w:rFonts w:hint="eastAsia" w:ascii="新宋体" w:hAnsi="新宋体" w:eastAsia="新宋体" w:cs="楷体"/>
                <w:color w:val="auto"/>
                <w:kern w:val="0"/>
                <w:sz w:val="22"/>
                <w:szCs w:val="22"/>
                <w:highlight w:val="none"/>
              </w:rPr>
              <w:t>营业执照(或事业法人登记证书或其它工商等登记证明材料)。</w:t>
            </w:r>
          </w:p>
        </w:tc>
      </w:tr>
      <w:tr w14:paraId="4C87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E8827ED">
            <w:pPr>
              <w:overflowPunct w:val="0"/>
              <w:spacing w:line="430" w:lineRule="exact"/>
              <w:jc w:val="center"/>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D2055">
            <w:pPr>
              <w:rPr>
                <w:rFonts w:hint="eastAsia" w:ascii="新宋体" w:hAnsi="新宋体" w:eastAsia="新宋体" w:cs="Times New Roman"/>
                <w:bCs/>
                <w:color w:val="auto"/>
                <w:kern w:val="0"/>
                <w:sz w:val="22"/>
                <w:szCs w:val="22"/>
                <w:highlight w:val="none"/>
                <w:lang w:val="en-US" w:eastAsia="zh-CN" w:bidi="ar-SA"/>
              </w:rPr>
            </w:pPr>
            <w:r>
              <w:rPr>
                <w:rFonts w:hint="eastAsia" w:ascii="新宋体" w:hAnsi="新宋体" w:eastAsia="新宋体" w:cs="宋体"/>
                <w:color w:val="auto"/>
                <w:kern w:val="0"/>
                <w:sz w:val="22"/>
                <w:szCs w:val="22"/>
                <w:highlight w:val="none"/>
              </w:rPr>
              <w:t>资格条件承诺函</w:t>
            </w:r>
          </w:p>
        </w:tc>
      </w:tr>
      <w:tr w14:paraId="6B22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6E6BFA4F">
            <w:pPr>
              <w:overflowPunct w:val="0"/>
              <w:spacing w:line="430" w:lineRule="exact"/>
              <w:jc w:val="center"/>
              <w:rPr>
                <w:rFonts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84B8A">
            <w:pPr>
              <w:rPr>
                <w:rFonts w:ascii="新宋体" w:hAnsi="新宋体" w:eastAsia="新宋体" w:cs="楷体"/>
                <w:color w:val="auto"/>
                <w:kern w:val="0"/>
                <w:sz w:val="22"/>
                <w:szCs w:val="22"/>
                <w:highlight w:val="none"/>
                <w:lang w:val="en-US" w:eastAsia="zh-CN" w:bidi="ar-SA"/>
              </w:rPr>
            </w:pPr>
            <w:r>
              <w:rPr>
                <w:rFonts w:hint="eastAsia" w:ascii="新宋体" w:hAnsi="新宋体" w:eastAsia="新宋体" w:cs="新宋体"/>
                <w:bCs/>
                <w:color w:val="auto"/>
                <w:sz w:val="22"/>
                <w:szCs w:val="22"/>
                <w:highlight w:val="none"/>
              </w:rPr>
              <w:t>申请材料真实性声明</w:t>
            </w:r>
          </w:p>
        </w:tc>
      </w:tr>
      <w:bookmarkEnd w:id="113"/>
    </w:tbl>
    <w:p w14:paraId="3BDAB2DA">
      <w:p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10FE3284">
      <w:pPr>
        <w:numPr>
          <w:ilvl w:val="0"/>
          <w:numId w:val="4"/>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color w:val="auto"/>
          <w:sz w:val="22"/>
          <w:szCs w:val="22"/>
          <w:highlight w:val="none"/>
          <w:u w:val="single"/>
        </w:rPr>
        <w:t>以上所需的各种证书、证件、证明等若系扫描件、扫描件，须加盖</w:t>
      </w:r>
      <w:r>
        <w:rPr>
          <w:rFonts w:hint="eastAsia" w:ascii="新宋体" w:hAnsi="新宋体" w:eastAsia="新宋体" w:cs="新宋体"/>
          <w:b/>
          <w:color w:val="auto"/>
          <w:sz w:val="22"/>
          <w:szCs w:val="22"/>
          <w:highlight w:val="none"/>
          <w:u w:val="single"/>
          <w:lang w:eastAsia="zh-CN"/>
        </w:rPr>
        <w:t>供应商</w:t>
      </w:r>
      <w:r>
        <w:rPr>
          <w:rFonts w:hint="eastAsia" w:ascii="新宋体" w:hAnsi="新宋体" w:eastAsia="新宋体" w:cs="新宋体"/>
          <w:b/>
          <w:color w:val="auto"/>
          <w:sz w:val="22"/>
          <w:szCs w:val="22"/>
          <w:highlight w:val="none"/>
          <w:u w:val="single"/>
        </w:rPr>
        <w:t>有效的公章（电子签章）。</w:t>
      </w:r>
    </w:p>
    <w:p w14:paraId="1977CC23">
      <w:pPr>
        <w:numPr>
          <w:ilvl w:val="0"/>
          <w:numId w:val="4"/>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560A8E93">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12.3 商务技术文件应包括下列部分：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2EF2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028133E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noWrap w:val="0"/>
            <w:vAlign w:val="center"/>
          </w:tcPr>
          <w:p w14:paraId="566C3D1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0A74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AD4957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9109" w:type="dxa"/>
            <w:noWrap w:val="0"/>
            <w:vAlign w:val="center"/>
          </w:tcPr>
          <w:p w14:paraId="6DF7F125">
            <w:pPr>
              <w:jc w:val="left"/>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14:paraId="60A7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1192A9E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noWrap w:val="0"/>
            <w:vAlign w:val="center"/>
          </w:tcPr>
          <w:p w14:paraId="4C61FEB8">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6727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45" w:type="dxa"/>
            <w:noWrap w:val="0"/>
            <w:vAlign w:val="center"/>
          </w:tcPr>
          <w:p w14:paraId="048A5CF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noWrap w:val="0"/>
            <w:vAlign w:val="center"/>
          </w:tcPr>
          <w:p w14:paraId="70E877D1">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tc>
      </w:tr>
      <w:tr w14:paraId="0D2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D0A618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shd w:val="clear" w:color="auto" w:fill="auto"/>
            <w:noWrap w:val="0"/>
            <w:vAlign w:val="center"/>
          </w:tcPr>
          <w:p w14:paraId="4C7E90A2">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综合实力</w:t>
            </w:r>
          </w:p>
        </w:tc>
      </w:tr>
      <w:tr w14:paraId="6B85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6BA766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shd w:val="clear" w:color="auto" w:fill="auto"/>
            <w:noWrap w:val="0"/>
            <w:vAlign w:val="center"/>
          </w:tcPr>
          <w:p w14:paraId="11AE57B5">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企业荣誉</w:t>
            </w:r>
          </w:p>
        </w:tc>
      </w:tr>
      <w:tr w14:paraId="343C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BAFB7F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9109" w:type="dxa"/>
            <w:shd w:val="clear" w:color="auto" w:fill="auto"/>
            <w:noWrap w:val="0"/>
            <w:vAlign w:val="center"/>
          </w:tcPr>
          <w:p w14:paraId="34661C41">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体系认证情况</w:t>
            </w:r>
          </w:p>
        </w:tc>
      </w:tr>
      <w:tr w14:paraId="4FD7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0"/>
            <w:vAlign w:val="center"/>
          </w:tcPr>
          <w:p w14:paraId="47D59C8F">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7</w:t>
            </w:r>
          </w:p>
        </w:tc>
        <w:tc>
          <w:tcPr>
            <w:tcW w:w="9109" w:type="dxa"/>
            <w:shd w:val="clear" w:color="auto" w:fill="auto"/>
            <w:noWrap w:val="0"/>
            <w:vAlign w:val="center"/>
          </w:tcPr>
          <w:p w14:paraId="1C1546AA">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同类项目业绩</w:t>
            </w:r>
          </w:p>
        </w:tc>
      </w:tr>
      <w:tr w14:paraId="606E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0"/>
            <w:vAlign w:val="center"/>
          </w:tcPr>
          <w:p w14:paraId="78A4136B">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8</w:t>
            </w:r>
          </w:p>
        </w:tc>
        <w:tc>
          <w:tcPr>
            <w:tcW w:w="9109" w:type="dxa"/>
            <w:shd w:val="clear" w:color="auto" w:fill="auto"/>
            <w:noWrap w:val="0"/>
            <w:vAlign w:val="center"/>
          </w:tcPr>
          <w:p w14:paraId="1646EF13">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拟驻现场项目负责人（</w:t>
            </w:r>
            <w:r>
              <w:rPr>
                <w:rFonts w:hint="eastAsia" w:ascii="新宋体" w:hAnsi="新宋体" w:eastAsia="新宋体" w:cs="新宋体"/>
                <w:color w:val="auto"/>
                <w:sz w:val="22"/>
                <w:szCs w:val="22"/>
                <w:highlight w:val="none"/>
                <w:lang w:eastAsia="zh-CN"/>
              </w:rPr>
              <w:t>项目经理</w:t>
            </w:r>
            <w:r>
              <w:rPr>
                <w:rFonts w:hint="eastAsia" w:ascii="新宋体" w:hAnsi="新宋体" w:eastAsia="新宋体" w:cs="新宋体"/>
                <w:color w:val="auto"/>
                <w:sz w:val="22"/>
                <w:szCs w:val="22"/>
                <w:highlight w:val="none"/>
              </w:rPr>
              <w:t>）素质</w:t>
            </w:r>
          </w:p>
        </w:tc>
      </w:tr>
      <w:tr w14:paraId="13C9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48972FD">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9109" w:type="dxa"/>
            <w:shd w:val="clear" w:color="auto" w:fill="auto"/>
            <w:noWrap w:val="0"/>
            <w:vAlign w:val="center"/>
          </w:tcPr>
          <w:p w14:paraId="614E0AD8">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项目服务人员情况</w:t>
            </w:r>
          </w:p>
        </w:tc>
      </w:tr>
      <w:tr w14:paraId="63EE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6B1B3C59">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9109" w:type="dxa"/>
            <w:shd w:val="clear" w:color="auto" w:fill="auto"/>
            <w:noWrap w:val="0"/>
            <w:vAlign w:val="center"/>
          </w:tcPr>
          <w:p w14:paraId="3310CBC7">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管理服务组织机构设置、运作流程、服务管理机制</w:t>
            </w:r>
          </w:p>
        </w:tc>
      </w:tr>
      <w:tr w14:paraId="42F3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1F4FFE1">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9109" w:type="dxa"/>
            <w:shd w:val="clear" w:color="auto" w:fill="auto"/>
            <w:noWrap w:val="0"/>
            <w:vAlign w:val="center"/>
          </w:tcPr>
          <w:p w14:paraId="1992686D">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项目质量管理保证措施方案</w:t>
            </w:r>
          </w:p>
        </w:tc>
      </w:tr>
      <w:tr w14:paraId="69C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12D33D47">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9109" w:type="dxa"/>
            <w:shd w:val="clear" w:color="auto" w:fill="auto"/>
            <w:noWrap w:val="0"/>
            <w:vAlign w:val="center"/>
          </w:tcPr>
          <w:p w14:paraId="712D696C">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项目负责人方案陈述及答辩情况</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视频陈述不超过10分钟</w:t>
            </w:r>
            <w:r>
              <w:rPr>
                <w:rFonts w:hint="eastAsia" w:ascii="新宋体" w:hAnsi="新宋体" w:eastAsia="新宋体" w:cs="新宋体"/>
                <w:color w:val="auto"/>
                <w:sz w:val="22"/>
                <w:szCs w:val="22"/>
                <w:highlight w:val="none"/>
                <w:lang w:eastAsia="zh-CN"/>
              </w:rPr>
              <w:t>）</w:t>
            </w:r>
          </w:p>
        </w:tc>
      </w:tr>
      <w:tr w14:paraId="5E72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6F83547">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9109" w:type="dxa"/>
            <w:shd w:val="clear" w:color="auto" w:fill="auto"/>
            <w:noWrap w:val="0"/>
            <w:vAlign w:val="center"/>
          </w:tcPr>
          <w:p w14:paraId="1F0DE164">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保持员工队伍稳定措施</w:t>
            </w:r>
          </w:p>
        </w:tc>
      </w:tr>
      <w:tr w14:paraId="66D8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236435D9">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9109" w:type="dxa"/>
            <w:shd w:val="clear" w:color="auto" w:fill="auto"/>
            <w:noWrap w:val="0"/>
            <w:vAlign w:val="center"/>
          </w:tcPr>
          <w:p w14:paraId="79C5F1BA">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对本项目突发事件应急响应情况</w:t>
            </w:r>
          </w:p>
        </w:tc>
      </w:tr>
      <w:tr w14:paraId="2A80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782BB965">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0" w:type="auto"/>
            <w:shd w:val="clear" w:color="auto" w:fill="auto"/>
            <w:vAlign w:val="center"/>
          </w:tcPr>
          <w:p w14:paraId="699749A3">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机械设备、器材、工具配备计划合理性</w:t>
            </w:r>
          </w:p>
        </w:tc>
      </w:tr>
    </w:tbl>
    <w:p w14:paraId="127E061A">
      <w:pPr>
        <w:spacing w:line="430" w:lineRule="exact"/>
        <w:ind w:left="187" w:leftChars="85" w:hanging="9" w:hangingChars="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1644AD5F">
      <w:pPr>
        <w:tabs>
          <w:tab w:val="left" w:pos="780"/>
          <w:tab w:val="left" w:pos="5355"/>
        </w:tabs>
        <w:spacing w:line="43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对业绩等情况真实性负责，如发现有弄虚作假现象，</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自行负责所产生的一切后果。</w:t>
      </w:r>
    </w:p>
    <w:p w14:paraId="3AC35085">
      <w:pPr>
        <w:tabs>
          <w:tab w:val="left" w:pos="780"/>
          <w:tab w:val="left" w:pos="5355"/>
        </w:tabs>
        <w:spacing w:line="43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可根据采购文件中的技术规格书以及技术资信评分表，提供</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认为需要提供的文件和资料。</w:t>
      </w:r>
    </w:p>
    <w:p w14:paraId="6070D74A">
      <w:pPr>
        <w:tabs>
          <w:tab w:val="left" w:pos="780"/>
          <w:tab w:val="left" w:pos="5355"/>
        </w:tabs>
        <w:spacing w:line="43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3）以上所需的各种证书、证件、证明、执照若系复印件，须在复印件上加盖</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有效的公章。</w:t>
      </w:r>
    </w:p>
    <w:p w14:paraId="5521CFE3">
      <w:pPr>
        <w:tabs>
          <w:tab w:val="left" w:pos="780"/>
          <w:tab w:val="left" w:pos="5355"/>
        </w:tabs>
        <w:spacing w:line="43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4）相关证书、报告等如遇年检或换证等特殊情况须按要求提供相应的证明材料。</w:t>
      </w:r>
    </w:p>
    <w:p w14:paraId="2980C7E5">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12.4 报价文件标应包括下列部分：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089"/>
      </w:tblGrid>
      <w:tr w14:paraId="4411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245EF19">
            <w:pPr>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089" w:type="dxa"/>
            <w:vAlign w:val="center"/>
          </w:tcPr>
          <w:p w14:paraId="09001611">
            <w:pPr>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3233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65" w:type="dxa"/>
            <w:vAlign w:val="center"/>
          </w:tcPr>
          <w:p w14:paraId="4A3ABF40">
            <w:pPr>
              <w:spacing w:line="43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9089" w:type="dxa"/>
            <w:vAlign w:val="center"/>
          </w:tcPr>
          <w:p w14:paraId="710AC5C7">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开标一览表</w:t>
            </w:r>
          </w:p>
        </w:tc>
      </w:tr>
      <w:tr w14:paraId="457A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F02ABEE">
            <w:pPr>
              <w:autoSpaceDE w:val="0"/>
              <w:autoSpaceDN w:val="0"/>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w:t>
            </w:r>
          </w:p>
        </w:tc>
        <w:tc>
          <w:tcPr>
            <w:tcW w:w="9089" w:type="dxa"/>
            <w:vAlign w:val="center"/>
          </w:tcPr>
          <w:p w14:paraId="245CD151">
            <w:p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投标分项报价表</w:t>
            </w:r>
          </w:p>
        </w:tc>
      </w:tr>
    </w:tbl>
    <w:p w14:paraId="16DBFD52">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3A77A2B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13.1本项目通过“</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平台（</w:t>
      </w:r>
      <w:r>
        <w:rPr>
          <w:rFonts w:hint="eastAsia" w:ascii="宋体" w:hAnsi="宋体" w:eastAsia="宋体" w:cs="宋体"/>
          <w:color w:val="auto"/>
          <w:sz w:val="22"/>
          <w:szCs w:val="22"/>
          <w:highlight w:val="none"/>
        </w:rPr>
        <w:t>http://</w:t>
      </w:r>
      <w:r>
        <w:rPr>
          <w:rFonts w:hint="eastAsia" w:ascii="宋体" w:hAnsi="宋体" w:cs="宋体"/>
          <w:color w:val="auto"/>
          <w:sz w:val="22"/>
          <w:szCs w:val="22"/>
          <w:highlight w:val="none"/>
          <w:lang w:eastAsia="zh-CN"/>
        </w:rPr>
        <w:t>www.lecaiyun.com</w:t>
      </w:r>
      <w:r>
        <w:rPr>
          <w:rFonts w:hint="eastAsia" w:ascii="新宋体" w:hAnsi="新宋体" w:eastAsia="新宋体" w:cs="新宋体"/>
          <w:color w:val="auto"/>
          <w:sz w:val="22"/>
          <w:szCs w:val="22"/>
          <w:highlight w:val="none"/>
        </w:rPr>
        <w:t>）”实行在线投标响应（电子投标）。供应商应通过“</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电子交易客户端”，并按照本采购文件和“</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平台”的要求编制并加密投标文件。</w:t>
      </w:r>
    </w:p>
    <w:p w14:paraId="0BA7076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13.2</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应当按照本章节 “投标文件组成”规定的内容及顺序在“</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电子交易客户端”编制投标文件。其中“资格审查资料”和“商务技术文件”中不得出现本项目投标报价，如因</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原因提前泄露投标报价，是</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的责任。</w:t>
      </w:r>
    </w:p>
    <w:p w14:paraId="3598496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13.3本采购文件“第四部分 投标文件格式”中有提供格式的，</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1870E0DC">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13.4投标文件内容不完整、编排混乱导致投标文件被误读、漏读或者查找不到相关内容的，是</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的责任。</w:t>
      </w:r>
    </w:p>
    <w:p w14:paraId="5FE64AEA">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13.5投标文件因字迹潦草或表达不清所引起的后果由</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负责。</w:t>
      </w:r>
    </w:p>
    <w:p w14:paraId="7091D254">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13.6 </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没有按照本章节 “投标文件组成”要求提供全部资料，或者没有仔细阅读采购文件，或者没有对采购文件在各方面的要求作出实质性响应是</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的风险，由此造成的一切后果由</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自行承担。</w:t>
      </w:r>
    </w:p>
    <w:p w14:paraId="7CD4F859">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4C4A548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14.1投标文件的签章要求：</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须知前附表；</w:t>
      </w:r>
    </w:p>
    <w:p w14:paraId="0E09311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14.2投标文件应由</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法定代表人或其授权代表签章（电子签章），并时加盖</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公章（电子签章）。</w:t>
      </w:r>
    </w:p>
    <w:p w14:paraId="11CA171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14.3电子签章操作指南详见采购公告附件《供应商项目采购-电子招投标操作指南》。</w:t>
      </w:r>
    </w:p>
    <w:p w14:paraId="51C99C61">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4D36494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15.1投标文件的形式：见</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须知前附表；</w:t>
      </w:r>
    </w:p>
    <w:p w14:paraId="5FD59C5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15.2“电子加密投标文件”：“电子加密投标文件”是指通过“</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电子交易客户端”完成投标文件编制后生成并加密的数据电文形式的投标文件。</w:t>
      </w:r>
    </w:p>
    <w:p w14:paraId="47849DDF">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15.3“备份投标文件”：“备份投标文件”是指与“电子加密投标文件”同时生成的数据电文形式的电子文件（备份标书（bfbs 格式）），其他方式编制的“备份投标文件”视为无效的“备份投标文件”。</w:t>
      </w:r>
    </w:p>
    <w:p w14:paraId="1C2507DB">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769BB4C6">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投标文件的份数：见</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须知前附表。</w:t>
      </w:r>
    </w:p>
    <w:p w14:paraId="412D7CA9">
      <w:pPr>
        <w:tabs>
          <w:tab w:val="left" w:pos="540"/>
        </w:tabs>
        <w:spacing w:line="460" w:lineRule="exact"/>
        <w:rPr>
          <w:rFonts w:hint="eastAsia" w:ascii="新宋体" w:hAnsi="新宋体" w:eastAsia="新宋体" w:cs="新宋体"/>
          <w:b/>
          <w:bCs w:val="0"/>
          <w:color w:val="auto"/>
          <w:sz w:val="22"/>
          <w:szCs w:val="22"/>
          <w:highlight w:val="none"/>
        </w:rPr>
      </w:pPr>
      <w:r>
        <w:rPr>
          <w:rFonts w:hint="eastAsia" w:ascii="新宋体" w:hAnsi="新宋体" w:eastAsia="新宋体" w:cs="新宋体"/>
          <w:b/>
          <w:bCs w:val="0"/>
          <w:color w:val="auto"/>
          <w:sz w:val="22"/>
          <w:szCs w:val="22"/>
          <w:highlight w:val="none"/>
        </w:rPr>
        <w:t>17.投标报价</w:t>
      </w:r>
    </w:p>
    <w:p w14:paraId="5D220A6A">
      <w:pPr>
        <w:tabs>
          <w:tab w:val="left" w:pos="540"/>
        </w:tabs>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宋体" w:hAnsi="宋体" w:eastAsia="宋体" w:cs="新宋体"/>
          <w:color w:val="auto"/>
          <w:sz w:val="22"/>
          <w:szCs w:val="22"/>
          <w:highlight w:val="none"/>
        </w:rPr>
        <w:t>17.1 供应商应报出本项目采购内容所包含的所有单价和总价，并且报出价格组成表，对于供应</w:t>
      </w:r>
      <w:r>
        <w:rPr>
          <w:rFonts w:hint="eastAsia" w:ascii="宋体" w:hAnsi="宋体" w:cs="新宋体"/>
          <w:color w:val="auto"/>
          <w:sz w:val="22"/>
          <w:szCs w:val="22"/>
          <w:highlight w:val="none"/>
        </w:rPr>
        <w:t>商价格组成表中未列出的项目或没有填写单价和总价的项目,在合同执行时采购人将不予支付,并认为这些项目费用已包括在投标报价内。</w:t>
      </w:r>
    </w:p>
    <w:p w14:paraId="37AA33FE">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投标人须认真阅读、充分理解采购文件，如有疑问可在询疑截止时间前送达（或传真）采购代理机构，采购代理机构将会统一解答。任何因对本项目采购文件理解不清、产生歧义等由此产生的费用，视作以含在投标报价中。</w:t>
      </w:r>
    </w:p>
    <w:p w14:paraId="5B30F6BD">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投标人必须按第三部分附件的开标一览表（统一格式）、投标分项报价表（统一格式）的内容填写单价、合价及其他事项，并由法定代表人或授权代表签署。</w:t>
      </w:r>
    </w:p>
    <w:p w14:paraId="58167D56">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所有投标报价均以人民币报价。</w:t>
      </w:r>
    </w:p>
    <w:p w14:paraId="26F48DCA">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17.5 采购人不接受任何选择报价，对每一项货物/服务只允许一个报价。</w:t>
      </w:r>
    </w:p>
    <w:p w14:paraId="5BABE3DD">
      <w:pPr>
        <w:tabs>
          <w:tab w:val="left" w:pos="54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采购人要求分类报价是为了方便评标，但在任何情况下不限制采购人以其认为最合适的条款、条件签订合同的权利。</w:t>
      </w:r>
    </w:p>
    <w:p w14:paraId="768CC0E7">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报价是成交的一个重要因素，但最低报价不是成交的唯一依据。</w:t>
      </w:r>
    </w:p>
    <w:p w14:paraId="2A27E2F4">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18. </w:t>
      </w:r>
      <w:r>
        <w:rPr>
          <w:rFonts w:hint="eastAsia" w:ascii="新宋体" w:hAnsi="新宋体" w:eastAsia="新宋体" w:cs="新宋体"/>
          <w:b/>
          <w:bCs/>
          <w:color w:val="auto"/>
          <w:sz w:val="22"/>
          <w:szCs w:val="22"/>
          <w:highlight w:val="none"/>
          <w:lang w:eastAsia="zh-CN"/>
        </w:rPr>
        <w:t>供应商</w:t>
      </w:r>
      <w:r>
        <w:rPr>
          <w:rFonts w:hint="eastAsia" w:ascii="新宋体" w:hAnsi="新宋体" w:eastAsia="新宋体" w:cs="新宋体"/>
          <w:b/>
          <w:bCs/>
          <w:color w:val="auto"/>
          <w:sz w:val="22"/>
          <w:szCs w:val="22"/>
          <w:highlight w:val="none"/>
        </w:rPr>
        <w:t>如发生下列情况之一，将上报同级采购监督管理部门，追究其责任：</w:t>
      </w:r>
    </w:p>
    <w:p w14:paraId="2F3917A6">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在采购文件规定的投标有效期内撤回投标；</w:t>
      </w:r>
    </w:p>
    <w:p w14:paraId="002477C5">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未按中标通知书中规定的时间与采购人签订合同；</w:t>
      </w:r>
    </w:p>
    <w:p w14:paraId="45B5AF7E">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在采购文件中提供虚假技术指标及参数，经评标委员会确认属实的。</w:t>
      </w:r>
    </w:p>
    <w:p w14:paraId="3E2C4087">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经同级采购监督管理部门审查认定</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有违反有关法律法规的行为。</w:t>
      </w:r>
    </w:p>
    <w:p w14:paraId="7C36C83D">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19. 投标有效期</w:t>
      </w:r>
    </w:p>
    <w:p w14:paraId="263A1556">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462112A8">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协商延长投标有效期，这种要求和答复均以书面形式进行。</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可拒绝接受延期要求。同意延长投标有效期的</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不得修改投标文件</w:t>
      </w:r>
      <w:r>
        <w:rPr>
          <w:rFonts w:hint="eastAsia" w:ascii="新宋体" w:hAnsi="新宋体" w:eastAsia="新宋体" w:cs="新宋体"/>
          <w:color w:val="auto"/>
          <w:sz w:val="22"/>
          <w:szCs w:val="22"/>
          <w:highlight w:val="none"/>
        </w:rPr>
        <w:t>。</w:t>
      </w:r>
    </w:p>
    <w:p w14:paraId="1F8444D1">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114" w:name="_Toc251592737"/>
      <w:bookmarkStart w:id="115" w:name="_Toc221356951"/>
      <w:bookmarkStart w:id="116" w:name="_Toc246261265"/>
      <w:bookmarkStart w:id="117" w:name="_Toc251325214"/>
      <w:bookmarkStart w:id="118" w:name="_Toc222114879"/>
      <w:bookmarkStart w:id="119" w:name="_Toc245722281"/>
      <w:bookmarkStart w:id="120" w:name="_Toc252194852"/>
      <w:bookmarkStart w:id="121" w:name="_Toc241404202"/>
      <w:bookmarkStart w:id="122" w:name="_Toc239145354"/>
      <w:bookmarkStart w:id="123" w:name="_Toc223715998"/>
      <w:bookmarkStart w:id="124" w:name="_Toc245191314"/>
      <w:bookmarkStart w:id="125" w:name="_Toc221356887"/>
      <w:bookmarkStart w:id="126" w:name="_Toc16543"/>
      <w:bookmarkStart w:id="127" w:name="_Toc221374626"/>
      <w:bookmarkStart w:id="128" w:name="_Toc221423619"/>
      <w:bookmarkStart w:id="129" w:name="_Toc5473"/>
      <w:r>
        <w:rPr>
          <w:rFonts w:hint="eastAsia" w:ascii="新宋体" w:hAnsi="新宋体" w:eastAsia="新宋体" w:cs="新宋体"/>
          <w:color w:val="auto"/>
          <w:sz w:val="22"/>
          <w:szCs w:val="22"/>
          <w:highlight w:val="none"/>
        </w:rPr>
        <w:t>四、 投标文件的递交</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5957D7A">
      <w:pPr>
        <w:tabs>
          <w:tab w:val="left" w:pos="540"/>
        </w:tabs>
        <w:spacing w:line="460" w:lineRule="exact"/>
        <w:rPr>
          <w:rFonts w:hint="eastAsia" w:ascii="新宋体" w:hAnsi="新宋体" w:eastAsia="新宋体" w:cs="新宋体"/>
          <w:b/>
          <w:bCs/>
          <w:color w:val="auto"/>
          <w:kern w:val="0"/>
          <w:sz w:val="22"/>
          <w:szCs w:val="22"/>
          <w:highlight w:val="none"/>
        </w:rPr>
      </w:pPr>
      <w:bookmarkStart w:id="130" w:name="_Toc246261266"/>
      <w:bookmarkStart w:id="131" w:name="_Toc245191315"/>
      <w:bookmarkStart w:id="132" w:name="_Toc222114880"/>
      <w:bookmarkStart w:id="133" w:name="_Toc252194853"/>
      <w:bookmarkStart w:id="134" w:name="_Toc221423620"/>
      <w:bookmarkStart w:id="135" w:name="_Toc221356952"/>
      <w:bookmarkStart w:id="136" w:name="_Toc221374627"/>
      <w:bookmarkStart w:id="137" w:name="_Toc223715999"/>
      <w:bookmarkStart w:id="138" w:name="_Toc251325215"/>
      <w:bookmarkStart w:id="139" w:name="_Toc239145355"/>
      <w:bookmarkStart w:id="140" w:name="_Toc251592738"/>
      <w:bookmarkStart w:id="141" w:name="_Toc221356888"/>
      <w:bookmarkStart w:id="142" w:name="_Toc245722282"/>
      <w:bookmarkStart w:id="143" w:name="_Toc241404203"/>
      <w:r>
        <w:rPr>
          <w:rFonts w:hint="eastAsia" w:ascii="新宋体" w:hAnsi="新宋体" w:eastAsia="新宋体" w:cs="新宋体"/>
          <w:b/>
          <w:bCs/>
          <w:color w:val="auto"/>
          <w:kern w:val="0"/>
          <w:sz w:val="22"/>
          <w:szCs w:val="22"/>
          <w:highlight w:val="none"/>
        </w:rPr>
        <w:t>20. 投标文件的递交</w:t>
      </w:r>
    </w:p>
    <w:p w14:paraId="5CA6896A">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投标文件的上传、递交：见</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须知前附表。</w:t>
      </w:r>
    </w:p>
    <w:p w14:paraId="242D9A79">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30D5764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“电子加密投标文件”解密：见</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须知前附表。</w:t>
      </w:r>
    </w:p>
    <w:p w14:paraId="53B5DEA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01EA252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w:t>
      </w:r>
      <w:r>
        <w:rPr>
          <w:rFonts w:hint="eastAsia" w:ascii="新宋体" w:hAnsi="新宋体" w:eastAsia="新宋体" w:cs="新宋体"/>
          <w:bCs/>
          <w:color w:val="auto"/>
          <w:kern w:val="0"/>
          <w:sz w:val="22"/>
          <w:szCs w:val="22"/>
          <w:highlight w:val="none"/>
          <w:lang w:eastAsia="zh-CN"/>
        </w:rPr>
        <w:t>乐采云</w:t>
      </w:r>
      <w:r>
        <w:rPr>
          <w:rFonts w:hint="eastAsia" w:ascii="新宋体" w:hAnsi="新宋体" w:eastAsia="新宋体" w:cs="新宋体"/>
          <w:bCs/>
          <w:color w:val="auto"/>
          <w:kern w:val="0"/>
          <w:sz w:val="22"/>
          <w:szCs w:val="22"/>
          <w:highlight w:val="none"/>
        </w:rPr>
        <w:t>平台”将予以拒收。</w:t>
      </w:r>
    </w:p>
    <w:p w14:paraId="1F616A5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22.2投标文件递交截止时间后，</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不得撤回、修改投标文件。</w:t>
      </w:r>
    </w:p>
    <w:p w14:paraId="51A292CA">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435F4E6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不得递交任何的投标备选（替代）方案，否则其投标文件将作无效标处理。与“电子加密投标文件”同时生成的“备份投标文件</w:t>
      </w:r>
      <w:r>
        <w:rPr>
          <w:rFonts w:hint="eastAsia" w:ascii="新宋体" w:hAnsi="新宋体" w:eastAsia="新宋体" w:cs="新宋体"/>
          <w:color w:val="auto"/>
          <w:sz w:val="22"/>
          <w:szCs w:val="22"/>
          <w:highlight w:val="none"/>
        </w:rPr>
        <w:t>（bfbs 格式）</w:t>
      </w:r>
      <w:r>
        <w:rPr>
          <w:rFonts w:hint="eastAsia" w:ascii="新宋体" w:hAnsi="新宋体" w:eastAsia="新宋体" w:cs="新宋体"/>
          <w:bCs/>
          <w:color w:val="auto"/>
          <w:kern w:val="0"/>
          <w:sz w:val="22"/>
          <w:szCs w:val="22"/>
          <w:highlight w:val="none"/>
        </w:rPr>
        <w:t>”不是投标备选（替代）方案。</w:t>
      </w:r>
    </w:p>
    <w:p w14:paraId="2E819775">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144" w:name="_Toc865"/>
      <w:bookmarkStart w:id="145" w:name="_Toc16576"/>
      <w:r>
        <w:rPr>
          <w:rFonts w:hint="eastAsia" w:ascii="新宋体" w:hAnsi="新宋体" w:eastAsia="新宋体" w:cs="新宋体"/>
          <w:color w:val="auto"/>
          <w:sz w:val="22"/>
          <w:szCs w:val="22"/>
          <w:highlight w:val="none"/>
        </w:rPr>
        <w:t>五、 开标和评标</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5E7B75E">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0ADFC92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采购组织机构将按照采购文件规定的时间通过“</w:t>
      </w:r>
      <w:r>
        <w:rPr>
          <w:rFonts w:hint="eastAsia" w:ascii="新宋体" w:hAnsi="新宋体" w:eastAsia="新宋体" w:cs="新宋体"/>
          <w:bCs/>
          <w:color w:val="auto"/>
          <w:kern w:val="0"/>
          <w:sz w:val="22"/>
          <w:szCs w:val="22"/>
          <w:highlight w:val="none"/>
          <w:lang w:eastAsia="zh-CN"/>
        </w:rPr>
        <w:t>乐采云</w:t>
      </w:r>
      <w:r>
        <w:rPr>
          <w:rFonts w:hint="eastAsia" w:ascii="新宋体" w:hAnsi="新宋体" w:eastAsia="新宋体" w:cs="新宋体"/>
          <w:bCs/>
          <w:color w:val="auto"/>
          <w:kern w:val="0"/>
          <w:sz w:val="22"/>
          <w:szCs w:val="22"/>
          <w:highlight w:val="none"/>
        </w:rPr>
        <w:t>平台”组织开标、开启投标文件，所有供应商均应当准时在线参加。</w:t>
      </w:r>
    </w:p>
    <w:p w14:paraId="58F4BF62">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1644EF2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25.1开标的准备工作由采购组织机构负责落实。</w:t>
      </w:r>
    </w:p>
    <w:p w14:paraId="63D1F4E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25.2采购组织机构将按照采购文件规定的时间通过“</w:t>
      </w:r>
      <w:r>
        <w:rPr>
          <w:rFonts w:hint="eastAsia" w:ascii="新宋体" w:hAnsi="新宋体" w:eastAsia="新宋体" w:cs="新宋体"/>
          <w:bCs/>
          <w:color w:val="auto"/>
          <w:kern w:val="0"/>
          <w:sz w:val="22"/>
          <w:szCs w:val="22"/>
          <w:highlight w:val="none"/>
          <w:lang w:eastAsia="zh-CN"/>
        </w:rPr>
        <w:t>乐采云</w:t>
      </w:r>
      <w:r>
        <w:rPr>
          <w:rFonts w:hint="eastAsia" w:ascii="新宋体" w:hAnsi="新宋体" w:eastAsia="新宋体" w:cs="新宋体"/>
          <w:bCs/>
          <w:color w:val="auto"/>
          <w:kern w:val="0"/>
          <w:sz w:val="22"/>
          <w:szCs w:val="22"/>
          <w:highlight w:val="none"/>
        </w:rPr>
        <w:t>平台”组织开标、开启投标文件，所有供应商均应当准时在线参加。</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如不参加开标大会的，视同认可开标结果，事后不得对采购相关人员、开标过程和开标结果提出异议，同时</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因未在线参加开标而导致投标文件无法按时解密等一切后果由供应商自己承担。</w:t>
      </w:r>
    </w:p>
    <w:p w14:paraId="43FE54D1">
      <w:pPr>
        <w:numPr>
          <w:ilvl w:val="0"/>
          <w:numId w:val="0"/>
        </w:num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26.</w:t>
      </w:r>
      <w:r>
        <w:rPr>
          <w:rFonts w:hint="eastAsia" w:ascii="新宋体" w:hAnsi="新宋体" w:eastAsia="新宋体" w:cs="新宋体"/>
          <w:b/>
          <w:bCs/>
          <w:color w:val="auto"/>
          <w:kern w:val="0"/>
          <w:sz w:val="22"/>
          <w:szCs w:val="22"/>
          <w:highlight w:val="none"/>
        </w:rPr>
        <w:t>开标流程</w:t>
      </w:r>
    </w:p>
    <w:p w14:paraId="7B199796">
      <w:pPr>
        <w:tabs>
          <w:tab w:val="left" w:pos="540"/>
        </w:tabs>
        <w:spacing w:line="460" w:lineRule="exact"/>
        <w:rPr>
          <w:rFonts w:hint="eastAsia" w:ascii="宋体" w:hAnsi="宋体" w:cs="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   </w:t>
      </w:r>
      <w:r>
        <w:rPr>
          <w:rFonts w:hint="eastAsia" w:ascii="宋体" w:hAnsi="宋体" w:cs="宋体"/>
          <w:b/>
          <w:bCs/>
          <w:color w:val="auto"/>
          <w:kern w:val="0"/>
          <w:sz w:val="22"/>
          <w:szCs w:val="22"/>
          <w:highlight w:val="none"/>
        </w:rPr>
        <w:t>（1）向各</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发出电子加密投标文件【开始解密】通知，由</w:t>
      </w:r>
      <w:r>
        <w:rPr>
          <w:rFonts w:hint="eastAsia" w:ascii="宋体" w:hAnsi="宋体" w:cs="宋体"/>
          <w:b/>
          <w:bCs/>
          <w:color w:val="auto"/>
          <w:kern w:val="0"/>
          <w:sz w:val="22"/>
          <w:szCs w:val="22"/>
          <w:highlight w:val="none"/>
          <w:lang w:val="en-US" w:eastAsia="zh-CN"/>
        </w:rPr>
        <w:t>供应商</w:t>
      </w:r>
      <w:r>
        <w:rPr>
          <w:rFonts w:hint="eastAsia" w:ascii="宋体" w:hAnsi="宋体" w:cs="宋体"/>
          <w:b/>
          <w:bCs/>
          <w:color w:val="auto"/>
          <w:kern w:val="0"/>
          <w:sz w:val="22"/>
          <w:szCs w:val="22"/>
          <w:highlight w:val="none"/>
        </w:rPr>
        <w:t>按采购文件规定的时间内自行进行投标文件解密。</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在规定的时间内（开标时间起半个小时内）无法完成已递交的“电子加密投标文件”解密的，如已按规定递交了备份投标文件的，将由采购组织机构按“</w:t>
      </w:r>
      <w:r>
        <w:rPr>
          <w:rFonts w:hint="eastAsia" w:ascii="宋体" w:hAnsi="宋体" w:cs="宋体"/>
          <w:b/>
          <w:bCs/>
          <w:color w:val="auto"/>
          <w:kern w:val="0"/>
          <w:sz w:val="22"/>
          <w:szCs w:val="22"/>
          <w:highlight w:val="none"/>
          <w:lang w:eastAsia="zh-CN"/>
        </w:rPr>
        <w:t>乐采云</w:t>
      </w:r>
      <w:r>
        <w:rPr>
          <w:rFonts w:hint="eastAsia" w:ascii="宋体" w:hAnsi="宋体" w:cs="宋体"/>
          <w:b/>
          <w:bCs/>
          <w:color w:val="auto"/>
          <w:kern w:val="0"/>
          <w:sz w:val="22"/>
          <w:szCs w:val="22"/>
          <w:highlight w:val="none"/>
        </w:rPr>
        <w:t>平台”操作规范将备份投标文件上传至“</w:t>
      </w:r>
      <w:r>
        <w:rPr>
          <w:rFonts w:hint="eastAsia" w:ascii="宋体" w:hAnsi="宋体" w:cs="宋体"/>
          <w:b/>
          <w:bCs/>
          <w:color w:val="auto"/>
          <w:kern w:val="0"/>
          <w:sz w:val="22"/>
          <w:szCs w:val="22"/>
          <w:highlight w:val="none"/>
          <w:lang w:eastAsia="zh-CN"/>
        </w:rPr>
        <w:t>乐采云</w:t>
      </w:r>
      <w:r>
        <w:rPr>
          <w:rFonts w:hint="eastAsia" w:ascii="宋体" w:hAnsi="宋体" w:cs="宋体"/>
          <w:b/>
          <w:bCs/>
          <w:color w:val="auto"/>
          <w:kern w:val="0"/>
          <w:sz w:val="22"/>
          <w:szCs w:val="22"/>
          <w:highlight w:val="none"/>
        </w:rPr>
        <w:t>平台”，上传成功后，“电子加密投标文件”自动失效；</w:t>
      </w:r>
    </w:p>
    <w:p w14:paraId="61BE0786">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签署《采购活动现场确认声明书》（见附件）后将扫描件发送至采购代理机构邮箱：zhengzhanjianshe@163.com；</w:t>
      </w:r>
    </w:p>
    <w:p w14:paraId="63D0487A">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w:t>
      </w:r>
      <w:r>
        <w:rPr>
          <w:rFonts w:hint="eastAsia" w:ascii="宋体" w:hAnsi="宋体" w:cs="宋体"/>
          <w:b/>
          <w:bCs/>
          <w:color w:val="auto"/>
          <w:kern w:val="0"/>
          <w:sz w:val="22"/>
          <w:szCs w:val="22"/>
          <w:highlight w:val="none"/>
          <w:lang w:eastAsia="zh-CN"/>
        </w:rPr>
        <w:t>乐采云</w:t>
      </w:r>
      <w:r>
        <w:rPr>
          <w:rFonts w:hint="eastAsia" w:ascii="宋体" w:hAnsi="宋体" w:cs="宋体"/>
          <w:b/>
          <w:bCs/>
          <w:color w:val="auto"/>
          <w:kern w:val="0"/>
          <w:sz w:val="22"/>
          <w:szCs w:val="22"/>
          <w:highlight w:val="none"/>
        </w:rPr>
        <w:t>平台”系统平台上公布开标一览表有关内容，</w:t>
      </w:r>
      <w:r>
        <w:rPr>
          <w:rFonts w:hint="eastAsia" w:ascii="宋体" w:hAnsi="宋体" w:cs="宋体"/>
          <w:b/>
          <w:bCs/>
          <w:color w:val="auto"/>
          <w:kern w:val="0"/>
          <w:sz w:val="22"/>
          <w:szCs w:val="22"/>
          <w:highlight w:val="none"/>
          <w:lang w:val="en-US" w:eastAsia="zh-CN"/>
        </w:rPr>
        <w:t>供应商在线确认。</w:t>
      </w:r>
    </w:p>
    <w:p w14:paraId="739A49FC">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的资格进行审查</w:t>
      </w:r>
      <w:r>
        <w:rPr>
          <w:rFonts w:hint="eastAsia" w:ascii="宋体" w:hAnsi="宋体" w:cs="宋体"/>
          <w:b/>
          <w:bCs/>
          <w:color w:val="auto"/>
          <w:kern w:val="0"/>
          <w:sz w:val="22"/>
          <w:szCs w:val="22"/>
          <w:highlight w:val="none"/>
          <w:lang w:eastAsia="zh-CN"/>
        </w:rPr>
        <w:t>；</w:t>
      </w:r>
    </w:p>
    <w:p w14:paraId="29414D5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rPr>
        <w:t>）资格审查通过的</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的商务技术文件进入符合性审查、商务技术评审；</w:t>
      </w:r>
    </w:p>
    <w:p w14:paraId="48C5C6E7">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6商务技术评审完成后</w:t>
      </w:r>
      <w:r>
        <w:rPr>
          <w:rFonts w:hint="eastAsia" w:ascii="宋体" w:hAnsi="宋体" w:cs="宋体"/>
          <w:b/>
          <w:bCs/>
          <w:color w:val="auto"/>
          <w:kern w:val="0"/>
          <w:sz w:val="22"/>
          <w:szCs w:val="22"/>
          <w:highlight w:val="none"/>
        </w:rPr>
        <w:t>在“</w:t>
      </w:r>
      <w:r>
        <w:rPr>
          <w:rFonts w:hint="eastAsia" w:ascii="宋体" w:hAnsi="宋体" w:cs="宋体"/>
          <w:b/>
          <w:bCs/>
          <w:color w:val="auto"/>
          <w:kern w:val="0"/>
          <w:sz w:val="22"/>
          <w:szCs w:val="22"/>
          <w:highlight w:val="none"/>
          <w:lang w:eastAsia="zh-CN"/>
        </w:rPr>
        <w:t>乐采云</w:t>
      </w:r>
      <w:r>
        <w:rPr>
          <w:rFonts w:hint="eastAsia" w:ascii="宋体" w:hAnsi="宋体" w:cs="宋体"/>
          <w:b/>
          <w:bCs/>
          <w:color w:val="auto"/>
          <w:kern w:val="0"/>
          <w:sz w:val="22"/>
          <w:szCs w:val="22"/>
          <w:highlight w:val="none"/>
        </w:rPr>
        <w:t>平台”系统平台上公布符合性审查、商务技术评审无效供应商名称及理由；公布经商务技术评审后有效</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的名单，同时公布其商务技术部分得分情况</w:t>
      </w:r>
      <w:r>
        <w:rPr>
          <w:rFonts w:hint="eastAsia" w:ascii="宋体" w:hAnsi="宋体" w:cs="宋体"/>
          <w:b/>
          <w:bCs/>
          <w:color w:val="auto"/>
          <w:kern w:val="0"/>
          <w:sz w:val="22"/>
          <w:szCs w:val="22"/>
          <w:highlight w:val="none"/>
          <w:lang w:eastAsia="zh-CN"/>
        </w:rPr>
        <w:t>；</w:t>
      </w:r>
    </w:p>
    <w:p w14:paraId="61B958D2">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w:t>
      </w:r>
      <w:r>
        <w:rPr>
          <w:rFonts w:hint="eastAsia" w:ascii="宋体" w:hAnsi="宋体" w:cs="宋体"/>
          <w:b/>
          <w:bCs/>
          <w:color w:val="auto"/>
          <w:kern w:val="0"/>
          <w:sz w:val="22"/>
          <w:szCs w:val="22"/>
          <w:highlight w:val="none"/>
          <w:lang w:eastAsia="zh-CN"/>
        </w:rPr>
        <w:t>供应商</w:t>
      </w:r>
      <w:r>
        <w:rPr>
          <w:rFonts w:hint="eastAsia" w:ascii="宋体" w:hAnsi="宋体" w:cs="宋体"/>
          <w:b/>
          <w:bCs/>
          <w:color w:val="auto"/>
          <w:kern w:val="0"/>
          <w:sz w:val="22"/>
          <w:szCs w:val="22"/>
          <w:highlight w:val="none"/>
        </w:rPr>
        <w:t>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7A0FD1CC">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8</w:t>
      </w:r>
      <w:r>
        <w:rPr>
          <w:rFonts w:hint="eastAsia" w:ascii="宋体" w:hAnsi="宋体" w:cs="宋体"/>
          <w:b/>
          <w:bCs/>
          <w:color w:val="auto"/>
          <w:kern w:val="0"/>
          <w:sz w:val="22"/>
          <w:szCs w:val="22"/>
          <w:highlight w:val="none"/>
        </w:rPr>
        <w:t>）评审结束后，在“</w:t>
      </w:r>
      <w:r>
        <w:rPr>
          <w:rFonts w:hint="eastAsia" w:ascii="宋体" w:hAnsi="宋体" w:cs="宋体"/>
          <w:b/>
          <w:bCs/>
          <w:color w:val="auto"/>
          <w:kern w:val="0"/>
          <w:sz w:val="22"/>
          <w:szCs w:val="22"/>
          <w:highlight w:val="none"/>
          <w:lang w:eastAsia="zh-CN"/>
        </w:rPr>
        <w:t>乐采云</w:t>
      </w:r>
      <w:r>
        <w:rPr>
          <w:rFonts w:hint="eastAsia" w:ascii="宋体" w:hAnsi="宋体" w:cs="宋体"/>
          <w:b/>
          <w:bCs/>
          <w:color w:val="auto"/>
          <w:kern w:val="0"/>
          <w:sz w:val="22"/>
          <w:szCs w:val="22"/>
          <w:highlight w:val="none"/>
        </w:rPr>
        <w:t>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17FB9109">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w:t>
      </w:r>
      <w:r>
        <w:rPr>
          <w:rFonts w:hint="eastAsia" w:ascii="宋体" w:hAnsi="宋体" w:cs="宋体"/>
          <w:b/>
          <w:bCs/>
          <w:color w:val="auto"/>
          <w:kern w:val="0"/>
          <w:sz w:val="22"/>
          <w:szCs w:val="22"/>
          <w:highlight w:val="none"/>
          <w:lang w:eastAsia="zh-CN"/>
        </w:rPr>
        <w:t>乐采云</w:t>
      </w:r>
      <w:r>
        <w:rPr>
          <w:rFonts w:hint="eastAsia" w:ascii="宋体" w:hAnsi="宋体" w:cs="宋体"/>
          <w:b/>
          <w:bCs/>
          <w:color w:val="auto"/>
          <w:kern w:val="0"/>
          <w:sz w:val="22"/>
          <w:szCs w:val="22"/>
          <w:highlight w:val="none"/>
        </w:rPr>
        <w:t>平台”电子化开标或评审程序调整的，按调整后程序执行。</w:t>
      </w:r>
    </w:p>
    <w:p w14:paraId="69CBC8AC">
      <w:pPr>
        <w:tabs>
          <w:tab w:val="left" w:pos="540"/>
        </w:tabs>
        <w:spacing w:line="460" w:lineRule="exact"/>
        <w:rPr>
          <w:rFonts w:hint="eastAsia" w:ascii="新宋体" w:hAnsi="新宋体" w:eastAsia="新宋体" w:cs="新宋体"/>
          <w:b/>
          <w:bCs/>
          <w:color w:val="auto"/>
          <w:kern w:val="0"/>
          <w:sz w:val="22"/>
          <w:szCs w:val="22"/>
          <w:highlight w:val="none"/>
        </w:rPr>
      </w:pPr>
      <w:bookmarkStart w:id="146" w:name="_Toc33194393"/>
      <w:bookmarkStart w:id="147" w:name="_Toc24550037"/>
      <w:r>
        <w:rPr>
          <w:rFonts w:hint="eastAsia" w:ascii="新宋体" w:hAnsi="新宋体" w:eastAsia="新宋体" w:cs="新宋体"/>
          <w:b/>
          <w:bCs/>
          <w:color w:val="auto"/>
          <w:kern w:val="0"/>
          <w:sz w:val="22"/>
          <w:szCs w:val="22"/>
          <w:highlight w:val="none"/>
        </w:rPr>
        <w:t xml:space="preserve">27. </w:t>
      </w:r>
      <w:r>
        <w:rPr>
          <w:rFonts w:hint="eastAsia" w:ascii="新宋体" w:hAnsi="新宋体" w:eastAsia="新宋体" w:cs="新宋体"/>
          <w:b/>
          <w:bCs/>
          <w:color w:val="auto"/>
          <w:kern w:val="0"/>
          <w:sz w:val="22"/>
          <w:szCs w:val="22"/>
          <w:highlight w:val="none"/>
          <w:lang w:eastAsia="zh-CN"/>
        </w:rPr>
        <w:t>供应商</w:t>
      </w:r>
      <w:r>
        <w:rPr>
          <w:rFonts w:hint="eastAsia" w:ascii="新宋体" w:hAnsi="新宋体" w:eastAsia="新宋体" w:cs="新宋体"/>
          <w:b/>
          <w:bCs/>
          <w:color w:val="auto"/>
          <w:kern w:val="0"/>
          <w:sz w:val="22"/>
          <w:szCs w:val="22"/>
          <w:highlight w:val="none"/>
        </w:rPr>
        <w:t>资格审查</w:t>
      </w:r>
      <w:bookmarkEnd w:id="146"/>
      <w:bookmarkEnd w:id="147"/>
    </w:p>
    <w:p w14:paraId="118F74A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27.1开标大会第一阶段结束后，采购人或采购代理机构首先依法对各</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的资格进行审查，审查各</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的资格是否满足采购文件的要求。采购人或采购代理机构对</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所提交的资格审查材料仅负审核的责任。如发现</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所提交的资格审查材料不合法或与事实不符，采购人可取消其中标资格并追究</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的法律责任。</w:t>
      </w:r>
    </w:p>
    <w:p w14:paraId="69D2C64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27.2</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提交的资格审查材料无法证明其符合采购文件规定的“</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资格要求”的，采购人或采购代理机构将对其作资格审查不通过处理（无效投标），并不再将其投标提交评标委员会进行后续评审。</w:t>
      </w:r>
    </w:p>
    <w:p w14:paraId="7B3E1314">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    27.3单位负责人为同一人或者存在直接控股、管理关系的不同供应商参加同一合同项下的采购活动的，相关</w:t>
      </w:r>
      <w:r>
        <w:rPr>
          <w:rFonts w:hint="eastAsia" w:ascii="新宋体" w:hAnsi="新宋体" w:eastAsia="新宋体" w:cs="新宋体"/>
          <w:bCs/>
          <w:color w:val="auto"/>
          <w:kern w:val="0"/>
          <w:sz w:val="22"/>
          <w:szCs w:val="22"/>
          <w:highlight w:val="none"/>
          <w:lang w:eastAsia="zh-CN"/>
        </w:rPr>
        <w:t>供应商</w:t>
      </w:r>
      <w:r>
        <w:rPr>
          <w:rFonts w:hint="eastAsia" w:ascii="新宋体" w:hAnsi="新宋体" w:eastAsia="新宋体" w:cs="新宋体"/>
          <w:bCs/>
          <w:color w:val="auto"/>
          <w:kern w:val="0"/>
          <w:sz w:val="22"/>
          <w:szCs w:val="22"/>
          <w:highlight w:val="none"/>
        </w:rPr>
        <w:t>均作资格无效处理。</w:t>
      </w:r>
    </w:p>
    <w:p w14:paraId="5BA78922">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148" w:name="_Toc94205991"/>
      <w:bookmarkStart w:id="149" w:name="_Toc2956"/>
      <w:bookmarkStart w:id="150" w:name="_Toc5536"/>
      <w:bookmarkStart w:id="151" w:name="_Toc34221900"/>
      <w:bookmarkStart w:id="152" w:name="_Toc94208453"/>
      <w:r>
        <w:rPr>
          <w:rFonts w:hint="eastAsia" w:ascii="新宋体" w:hAnsi="新宋体" w:eastAsia="新宋体" w:cs="新宋体"/>
          <w:color w:val="auto"/>
          <w:sz w:val="22"/>
          <w:szCs w:val="22"/>
          <w:highlight w:val="none"/>
        </w:rPr>
        <w:t>六、 评  标</w:t>
      </w:r>
      <w:bookmarkEnd w:id="148"/>
      <w:bookmarkEnd w:id="149"/>
      <w:bookmarkEnd w:id="150"/>
      <w:bookmarkEnd w:id="151"/>
      <w:bookmarkEnd w:id="152"/>
    </w:p>
    <w:p w14:paraId="416C7C5E">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106C9EFB">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val="en-US" w:eastAsia="zh-CN"/>
        </w:rPr>
        <w:t>按照</w:t>
      </w:r>
      <w:r>
        <w:rPr>
          <w:rFonts w:hint="eastAsia" w:ascii="新宋体" w:hAnsi="新宋体" w:eastAsia="新宋体" w:cs="新宋体"/>
          <w:color w:val="auto"/>
          <w:kern w:val="0"/>
          <w:sz w:val="22"/>
          <w:szCs w:val="22"/>
          <w:highlight w:val="none"/>
          <w:lang w:eastAsia="zh-CN"/>
        </w:rPr>
        <w:t>《温州湾新区、龙湾区区属国有企业采购管理办法》</w:t>
      </w:r>
      <w:r>
        <w:rPr>
          <w:rFonts w:hint="eastAsia" w:ascii="新宋体" w:hAnsi="新宋体" w:eastAsia="新宋体" w:cs="新宋体"/>
          <w:color w:val="auto"/>
          <w:kern w:val="0"/>
          <w:sz w:val="22"/>
          <w:szCs w:val="22"/>
          <w:highlight w:val="none"/>
        </w:rPr>
        <w:t>等有关法律、法规的规定组建评标委员会，评标委员会成员由采购人代表和有关技术、经济等方面的专家组成，成员人数为5人（含）以上单数，除采购人代表外的专家将在评标专家库中随机抽取产生。</w:t>
      </w:r>
    </w:p>
    <w:p w14:paraId="13CBBC64">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2062A39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w:t>
      </w:r>
      <w:r>
        <w:rPr>
          <w:rFonts w:hint="eastAsia" w:ascii="新宋体" w:hAnsi="新宋体" w:eastAsia="新宋体" w:cs="新宋体"/>
          <w:color w:val="auto"/>
          <w:kern w:val="0"/>
          <w:sz w:val="22"/>
          <w:szCs w:val="22"/>
          <w:highlight w:val="none"/>
          <w:lang w:eastAsia="zh-CN"/>
        </w:rPr>
        <w:t>中标供应商</w:t>
      </w:r>
      <w:r>
        <w:rPr>
          <w:rFonts w:hint="eastAsia" w:ascii="新宋体" w:hAnsi="新宋体" w:eastAsia="新宋体" w:cs="新宋体"/>
          <w:color w:val="auto"/>
          <w:kern w:val="0"/>
          <w:sz w:val="22"/>
          <w:szCs w:val="22"/>
          <w:highlight w:val="none"/>
        </w:rPr>
        <w:t>授予合同时止，凡与评审有关的资料均不得向</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及与评标无关人员透露。如果</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在评标过程中试图向采购人和采购代理机构施加影响，其投标将被拒绝。</w:t>
      </w:r>
    </w:p>
    <w:p w14:paraId="635A96E8">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17AE26F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7471D88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30.1▲</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存在下列情况之一的，投标无效</w:t>
      </w:r>
      <w:r>
        <w:rPr>
          <w:rFonts w:hint="eastAsia" w:ascii="新宋体" w:hAnsi="新宋体" w:eastAsia="新宋体" w:cs="新宋体"/>
          <w:color w:val="auto"/>
          <w:kern w:val="0"/>
          <w:sz w:val="22"/>
          <w:szCs w:val="22"/>
          <w:highlight w:val="none"/>
        </w:rPr>
        <w:t>:</w:t>
      </w:r>
    </w:p>
    <w:p w14:paraId="021214F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1）投标文件未按采购文件要求签署、盖章的；</w:t>
      </w:r>
    </w:p>
    <w:p w14:paraId="705B75E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14:paraId="538282D7">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14:paraId="2241F7DF">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4）投标文件含有采购人不能接受的附加条件的（包括采购文件中明确要求不得偏离的采购要求，存在负偏离的）；</w:t>
      </w:r>
    </w:p>
    <w:p w14:paraId="2CF858D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14:paraId="1B2C6BB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6）对关键条文的偏离、保留或反对，例如关于付款方式、完工期（服务期）、免费质保期、适用法律法规、标准、税费等其他内容；</w:t>
      </w:r>
    </w:p>
    <w:p w14:paraId="224F4568">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14:paraId="538A1248">
      <w:pPr>
        <w:pStyle w:val="2"/>
        <w:keepNext w:val="0"/>
        <w:keepLines w:val="0"/>
        <w:pageBreakBefore w:val="0"/>
        <w:widowControl w:val="0"/>
        <w:numPr>
          <w:ilvl w:val="0"/>
          <w:numId w:val="0"/>
        </w:numPr>
        <w:kinsoku/>
        <w:wordWrap/>
        <w:overflowPunct/>
        <w:topLinePunct w:val="0"/>
        <w:autoSpaceDE/>
        <w:autoSpaceDN/>
        <w:bidi w:val="0"/>
        <w:snapToGrid w:val="0"/>
        <w:spacing w:line="440" w:lineRule="exact"/>
        <w:ind w:leftChars="190"/>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8）法律、法规和采购文件规定的其他无效情形（或出现重大偏差）</w:t>
      </w:r>
      <w:r>
        <w:rPr>
          <w:rFonts w:hint="eastAsia" w:ascii="新宋体" w:hAnsi="新宋体" w:eastAsia="新宋体" w:cs="新宋体"/>
          <w:color w:val="auto"/>
          <w:kern w:val="0"/>
          <w:sz w:val="22"/>
          <w:szCs w:val="22"/>
          <w:highlight w:val="none"/>
          <w:lang w:eastAsia="zh-CN"/>
        </w:rPr>
        <w:t>；</w:t>
      </w:r>
    </w:p>
    <w:p w14:paraId="7C91CFD2">
      <w:pPr>
        <w:spacing w:line="460" w:lineRule="exact"/>
        <w:ind w:firstLine="440" w:firstLineChars="20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9）不同供应商的电子投标（响应）文件上传的IP地址、MAC地址、硬盘序列号等硬件信息相同且无法合理解释的；</w:t>
      </w:r>
    </w:p>
    <w:p w14:paraId="0ABE97FE">
      <w:pPr>
        <w:spacing w:line="460" w:lineRule="exact"/>
        <w:ind w:firstLine="440" w:firstLineChars="20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10）不同供应商的电子投标（响应）文件上传时的联系人或手机号信息相同且无法合理解释的；</w:t>
      </w:r>
    </w:p>
    <w:p w14:paraId="1086664D">
      <w:pPr>
        <w:spacing w:line="460" w:lineRule="exact"/>
        <w:ind w:firstLine="440" w:firstLineChars="20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11）上传的电子投标（响应）文件若出现使用本项目其他投标（响应）供应商的数字证书加密的，或者加盖本项目其他投标（响应）供应商的电子印章的；</w:t>
      </w:r>
    </w:p>
    <w:p w14:paraId="2AAE4855">
      <w:pPr>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12）不同供应商的投标（响应）文件的内容存在三处（含）以上错误一致的。</w:t>
      </w:r>
    </w:p>
    <w:p w14:paraId="36B7E43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30.2▲</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14:paraId="6E453A98">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14:paraId="35906E9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2）除30.1条款以外，出现其它明显不符合技术规格、技术标准的要求或不满足采购文件技术规格书中的主要参数的投标文件；</w:t>
      </w:r>
    </w:p>
    <w:p w14:paraId="353DE989">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3）除30.1条款以外，出现投标项目数量与采购文件对比出现较大偏差；报价文件明细表计算错误，出现较大差错；</w:t>
      </w:r>
    </w:p>
    <w:p w14:paraId="479BB8B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4）除30.1条款以外，出现其它不符合采购文件中规定的实质性要求的投标文件，是否为偏离实质性要求由评标委员会认定。</w:t>
      </w:r>
    </w:p>
    <w:p w14:paraId="3973E68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30.3</w:t>
      </w:r>
      <w:r>
        <w:rPr>
          <w:rFonts w:hint="eastAsia" w:ascii="新宋体" w:hAnsi="新宋体" w:eastAsia="新宋体" w:cs="新宋体"/>
          <w:b/>
          <w:bCs/>
          <w:color w:val="auto"/>
          <w:kern w:val="0"/>
          <w:sz w:val="22"/>
          <w:szCs w:val="22"/>
          <w:highlight w:val="none"/>
          <w:u w:val="single"/>
        </w:rPr>
        <w:t>有下列情形之一的，视为</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串通投标，其投标无效</w:t>
      </w:r>
      <w:r>
        <w:rPr>
          <w:rFonts w:hint="eastAsia" w:ascii="新宋体" w:hAnsi="新宋体" w:eastAsia="新宋体" w:cs="新宋体"/>
          <w:color w:val="auto"/>
          <w:kern w:val="0"/>
          <w:sz w:val="22"/>
          <w:szCs w:val="22"/>
          <w:highlight w:val="none"/>
        </w:rPr>
        <w:t>：</w:t>
      </w:r>
    </w:p>
    <w:p w14:paraId="5C30D44A">
      <w:pPr>
        <w:numPr>
          <w:ilvl w:val="0"/>
          <w:numId w:val="5"/>
        </w:num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的投标文件由同一单位或者个人编制；</w:t>
      </w:r>
    </w:p>
    <w:p w14:paraId="485857A2">
      <w:pPr>
        <w:numPr>
          <w:ilvl w:val="0"/>
          <w:numId w:val="5"/>
        </w:numPr>
        <w:spacing w:line="460" w:lineRule="exact"/>
        <w:ind w:left="0" w:leftChars="0"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委托同一单位或者个人办理投标事宜；</w:t>
      </w:r>
    </w:p>
    <w:p w14:paraId="746D840E">
      <w:pPr>
        <w:numPr>
          <w:ilvl w:val="0"/>
          <w:numId w:val="5"/>
        </w:numPr>
        <w:spacing w:line="460" w:lineRule="exact"/>
        <w:ind w:left="0" w:leftChars="0"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的投标文件载明的项目管理成员或者联系人员为同一人；</w:t>
      </w:r>
    </w:p>
    <w:p w14:paraId="404C4FF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的投标文件异常一致或者投标报价呈规律性差异；</w:t>
      </w:r>
    </w:p>
    <w:p w14:paraId="6BF4E014">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的投标文件相互混装；</w:t>
      </w:r>
    </w:p>
    <w:p w14:paraId="4E49A97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30.4在详细评标之前，评标委员会要审查每份投标文件是否实质上响应了采购文件的要求。实质上响应的投标应该是与采购文件要求的全部条款、条件和规格基本相符。没有重大偏离。</w:t>
      </w:r>
    </w:p>
    <w:p w14:paraId="364D68B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30.5实质上没有响应采购文件要求的投标将被否决，</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不得通过修正或撤消不合要求的偏离或保留从而使其投标成为实质上响应的投标。</w:t>
      </w:r>
    </w:p>
    <w:p w14:paraId="4DEAC89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59FEC31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 xml:space="preserve">    31.1</w:t>
      </w:r>
      <w:r>
        <w:rPr>
          <w:rFonts w:hint="eastAsia" w:ascii="新宋体" w:hAnsi="新宋体" w:eastAsia="新宋体" w:cs="新宋体"/>
          <w:b/>
          <w:bCs/>
          <w:color w:val="auto"/>
          <w:sz w:val="22"/>
          <w:szCs w:val="22"/>
          <w:highlight w:val="none"/>
        </w:rPr>
        <w:t>为有助于投标文件的审查、评价和比较，</w:t>
      </w:r>
      <w:r>
        <w:rPr>
          <w:rFonts w:hint="eastAsia" w:ascii="新宋体" w:hAnsi="新宋体" w:eastAsia="新宋体" w:cs="新宋体"/>
          <w:b/>
          <w:bCs/>
          <w:color w:val="auto"/>
          <w:sz w:val="22"/>
          <w:szCs w:val="22"/>
          <w:highlight w:val="none"/>
          <w:lang w:eastAsia="zh-CN"/>
        </w:rPr>
        <w:t>评委</w:t>
      </w:r>
      <w:r>
        <w:rPr>
          <w:rFonts w:hint="eastAsia" w:ascii="新宋体" w:hAnsi="新宋体" w:eastAsia="新宋体" w:cs="新宋体"/>
          <w:b/>
          <w:bCs/>
          <w:color w:val="auto"/>
          <w:sz w:val="22"/>
          <w:szCs w:val="22"/>
          <w:highlight w:val="none"/>
        </w:rPr>
        <w:t>可以在“</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平台”在线询标或其他有效形式要求</w:t>
      </w:r>
      <w:r>
        <w:rPr>
          <w:rFonts w:hint="eastAsia" w:ascii="新宋体" w:hAnsi="新宋体" w:eastAsia="新宋体" w:cs="新宋体"/>
          <w:b/>
          <w:bCs/>
          <w:color w:val="auto"/>
          <w:sz w:val="22"/>
          <w:szCs w:val="22"/>
          <w:highlight w:val="none"/>
          <w:lang w:eastAsia="zh-CN"/>
        </w:rPr>
        <w:t>供应商</w:t>
      </w:r>
      <w:r>
        <w:rPr>
          <w:rFonts w:hint="eastAsia" w:ascii="新宋体" w:hAnsi="新宋体" w:eastAsia="新宋体" w:cs="新宋体"/>
          <w:b/>
          <w:bCs/>
          <w:color w:val="auto"/>
          <w:sz w:val="22"/>
          <w:szCs w:val="22"/>
          <w:highlight w:val="none"/>
        </w:rPr>
        <w:t>对同一份投标文件含义不明确或同类问题表述不一致的内容（采购文件其它地方有规定处理方法的除外）作必要的澄清或说明，</w:t>
      </w:r>
      <w:r>
        <w:rPr>
          <w:rFonts w:hint="eastAsia" w:ascii="新宋体" w:hAnsi="新宋体" w:eastAsia="新宋体" w:cs="新宋体"/>
          <w:b/>
          <w:bCs/>
          <w:color w:val="auto"/>
          <w:sz w:val="22"/>
          <w:szCs w:val="22"/>
          <w:highlight w:val="none"/>
          <w:lang w:eastAsia="zh-CN"/>
        </w:rPr>
        <w:t>供应商</w:t>
      </w:r>
      <w:r>
        <w:rPr>
          <w:rFonts w:hint="eastAsia" w:ascii="新宋体" w:hAnsi="新宋体" w:eastAsia="新宋体" w:cs="新宋体"/>
          <w:b/>
          <w:bCs/>
          <w:color w:val="auto"/>
          <w:sz w:val="22"/>
          <w:szCs w:val="22"/>
          <w:highlight w:val="none"/>
        </w:rPr>
        <w:t>应采用在线回复或其他有效形式在询标规定时间内进行澄清或说明（需盖电子签章或实体公章），但不得超出投标文件的范围或改变投标文件的实质性内容。凡属于</w:t>
      </w:r>
      <w:r>
        <w:rPr>
          <w:rFonts w:hint="eastAsia" w:ascii="新宋体" w:hAnsi="新宋体" w:eastAsia="新宋体" w:cs="新宋体"/>
          <w:b/>
          <w:bCs/>
          <w:color w:val="auto"/>
          <w:sz w:val="22"/>
          <w:szCs w:val="22"/>
          <w:highlight w:val="none"/>
          <w:lang w:eastAsia="zh-CN"/>
        </w:rPr>
        <w:t>评委</w:t>
      </w:r>
      <w:r>
        <w:rPr>
          <w:rFonts w:hint="eastAsia" w:ascii="新宋体" w:hAnsi="新宋体" w:eastAsia="新宋体" w:cs="新宋体"/>
          <w:b/>
          <w:bCs/>
          <w:color w:val="auto"/>
          <w:sz w:val="22"/>
          <w:szCs w:val="22"/>
          <w:highlight w:val="none"/>
        </w:rPr>
        <w:t>在评标中发现的计算错误并进行核实的修改不在此列。</w:t>
      </w:r>
    </w:p>
    <w:p w14:paraId="12BD57F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 xml:space="preserve">    31.2若投标文件中所提交的证书、证明等材料若出现已过有效期、时间或其他主要信息不明确，且</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书面澄清（书面澄清仅限在投标文件递交截止时间前所提交投标文件及相关材料中未被评标委员会审查出的内容）亦不明确的，评审过程中将不予认可，不再寻求外部证据（外部证据包括</w:t>
      </w:r>
      <w:r>
        <w:rPr>
          <w:rFonts w:hint="eastAsia" w:ascii="新宋体" w:hAnsi="新宋体" w:eastAsia="新宋体" w:cs="新宋体"/>
          <w:color w:val="auto"/>
          <w:kern w:val="0"/>
          <w:sz w:val="22"/>
          <w:szCs w:val="22"/>
          <w:highlight w:val="none"/>
          <w:lang w:eastAsia="zh-CN"/>
        </w:rPr>
        <w:t>供应商</w:t>
      </w:r>
      <w:r>
        <w:rPr>
          <w:rFonts w:hint="eastAsia" w:ascii="新宋体" w:hAnsi="新宋体" w:eastAsia="新宋体" w:cs="新宋体"/>
          <w:color w:val="auto"/>
          <w:kern w:val="0"/>
          <w:sz w:val="22"/>
          <w:szCs w:val="22"/>
          <w:highlight w:val="none"/>
        </w:rPr>
        <w:t>在澄清过程中申请补交的证明材料或网络查询结果等非投标文件本身内容）。</w:t>
      </w:r>
    </w:p>
    <w:p w14:paraId="76A9F47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31.3</w:t>
      </w:r>
      <w:r>
        <w:rPr>
          <w:rFonts w:hint="eastAsia" w:ascii="新宋体" w:hAnsi="新宋体" w:eastAsia="新宋体" w:cs="新宋体"/>
          <w:color w:val="auto"/>
          <w:sz w:val="22"/>
          <w:szCs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1326D0B3">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szCs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4364EB75">
      <w:pPr>
        <w:spacing w:line="460" w:lineRule="exact"/>
        <w:ind w:firstLine="418" w:firstLineChars="19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szCs w:val="22"/>
          <w:highlight w:val="none"/>
        </w:rPr>
        <w:t>大写金额和小写金额不一致的，以大写金额为准。</w:t>
      </w:r>
    </w:p>
    <w:p w14:paraId="304D68BC">
      <w:pPr>
        <w:spacing w:line="460" w:lineRule="exact"/>
        <w:ind w:firstLine="418" w:firstLineChars="1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6D5CEB1E">
      <w:pPr>
        <w:spacing w:line="460" w:lineRule="exact"/>
        <w:ind w:firstLine="418" w:firstLineChars="19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241738B2">
      <w:pPr>
        <w:spacing w:line="460" w:lineRule="exact"/>
        <w:ind w:firstLine="418" w:firstLineChars="19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b/>
          <w:bCs/>
          <w:color w:val="auto"/>
          <w:sz w:val="22"/>
          <w:szCs w:val="22"/>
          <w:highlight w:val="none"/>
        </w:rPr>
        <w:t>同时出现两种以上不一致的，按照前款规定的顺序修正。修正后的报价按照本采购文件规定经</w:t>
      </w:r>
      <w:r>
        <w:rPr>
          <w:rFonts w:hint="eastAsia" w:ascii="新宋体" w:hAnsi="新宋体" w:eastAsia="新宋体" w:cs="新宋体"/>
          <w:b/>
          <w:bCs/>
          <w:color w:val="auto"/>
          <w:sz w:val="22"/>
          <w:szCs w:val="22"/>
          <w:highlight w:val="none"/>
          <w:lang w:eastAsia="zh-CN"/>
        </w:rPr>
        <w:t>供应商</w:t>
      </w:r>
      <w:r>
        <w:rPr>
          <w:rFonts w:hint="eastAsia" w:ascii="新宋体" w:hAnsi="新宋体" w:eastAsia="新宋体" w:cs="新宋体"/>
          <w:b/>
          <w:bCs/>
          <w:color w:val="auto"/>
          <w:sz w:val="22"/>
          <w:szCs w:val="22"/>
          <w:highlight w:val="none"/>
        </w:rPr>
        <w:t>确认后产生约束力，</w:t>
      </w:r>
      <w:r>
        <w:rPr>
          <w:rFonts w:hint="eastAsia" w:ascii="新宋体" w:hAnsi="新宋体" w:eastAsia="新宋体" w:cs="新宋体"/>
          <w:b/>
          <w:bCs/>
          <w:color w:val="auto"/>
          <w:sz w:val="22"/>
          <w:szCs w:val="22"/>
          <w:highlight w:val="none"/>
          <w:lang w:eastAsia="zh-CN"/>
        </w:rPr>
        <w:t>供应商</w:t>
      </w:r>
      <w:r>
        <w:rPr>
          <w:rFonts w:hint="eastAsia" w:ascii="新宋体" w:hAnsi="新宋体" w:eastAsia="新宋体" w:cs="新宋体"/>
          <w:b/>
          <w:bCs/>
          <w:color w:val="auto"/>
          <w:sz w:val="22"/>
          <w:szCs w:val="22"/>
          <w:highlight w:val="none"/>
        </w:rPr>
        <w:t>不确认的，其投标无效。</w:t>
      </w:r>
    </w:p>
    <w:p w14:paraId="1FE983C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31.4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kern w:val="0"/>
          <w:sz w:val="22"/>
          <w:szCs w:val="22"/>
          <w:highlight w:val="none"/>
          <w:u w:val="single"/>
        </w:rPr>
        <w:t>评标委员会认为</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的报价明显低于其他通过符合性审查</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的报价，有可能影响产品质量或者不能诚信履约的，将要求其在合理时间内在“</w:t>
      </w:r>
      <w:r>
        <w:rPr>
          <w:rFonts w:hint="eastAsia" w:ascii="新宋体" w:hAnsi="新宋体" w:eastAsia="新宋体" w:cs="新宋体"/>
          <w:b/>
          <w:bCs/>
          <w:color w:val="auto"/>
          <w:kern w:val="0"/>
          <w:sz w:val="22"/>
          <w:szCs w:val="22"/>
          <w:highlight w:val="none"/>
          <w:u w:val="single"/>
          <w:lang w:eastAsia="zh-CN"/>
        </w:rPr>
        <w:t>乐采云</w:t>
      </w:r>
      <w:r>
        <w:rPr>
          <w:rFonts w:hint="eastAsia" w:ascii="新宋体" w:hAnsi="新宋体" w:eastAsia="新宋体" w:cs="新宋体"/>
          <w:b/>
          <w:bCs/>
          <w:color w:val="auto"/>
          <w:kern w:val="0"/>
          <w:sz w:val="22"/>
          <w:szCs w:val="22"/>
          <w:highlight w:val="none"/>
          <w:u w:val="single"/>
        </w:rPr>
        <w:t>平台”上作出在线澄清并提供书面说明，必要时提交相关证明材料；</w:t>
      </w:r>
      <w:r>
        <w:rPr>
          <w:rFonts w:hint="eastAsia" w:ascii="新宋体" w:hAnsi="新宋体" w:eastAsia="新宋体" w:cs="新宋体"/>
          <w:b/>
          <w:bCs/>
          <w:color w:val="auto"/>
          <w:kern w:val="0"/>
          <w:sz w:val="22"/>
          <w:szCs w:val="22"/>
          <w:highlight w:val="none"/>
          <w:u w:val="single"/>
          <w:lang w:eastAsia="zh-CN"/>
        </w:rPr>
        <w:t>供应商</w:t>
      </w:r>
      <w:r>
        <w:rPr>
          <w:rFonts w:hint="eastAsia" w:ascii="新宋体" w:hAnsi="新宋体" w:eastAsia="新宋体" w:cs="新宋体"/>
          <w:b/>
          <w:bCs/>
          <w:color w:val="auto"/>
          <w:kern w:val="0"/>
          <w:sz w:val="22"/>
          <w:szCs w:val="22"/>
          <w:highlight w:val="none"/>
          <w:u w:val="single"/>
        </w:rPr>
        <w:t>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50B9896E">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31.5如果</w:t>
      </w:r>
      <w:r>
        <w:rPr>
          <w:rFonts w:hint="eastAsia" w:ascii="新宋体" w:hAnsi="新宋体" w:eastAsia="新宋体" w:cs="新宋体"/>
          <w:b/>
          <w:bCs/>
          <w:color w:val="auto"/>
          <w:sz w:val="22"/>
          <w:szCs w:val="22"/>
          <w:highlight w:val="none"/>
          <w:lang w:eastAsia="zh-CN"/>
        </w:rPr>
        <w:t>供应商</w:t>
      </w:r>
      <w:r>
        <w:rPr>
          <w:rFonts w:hint="eastAsia" w:ascii="新宋体" w:hAnsi="新宋体" w:eastAsia="新宋体" w:cs="新宋体"/>
          <w:b/>
          <w:bCs/>
          <w:color w:val="auto"/>
          <w:sz w:val="22"/>
          <w:szCs w:val="22"/>
          <w:highlight w:val="none"/>
        </w:rPr>
        <w:t>代表拒绝按评标委员会要求在“</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平台”作出在线回复且无其他有效回复方式的，评标委员会可以对其作出否决投标处理。</w:t>
      </w:r>
    </w:p>
    <w:p w14:paraId="426020D2">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 xml:space="preserve">    31.6</w:t>
      </w:r>
      <w:r>
        <w:rPr>
          <w:rFonts w:hint="eastAsia" w:ascii="新宋体" w:hAnsi="新宋体" w:eastAsia="新宋体" w:cs="新宋体"/>
          <w:color w:val="auto"/>
          <w:sz w:val="22"/>
          <w:szCs w:val="22"/>
          <w:highlight w:val="none"/>
          <w:u w:val="single"/>
        </w:rPr>
        <w:t>经澄清后，若偏差仍存在，且不可接受，则投标文件将被认定为“没有实质性响应采购文件要求”，按无效投标处理，不再进入下一步评审。</w:t>
      </w:r>
    </w:p>
    <w:p w14:paraId="169429C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szCs w:val="22"/>
          <w:highlight w:val="none"/>
        </w:rPr>
        <w:t xml:space="preserve"> 评标原则和评标办法</w:t>
      </w:r>
    </w:p>
    <w:p w14:paraId="52C2C898">
      <w:pPr>
        <w:pStyle w:val="15"/>
        <w:overflowPunct/>
        <w:autoSpaceDE/>
        <w:autoSpaceDN/>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1D2B6155">
      <w:pPr>
        <w:pStyle w:val="26"/>
        <w:spacing w:before="0" w:beforeAutospacing="0" w:after="0" w:afterAutospacing="0" w:line="460" w:lineRule="exact"/>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32.2评标中因评标委员会成员缺席、回避或者健康等特殊原因导致评标委员会组成不符合规定的，依法补足后继续评标。被更换的评标委员会成员所作出的评标意见无效。</w:t>
      </w:r>
    </w:p>
    <w:p w14:paraId="048017F2">
      <w:pPr>
        <w:pStyle w:val="15"/>
        <w:overflowPunct/>
        <w:autoSpaceDE/>
        <w:autoSpaceDN/>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32.3评标委员会成员对需要共同认定的事项存在争议的，应当按照少数服从多数的原则作出结论。持不同意见的评标委员会成员应当在评标报告上签署不同意见及理由，否则视为同意评标报告。</w:t>
      </w:r>
    </w:p>
    <w:p w14:paraId="099E27C0">
      <w:pPr>
        <w:pStyle w:val="15"/>
        <w:overflowPunct/>
        <w:autoSpaceDE/>
        <w:autoSpaceDN/>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32.4本项目评标办法是综合评分法，具体评标内容及评分标准等详见第六部分“评标原则及方法”。</w:t>
      </w:r>
    </w:p>
    <w:p w14:paraId="54AA3AF1">
      <w:pPr>
        <w:pStyle w:val="15"/>
        <w:overflowPunct/>
        <w:autoSpaceDE/>
        <w:autoSpaceDN/>
        <w:adjustRightInd/>
        <w:snapToGrid w:val="0"/>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u w:val="single"/>
        </w:rPr>
        <w:t>32.5</w:t>
      </w:r>
      <w:r>
        <w:rPr>
          <w:rFonts w:hint="eastAsia" w:ascii="新宋体" w:hAnsi="新宋体" w:eastAsia="新宋体" w:cs="新宋体"/>
          <w:b/>
          <w:bCs/>
          <w:color w:val="auto"/>
          <w:sz w:val="22"/>
          <w:szCs w:val="22"/>
          <w:highlight w:val="none"/>
          <w:u w:val="single"/>
        </w:rPr>
        <w:t>▲在招标采购中，符合专业条件的</w:t>
      </w:r>
      <w:r>
        <w:rPr>
          <w:rFonts w:hint="eastAsia" w:ascii="新宋体" w:hAnsi="新宋体" w:eastAsia="新宋体" w:cs="新宋体"/>
          <w:b/>
          <w:bCs/>
          <w:color w:val="auto"/>
          <w:sz w:val="22"/>
          <w:szCs w:val="22"/>
          <w:highlight w:val="none"/>
          <w:u w:val="single"/>
          <w:lang w:eastAsia="zh-CN"/>
        </w:rPr>
        <w:t>供应商</w:t>
      </w:r>
      <w:r>
        <w:rPr>
          <w:rFonts w:hint="eastAsia" w:ascii="新宋体" w:hAnsi="新宋体" w:eastAsia="新宋体" w:cs="新宋体"/>
          <w:b/>
          <w:bCs/>
          <w:color w:val="auto"/>
          <w:sz w:val="22"/>
          <w:szCs w:val="22"/>
          <w:highlight w:val="none"/>
          <w:u w:val="single"/>
        </w:rPr>
        <w:t>或者对采购文件作实质响应的</w:t>
      </w:r>
      <w:r>
        <w:rPr>
          <w:rFonts w:hint="eastAsia" w:ascii="新宋体" w:hAnsi="新宋体" w:eastAsia="新宋体" w:cs="新宋体"/>
          <w:b/>
          <w:bCs/>
          <w:color w:val="auto"/>
          <w:sz w:val="22"/>
          <w:szCs w:val="22"/>
          <w:highlight w:val="none"/>
          <w:u w:val="single"/>
          <w:lang w:eastAsia="zh-CN"/>
        </w:rPr>
        <w:t>供应商</w:t>
      </w:r>
      <w:r>
        <w:rPr>
          <w:rFonts w:hint="eastAsia" w:ascii="新宋体" w:hAnsi="新宋体" w:eastAsia="新宋体" w:cs="新宋体"/>
          <w:b/>
          <w:bCs/>
          <w:color w:val="auto"/>
          <w:sz w:val="22"/>
          <w:szCs w:val="22"/>
          <w:highlight w:val="none"/>
          <w:u w:val="single"/>
        </w:rPr>
        <w:t>不足三家的，此项目废标，应重新组织采购。</w:t>
      </w:r>
    </w:p>
    <w:p w14:paraId="7651DCE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 xml:space="preserve">    32.6评标过程中遇到特殊情况，由评标委员会遵循公开、公正原则，采取投票方式按照少数服从多数原则决定。</w:t>
      </w:r>
    </w:p>
    <w:p w14:paraId="2660C281">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b/>
          <w:color w:val="auto"/>
          <w:kern w:val="0"/>
          <w:sz w:val="22"/>
          <w:szCs w:val="22"/>
          <w:highlight w:val="none"/>
        </w:rPr>
        <w:t>33.确定中标候选人</w:t>
      </w:r>
    </w:p>
    <w:p w14:paraId="042AE08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33.1本次采购由评标委员会推荐中标候选人，采购人根据评标委员会的推荐结果进行最终确认。</w:t>
      </w:r>
    </w:p>
    <w:p w14:paraId="347CDE2D">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的最终得分（即技术分与商务分之和）高低进行排序，得分前二名的</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分别推荐为中标候选</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与备选中标</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（得分相同投标报价低的排序前位；得分且投标报价相同的并列，投标文件满足采购文件全部实质性要求，且按照评审因素的量化指标评审得分最高的</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为中标候选</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rPr>
        <w:t>。</w:t>
      </w:r>
    </w:p>
    <w:p w14:paraId="61B12F7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33.3若出现以下情形之一，采购人可视具体情况确定是否由备选</w:t>
      </w:r>
      <w:r>
        <w:rPr>
          <w:rFonts w:hint="eastAsia" w:ascii="新宋体" w:hAnsi="新宋体" w:eastAsia="新宋体" w:cs="新宋体"/>
          <w:color w:val="auto"/>
          <w:kern w:val="0"/>
          <w:sz w:val="22"/>
          <w:szCs w:val="22"/>
          <w:highlight w:val="none"/>
          <w:lang w:eastAsia="zh-CN"/>
        </w:rPr>
        <w:t>中标供应商</w:t>
      </w:r>
      <w:r>
        <w:rPr>
          <w:rFonts w:hint="eastAsia" w:ascii="新宋体" w:hAnsi="新宋体" w:eastAsia="新宋体" w:cs="新宋体"/>
          <w:color w:val="auto"/>
          <w:kern w:val="0"/>
          <w:sz w:val="22"/>
          <w:szCs w:val="22"/>
          <w:highlight w:val="none"/>
        </w:rPr>
        <w:t>为</w:t>
      </w:r>
      <w:r>
        <w:rPr>
          <w:rFonts w:hint="eastAsia" w:ascii="新宋体" w:hAnsi="新宋体" w:eastAsia="新宋体" w:cs="新宋体"/>
          <w:color w:val="auto"/>
          <w:kern w:val="0"/>
          <w:sz w:val="22"/>
          <w:szCs w:val="22"/>
          <w:highlight w:val="none"/>
          <w:lang w:eastAsia="zh-CN"/>
        </w:rPr>
        <w:t>中标供应商</w:t>
      </w:r>
      <w:r>
        <w:rPr>
          <w:rFonts w:hint="eastAsia" w:ascii="新宋体" w:hAnsi="新宋体" w:eastAsia="新宋体" w:cs="新宋体"/>
          <w:color w:val="auto"/>
          <w:kern w:val="0"/>
          <w:sz w:val="22"/>
          <w:szCs w:val="22"/>
          <w:highlight w:val="none"/>
        </w:rPr>
        <w:t>或重新组织采购：</w:t>
      </w:r>
    </w:p>
    <w:p w14:paraId="1950B72E">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14:paraId="689A36B2">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14:paraId="2A25671E">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14:paraId="37B13F46">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14:paraId="47BC0B0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33.4采购人、采购代理机构及评标委员会对未中标的供应商不作解释。本项目不对供应商公布详细的评审情况，不公布具体评标细则中小项得分。</w:t>
      </w:r>
    </w:p>
    <w:p w14:paraId="2A4F5C73">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14:paraId="6D6CBB87">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34C7173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35.1采购过程中出现以下情形，导致电子交易平台无法正常运行，或者无法保证电子交易的公平、公正和安全时，采购组织机构可中止电子交易活动：</w:t>
      </w:r>
    </w:p>
    <w:p w14:paraId="69254A87">
      <w:pPr>
        <w:numPr>
          <w:ilvl w:val="2"/>
          <w:numId w:val="6"/>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18890EA1">
      <w:pPr>
        <w:numPr>
          <w:ilvl w:val="2"/>
          <w:numId w:val="6"/>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47DA7802">
      <w:pPr>
        <w:numPr>
          <w:ilvl w:val="2"/>
          <w:numId w:val="6"/>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503E645D">
      <w:pPr>
        <w:numPr>
          <w:ilvl w:val="2"/>
          <w:numId w:val="6"/>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191E11C8">
      <w:pPr>
        <w:numPr>
          <w:ilvl w:val="2"/>
          <w:numId w:val="6"/>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5F438A8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35.2出现前款规定情形，不影响采购公平、公正性的，采购组织机构可以待上述情形消除后继续组织电子交易活动；影响或可能影响采购公平、公正性的，应当重新采购。</w:t>
      </w:r>
    </w:p>
    <w:p w14:paraId="32C326EF">
      <w:pPr>
        <w:pStyle w:val="4"/>
        <w:keepNext/>
        <w:keepLines/>
        <w:pageBreakBefore w:val="0"/>
        <w:widowControl w:val="0"/>
        <w:kinsoku/>
        <w:wordWrap/>
        <w:overflowPunct/>
        <w:topLinePunct w:val="0"/>
        <w:autoSpaceDE/>
        <w:autoSpaceDN/>
        <w:bidi w:val="0"/>
        <w:adjustRightInd/>
        <w:snapToGrid/>
        <w:spacing w:before="140" w:after="140" w:line="500" w:lineRule="exact"/>
        <w:jc w:val="center"/>
        <w:textAlignment w:val="auto"/>
        <w:rPr>
          <w:rFonts w:hint="eastAsia" w:ascii="新宋体" w:hAnsi="新宋体" w:eastAsia="新宋体" w:cs="新宋体"/>
          <w:color w:val="auto"/>
          <w:sz w:val="22"/>
          <w:szCs w:val="22"/>
          <w:highlight w:val="none"/>
        </w:rPr>
      </w:pPr>
      <w:bookmarkStart w:id="153" w:name="_Toc34221901"/>
      <w:bookmarkStart w:id="154" w:name="_Toc94208454"/>
      <w:bookmarkStart w:id="155" w:name="_Toc8699"/>
      <w:bookmarkStart w:id="156" w:name="_Toc16038"/>
      <w:bookmarkStart w:id="157" w:name="_Toc94205992"/>
      <w:bookmarkStart w:id="158" w:name="_Toc306613654"/>
      <w:r>
        <w:rPr>
          <w:rFonts w:hint="eastAsia" w:ascii="新宋体" w:hAnsi="新宋体" w:eastAsia="新宋体" w:cs="新宋体"/>
          <w:color w:val="auto"/>
          <w:sz w:val="22"/>
          <w:szCs w:val="22"/>
          <w:highlight w:val="none"/>
        </w:rPr>
        <w:t>七、 授予合同</w:t>
      </w:r>
      <w:bookmarkEnd w:id="153"/>
      <w:bookmarkEnd w:id="154"/>
      <w:bookmarkEnd w:id="155"/>
      <w:bookmarkEnd w:id="156"/>
      <w:bookmarkEnd w:id="157"/>
      <w:bookmarkEnd w:id="158"/>
    </w:p>
    <w:p w14:paraId="3576F154">
      <w:pPr>
        <w:tabs>
          <w:tab w:val="left" w:pos="540"/>
        </w:tabs>
        <w:spacing w:line="440" w:lineRule="exac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36. 确定</w:t>
      </w:r>
      <w:r>
        <w:rPr>
          <w:rFonts w:hint="eastAsia" w:ascii="新宋体" w:hAnsi="新宋体" w:eastAsia="新宋体" w:cs="新宋体"/>
          <w:b/>
          <w:color w:val="auto"/>
          <w:sz w:val="22"/>
          <w:szCs w:val="22"/>
          <w:highlight w:val="none"/>
          <w:lang w:eastAsia="zh-CN"/>
        </w:rPr>
        <w:t>中标供应商</w:t>
      </w:r>
    </w:p>
    <w:p w14:paraId="10BB8BC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36.1采购人自收到评标报告之日起5个工作日内，在评标报告确定的中标候选人名单中按顺序确定</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w:t>
      </w:r>
    </w:p>
    <w:p w14:paraId="7694C2F3">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36.2</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确定之日起2个工作日内，在“</w:t>
      </w:r>
      <w:r>
        <w:rPr>
          <w:rFonts w:hint="eastAsia" w:ascii="新宋体" w:hAnsi="新宋体" w:eastAsia="新宋体" w:cs="新宋体"/>
          <w:color w:val="auto"/>
          <w:sz w:val="22"/>
          <w:szCs w:val="22"/>
          <w:highlight w:val="none"/>
          <w:lang w:eastAsia="zh-CN"/>
        </w:rPr>
        <w:t>乐采云</w:t>
      </w:r>
      <w:r>
        <w:rPr>
          <w:rFonts w:hint="eastAsia" w:ascii="新宋体" w:hAnsi="新宋体" w:eastAsia="新宋体" w:cs="新宋体"/>
          <w:color w:val="auto"/>
          <w:sz w:val="22"/>
          <w:szCs w:val="22"/>
          <w:highlight w:val="none"/>
        </w:rPr>
        <w:t>”平台上公示中标结果，中标公告期限为1个工作日；</w:t>
      </w:r>
    </w:p>
    <w:p w14:paraId="6EE83D8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36.3在公告中标结果的同时，采购人向</w:t>
      </w:r>
      <w:r>
        <w:rPr>
          <w:rFonts w:hint="eastAsia" w:ascii="新宋体" w:hAnsi="新宋体" w:eastAsia="新宋体" w:cs="新宋体"/>
          <w:color w:val="auto"/>
          <w:sz w:val="22"/>
          <w:szCs w:val="22"/>
          <w:highlight w:val="none"/>
          <w:lang w:eastAsia="zh-CN"/>
        </w:rPr>
        <w:t>中标供应商</w:t>
      </w:r>
      <w:r>
        <w:rPr>
          <w:rFonts w:hint="eastAsia" w:ascii="新宋体" w:hAnsi="新宋体" w:eastAsia="新宋体" w:cs="新宋体"/>
          <w:color w:val="auto"/>
          <w:sz w:val="22"/>
          <w:szCs w:val="22"/>
          <w:highlight w:val="none"/>
        </w:rPr>
        <w:t>发出中标通知书。</w:t>
      </w:r>
    </w:p>
    <w:p w14:paraId="303317D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36.4各</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对评标结果如有异议，可在中标结果公示之日起7个工作日内以书面形式向采购人进行署名投诉或提出质疑，但需对投诉或质疑内容的真实性承担法律责任。</w:t>
      </w:r>
    </w:p>
    <w:p w14:paraId="770063C6">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37. 签订合同</w:t>
      </w:r>
    </w:p>
    <w:p w14:paraId="7F60EEF2">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37.1公示期结束后，中标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须在5个工作日内主动联系采购人或采购机构领取中标通知书。中标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应当在中标通知书发出之日起30日内与采购人签订合同。中标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未经采购人许可，在规定时间内未到采购人处与采购人签订合同，则视为拒签合同。</w:t>
      </w:r>
    </w:p>
    <w:p w14:paraId="27411026">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37.2采购文件、中标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的投标文件及投标修改文件、评标过程中有关澄清文件及经双方签字的询标纪要（承诺）和中标通知书均作为合同附件。</w:t>
      </w:r>
    </w:p>
    <w:p w14:paraId="2E44BE4F">
      <w:pPr>
        <w:tabs>
          <w:tab w:val="left" w:pos="540"/>
        </w:tabs>
        <w:spacing w:line="440" w:lineRule="exact"/>
        <w:ind w:firstLine="4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37.3拒签合同的责任</w:t>
      </w:r>
    </w:p>
    <w:p w14:paraId="56BC2647">
      <w:pPr>
        <w:tabs>
          <w:tab w:val="left" w:pos="540"/>
        </w:tabs>
        <w:spacing w:line="440" w:lineRule="exact"/>
        <w:ind w:firstLine="4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37.4中标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在规定时间内（30日历天）借故否认已经承诺的条件、拒签合同，以投标违约处理，并赔偿采购人由此造成的直接经济损失；采购人重新组织采购的，所需费用由原中标</w:t>
      </w:r>
      <w:r>
        <w:rPr>
          <w:rFonts w:hint="eastAsia" w:ascii="新宋体" w:hAnsi="新宋体" w:eastAsia="新宋体" w:cs="新宋体"/>
          <w:color w:val="auto"/>
          <w:sz w:val="22"/>
          <w:szCs w:val="22"/>
          <w:highlight w:val="none"/>
          <w:lang w:eastAsia="zh-CN"/>
        </w:rPr>
        <w:t>供应商</w:t>
      </w:r>
      <w:r>
        <w:rPr>
          <w:rFonts w:hint="eastAsia" w:ascii="新宋体" w:hAnsi="新宋体" w:eastAsia="新宋体" w:cs="新宋体"/>
          <w:color w:val="auto"/>
          <w:sz w:val="22"/>
          <w:szCs w:val="22"/>
          <w:highlight w:val="none"/>
        </w:rPr>
        <w:t>承担。</w:t>
      </w:r>
    </w:p>
    <w:p w14:paraId="150C58D8">
      <w:pPr>
        <w:spacing w:line="440" w:lineRule="exact"/>
        <w:rPr>
          <w:rFonts w:ascii="宋体" w:hAnsi="宋体" w:cs="宋体"/>
          <w:color w:val="auto"/>
          <w:kern w:val="0"/>
          <w:sz w:val="22"/>
          <w:szCs w:val="22"/>
          <w:highlight w:val="none"/>
        </w:rPr>
      </w:pPr>
    </w:p>
    <w:p w14:paraId="5AABCBE1">
      <w:pPr>
        <w:pStyle w:val="126"/>
        <w:spacing w:line="500" w:lineRule="exact"/>
        <w:jc w:val="center"/>
        <w:rPr>
          <w:rFonts w:hAnsi="宋体" w:cs="宋体"/>
          <w:b/>
          <w:color w:val="auto"/>
          <w:sz w:val="24"/>
          <w:highlight w:val="none"/>
        </w:rPr>
      </w:pPr>
      <w:r>
        <w:rPr>
          <w:rFonts w:hAnsi="宋体" w:cs="楷体"/>
          <w:color w:val="auto"/>
          <w:sz w:val="36"/>
          <w:szCs w:val="36"/>
          <w:highlight w:val="none"/>
        </w:rPr>
        <w:br w:type="page"/>
      </w:r>
      <w:r>
        <w:rPr>
          <w:rFonts w:hint="eastAsia" w:hAnsi="宋体" w:cs="宋体"/>
          <w:b/>
          <w:color w:val="auto"/>
          <w:sz w:val="24"/>
          <w:highlight w:val="none"/>
        </w:rPr>
        <w:t>政府采购活动现场确认声明书</w:t>
      </w:r>
    </w:p>
    <w:p w14:paraId="1E52E7F6">
      <w:pPr>
        <w:pStyle w:val="126"/>
        <w:spacing w:line="500" w:lineRule="exact"/>
        <w:rPr>
          <w:rFonts w:hAnsi="宋体" w:cs="宋体"/>
          <w:b/>
          <w:color w:val="auto"/>
          <w:sz w:val="22"/>
          <w:szCs w:val="22"/>
          <w:highlight w:val="none"/>
        </w:rPr>
      </w:pPr>
      <w:r>
        <w:rPr>
          <w:rFonts w:hint="eastAsia" w:hAnsi="宋体" w:cs="宋体"/>
          <w:b/>
          <w:bCs/>
          <w:color w:val="auto"/>
          <w:sz w:val="22"/>
          <w:szCs w:val="22"/>
          <w:highlight w:val="none"/>
          <w:lang w:eastAsia="zh-CN"/>
        </w:rPr>
        <w:t>正展建设管理集团有限公司</w:t>
      </w:r>
      <w:r>
        <w:rPr>
          <w:rFonts w:hint="eastAsia" w:hAnsi="宋体" w:cs="宋体"/>
          <w:b/>
          <w:color w:val="auto"/>
          <w:kern w:val="0"/>
          <w:sz w:val="22"/>
          <w:szCs w:val="22"/>
          <w:highlight w:val="none"/>
        </w:rPr>
        <w:t>：</w:t>
      </w:r>
    </w:p>
    <w:p w14:paraId="07FF07D3">
      <w:pPr>
        <w:pStyle w:val="126"/>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）采购活动，经与本单位法人代表（负责人）联系确认，现就有关公平竞争事项郑重声明如下： </w:t>
      </w:r>
    </w:p>
    <w:p w14:paraId="3985B0B5">
      <w:pPr>
        <w:pStyle w:val="125"/>
        <w:widowControl/>
        <w:numPr>
          <w:ilvl w:val="0"/>
          <w:numId w:val="7"/>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14:paraId="3E25BAF2">
      <w:pPr>
        <w:pStyle w:val="125"/>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14:paraId="21FD228C">
      <w:pPr>
        <w:pStyle w:val="125"/>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14:paraId="1BBFCBC2">
      <w:pPr>
        <w:pStyle w:val="125"/>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14:paraId="4258EA8A">
      <w:pPr>
        <w:pStyle w:val="126"/>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5CD7A680">
      <w:pPr>
        <w:pStyle w:val="126"/>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5CBACA68">
      <w:pPr>
        <w:pStyle w:val="126"/>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02573FF">
      <w:pPr>
        <w:pStyle w:val="126"/>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36984051">
      <w:pPr>
        <w:pStyle w:val="126"/>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1A23E7C7">
      <w:pPr>
        <w:pStyle w:val="126"/>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2792A30F">
      <w:pPr>
        <w:pStyle w:val="126"/>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79B7D44F">
      <w:pPr>
        <w:pStyle w:val="126"/>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1858D68C">
      <w:pPr>
        <w:pStyle w:val="126"/>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14:paraId="0D5B2E4A">
      <w:pPr>
        <w:pStyle w:val="125"/>
        <w:widowControl/>
        <w:numPr>
          <w:ilvl w:val="0"/>
          <w:numId w:val="8"/>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严格遵守法律法规和现场纪律。</w:t>
      </w:r>
    </w:p>
    <w:p w14:paraId="5A00350E">
      <w:pPr>
        <w:pStyle w:val="125"/>
        <w:widowControl/>
        <w:numPr>
          <w:ilvl w:val="0"/>
          <w:numId w:val="8"/>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78E20447">
      <w:pPr>
        <w:pStyle w:val="126"/>
        <w:spacing w:line="500" w:lineRule="exact"/>
        <w:ind w:firstLine="440"/>
        <w:rPr>
          <w:rFonts w:hAnsi="宋体" w:cs="宋体"/>
          <w:color w:val="auto"/>
          <w:sz w:val="22"/>
          <w:szCs w:val="22"/>
          <w:highlight w:val="none"/>
        </w:rPr>
      </w:pPr>
    </w:p>
    <w:p w14:paraId="4E9B60B6">
      <w:pPr>
        <w:pStyle w:val="126"/>
        <w:spacing w:line="500" w:lineRule="exact"/>
        <w:ind w:firstLine="440"/>
        <w:rPr>
          <w:rFonts w:hAnsi="宋体" w:cs="宋体"/>
          <w:color w:val="auto"/>
          <w:sz w:val="22"/>
          <w:szCs w:val="22"/>
          <w:highlight w:val="none"/>
          <w:u w:val="single"/>
        </w:rPr>
      </w:pPr>
      <w:r>
        <w:rPr>
          <w:rFonts w:hint="eastAsia" w:hAnsi="宋体" w:cs="宋体"/>
          <w:color w:val="auto"/>
          <w:sz w:val="22"/>
          <w:szCs w:val="22"/>
          <w:highlight w:val="none"/>
        </w:rPr>
        <w:t>投标人代表签字：</w:t>
      </w:r>
    </w:p>
    <w:p w14:paraId="28E39CAE">
      <w:pPr>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14:paraId="480AD5EC">
      <w:pPr>
        <w:spacing w:line="440" w:lineRule="exact"/>
        <w:jc w:val="right"/>
        <w:rPr>
          <w:rFonts w:ascii="宋体" w:hAnsi="宋体" w:cs="宋体"/>
          <w:color w:val="auto"/>
          <w:sz w:val="22"/>
          <w:szCs w:val="22"/>
          <w:highlight w:val="none"/>
        </w:rPr>
      </w:pPr>
    </w:p>
    <w:p w14:paraId="17441A98">
      <w:pPr>
        <w:spacing w:line="440" w:lineRule="exact"/>
        <w:jc w:val="right"/>
        <w:rPr>
          <w:rFonts w:ascii="宋体" w:hAnsi="宋体" w:cs="新宋体"/>
          <w:b/>
          <w:bCs/>
          <w:color w:val="auto"/>
          <w:sz w:val="22"/>
          <w:szCs w:val="22"/>
          <w:highlight w:val="none"/>
        </w:rPr>
      </w:pPr>
      <w:r>
        <w:rPr>
          <w:rFonts w:hint="eastAsia" w:ascii="宋体" w:hAnsi="宋体" w:cs="宋体"/>
          <w:color w:val="auto"/>
          <w:sz w:val="22"/>
          <w:szCs w:val="22"/>
          <w:highlight w:val="none"/>
        </w:rPr>
        <w:t xml:space="preserve"> 年  月  日</w:t>
      </w:r>
    </w:p>
    <w:p w14:paraId="00699BBE">
      <w:pPr>
        <w:pStyle w:val="3"/>
        <w:rPr>
          <w:rFonts w:ascii="宋体" w:hAnsi="宋体"/>
          <w:b w:val="0"/>
          <w:color w:val="auto"/>
          <w:spacing w:val="20"/>
          <w:sz w:val="42"/>
          <w:highlight w:val="none"/>
        </w:rPr>
      </w:pPr>
      <w:r>
        <w:rPr>
          <w:rFonts w:hint="eastAsia" w:ascii="新宋体" w:hAnsi="新宋体" w:eastAsia="新宋体" w:cs="新宋体"/>
          <w:color w:val="auto"/>
          <w:sz w:val="22"/>
          <w:szCs w:val="22"/>
          <w:highlight w:val="none"/>
        </w:rPr>
        <w:br w:type="page"/>
      </w:r>
      <w:bookmarkStart w:id="159" w:name="_Toc8587"/>
      <w:r>
        <w:rPr>
          <w:rFonts w:hint="eastAsia" w:ascii="宋体" w:hAnsi="宋体" w:eastAsia="宋体" w:cs="楷体"/>
          <w:color w:val="auto"/>
          <w:sz w:val="36"/>
          <w:szCs w:val="36"/>
          <w:highlight w:val="none"/>
        </w:rPr>
        <w:t>第二部分   合同条款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159"/>
      <w:bookmarkStart w:id="160" w:name="_Toc223716002"/>
      <w:bookmarkStart w:id="161" w:name="_Toc222114883"/>
      <w:bookmarkStart w:id="162" w:name="_Toc251592741"/>
      <w:bookmarkStart w:id="163" w:name="_Toc221356891"/>
      <w:bookmarkStart w:id="164" w:name="_Toc241404206"/>
      <w:bookmarkStart w:id="165" w:name="_Toc245191318"/>
      <w:bookmarkStart w:id="166" w:name="_Toc221356955"/>
      <w:bookmarkStart w:id="167" w:name="_Toc251325218"/>
      <w:bookmarkStart w:id="168" w:name="_Toc252194856"/>
      <w:bookmarkStart w:id="169" w:name="_Toc245722285"/>
      <w:bookmarkStart w:id="170" w:name="_Toc221423623"/>
      <w:bookmarkStart w:id="171" w:name="_Toc246261269"/>
      <w:bookmarkStart w:id="172" w:name="_Toc221374630"/>
      <w:bookmarkStart w:id="173" w:name="_Toc239145358"/>
    </w:p>
    <w:p w14:paraId="591D223A">
      <w:pPr>
        <w:pStyle w:val="15"/>
        <w:snapToGrid w:val="0"/>
        <w:spacing w:line="440" w:lineRule="exact"/>
        <w:ind w:firstLine="440" w:firstLineChars="200"/>
        <w:rPr>
          <w:rFonts w:ascii="新宋体" w:hAnsi="新宋体" w:eastAsia="新宋体" w:cs="新宋体"/>
          <w:color w:val="auto"/>
          <w:sz w:val="22"/>
          <w:szCs w:val="22"/>
          <w:highlight w:val="none"/>
        </w:rPr>
      </w:pPr>
      <w:bookmarkStart w:id="174" w:name="_Toc11919"/>
      <w:r>
        <w:rPr>
          <w:rFonts w:hint="eastAsia" w:ascii="新宋体" w:hAnsi="新宋体" w:eastAsia="新宋体" w:cs="新宋体"/>
          <w:color w:val="auto"/>
          <w:sz w:val="22"/>
          <w:szCs w:val="22"/>
          <w:highlight w:val="none"/>
        </w:rPr>
        <w:t>说明：如甲乙双方同意，合同格式也可以按照《物业管理委托合同》温州市示范文本形式。但合同条款的基本内容应与本《合同格式》要求的内容相一致。该合同格式作为签订合同的条款内容，对供应商具有约束力。</w:t>
      </w:r>
    </w:p>
    <w:p w14:paraId="29A76FB7">
      <w:pPr>
        <w:pStyle w:val="15"/>
        <w:snapToGrid w:val="0"/>
        <w:spacing w:line="440" w:lineRule="exact"/>
        <w:ind w:firstLine="440" w:firstLineChars="200"/>
        <w:rPr>
          <w:rFonts w:ascii="新宋体" w:hAnsi="新宋体" w:eastAsia="新宋体" w:cs="新宋体"/>
          <w:color w:val="auto"/>
          <w:sz w:val="22"/>
          <w:szCs w:val="22"/>
          <w:highlight w:val="none"/>
        </w:rPr>
      </w:pPr>
    </w:p>
    <w:p w14:paraId="18C4FBB1">
      <w:pPr>
        <w:widowControl/>
        <w:overflowPunct w:val="0"/>
        <w:autoSpaceDE w:val="0"/>
        <w:autoSpaceDN w:val="0"/>
        <w:adjustRightInd w:val="0"/>
        <w:snapToGrid w:val="0"/>
        <w:spacing w:line="360" w:lineRule="auto"/>
        <w:ind w:right="420"/>
        <w:jc w:val="left"/>
        <w:textAlignment w:val="baseline"/>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甲方（采购人）：</w:t>
      </w:r>
      <w:r>
        <w:rPr>
          <w:rFonts w:hint="eastAsia" w:ascii="宋体" w:hAnsi="宋体" w:cs="宋体"/>
          <w:b/>
          <w:bCs/>
          <w:color w:val="auto"/>
          <w:kern w:val="0"/>
          <w:sz w:val="22"/>
          <w:szCs w:val="22"/>
          <w:highlight w:val="none"/>
          <w:u w:val="single"/>
        </w:rPr>
        <w:t xml:space="preserve">         </w:t>
      </w:r>
    </w:p>
    <w:p w14:paraId="42BDB0FB">
      <w:pPr>
        <w:widowControl/>
        <w:overflowPunct w:val="0"/>
        <w:autoSpaceDE w:val="0"/>
        <w:autoSpaceDN w:val="0"/>
        <w:adjustRightInd w:val="0"/>
        <w:snapToGrid w:val="0"/>
        <w:spacing w:line="360" w:lineRule="auto"/>
        <w:jc w:val="left"/>
        <w:textAlignment w:val="baseline"/>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乙方（中标人）：</w:t>
      </w:r>
      <w:r>
        <w:rPr>
          <w:rFonts w:hint="eastAsia" w:ascii="宋体" w:hAnsi="宋体" w:cs="宋体"/>
          <w:color w:val="auto"/>
          <w:kern w:val="0"/>
          <w:sz w:val="22"/>
          <w:szCs w:val="22"/>
          <w:highlight w:val="none"/>
        </w:rPr>
        <w:t xml:space="preserve"> </w:t>
      </w:r>
    </w:p>
    <w:p w14:paraId="3272B810">
      <w:pPr>
        <w:keepNext w:val="0"/>
        <w:keepLines w:val="0"/>
        <w:pageBreakBefore w:val="0"/>
        <w:widowControl w:val="0"/>
        <w:tabs>
          <w:tab w:val="left" w:pos="840"/>
        </w:tabs>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根据《中华人民共和国民法典》及采购文件（项目编号：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）和乙方报价文件及承诺，就</w:t>
      </w:r>
      <w:r>
        <w:rPr>
          <w:rFonts w:hint="eastAsia" w:ascii="新宋体" w:hAnsi="新宋体" w:eastAsia="新宋体" w:cs="新宋体"/>
          <w:color w:val="auto"/>
          <w:sz w:val="22"/>
          <w:szCs w:val="22"/>
          <w:highlight w:val="none"/>
          <w:u w:val="single"/>
          <w:lang w:eastAsia="zh-CN"/>
        </w:rPr>
        <w:t>龙湾二期建筑垃圾消纳及资源化利用项目后场消纳管理服务</w:t>
      </w:r>
      <w:r>
        <w:rPr>
          <w:rFonts w:hint="eastAsia" w:ascii="新宋体" w:hAnsi="新宋体" w:eastAsia="新宋体" w:cs="新宋体"/>
          <w:color w:val="auto"/>
          <w:sz w:val="22"/>
          <w:szCs w:val="22"/>
          <w:highlight w:val="none"/>
        </w:rPr>
        <w:t>项目，经双方协商一致，订立本服务合同，共同遵守。</w:t>
      </w:r>
    </w:p>
    <w:p w14:paraId="2B8DAE59">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一、</w:t>
      </w:r>
      <w:r>
        <w:rPr>
          <w:rFonts w:hint="eastAsia" w:ascii="新宋体" w:hAnsi="新宋体" w:eastAsia="新宋体" w:cs="新宋体"/>
          <w:b/>
          <w:bCs/>
          <w:color w:val="auto"/>
          <w:sz w:val="22"/>
          <w:szCs w:val="22"/>
          <w:highlight w:val="none"/>
          <w:lang w:eastAsia="zh-CN"/>
        </w:rPr>
        <w:t>合同</w:t>
      </w:r>
      <w:r>
        <w:rPr>
          <w:rFonts w:hint="eastAsia" w:ascii="新宋体" w:hAnsi="新宋体" w:eastAsia="新宋体" w:cs="新宋体"/>
          <w:b/>
          <w:bCs/>
          <w:color w:val="auto"/>
          <w:sz w:val="22"/>
          <w:szCs w:val="22"/>
          <w:highlight w:val="none"/>
        </w:rPr>
        <w:t>服务内容、</w:t>
      </w:r>
      <w:r>
        <w:rPr>
          <w:rFonts w:hint="eastAsia" w:ascii="新宋体" w:hAnsi="新宋体" w:eastAsia="新宋体" w:cs="新宋体"/>
          <w:b/>
          <w:bCs/>
          <w:color w:val="auto"/>
          <w:sz w:val="22"/>
          <w:szCs w:val="22"/>
          <w:highlight w:val="none"/>
          <w:lang w:eastAsia="zh-CN"/>
        </w:rPr>
        <w:t>服务人数</w:t>
      </w:r>
    </w:p>
    <w:p w14:paraId="6826C690">
      <w:pPr>
        <w:pStyle w:val="11"/>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根据甲乙双方确认的内容（详见</w:t>
      </w:r>
      <w:r>
        <w:rPr>
          <w:rFonts w:hint="eastAsia" w:ascii="新宋体" w:hAnsi="新宋体" w:eastAsia="新宋体" w:cs="新宋体"/>
          <w:color w:val="auto"/>
          <w:sz w:val="22"/>
          <w:szCs w:val="22"/>
          <w:highlight w:val="none"/>
          <w:lang w:eastAsia="zh-CN"/>
        </w:rPr>
        <w:t>乙方投标</w:t>
      </w:r>
      <w:r>
        <w:rPr>
          <w:rFonts w:hint="eastAsia" w:ascii="新宋体" w:hAnsi="新宋体" w:eastAsia="新宋体" w:cs="新宋体"/>
          <w:color w:val="auto"/>
          <w:sz w:val="22"/>
          <w:szCs w:val="22"/>
          <w:highlight w:val="none"/>
        </w:rPr>
        <w:t>服务方案），乙方向甲方确认服务区域：</w:t>
      </w:r>
      <w:r>
        <w:rPr>
          <w:rFonts w:hint="eastAsia" w:ascii="新宋体" w:hAnsi="新宋体" w:eastAsia="新宋体" w:cs="新宋体"/>
          <w:color w:val="auto"/>
          <w:sz w:val="22"/>
          <w:szCs w:val="22"/>
          <w:highlight w:val="none"/>
          <w:u w:val="single"/>
          <w:lang w:eastAsia="zh-CN"/>
        </w:rPr>
        <w:t>龙湾二期建筑垃圾消纳及资源化利用项目</w:t>
      </w:r>
      <w:r>
        <w:rPr>
          <w:rFonts w:hint="eastAsia" w:ascii="新宋体" w:hAnsi="新宋体" w:eastAsia="新宋体" w:cs="新宋体"/>
          <w:color w:val="auto"/>
          <w:sz w:val="22"/>
          <w:szCs w:val="22"/>
          <w:highlight w:val="none"/>
          <w:u w:val="single"/>
          <w:lang w:val="en-US" w:eastAsia="zh-CN"/>
        </w:rPr>
        <w:t>消纳</w:t>
      </w:r>
      <w:r>
        <w:rPr>
          <w:rFonts w:hint="eastAsia" w:ascii="新宋体" w:hAnsi="新宋体" w:eastAsia="新宋体" w:cs="新宋体"/>
          <w:color w:val="auto"/>
          <w:sz w:val="22"/>
          <w:szCs w:val="22"/>
          <w:highlight w:val="none"/>
          <w:u w:val="single"/>
          <w:lang w:eastAsia="zh-CN"/>
        </w:rPr>
        <w:t>后场</w:t>
      </w:r>
      <w:r>
        <w:rPr>
          <w:rFonts w:hint="eastAsia" w:ascii="新宋体" w:hAnsi="新宋体" w:eastAsia="新宋体" w:cs="新宋体"/>
          <w:color w:val="auto"/>
          <w:sz w:val="22"/>
          <w:szCs w:val="22"/>
          <w:highlight w:val="none"/>
          <w:lang w:eastAsia="zh-CN"/>
        </w:rPr>
        <w:t>。</w:t>
      </w:r>
    </w:p>
    <w:p w14:paraId="036EDEEC">
      <w:pPr>
        <w:pStyle w:val="11"/>
        <w:keepNext w:val="0"/>
        <w:keepLines w:val="0"/>
        <w:pageBreakBefore w:val="0"/>
        <w:widowControl w:val="0"/>
        <w:kinsoku/>
        <w:wordWrap/>
        <w:overflowPunct/>
        <w:topLinePunct w:val="0"/>
        <w:autoSpaceDE/>
        <w:autoSpaceDN/>
        <w:bidi w:val="0"/>
        <w:adjustRightInd/>
        <w:snapToGrid/>
        <w:spacing w:after="0"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w:t>
      </w:r>
      <w:r>
        <w:rPr>
          <w:rFonts w:hint="eastAsia" w:ascii="新宋体" w:hAnsi="新宋体" w:eastAsia="新宋体" w:cs="新宋体"/>
          <w:color w:val="auto"/>
          <w:sz w:val="22"/>
          <w:szCs w:val="22"/>
          <w:highlight w:val="none"/>
          <w:lang w:val="en-US" w:eastAsia="zh-CN"/>
        </w:rPr>
        <w:t>内容</w:t>
      </w:r>
      <w:r>
        <w:rPr>
          <w:rFonts w:hint="eastAsia" w:ascii="新宋体" w:hAnsi="新宋体" w:eastAsia="新宋体" w:cs="新宋体"/>
          <w:color w:val="auto"/>
          <w:sz w:val="22"/>
          <w:szCs w:val="22"/>
          <w:highlight w:val="none"/>
        </w:rPr>
        <w:t>：</w:t>
      </w:r>
      <w:r>
        <w:rPr>
          <w:rFonts w:hint="eastAsia" w:ascii="宋体" w:hAnsi="宋体" w:cs="宋体"/>
          <w:bCs/>
          <w:color w:val="auto"/>
          <w:kern w:val="0"/>
          <w:sz w:val="22"/>
          <w:szCs w:val="22"/>
          <w:highlight w:val="none"/>
          <w:lang w:val="en-US" w:eastAsia="zh-CN"/>
        </w:rPr>
        <w:t>服务区域内为24小时工作制，每24小时须按照招标文件要求及甲方要求配置足够的消纳票据收验人员在岗，负责土方、泥浆的消纳收票工作，包括但不限于电子联单扫码、土方及泥浆消纳地磅数据录入与导出、土方车辆篷布内容物查看、维修维护管理，保持土方消纳地磅、监控、沉淀池、岗亭基本整洁，维持土方、泥浆的消纳秩序，配合土方、泥浆消纳巡逻；服务区内道路维修（含人工、机械台班、进出场费用等）；服务区域内日常道路洒水服务（含人员及车辆使用等）；服务区域内摄像头及配套供电设备的日常清洁，需1-2日进行一次擦拭，确保监控清晰等工作（若有），并保证投入不少于一辆车辆用于本项目巡查调配。</w:t>
      </w:r>
    </w:p>
    <w:p w14:paraId="3A3B21AE">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二、甲方</w:t>
      </w:r>
      <w:r>
        <w:rPr>
          <w:rFonts w:hint="eastAsia" w:ascii="新宋体" w:hAnsi="新宋体" w:eastAsia="新宋体" w:cs="新宋体"/>
          <w:b/>
          <w:bCs/>
          <w:color w:val="auto"/>
          <w:sz w:val="22"/>
          <w:szCs w:val="22"/>
          <w:highlight w:val="none"/>
          <w:lang w:eastAsia="zh-CN"/>
        </w:rPr>
        <w:t>职责</w:t>
      </w:r>
    </w:p>
    <w:p w14:paraId="58128C52">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监督、检查</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eastAsia="zh-CN"/>
        </w:rPr>
        <w:t>保安员的工作表现情况，发现有轻微违纪行为者，给予批评教育，对严重违反有关规章制度者，有权要求乙方</w:t>
      </w:r>
      <w:r>
        <w:rPr>
          <w:rFonts w:hint="eastAsia" w:ascii="新宋体" w:hAnsi="新宋体" w:eastAsia="新宋体" w:cs="新宋体"/>
          <w:color w:val="auto"/>
          <w:sz w:val="22"/>
          <w:szCs w:val="22"/>
          <w:highlight w:val="none"/>
          <w:lang w:val="en-US" w:eastAsia="zh-CN"/>
        </w:rPr>
        <w:t>立即</w:t>
      </w:r>
      <w:r>
        <w:rPr>
          <w:rFonts w:hint="eastAsia" w:ascii="新宋体" w:hAnsi="新宋体" w:eastAsia="新宋体" w:cs="新宋体"/>
          <w:color w:val="auto"/>
          <w:sz w:val="22"/>
          <w:szCs w:val="22"/>
          <w:highlight w:val="none"/>
          <w:lang w:eastAsia="zh-CN"/>
        </w:rPr>
        <w:t>予以调换，</w:t>
      </w:r>
      <w:r>
        <w:rPr>
          <w:rFonts w:hint="eastAsia" w:ascii="新宋体" w:hAnsi="新宋体" w:eastAsia="新宋体" w:cs="新宋体"/>
          <w:color w:val="auto"/>
          <w:sz w:val="22"/>
          <w:szCs w:val="22"/>
          <w:highlight w:val="none"/>
          <w:lang w:val="en-US" w:eastAsia="zh-CN"/>
        </w:rPr>
        <w:t>并保留追究相关责任的权利</w:t>
      </w:r>
      <w:r>
        <w:rPr>
          <w:rFonts w:hint="eastAsia" w:ascii="新宋体" w:hAnsi="新宋体" w:eastAsia="新宋体" w:cs="新宋体"/>
          <w:color w:val="auto"/>
          <w:sz w:val="22"/>
          <w:szCs w:val="22"/>
          <w:highlight w:val="none"/>
          <w:lang w:eastAsia="zh-CN"/>
        </w:rPr>
        <w:t>。（特殊情况除外）</w:t>
      </w:r>
    </w:p>
    <w:p w14:paraId="647FC2A2">
      <w:pPr>
        <w:adjustRightInd/>
        <w:spacing w:line="440" w:lineRule="exact"/>
        <w:ind w:firstLine="440"/>
        <w:textAlignment w:val="auto"/>
        <w:rPr>
          <w:rFonts w:hint="default"/>
          <w:color w:val="auto"/>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 xml:space="preserve">.甲方指派乙方保安员从事本合同约定的保安服务职责范围外的工作，由甲方负责由此造成的对保安员和其他第三方的经济赔偿及一切后果责任。  </w:t>
      </w:r>
    </w:p>
    <w:p w14:paraId="240C9C0A">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对乙方的服务开展考核评价及考核应用，</w:t>
      </w:r>
      <w:r>
        <w:rPr>
          <w:rFonts w:hint="eastAsia" w:ascii="新宋体" w:hAnsi="新宋体" w:eastAsia="新宋体" w:cs="新宋体"/>
          <w:color w:val="auto"/>
          <w:sz w:val="22"/>
          <w:szCs w:val="22"/>
          <w:highlight w:val="none"/>
          <w:lang w:eastAsia="zh-CN"/>
        </w:rPr>
        <w:t>按合同约定的时间和方式向乙方支付合同约定应付的费用。</w:t>
      </w:r>
    </w:p>
    <w:p w14:paraId="7ACB5E77">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三、乙方</w:t>
      </w:r>
      <w:r>
        <w:rPr>
          <w:rFonts w:hint="eastAsia" w:ascii="新宋体" w:hAnsi="新宋体" w:eastAsia="新宋体" w:cs="新宋体"/>
          <w:b/>
          <w:bCs/>
          <w:color w:val="auto"/>
          <w:sz w:val="22"/>
          <w:szCs w:val="22"/>
          <w:highlight w:val="none"/>
          <w:lang w:eastAsia="zh-CN"/>
        </w:rPr>
        <w:t>职责</w:t>
      </w:r>
    </w:p>
    <w:p w14:paraId="63E75E33">
      <w:pPr>
        <w:keepNext w:val="0"/>
        <w:keepLines w:val="0"/>
        <w:pageBreakBefore w:val="0"/>
        <w:widowControl w:val="0"/>
        <w:kinsoku/>
        <w:wordWrap/>
        <w:overflowPunct/>
        <w:topLinePunct w:val="0"/>
        <w:autoSpaceDE/>
        <w:autoSpaceDN/>
        <w:bidi w:val="0"/>
        <w:adjustRightInd/>
        <w:snapToGrid/>
        <w:spacing w:line="440" w:lineRule="exact"/>
        <w:ind w:firstLine="44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.制订</w:t>
      </w:r>
      <w:r>
        <w:rPr>
          <w:rFonts w:hint="eastAsia" w:ascii="新宋体" w:hAnsi="新宋体" w:eastAsia="新宋体" w:cs="新宋体"/>
          <w:color w:val="auto"/>
          <w:sz w:val="22"/>
          <w:szCs w:val="22"/>
          <w:highlight w:val="none"/>
          <w:lang w:val="en-US" w:eastAsia="zh-CN"/>
        </w:rPr>
        <w:t>管理</w:t>
      </w:r>
      <w:r>
        <w:rPr>
          <w:rFonts w:hint="eastAsia" w:ascii="新宋体" w:hAnsi="新宋体" w:eastAsia="新宋体" w:cs="新宋体"/>
          <w:color w:val="auto"/>
          <w:sz w:val="22"/>
          <w:szCs w:val="22"/>
          <w:highlight w:val="none"/>
          <w:lang w:eastAsia="zh-CN"/>
        </w:rPr>
        <w:t>规章制度，</w:t>
      </w:r>
      <w:r>
        <w:rPr>
          <w:rFonts w:hint="eastAsia" w:ascii="新宋体" w:hAnsi="新宋体" w:eastAsia="新宋体" w:cs="新宋体"/>
          <w:color w:val="auto"/>
          <w:sz w:val="22"/>
          <w:szCs w:val="22"/>
          <w:highlight w:val="none"/>
          <w:lang w:val="en-US" w:eastAsia="zh-CN"/>
        </w:rPr>
        <w:t>对</w:t>
      </w:r>
      <w:r>
        <w:rPr>
          <w:rFonts w:hint="eastAsia" w:ascii="新宋体" w:hAnsi="新宋体" w:eastAsia="新宋体" w:cs="新宋体"/>
          <w:color w:val="auto"/>
          <w:sz w:val="22"/>
          <w:szCs w:val="22"/>
          <w:highlight w:val="none"/>
          <w:lang w:eastAsia="zh-CN"/>
        </w:rPr>
        <w:t>保安人员</w:t>
      </w:r>
      <w:r>
        <w:rPr>
          <w:rFonts w:hint="eastAsia" w:ascii="新宋体" w:hAnsi="新宋体" w:eastAsia="新宋体" w:cs="新宋体"/>
          <w:color w:val="auto"/>
          <w:sz w:val="22"/>
          <w:szCs w:val="22"/>
          <w:highlight w:val="none"/>
          <w:lang w:val="en-US" w:eastAsia="zh-CN"/>
        </w:rPr>
        <w:t>做好教育、岗前培训、安全培训等与工作开展相关的教育及培训</w:t>
      </w:r>
      <w:r>
        <w:rPr>
          <w:rFonts w:hint="eastAsia" w:ascii="新宋体" w:hAnsi="新宋体" w:eastAsia="新宋体" w:cs="新宋体"/>
          <w:color w:val="auto"/>
          <w:sz w:val="22"/>
          <w:szCs w:val="22"/>
          <w:highlight w:val="none"/>
          <w:lang w:eastAsia="zh-CN"/>
        </w:rPr>
        <w:t>。</w:t>
      </w:r>
    </w:p>
    <w:p w14:paraId="14B1B0E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.乙方指派的保安员负责甲方单位指定区域内安全秩序、人员安全、财产安全、消防和交通安全、消纳票据收验工作、车辆冲洗、岗亭清洁、日常管理工作、维修维护管理等</w:t>
      </w:r>
      <w:r>
        <w:rPr>
          <w:rFonts w:hint="eastAsia" w:ascii="新宋体" w:hAnsi="新宋体" w:eastAsia="新宋体" w:cs="新宋体"/>
          <w:color w:val="auto"/>
          <w:sz w:val="22"/>
          <w:szCs w:val="22"/>
          <w:highlight w:val="none"/>
          <w:lang w:val="en-US" w:eastAsia="zh-CN"/>
        </w:rPr>
        <w:t>招标文件要求的</w:t>
      </w:r>
      <w:r>
        <w:rPr>
          <w:rFonts w:hint="eastAsia" w:ascii="新宋体" w:hAnsi="新宋体" w:eastAsia="新宋体" w:cs="新宋体"/>
          <w:color w:val="auto"/>
          <w:sz w:val="22"/>
          <w:szCs w:val="22"/>
          <w:highlight w:val="none"/>
          <w:lang w:eastAsia="zh-CN"/>
        </w:rPr>
        <w:t>工作。</w:t>
      </w:r>
    </w:p>
    <w:p w14:paraId="4F7CBF8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 xml:space="preserve">.保安员应依法维护甲方的利益、严格履行规定的岗位职责和要求，并遵守甲方符合法律规定的各项规章制度。    </w:t>
      </w:r>
    </w:p>
    <w:p w14:paraId="3E23E5A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 xml:space="preserve">.乙方保安员在职权范围内配合甲方调解发生在甲方辖区内的突发性纠纷，确保甲方辖区内的安全秩序。  </w:t>
      </w:r>
    </w:p>
    <w:p w14:paraId="7C66654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 xml:space="preserve">.发生在执勤区域内的刑事案件、治安案件和治安灾害事故，及时报告甲方和公安机关，并采取措施保护发案现场，协助公安机关侦查及处理。同时依法妥善处理责任范围内的其它突发事件。 </w:t>
      </w:r>
    </w:p>
    <w:p w14:paraId="0C6D9E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.落实防火、防盗、防破坏等安全防范措施，发现责任区域内的安全隐患、排除消防安全隐患，及时报告甲方并协助予以处理。</w:t>
      </w:r>
    </w:p>
    <w:p w14:paraId="3DE9EBE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.选派的保安员必须经过正规的保安培训，无违法犯罪前科，身体健康合格。</w:t>
      </w:r>
    </w:p>
    <w:p w14:paraId="0B91D64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eastAsia="zh-CN"/>
        </w:rPr>
        <w:t>.加强对保安员在岗的业务培训、政治思想职业道德教育、工作监督和管理，确保安全服务的优质高效。</w:t>
      </w:r>
    </w:p>
    <w:p w14:paraId="392FC491">
      <w:pPr>
        <w:pStyle w:val="2"/>
        <w:rPr>
          <w:rFonts w:hint="default"/>
          <w:color w:val="auto"/>
          <w:highlight w:val="none"/>
          <w:lang w:val="en-US" w:eastAsia="zh-CN"/>
        </w:rPr>
      </w:pPr>
      <w:r>
        <w:rPr>
          <w:rFonts w:hint="eastAsia" w:ascii="新宋体" w:hAnsi="新宋体" w:eastAsia="新宋体" w:cs="新宋体"/>
          <w:color w:val="auto"/>
          <w:sz w:val="22"/>
          <w:szCs w:val="22"/>
          <w:highlight w:val="none"/>
          <w:lang w:val="en-US" w:eastAsia="zh-CN"/>
        </w:rPr>
        <w:t>9.无条件按照甲方要求调换不合格的人员，直至提供能够胜任工作要求的合格人员</w:t>
      </w:r>
      <w:r>
        <w:rPr>
          <w:rFonts w:hint="eastAsia" w:ascii="新宋体" w:hAnsi="新宋体" w:eastAsia="新宋体" w:cs="新宋体"/>
          <w:color w:val="auto"/>
          <w:sz w:val="22"/>
          <w:szCs w:val="22"/>
          <w:highlight w:val="none"/>
          <w:lang w:eastAsia="zh-CN"/>
        </w:rPr>
        <w:t>。</w:t>
      </w:r>
    </w:p>
    <w:p w14:paraId="381D707A">
      <w:pPr>
        <w:spacing w:line="420" w:lineRule="exact"/>
        <w:ind w:right="-21" w:rightChars="-10"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eastAsia="zh-CN"/>
        </w:rPr>
        <w:t>.除以上要求外：</w:t>
      </w:r>
    </w:p>
    <w:p w14:paraId="3E07713D">
      <w:pPr>
        <w:keepNext w:val="0"/>
        <w:keepLines w:val="0"/>
        <w:pageBreakBefore w:val="0"/>
        <w:widowControl w:val="0"/>
        <w:kinsoku/>
        <w:wordWrap/>
        <w:overflowPunct/>
        <w:topLinePunct w:val="0"/>
        <w:autoSpaceDE/>
        <w:autoSpaceDN/>
        <w:bidi w:val="0"/>
        <w:adjustRightInd/>
        <w:snapToGrid/>
        <w:spacing w:after="0" w:line="420" w:lineRule="exact"/>
        <w:ind w:right="-21" w:rightChars="-1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①</w:t>
      </w:r>
      <w:r>
        <w:rPr>
          <w:rFonts w:hint="eastAsia" w:ascii="宋体" w:hAnsi="宋体" w:cs="宋体"/>
          <w:bCs/>
          <w:color w:val="auto"/>
          <w:kern w:val="0"/>
          <w:sz w:val="22"/>
          <w:szCs w:val="22"/>
          <w:highlight w:val="none"/>
          <w:lang w:val="en-US" w:eastAsia="zh-CN"/>
        </w:rPr>
        <w:t>每24小时须按照招标文件要求及甲方要求配置足够的消纳票据收验人员在岗，负责土方、泥浆的消纳收票工作，包括但不限于电子联单扫码、土方及泥浆消纳地磅数据录入与导出、土方车辆篷布内容物查看、维修维护管理，保持土方消纳地磅、监控、沉淀池、岗亭基本整洁，维持土方、泥浆的消纳秩序，配合土方、泥浆消纳巡逻；服务区内道路维修（含人工、机械台班、进出场费用等）；服务区域内日常道路洒水服务（含人员及车辆使用等）；服务区域内摄像头及配套供电设备的日常清洁，需1-2日进行一次擦拭，确保监控清晰等工作（若有），并保证投入不少于一辆车辆用于本项目巡查调配。</w:t>
      </w:r>
    </w:p>
    <w:p w14:paraId="0275BCAA">
      <w:pPr>
        <w:spacing w:line="420" w:lineRule="exact"/>
        <w:ind w:right="-21" w:rightChars="-10"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②服务期内土方消纳岗亭及相关设备维护维修:乙方须保证土方消纳岗亭各设备正常使用。包括但不限于（1）服务期内土方消纳岗亭及相关设备维护维修，须保证土方消纳岗亭各设备正常使用。（2）土方消纳岗亭地磅、洗车池(洗车机)、水泵、泥浆泵等相关设备维护维修。（3）土方消纳岗亭及相关联的设备的用水用电费用支付(洗车池或高压冲洗设备、消纳岗亭办公及相关设备正常用水用电；清洁路面用水用电等。可根据现场实际情况采用抽水方式取水，如无法抽水须接入自来水。（4）土方消纳岗亭办公设备(电脑、空调、工控机等)维护维修；（</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）土方消纳岗亭摄像头等设备维护维修。（</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）岗亭出口车辆冲洗设备及人员。</w:t>
      </w:r>
    </w:p>
    <w:p w14:paraId="2F11C818">
      <w:pPr>
        <w:spacing w:line="420" w:lineRule="exact"/>
        <w:ind w:right="-21" w:rightChars="-10" w:firstLine="440" w:firstLineChars="200"/>
        <w:rPr>
          <w:color w:val="auto"/>
          <w:highlight w:val="none"/>
        </w:rPr>
      </w:pPr>
      <w:r>
        <w:rPr>
          <w:rFonts w:hint="eastAsia" w:ascii="新宋体" w:hAnsi="新宋体" w:eastAsia="新宋体" w:cs="新宋体"/>
          <w:color w:val="auto"/>
          <w:sz w:val="22"/>
          <w:szCs w:val="22"/>
          <w:highlight w:val="none"/>
          <w:lang w:eastAsia="zh-CN"/>
        </w:rPr>
        <w:t>③土方消纳岗亭接入省</w:t>
      </w:r>
      <w:r>
        <w:rPr>
          <w:rFonts w:hint="eastAsia" w:ascii="新宋体" w:hAnsi="新宋体" w:eastAsia="新宋体" w:cs="新宋体"/>
          <w:color w:val="auto"/>
          <w:sz w:val="22"/>
          <w:szCs w:val="22"/>
          <w:highlight w:val="none"/>
          <w:lang w:val="en-US" w:eastAsia="zh-CN"/>
        </w:rPr>
        <w:t>主管部门的</w:t>
      </w:r>
      <w:r>
        <w:rPr>
          <w:rFonts w:hint="eastAsia" w:ascii="新宋体" w:hAnsi="新宋体" w:eastAsia="新宋体" w:cs="新宋体"/>
          <w:color w:val="auto"/>
          <w:sz w:val="22"/>
          <w:szCs w:val="22"/>
          <w:highlight w:val="none"/>
          <w:lang w:eastAsia="zh-CN"/>
        </w:rPr>
        <w:t>平台，</w:t>
      </w:r>
      <w:r>
        <w:rPr>
          <w:rFonts w:hint="eastAsia" w:ascii="新宋体" w:hAnsi="新宋体" w:eastAsia="新宋体" w:cs="新宋体"/>
          <w:color w:val="auto"/>
          <w:sz w:val="22"/>
          <w:szCs w:val="22"/>
          <w:highlight w:val="none"/>
          <w:lang w:val="en-US" w:eastAsia="zh-CN"/>
        </w:rPr>
        <w:t>并保持网络通畅</w:t>
      </w:r>
      <w:r>
        <w:rPr>
          <w:rFonts w:hint="eastAsia" w:ascii="新宋体" w:hAnsi="新宋体" w:eastAsia="新宋体" w:cs="新宋体"/>
          <w:color w:val="auto"/>
          <w:sz w:val="22"/>
          <w:szCs w:val="22"/>
          <w:highlight w:val="none"/>
          <w:lang w:eastAsia="zh-CN"/>
        </w:rPr>
        <w:t>。</w:t>
      </w:r>
    </w:p>
    <w:p w14:paraId="7C9C463B">
      <w:pPr>
        <w:spacing w:line="420" w:lineRule="exact"/>
        <w:ind w:right="-21" w:rightChars="-10"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④</w:t>
      </w:r>
      <w:r>
        <w:rPr>
          <w:rFonts w:hint="eastAsia" w:ascii="新宋体" w:hAnsi="新宋体" w:eastAsia="新宋体" w:cs="新宋体"/>
          <w:color w:val="auto"/>
          <w:sz w:val="22"/>
          <w:szCs w:val="22"/>
          <w:highlight w:val="none"/>
          <w:lang w:eastAsia="zh-CN"/>
        </w:rPr>
        <w:t>土方消纳岗亭100M光纤网络接入，</w:t>
      </w:r>
      <w:r>
        <w:rPr>
          <w:rFonts w:hint="eastAsia" w:ascii="新宋体" w:hAnsi="新宋体" w:eastAsia="新宋体" w:cs="新宋体"/>
          <w:color w:val="auto"/>
          <w:sz w:val="22"/>
          <w:szCs w:val="22"/>
          <w:highlight w:val="none"/>
          <w:lang w:val="en-US" w:eastAsia="zh-CN"/>
        </w:rPr>
        <w:t>并保持日常的使用</w:t>
      </w:r>
      <w:r>
        <w:rPr>
          <w:rFonts w:hint="eastAsia" w:ascii="新宋体" w:hAnsi="新宋体" w:eastAsia="新宋体" w:cs="新宋体"/>
          <w:color w:val="auto"/>
          <w:sz w:val="22"/>
          <w:szCs w:val="22"/>
          <w:highlight w:val="none"/>
          <w:lang w:eastAsia="zh-CN"/>
        </w:rPr>
        <w:t>。</w:t>
      </w:r>
    </w:p>
    <w:p w14:paraId="5E4B9F8C">
      <w:pPr>
        <w:spacing w:line="420" w:lineRule="exact"/>
        <w:ind w:right="-21" w:rightChars="-10"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fldChar w:fldCharType="begin"/>
      </w:r>
      <w:r>
        <w:rPr>
          <w:rFonts w:hint="eastAsia" w:ascii="新宋体" w:hAnsi="新宋体" w:eastAsia="新宋体" w:cs="新宋体"/>
          <w:color w:val="auto"/>
          <w:sz w:val="22"/>
          <w:szCs w:val="22"/>
          <w:highlight w:val="none"/>
          <w:lang w:eastAsia="zh-CN"/>
        </w:rPr>
        <w:instrText xml:space="preserve"> = 5 \* GB3 \* MERGEFORMAT </w:instrText>
      </w:r>
      <w:r>
        <w:rPr>
          <w:rFonts w:hint="eastAsia" w:ascii="新宋体" w:hAnsi="新宋体" w:eastAsia="新宋体" w:cs="新宋体"/>
          <w:color w:val="auto"/>
          <w:sz w:val="22"/>
          <w:szCs w:val="22"/>
          <w:highlight w:val="none"/>
          <w:lang w:eastAsia="zh-CN"/>
        </w:rPr>
        <w:fldChar w:fldCharType="separate"/>
      </w:r>
      <w:r>
        <w:rPr>
          <w:color w:val="auto"/>
          <w:highlight w:val="none"/>
        </w:rPr>
        <w:t>⑤</w:t>
      </w:r>
      <w:r>
        <w:rPr>
          <w:rFonts w:hint="eastAsia" w:ascii="新宋体" w:hAnsi="新宋体" w:eastAsia="新宋体" w:cs="新宋体"/>
          <w:color w:val="auto"/>
          <w:sz w:val="22"/>
          <w:szCs w:val="22"/>
          <w:highlight w:val="none"/>
          <w:lang w:eastAsia="zh-CN"/>
        </w:rPr>
        <w:fldChar w:fldCharType="end"/>
      </w:r>
      <w:r>
        <w:rPr>
          <w:rFonts w:hint="eastAsia" w:ascii="新宋体" w:hAnsi="新宋体" w:eastAsia="新宋体" w:cs="新宋体"/>
          <w:color w:val="auto"/>
          <w:sz w:val="22"/>
          <w:szCs w:val="22"/>
          <w:highlight w:val="none"/>
          <w:lang w:eastAsia="zh-CN"/>
        </w:rPr>
        <w:t>地磅检验</w:t>
      </w:r>
      <w:r>
        <w:rPr>
          <w:rFonts w:hint="eastAsia" w:ascii="新宋体" w:hAnsi="新宋体" w:eastAsia="新宋体" w:cs="新宋体"/>
          <w:color w:val="auto"/>
          <w:sz w:val="22"/>
          <w:szCs w:val="22"/>
          <w:highlight w:val="none"/>
          <w:lang w:val="en-US" w:eastAsia="zh-CN"/>
        </w:rPr>
        <w:t>及迁改</w:t>
      </w:r>
      <w:r>
        <w:rPr>
          <w:rFonts w:hint="eastAsia" w:ascii="新宋体" w:hAnsi="新宋体" w:eastAsia="新宋体" w:cs="新宋体"/>
          <w:color w:val="auto"/>
          <w:sz w:val="22"/>
          <w:szCs w:val="22"/>
          <w:highlight w:val="none"/>
          <w:lang w:eastAsia="zh-CN"/>
        </w:rPr>
        <w:t>:暂按8台地磅,乙方须每季度</w:t>
      </w:r>
      <w:r>
        <w:rPr>
          <w:rFonts w:hint="eastAsia" w:ascii="新宋体" w:hAnsi="新宋体" w:eastAsia="新宋体" w:cs="新宋体"/>
          <w:color w:val="auto"/>
          <w:sz w:val="22"/>
          <w:szCs w:val="22"/>
          <w:highlight w:val="none"/>
          <w:lang w:val="en-US" w:eastAsia="zh-CN"/>
        </w:rPr>
        <w:t>或根据地磅检测到期情况或甲方要求</w:t>
      </w:r>
      <w:r>
        <w:rPr>
          <w:rFonts w:hint="eastAsia" w:ascii="新宋体" w:hAnsi="新宋体" w:eastAsia="新宋体" w:cs="新宋体"/>
          <w:color w:val="auto"/>
          <w:sz w:val="22"/>
          <w:szCs w:val="22"/>
          <w:highlight w:val="none"/>
          <w:lang w:eastAsia="zh-CN"/>
        </w:rPr>
        <w:t>委托专业机构对地磅设备进行检验</w:t>
      </w:r>
      <w:r>
        <w:rPr>
          <w:rFonts w:hint="eastAsia" w:ascii="新宋体" w:hAnsi="新宋体" w:eastAsia="新宋体" w:cs="新宋体"/>
          <w:color w:val="auto"/>
          <w:sz w:val="22"/>
          <w:szCs w:val="22"/>
          <w:highlight w:val="none"/>
          <w:lang w:val="en-US" w:eastAsia="zh-CN"/>
        </w:rPr>
        <w:t>并</w:t>
      </w:r>
      <w:r>
        <w:rPr>
          <w:rFonts w:hint="eastAsia" w:ascii="新宋体" w:hAnsi="新宋体" w:eastAsia="新宋体" w:cs="新宋体"/>
          <w:color w:val="auto"/>
          <w:sz w:val="22"/>
          <w:szCs w:val="22"/>
          <w:highlight w:val="none"/>
          <w:lang w:eastAsia="zh-CN"/>
        </w:rPr>
        <w:t>出具</w:t>
      </w:r>
      <w:r>
        <w:rPr>
          <w:rFonts w:hint="eastAsia" w:ascii="新宋体" w:hAnsi="新宋体" w:eastAsia="新宋体" w:cs="新宋体"/>
          <w:color w:val="auto"/>
          <w:sz w:val="22"/>
          <w:szCs w:val="22"/>
          <w:highlight w:val="none"/>
          <w:lang w:val="en-US" w:eastAsia="zh-CN"/>
        </w:rPr>
        <w:t>有效的</w:t>
      </w:r>
      <w:r>
        <w:rPr>
          <w:rFonts w:hint="eastAsia" w:ascii="新宋体" w:hAnsi="新宋体" w:eastAsia="新宋体" w:cs="新宋体"/>
          <w:color w:val="auto"/>
          <w:sz w:val="22"/>
          <w:szCs w:val="22"/>
          <w:highlight w:val="none"/>
          <w:lang w:eastAsia="zh-CN"/>
        </w:rPr>
        <w:t>检验报告；根据</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eastAsia="zh-CN"/>
        </w:rPr>
        <w:t>需要，将现有地磅迁改至其他区域，包括但不限于迁改过程中发生的地磅拆除、运输、安装地磅安装、新址的挖土方、钢筋混凝土工程等全部建设费用。</w:t>
      </w:r>
    </w:p>
    <w:p w14:paraId="2ACAE229">
      <w:pPr>
        <w:spacing w:line="420" w:lineRule="exact"/>
        <w:ind w:right="-21" w:rightChars="-10"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 6 \* GB3 \* MERGEFORMAT </w:instrText>
      </w:r>
      <w:r>
        <w:rPr>
          <w:rFonts w:hint="eastAsia" w:ascii="新宋体" w:hAnsi="新宋体" w:eastAsia="新宋体" w:cs="新宋体"/>
          <w:color w:val="auto"/>
          <w:sz w:val="22"/>
          <w:szCs w:val="22"/>
          <w:highlight w:val="none"/>
          <w:lang w:val="en-US" w:eastAsia="zh-CN"/>
        </w:rPr>
        <w:fldChar w:fldCharType="separate"/>
      </w:r>
      <w:r>
        <w:rPr>
          <w:color w:val="auto"/>
          <w:highlight w:val="none"/>
        </w:rPr>
        <w:t>⑥</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t>服务区内道路维修：按照甲方的要求提供道路维修服务，包括人工、机械台班、进出场费用等，挖机规格需200型及以上或提供满足甲方工作需求的机械设备。</w:t>
      </w:r>
    </w:p>
    <w:p w14:paraId="43497F2E">
      <w:pPr>
        <w:spacing w:line="420" w:lineRule="exact"/>
        <w:ind w:right="-21" w:rightChars="-10"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 7 \* GB3 \* MERGEFORMAT </w:instrText>
      </w:r>
      <w:r>
        <w:rPr>
          <w:rFonts w:hint="eastAsia" w:ascii="新宋体" w:hAnsi="新宋体" w:eastAsia="新宋体" w:cs="新宋体"/>
          <w:color w:val="auto"/>
          <w:sz w:val="22"/>
          <w:szCs w:val="22"/>
          <w:highlight w:val="none"/>
          <w:lang w:val="en-US" w:eastAsia="zh-CN"/>
        </w:rPr>
        <w:fldChar w:fldCharType="separate"/>
      </w:r>
      <w:r>
        <w:rPr>
          <w:color w:val="auto"/>
          <w:highlight w:val="none"/>
        </w:rPr>
        <w:t>⑦</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t>洒水、清洗工作服务：包括服务区域内日常道路洒水服务、岗亭出入口及附近部分道路的洒水清洗、甲方要求需要开展临时的洒水工作；日常道路洒水服务、岗亭出入口及附近部分道路的洒水清洗每日需洒水不少于4次，甲方需要开展临时的洒水工作按照甲方的要求开展。</w:t>
      </w:r>
    </w:p>
    <w:p w14:paraId="5E7B48F8">
      <w:pPr>
        <w:spacing w:line="420" w:lineRule="exact"/>
        <w:ind w:right="-21" w:rightChars="-10"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10.乙方提供人员的</w:t>
      </w:r>
      <w:r>
        <w:rPr>
          <w:rFonts w:hint="eastAsia" w:ascii="新宋体" w:hAnsi="新宋体" w:eastAsia="新宋体" w:cs="新宋体"/>
          <w:color w:val="auto"/>
          <w:sz w:val="22"/>
          <w:szCs w:val="22"/>
          <w:highlight w:val="none"/>
          <w:lang w:eastAsia="zh-CN"/>
        </w:rPr>
        <w:t>食宿</w:t>
      </w:r>
      <w:r>
        <w:rPr>
          <w:rFonts w:hint="eastAsia" w:ascii="新宋体" w:hAnsi="新宋体" w:eastAsia="新宋体" w:cs="新宋体"/>
          <w:color w:val="auto"/>
          <w:sz w:val="22"/>
          <w:szCs w:val="22"/>
          <w:highlight w:val="none"/>
          <w:lang w:val="en-US" w:eastAsia="zh-CN"/>
        </w:rPr>
        <w:t>及其他</w:t>
      </w:r>
      <w:r>
        <w:rPr>
          <w:rFonts w:hint="eastAsia" w:ascii="新宋体" w:hAnsi="新宋体" w:eastAsia="新宋体" w:cs="新宋体"/>
          <w:color w:val="auto"/>
          <w:sz w:val="22"/>
          <w:szCs w:val="22"/>
          <w:highlight w:val="none"/>
          <w:lang w:eastAsia="zh-CN"/>
        </w:rPr>
        <w:t>工作条件由乙方自理。</w:t>
      </w:r>
    </w:p>
    <w:p w14:paraId="621F632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四、合同费用及支付方式</w:t>
      </w:r>
    </w:p>
    <w:p w14:paraId="3033347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1.</w:t>
      </w:r>
      <w:r>
        <w:rPr>
          <w:rFonts w:hint="eastAsia" w:ascii="新宋体" w:hAnsi="新宋体" w:eastAsia="新宋体" w:cs="新宋体"/>
          <w:color w:val="auto"/>
          <w:sz w:val="22"/>
          <w:szCs w:val="22"/>
          <w:highlight w:val="none"/>
        </w:rPr>
        <w:t>本合同总价为</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元，</w:t>
      </w:r>
      <w:r>
        <w:rPr>
          <w:rFonts w:hint="eastAsia" w:ascii="新宋体" w:hAnsi="新宋体" w:eastAsia="新宋体" w:cs="新宋体"/>
          <w:color w:val="auto"/>
          <w:sz w:val="22"/>
          <w:szCs w:val="22"/>
          <w:highlight w:val="none"/>
          <w:lang w:eastAsia="zh-CN"/>
        </w:rPr>
        <w:t>人员</w:t>
      </w:r>
      <w:r>
        <w:rPr>
          <w:rFonts w:hint="eastAsia" w:ascii="新宋体" w:hAnsi="新宋体" w:eastAsia="新宋体" w:cs="新宋体"/>
          <w:color w:val="auto"/>
          <w:sz w:val="22"/>
          <w:szCs w:val="22"/>
          <w:highlight w:val="none"/>
          <w:lang w:val="en-US" w:eastAsia="zh-CN"/>
        </w:rPr>
        <w:t>全费用</w:t>
      </w:r>
      <w:r>
        <w:rPr>
          <w:rFonts w:hint="eastAsia" w:ascii="新宋体" w:hAnsi="新宋体" w:eastAsia="新宋体" w:cs="新宋体"/>
          <w:color w:val="auto"/>
          <w:sz w:val="22"/>
          <w:szCs w:val="22"/>
          <w:highlight w:val="none"/>
          <w:lang w:eastAsia="zh-CN"/>
        </w:rPr>
        <w:t>单价</w:t>
      </w:r>
      <w:r>
        <w:rPr>
          <w:rFonts w:hint="eastAsia" w:ascii="新宋体" w:hAnsi="新宋体" w:eastAsia="新宋体" w:cs="新宋体"/>
          <w:color w:val="auto"/>
          <w:sz w:val="22"/>
          <w:szCs w:val="22"/>
          <w:highlight w:val="none"/>
        </w:rPr>
        <w:t>为</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元</w:t>
      </w:r>
      <w:r>
        <w:rPr>
          <w:rFonts w:hint="eastAsia" w:ascii="新宋体" w:hAnsi="新宋体" w:eastAsia="新宋体" w:cs="新宋体"/>
          <w:color w:val="auto"/>
          <w:sz w:val="22"/>
          <w:szCs w:val="22"/>
          <w:highlight w:val="none"/>
          <w:lang w:val="en-US" w:eastAsia="zh-CN"/>
        </w:rPr>
        <w:t>/人·月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具体费用按出勤人数与实际</w:t>
      </w:r>
      <w:r>
        <w:rPr>
          <w:rFonts w:hint="eastAsia" w:ascii="新宋体" w:hAnsi="新宋体" w:eastAsia="新宋体" w:cs="新宋体"/>
          <w:color w:val="auto"/>
          <w:sz w:val="22"/>
          <w:szCs w:val="22"/>
          <w:highlight w:val="none"/>
          <w:lang w:eastAsia="zh-CN"/>
        </w:rPr>
        <w:t>产生的工作时间（按日计算）</w:t>
      </w:r>
      <w:r>
        <w:rPr>
          <w:rFonts w:hint="eastAsia" w:ascii="新宋体" w:hAnsi="新宋体" w:eastAsia="新宋体" w:cs="新宋体"/>
          <w:color w:val="auto"/>
          <w:sz w:val="22"/>
          <w:szCs w:val="22"/>
          <w:highlight w:val="none"/>
        </w:rPr>
        <w:t>结算</w:t>
      </w:r>
      <w:r>
        <w:rPr>
          <w:rFonts w:hint="eastAsia" w:ascii="新宋体" w:hAnsi="新宋体" w:eastAsia="新宋体" w:cs="新宋体"/>
          <w:color w:val="auto"/>
          <w:sz w:val="22"/>
          <w:szCs w:val="22"/>
          <w:highlight w:val="none"/>
          <w:lang w:eastAsia="zh-CN"/>
        </w:rPr>
        <w:t>），</w:t>
      </w:r>
      <w:r>
        <w:rPr>
          <w:rFonts w:hint="eastAsia" w:ascii="宋体" w:hAnsi="宋体" w:cs="Arial"/>
          <w:b w:val="0"/>
          <w:bCs/>
          <w:color w:val="auto"/>
          <w:sz w:val="22"/>
          <w:szCs w:val="22"/>
          <w:highlight w:val="none"/>
          <w:lang w:eastAsia="zh-CN"/>
        </w:rPr>
        <w:t>服务期内土方消纳岗亭及相关设备维护维修、水电、网络接入等各项费用</w:t>
      </w:r>
      <w:r>
        <w:rPr>
          <w:rFonts w:hint="eastAsia" w:ascii="新宋体" w:hAnsi="新宋体" w:eastAsia="新宋体" w:cs="新宋体"/>
          <w:color w:val="auto"/>
          <w:sz w:val="22"/>
          <w:szCs w:val="22"/>
          <w:highlight w:val="none"/>
          <w:lang w:eastAsia="zh-CN"/>
        </w:rPr>
        <w:t>为</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万/年</w:t>
      </w:r>
      <w:r>
        <w:rPr>
          <w:rFonts w:hint="eastAsia" w:ascii="新宋体" w:hAnsi="新宋体" w:eastAsia="新宋体" w:cs="新宋体"/>
          <w:color w:val="auto"/>
          <w:sz w:val="22"/>
          <w:szCs w:val="22"/>
          <w:highlight w:val="none"/>
          <w:lang w:eastAsia="zh-CN"/>
        </w:rPr>
        <w:t>，</w:t>
      </w:r>
      <w:r>
        <w:rPr>
          <w:rFonts w:hint="eastAsia" w:ascii="宋体" w:hAnsi="宋体" w:cs="Arial"/>
          <w:b w:val="0"/>
          <w:bCs/>
          <w:color w:val="auto"/>
          <w:sz w:val="22"/>
          <w:szCs w:val="22"/>
          <w:highlight w:val="none"/>
          <w:lang w:eastAsia="zh-CN"/>
        </w:rPr>
        <w:t>地磅检验费用</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万/年</w:t>
      </w:r>
      <w:r>
        <w:rPr>
          <w:rFonts w:hint="eastAsia" w:ascii="新宋体" w:hAnsi="新宋体" w:eastAsia="新宋体" w:cs="新宋体"/>
          <w:color w:val="auto"/>
          <w:sz w:val="22"/>
          <w:szCs w:val="22"/>
          <w:highlight w:val="none"/>
          <w:lang w:eastAsia="zh-CN"/>
        </w:rPr>
        <w:t>，地磅迁改费用</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万/年</w:t>
      </w:r>
      <w:r>
        <w:rPr>
          <w:rFonts w:hint="eastAsia" w:ascii="新宋体" w:hAnsi="新宋体" w:eastAsia="新宋体" w:cs="新宋体"/>
          <w:color w:val="auto"/>
          <w:sz w:val="22"/>
          <w:szCs w:val="22"/>
          <w:highlight w:val="none"/>
          <w:lang w:eastAsia="zh-CN"/>
        </w:rPr>
        <w:t>，洒水、清洗工作费用（日常）</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w:t>
      </w:r>
      <w:r>
        <w:rPr>
          <w:rFonts w:hint="eastAsia" w:ascii="新宋体" w:hAnsi="新宋体" w:eastAsia="新宋体" w:cs="新宋体"/>
          <w:color w:val="auto"/>
          <w:sz w:val="22"/>
          <w:szCs w:val="22"/>
          <w:highlight w:val="none"/>
          <w:lang w:val="en-US" w:eastAsia="zh-CN"/>
        </w:rPr>
        <w:t>年；道路维修机械台班费用</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万/年</w:t>
      </w:r>
      <w:r>
        <w:rPr>
          <w:rFonts w:hint="eastAsia" w:ascii="新宋体" w:hAnsi="新宋体" w:eastAsia="新宋体" w:cs="新宋体"/>
          <w:color w:val="auto"/>
          <w:sz w:val="22"/>
          <w:szCs w:val="22"/>
          <w:highlight w:val="none"/>
          <w:lang w:eastAsia="zh-CN"/>
        </w:rPr>
        <w:t>；每季度凭发票（增值税专用发票）向采购人进行费用申请</w:t>
      </w:r>
      <w:r>
        <w:rPr>
          <w:rFonts w:hint="eastAsia" w:ascii="新宋体" w:hAnsi="新宋体" w:eastAsia="新宋体" w:cs="新宋体"/>
          <w:color w:val="auto"/>
          <w:sz w:val="22"/>
          <w:szCs w:val="22"/>
          <w:highlight w:val="none"/>
        </w:rPr>
        <w:t>。</w:t>
      </w:r>
    </w:p>
    <w:p w14:paraId="707E0C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2.</w:t>
      </w:r>
      <w:r>
        <w:rPr>
          <w:rFonts w:hint="eastAsia" w:ascii="新宋体" w:hAnsi="新宋体" w:eastAsia="新宋体" w:cs="新宋体"/>
          <w:color w:val="auto"/>
          <w:sz w:val="22"/>
          <w:szCs w:val="22"/>
          <w:highlight w:val="none"/>
          <w:lang w:val="en-US" w:eastAsia="zh-CN"/>
        </w:rPr>
        <w:t>费用计算方式：</w:t>
      </w:r>
    </w:p>
    <w:p w14:paraId="2135F44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）人员</w:t>
      </w:r>
      <w:r>
        <w:rPr>
          <w:rFonts w:hint="eastAsia" w:ascii="新宋体" w:hAnsi="新宋体" w:eastAsia="新宋体" w:cs="新宋体"/>
          <w:color w:val="auto"/>
          <w:sz w:val="22"/>
          <w:szCs w:val="22"/>
          <w:highlight w:val="none"/>
          <w:lang w:val="en-US" w:eastAsia="zh-CN"/>
        </w:rPr>
        <w:t>服务费用</w:t>
      </w:r>
      <w:r>
        <w:rPr>
          <w:rFonts w:hint="eastAsia" w:ascii="新宋体" w:hAnsi="新宋体" w:eastAsia="新宋体" w:cs="新宋体"/>
          <w:color w:val="auto"/>
          <w:sz w:val="22"/>
          <w:szCs w:val="22"/>
          <w:highlight w:val="none"/>
        </w:rPr>
        <w:t>计算方式：</w:t>
      </w:r>
      <w:r>
        <w:rPr>
          <w:rFonts w:hint="eastAsia" w:ascii="新宋体" w:hAnsi="新宋体" w:eastAsia="新宋体" w:cs="新宋体"/>
          <w:color w:val="auto"/>
          <w:sz w:val="22"/>
          <w:szCs w:val="22"/>
          <w:highlight w:val="none"/>
          <w:lang w:eastAsia="zh-CN"/>
        </w:rPr>
        <w:t>人员每月</w:t>
      </w:r>
      <w:r>
        <w:rPr>
          <w:rFonts w:hint="eastAsia" w:ascii="新宋体" w:hAnsi="新宋体" w:eastAsia="新宋体" w:cs="新宋体"/>
          <w:color w:val="auto"/>
          <w:sz w:val="22"/>
          <w:szCs w:val="22"/>
          <w:highlight w:val="none"/>
          <w:lang w:val="en-US" w:eastAsia="zh-CN"/>
        </w:rPr>
        <w:t>全费用单价*12（月）/365（天）*</w:t>
      </w:r>
      <w:r>
        <w:rPr>
          <w:rFonts w:hint="eastAsia" w:ascii="新宋体" w:hAnsi="新宋体" w:eastAsia="新宋体" w:cs="新宋体"/>
          <w:color w:val="auto"/>
          <w:sz w:val="22"/>
          <w:szCs w:val="22"/>
          <w:highlight w:val="none"/>
        </w:rPr>
        <w:t>实际出勤天数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甲方有权不定期对乙方服务人员到岗率进行抽查，如抽查时发现缺岗，乙方按660元/人/次向甲方支付违约金，累计缺岗超过10次，甲方有权单方解除合同。</w:t>
      </w:r>
    </w:p>
    <w:p w14:paraId="0162091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（2）洒水、清洗工作费用（日常）结算方式：按月及报价予以结算，每月时限不足当月天数，按照比例扣除。</w:t>
      </w:r>
    </w:p>
    <w:p w14:paraId="52B8B8D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（3）道路维修机械台班费用结算方式：按实际产生台班数进行结算。</w:t>
      </w:r>
    </w:p>
    <w:p w14:paraId="43F0CFE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（4）服务期内土方消纳岗亭及相关设备维护维修、水电等各项费用结算方式：费用包干，一年期合同结束后，甲方凭乙方开具的发票结算当年土方消纳岗亭及相关设备维护维修费用。</w:t>
      </w:r>
    </w:p>
    <w:p w14:paraId="3A82C25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（5）土方消纳岗亭接入省主管部门的平台及100M光纤费用按照实际发生结算。</w:t>
      </w:r>
    </w:p>
    <w:p w14:paraId="7E1A59C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（6）地磅检验及地磅迁改费用，按实际发生次数结算。</w:t>
      </w:r>
    </w:p>
    <w:p w14:paraId="2682675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3.</w:t>
      </w:r>
      <w:r>
        <w:rPr>
          <w:rFonts w:hint="eastAsia" w:ascii="新宋体" w:hAnsi="新宋体" w:eastAsia="新宋体" w:cs="新宋体"/>
          <w:color w:val="auto"/>
          <w:sz w:val="22"/>
          <w:szCs w:val="22"/>
          <w:highlight w:val="none"/>
        </w:rPr>
        <w:t>在国家规定的法定节假日、假期安排保安员工作的，费用由乙方负责，甲方不再另行支付加班费用。</w:t>
      </w:r>
      <w:r>
        <w:rPr>
          <w:rFonts w:hint="eastAsia" w:ascii="新宋体" w:hAnsi="新宋体" w:eastAsia="新宋体" w:cs="新宋体"/>
          <w:color w:val="auto"/>
          <w:sz w:val="22"/>
          <w:szCs w:val="22"/>
          <w:highlight w:val="none"/>
          <w:lang w:eastAsia="zh-CN"/>
        </w:rPr>
        <w:t>乙方指派人员因工作遭受损害或造成他人损害或存在其他争议的（包括但不限于劳动合同纠纷、社会保险纠纷、福利待遇纠纷等），乙方应当自行处理并承担相应法律后果，甲方对此不承担任何法律责任。</w:t>
      </w:r>
    </w:p>
    <w:p w14:paraId="2ED2F0B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4.合同费用按季度结算，结合考核结果进行款项支付，考核低于80分，考核期内合同价款按照实际产生金额的70%结算，甲方已支付的，在下一个考核期内的合同价款中相应扣除。</w:t>
      </w:r>
    </w:p>
    <w:p w14:paraId="0332618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5.其他规定按照合同附件《劳务外包服务考核表》执行。</w:t>
      </w:r>
    </w:p>
    <w:p w14:paraId="5AB0496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五、合同期限</w:t>
      </w:r>
    </w:p>
    <w:p w14:paraId="53834D4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本合同自开始提供服务时间起算，服务期共计</w:t>
      </w:r>
      <w:r>
        <w:rPr>
          <w:rFonts w:hint="eastAsia" w:ascii="新宋体" w:hAnsi="新宋体" w:eastAsia="新宋体" w:cs="新宋体"/>
          <w:color w:val="auto"/>
          <w:sz w:val="22"/>
          <w:szCs w:val="22"/>
          <w:highlight w:val="none"/>
          <w:lang w:val="en-US" w:eastAsia="zh-CN"/>
        </w:rPr>
        <w:t xml:space="preserve"> 12 </w:t>
      </w:r>
      <w:r>
        <w:rPr>
          <w:rFonts w:hint="eastAsia" w:ascii="新宋体" w:hAnsi="新宋体" w:eastAsia="新宋体" w:cs="新宋体"/>
          <w:color w:val="auto"/>
          <w:sz w:val="22"/>
          <w:szCs w:val="22"/>
          <w:highlight w:val="none"/>
          <w:lang w:eastAsia="zh-CN"/>
        </w:rPr>
        <w:t>个月。</w:t>
      </w:r>
    </w:p>
    <w:p w14:paraId="520B243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六</w:t>
      </w:r>
      <w:r>
        <w:rPr>
          <w:rFonts w:hint="eastAsia" w:ascii="新宋体" w:hAnsi="新宋体" w:eastAsia="新宋体" w:cs="新宋体"/>
          <w:b/>
          <w:bCs/>
          <w:color w:val="auto"/>
          <w:sz w:val="22"/>
          <w:szCs w:val="22"/>
          <w:highlight w:val="none"/>
        </w:rPr>
        <w:t>、履约担保</w:t>
      </w:r>
    </w:p>
    <w:p w14:paraId="303AF8E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（一）在合同签订前，乙方须以向甲方</w:t>
      </w:r>
      <w:r>
        <w:rPr>
          <w:rFonts w:hint="eastAsia" w:ascii="新宋体" w:hAnsi="新宋体" w:eastAsia="新宋体" w:cs="新宋体"/>
          <w:color w:val="auto"/>
          <w:sz w:val="22"/>
          <w:szCs w:val="22"/>
          <w:highlight w:val="none"/>
          <w:lang w:val="en-US" w:eastAsia="zh-CN"/>
        </w:rPr>
        <w:t>提交</w:t>
      </w:r>
      <w:r>
        <w:rPr>
          <w:rFonts w:hint="eastAsia" w:ascii="新宋体" w:hAnsi="新宋体" w:eastAsia="新宋体" w:cs="新宋体"/>
          <w:color w:val="auto"/>
          <w:sz w:val="22"/>
          <w:szCs w:val="22"/>
          <w:highlight w:val="none"/>
          <w:lang w:eastAsia="zh-CN"/>
        </w:rPr>
        <w:t>合同金额</w:t>
      </w:r>
      <w:r>
        <w:rPr>
          <w:rFonts w:hint="eastAsia" w:ascii="新宋体" w:hAnsi="新宋体" w:eastAsia="新宋体" w:cs="新宋体"/>
          <w:color w:val="auto"/>
          <w:sz w:val="22"/>
          <w:szCs w:val="22"/>
          <w:highlight w:val="none"/>
          <w:lang w:val="en-US" w:eastAsia="zh-CN"/>
        </w:rPr>
        <w:t>2%（人民币</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lang w:val="en-US" w:eastAsia="zh-CN"/>
        </w:rPr>
        <w:t>元整）</w:t>
      </w:r>
      <w:r>
        <w:rPr>
          <w:rFonts w:hint="eastAsia" w:ascii="新宋体" w:hAnsi="新宋体" w:eastAsia="新宋体" w:cs="新宋体"/>
          <w:color w:val="auto"/>
          <w:sz w:val="22"/>
          <w:szCs w:val="22"/>
          <w:highlight w:val="none"/>
          <w:lang w:eastAsia="zh-CN"/>
        </w:rPr>
        <w:t>的履约担保。合同履行终止且所有义务已履行完毕后，乙方按照甲方要求提供相关结算材料，经甲方审核后15个工作日内无息退还。</w:t>
      </w:r>
    </w:p>
    <w:p w14:paraId="5B19D90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rPr>
      </w:pPr>
      <w:r>
        <w:rPr>
          <w:rFonts w:hint="eastAsia" w:ascii="新宋体" w:hAnsi="新宋体" w:eastAsia="新宋体" w:cs="新宋体"/>
          <w:color w:val="auto"/>
          <w:sz w:val="22"/>
          <w:szCs w:val="22"/>
          <w:highlight w:val="none"/>
          <w:lang w:eastAsia="zh-CN"/>
        </w:rPr>
        <w:t>（二）</w:t>
      </w:r>
      <w:r>
        <w:rPr>
          <w:rFonts w:hint="eastAsia" w:ascii="宋体" w:hAnsi="宋体" w:eastAsia="宋体" w:cs="宋体"/>
          <w:color w:val="auto"/>
          <w:sz w:val="22"/>
          <w:szCs w:val="22"/>
          <w:highlight w:val="none"/>
        </w:rPr>
        <w:t>甲方在任何时候都有权从履约</w:t>
      </w:r>
      <w:r>
        <w:rPr>
          <w:rFonts w:hint="eastAsia" w:ascii="宋体" w:hAnsi="宋体" w:eastAsia="宋体" w:cs="宋体"/>
          <w:color w:val="auto"/>
          <w:sz w:val="22"/>
          <w:szCs w:val="22"/>
          <w:highlight w:val="none"/>
          <w:lang w:eastAsia="zh-CN"/>
        </w:rPr>
        <w:t>担保</w:t>
      </w:r>
      <w:r>
        <w:rPr>
          <w:rFonts w:hint="eastAsia" w:ascii="宋体" w:hAnsi="宋体" w:eastAsia="宋体" w:cs="宋体"/>
          <w:color w:val="auto"/>
          <w:sz w:val="22"/>
          <w:szCs w:val="22"/>
          <w:highlight w:val="none"/>
        </w:rPr>
        <w:t>中扣除用于修复乙方损坏甲方的设备、设施、场地或因乙方违约而导致损失的金额或违约金，且乙方应在接到扣除履约保证金通知后</w:t>
      </w:r>
      <w:r>
        <w:rPr>
          <w:rFonts w:hint="eastAsia" w:ascii="宋体" w:hAnsi="宋体" w:eastAsia="宋体" w:cs="宋体"/>
          <w:color w:val="auto"/>
          <w:sz w:val="22"/>
          <w:szCs w:val="22"/>
          <w:highlight w:val="none"/>
          <w:lang w:val="en-US" w:eastAsia="zh-CN"/>
        </w:rPr>
        <w:t>5个工作日</w:t>
      </w:r>
      <w:r>
        <w:rPr>
          <w:rFonts w:hint="eastAsia" w:ascii="宋体" w:hAnsi="宋体" w:eastAsia="宋体" w:cs="宋体"/>
          <w:color w:val="auto"/>
          <w:sz w:val="22"/>
          <w:szCs w:val="22"/>
          <w:highlight w:val="none"/>
        </w:rPr>
        <w:t>内补足扣除差额，保证</w:t>
      </w:r>
      <w:r>
        <w:rPr>
          <w:rFonts w:hint="eastAsia" w:ascii="宋体" w:hAnsi="宋体" w:eastAsia="宋体" w:cs="宋体"/>
          <w:color w:val="auto"/>
          <w:sz w:val="22"/>
          <w:szCs w:val="22"/>
          <w:highlight w:val="none"/>
          <w:lang w:eastAsia="zh-CN"/>
        </w:rPr>
        <w:t>合同</w:t>
      </w:r>
      <w:r>
        <w:rPr>
          <w:rFonts w:hint="eastAsia" w:ascii="宋体" w:hAnsi="宋体" w:eastAsia="宋体" w:cs="宋体"/>
          <w:color w:val="auto"/>
          <w:sz w:val="22"/>
          <w:szCs w:val="22"/>
          <w:highlight w:val="none"/>
        </w:rPr>
        <w:t>期</w:t>
      </w:r>
      <w:r>
        <w:rPr>
          <w:rFonts w:hint="eastAsia" w:ascii="宋体" w:hAnsi="宋体" w:eastAsia="宋体" w:cs="宋体"/>
          <w:color w:val="auto"/>
          <w:sz w:val="22"/>
          <w:szCs w:val="22"/>
          <w:highlight w:val="none"/>
          <w:lang w:eastAsia="zh-CN"/>
        </w:rPr>
        <w:t>内</w:t>
      </w: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eastAsia="zh-CN"/>
        </w:rPr>
        <w:t>担保</w:t>
      </w:r>
      <w:r>
        <w:rPr>
          <w:rFonts w:hint="eastAsia" w:ascii="宋体" w:hAnsi="宋体" w:eastAsia="宋体" w:cs="宋体"/>
          <w:color w:val="auto"/>
          <w:sz w:val="22"/>
          <w:szCs w:val="22"/>
          <w:highlight w:val="none"/>
        </w:rPr>
        <w:t>的完整。</w:t>
      </w:r>
    </w:p>
    <w:p w14:paraId="160EEA6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七</w:t>
      </w:r>
      <w:r>
        <w:rPr>
          <w:rFonts w:hint="eastAsia" w:ascii="新宋体" w:hAnsi="新宋体" w:eastAsia="新宋体" w:cs="新宋体"/>
          <w:b/>
          <w:bCs/>
          <w:color w:val="auto"/>
          <w:sz w:val="22"/>
          <w:szCs w:val="22"/>
          <w:highlight w:val="none"/>
        </w:rPr>
        <w:t>、合同的变更及违约责任</w:t>
      </w:r>
    </w:p>
    <w:p w14:paraId="0F3BFCE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在合同有效期内，经甲乙双方协商一致，可变更本合同。单方违约的须向对方支付三个月的保安工资作为违约赔偿金。</w:t>
      </w:r>
    </w:p>
    <w:p w14:paraId="7A08A91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八</w:t>
      </w:r>
      <w:r>
        <w:rPr>
          <w:rFonts w:hint="eastAsia" w:ascii="新宋体" w:hAnsi="新宋体" w:eastAsia="新宋体" w:cs="新宋体"/>
          <w:b/>
          <w:bCs/>
          <w:color w:val="auto"/>
          <w:sz w:val="22"/>
          <w:szCs w:val="22"/>
          <w:highlight w:val="none"/>
        </w:rPr>
        <w:t>、争议的解决方式</w:t>
      </w:r>
    </w:p>
    <w:p w14:paraId="7D5BB6F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甲乙双方因合同履行发生争议时，双方应协商解决，协商不成的可通过司法途径解决。</w:t>
      </w:r>
    </w:p>
    <w:p w14:paraId="3407ECD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eastAsia="zh-CN"/>
        </w:rPr>
        <w:t>九</w:t>
      </w:r>
      <w:r>
        <w:rPr>
          <w:rFonts w:hint="eastAsia" w:ascii="新宋体" w:hAnsi="新宋体" w:eastAsia="新宋体" w:cs="新宋体"/>
          <w:b/>
          <w:bCs/>
          <w:color w:val="auto"/>
          <w:sz w:val="22"/>
          <w:szCs w:val="22"/>
          <w:highlight w:val="none"/>
        </w:rPr>
        <w:t>、双方约定的其它事项：</w:t>
      </w:r>
    </w:p>
    <w:p w14:paraId="674F02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pict>
          <v:rect id="_x0000_i1025" o:spt="1" style="height:1.5pt;width:418pt;" fillcolor="#000000" filled="t" stroked="f" coordsize="21600,21600" o:hr="t" o:hrstd="t" o:hrnoshade="t" o:hrpct="0" o:hralign="center">
            <v:path/>
            <v:fill on="t" focussize="0,0"/>
            <v:stroke on="f"/>
            <v:imagedata o:title=""/>
            <o:lock v:ext="edit" aspectratio="f"/>
            <w10:wrap type="none"/>
            <w10:anchorlock/>
          </v:rect>
        </w:pict>
      </w:r>
    </w:p>
    <w:p w14:paraId="07BFAF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pict>
          <v:rect id="_x0000_i1026" o:spt="1" style="height:1.5pt;width:425pt;" fillcolor="#000000" filled="t" stroked="f" coordsize="21600,21600" o:hr="t" o:hrstd="t" o:hrnoshade="t" o:hrpct="0" o:hralign="center">
            <v:path/>
            <v:fill on="t" focussize="0,0"/>
            <v:stroke on="f"/>
            <v:imagedata o:title=""/>
            <o:lock v:ext="edit"/>
            <w10:wrap type="none"/>
            <w10:anchorlock/>
          </v:rect>
        </w:pict>
      </w:r>
    </w:p>
    <w:p w14:paraId="2E8FD96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十</w:t>
      </w:r>
      <w:r>
        <w:rPr>
          <w:rFonts w:hint="eastAsia" w:ascii="新宋体" w:hAnsi="新宋体" w:eastAsia="新宋体" w:cs="新宋体"/>
          <w:color w:val="auto"/>
          <w:sz w:val="22"/>
          <w:szCs w:val="22"/>
          <w:highlight w:val="none"/>
          <w:lang w:eastAsia="zh-CN"/>
        </w:rPr>
        <w:t>、本合同一式肆份，甲乙双方各执贰份，具有同等法律效力。本合同经甲乙双方签字盖章之日起生效。</w:t>
      </w:r>
    </w:p>
    <w:p w14:paraId="3D7D5393">
      <w:pPr>
        <w:rPr>
          <w:rFonts w:hint="eastAsia" w:ascii="宋体" w:hAnsi="宋体" w:cs="宋体"/>
          <w:color w:val="auto"/>
          <w:kern w:val="0"/>
          <w:sz w:val="22"/>
          <w:szCs w:val="22"/>
          <w:highlight w:val="none"/>
        </w:rPr>
      </w:pPr>
    </w:p>
    <w:p w14:paraId="001945A1">
      <w:pPr>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br w:type="page"/>
      </w:r>
    </w:p>
    <w:p w14:paraId="05B94398">
      <w:pPr>
        <w:widowControl/>
        <w:overflowPunct w:val="0"/>
        <w:autoSpaceDE w:val="0"/>
        <w:autoSpaceDN w:val="0"/>
        <w:adjustRightInd w:val="0"/>
        <w:snapToGrid w:val="0"/>
        <w:spacing w:line="400" w:lineRule="exact"/>
        <w:jc w:val="left"/>
        <w:textAlignment w:val="baseline"/>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（签署页，本页无正文）</w:t>
      </w:r>
    </w:p>
    <w:p w14:paraId="0CB2AC1F">
      <w:pPr>
        <w:widowControl/>
        <w:overflowPunct w:val="0"/>
        <w:autoSpaceDE w:val="0"/>
        <w:autoSpaceDN w:val="0"/>
        <w:adjustRightInd w:val="0"/>
        <w:snapToGrid w:val="0"/>
        <w:spacing w:line="400" w:lineRule="exact"/>
        <w:jc w:val="left"/>
        <w:textAlignment w:val="baseline"/>
        <w:rPr>
          <w:rFonts w:hint="eastAsia" w:ascii="宋体" w:hAnsi="宋体" w:cs="宋体"/>
          <w:color w:val="auto"/>
          <w:kern w:val="0"/>
          <w:sz w:val="22"/>
          <w:szCs w:val="22"/>
          <w:highlight w:val="none"/>
        </w:rPr>
      </w:pPr>
    </w:p>
    <w:p w14:paraId="5B29A543">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甲方：  （盖章）                        乙方：（盖章）                                   </w:t>
      </w:r>
    </w:p>
    <w:p w14:paraId="26BD6318">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授权代表（签字）：                      授权代表（签字）：</w:t>
      </w:r>
    </w:p>
    <w:p w14:paraId="5BCF0188">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地址：                                  地址：</w:t>
      </w:r>
    </w:p>
    <w:p w14:paraId="158E8480">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邮政编码：                              邮政编码：</w:t>
      </w:r>
    </w:p>
    <w:p w14:paraId="4676D3B5">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电话：                                  电话：</w:t>
      </w:r>
    </w:p>
    <w:p w14:paraId="4FFF8CF9">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传真：                                  传真：</w:t>
      </w:r>
    </w:p>
    <w:p w14:paraId="7508203B">
      <w:pPr>
        <w:widowControl/>
        <w:overflowPunct w:val="0"/>
        <w:autoSpaceDE w:val="0"/>
        <w:autoSpaceDN w:val="0"/>
        <w:adjustRightInd w:val="0"/>
        <w:snapToGrid w:val="0"/>
        <w:spacing w:line="400" w:lineRule="exact"/>
        <w:jc w:val="left"/>
        <w:textAlignment w:val="baseline"/>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开户银行：                              开户银行： </w:t>
      </w:r>
    </w:p>
    <w:p w14:paraId="31159D3F">
      <w:pPr>
        <w:spacing w:line="40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账号：                                  账号</w:t>
      </w:r>
    </w:p>
    <w:p w14:paraId="3DC6F331">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br w:type="page"/>
      </w:r>
    </w:p>
    <w:p w14:paraId="799D9BF6">
      <w:pPr>
        <w:jc w:val="center"/>
        <w:rPr>
          <w:rFonts w:ascii="新宋体" w:hAnsi="新宋体" w:eastAsia="新宋体" w:cs="新宋体"/>
          <w:b/>
          <w:bCs/>
          <w:color w:val="auto"/>
          <w:sz w:val="36"/>
          <w:szCs w:val="36"/>
          <w:highlight w:val="none"/>
        </w:rPr>
      </w:pPr>
      <w:r>
        <w:rPr>
          <w:rFonts w:hint="eastAsia" w:ascii="新宋体" w:hAnsi="新宋体" w:eastAsia="新宋体" w:cs="新宋体"/>
          <w:b/>
          <w:bCs/>
          <w:color w:val="auto"/>
          <w:sz w:val="36"/>
          <w:szCs w:val="36"/>
          <w:highlight w:val="none"/>
        </w:rPr>
        <w:t>劳务外包服务考核表</w:t>
      </w:r>
    </w:p>
    <w:tbl>
      <w:tblPr>
        <w:tblStyle w:val="29"/>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7778"/>
        <w:gridCol w:w="1047"/>
      </w:tblGrid>
      <w:tr w14:paraId="6F8F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3" w:type="pct"/>
            <w:noWrap w:val="0"/>
            <w:vAlign w:val="center"/>
          </w:tcPr>
          <w:p w14:paraId="5FC1552E">
            <w:pPr>
              <w:spacing w:line="240" w:lineRule="auto"/>
              <w:jc w:val="center"/>
              <w:rPr>
                <w:b/>
                <w:bCs/>
                <w:color w:val="auto"/>
                <w:sz w:val="22"/>
                <w:szCs w:val="22"/>
                <w:highlight w:val="none"/>
              </w:rPr>
            </w:pPr>
            <w:r>
              <w:rPr>
                <w:b/>
                <w:bCs/>
                <w:color w:val="auto"/>
                <w:sz w:val="22"/>
                <w:szCs w:val="22"/>
                <w:highlight w:val="none"/>
              </w:rPr>
              <w:t>项目</w:t>
            </w:r>
          </w:p>
        </w:tc>
        <w:tc>
          <w:tcPr>
            <w:tcW w:w="3954" w:type="pct"/>
            <w:noWrap w:val="0"/>
            <w:vAlign w:val="center"/>
          </w:tcPr>
          <w:p w14:paraId="32A324D7">
            <w:pPr>
              <w:spacing w:line="240" w:lineRule="auto"/>
              <w:jc w:val="center"/>
              <w:rPr>
                <w:b/>
                <w:bCs/>
                <w:color w:val="auto"/>
                <w:sz w:val="22"/>
                <w:szCs w:val="22"/>
                <w:highlight w:val="none"/>
              </w:rPr>
            </w:pPr>
            <w:r>
              <w:rPr>
                <w:b/>
                <w:bCs/>
                <w:color w:val="auto"/>
                <w:sz w:val="22"/>
                <w:szCs w:val="22"/>
                <w:highlight w:val="none"/>
              </w:rPr>
              <w:t>服务质量标准</w:t>
            </w:r>
          </w:p>
        </w:tc>
        <w:tc>
          <w:tcPr>
            <w:tcW w:w="531" w:type="pct"/>
            <w:noWrap w:val="0"/>
            <w:vAlign w:val="center"/>
          </w:tcPr>
          <w:p w14:paraId="6DB6BD38">
            <w:pPr>
              <w:spacing w:line="240" w:lineRule="auto"/>
              <w:jc w:val="center"/>
              <w:rPr>
                <w:b/>
                <w:bCs/>
                <w:color w:val="auto"/>
                <w:sz w:val="22"/>
                <w:szCs w:val="22"/>
                <w:highlight w:val="none"/>
              </w:rPr>
            </w:pPr>
            <w:r>
              <w:rPr>
                <w:b/>
                <w:bCs/>
                <w:color w:val="auto"/>
                <w:sz w:val="22"/>
                <w:szCs w:val="22"/>
                <w:highlight w:val="none"/>
              </w:rPr>
              <w:t>量化考核标准</w:t>
            </w:r>
          </w:p>
        </w:tc>
      </w:tr>
      <w:tr w14:paraId="3BD2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restart"/>
            <w:noWrap w:val="0"/>
            <w:vAlign w:val="center"/>
          </w:tcPr>
          <w:p w14:paraId="676F6644">
            <w:pPr>
              <w:spacing w:line="240" w:lineRule="auto"/>
              <w:rPr>
                <w:color w:val="auto"/>
                <w:sz w:val="22"/>
                <w:szCs w:val="22"/>
                <w:highlight w:val="none"/>
              </w:rPr>
            </w:pPr>
            <w:r>
              <w:rPr>
                <w:color w:val="auto"/>
                <w:sz w:val="22"/>
                <w:szCs w:val="22"/>
                <w:highlight w:val="none"/>
              </w:rPr>
              <w:t>安保人员职业纪律</w:t>
            </w:r>
          </w:p>
        </w:tc>
        <w:tc>
          <w:tcPr>
            <w:tcW w:w="3954" w:type="pct"/>
            <w:noWrap w:val="0"/>
            <w:vAlign w:val="center"/>
          </w:tcPr>
          <w:p w14:paraId="105E6B08">
            <w:pPr>
              <w:spacing w:line="240" w:lineRule="auto"/>
              <w:rPr>
                <w:color w:val="auto"/>
                <w:sz w:val="22"/>
                <w:szCs w:val="22"/>
                <w:highlight w:val="none"/>
              </w:rPr>
            </w:pPr>
            <w:r>
              <w:rPr>
                <w:color w:val="auto"/>
                <w:sz w:val="22"/>
                <w:szCs w:val="22"/>
                <w:highlight w:val="none"/>
              </w:rPr>
              <w:t>服从管理，遵守各项规章制度</w:t>
            </w:r>
          </w:p>
        </w:tc>
        <w:tc>
          <w:tcPr>
            <w:tcW w:w="531" w:type="pct"/>
            <w:noWrap w:val="0"/>
            <w:vAlign w:val="center"/>
          </w:tcPr>
          <w:p w14:paraId="35AC09BE">
            <w:pPr>
              <w:spacing w:line="240" w:lineRule="auto"/>
              <w:jc w:val="center"/>
              <w:rPr>
                <w:color w:val="auto"/>
                <w:sz w:val="22"/>
                <w:szCs w:val="22"/>
                <w:highlight w:val="none"/>
              </w:rPr>
            </w:pPr>
            <w:r>
              <w:rPr>
                <w:color w:val="auto"/>
                <w:sz w:val="22"/>
                <w:szCs w:val="22"/>
                <w:highlight w:val="none"/>
              </w:rPr>
              <w:t>5</w:t>
            </w:r>
          </w:p>
        </w:tc>
      </w:tr>
      <w:tr w14:paraId="3681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43C4662A">
            <w:pPr>
              <w:spacing w:line="240" w:lineRule="auto"/>
              <w:rPr>
                <w:color w:val="auto"/>
                <w:sz w:val="22"/>
                <w:szCs w:val="22"/>
                <w:highlight w:val="none"/>
              </w:rPr>
            </w:pPr>
          </w:p>
        </w:tc>
        <w:tc>
          <w:tcPr>
            <w:tcW w:w="3954" w:type="pct"/>
            <w:noWrap w:val="0"/>
            <w:vAlign w:val="center"/>
          </w:tcPr>
          <w:p w14:paraId="1D006371">
            <w:pPr>
              <w:spacing w:line="240" w:lineRule="auto"/>
              <w:rPr>
                <w:color w:val="auto"/>
                <w:sz w:val="22"/>
                <w:szCs w:val="22"/>
                <w:highlight w:val="none"/>
              </w:rPr>
            </w:pPr>
            <w:r>
              <w:rPr>
                <w:color w:val="auto"/>
                <w:sz w:val="22"/>
                <w:szCs w:val="22"/>
                <w:highlight w:val="none"/>
              </w:rPr>
              <w:t>着装统一、仪容整洁、文明执勤、合理使用工作设备</w:t>
            </w:r>
          </w:p>
        </w:tc>
        <w:tc>
          <w:tcPr>
            <w:tcW w:w="531" w:type="pct"/>
            <w:noWrap w:val="0"/>
            <w:vAlign w:val="center"/>
          </w:tcPr>
          <w:p w14:paraId="3D2F1EB2">
            <w:pPr>
              <w:spacing w:line="240" w:lineRule="auto"/>
              <w:jc w:val="center"/>
              <w:rPr>
                <w:color w:val="auto"/>
                <w:sz w:val="22"/>
                <w:szCs w:val="22"/>
                <w:highlight w:val="none"/>
              </w:rPr>
            </w:pPr>
            <w:r>
              <w:rPr>
                <w:color w:val="auto"/>
                <w:sz w:val="22"/>
                <w:szCs w:val="22"/>
                <w:highlight w:val="none"/>
              </w:rPr>
              <w:t>5</w:t>
            </w:r>
          </w:p>
        </w:tc>
      </w:tr>
      <w:tr w14:paraId="15F0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4E206BEF">
            <w:pPr>
              <w:spacing w:line="240" w:lineRule="auto"/>
              <w:rPr>
                <w:color w:val="auto"/>
                <w:sz w:val="22"/>
                <w:szCs w:val="22"/>
                <w:highlight w:val="none"/>
              </w:rPr>
            </w:pPr>
          </w:p>
        </w:tc>
        <w:tc>
          <w:tcPr>
            <w:tcW w:w="3954" w:type="pct"/>
            <w:noWrap w:val="0"/>
            <w:vAlign w:val="center"/>
          </w:tcPr>
          <w:p w14:paraId="28A6B440">
            <w:pPr>
              <w:spacing w:line="240" w:lineRule="auto"/>
              <w:rPr>
                <w:color w:val="auto"/>
                <w:sz w:val="22"/>
                <w:szCs w:val="22"/>
                <w:highlight w:val="none"/>
              </w:rPr>
            </w:pPr>
            <w:r>
              <w:rPr>
                <w:color w:val="auto"/>
                <w:sz w:val="22"/>
                <w:szCs w:val="22"/>
                <w:highlight w:val="none"/>
              </w:rPr>
              <w:t>不收受管理服务对象礼品礼金等</w:t>
            </w:r>
          </w:p>
        </w:tc>
        <w:tc>
          <w:tcPr>
            <w:tcW w:w="531" w:type="pct"/>
            <w:noWrap w:val="0"/>
            <w:vAlign w:val="center"/>
          </w:tcPr>
          <w:p w14:paraId="14DE6094">
            <w:pPr>
              <w:spacing w:line="240" w:lineRule="auto"/>
              <w:jc w:val="center"/>
              <w:rPr>
                <w:color w:val="auto"/>
                <w:sz w:val="22"/>
                <w:szCs w:val="22"/>
                <w:highlight w:val="none"/>
              </w:rPr>
            </w:pPr>
            <w:r>
              <w:rPr>
                <w:color w:val="auto"/>
                <w:sz w:val="22"/>
                <w:szCs w:val="22"/>
                <w:highlight w:val="none"/>
              </w:rPr>
              <w:t>5</w:t>
            </w:r>
          </w:p>
        </w:tc>
      </w:tr>
      <w:tr w14:paraId="1CC3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17F2DBED">
            <w:pPr>
              <w:spacing w:line="240" w:lineRule="auto"/>
              <w:rPr>
                <w:color w:val="auto"/>
                <w:sz w:val="22"/>
                <w:szCs w:val="22"/>
                <w:highlight w:val="none"/>
              </w:rPr>
            </w:pPr>
          </w:p>
        </w:tc>
        <w:tc>
          <w:tcPr>
            <w:tcW w:w="3954" w:type="pct"/>
            <w:noWrap w:val="0"/>
            <w:vAlign w:val="center"/>
          </w:tcPr>
          <w:p w14:paraId="41DE0884">
            <w:pPr>
              <w:spacing w:line="240" w:lineRule="auto"/>
              <w:rPr>
                <w:color w:val="auto"/>
                <w:sz w:val="22"/>
                <w:szCs w:val="22"/>
                <w:highlight w:val="none"/>
              </w:rPr>
            </w:pPr>
            <w:r>
              <w:rPr>
                <w:color w:val="auto"/>
                <w:sz w:val="22"/>
                <w:szCs w:val="22"/>
                <w:highlight w:val="none"/>
              </w:rPr>
              <w:t>严禁酒后上岗，在岗期间不得从事与岗位工作无关的事情</w:t>
            </w:r>
          </w:p>
        </w:tc>
        <w:tc>
          <w:tcPr>
            <w:tcW w:w="531" w:type="pct"/>
            <w:noWrap w:val="0"/>
            <w:vAlign w:val="center"/>
          </w:tcPr>
          <w:p w14:paraId="5B2EF8C5">
            <w:pPr>
              <w:spacing w:line="240" w:lineRule="auto"/>
              <w:jc w:val="center"/>
              <w:rPr>
                <w:color w:val="auto"/>
                <w:sz w:val="22"/>
                <w:szCs w:val="22"/>
                <w:highlight w:val="none"/>
              </w:rPr>
            </w:pPr>
            <w:r>
              <w:rPr>
                <w:color w:val="auto"/>
                <w:sz w:val="22"/>
                <w:szCs w:val="22"/>
                <w:highlight w:val="none"/>
              </w:rPr>
              <w:t>5</w:t>
            </w:r>
          </w:p>
        </w:tc>
      </w:tr>
      <w:tr w14:paraId="5993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3C6DE492">
            <w:pPr>
              <w:spacing w:line="240" w:lineRule="auto"/>
              <w:rPr>
                <w:color w:val="auto"/>
                <w:sz w:val="22"/>
                <w:szCs w:val="22"/>
                <w:highlight w:val="none"/>
              </w:rPr>
            </w:pPr>
          </w:p>
        </w:tc>
        <w:tc>
          <w:tcPr>
            <w:tcW w:w="3954" w:type="pct"/>
            <w:noWrap w:val="0"/>
            <w:vAlign w:val="center"/>
          </w:tcPr>
          <w:p w14:paraId="64050BD1">
            <w:pPr>
              <w:spacing w:line="240" w:lineRule="auto"/>
              <w:rPr>
                <w:color w:val="auto"/>
                <w:sz w:val="22"/>
                <w:szCs w:val="22"/>
                <w:highlight w:val="none"/>
              </w:rPr>
            </w:pPr>
            <w:r>
              <w:rPr>
                <w:color w:val="auto"/>
                <w:sz w:val="22"/>
                <w:szCs w:val="22"/>
                <w:highlight w:val="none"/>
              </w:rPr>
              <w:t>不得无故缺勤、离岗</w:t>
            </w:r>
          </w:p>
        </w:tc>
        <w:tc>
          <w:tcPr>
            <w:tcW w:w="531" w:type="pct"/>
            <w:noWrap w:val="0"/>
            <w:vAlign w:val="center"/>
          </w:tcPr>
          <w:p w14:paraId="40C534CA">
            <w:pPr>
              <w:spacing w:line="240" w:lineRule="auto"/>
              <w:jc w:val="center"/>
              <w:rPr>
                <w:color w:val="auto"/>
                <w:sz w:val="22"/>
                <w:szCs w:val="22"/>
                <w:highlight w:val="none"/>
              </w:rPr>
            </w:pPr>
            <w:r>
              <w:rPr>
                <w:color w:val="auto"/>
                <w:sz w:val="22"/>
                <w:szCs w:val="22"/>
                <w:highlight w:val="none"/>
              </w:rPr>
              <w:t>5</w:t>
            </w:r>
          </w:p>
        </w:tc>
      </w:tr>
      <w:tr w14:paraId="237C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restart"/>
            <w:noWrap w:val="0"/>
            <w:vAlign w:val="center"/>
          </w:tcPr>
          <w:p w14:paraId="0DD75CD0">
            <w:pPr>
              <w:spacing w:line="240" w:lineRule="auto"/>
              <w:rPr>
                <w:color w:val="auto"/>
                <w:sz w:val="22"/>
                <w:szCs w:val="22"/>
                <w:highlight w:val="none"/>
              </w:rPr>
            </w:pPr>
            <w:r>
              <w:rPr>
                <w:rFonts w:hint="eastAsia"/>
                <w:color w:val="auto"/>
                <w:sz w:val="22"/>
                <w:szCs w:val="22"/>
                <w:highlight w:val="none"/>
                <w:lang w:val="en-US" w:eastAsia="zh-CN"/>
              </w:rPr>
              <w:t>土方值班</w:t>
            </w:r>
            <w:r>
              <w:rPr>
                <w:color w:val="auto"/>
                <w:sz w:val="22"/>
                <w:szCs w:val="22"/>
                <w:highlight w:val="none"/>
              </w:rPr>
              <w:t>岗亭值守</w:t>
            </w:r>
            <w:r>
              <w:rPr>
                <w:rFonts w:hint="eastAsia"/>
                <w:color w:val="auto"/>
                <w:sz w:val="22"/>
                <w:szCs w:val="22"/>
                <w:highlight w:val="none"/>
                <w:lang w:eastAsia="zh-CN"/>
              </w:rPr>
              <w:t>、</w:t>
            </w:r>
            <w:r>
              <w:rPr>
                <w:rFonts w:hint="eastAsia"/>
                <w:color w:val="auto"/>
                <w:sz w:val="22"/>
                <w:szCs w:val="22"/>
                <w:highlight w:val="none"/>
                <w:lang w:val="en-US" w:eastAsia="zh-CN"/>
              </w:rPr>
              <w:t>巡逻</w:t>
            </w:r>
            <w:r>
              <w:rPr>
                <w:color w:val="auto"/>
                <w:sz w:val="22"/>
                <w:szCs w:val="22"/>
                <w:highlight w:val="none"/>
              </w:rPr>
              <w:t>工作纪律</w:t>
            </w:r>
          </w:p>
        </w:tc>
        <w:tc>
          <w:tcPr>
            <w:tcW w:w="3954" w:type="pct"/>
            <w:noWrap w:val="0"/>
            <w:vAlign w:val="center"/>
          </w:tcPr>
          <w:p w14:paraId="09429DB2">
            <w:pPr>
              <w:spacing w:line="240" w:lineRule="auto"/>
              <w:rPr>
                <w:color w:val="auto"/>
                <w:sz w:val="22"/>
                <w:szCs w:val="22"/>
                <w:highlight w:val="none"/>
              </w:rPr>
            </w:pPr>
            <w:r>
              <w:rPr>
                <w:rFonts w:hint="eastAsia"/>
                <w:color w:val="auto"/>
                <w:sz w:val="22"/>
                <w:szCs w:val="22"/>
                <w:highlight w:val="none"/>
              </w:rPr>
              <w:t>要求24小时有</w:t>
            </w:r>
            <w:r>
              <w:rPr>
                <w:rFonts w:hint="eastAsia"/>
                <w:color w:val="auto"/>
                <w:sz w:val="22"/>
                <w:szCs w:val="22"/>
                <w:highlight w:val="none"/>
                <w:lang w:val="en-US" w:eastAsia="zh-CN"/>
              </w:rPr>
              <w:t>安保人员在岗</w:t>
            </w:r>
          </w:p>
        </w:tc>
        <w:tc>
          <w:tcPr>
            <w:tcW w:w="531" w:type="pct"/>
            <w:noWrap w:val="0"/>
            <w:vAlign w:val="center"/>
          </w:tcPr>
          <w:p w14:paraId="2282AE79">
            <w:pPr>
              <w:spacing w:line="240" w:lineRule="auto"/>
              <w:jc w:val="center"/>
              <w:rPr>
                <w:color w:val="auto"/>
                <w:sz w:val="22"/>
                <w:szCs w:val="22"/>
                <w:highlight w:val="none"/>
              </w:rPr>
            </w:pPr>
            <w:r>
              <w:rPr>
                <w:color w:val="auto"/>
                <w:sz w:val="22"/>
                <w:szCs w:val="22"/>
                <w:highlight w:val="none"/>
              </w:rPr>
              <w:t>5</w:t>
            </w:r>
          </w:p>
        </w:tc>
      </w:tr>
      <w:tr w14:paraId="667D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2648F367">
            <w:pPr>
              <w:spacing w:line="240" w:lineRule="auto"/>
              <w:rPr>
                <w:color w:val="auto"/>
                <w:sz w:val="22"/>
                <w:szCs w:val="22"/>
                <w:highlight w:val="none"/>
              </w:rPr>
            </w:pPr>
          </w:p>
        </w:tc>
        <w:tc>
          <w:tcPr>
            <w:tcW w:w="3954" w:type="pct"/>
            <w:noWrap w:val="0"/>
            <w:vAlign w:val="center"/>
          </w:tcPr>
          <w:p w14:paraId="13AACED6">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维持土方消纳车辆秩序，必要时进行交通疏导</w:t>
            </w:r>
          </w:p>
        </w:tc>
        <w:tc>
          <w:tcPr>
            <w:tcW w:w="531" w:type="pct"/>
            <w:noWrap w:val="0"/>
            <w:vAlign w:val="center"/>
          </w:tcPr>
          <w:p w14:paraId="4AC75A01">
            <w:pPr>
              <w:spacing w:line="240" w:lineRule="auto"/>
              <w:jc w:val="center"/>
              <w:rPr>
                <w:rFonts w:hint="default"/>
                <w:color w:val="auto"/>
                <w:sz w:val="22"/>
                <w:szCs w:val="22"/>
                <w:highlight w:val="none"/>
                <w:lang w:val="en-US" w:eastAsia="zh-CN"/>
              </w:rPr>
            </w:pPr>
            <w:r>
              <w:rPr>
                <w:rFonts w:hint="eastAsia"/>
                <w:color w:val="auto"/>
                <w:sz w:val="22"/>
                <w:szCs w:val="22"/>
                <w:highlight w:val="none"/>
                <w:lang w:val="en-US" w:eastAsia="zh-CN"/>
              </w:rPr>
              <w:t>5</w:t>
            </w:r>
          </w:p>
        </w:tc>
      </w:tr>
      <w:tr w14:paraId="3AD0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36263474">
            <w:pPr>
              <w:spacing w:line="240" w:lineRule="auto"/>
              <w:rPr>
                <w:color w:val="auto"/>
                <w:sz w:val="22"/>
                <w:szCs w:val="22"/>
                <w:highlight w:val="none"/>
              </w:rPr>
            </w:pPr>
          </w:p>
        </w:tc>
        <w:tc>
          <w:tcPr>
            <w:tcW w:w="3954" w:type="pct"/>
            <w:noWrap w:val="0"/>
            <w:vAlign w:val="center"/>
          </w:tcPr>
          <w:p w14:paraId="326AC65E">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协助岗亭收票人员工作</w:t>
            </w:r>
          </w:p>
        </w:tc>
        <w:tc>
          <w:tcPr>
            <w:tcW w:w="531" w:type="pct"/>
            <w:noWrap w:val="0"/>
            <w:vAlign w:val="center"/>
          </w:tcPr>
          <w:p w14:paraId="29808436">
            <w:pPr>
              <w:spacing w:line="240" w:lineRule="auto"/>
              <w:jc w:val="center"/>
              <w:rPr>
                <w:color w:val="auto"/>
                <w:sz w:val="22"/>
                <w:szCs w:val="22"/>
                <w:highlight w:val="none"/>
              </w:rPr>
            </w:pPr>
            <w:r>
              <w:rPr>
                <w:color w:val="auto"/>
                <w:sz w:val="22"/>
                <w:szCs w:val="22"/>
                <w:highlight w:val="none"/>
              </w:rPr>
              <w:t>5</w:t>
            </w:r>
          </w:p>
        </w:tc>
      </w:tr>
      <w:tr w14:paraId="5506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13" w:type="pct"/>
            <w:vMerge w:val="continue"/>
            <w:noWrap w:val="0"/>
            <w:vAlign w:val="center"/>
          </w:tcPr>
          <w:p w14:paraId="415E9A06">
            <w:pPr>
              <w:spacing w:line="240" w:lineRule="auto"/>
              <w:rPr>
                <w:color w:val="auto"/>
                <w:sz w:val="22"/>
                <w:szCs w:val="22"/>
                <w:highlight w:val="none"/>
              </w:rPr>
            </w:pPr>
          </w:p>
        </w:tc>
        <w:tc>
          <w:tcPr>
            <w:tcW w:w="3954" w:type="pct"/>
            <w:noWrap w:val="0"/>
            <w:vAlign w:val="center"/>
          </w:tcPr>
          <w:p w14:paraId="55C56323">
            <w:pPr>
              <w:spacing w:line="240" w:lineRule="auto"/>
              <w:rPr>
                <w:rFonts w:hint="default"/>
                <w:color w:val="auto"/>
                <w:sz w:val="22"/>
                <w:szCs w:val="22"/>
                <w:highlight w:val="none"/>
                <w:lang w:val="en-US" w:eastAsia="zh-CN"/>
              </w:rPr>
            </w:pPr>
            <w:r>
              <w:rPr>
                <w:color w:val="auto"/>
                <w:sz w:val="22"/>
                <w:szCs w:val="22"/>
                <w:highlight w:val="none"/>
              </w:rPr>
              <w:t>遇突发事件应当控制现场，避免冲突事件发生，并及时上报</w:t>
            </w:r>
            <w:r>
              <w:rPr>
                <w:rFonts w:hint="eastAsia"/>
                <w:color w:val="auto"/>
                <w:sz w:val="22"/>
                <w:szCs w:val="22"/>
                <w:highlight w:val="none"/>
                <w:lang w:eastAsia="zh-CN"/>
              </w:rPr>
              <w:t>，</w:t>
            </w:r>
            <w:r>
              <w:rPr>
                <w:rFonts w:hint="eastAsia"/>
                <w:color w:val="auto"/>
                <w:sz w:val="22"/>
                <w:szCs w:val="22"/>
                <w:highlight w:val="none"/>
                <w:lang w:val="en-US" w:eastAsia="zh-CN"/>
              </w:rPr>
              <w:t>同时做好相关台账留档</w:t>
            </w:r>
          </w:p>
        </w:tc>
        <w:tc>
          <w:tcPr>
            <w:tcW w:w="531" w:type="pct"/>
            <w:noWrap w:val="0"/>
            <w:vAlign w:val="center"/>
          </w:tcPr>
          <w:p w14:paraId="2388C698">
            <w:pPr>
              <w:spacing w:line="240" w:lineRule="auto"/>
              <w:jc w:val="center"/>
              <w:rPr>
                <w:rFonts w:hint="eastAsia"/>
                <w:color w:val="auto"/>
                <w:sz w:val="22"/>
                <w:szCs w:val="22"/>
                <w:highlight w:val="none"/>
                <w:lang w:eastAsia="zh-CN"/>
              </w:rPr>
            </w:pPr>
            <w:r>
              <w:rPr>
                <w:rFonts w:hint="eastAsia"/>
                <w:color w:val="auto"/>
                <w:sz w:val="22"/>
                <w:szCs w:val="22"/>
                <w:highlight w:val="none"/>
                <w:lang w:val="en-US" w:eastAsia="zh-CN"/>
              </w:rPr>
              <w:t>3</w:t>
            </w:r>
          </w:p>
        </w:tc>
      </w:tr>
      <w:tr w14:paraId="42DC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385EBEF1">
            <w:pPr>
              <w:spacing w:line="240" w:lineRule="auto"/>
              <w:rPr>
                <w:color w:val="auto"/>
                <w:sz w:val="22"/>
                <w:szCs w:val="22"/>
                <w:highlight w:val="none"/>
              </w:rPr>
            </w:pPr>
          </w:p>
        </w:tc>
        <w:tc>
          <w:tcPr>
            <w:tcW w:w="3954" w:type="pct"/>
            <w:noWrap w:val="0"/>
            <w:vAlign w:val="center"/>
          </w:tcPr>
          <w:p w14:paraId="2250F042">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按甲方要求在巡查围区渣土消纳区域，每日不少于两次</w:t>
            </w:r>
          </w:p>
        </w:tc>
        <w:tc>
          <w:tcPr>
            <w:tcW w:w="531" w:type="pct"/>
            <w:noWrap w:val="0"/>
            <w:vAlign w:val="center"/>
          </w:tcPr>
          <w:p w14:paraId="1A2C00CF">
            <w:pPr>
              <w:spacing w:line="240" w:lineRule="auto"/>
              <w:jc w:val="center"/>
              <w:rPr>
                <w:rFonts w:hint="eastAsia"/>
                <w:color w:val="auto"/>
                <w:sz w:val="22"/>
                <w:szCs w:val="22"/>
                <w:highlight w:val="none"/>
                <w:lang w:val="en-US" w:eastAsia="zh-CN"/>
              </w:rPr>
            </w:pPr>
            <w:r>
              <w:rPr>
                <w:color w:val="auto"/>
                <w:sz w:val="22"/>
                <w:szCs w:val="22"/>
                <w:highlight w:val="none"/>
              </w:rPr>
              <w:t>5</w:t>
            </w:r>
          </w:p>
        </w:tc>
      </w:tr>
      <w:tr w14:paraId="0201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2A55E005">
            <w:pPr>
              <w:spacing w:line="240" w:lineRule="auto"/>
              <w:rPr>
                <w:color w:val="auto"/>
                <w:sz w:val="22"/>
                <w:szCs w:val="22"/>
                <w:highlight w:val="none"/>
              </w:rPr>
            </w:pPr>
          </w:p>
        </w:tc>
        <w:tc>
          <w:tcPr>
            <w:tcW w:w="3954" w:type="pct"/>
            <w:noWrap w:val="0"/>
            <w:vAlign w:val="center"/>
          </w:tcPr>
          <w:p w14:paraId="005051F3">
            <w:pPr>
              <w:spacing w:line="240" w:lineRule="auto"/>
              <w:rPr>
                <w:rFonts w:hint="eastAsia"/>
                <w:color w:val="auto"/>
                <w:sz w:val="22"/>
                <w:szCs w:val="22"/>
                <w:highlight w:val="none"/>
                <w:lang w:val="en-US" w:eastAsia="zh-CN"/>
              </w:rPr>
            </w:pPr>
            <w:r>
              <w:rPr>
                <w:rFonts w:hint="eastAsia"/>
                <w:color w:val="auto"/>
                <w:sz w:val="22"/>
                <w:szCs w:val="22"/>
                <w:highlight w:val="none"/>
                <w:lang w:val="en-US" w:eastAsia="zh-CN"/>
              </w:rPr>
              <w:t>土方消纳岗亭通往三角地块便道沿线的摄像头及配套供电设备的日常清洁，需1-2日进行一次擦拭，确保监控清晰</w:t>
            </w:r>
          </w:p>
        </w:tc>
        <w:tc>
          <w:tcPr>
            <w:tcW w:w="531" w:type="pct"/>
            <w:noWrap w:val="0"/>
            <w:vAlign w:val="center"/>
          </w:tcPr>
          <w:p w14:paraId="2AAD4CD2">
            <w:pPr>
              <w:spacing w:line="240" w:lineRule="auto"/>
              <w:jc w:val="center"/>
              <w:rPr>
                <w:rFonts w:hint="eastAsia"/>
                <w:color w:val="auto"/>
                <w:sz w:val="22"/>
                <w:szCs w:val="22"/>
                <w:highlight w:val="none"/>
                <w:lang w:val="en-US" w:eastAsia="zh-CN"/>
              </w:rPr>
            </w:pPr>
            <w:r>
              <w:rPr>
                <w:color w:val="auto"/>
                <w:sz w:val="22"/>
                <w:szCs w:val="22"/>
                <w:highlight w:val="none"/>
              </w:rPr>
              <w:t>5</w:t>
            </w:r>
          </w:p>
        </w:tc>
      </w:tr>
      <w:tr w14:paraId="18B3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3DD87482">
            <w:pPr>
              <w:spacing w:line="240" w:lineRule="auto"/>
              <w:rPr>
                <w:color w:val="auto"/>
                <w:sz w:val="22"/>
                <w:szCs w:val="22"/>
                <w:highlight w:val="none"/>
              </w:rPr>
            </w:pPr>
          </w:p>
        </w:tc>
        <w:tc>
          <w:tcPr>
            <w:tcW w:w="3954" w:type="pct"/>
            <w:noWrap w:val="0"/>
            <w:vAlign w:val="center"/>
          </w:tcPr>
          <w:p w14:paraId="70373101">
            <w:pPr>
              <w:spacing w:line="240" w:lineRule="auto"/>
              <w:rPr>
                <w:color w:val="auto"/>
                <w:sz w:val="22"/>
                <w:szCs w:val="22"/>
                <w:highlight w:val="none"/>
                <w:lang w:val="en-US" w:eastAsia="zh-CN"/>
              </w:rPr>
            </w:pPr>
            <w:r>
              <w:rPr>
                <w:color w:val="auto"/>
                <w:sz w:val="22"/>
                <w:szCs w:val="22"/>
                <w:highlight w:val="none"/>
              </w:rPr>
              <w:t>建立健全岗亭值守</w:t>
            </w:r>
            <w:r>
              <w:rPr>
                <w:rFonts w:hint="eastAsia"/>
                <w:color w:val="auto"/>
                <w:sz w:val="22"/>
                <w:szCs w:val="22"/>
                <w:highlight w:val="none"/>
                <w:lang w:eastAsia="zh-CN"/>
              </w:rPr>
              <w:t>、</w:t>
            </w:r>
            <w:r>
              <w:rPr>
                <w:rFonts w:hint="eastAsia"/>
                <w:color w:val="auto"/>
                <w:sz w:val="22"/>
                <w:szCs w:val="22"/>
                <w:highlight w:val="none"/>
                <w:lang w:val="en-US" w:eastAsia="zh-CN"/>
              </w:rPr>
              <w:t>日常巡查</w:t>
            </w:r>
            <w:r>
              <w:rPr>
                <w:color w:val="auto"/>
                <w:sz w:val="22"/>
                <w:szCs w:val="22"/>
                <w:highlight w:val="none"/>
              </w:rPr>
              <w:t>相关台账</w:t>
            </w:r>
          </w:p>
        </w:tc>
        <w:tc>
          <w:tcPr>
            <w:tcW w:w="531" w:type="pct"/>
            <w:noWrap w:val="0"/>
            <w:vAlign w:val="center"/>
          </w:tcPr>
          <w:p w14:paraId="7550BA97">
            <w:pPr>
              <w:spacing w:line="240" w:lineRule="auto"/>
              <w:jc w:val="center"/>
              <w:rPr>
                <w:rFonts w:hint="eastAsia"/>
                <w:color w:val="auto"/>
                <w:sz w:val="22"/>
                <w:szCs w:val="22"/>
                <w:highlight w:val="none"/>
                <w:lang w:val="en-US" w:eastAsia="zh-CN"/>
              </w:rPr>
            </w:pPr>
            <w:r>
              <w:rPr>
                <w:rFonts w:hint="eastAsia"/>
                <w:color w:val="auto"/>
                <w:sz w:val="22"/>
                <w:szCs w:val="22"/>
                <w:highlight w:val="none"/>
                <w:lang w:val="en-US" w:eastAsia="zh-CN"/>
              </w:rPr>
              <w:t>3</w:t>
            </w:r>
          </w:p>
        </w:tc>
      </w:tr>
      <w:tr w14:paraId="05B1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58BC7720">
            <w:pPr>
              <w:spacing w:line="240" w:lineRule="auto"/>
              <w:rPr>
                <w:color w:val="auto"/>
                <w:sz w:val="22"/>
                <w:szCs w:val="22"/>
                <w:highlight w:val="none"/>
              </w:rPr>
            </w:pPr>
          </w:p>
        </w:tc>
        <w:tc>
          <w:tcPr>
            <w:tcW w:w="3954" w:type="pct"/>
            <w:noWrap w:val="0"/>
            <w:vAlign w:val="center"/>
          </w:tcPr>
          <w:p w14:paraId="382BC9F4">
            <w:pPr>
              <w:spacing w:line="240" w:lineRule="auto"/>
              <w:rPr>
                <w:color w:val="auto"/>
                <w:sz w:val="22"/>
                <w:szCs w:val="22"/>
                <w:highlight w:val="none"/>
              </w:rPr>
            </w:pPr>
            <w:r>
              <w:rPr>
                <w:rFonts w:hint="eastAsia" w:ascii="新宋体" w:hAnsi="新宋体" w:eastAsia="新宋体" w:cs="新宋体"/>
                <w:bCs/>
                <w:color w:val="auto"/>
                <w:sz w:val="22"/>
                <w:szCs w:val="22"/>
                <w:highlight w:val="none"/>
                <w:lang w:eastAsia="zh-CN"/>
              </w:rPr>
              <w:t>土方车辆篷布内容物查看、车辆冲洗</w:t>
            </w:r>
          </w:p>
        </w:tc>
        <w:tc>
          <w:tcPr>
            <w:tcW w:w="531" w:type="pct"/>
            <w:noWrap w:val="0"/>
            <w:vAlign w:val="center"/>
          </w:tcPr>
          <w:p w14:paraId="0FC7BB4F">
            <w:pPr>
              <w:spacing w:line="240" w:lineRule="auto"/>
              <w:jc w:val="center"/>
              <w:rPr>
                <w:rFonts w:hint="default"/>
                <w:color w:val="auto"/>
                <w:sz w:val="22"/>
                <w:szCs w:val="22"/>
                <w:highlight w:val="none"/>
                <w:lang w:val="en-US" w:eastAsia="zh-CN"/>
              </w:rPr>
            </w:pPr>
            <w:r>
              <w:rPr>
                <w:rFonts w:hint="eastAsia"/>
                <w:color w:val="auto"/>
                <w:sz w:val="22"/>
                <w:szCs w:val="22"/>
                <w:highlight w:val="none"/>
                <w:lang w:val="en-US" w:eastAsia="zh-CN"/>
              </w:rPr>
              <w:t>5</w:t>
            </w:r>
          </w:p>
        </w:tc>
      </w:tr>
      <w:tr w14:paraId="3F3E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restart"/>
            <w:noWrap w:val="0"/>
            <w:vAlign w:val="center"/>
          </w:tcPr>
          <w:p w14:paraId="43F5A271">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消纳票据查验工作纪律</w:t>
            </w:r>
          </w:p>
        </w:tc>
        <w:tc>
          <w:tcPr>
            <w:tcW w:w="3954" w:type="pct"/>
            <w:noWrap w:val="0"/>
            <w:vAlign w:val="center"/>
          </w:tcPr>
          <w:p w14:paraId="07DF9BEF">
            <w:pPr>
              <w:spacing w:line="240" w:lineRule="auto"/>
              <w:rPr>
                <w:rFonts w:hint="default"/>
                <w:color w:val="auto"/>
                <w:sz w:val="22"/>
                <w:szCs w:val="22"/>
                <w:highlight w:val="none"/>
                <w:lang w:val="en-US" w:eastAsia="zh-CN"/>
              </w:rPr>
            </w:pPr>
            <w:r>
              <w:rPr>
                <w:rFonts w:hint="eastAsia" w:ascii="新宋体" w:hAnsi="新宋体" w:eastAsia="新宋体" w:cs="新宋体"/>
                <w:bCs/>
                <w:color w:val="auto"/>
                <w:sz w:val="22"/>
                <w:szCs w:val="22"/>
                <w:highlight w:val="none"/>
                <w:lang w:eastAsia="zh-CN"/>
              </w:rPr>
              <w:t>消纳土方电子联单扫码</w:t>
            </w:r>
          </w:p>
        </w:tc>
        <w:tc>
          <w:tcPr>
            <w:tcW w:w="531" w:type="pct"/>
            <w:noWrap w:val="0"/>
            <w:vAlign w:val="center"/>
          </w:tcPr>
          <w:p w14:paraId="12B04990">
            <w:pPr>
              <w:spacing w:line="240" w:lineRule="auto"/>
              <w:jc w:val="center"/>
              <w:rPr>
                <w:rFonts w:hint="eastAsia"/>
                <w:color w:val="auto"/>
                <w:sz w:val="22"/>
                <w:szCs w:val="22"/>
                <w:highlight w:val="none"/>
                <w:lang w:val="en-US" w:eastAsia="zh-CN"/>
              </w:rPr>
            </w:pPr>
            <w:r>
              <w:rPr>
                <w:rFonts w:hint="eastAsia"/>
                <w:color w:val="auto"/>
                <w:sz w:val="22"/>
                <w:szCs w:val="22"/>
                <w:highlight w:val="none"/>
                <w:lang w:val="en-US" w:eastAsia="zh-CN"/>
              </w:rPr>
              <w:t>5</w:t>
            </w:r>
          </w:p>
        </w:tc>
      </w:tr>
      <w:tr w14:paraId="4389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4E411081">
            <w:pPr>
              <w:spacing w:line="240" w:lineRule="auto"/>
              <w:rPr>
                <w:color w:val="auto"/>
                <w:sz w:val="22"/>
                <w:szCs w:val="22"/>
                <w:highlight w:val="none"/>
              </w:rPr>
            </w:pPr>
          </w:p>
        </w:tc>
        <w:tc>
          <w:tcPr>
            <w:tcW w:w="3954" w:type="pct"/>
            <w:noWrap w:val="0"/>
            <w:vAlign w:val="center"/>
          </w:tcPr>
          <w:p w14:paraId="3F6EA36E">
            <w:pPr>
              <w:spacing w:line="240" w:lineRule="auto"/>
              <w:rPr>
                <w:rFonts w:hint="eastAsia"/>
                <w:color w:val="auto"/>
                <w:sz w:val="22"/>
                <w:szCs w:val="22"/>
                <w:highlight w:val="none"/>
                <w:lang w:val="en-US" w:eastAsia="zh-CN"/>
              </w:rPr>
            </w:pPr>
            <w:r>
              <w:rPr>
                <w:rFonts w:hint="eastAsia" w:ascii="新宋体" w:hAnsi="新宋体" w:eastAsia="新宋体" w:cs="新宋体"/>
                <w:bCs/>
                <w:color w:val="auto"/>
                <w:sz w:val="22"/>
                <w:szCs w:val="22"/>
                <w:highlight w:val="none"/>
                <w:lang w:eastAsia="zh-CN"/>
              </w:rPr>
              <w:t>土方消纳地磅数据录入与导出</w:t>
            </w:r>
          </w:p>
        </w:tc>
        <w:tc>
          <w:tcPr>
            <w:tcW w:w="531" w:type="pct"/>
            <w:noWrap w:val="0"/>
            <w:vAlign w:val="center"/>
          </w:tcPr>
          <w:p w14:paraId="6AE9D6D2">
            <w:pPr>
              <w:spacing w:line="240" w:lineRule="auto"/>
              <w:jc w:val="center"/>
              <w:rPr>
                <w:rFonts w:hint="eastAsia"/>
                <w:color w:val="auto"/>
                <w:sz w:val="22"/>
                <w:szCs w:val="22"/>
                <w:highlight w:val="none"/>
                <w:lang w:val="en-US" w:eastAsia="zh-CN"/>
              </w:rPr>
            </w:pPr>
            <w:r>
              <w:rPr>
                <w:rFonts w:hint="eastAsia"/>
                <w:color w:val="auto"/>
                <w:sz w:val="22"/>
                <w:szCs w:val="22"/>
                <w:highlight w:val="none"/>
                <w:lang w:val="en-US" w:eastAsia="zh-CN"/>
              </w:rPr>
              <w:t>5</w:t>
            </w:r>
          </w:p>
        </w:tc>
      </w:tr>
      <w:tr w14:paraId="18D6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53B012BC">
            <w:pPr>
              <w:spacing w:line="240" w:lineRule="auto"/>
              <w:rPr>
                <w:color w:val="auto"/>
                <w:sz w:val="22"/>
                <w:szCs w:val="22"/>
                <w:highlight w:val="none"/>
              </w:rPr>
            </w:pPr>
          </w:p>
        </w:tc>
        <w:tc>
          <w:tcPr>
            <w:tcW w:w="3954" w:type="pct"/>
            <w:noWrap w:val="0"/>
            <w:vAlign w:val="center"/>
          </w:tcPr>
          <w:p w14:paraId="19A6D0D0">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消纳票据查验相关的其他工作</w:t>
            </w:r>
          </w:p>
        </w:tc>
        <w:tc>
          <w:tcPr>
            <w:tcW w:w="531" w:type="pct"/>
            <w:noWrap w:val="0"/>
            <w:vAlign w:val="center"/>
          </w:tcPr>
          <w:p w14:paraId="41BB98F6">
            <w:pPr>
              <w:spacing w:line="240" w:lineRule="auto"/>
              <w:jc w:val="center"/>
              <w:rPr>
                <w:rFonts w:hint="eastAsia"/>
                <w:color w:val="auto"/>
                <w:sz w:val="22"/>
                <w:szCs w:val="22"/>
                <w:highlight w:val="none"/>
                <w:lang w:val="en-US" w:eastAsia="zh-CN"/>
              </w:rPr>
            </w:pPr>
            <w:r>
              <w:rPr>
                <w:rFonts w:hint="eastAsia"/>
                <w:color w:val="auto"/>
                <w:sz w:val="22"/>
                <w:szCs w:val="22"/>
                <w:highlight w:val="none"/>
                <w:lang w:val="en-US" w:eastAsia="zh-CN"/>
              </w:rPr>
              <w:t>5</w:t>
            </w:r>
          </w:p>
        </w:tc>
      </w:tr>
      <w:tr w14:paraId="35F1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restart"/>
            <w:noWrap w:val="0"/>
            <w:vAlign w:val="center"/>
          </w:tcPr>
          <w:p w14:paraId="5A840570">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保洁工作纪律</w:t>
            </w:r>
          </w:p>
        </w:tc>
        <w:tc>
          <w:tcPr>
            <w:tcW w:w="3954" w:type="pct"/>
            <w:noWrap w:val="0"/>
            <w:vAlign w:val="center"/>
          </w:tcPr>
          <w:p w14:paraId="69AF4878">
            <w:pPr>
              <w:spacing w:line="240" w:lineRule="auto"/>
              <w:rPr>
                <w:rFonts w:hint="default"/>
                <w:color w:val="auto"/>
                <w:sz w:val="22"/>
                <w:szCs w:val="22"/>
                <w:highlight w:val="none"/>
                <w:lang w:val="en-US" w:eastAsia="zh-CN"/>
              </w:rPr>
            </w:pPr>
            <w:r>
              <w:rPr>
                <w:rFonts w:hint="eastAsia"/>
                <w:color w:val="auto"/>
                <w:sz w:val="22"/>
                <w:szCs w:val="22"/>
                <w:highlight w:val="none"/>
                <w:lang w:val="en-US" w:eastAsia="zh-CN"/>
              </w:rPr>
              <w:t>维持土方消纳岗亭周围地面基本整洁、管理房整洁</w:t>
            </w:r>
          </w:p>
        </w:tc>
        <w:tc>
          <w:tcPr>
            <w:tcW w:w="531" w:type="pct"/>
            <w:noWrap w:val="0"/>
            <w:vAlign w:val="center"/>
          </w:tcPr>
          <w:p w14:paraId="028EAC02">
            <w:pPr>
              <w:spacing w:line="240" w:lineRule="auto"/>
              <w:jc w:val="center"/>
              <w:rPr>
                <w:rFonts w:hint="default"/>
                <w:color w:val="auto"/>
                <w:sz w:val="22"/>
                <w:szCs w:val="22"/>
                <w:highlight w:val="none"/>
                <w:lang w:val="en-US" w:eastAsia="zh-CN"/>
              </w:rPr>
            </w:pPr>
            <w:r>
              <w:rPr>
                <w:rFonts w:hint="eastAsia"/>
                <w:color w:val="auto"/>
                <w:sz w:val="22"/>
                <w:szCs w:val="22"/>
                <w:highlight w:val="none"/>
                <w:lang w:val="en-US" w:eastAsia="zh-CN"/>
              </w:rPr>
              <w:t>5</w:t>
            </w:r>
          </w:p>
        </w:tc>
      </w:tr>
      <w:tr w14:paraId="69C7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612E03BE">
            <w:pPr>
              <w:spacing w:line="240" w:lineRule="auto"/>
              <w:rPr>
                <w:color w:val="auto"/>
                <w:sz w:val="22"/>
                <w:szCs w:val="22"/>
                <w:highlight w:val="none"/>
              </w:rPr>
            </w:pPr>
          </w:p>
        </w:tc>
        <w:tc>
          <w:tcPr>
            <w:tcW w:w="3954" w:type="pct"/>
            <w:noWrap w:val="0"/>
            <w:vAlign w:val="center"/>
          </w:tcPr>
          <w:p w14:paraId="69097170">
            <w:pPr>
              <w:spacing w:line="240" w:lineRule="auto"/>
              <w:rPr>
                <w:rFonts w:hint="default"/>
                <w:color w:val="auto"/>
                <w:sz w:val="22"/>
                <w:szCs w:val="22"/>
                <w:highlight w:val="none"/>
                <w:lang w:val="en-US" w:eastAsia="zh-CN"/>
              </w:rPr>
            </w:pPr>
            <w:r>
              <w:rPr>
                <w:rFonts w:hint="eastAsia"/>
                <w:color w:val="auto"/>
                <w:sz w:val="22"/>
                <w:szCs w:val="22"/>
                <w:highlight w:val="none"/>
              </w:rPr>
              <w:t>维持</w:t>
            </w:r>
            <w:r>
              <w:rPr>
                <w:rFonts w:hint="eastAsia" w:ascii="宋体" w:hAnsi="宋体" w:cs="宋体"/>
                <w:bCs/>
                <w:color w:val="auto"/>
                <w:kern w:val="0"/>
                <w:sz w:val="22"/>
                <w:szCs w:val="22"/>
                <w:highlight w:val="none"/>
                <w:lang w:eastAsia="zh-CN"/>
              </w:rPr>
              <w:t>土方消纳</w:t>
            </w:r>
            <w:r>
              <w:rPr>
                <w:rFonts w:hint="eastAsia" w:ascii="新宋体" w:hAnsi="新宋体" w:eastAsia="新宋体" w:cs="新宋体"/>
                <w:bCs/>
                <w:color w:val="auto"/>
                <w:sz w:val="22"/>
                <w:szCs w:val="22"/>
                <w:highlight w:val="none"/>
                <w:lang w:val="en-US" w:eastAsia="zh-CN"/>
              </w:rPr>
              <w:t>地磅、监控、沉淀池</w:t>
            </w:r>
            <w:r>
              <w:rPr>
                <w:rFonts w:hint="eastAsia"/>
                <w:color w:val="auto"/>
                <w:sz w:val="22"/>
                <w:szCs w:val="22"/>
                <w:highlight w:val="none"/>
              </w:rPr>
              <w:t>的整洁</w:t>
            </w:r>
          </w:p>
        </w:tc>
        <w:tc>
          <w:tcPr>
            <w:tcW w:w="531" w:type="pct"/>
            <w:noWrap w:val="0"/>
            <w:vAlign w:val="center"/>
          </w:tcPr>
          <w:p w14:paraId="6674C0BC">
            <w:pPr>
              <w:spacing w:line="240" w:lineRule="auto"/>
              <w:jc w:val="center"/>
              <w:rPr>
                <w:color w:val="auto"/>
                <w:sz w:val="22"/>
                <w:szCs w:val="22"/>
                <w:highlight w:val="none"/>
              </w:rPr>
            </w:pPr>
            <w:r>
              <w:rPr>
                <w:rFonts w:hint="eastAsia"/>
                <w:color w:val="auto"/>
                <w:sz w:val="22"/>
                <w:szCs w:val="22"/>
                <w:highlight w:val="none"/>
              </w:rPr>
              <w:t>5</w:t>
            </w:r>
          </w:p>
        </w:tc>
      </w:tr>
      <w:tr w14:paraId="4E3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restart"/>
            <w:noWrap w:val="0"/>
            <w:vAlign w:val="center"/>
          </w:tcPr>
          <w:p w14:paraId="2669305C">
            <w:pPr>
              <w:spacing w:line="240" w:lineRule="auto"/>
              <w:rPr>
                <w:color w:val="auto"/>
                <w:sz w:val="22"/>
                <w:szCs w:val="22"/>
                <w:highlight w:val="none"/>
              </w:rPr>
            </w:pPr>
            <w:r>
              <w:rPr>
                <w:color w:val="auto"/>
                <w:sz w:val="22"/>
                <w:szCs w:val="22"/>
                <w:highlight w:val="none"/>
              </w:rPr>
              <w:t>安保公司服务要求</w:t>
            </w:r>
          </w:p>
        </w:tc>
        <w:tc>
          <w:tcPr>
            <w:tcW w:w="3954" w:type="pct"/>
            <w:noWrap w:val="0"/>
            <w:vAlign w:val="center"/>
          </w:tcPr>
          <w:p w14:paraId="065C78D1">
            <w:pPr>
              <w:spacing w:line="240" w:lineRule="auto"/>
              <w:rPr>
                <w:color w:val="auto"/>
                <w:sz w:val="22"/>
                <w:szCs w:val="22"/>
                <w:highlight w:val="none"/>
              </w:rPr>
            </w:pPr>
            <w:r>
              <w:rPr>
                <w:color w:val="auto"/>
                <w:sz w:val="22"/>
                <w:szCs w:val="22"/>
                <w:highlight w:val="none"/>
              </w:rPr>
              <w:t>维持队伍稳定，不得</w:t>
            </w:r>
            <w:r>
              <w:rPr>
                <w:rFonts w:hint="eastAsia"/>
                <w:color w:val="auto"/>
                <w:sz w:val="22"/>
                <w:szCs w:val="22"/>
                <w:highlight w:val="none"/>
              </w:rPr>
              <w:t>未经书面同意</w:t>
            </w:r>
            <w:r>
              <w:rPr>
                <w:color w:val="auto"/>
                <w:sz w:val="22"/>
                <w:szCs w:val="22"/>
                <w:highlight w:val="none"/>
              </w:rPr>
              <w:t>更换人员</w:t>
            </w:r>
          </w:p>
        </w:tc>
        <w:tc>
          <w:tcPr>
            <w:tcW w:w="531" w:type="pct"/>
            <w:noWrap w:val="0"/>
            <w:vAlign w:val="center"/>
          </w:tcPr>
          <w:p w14:paraId="189E3BFC">
            <w:pPr>
              <w:spacing w:line="240" w:lineRule="auto"/>
              <w:jc w:val="center"/>
              <w:rPr>
                <w:color w:val="auto"/>
                <w:sz w:val="22"/>
                <w:szCs w:val="22"/>
                <w:highlight w:val="none"/>
              </w:rPr>
            </w:pPr>
            <w:r>
              <w:rPr>
                <w:color w:val="auto"/>
                <w:sz w:val="22"/>
                <w:szCs w:val="22"/>
                <w:highlight w:val="none"/>
              </w:rPr>
              <w:t>5</w:t>
            </w:r>
          </w:p>
        </w:tc>
      </w:tr>
      <w:tr w14:paraId="6824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55EBA98B">
            <w:pPr>
              <w:spacing w:line="240" w:lineRule="auto"/>
              <w:rPr>
                <w:color w:val="auto"/>
                <w:sz w:val="22"/>
                <w:szCs w:val="22"/>
                <w:highlight w:val="none"/>
              </w:rPr>
            </w:pPr>
          </w:p>
        </w:tc>
        <w:tc>
          <w:tcPr>
            <w:tcW w:w="3954" w:type="pct"/>
            <w:noWrap w:val="0"/>
            <w:vAlign w:val="center"/>
          </w:tcPr>
          <w:p w14:paraId="13C20133">
            <w:pPr>
              <w:spacing w:line="240" w:lineRule="auto"/>
              <w:rPr>
                <w:color w:val="auto"/>
                <w:sz w:val="22"/>
                <w:szCs w:val="22"/>
                <w:highlight w:val="none"/>
              </w:rPr>
            </w:pPr>
            <w:r>
              <w:rPr>
                <w:color w:val="auto"/>
                <w:sz w:val="22"/>
                <w:szCs w:val="22"/>
                <w:highlight w:val="none"/>
              </w:rPr>
              <w:t>遵从</w:t>
            </w:r>
            <w:r>
              <w:rPr>
                <w:rFonts w:hint="eastAsia"/>
                <w:color w:val="auto"/>
                <w:sz w:val="22"/>
                <w:szCs w:val="22"/>
                <w:highlight w:val="none"/>
                <w:lang w:val="en-US" w:eastAsia="zh-CN"/>
              </w:rPr>
              <w:t>甲方</w:t>
            </w:r>
            <w:r>
              <w:rPr>
                <w:color w:val="auto"/>
                <w:sz w:val="22"/>
                <w:szCs w:val="22"/>
                <w:highlight w:val="none"/>
              </w:rPr>
              <w:t>工作指令，包括临时指派的任务</w:t>
            </w:r>
          </w:p>
        </w:tc>
        <w:tc>
          <w:tcPr>
            <w:tcW w:w="531" w:type="pct"/>
            <w:noWrap w:val="0"/>
            <w:vAlign w:val="center"/>
          </w:tcPr>
          <w:p w14:paraId="092174DB">
            <w:pPr>
              <w:spacing w:line="240" w:lineRule="auto"/>
              <w:jc w:val="center"/>
              <w:rPr>
                <w:color w:val="auto"/>
                <w:sz w:val="22"/>
                <w:szCs w:val="22"/>
                <w:highlight w:val="none"/>
              </w:rPr>
            </w:pPr>
            <w:r>
              <w:rPr>
                <w:color w:val="auto"/>
                <w:sz w:val="22"/>
                <w:szCs w:val="22"/>
                <w:highlight w:val="none"/>
              </w:rPr>
              <w:t>5</w:t>
            </w:r>
          </w:p>
        </w:tc>
      </w:tr>
      <w:tr w14:paraId="3ACA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vMerge w:val="continue"/>
            <w:noWrap w:val="0"/>
            <w:vAlign w:val="center"/>
          </w:tcPr>
          <w:p w14:paraId="5B5431A5">
            <w:pPr>
              <w:spacing w:line="240" w:lineRule="auto"/>
              <w:rPr>
                <w:color w:val="auto"/>
                <w:sz w:val="22"/>
                <w:szCs w:val="22"/>
                <w:highlight w:val="none"/>
              </w:rPr>
            </w:pPr>
          </w:p>
        </w:tc>
        <w:tc>
          <w:tcPr>
            <w:tcW w:w="3954" w:type="pct"/>
            <w:noWrap w:val="0"/>
            <w:vAlign w:val="center"/>
          </w:tcPr>
          <w:p w14:paraId="3D138D3F">
            <w:pPr>
              <w:spacing w:line="240" w:lineRule="auto"/>
              <w:rPr>
                <w:rFonts w:hint="eastAsia"/>
                <w:color w:val="auto"/>
                <w:sz w:val="22"/>
                <w:szCs w:val="22"/>
                <w:highlight w:val="none"/>
                <w:lang w:eastAsia="zh-CN"/>
              </w:rPr>
            </w:pPr>
            <w:r>
              <w:rPr>
                <w:color w:val="auto"/>
                <w:sz w:val="22"/>
                <w:szCs w:val="22"/>
                <w:highlight w:val="none"/>
              </w:rPr>
              <w:t>足额配备工作服和</w:t>
            </w:r>
            <w:r>
              <w:rPr>
                <w:rFonts w:hint="eastAsia"/>
                <w:color w:val="auto"/>
                <w:sz w:val="22"/>
                <w:szCs w:val="22"/>
                <w:highlight w:val="none"/>
                <w:lang w:val="en-US" w:eastAsia="zh-CN"/>
              </w:rPr>
              <w:t>符合标准的</w:t>
            </w:r>
            <w:r>
              <w:rPr>
                <w:color w:val="auto"/>
                <w:sz w:val="22"/>
                <w:szCs w:val="22"/>
                <w:highlight w:val="none"/>
              </w:rPr>
              <w:t>安保设备</w:t>
            </w:r>
            <w:r>
              <w:rPr>
                <w:rFonts w:hint="eastAsia"/>
                <w:color w:val="auto"/>
                <w:sz w:val="22"/>
                <w:szCs w:val="22"/>
                <w:highlight w:val="none"/>
                <w:lang w:eastAsia="zh-CN"/>
              </w:rPr>
              <w:t>（</w:t>
            </w:r>
            <w:r>
              <w:rPr>
                <w:rFonts w:hint="eastAsia"/>
                <w:color w:val="auto"/>
                <w:sz w:val="22"/>
                <w:szCs w:val="22"/>
                <w:highlight w:val="none"/>
                <w:lang w:val="en-US" w:eastAsia="zh-CN"/>
              </w:rPr>
              <w:t>包括巡查车辆</w:t>
            </w:r>
            <w:r>
              <w:rPr>
                <w:rFonts w:hint="eastAsia"/>
                <w:color w:val="auto"/>
                <w:sz w:val="22"/>
                <w:szCs w:val="22"/>
                <w:highlight w:val="none"/>
                <w:lang w:eastAsia="zh-CN"/>
              </w:rPr>
              <w:t>）</w:t>
            </w:r>
          </w:p>
        </w:tc>
        <w:tc>
          <w:tcPr>
            <w:tcW w:w="531" w:type="pct"/>
            <w:noWrap w:val="0"/>
            <w:vAlign w:val="center"/>
          </w:tcPr>
          <w:p w14:paraId="05341672">
            <w:pPr>
              <w:spacing w:line="240" w:lineRule="auto"/>
              <w:jc w:val="center"/>
              <w:rPr>
                <w:rFonts w:hint="eastAsia"/>
                <w:color w:val="auto"/>
                <w:sz w:val="22"/>
                <w:szCs w:val="22"/>
                <w:highlight w:val="none"/>
                <w:lang w:eastAsia="zh-CN"/>
              </w:rPr>
            </w:pPr>
            <w:r>
              <w:rPr>
                <w:rFonts w:hint="eastAsia"/>
                <w:color w:val="auto"/>
                <w:sz w:val="22"/>
                <w:szCs w:val="22"/>
                <w:highlight w:val="none"/>
                <w:lang w:val="en-US" w:eastAsia="zh-CN"/>
              </w:rPr>
              <w:t>4</w:t>
            </w:r>
          </w:p>
        </w:tc>
      </w:tr>
      <w:tr w14:paraId="67AF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3" w:type="pct"/>
            <w:noWrap w:val="0"/>
            <w:vAlign w:val="center"/>
          </w:tcPr>
          <w:p w14:paraId="3BB792E3">
            <w:pPr>
              <w:spacing w:line="240" w:lineRule="auto"/>
              <w:rPr>
                <w:color w:val="auto"/>
                <w:sz w:val="22"/>
                <w:szCs w:val="22"/>
                <w:highlight w:val="none"/>
              </w:rPr>
            </w:pPr>
            <w:r>
              <w:rPr>
                <w:color w:val="auto"/>
                <w:sz w:val="22"/>
                <w:szCs w:val="22"/>
                <w:highlight w:val="none"/>
              </w:rPr>
              <w:t>备注</w:t>
            </w:r>
          </w:p>
        </w:tc>
        <w:tc>
          <w:tcPr>
            <w:tcW w:w="4486" w:type="pct"/>
            <w:gridSpan w:val="2"/>
            <w:noWrap w:val="0"/>
            <w:vAlign w:val="center"/>
          </w:tcPr>
          <w:p w14:paraId="07D75C5F">
            <w:pPr>
              <w:spacing w:line="240" w:lineRule="auto"/>
              <w:rPr>
                <w:rFonts w:hint="eastAsia"/>
                <w:color w:val="auto"/>
                <w:sz w:val="22"/>
                <w:szCs w:val="22"/>
                <w:highlight w:val="none"/>
                <w:lang w:eastAsia="zh-CN"/>
              </w:rPr>
            </w:pPr>
            <w:r>
              <w:rPr>
                <w:color w:val="auto"/>
                <w:sz w:val="22"/>
                <w:szCs w:val="22"/>
                <w:highlight w:val="none"/>
              </w:rPr>
              <w:t>1.考核结果80分（含80分）以上为合格，80分以下为不合格。</w:t>
            </w:r>
          </w:p>
          <w:p w14:paraId="02B7F530">
            <w:pPr>
              <w:spacing w:line="240" w:lineRule="auto"/>
              <w:rPr>
                <w:rFonts w:hint="eastAsia"/>
                <w:color w:val="auto"/>
                <w:sz w:val="22"/>
                <w:szCs w:val="22"/>
                <w:highlight w:val="none"/>
                <w:lang w:eastAsia="zh-CN"/>
              </w:rPr>
            </w:pPr>
            <w:r>
              <w:rPr>
                <w:color w:val="auto"/>
                <w:sz w:val="22"/>
                <w:szCs w:val="22"/>
                <w:highlight w:val="none"/>
              </w:rPr>
              <w:t>2.考核采取</w:t>
            </w:r>
            <w:r>
              <w:rPr>
                <w:rFonts w:hint="eastAsia"/>
                <w:color w:val="auto"/>
                <w:sz w:val="22"/>
                <w:szCs w:val="22"/>
                <w:highlight w:val="none"/>
                <w:lang w:val="en-US" w:eastAsia="zh-CN"/>
              </w:rPr>
              <w:t>季度</w:t>
            </w:r>
            <w:r>
              <w:rPr>
                <w:color w:val="auto"/>
                <w:sz w:val="22"/>
                <w:szCs w:val="22"/>
                <w:highlight w:val="none"/>
              </w:rPr>
              <w:t>考核形式执行</w:t>
            </w:r>
            <w:r>
              <w:rPr>
                <w:rFonts w:hint="eastAsia"/>
                <w:color w:val="auto"/>
                <w:sz w:val="22"/>
                <w:szCs w:val="22"/>
                <w:highlight w:val="none"/>
                <w:lang w:eastAsia="zh-CN"/>
              </w:rPr>
              <w:t>，</w:t>
            </w:r>
            <w:r>
              <w:rPr>
                <w:rFonts w:hint="eastAsia"/>
                <w:color w:val="auto"/>
                <w:sz w:val="22"/>
                <w:szCs w:val="22"/>
                <w:highlight w:val="none"/>
                <w:lang w:val="en-US" w:eastAsia="zh-CN"/>
              </w:rPr>
              <w:t>当每季度考核期内，以上情况出现多次违反规定或未及时整改到位的，按次累计核减分数，单项核减分数上不封顶</w:t>
            </w:r>
            <w:r>
              <w:rPr>
                <w:color w:val="auto"/>
                <w:sz w:val="22"/>
                <w:szCs w:val="22"/>
                <w:highlight w:val="none"/>
              </w:rPr>
              <w:t>。</w:t>
            </w:r>
          </w:p>
          <w:p w14:paraId="2B45FA33">
            <w:pPr>
              <w:spacing w:line="240" w:lineRule="auto"/>
              <w:rPr>
                <w:rFonts w:hint="eastAsia"/>
                <w:color w:val="auto"/>
                <w:sz w:val="22"/>
                <w:szCs w:val="22"/>
                <w:highlight w:val="none"/>
                <w:lang w:eastAsia="zh-CN"/>
              </w:rPr>
            </w:pPr>
            <w:r>
              <w:rPr>
                <w:color w:val="auto"/>
                <w:sz w:val="22"/>
                <w:szCs w:val="22"/>
                <w:highlight w:val="none"/>
              </w:rPr>
              <w:t>3.考核结果的运用：</w:t>
            </w:r>
          </w:p>
          <w:p w14:paraId="02E961CA">
            <w:pPr>
              <w:spacing w:line="240" w:lineRule="auto"/>
              <w:rPr>
                <w:rFonts w:hint="default"/>
                <w:color w:val="auto"/>
                <w:sz w:val="22"/>
                <w:szCs w:val="22"/>
                <w:highlight w:val="none"/>
                <w:lang w:val="en-US" w:eastAsia="zh-CN"/>
              </w:rPr>
            </w:pPr>
            <w:r>
              <w:rPr>
                <w:color w:val="auto"/>
                <w:sz w:val="22"/>
                <w:szCs w:val="22"/>
                <w:highlight w:val="none"/>
              </w:rPr>
              <w:t>（1）</w:t>
            </w:r>
            <w:r>
              <w:rPr>
                <w:rFonts w:hint="eastAsia"/>
                <w:color w:val="auto"/>
                <w:sz w:val="22"/>
                <w:szCs w:val="22"/>
                <w:highlight w:val="none"/>
                <w:lang w:val="en-US" w:eastAsia="zh-CN"/>
              </w:rPr>
              <w:t>考核低于80分，考核期内合同价款按照实际产生金额的70%结算，甲方已支付的，在下一个考核期内的合同价款中相应扣除。</w:t>
            </w:r>
          </w:p>
          <w:p w14:paraId="6B088F76">
            <w:pPr>
              <w:spacing w:line="240" w:lineRule="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2</w:t>
            </w:r>
            <w:r>
              <w:rPr>
                <w:rFonts w:hint="eastAsia"/>
                <w:color w:val="auto"/>
                <w:sz w:val="22"/>
                <w:szCs w:val="22"/>
                <w:highlight w:val="none"/>
                <w:lang w:eastAsia="zh-CN"/>
              </w:rPr>
              <w:t>）</w:t>
            </w:r>
            <w:r>
              <w:rPr>
                <w:rFonts w:hint="eastAsia"/>
                <w:color w:val="auto"/>
                <w:sz w:val="22"/>
                <w:szCs w:val="22"/>
                <w:highlight w:val="none"/>
                <w:lang w:val="en-US" w:eastAsia="zh-CN"/>
              </w:rPr>
              <w:t>考核低于60分</w:t>
            </w:r>
            <w:r>
              <w:rPr>
                <w:color w:val="auto"/>
                <w:sz w:val="22"/>
                <w:szCs w:val="22"/>
                <w:highlight w:val="none"/>
              </w:rPr>
              <w:t>，甲方有权单方面解除合同。</w:t>
            </w:r>
          </w:p>
        </w:tc>
      </w:tr>
    </w:tbl>
    <w:p w14:paraId="3F2FA659">
      <w:pPr>
        <w:pStyle w:val="3"/>
        <w:spacing w:line="440" w:lineRule="exact"/>
        <w:rPr>
          <w:rFonts w:ascii="新宋体" w:hAnsi="新宋体" w:eastAsia="新宋体"/>
          <w:bCs w:val="0"/>
          <w:color w:val="auto"/>
          <w:sz w:val="36"/>
          <w:szCs w:val="36"/>
          <w:highlight w:val="none"/>
        </w:rPr>
      </w:pPr>
      <w:r>
        <w:rPr>
          <w:rFonts w:hint="eastAsia" w:ascii="仿宋_GB2312" w:hAnsi="楷体_GB2312" w:eastAsia="仿宋_GB2312"/>
          <w:color w:val="auto"/>
          <w:sz w:val="22"/>
          <w:szCs w:val="22"/>
          <w:highlight w:val="none"/>
        </w:rPr>
        <w:br w:type="page"/>
      </w:r>
      <w:bookmarkEnd w:id="174"/>
      <w:bookmarkStart w:id="175" w:name="_Toc11053"/>
      <w:bookmarkStart w:id="176" w:name="_Toc94208456"/>
      <w:r>
        <w:rPr>
          <w:rFonts w:hint="eastAsia" w:ascii="新宋体" w:hAnsi="新宋体" w:eastAsia="新宋体" w:cs="新宋体"/>
          <w:color w:val="auto"/>
          <w:sz w:val="36"/>
          <w:szCs w:val="36"/>
          <w:highlight w:val="none"/>
        </w:rPr>
        <w:t>第三部分   投标文件格式</w:t>
      </w:r>
      <w:bookmarkEnd w:id="175"/>
      <w:bookmarkEnd w:id="176"/>
    </w:p>
    <w:p w14:paraId="45815FEF">
      <w:pPr>
        <w:spacing w:before="120" w:beforeLines="50" w:after="120" w:afterLines="5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（资格审查资料封面，供参考）</w:t>
      </w:r>
    </w:p>
    <w:p w14:paraId="1FEECBDD">
      <w:pPr>
        <w:rPr>
          <w:rFonts w:ascii="新宋体" w:hAnsi="新宋体" w:eastAsia="新宋体" w:cs="新宋体"/>
          <w:color w:val="auto"/>
          <w:highlight w:val="none"/>
        </w:rPr>
      </w:pPr>
    </w:p>
    <w:p w14:paraId="0FE5DA47">
      <w:pPr>
        <w:rPr>
          <w:rFonts w:ascii="新宋体" w:hAnsi="新宋体" w:eastAsia="新宋体" w:cs="新宋体"/>
          <w:color w:val="auto"/>
          <w:highlight w:val="none"/>
        </w:rPr>
      </w:pPr>
    </w:p>
    <w:p w14:paraId="10BDB4BB">
      <w:pPr>
        <w:rPr>
          <w:rFonts w:ascii="新宋体" w:hAnsi="新宋体" w:eastAsia="新宋体" w:cs="新宋体"/>
          <w:color w:val="auto"/>
          <w:highlight w:val="none"/>
        </w:rPr>
      </w:pPr>
    </w:p>
    <w:p w14:paraId="1E27ABAC">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A942EE0">
      <w:pPr>
        <w:rPr>
          <w:rFonts w:ascii="新宋体" w:hAnsi="新宋体" w:eastAsia="新宋体" w:cs="新宋体"/>
          <w:color w:val="auto"/>
          <w:sz w:val="28"/>
          <w:szCs w:val="28"/>
          <w:highlight w:val="none"/>
        </w:rPr>
      </w:pPr>
    </w:p>
    <w:p w14:paraId="6BBAFF92">
      <w:pPr>
        <w:rPr>
          <w:rFonts w:ascii="新宋体" w:hAnsi="新宋体" w:eastAsia="新宋体" w:cs="新宋体"/>
          <w:color w:val="auto"/>
          <w:sz w:val="28"/>
          <w:szCs w:val="28"/>
          <w:highlight w:val="none"/>
        </w:rPr>
      </w:pPr>
    </w:p>
    <w:p w14:paraId="31756DCA">
      <w:pPr>
        <w:pStyle w:val="12"/>
        <w:ind w:firstLine="280"/>
        <w:rPr>
          <w:rFonts w:ascii="新宋体" w:hAnsi="新宋体" w:eastAsia="新宋体" w:cs="新宋体"/>
          <w:color w:val="auto"/>
          <w:sz w:val="28"/>
          <w:szCs w:val="28"/>
          <w:highlight w:val="none"/>
        </w:rPr>
      </w:pPr>
    </w:p>
    <w:p w14:paraId="0596E37B">
      <w:pPr>
        <w:pStyle w:val="12"/>
        <w:ind w:firstLine="280"/>
        <w:rPr>
          <w:rFonts w:ascii="新宋体" w:hAnsi="新宋体" w:eastAsia="新宋体" w:cs="新宋体"/>
          <w:color w:val="auto"/>
          <w:sz w:val="28"/>
          <w:szCs w:val="28"/>
          <w:highlight w:val="none"/>
        </w:rPr>
      </w:pPr>
    </w:p>
    <w:p w14:paraId="7FB13FB2">
      <w:pPr>
        <w:rPr>
          <w:rFonts w:ascii="新宋体" w:hAnsi="新宋体" w:eastAsia="新宋体" w:cs="新宋体"/>
          <w:color w:val="auto"/>
          <w:sz w:val="28"/>
          <w:szCs w:val="28"/>
          <w:highlight w:val="none"/>
        </w:rPr>
      </w:pPr>
    </w:p>
    <w:p w14:paraId="2F9D0C03">
      <w:pPr>
        <w:rPr>
          <w:rFonts w:ascii="新宋体" w:hAnsi="新宋体" w:eastAsia="新宋体" w:cs="新宋体"/>
          <w:color w:val="auto"/>
          <w:sz w:val="28"/>
          <w:szCs w:val="28"/>
          <w:highlight w:val="none"/>
        </w:rPr>
      </w:pPr>
    </w:p>
    <w:p w14:paraId="41AE0B75">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14:paraId="0543D1D8">
      <w:pPr>
        <w:spacing w:line="360" w:lineRule="auto"/>
        <w:rPr>
          <w:rFonts w:ascii="新宋体" w:hAnsi="新宋体" w:eastAsia="新宋体" w:cs="新宋体"/>
          <w:color w:val="auto"/>
          <w:szCs w:val="21"/>
          <w:highlight w:val="none"/>
        </w:rPr>
      </w:pPr>
    </w:p>
    <w:p w14:paraId="27BEE5A4">
      <w:pPr>
        <w:spacing w:line="360" w:lineRule="auto"/>
        <w:rPr>
          <w:rFonts w:ascii="新宋体" w:hAnsi="新宋体" w:eastAsia="新宋体" w:cs="新宋体"/>
          <w:color w:val="auto"/>
          <w:szCs w:val="21"/>
          <w:highlight w:val="none"/>
        </w:rPr>
      </w:pPr>
    </w:p>
    <w:p w14:paraId="3759E8E3">
      <w:pPr>
        <w:spacing w:line="360" w:lineRule="auto"/>
        <w:rPr>
          <w:rFonts w:ascii="新宋体" w:hAnsi="新宋体" w:eastAsia="新宋体" w:cs="新宋体"/>
          <w:color w:val="auto"/>
          <w:szCs w:val="21"/>
          <w:highlight w:val="none"/>
        </w:rPr>
      </w:pPr>
    </w:p>
    <w:p w14:paraId="3AEE004B">
      <w:pPr>
        <w:spacing w:line="360" w:lineRule="auto"/>
        <w:rPr>
          <w:rFonts w:ascii="新宋体" w:hAnsi="新宋体" w:eastAsia="新宋体" w:cs="新宋体"/>
          <w:color w:val="auto"/>
          <w:szCs w:val="21"/>
          <w:highlight w:val="none"/>
        </w:rPr>
      </w:pPr>
    </w:p>
    <w:p w14:paraId="4C757D1B">
      <w:pPr>
        <w:spacing w:line="360" w:lineRule="auto"/>
        <w:rPr>
          <w:rFonts w:ascii="新宋体" w:hAnsi="新宋体" w:eastAsia="新宋体" w:cs="新宋体"/>
          <w:color w:val="auto"/>
          <w:szCs w:val="21"/>
          <w:highlight w:val="none"/>
        </w:rPr>
      </w:pPr>
    </w:p>
    <w:p w14:paraId="4B823FDC">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36D71547">
      <w:pPr>
        <w:rPr>
          <w:rFonts w:ascii="新宋体" w:hAnsi="新宋体" w:eastAsia="新宋体" w:cs="新宋体"/>
          <w:color w:val="auto"/>
          <w:sz w:val="28"/>
          <w:szCs w:val="28"/>
          <w:highlight w:val="none"/>
          <w:u w:val="single"/>
        </w:rPr>
      </w:pPr>
    </w:p>
    <w:p w14:paraId="2742C09D">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5437EE0">
      <w:pPr>
        <w:rPr>
          <w:rFonts w:ascii="新宋体" w:hAnsi="新宋体" w:eastAsia="新宋体" w:cs="新宋体"/>
          <w:color w:val="auto"/>
          <w:sz w:val="28"/>
          <w:szCs w:val="28"/>
          <w:highlight w:val="none"/>
        </w:rPr>
      </w:pPr>
    </w:p>
    <w:p w14:paraId="29271D02">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0B78F5C5">
      <w:pPr>
        <w:spacing w:line="460" w:lineRule="exact"/>
        <w:jc w:val="center"/>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14:paraId="219FE228">
      <w:pPr>
        <w:jc w:val="center"/>
        <w:rPr>
          <w:rFonts w:ascii="新宋体" w:hAnsi="新宋体" w:eastAsia="新宋体" w:cs="新宋体"/>
          <w:b/>
          <w:bCs/>
          <w:color w:val="auto"/>
          <w:sz w:val="52"/>
          <w:szCs w:val="52"/>
          <w:highlight w:val="none"/>
        </w:rPr>
      </w:pPr>
      <w:bookmarkStart w:id="177" w:name="_Toc465107614"/>
      <w:bookmarkStart w:id="178" w:name="_Toc504034734"/>
      <w:r>
        <w:rPr>
          <w:rFonts w:hint="eastAsia" w:ascii="新宋体" w:hAnsi="新宋体" w:eastAsia="新宋体" w:cs="新宋体"/>
          <w:b/>
          <w:bCs/>
          <w:color w:val="auto"/>
          <w:sz w:val="52"/>
          <w:szCs w:val="52"/>
          <w:highlight w:val="none"/>
        </w:rPr>
        <w:t>目    录</w:t>
      </w:r>
    </w:p>
    <w:p w14:paraId="7508BB78">
      <w:pPr>
        <w:numPr>
          <w:ilvl w:val="0"/>
          <w:numId w:val="9"/>
        </w:numPr>
        <w:spacing w:before="120" w:beforeLines="50" w:after="120" w:afterLines="50" w:line="480" w:lineRule="auto"/>
        <w:rPr>
          <w:rFonts w:ascii="宋体" w:hAnsi="宋体" w:cs="宋体"/>
          <w:color w:val="auto"/>
          <w:sz w:val="22"/>
          <w:highlight w:val="none"/>
        </w:rPr>
      </w:pPr>
      <w:r>
        <w:rPr>
          <w:rFonts w:hint="eastAsia" w:ascii="宋体" w:hAnsi="宋体" w:cs="宋体"/>
          <w:color w:val="auto"/>
          <w:sz w:val="22"/>
          <w:highlight w:val="none"/>
        </w:rPr>
        <w:t>法定代表人（单位负责人）授权书和被授权人有效身份证明。</w:t>
      </w:r>
    </w:p>
    <w:p w14:paraId="1DDE776C">
      <w:pPr>
        <w:numPr>
          <w:ilvl w:val="0"/>
          <w:numId w:val="9"/>
        </w:numPr>
        <w:spacing w:before="120" w:beforeLines="50" w:after="120" w:afterLines="50" w:line="480" w:lineRule="auto"/>
        <w:rPr>
          <w:rFonts w:ascii="宋体" w:hAnsi="宋体" w:cs="宋体"/>
          <w:color w:val="auto"/>
          <w:sz w:val="22"/>
          <w:highlight w:val="none"/>
        </w:rPr>
      </w:pPr>
      <w:r>
        <w:rPr>
          <w:rFonts w:hint="eastAsia" w:ascii="宋体" w:hAnsi="宋体" w:cs="宋体"/>
          <w:color w:val="auto"/>
          <w:sz w:val="22"/>
          <w:highlight w:val="none"/>
        </w:rPr>
        <w:t>营业执照(或事业法人登记证书或其它工商等登记证明材料)。</w:t>
      </w:r>
    </w:p>
    <w:p w14:paraId="71CA891E">
      <w:pPr>
        <w:numPr>
          <w:ilvl w:val="0"/>
          <w:numId w:val="9"/>
        </w:numPr>
        <w:spacing w:before="120" w:beforeLines="50" w:after="120" w:afterLines="50" w:line="480" w:lineRule="auto"/>
        <w:rPr>
          <w:rFonts w:ascii="宋体" w:hAnsi="宋体"/>
          <w:color w:val="auto"/>
          <w:sz w:val="22"/>
          <w:szCs w:val="22"/>
          <w:highlight w:val="none"/>
        </w:rPr>
      </w:pPr>
      <w:r>
        <w:rPr>
          <w:rFonts w:hint="eastAsia" w:ascii="宋体" w:hAnsi="宋体"/>
          <w:color w:val="auto"/>
          <w:sz w:val="22"/>
          <w:szCs w:val="22"/>
          <w:highlight w:val="none"/>
        </w:rPr>
        <w:t>资格条件承诺函</w:t>
      </w:r>
    </w:p>
    <w:p w14:paraId="73DA9C8B">
      <w:pPr>
        <w:numPr>
          <w:ilvl w:val="0"/>
          <w:numId w:val="9"/>
        </w:numPr>
        <w:spacing w:before="120" w:beforeLines="50" w:after="120" w:afterLines="50" w:line="480" w:lineRule="auto"/>
        <w:rPr>
          <w:rFonts w:ascii="宋体" w:hAnsi="宋体"/>
          <w:color w:val="auto"/>
          <w:sz w:val="22"/>
          <w:szCs w:val="22"/>
          <w:highlight w:val="none"/>
        </w:rPr>
      </w:pPr>
      <w:r>
        <w:rPr>
          <w:rFonts w:hint="eastAsia" w:ascii="宋体" w:hAnsi="宋体"/>
          <w:color w:val="auto"/>
          <w:sz w:val="22"/>
          <w:szCs w:val="22"/>
          <w:highlight w:val="none"/>
        </w:rPr>
        <w:t>申请材料真实性声明</w:t>
      </w:r>
    </w:p>
    <w:p w14:paraId="70C1E477">
      <w:pPr>
        <w:spacing w:before="120" w:beforeLines="50" w:after="120" w:afterLines="50" w:line="480" w:lineRule="auto"/>
        <w:ind w:left="420"/>
        <w:rPr>
          <w:rFonts w:ascii="宋体" w:hAnsi="宋体" w:cs="宋体"/>
          <w:color w:val="auto"/>
          <w:sz w:val="22"/>
          <w:highlight w:val="none"/>
        </w:rPr>
      </w:pPr>
    </w:p>
    <w:p w14:paraId="1D4C96A9">
      <w:pPr>
        <w:pStyle w:val="3"/>
        <w:spacing w:line="360" w:lineRule="auto"/>
        <w:ind w:left="420"/>
        <w:rPr>
          <w:rFonts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14:paraId="7B50A581">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14:paraId="6502339E">
      <w:pPr>
        <w:spacing w:line="420" w:lineRule="exact"/>
        <w:rPr>
          <w:rFonts w:ascii="新宋体" w:hAnsi="新宋体" w:eastAsia="新宋体"/>
          <w:b/>
          <w:color w:val="auto"/>
          <w:sz w:val="22"/>
          <w:szCs w:val="22"/>
          <w:highlight w:val="none"/>
        </w:rPr>
      </w:pPr>
    </w:p>
    <w:p w14:paraId="333C4343">
      <w:pPr>
        <w:spacing w:line="42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温州市瓯飞砂石料有限公司：</w:t>
      </w:r>
    </w:p>
    <w:p w14:paraId="1887A3E3">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正展建设管理集团有限公司</w:t>
      </w:r>
      <w:r>
        <w:rPr>
          <w:rFonts w:hint="eastAsia" w:ascii="新宋体" w:hAnsi="新宋体" w:eastAsia="新宋体"/>
          <w:color w:val="auto"/>
          <w:sz w:val="22"/>
          <w:szCs w:val="22"/>
          <w:highlight w:val="none"/>
        </w:rPr>
        <w:t>：</w:t>
      </w:r>
    </w:p>
    <w:p w14:paraId="29A62A08">
      <w:pPr>
        <w:spacing w:line="460" w:lineRule="exact"/>
        <w:rPr>
          <w:rFonts w:ascii="新宋体" w:hAnsi="新宋体" w:eastAsia="新宋体"/>
          <w:color w:val="auto"/>
          <w:sz w:val="22"/>
          <w:szCs w:val="22"/>
          <w:highlight w:val="none"/>
          <w:u w:val="single"/>
        </w:rPr>
      </w:pPr>
    </w:p>
    <w:p w14:paraId="0E2809A5">
      <w:pPr>
        <w:spacing w:line="460" w:lineRule="exact"/>
        <w:ind w:firstLine="550" w:firstLineChars="250"/>
        <w:rPr>
          <w:rFonts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（投标人全称）</w:t>
      </w:r>
      <w:r>
        <w:rPr>
          <w:rFonts w:hint="eastAsia" w:ascii="新宋体" w:hAnsi="新宋体" w:eastAsia="新宋体" w:cs="新宋体"/>
          <w:color w:val="auto"/>
          <w:sz w:val="22"/>
          <w:szCs w:val="22"/>
          <w:highlight w:val="none"/>
        </w:rPr>
        <w:t>法定代表人（法定负责人）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（全权代表姓名）为全权代表，参加贵</w:t>
      </w:r>
      <w:r>
        <w:rPr>
          <w:rFonts w:hint="eastAsia" w:ascii="新宋体" w:hAnsi="新宋体" w:eastAsia="新宋体"/>
          <w:color w:val="auto"/>
          <w:sz w:val="22"/>
          <w:szCs w:val="22"/>
          <w:highlight w:val="none"/>
          <w:lang w:val="en-US" w:eastAsia="zh-CN"/>
        </w:rPr>
        <w:t>方</w:t>
      </w:r>
      <w:r>
        <w:rPr>
          <w:rFonts w:hint="eastAsia" w:ascii="新宋体" w:hAnsi="新宋体" w:eastAsia="新宋体"/>
          <w:color w:val="auto"/>
          <w:sz w:val="22"/>
          <w:szCs w:val="22"/>
          <w:highlight w:val="none"/>
        </w:rPr>
        <w:t>组织的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（采购项目名称、编号）的采购活动，全权代表我方处理采购活动中的一切事宜。</w:t>
      </w:r>
    </w:p>
    <w:p w14:paraId="4CDE7F97">
      <w:pPr>
        <w:spacing w:line="460" w:lineRule="exact"/>
        <w:ind w:firstLine="2955"/>
        <w:rPr>
          <w:rFonts w:ascii="新宋体" w:hAnsi="新宋体" w:eastAsia="新宋体"/>
          <w:color w:val="auto"/>
          <w:sz w:val="22"/>
          <w:szCs w:val="22"/>
          <w:highlight w:val="none"/>
        </w:rPr>
      </w:pPr>
    </w:p>
    <w:p w14:paraId="24F8E790">
      <w:pPr>
        <w:spacing w:line="460" w:lineRule="exact"/>
        <w:ind w:firstLine="295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55BF5CAE">
      <w:pPr>
        <w:spacing w:line="460" w:lineRule="exact"/>
        <w:ind w:firstLine="3971" w:firstLineChars="18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法定代表人（法定负责人） (签字或盖章)：</w:t>
      </w:r>
    </w:p>
    <w:p w14:paraId="39B46D7D">
      <w:pPr>
        <w:spacing w:line="460" w:lineRule="exact"/>
        <w:ind w:firstLine="3971" w:firstLineChars="18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711DCF2">
      <w:pPr>
        <w:spacing w:line="460" w:lineRule="exact"/>
        <w:ind w:firstLine="3971" w:firstLineChars="180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     年    月   日</w:t>
      </w:r>
    </w:p>
    <w:p w14:paraId="5E2C63A8">
      <w:pPr>
        <w:spacing w:line="460" w:lineRule="exact"/>
        <w:rPr>
          <w:rFonts w:ascii="新宋体" w:hAnsi="新宋体" w:eastAsia="新宋体"/>
          <w:color w:val="auto"/>
          <w:sz w:val="22"/>
          <w:szCs w:val="22"/>
          <w:highlight w:val="none"/>
        </w:rPr>
      </w:pPr>
    </w:p>
    <w:p w14:paraId="55149438">
      <w:pPr>
        <w:spacing w:line="46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14:paraId="4EDA71E4">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14:paraId="554EB0C9">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p w14:paraId="19DE1262">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详细通讯地址：</w:t>
      </w:r>
    </w:p>
    <w:p w14:paraId="6B06C7EB">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14:paraId="109B1C0A">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14:paraId="7D4637A3">
      <w:pPr>
        <w:spacing w:line="460" w:lineRule="exact"/>
        <w:ind w:firstLine="220" w:firstLineChars="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tbl>
      <w:tblPr>
        <w:tblStyle w:val="29"/>
        <w:tblW w:w="9261"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14:paraId="1293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9261" w:type="dxa"/>
            <w:vAlign w:val="center"/>
          </w:tcPr>
          <w:p w14:paraId="34B2D900">
            <w:pPr>
              <w:spacing w:line="380" w:lineRule="exact"/>
              <w:jc w:val="center"/>
              <w:rPr>
                <w:rFonts w:ascii="新宋体" w:hAnsi="新宋体" w:eastAsia="新宋体"/>
                <w:b/>
                <w:color w:val="auto"/>
                <w:sz w:val="28"/>
                <w:szCs w:val="28"/>
                <w:highlight w:val="none"/>
              </w:rPr>
            </w:pPr>
            <w:r>
              <w:rPr>
                <w:rFonts w:hint="eastAsia" w:ascii="新宋体" w:hAnsi="新宋体" w:eastAsia="新宋体"/>
                <w:b/>
                <w:color w:val="auto"/>
                <w:sz w:val="28"/>
                <w:szCs w:val="28"/>
                <w:highlight w:val="none"/>
              </w:rPr>
              <w:t>投标人代表身份证扫描件</w:t>
            </w:r>
          </w:p>
          <w:p w14:paraId="4A70BE49">
            <w:pPr>
              <w:spacing w:line="380" w:lineRule="exact"/>
              <w:jc w:val="center"/>
              <w:rPr>
                <w:rFonts w:ascii="新宋体" w:hAnsi="新宋体" w:eastAsia="新宋体"/>
                <w:b/>
                <w:bCs/>
                <w:color w:val="auto"/>
                <w:sz w:val="28"/>
                <w:highlight w:val="none"/>
              </w:rPr>
            </w:pPr>
          </w:p>
        </w:tc>
      </w:tr>
    </w:tbl>
    <w:p w14:paraId="13F57540">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olor w:val="auto"/>
          <w:sz w:val="22"/>
          <w:szCs w:val="22"/>
          <w:highlight w:val="none"/>
        </w:rPr>
        <w:br w:type="page"/>
      </w:r>
      <w:r>
        <w:rPr>
          <w:rFonts w:hint="eastAsia" w:ascii="新宋体" w:hAnsi="新宋体" w:eastAsia="新宋体" w:cs="新宋体"/>
          <w:b/>
          <w:color w:val="auto"/>
          <w:kern w:val="0"/>
          <w:sz w:val="28"/>
          <w:szCs w:val="28"/>
          <w:highlight w:val="none"/>
        </w:rPr>
        <w:t>资格条件承诺函</w:t>
      </w:r>
    </w:p>
    <w:p w14:paraId="49E89CD6">
      <w:pPr>
        <w:spacing w:line="440" w:lineRule="exact"/>
        <w:ind w:right="-153" w:rightChars="-73"/>
        <w:rPr>
          <w:rFonts w:ascii="宋体" w:hAnsi="宋体" w:cs="宋体"/>
          <w:color w:val="auto"/>
          <w:sz w:val="22"/>
          <w:szCs w:val="22"/>
          <w:highlight w:val="none"/>
        </w:rPr>
      </w:pPr>
    </w:p>
    <w:p w14:paraId="5D1090CA">
      <w:pPr>
        <w:spacing w:line="420" w:lineRule="exact"/>
        <w:rPr>
          <w:rFonts w:hint="eastAsia" w:ascii="宋体" w:hAnsi="宋体" w:eastAsia="新宋体"/>
          <w:color w:val="auto"/>
          <w:sz w:val="22"/>
          <w:szCs w:val="22"/>
          <w:highlight w:val="none"/>
          <w:lang w:eastAsia="zh-CN"/>
        </w:rPr>
      </w:pPr>
      <w:r>
        <w:rPr>
          <w:rFonts w:hint="eastAsia" w:ascii="宋体" w:hAnsi="宋体" w:eastAsia="新宋体"/>
          <w:color w:val="auto"/>
          <w:sz w:val="22"/>
          <w:szCs w:val="22"/>
          <w:highlight w:val="none"/>
          <w:lang w:eastAsia="zh-CN"/>
        </w:rPr>
        <w:t>温州市瓯飞砂石料有限公司：</w:t>
      </w:r>
    </w:p>
    <w:p w14:paraId="6B218FB7">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lang w:eastAsia="zh-CN"/>
        </w:rPr>
        <w:t>正展建设管理集团有限公司</w:t>
      </w:r>
      <w:r>
        <w:rPr>
          <w:rFonts w:hint="eastAsia" w:ascii="宋体" w:hAnsi="宋体"/>
          <w:color w:val="auto"/>
          <w:sz w:val="22"/>
          <w:szCs w:val="22"/>
          <w:highlight w:val="none"/>
        </w:rPr>
        <w:t>：</w:t>
      </w:r>
    </w:p>
    <w:p w14:paraId="18CB311D">
      <w:pPr>
        <w:shd w:val="clear" w:color="auto" w:fill="FFFFFF"/>
        <w:snapToGrid w:val="0"/>
        <w:spacing w:line="440" w:lineRule="exact"/>
        <w:rPr>
          <w:rFonts w:ascii="宋体" w:hAnsi="宋体" w:cs="宋体"/>
          <w:color w:val="auto"/>
          <w:sz w:val="22"/>
          <w:szCs w:val="22"/>
          <w:highlight w:val="none"/>
        </w:rPr>
      </w:pPr>
    </w:p>
    <w:p w14:paraId="68E8284B">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（采购项目名称、编号）投标响应，现郑重承诺：</w:t>
      </w:r>
    </w:p>
    <w:p w14:paraId="535A2626">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w:t>
      </w:r>
      <w:r>
        <w:rPr>
          <w:rFonts w:hint="eastAsia" w:ascii="宋体" w:hAnsi="宋体" w:cs="宋体"/>
          <w:color w:val="auto"/>
          <w:sz w:val="22"/>
          <w:szCs w:val="22"/>
          <w:highlight w:val="none"/>
          <w:lang w:eastAsia="zh-CN"/>
        </w:rPr>
        <w:t>《温州湾新区、龙湾区区属国有企业采购管理办法》关于供应商要求</w:t>
      </w:r>
      <w:r>
        <w:rPr>
          <w:rFonts w:hint="eastAsia" w:ascii="宋体" w:hAnsi="宋体" w:cs="宋体"/>
          <w:color w:val="auto"/>
          <w:sz w:val="22"/>
          <w:szCs w:val="22"/>
          <w:highlight w:val="none"/>
        </w:rPr>
        <w:t>规定的资格条件，即</w:t>
      </w:r>
    </w:p>
    <w:p w14:paraId="018C1F5B">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58E9962C">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6754CA8A">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（3）我方具有履行合同所必需的设备和专业技术、售后保障等能力；</w:t>
      </w:r>
    </w:p>
    <w:p w14:paraId="26FB503E">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4299EEB9">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（5）我方参加本次采购活动前3年内在经营活动中没有重大违法记录、严重失信行为和行贿记录。</w:t>
      </w:r>
    </w:p>
    <w:p w14:paraId="09EB648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6"/>
          <w:rFonts w:hint="eastAsia" w:ascii="宋体" w:hAnsi="宋体" w:cs="宋体"/>
          <w:color w:val="auto"/>
          <w:kern w:val="0"/>
          <w:sz w:val="22"/>
          <w:szCs w:val="22"/>
          <w:highlight w:val="none"/>
        </w:rPr>
        <w:t>www.creditchina.gov.cn）、</w:t>
      </w:r>
      <w:r>
        <w:rPr>
          <w:rStyle w:val="36"/>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t>
      </w:r>
      <w:r>
        <w:rPr>
          <w:color w:val="auto"/>
          <w:highlight w:val="none"/>
        </w:rPr>
        <w:fldChar w:fldCharType="begin"/>
      </w:r>
      <w:r>
        <w:rPr>
          <w:color w:val="auto"/>
          <w:highlight w:val="none"/>
        </w:rPr>
        <w:instrText xml:space="preserve"> HYPERLINK "http://www.ccgp" </w:instrText>
      </w:r>
      <w:r>
        <w:rPr>
          <w:color w:val="auto"/>
          <w:highlight w:val="none"/>
        </w:rPr>
        <w:fldChar w:fldCharType="separate"/>
      </w:r>
      <w:r>
        <w:rPr>
          <w:rStyle w:val="36"/>
          <w:rFonts w:hint="eastAsia" w:ascii="宋体" w:hAnsi="宋体" w:cs="宋体"/>
          <w:color w:val="auto"/>
          <w:kern w:val="0"/>
          <w:sz w:val="22"/>
          <w:szCs w:val="22"/>
          <w:highlight w:val="none"/>
        </w:rPr>
        <w:t>www.ccgp</w:t>
      </w:r>
      <w:r>
        <w:rPr>
          <w:rStyle w:val="36"/>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.gov.cn）列入失信被执行人名单、重大税收违法案件当事人名单、政府采购严重违法失信行为记录名单。</w:t>
      </w:r>
    </w:p>
    <w:p w14:paraId="16837A48">
      <w:pPr>
        <w:widowControl/>
        <w:snapToGrid w:val="0"/>
        <w:spacing w:line="440" w:lineRule="exact"/>
        <w:ind w:firstLine="440" w:firstLineChars="200"/>
        <w:jc w:val="left"/>
        <w:rPr>
          <w:rFonts w:hint="eastAsia" w:ascii="宋体" w:hAnsi="宋体" w:eastAsia="新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r>
        <w:rPr>
          <w:rFonts w:hint="eastAsia" w:ascii="新宋体" w:hAnsi="新宋体" w:eastAsia="新宋体" w:cs="新宋体"/>
          <w:color w:val="auto"/>
          <w:sz w:val="22"/>
          <w:highlight w:val="none"/>
        </w:rPr>
        <w:t>单位、法定代表人（单位负责人）、本项目被授权人及本项目负责人在参加本项目前三年内（以法院判决书生效日期为准）均无行贿犯罪记录</w:t>
      </w:r>
      <w:r>
        <w:rPr>
          <w:rFonts w:hint="eastAsia" w:ascii="新宋体" w:hAnsi="新宋体" w:eastAsia="新宋体" w:cs="新宋体"/>
          <w:color w:val="auto"/>
          <w:sz w:val="22"/>
          <w:highlight w:val="none"/>
          <w:lang w:eastAsia="zh-CN"/>
        </w:rPr>
        <w:t>。</w:t>
      </w:r>
    </w:p>
    <w:p w14:paraId="6488AF59">
      <w:pPr>
        <w:widowControl/>
        <w:snapToGrid w:val="0"/>
        <w:spacing w:line="440" w:lineRule="exact"/>
        <w:ind w:firstLine="440" w:firstLineChars="200"/>
        <w:jc w:val="left"/>
        <w:rPr>
          <w:rFonts w:ascii="宋体" w:hAnsi="宋体" w:cs="宋体"/>
          <w:color w:val="auto"/>
          <w:kern w:val="0"/>
          <w:sz w:val="22"/>
          <w:szCs w:val="22"/>
          <w:highlight w:val="none"/>
        </w:rPr>
      </w:pPr>
    </w:p>
    <w:p w14:paraId="022DDCEF">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659DD6D5">
      <w:pPr>
        <w:pStyle w:val="15"/>
        <w:spacing w:line="600" w:lineRule="exact"/>
        <w:ind w:firstLine="4840" w:firstLineChars="2200"/>
        <w:rPr>
          <w:rFonts w:hAnsi="宋体" w:cs="宋体"/>
          <w:color w:val="auto"/>
          <w:sz w:val="22"/>
          <w:szCs w:val="22"/>
          <w:highlight w:val="none"/>
        </w:rPr>
      </w:pPr>
    </w:p>
    <w:p w14:paraId="19CD21CA">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14:paraId="13B2FC2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14:paraId="1D3E7F2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381F45DC">
      <w:pPr>
        <w:spacing w:line="380" w:lineRule="exact"/>
        <w:rPr>
          <w:rFonts w:ascii="宋体" w:hAnsi="宋体" w:cs="宋体"/>
          <w:bCs/>
          <w:color w:val="auto"/>
          <w:sz w:val="22"/>
          <w:szCs w:val="22"/>
          <w:highlight w:val="none"/>
        </w:rPr>
      </w:pPr>
    </w:p>
    <w:p w14:paraId="3252FB11">
      <w:pPr>
        <w:spacing w:line="380" w:lineRule="exact"/>
        <w:ind w:left="-358" w:leftChars="-171" w:hanging="1"/>
        <w:jc w:val="center"/>
        <w:rPr>
          <w:rFonts w:ascii="宋体" w:hAnsi="宋体" w:cs="宋体"/>
          <w:bCs/>
          <w:color w:val="auto"/>
          <w:sz w:val="22"/>
          <w:szCs w:val="22"/>
          <w:highlight w:val="none"/>
        </w:rPr>
      </w:pPr>
    </w:p>
    <w:p w14:paraId="73E2E95D">
      <w:pPr>
        <w:spacing w:line="380" w:lineRule="exact"/>
        <w:ind w:left="-359" w:leftChars="-171"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▲不提交本承诺函按无效标处理。</w:t>
      </w:r>
    </w:p>
    <w:p w14:paraId="4C4FE57D">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687F73A7">
      <w:pPr>
        <w:widowControl/>
        <w:adjustRightInd w:val="0"/>
        <w:snapToGrid w:val="0"/>
        <w:spacing w:line="360" w:lineRule="auto"/>
        <w:jc w:val="center"/>
        <w:rPr>
          <w:rFonts w:ascii="新宋体" w:hAnsi="新宋体" w:eastAsia="新宋体" w:cs="新宋体"/>
          <w:b/>
          <w:color w:val="auto"/>
          <w:kern w:val="0"/>
          <w:sz w:val="28"/>
          <w:szCs w:val="28"/>
          <w:highlight w:val="none"/>
        </w:rPr>
      </w:pPr>
    </w:p>
    <w:p w14:paraId="021B6FB3">
      <w:pPr>
        <w:spacing w:line="460" w:lineRule="exact"/>
        <w:rPr>
          <w:rFonts w:ascii="宋体" w:hAnsi="宋体" w:eastAsia="新宋体"/>
          <w:color w:val="auto"/>
          <w:sz w:val="22"/>
          <w:szCs w:val="22"/>
          <w:highlight w:val="none"/>
        </w:rPr>
      </w:pPr>
      <w:r>
        <w:rPr>
          <w:rFonts w:hint="eastAsia" w:ascii="宋体" w:hAnsi="宋体"/>
          <w:color w:val="auto"/>
          <w:sz w:val="22"/>
          <w:szCs w:val="22"/>
          <w:highlight w:val="none"/>
          <w:lang w:eastAsia="zh-CN"/>
        </w:rPr>
        <w:t>温州市瓯飞砂石料有限公司</w:t>
      </w:r>
      <w:r>
        <w:rPr>
          <w:rFonts w:hint="eastAsia" w:ascii="宋体" w:hAnsi="宋体"/>
          <w:color w:val="auto"/>
          <w:sz w:val="22"/>
          <w:szCs w:val="22"/>
          <w:highlight w:val="none"/>
        </w:rPr>
        <w:t>:</w:t>
      </w:r>
    </w:p>
    <w:p w14:paraId="3A53312C">
      <w:pPr>
        <w:spacing w:line="46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lang w:eastAsia="zh-CN"/>
        </w:rPr>
        <w:t>正展建设管理集团有限公司</w:t>
      </w:r>
      <w:r>
        <w:rPr>
          <w:rFonts w:hint="eastAsia" w:ascii="宋体" w:hAnsi="宋体"/>
          <w:color w:val="auto"/>
          <w:sz w:val="22"/>
          <w:szCs w:val="22"/>
          <w:highlight w:val="none"/>
        </w:rPr>
        <w:t>：</w:t>
      </w:r>
    </w:p>
    <w:p w14:paraId="224DBAE0">
      <w:pPr>
        <w:widowControl/>
        <w:adjustRightInd w:val="0"/>
        <w:snapToGrid w:val="0"/>
        <w:spacing w:line="360" w:lineRule="auto"/>
        <w:jc w:val="left"/>
        <w:rPr>
          <w:rFonts w:ascii="新宋体" w:hAnsi="新宋体" w:eastAsia="新宋体" w:cs="新宋体"/>
          <w:color w:val="auto"/>
          <w:kern w:val="0"/>
          <w:sz w:val="22"/>
          <w:szCs w:val="22"/>
          <w:highlight w:val="none"/>
        </w:rPr>
      </w:pPr>
    </w:p>
    <w:p w14:paraId="03CA403B">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（采购项目名称、编号）采购活动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28D51DFE">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14:paraId="23A6E0D5">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28816D05">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14:paraId="57229ECC">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供应商名称（盖章）                  </w:t>
      </w:r>
    </w:p>
    <w:p w14:paraId="270A5881">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供应商代表（签字）                   </w:t>
      </w:r>
    </w:p>
    <w:p w14:paraId="6BFFE57E">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14:paraId="31B8F74B">
      <w:pPr>
        <w:pStyle w:val="12"/>
        <w:ind w:firstLine="220"/>
        <w:rPr>
          <w:rFonts w:ascii="宋体" w:hAnsi="宋体"/>
          <w:color w:val="auto"/>
          <w:sz w:val="22"/>
          <w:szCs w:val="22"/>
          <w:highlight w:val="none"/>
        </w:rPr>
      </w:pPr>
    </w:p>
    <w:p w14:paraId="459794F2">
      <w:pPr>
        <w:widowControl/>
        <w:adjustRightInd w:val="0"/>
        <w:snapToGrid w:val="0"/>
        <w:spacing w:line="360" w:lineRule="auto"/>
        <w:ind w:firstLine="440" w:firstLineChars="200"/>
        <w:jc w:val="left"/>
        <w:rPr>
          <w:rFonts w:ascii="宋体" w:hAnsi="宋体"/>
          <w:color w:val="auto"/>
          <w:kern w:val="0"/>
          <w:sz w:val="22"/>
          <w:szCs w:val="22"/>
          <w:highlight w:val="none"/>
        </w:rPr>
      </w:pPr>
    </w:p>
    <w:p w14:paraId="0B315D89">
      <w:pPr>
        <w:spacing w:line="380" w:lineRule="exact"/>
        <w:ind w:left="-359" w:leftChars="-171"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b/>
          <w:bCs/>
          <w:color w:val="auto"/>
          <w:sz w:val="22"/>
          <w:szCs w:val="22"/>
          <w:highlight w:val="none"/>
          <w:u w:val="single"/>
        </w:rPr>
        <w:t>▲不提交本声明函按无效标处理。</w:t>
      </w:r>
    </w:p>
    <w:p w14:paraId="59955E32">
      <w:pPr>
        <w:spacing w:line="440" w:lineRule="exact"/>
        <w:rPr>
          <w:rFonts w:ascii="新宋体" w:hAnsi="新宋体" w:eastAsia="新宋体"/>
          <w:color w:val="auto"/>
          <w:sz w:val="22"/>
          <w:szCs w:val="22"/>
          <w:highlight w:val="none"/>
          <w:u w:val="single"/>
        </w:rPr>
      </w:pPr>
    </w:p>
    <w:p w14:paraId="1E5A8DAE">
      <w:pPr>
        <w:pStyle w:val="12"/>
        <w:ind w:firstLine="220"/>
        <w:rPr>
          <w:rFonts w:ascii="新宋体" w:hAnsi="新宋体" w:eastAsia="新宋体"/>
          <w:color w:val="auto"/>
          <w:sz w:val="22"/>
          <w:szCs w:val="22"/>
          <w:highlight w:val="none"/>
          <w:u w:val="single"/>
        </w:rPr>
      </w:pPr>
    </w:p>
    <w:p w14:paraId="0261D627">
      <w:pPr>
        <w:spacing w:line="380" w:lineRule="exact"/>
        <w:ind w:left="-359" w:leftChars="-171" w:firstLine="420" w:firstLineChars="200"/>
        <w:rPr>
          <w:rFonts w:hint="eastAsia" w:ascii="宋体" w:hAnsi="宋体" w:cs="宋体"/>
          <w:b/>
          <w:bCs/>
          <w:color w:val="auto"/>
          <w:sz w:val="22"/>
          <w:szCs w:val="22"/>
          <w:highlight w:val="none"/>
          <w:u w:val="none"/>
        </w:rPr>
      </w:pPr>
      <w:r>
        <w:rPr>
          <w:rFonts w:hint="eastAsia" w:ascii="新宋体" w:hAnsi="新宋体" w:eastAsia="新宋体" w:cs="新宋体"/>
          <w:b w:val="0"/>
          <w:color w:val="auto"/>
          <w:szCs w:val="21"/>
          <w:highlight w:val="none"/>
        </w:rPr>
        <w:br w:type="page"/>
      </w:r>
      <w:bookmarkStart w:id="179" w:name="_Toc94208457"/>
      <w:bookmarkStart w:id="180" w:name="_Toc94280642"/>
      <w:r>
        <w:rPr>
          <w:rFonts w:hint="eastAsia" w:ascii="宋体" w:hAnsi="宋体" w:cs="宋体"/>
          <w:b/>
          <w:bCs/>
          <w:color w:val="auto"/>
          <w:sz w:val="22"/>
          <w:szCs w:val="22"/>
          <w:highlight w:val="none"/>
          <w:u w:val="none"/>
        </w:rPr>
        <w:t>（商务技术文件封面，供参考）</w:t>
      </w:r>
      <w:bookmarkEnd w:id="177"/>
      <w:bookmarkEnd w:id="178"/>
      <w:bookmarkEnd w:id="179"/>
      <w:bookmarkEnd w:id="180"/>
    </w:p>
    <w:p w14:paraId="7C826B18">
      <w:pPr>
        <w:rPr>
          <w:rFonts w:ascii="新宋体" w:hAnsi="新宋体" w:eastAsia="新宋体" w:cs="新宋体"/>
          <w:color w:val="auto"/>
          <w:highlight w:val="none"/>
        </w:rPr>
      </w:pPr>
    </w:p>
    <w:p w14:paraId="57B41C01">
      <w:pPr>
        <w:rPr>
          <w:rFonts w:ascii="新宋体" w:hAnsi="新宋体" w:eastAsia="新宋体" w:cs="新宋体"/>
          <w:color w:val="auto"/>
          <w:highlight w:val="none"/>
        </w:rPr>
      </w:pPr>
    </w:p>
    <w:p w14:paraId="577394AB">
      <w:pPr>
        <w:rPr>
          <w:rFonts w:ascii="新宋体" w:hAnsi="新宋体" w:eastAsia="新宋体" w:cs="新宋体"/>
          <w:color w:val="auto"/>
          <w:highlight w:val="none"/>
          <w:u w:val="single"/>
        </w:rPr>
      </w:pPr>
    </w:p>
    <w:p w14:paraId="1DE2E104">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1E065EA5">
      <w:pPr>
        <w:rPr>
          <w:rFonts w:ascii="新宋体" w:hAnsi="新宋体" w:eastAsia="新宋体" w:cs="新宋体"/>
          <w:color w:val="auto"/>
          <w:sz w:val="28"/>
          <w:szCs w:val="28"/>
          <w:highlight w:val="none"/>
        </w:rPr>
      </w:pPr>
    </w:p>
    <w:p w14:paraId="25AE5C24">
      <w:pPr>
        <w:rPr>
          <w:rFonts w:ascii="新宋体" w:hAnsi="新宋体" w:eastAsia="新宋体" w:cs="新宋体"/>
          <w:color w:val="auto"/>
          <w:sz w:val="28"/>
          <w:szCs w:val="28"/>
          <w:highlight w:val="none"/>
        </w:rPr>
      </w:pPr>
    </w:p>
    <w:p w14:paraId="4F6F8DC6">
      <w:pPr>
        <w:pStyle w:val="12"/>
        <w:ind w:firstLine="280"/>
        <w:rPr>
          <w:rFonts w:ascii="新宋体" w:hAnsi="新宋体" w:eastAsia="新宋体" w:cs="新宋体"/>
          <w:color w:val="auto"/>
          <w:sz w:val="28"/>
          <w:szCs w:val="28"/>
          <w:highlight w:val="none"/>
        </w:rPr>
      </w:pPr>
    </w:p>
    <w:p w14:paraId="02B278AF">
      <w:pPr>
        <w:pStyle w:val="12"/>
        <w:ind w:firstLine="280"/>
        <w:rPr>
          <w:rFonts w:ascii="新宋体" w:hAnsi="新宋体" w:eastAsia="新宋体" w:cs="新宋体"/>
          <w:color w:val="auto"/>
          <w:sz w:val="28"/>
          <w:szCs w:val="28"/>
          <w:highlight w:val="none"/>
        </w:rPr>
      </w:pPr>
    </w:p>
    <w:p w14:paraId="1C800CC7">
      <w:pPr>
        <w:rPr>
          <w:rFonts w:ascii="新宋体" w:hAnsi="新宋体" w:eastAsia="新宋体" w:cs="新宋体"/>
          <w:color w:val="auto"/>
          <w:sz w:val="28"/>
          <w:szCs w:val="28"/>
          <w:highlight w:val="none"/>
        </w:rPr>
      </w:pPr>
    </w:p>
    <w:p w14:paraId="0F75017F">
      <w:pPr>
        <w:rPr>
          <w:rFonts w:ascii="新宋体" w:hAnsi="新宋体" w:eastAsia="新宋体" w:cs="新宋体"/>
          <w:color w:val="auto"/>
          <w:sz w:val="28"/>
          <w:szCs w:val="28"/>
          <w:highlight w:val="none"/>
        </w:rPr>
      </w:pPr>
    </w:p>
    <w:p w14:paraId="28478DDE">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技 术 文 件</w:t>
      </w:r>
    </w:p>
    <w:p w14:paraId="63F2C26C">
      <w:pPr>
        <w:spacing w:line="360" w:lineRule="auto"/>
        <w:rPr>
          <w:rFonts w:ascii="新宋体" w:hAnsi="新宋体" w:eastAsia="新宋体" w:cs="新宋体"/>
          <w:color w:val="auto"/>
          <w:szCs w:val="21"/>
          <w:highlight w:val="none"/>
        </w:rPr>
      </w:pPr>
    </w:p>
    <w:p w14:paraId="50B3ADB8">
      <w:pPr>
        <w:spacing w:line="360" w:lineRule="auto"/>
        <w:rPr>
          <w:rFonts w:ascii="新宋体" w:hAnsi="新宋体" w:eastAsia="新宋体" w:cs="新宋体"/>
          <w:color w:val="auto"/>
          <w:szCs w:val="21"/>
          <w:highlight w:val="none"/>
        </w:rPr>
      </w:pPr>
    </w:p>
    <w:p w14:paraId="1DF0CBE7">
      <w:pPr>
        <w:spacing w:line="360" w:lineRule="auto"/>
        <w:rPr>
          <w:rFonts w:ascii="新宋体" w:hAnsi="新宋体" w:eastAsia="新宋体" w:cs="新宋体"/>
          <w:color w:val="auto"/>
          <w:szCs w:val="21"/>
          <w:highlight w:val="none"/>
        </w:rPr>
      </w:pPr>
    </w:p>
    <w:p w14:paraId="1DF2ACBC">
      <w:pPr>
        <w:spacing w:line="360" w:lineRule="auto"/>
        <w:rPr>
          <w:rFonts w:ascii="新宋体" w:hAnsi="新宋体" w:eastAsia="新宋体" w:cs="新宋体"/>
          <w:color w:val="auto"/>
          <w:szCs w:val="21"/>
          <w:highlight w:val="none"/>
        </w:rPr>
      </w:pPr>
    </w:p>
    <w:p w14:paraId="74C1CDE8">
      <w:pPr>
        <w:pStyle w:val="12"/>
        <w:ind w:firstLine="200"/>
        <w:rPr>
          <w:rFonts w:ascii="新宋体" w:hAnsi="新宋体" w:eastAsia="新宋体"/>
          <w:color w:val="auto"/>
          <w:highlight w:val="none"/>
        </w:rPr>
      </w:pPr>
    </w:p>
    <w:p w14:paraId="3B4E43E0">
      <w:pPr>
        <w:spacing w:line="360" w:lineRule="auto"/>
        <w:rPr>
          <w:rFonts w:ascii="新宋体" w:hAnsi="新宋体" w:eastAsia="新宋体" w:cs="新宋体"/>
          <w:color w:val="auto"/>
          <w:szCs w:val="21"/>
          <w:highlight w:val="none"/>
        </w:rPr>
      </w:pPr>
    </w:p>
    <w:p w14:paraId="777160A9">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936E437">
      <w:pPr>
        <w:rPr>
          <w:rFonts w:ascii="新宋体" w:hAnsi="新宋体" w:eastAsia="新宋体" w:cs="新宋体"/>
          <w:color w:val="auto"/>
          <w:sz w:val="28"/>
          <w:szCs w:val="28"/>
          <w:highlight w:val="none"/>
          <w:u w:val="single"/>
        </w:rPr>
      </w:pPr>
    </w:p>
    <w:p w14:paraId="5088D293">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0315C84A">
      <w:pPr>
        <w:rPr>
          <w:rFonts w:ascii="新宋体" w:hAnsi="新宋体" w:eastAsia="新宋体" w:cs="新宋体"/>
          <w:color w:val="auto"/>
          <w:sz w:val="28"/>
          <w:szCs w:val="28"/>
          <w:highlight w:val="none"/>
        </w:rPr>
      </w:pPr>
    </w:p>
    <w:p w14:paraId="5A8822DF">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139192F0">
      <w:pPr>
        <w:pStyle w:val="12"/>
        <w:ind w:firstLine="0" w:firstLineChars="0"/>
        <w:rPr>
          <w:rFonts w:ascii="新宋体" w:hAnsi="新宋体" w:eastAsia="新宋体"/>
          <w:color w:val="auto"/>
          <w:sz w:val="22"/>
          <w:szCs w:val="22"/>
          <w:highlight w:val="none"/>
        </w:rPr>
      </w:pPr>
      <w:r>
        <w:rPr>
          <w:rFonts w:hint="eastAsia" w:ascii="新宋体" w:hAnsi="新宋体" w:eastAsia="新宋体" w:cs="宋体"/>
          <w:color w:val="auto"/>
          <w:highlight w:val="none"/>
        </w:rPr>
        <w:br w:type="page"/>
      </w:r>
    </w:p>
    <w:p w14:paraId="4316EFAB">
      <w:pPr>
        <w:jc w:val="center"/>
        <w:rPr>
          <w:rFonts w:ascii="新宋体" w:hAnsi="新宋体" w:eastAsia="新宋体" w:cs="新宋体"/>
          <w:b/>
          <w:bCs/>
          <w:color w:val="auto"/>
          <w:sz w:val="52"/>
          <w:szCs w:val="52"/>
          <w:highlight w:val="none"/>
        </w:rPr>
      </w:pPr>
      <w:bookmarkStart w:id="181" w:name="_Toc465107615"/>
      <w:bookmarkStart w:id="182" w:name="_Toc152042576"/>
      <w:bookmarkStart w:id="183" w:name="_Toc144974856"/>
      <w:bookmarkStart w:id="184" w:name="_Toc247514246"/>
      <w:bookmarkStart w:id="185" w:name="_Toc152045787"/>
      <w:bookmarkStart w:id="186" w:name="_Toc247527827"/>
      <w:r>
        <w:rPr>
          <w:rFonts w:hint="eastAsia" w:ascii="新宋体" w:hAnsi="新宋体" w:eastAsia="新宋体" w:cs="新宋体"/>
          <w:b/>
          <w:bCs/>
          <w:color w:val="auto"/>
          <w:sz w:val="52"/>
          <w:szCs w:val="52"/>
          <w:highlight w:val="none"/>
        </w:rPr>
        <w:t>目    录</w:t>
      </w:r>
      <w:bookmarkEnd w:id="181"/>
      <w:bookmarkEnd w:id="182"/>
      <w:bookmarkEnd w:id="183"/>
      <w:bookmarkEnd w:id="184"/>
      <w:bookmarkEnd w:id="185"/>
      <w:bookmarkEnd w:id="186"/>
    </w:p>
    <w:p w14:paraId="77D5B7B4">
      <w:pPr>
        <w:spacing w:line="540" w:lineRule="exact"/>
        <w:rPr>
          <w:rFonts w:ascii="新宋体" w:hAnsi="新宋体" w:eastAsia="新宋体" w:cs="宋体"/>
          <w:color w:val="auto"/>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26BB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4E6D0D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09" w:type="dxa"/>
            <w:noWrap w:val="0"/>
            <w:vAlign w:val="center"/>
          </w:tcPr>
          <w:p w14:paraId="56FD8D5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r>
      <w:tr w14:paraId="0DE20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D64DE8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9109" w:type="dxa"/>
            <w:noWrap w:val="0"/>
            <w:vAlign w:val="center"/>
          </w:tcPr>
          <w:p w14:paraId="521C5677">
            <w:pPr>
              <w:jc w:val="left"/>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针对评分细则，编制目录索引，注明评标细则项目所在投标文件页码，格式自拟</w:t>
            </w:r>
          </w:p>
        </w:tc>
      </w:tr>
      <w:tr w14:paraId="1677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B857A1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9109" w:type="dxa"/>
            <w:noWrap w:val="0"/>
            <w:vAlign w:val="center"/>
          </w:tcPr>
          <w:p w14:paraId="6E22975A">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投标函</w:t>
            </w:r>
          </w:p>
        </w:tc>
      </w:tr>
      <w:tr w14:paraId="3C0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45" w:type="dxa"/>
            <w:noWrap w:val="0"/>
            <w:vAlign w:val="center"/>
          </w:tcPr>
          <w:p w14:paraId="2F09844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9109" w:type="dxa"/>
            <w:noWrap w:val="0"/>
            <w:vAlign w:val="center"/>
          </w:tcPr>
          <w:p w14:paraId="6659049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技术要求应答表、商务条款偏离表</w:t>
            </w:r>
          </w:p>
        </w:tc>
      </w:tr>
      <w:tr w14:paraId="2F71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130CD6C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9109" w:type="dxa"/>
            <w:shd w:val="clear" w:color="auto" w:fill="auto"/>
            <w:noWrap w:val="0"/>
            <w:vAlign w:val="center"/>
          </w:tcPr>
          <w:p w14:paraId="43F84F3C">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综合实力</w:t>
            </w:r>
          </w:p>
        </w:tc>
      </w:tr>
      <w:tr w14:paraId="286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645AD37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9109" w:type="dxa"/>
            <w:shd w:val="clear" w:color="auto" w:fill="auto"/>
            <w:noWrap w:val="0"/>
            <w:vAlign w:val="center"/>
          </w:tcPr>
          <w:p w14:paraId="6BE5EC60">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企业荣誉</w:t>
            </w:r>
          </w:p>
        </w:tc>
      </w:tr>
      <w:tr w14:paraId="4E4D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30413C1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9109" w:type="dxa"/>
            <w:shd w:val="clear" w:color="auto" w:fill="auto"/>
            <w:noWrap w:val="0"/>
            <w:vAlign w:val="center"/>
          </w:tcPr>
          <w:p w14:paraId="6AB4F5F3">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体系认证情况</w:t>
            </w:r>
          </w:p>
        </w:tc>
      </w:tr>
      <w:tr w14:paraId="025A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0"/>
            <w:vAlign w:val="center"/>
          </w:tcPr>
          <w:p w14:paraId="171095C4">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7</w:t>
            </w:r>
          </w:p>
        </w:tc>
        <w:tc>
          <w:tcPr>
            <w:tcW w:w="9109" w:type="dxa"/>
            <w:shd w:val="clear" w:color="auto" w:fill="auto"/>
            <w:noWrap w:val="0"/>
            <w:vAlign w:val="center"/>
          </w:tcPr>
          <w:p w14:paraId="7A2E6C6A">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同类项目业绩</w:t>
            </w:r>
          </w:p>
        </w:tc>
      </w:tr>
      <w:tr w14:paraId="5893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0"/>
            <w:vAlign w:val="center"/>
          </w:tcPr>
          <w:p w14:paraId="0E1882F6">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8</w:t>
            </w:r>
          </w:p>
        </w:tc>
        <w:tc>
          <w:tcPr>
            <w:tcW w:w="9109" w:type="dxa"/>
            <w:shd w:val="clear" w:color="auto" w:fill="auto"/>
            <w:noWrap w:val="0"/>
            <w:vAlign w:val="center"/>
          </w:tcPr>
          <w:p w14:paraId="5AB92BDC">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拟驻现场项目负责人（</w:t>
            </w:r>
            <w:r>
              <w:rPr>
                <w:rFonts w:hint="eastAsia" w:ascii="新宋体" w:hAnsi="新宋体" w:eastAsia="新宋体" w:cs="新宋体"/>
                <w:color w:val="auto"/>
                <w:sz w:val="22"/>
                <w:szCs w:val="22"/>
                <w:highlight w:val="none"/>
                <w:lang w:eastAsia="zh-CN"/>
              </w:rPr>
              <w:t>项目经理</w:t>
            </w:r>
            <w:r>
              <w:rPr>
                <w:rFonts w:hint="eastAsia" w:ascii="新宋体" w:hAnsi="新宋体" w:eastAsia="新宋体" w:cs="新宋体"/>
                <w:color w:val="auto"/>
                <w:sz w:val="22"/>
                <w:szCs w:val="22"/>
                <w:highlight w:val="none"/>
              </w:rPr>
              <w:t>）素质</w:t>
            </w:r>
          </w:p>
        </w:tc>
      </w:tr>
      <w:tr w14:paraId="38F1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64ACEEA2">
            <w:pPr>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9109" w:type="dxa"/>
            <w:shd w:val="clear" w:color="auto" w:fill="auto"/>
            <w:noWrap w:val="0"/>
            <w:vAlign w:val="center"/>
          </w:tcPr>
          <w:p w14:paraId="78E50E38">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项目服务人员情况</w:t>
            </w:r>
          </w:p>
        </w:tc>
      </w:tr>
      <w:tr w14:paraId="119B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7B6184C6">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9109" w:type="dxa"/>
            <w:shd w:val="clear" w:color="auto" w:fill="auto"/>
            <w:noWrap w:val="0"/>
            <w:vAlign w:val="center"/>
          </w:tcPr>
          <w:p w14:paraId="1C09C131">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管理服务组织机构设置、运作流程、服务管理机制</w:t>
            </w:r>
          </w:p>
        </w:tc>
      </w:tr>
      <w:tr w14:paraId="49E8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6F00BB01">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9109" w:type="dxa"/>
            <w:shd w:val="clear" w:color="auto" w:fill="auto"/>
            <w:noWrap w:val="0"/>
            <w:vAlign w:val="center"/>
          </w:tcPr>
          <w:p w14:paraId="6A8F2525">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项目质量管理保证措施方案</w:t>
            </w:r>
          </w:p>
        </w:tc>
      </w:tr>
      <w:tr w14:paraId="0D6D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199BD7DD">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9109" w:type="dxa"/>
            <w:shd w:val="clear" w:color="auto" w:fill="auto"/>
            <w:noWrap w:val="0"/>
            <w:vAlign w:val="center"/>
          </w:tcPr>
          <w:p w14:paraId="342309BF">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项目负责人方案陈述及答辩情况</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视频陈述不超过10分钟</w:t>
            </w:r>
            <w:r>
              <w:rPr>
                <w:rFonts w:hint="eastAsia" w:ascii="新宋体" w:hAnsi="新宋体" w:eastAsia="新宋体" w:cs="新宋体"/>
                <w:color w:val="auto"/>
                <w:sz w:val="22"/>
                <w:szCs w:val="22"/>
                <w:highlight w:val="none"/>
                <w:lang w:eastAsia="zh-CN"/>
              </w:rPr>
              <w:t>）</w:t>
            </w:r>
          </w:p>
        </w:tc>
      </w:tr>
      <w:tr w14:paraId="761C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58B85EE9">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9109" w:type="dxa"/>
            <w:shd w:val="clear" w:color="auto" w:fill="auto"/>
            <w:noWrap w:val="0"/>
            <w:vAlign w:val="center"/>
          </w:tcPr>
          <w:p w14:paraId="6B1831A3">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保持员工队伍稳定措施</w:t>
            </w:r>
          </w:p>
        </w:tc>
      </w:tr>
      <w:tr w14:paraId="2E28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0"/>
            <w:vAlign w:val="center"/>
          </w:tcPr>
          <w:p w14:paraId="113AB8D3">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9109" w:type="dxa"/>
            <w:shd w:val="clear" w:color="auto" w:fill="auto"/>
            <w:noWrap w:val="0"/>
            <w:vAlign w:val="center"/>
          </w:tcPr>
          <w:p w14:paraId="5463ED39">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对本项目突发事件应急响应情况</w:t>
            </w:r>
          </w:p>
        </w:tc>
      </w:tr>
      <w:tr w14:paraId="10EB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Align w:val="center"/>
          </w:tcPr>
          <w:p w14:paraId="4C885DE1">
            <w:pPr>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0" w:type="auto"/>
            <w:shd w:val="clear" w:color="auto" w:fill="auto"/>
            <w:vAlign w:val="center"/>
          </w:tcPr>
          <w:p w14:paraId="491AD076">
            <w:pPr>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机械设备、器材、工具配备计划合理性</w:t>
            </w:r>
          </w:p>
        </w:tc>
      </w:tr>
    </w:tbl>
    <w:p w14:paraId="09C3C0A7">
      <w:pPr>
        <w:spacing w:line="460" w:lineRule="exact"/>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7DFE65C9">
      <w:pPr>
        <w:spacing w:line="460" w:lineRule="exact"/>
        <w:ind w:left="22" w:hanging="22" w:hangingChars="8"/>
        <w:jc w:val="center"/>
        <w:rPr>
          <w:rFonts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14:paraId="66191D99">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温州市瓯飞砂石料有限公司</w:t>
      </w:r>
      <w:r>
        <w:rPr>
          <w:rFonts w:hint="eastAsia" w:ascii="新宋体" w:hAnsi="新宋体" w:eastAsia="新宋体"/>
          <w:color w:val="auto"/>
          <w:sz w:val="22"/>
          <w:szCs w:val="22"/>
          <w:highlight w:val="none"/>
        </w:rPr>
        <w:t>：</w:t>
      </w:r>
    </w:p>
    <w:p w14:paraId="6120B4C0">
      <w:pPr>
        <w:spacing w:line="42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正展建设管理集团有限公司</w:t>
      </w:r>
      <w:r>
        <w:rPr>
          <w:rFonts w:hint="eastAsia" w:ascii="新宋体" w:hAnsi="新宋体" w:eastAsia="新宋体"/>
          <w:color w:val="auto"/>
          <w:sz w:val="22"/>
          <w:szCs w:val="22"/>
          <w:highlight w:val="none"/>
        </w:rPr>
        <w:t>：</w:t>
      </w:r>
    </w:p>
    <w:p w14:paraId="0551523B">
      <w:pPr>
        <w:spacing w:line="42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（投标人名称）作为投标人正式授权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14:paraId="4805B7BC">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14:paraId="615C9D99">
      <w:pPr>
        <w:numPr>
          <w:ilvl w:val="0"/>
          <w:numId w:val="10"/>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按“投标人须知”要求编制的投标文件资格审查资料 ；</w:t>
      </w:r>
    </w:p>
    <w:p w14:paraId="4AF54576">
      <w:pPr>
        <w:numPr>
          <w:ilvl w:val="0"/>
          <w:numId w:val="10"/>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按“投标人须知”要求编制的投标文件商务技术文件 ；</w:t>
      </w:r>
    </w:p>
    <w:p w14:paraId="25935BF2">
      <w:pPr>
        <w:numPr>
          <w:ilvl w:val="0"/>
          <w:numId w:val="10"/>
        </w:numPr>
        <w:spacing w:line="420" w:lineRule="exact"/>
        <w:rPr>
          <w:rFonts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按“投标人须知”要求编制的投标文件报价文件 。</w:t>
      </w:r>
    </w:p>
    <w:p w14:paraId="455F567A">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w:t>
      </w:r>
      <w:r>
        <w:rPr>
          <w:rFonts w:hint="eastAsia" w:ascii="新宋体" w:hAnsi="新宋体" w:eastAsia="新宋体" w:cs="新宋体"/>
          <w:color w:val="auto"/>
          <w:kern w:val="0"/>
          <w:sz w:val="22"/>
          <w:szCs w:val="22"/>
          <w:highlight w:val="none"/>
          <w:lang w:val="en-US" w:eastAsia="zh-CN"/>
        </w:rPr>
        <w:t>已</w:t>
      </w:r>
      <w:r>
        <w:rPr>
          <w:rFonts w:hint="eastAsia" w:ascii="新宋体" w:hAnsi="新宋体" w:eastAsia="新宋体" w:cs="新宋体"/>
          <w:color w:val="auto"/>
          <w:kern w:val="0"/>
          <w:sz w:val="22"/>
          <w:szCs w:val="22"/>
          <w:highlight w:val="none"/>
          <w:lang w:val="zh-CN"/>
        </w:rPr>
        <w:t>完全明白采购文件的所有条款要求，并重申以下几点：</w:t>
      </w:r>
    </w:p>
    <w:p w14:paraId="43C2AD3E">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3859F65E">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14:paraId="5C7D8B05">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60F89E29">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14:paraId="4EA2D4DF">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14:paraId="1F1734AC">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1CA74FDA">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如有列情形之一的，我方愿意被取消中标资格（如中标），同时继续承担其他一切法律后果，并不再寻求任何旨在减轻或免除法律责任的解释：</w:t>
      </w:r>
    </w:p>
    <w:p w14:paraId="50B0F2AF">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7A1A97CC">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14:paraId="2A45D346">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(3)与采购人、其它供应商或者采购代理机构恶意串通的；</w:t>
      </w:r>
    </w:p>
    <w:p w14:paraId="43FAB191">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32C42DE8">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14:paraId="0D2B1587">
      <w:pPr>
        <w:spacing w:line="42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2D8FF1A8">
      <w:pPr>
        <w:numPr>
          <w:ilvl w:val="0"/>
          <w:numId w:val="11"/>
        </w:numPr>
        <w:spacing w:line="42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23262C58">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6ABCDB2B">
      <w:pPr>
        <w:spacing w:line="42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00AC1F0C">
      <w:pPr>
        <w:spacing w:line="42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648E5342">
      <w:pPr>
        <w:spacing w:line="420" w:lineRule="exact"/>
        <w:ind w:firstLine="770" w:firstLineChars="350"/>
        <w:rPr>
          <w:rFonts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022F909B">
      <w:pPr>
        <w:spacing w:line="420" w:lineRule="exact"/>
        <w:ind w:firstLine="4620"/>
        <w:rPr>
          <w:rFonts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投标人名称（盖章）</w:t>
      </w:r>
      <w:r>
        <w:rPr>
          <w:rFonts w:hint="eastAsia" w:ascii="新宋体" w:hAnsi="新宋体" w:eastAsia="新宋体" w:cs="hakuyoxingshu7000"/>
          <w:color w:val="auto"/>
          <w:sz w:val="22"/>
          <w:szCs w:val="22"/>
          <w:highlight w:val="none"/>
          <w:u w:val="single"/>
        </w:rPr>
        <w:t xml:space="preserve">                  </w:t>
      </w:r>
    </w:p>
    <w:p w14:paraId="0800CE4B">
      <w:pPr>
        <w:spacing w:line="420" w:lineRule="exact"/>
        <w:ind w:firstLine="4620"/>
        <w:rPr>
          <w:rFonts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投标人代表（签字）</w:t>
      </w:r>
      <w:r>
        <w:rPr>
          <w:rFonts w:hint="eastAsia" w:ascii="新宋体" w:hAnsi="新宋体" w:eastAsia="新宋体" w:cs="hakuyoxingshu7000"/>
          <w:color w:val="auto"/>
          <w:sz w:val="22"/>
          <w:szCs w:val="22"/>
          <w:highlight w:val="none"/>
          <w:u w:val="single"/>
        </w:rPr>
        <w:t xml:space="preserve">                   </w:t>
      </w:r>
    </w:p>
    <w:p w14:paraId="66723A8D">
      <w:pPr>
        <w:spacing w:line="460" w:lineRule="exact"/>
        <w:ind w:firstLine="4620"/>
        <w:rPr>
          <w:rFonts w:ascii="新宋体" w:hAnsi="新宋体" w:eastAsia="新宋体" w:cs="hakuyoxingshu7000"/>
          <w:color w:val="auto"/>
          <w:sz w:val="22"/>
          <w:szCs w:val="22"/>
          <w:highlight w:val="none"/>
          <w:u w:val="singl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p>
    <w:p w14:paraId="251EA3FC">
      <w:pPr>
        <w:spacing w:line="460" w:lineRule="exact"/>
        <w:ind w:firstLine="4620"/>
        <w:rPr>
          <w:rFonts w:ascii="新宋体" w:hAnsi="新宋体" w:eastAsia="新宋体" w:cs="hakuyoxingshu7000"/>
          <w:color w:val="auto"/>
          <w:sz w:val="22"/>
          <w:szCs w:val="22"/>
          <w:highlight w:val="none"/>
          <w:u w:val="single"/>
        </w:rPr>
      </w:pPr>
    </w:p>
    <w:p w14:paraId="37FE282A">
      <w:pPr>
        <w:spacing w:line="460" w:lineRule="exact"/>
        <w:rPr>
          <w:rFonts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▲不提供投标函的投标文件将被视为未实质性响应采购文件。</w:t>
      </w:r>
    </w:p>
    <w:p w14:paraId="633B861E">
      <w:pPr>
        <w:spacing w:line="460" w:lineRule="exact"/>
        <w:ind w:firstLine="435"/>
        <w:rPr>
          <w:rFonts w:ascii="新宋体" w:hAnsi="新宋体" w:eastAsia="新宋体"/>
          <w:b/>
          <w:color w:val="auto"/>
          <w:sz w:val="22"/>
          <w:szCs w:val="22"/>
          <w:highlight w:val="none"/>
          <w:u w:val="single"/>
        </w:rPr>
      </w:pPr>
    </w:p>
    <w:p w14:paraId="4420AB3C">
      <w:pPr>
        <w:spacing w:line="460" w:lineRule="exact"/>
        <w:rPr>
          <w:rFonts w:ascii="新宋体" w:hAnsi="新宋体" w:eastAsia="新宋体"/>
          <w:b/>
          <w:color w:val="auto"/>
          <w:sz w:val="22"/>
          <w:szCs w:val="22"/>
          <w:highlight w:val="none"/>
          <w:u w:val="single"/>
        </w:rPr>
      </w:pPr>
      <w:r>
        <w:rPr>
          <w:rFonts w:ascii="新宋体" w:hAnsi="新宋体" w:eastAsia="新宋体"/>
          <w:b/>
          <w:color w:val="auto"/>
          <w:sz w:val="22"/>
          <w:szCs w:val="22"/>
          <w:highlight w:val="none"/>
          <w:u w:val="single"/>
        </w:rPr>
        <w:br w:type="page"/>
      </w:r>
      <w:r>
        <w:rPr>
          <w:rFonts w:hint="eastAsia" w:ascii="新宋体" w:hAnsi="新宋体" w:eastAsia="新宋体"/>
          <w:b/>
          <w:color w:val="auto"/>
          <w:sz w:val="22"/>
          <w:szCs w:val="22"/>
          <w:highlight w:val="none"/>
          <w:u w:val="single"/>
        </w:rPr>
        <w:t>附件二</w:t>
      </w:r>
    </w:p>
    <w:p w14:paraId="133F9A6D">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技术要求应答表</w:t>
      </w:r>
    </w:p>
    <w:p w14:paraId="1D8397A2">
      <w:pPr>
        <w:ind w:firstLine="435"/>
        <w:jc w:val="center"/>
        <w:rPr>
          <w:rFonts w:ascii="新宋体" w:hAnsi="新宋体" w:eastAsia="新宋体" w:cs="新宋体"/>
          <w:b/>
          <w:color w:val="auto"/>
          <w:sz w:val="44"/>
          <w:highlight w:val="none"/>
        </w:rPr>
      </w:pPr>
    </w:p>
    <w:p w14:paraId="41D6151B">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143021FD">
      <w:pPr>
        <w:ind w:firstLine="361" w:firstLineChars="150"/>
        <w:rPr>
          <w:rFonts w:ascii="新宋体" w:hAnsi="新宋体" w:eastAsia="新宋体" w:cs="新宋体"/>
          <w:b/>
          <w:color w:val="auto"/>
          <w:sz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3528"/>
        <w:gridCol w:w="3528"/>
        <w:gridCol w:w="1232"/>
      </w:tblGrid>
      <w:tr w14:paraId="544F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Align w:val="center"/>
          </w:tcPr>
          <w:p w14:paraId="3032A44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采购文件条目</w:t>
            </w:r>
          </w:p>
        </w:tc>
        <w:tc>
          <w:tcPr>
            <w:tcW w:w="3528" w:type="dxa"/>
            <w:vAlign w:val="center"/>
          </w:tcPr>
          <w:p w14:paraId="7CC43CEA">
            <w:pPr>
              <w:snapToGrid w:val="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采购文件规格要求</w:t>
            </w:r>
          </w:p>
        </w:tc>
        <w:tc>
          <w:tcPr>
            <w:tcW w:w="3528" w:type="dxa"/>
            <w:vAlign w:val="center"/>
          </w:tcPr>
          <w:p w14:paraId="0ADC2061">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投标文件技术规格应答</w:t>
            </w:r>
          </w:p>
        </w:tc>
        <w:tc>
          <w:tcPr>
            <w:tcW w:w="1232" w:type="dxa"/>
            <w:vAlign w:val="center"/>
          </w:tcPr>
          <w:p w14:paraId="0577EAD3">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tc>
      </w:tr>
      <w:tr w14:paraId="550C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restart"/>
            <w:vAlign w:val="center"/>
          </w:tcPr>
          <w:p w14:paraId="616E068E">
            <w:pPr>
              <w:jc w:val="center"/>
              <w:rPr>
                <w:rFonts w:ascii="新宋体" w:hAnsi="新宋体" w:eastAsia="新宋体" w:cs="新宋体"/>
                <w:color w:val="auto"/>
                <w:kern w:val="0"/>
                <w:sz w:val="22"/>
                <w:szCs w:val="22"/>
                <w:highlight w:val="none"/>
              </w:rPr>
            </w:pPr>
          </w:p>
        </w:tc>
        <w:tc>
          <w:tcPr>
            <w:tcW w:w="3528" w:type="dxa"/>
            <w:vAlign w:val="center"/>
          </w:tcPr>
          <w:p w14:paraId="61F6BA92">
            <w:pPr>
              <w:snapToGrid w:val="0"/>
              <w:jc w:val="center"/>
              <w:rPr>
                <w:rFonts w:ascii="新宋体" w:hAnsi="新宋体" w:eastAsia="新宋体" w:cs="新宋体"/>
                <w:color w:val="auto"/>
                <w:sz w:val="22"/>
                <w:szCs w:val="22"/>
                <w:highlight w:val="none"/>
              </w:rPr>
            </w:pPr>
          </w:p>
        </w:tc>
        <w:tc>
          <w:tcPr>
            <w:tcW w:w="3528" w:type="dxa"/>
            <w:vAlign w:val="center"/>
          </w:tcPr>
          <w:p w14:paraId="697D3032">
            <w:pPr>
              <w:jc w:val="center"/>
              <w:rPr>
                <w:rFonts w:ascii="新宋体" w:hAnsi="新宋体" w:eastAsia="新宋体" w:cs="新宋体"/>
                <w:color w:val="auto"/>
                <w:sz w:val="22"/>
                <w:szCs w:val="22"/>
                <w:highlight w:val="none"/>
              </w:rPr>
            </w:pPr>
          </w:p>
        </w:tc>
        <w:tc>
          <w:tcPr>
            <w:tcW w:w="1232" w:type="dxa"/>
            <w:vAlign w:val="center"/>
          </w:tcPr>
          <w:p w14:paraId="233003EB">
            <w:pPr>
              <w:jc w:val="center"/>
              <w:rPr>
                <w:rFonts w:ascii="新宋体" w:hAnsi="新宋体" w:eastAsia="新宋体" w:cs="新宋体"/>
                <w:color w:val="auto"/>
                <w:sz w:val="22"/>
                <w:szCs w:val="22"/>
                <w:highlight w:val="none"/>
              </w:rPr>
            </w:pPr>
          </w:p>
        </w:tc>
      </w:tr>
      <w:tr w14:paraId="72EE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66E6E0BB">
            <w:pPr>
              <w:jc w:val="center"/>
              <w:rPr>
                <w:rFonts w:ascii="新宋体" w:hAnsi="新宋体" w:eastAsia="新宋体" w:cs="新宋体"/>
                <w:color w:val="auto"/>
                <w:sz w:val="22"/>
                <w:szCs w:val="22"/>
                <w:highlight w:val="none"/>
              </w:rPr>
            </w:pPr>
          </w:p>
        </w:tc>
        <w:tc>
          <w:tcPr>
            <w:tcW w:w="3528" w:type="dxa"/>
            <w:vAlign w:val="center"/>
          </w:tcPr>
          <w:p w14:paraId="27F9720D">
            <w:pPr>
              <w:snapToGrid w:val="0"/>
              <w:jc w:val="center"/>
              <w:rPr>
                <w:rFonts w:ascii="新宋体" w:hAnsi="新宋体" w:eastAsia="新宋体" w:cs="新宋体"/>
                <w:color w:val="auto"/>
                <w:sz w:val="22"/>
                <w:szCs w:val="22"/>
                <w:highlight w:val="none"/>
              </w:rPr>
            </w:pPr>
          </w:p>
        </w:tc>
        <w:tc>
          <w:tcPr>
            <w:tcW w:w="3528" w:type="dxa"/>
            <w:vAlign w:val="center"/>
          </w:tcPr>
          <w:p w14:paraId="2F06BD3F">
            <w:pPr>
              <w:jc w:val="center"/>
              <w:rPr>
                <w:rFonts w:ascii="新宋体" w:hAnsi="新宋体" w:eastAsia="新宋体" w:cs="新宋体"/>
                <w:color w:val="auto"/>
                <w:sz w:val="22"/>
                <w:szCs w:val="22"/>
                <w:highlight w:val="none"/>
              </w:rPr>
            </w:pPr>
          </w:p>
        </w:tc>
        <w:tc>
          <w:tcPr>
            <w:tcW w:w="1232" w:type="dxa"/>
            <w:vAlign w:val="center"/>
          </w:tcPr>
          <w:p w14:paraId="5784957E">
            <w:pPr>
              <w:jc w:val="center"/>
              <w:rPr>
                <w:rFonts w:ascii="新宋体" w:hAnsi="新宋体" w:eastAsia="新宋体" w:cs="新宋体"/>
                <w:color w:val="auto"/>
                <w:sz w:val="22"/>
                <w:szCs w:val="22"/>
                <w:highlight w:val="none"/>
              </w:rPr>
            </w:pPr>
          </w:p>
        </w:tc>
      </w:tr>
      <w:tr w14:paraId="72CE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1DFB67E2">
            <w:pPr>
              <w:jc w:val="center"/>
              <w:rPr>
                <w:rFonts w:ascii="新宋体" w:hAnsi="新宋体" w:eastAsia="新宋体" w:cs="新宋体"/>
                <w:color w:val="auto"/>
                <w:sz w:val="22"/>
                <w:szCs w:val="22"/>
                <w:highlight w:val="none"/>
              </w:rPr>
            </w:pPr>
          </w:p>
        </w:tc>
        <w:tc>
          <w:tcPr>
            <w:tcW w:w="3528" w:type="dxa"/>
            <w:vAlign w:val="center"/>
          </w:tcPr>
          <w:p w14:paraId="7312DA7F">
            <w:pPr>
              <w:snapToGrid w:val="0"/>
              <w:jc w:val="center"/>
              <w:rPr>
                <w:rFonts w:ascii="新宋体" w:hAnsi="新宋体" w:eastAsia="新宋体" w:cs="新宋体"/>
                <w:color w:val="auto"/>
                <w:sz w:val="22"/>
                <w:szCs w:val="22"/>
                <w:highlight w:val="none"/>
              </w:rPr>
            </w:pPr>
          </w:p>
        </w:tc>
        <w:tc>
          <w:tcPr>
            <w:tcW w:w="3528" w:type="dxa"/>
            <w:vAlign w:val="center"/>
          </w:tcPr>
          <w:p w14:paraId="2B2FE9A2">
            <w:pPr>
              <w:jc w:val="center"/>
              <w:rPr>
                <w:rFonts w:ascii="新宋体" w:hAnsi="新宋体" w:eastAsia="新宋体" w:cs="新宋体"/>
                <w:color w:val="auto"/>
                <w:sz w:val="22"/>
                <w:szCs w:val="22"/>
                <w:highlight w:val="none"/>
              </w:rPr>
            </w:pPr>
          </w:p>
        </w:tc>
        <w:tc>
          <w:tcPr>
            <w:tcW w:w="1232" w:type="dxa"/>
            <w:vAlign w:val="center"/>
          </w:tcPr>
          <w:p w14:paraId="74D0A70F">
            <w:pPr>
              <w:jc w:val="center"/>
              <w:rPr>
                <w:rFonts w:ascii="新宋体" w:hAnsi="新宋体" w:eastAsia="新宋体" w:cs="新宋体"/>
                <w:color w:val="auto"/>
                <w:sz w:val="22"/>
                <w:szCs w:val="22"/>
                <w:highlight w:val="none"/>
              </w:rPr>
            </w:pPr>
          </w:p>
        </w:tc>
      </w:tr>
      <w:tr w14:paraId="0B6C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restart"/>
            <w:vAlign w:val="center"/>
          </w:tcPr>
          <w:p w14:paraId="01813720">
            <w:pPr>
              <w:jc w:val="center"/>
              <w:rPr>
                <w:rFonts w:ascii="新宋体" w:hAnsi="新宋体" w:eastAsia="新宋体" w:cs="新宋体"/>
                <w:color w:val="auto"/>
                <w:sz w:val="22"/>
                <w:szCs w:val="22"/>
                <w:highlight w:val="none"/>
              </w:rPr>
            </w:pPr>
          </w:p>
        </w:tc>
        <w:tc>
          <w:tcPr>
            <w:tcW w:w="3528" w:type="dxa"/>
            <w:vAlign w:val="center"/>
          </w:tcPr>
          <w:p w14:paraId="5E8743E6">
            <w:pPr>
              <w:snapToGrid w:val="0"/>
              <w:jc w:val="center"/>
              <w:rPr>
                <w:rFonts w:ascii="新宋体" w:hAnsi="新宋体" w:eastAsia="新宋体" w:cs="新宋体"/>
                <w:color w:val="auto"/>
                <w:sz w:val="22"/>
                <w:szCs w:val="22"/>
                <w:highlight w:val="none"/>
              </w:rPr>
            </w:pPr>
          </w:p>
        </w:tc>
        <w:tc>
          <w:tcPr>
            <w:tcW w:w="3528" w:type="dxa"/>
            <w:vAlign w:val="center"/>
          </w:tcPr>
          <w:p w14:paraId="51432846">
            <w:pPr>
              <w:jc w:val="center"/>
              <w:rPr>
                <w:rFonts w:ascii="新宋体" w:hAnsi="新宋体" w:eastAsia="新宋体" w:cs="新宋体"/>
                <w:color w:val="auto"/>
                <w:sz w:val="22"/>
                <w:szCs w:val="22"/>
                <w:highlight w:val="none"/>
              </w:rPr>
            </w:pPr>
          </w:p>
        </w:tc>
        <w:tc>
          <w:tcPr>
            <w:tcW w:w="1232" w:type="dxa"/>
            <w:vAlign w:val="center"/>
          </w:tcPr>
          <w:p w14:paraId="5E77A22F">
            <w:pPr>
              <w:jc w:val="center"/>
              <w:rPr>
                <w:rFonts w:ascii="新宋体" w:hAnsi="新宋体" w:eastAsia="新宋体" w:cs="新宋体"/>
                <w:color w:val="auto"/>
                <w:sz w:val="22"/>
                <w:szCs w:val="22"/>
                <w:highlight w:val="none"/>
              </w:rPr>
            </w:pPr>
          </w:p>
        </w:tc>
      </w:tr>
      <w:tr w14:paraId="19A6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64C28893">
            <w:pPr>
              <w:jc w:val="center"/>
              <w:rPr>
                <w:rFonts w:ascii="新宋体" w:hAnsi="新宋体" w:eastAsia="新宋体" w:cs="新宋体"/>
                <w:color w:val="auto"/>
                <w:sz w:val="22"/>
                <w:szCs w:val="22"/>
                <w:highlight w:val="none"/>
              </w:rPr>
            </w:pPr>
          </w:p>
        </w:tc>
        <w:tc>
          <w:tcPr>
            <w:tcW w:w="3528" w:type="dxa"/>
            <w:vAlign w:val="center"/>
          </w:tcPr>
          <w:p w14:paraId="1E9BBB77">
            <w:pPr>
              <w:snapToGrid w:val="0"/>
              <w:jc w:val="center"/>
              <w:rPr>
                <w:rFonts w:ascii="新宋体" w:hAnsi="新宋体" w:eastAsia="新宋体" w:cs="新宋体"/>
                <w:color w:val="auto"/>
                <w:sz w:val="22"/>
                <w:szCs w:val="22"/>
                <w:highlight w:val="none"/>
              </w:rPr>
            </w:pPr>
          </w:p>
        </w:tc>
        <w:tc>
          <w:tcPr>
            <w:tcW w:w="3528" w:type="dxa"/>
            <w:vAlign w:val="center"/>
          </w:tcPr>
          <w:p w14:paraId="7BE8AAE5">
            <w:pPr>
              <w:jc w:val="center"/>
              <w:rPr>
                <w:rFonts w:ascii="新宋体" w:hAnsi="新宋体" w:eastAsia="新宋体" w:cs="新宋体"/>
                <w:color w:val="auto"/>
                <w:sz w:val="22"/>
                <w:szCs w:val="22"/>
                <w:highlight w:val="none"/>
              </w:rPr>
            </w:pPr>
          </w:p>
        </w:tc>
        <w:tc>
          <w:tcPr>
            <w:tcW w:w="1232" w:type="dxa"/>
            <w:vAlign w:val="center"/>
          </w:tcPr>
          <w:p w14:paraId="4C062FF4">
            <w:pPr>
              <w:jc w:val="center"/>
              <w:rPr>
                <w:rFonts w:ascii="新宋体" w:hAnsi="新宋体" w:eastAsia="新宋体" w:cs="新宋体"/>
                <w:color w:val="auto"/>
                <w:sz w:val="22"/>
                <w:szCs w:val="22"/>
                <w:highlight w:val="none"/>
              </w:rPr>
            </w:pPr>
          </w:p>
        </w:tc>
      </w:tr>
      <w:tr w14:paraId="72CB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54FC5980">
            <w:pPr>
              <w:jc w:val="center"/>
              <w:rPr>
                <w:rFonts w:ascii="新宋体" w:hAnsi="新宋体" w:eastAsia="新宋体" w:cs="新宋体"/>
                <w:color w:val="auto"/>
                <w:sz w:val="22"/>
                <w:szCs w:val="22"/>
                <w:highlight w:val="none"/>
              </w:rPr>
            </w:pPr>
          </w:p>
        </w:tc>
        <w:tc>
          <w:tcPr>
            <w:tcW w:w="3528" w:type="dxa"/>
            <w:vAlign w:val="center"/>
          </w:tcPr>
          <w:p w14:paraId="484CD17A">
            <w:pPr>
              <w:snapToGrid w:val="0"/>
              <w:jc w:val="center"/>
              <w:rPr>
                <w:rFonts w:ascii="新宋体" w:hAnsi="新宋体" w:eastAsia="新宋体" w:cs="新宋体"/>
                <w:color w:val="auto"/>
                <w:sz w:val="22"/>
                <w:szCs w:val="22"/>
                <w:highlight w:val="none"/>
              </w:rPr>
            </w:pPr>
          </w:p>
        </w:tc>
        <w:tc>
          <w:tcPr>
            <w:tcW w:w="3528" w:type="dxa"/>
            <w:vAlign w:val="center"/>
          </w:tcPr>
          <w:p w14:paraId="7F4CF51D">
            <w:pPr>
              <w:jc w:val="center"/>
              <w:rPr>
                <w:rFonts w:ascii="新宋体" w:hAnsi="新宋体" w:eastAsia="新宋体" w:cs="新宋体"/>
                <w:color w:val="auto"/>
                <w:sz w:val="22"/>
                <w:szCs w:val="22"/>
                <w:highlight w:val="none"/>
              </w:rPr>
            </w:pPr>
          </w:p>
        </w:tc>
        <w:tc>
          <w:tcPr>
            <w:tcW w:w="1232" w:type="dxa"/>
            <w:vAlign w:val="center"/>
          </w:tcPr>
          <w:p w14:paraId="79A10F29">
            <w:pPr>
              <w:jc w:val="center"/>
              <w:rPr>
                <w:rFonts w:ascii="新宋体" w:hAnsi="新宋体" w:eastAsia="新宋体" w:cs="新宋体"/>
                <w:color w:val="auto"/>
                <w:sz w:val="22"/>
                <w:szCs w:val="22"/>
                <w:highlight w:val="none"/>
              </w:rPr>
            </w:pPr>
          </w:p>
        </w:tc>
      </w:tr>
      <w:tr w14:paraId="02A9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restart"/>
            <w:vAlign w:val="center"/>
          </w:tcPr>
          <w:p w14:paraId="14434CBB">
            <w:pPr>
              <w:jc w:val="center"/>
              <w:rPr>
                <w:rFonts w:ascii="新宋体" w:hAnsi="新宋体" w:eastAsia="新宋体" w:cs="新宋体"/>
                <w:color w:val="auto"/>
                <w:sz w:val="22"/>
                <w:szCs w:val="22"/>
                <w:highlight w:val="none"/>
              </w:rPr>
            </w:pPr>
          </w:p>
        </w:tc>
        <w:tc>
          <w:tcPr>
            <w:tcW w:w="3528" w:type="dxa"/>
            <w:vAlign w:val="center"/>
          </w:tcPr>
          <w:p w14:paraId="343AE641">
            <w:pPr>
              <w:snapToGrid w:val="0"/>
              <w:jc w:val="center"/>
              <w:rPr>
                <w:rFonts w:ascii="新宋体" w:hAnsi="新宋体" w:eastAsia="新宋体" w:cs="新宋体"/>
                <w:color w:val="auto"/>
                <w:sz w:val="22"/>
                <w:szCs w:val="22"/>
                <w:highlight w:val="none"/>
              </w:rPr>
            </w:pPr>
          </w:p>
        </w:tc>
        <w:tc>
          <w:tcPr>
            <w:tcW w:w="3528" w:type="dxa"/>
            <w:vAlign w:val="center"/>
          </w:tcPr>
          <w:p w14:paraId="7F4F9261">
            <w:pPr>
              <w:jc w:val="center"/>
              <w:rPr>
                <w:rFonts w:ascii="新宋体" w:hAnsi="新宋体" w:eastAsia="新宋体" w:cs="新宋体"/>
                <w:color w:val="auto"/>
                <w:sz w:val="22"/>
                <w:szCs w:val="22"/>
                <w:highlight w:val="none"/>
              </w:rPr>
            </w:pPr>
          </w:p>
        </w:tc>
        <w:tc>
          <w:tcPr>
            <w:tcW w:w="1232" w:type="dxa"/>
            <w:vAlign w:val="center"/>
          </w:tcPr>
          <w:p w14:paraId="44A3C62A">
            <w:pPr>
              <w:jc w:val="center"/>
              <w:rPr>
                <w:rFonts w:ascii="新宋体" w:hAnsi="新宋体" w:eastAsia="新宋体" w:cs="新宋体"/>
                <w:color w:val="auto"/>
                <w:sz w:val="22"/>
                <w:szCs w:val="22"/>
                <w:highlight w:val="none"/>
              </w:rPr>
            </w:pPr>
          </w:p>
        </w:tc>
      </w:tr>
      <w:tr w14:paraId="26E9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52A36C10">
            <w:pPr>
              <w:jc w:val="center"/>
              <w:rPr>
                <w:rFonts w:ascii="新宋体" w:hAnsi="新宋体" w:eastAsia="新宋体" w:cs="新宋体"/>
                <w:color w:val="auto"/>
                <w:sz w:val="22"/>
                <w:szCs w:val="22"/>
                <w:highlight w:val="none"/>
              </w:rPr>
            </w:pPr>
          </w:p>
        </w:tc>
        <w:tc>
          <w:tcPr>
            <w:tcW w:w="3528" w:type="dxa"/>
            <w:vAlign w:val="center"/>
          </w:tcPr>
          <w:p w14:paraId="4271FBD4">
            <w:pPr>
              <w:snapToGrid w:val="0"/>
              <w:jc w:val="center"/>
              <w:rPr>
                <w:rFonts w:ascii="新宋体" w:hAnsi="新宋体" w:eastAsia="新宋体" w:cs="新宋体"/>
                <w:color w:val="auto"/>
                <w:sz w:val="22"/>
                <w:szCs w:val="22"/>
                <w:highlight w:val="none"/>
              </w:rPr>
            </w:pPr>
          </w:p>
        </w:tc>
        <w:tc>
          <w:tcPr>
            <w:tcW w:w="3528" w:type="dxa"/>
            <w:vAlign w:val="center"/>
          </w:tcPr>
          <w:p w14:paraId="67809CEB">
            <w:pPr>
              <w:jc w:val="center"/>
              <w:rPr>
                <w:rFonts w:ascii="新宋体" w:hAnsi="新宋体" w:eastAsia="新宋体" w:cs="新宋体"/>
                <w:color w:val="auto"/>
                <w:sz w:val="22"/>
                <w:szCs w:val="22"/>
                <w:highlight w:val="none"/>
              </w:rPr>
            </w:pPr>
          </w:p>
        </w:tc>
        <w:tc>
          <w:tcPr>
            <w:tcW w:w="1232" w:type="dxa"/>
            <w:vAlign w:val="center"/>
          </w:tcPr>
          <w:p w14:paraId="194A4154">
            <w:pPr>
              <w:jc w:val="center"/>
              <w:rPr>
                <w:rFonts w:ascii="新宋体" w:hAnsi="新宋体" w:eastAsia="新宋体" w:cs="新宋体"/>
                <w:color w:val="auto"/>
                <w:sz w:val="22"/>
                <w:szCs w:val="22"/>
                <w:highlight w:val="none"/>
              </w:rPr>
            </w:pPr>
          </w:p>
        </w:tc>
      </w:tr>
      <w:tr w14:paraId="1EFB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068E6F7B">
            <w:pPr>
              <w:jc w:val="center"/>
              <w:rPr>
                <w:rFonts w:ascii="新宋体" w:hAnsi="新宋体" w:eastAsia="新宋体" w:cs="新宋体"/>
                <w:color w:val="auto"/>
                <w:sz w:val="22"/>
                <w:szCs w:val="22"/>
                <w:highlight w:val="none"/>
              </w:rPr>
            </w:pPr>
          </w:p>
        </w:tc>
        <w:tc>
          <w:tcPr>
            <w:tcW w:w="3528" w:type="dxa"/>
            <w:vAlign w:val="center"/>
          </w:tcPr>
          <w:p w14:paraId="3BE05A9F">
            <w:pPr>
              <w:snapToGrid w:val="0"/>
              <w:jc w:val="center"/>
              <w:rPr>
                <w:rFonts w:ascii="新宋体" w:hAnsi="新宋体" w:eastAsia="新宋体" w:cs="新宋体"/>
                <w:color w:val="auto"/>
                <w:sz w:val="22"/>
                <w:szCs w:val="22"/>
                <w:highlight w:val="none"/>
              </w:rPr>
            </w:pPr>
          </w:p>
        </w:tc>
        <w:tc>
          <w:tcPr>
            <w:tcW w:w="3528" w:type="dxa"/>
            <w:vAlign w:val="center"/>
          </w:tcPr>
          <w:p w14:paraId="45153351">
            <w:pPr>
              <w:jc w:val="center"/>
              <w:rPr>
                <w:rFonts w:ascii="新宋体" w:hAnsi="新宋体" w:eastAsia="新宋体" w:cs="新宋体"/>
                <w:color w:val="auto"/>
                <w:sz w:val="22"/>
                <w:szCs w:val="22"/>
                <w:highlight w:val="none"/>
              </w:rPr>
            </w:pPr>
          </w:p>
        </w:tc>
        <w:tc>
          <w:tcPr>
            <w:tcW w:w="1232" w:type="dxa"/>
            <w:vAlign w:val="center"/>
          </w:tcPr>
          <w:p w14:paraId="6E264F70">
            <w:pPr>
              <w:jc w:val="center"/>
              <w:rPr>
                <w:rFonts w:ascii="新宋体" w:hAnsi="新宋体" w:eastAsia="新宋体" w:cs="新宋体"/>
                <w:color w:val="auto"/>
                <w:sz w:val="22"/>
                <w:szCs w:val="22"/>
                <w:highlight w:val="none"/>
              </w:rPr>
            </w:pPr>
          </w:p>
        </w:tc>
      </w:tr>
      <w:tr w14:paraId="6B00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restart"/>
            <w:vAlign w:val="center"/>
          </w:tcPr>
          <w:p w14:paraId="31A3EC20">
            <w:pPr>
              <w:jc w:val="center"/>
              <w:rPr>
                <w:rFonts w:ascii="新宋体" w:hAnsi="新宋体" w:eastAsia="新宋体" w:cs="新宋体"/>
                <w:color w:val="auto"/>
                <w:sz w:val="22"/>
                <w:szCs w:val="22"/>
                <w:highlight w:val="none"/>
              </w:rPr>
            </w:pPr>
          </w:p>
        </w:tc>
        <w:tc>
          <w:tcPr>
            <w:tcW w:w="3528" w:type="dxa"/>
            <w:vAlign w:val="center"/>
          </w:tcPr>
          <w:p w14:paraId="4D3CF335">
            <w:pPr>
              <w:snapToGrid w:val="0"/>
              <w:jc w:val="center"/>
              <w:rPr>
                <w:rFonts w:ascii="新宋体" w:hAnsi="新宋体" w:eastAsia="新宋体" w:cs="新宋体"/>
                <w:color w:val="auto"/>
                <w:sz w:val="22"/>
                <w:szCs w:val="22"/>
                <w:highlight w:val="none"/>
              </w:rPr>
            </w:pPr>
          </w:p>
        </w:tc>
        <w:tc>
          <w:tcPr>
            <w:tcW w:w="3528" w:type="dxa"/>
            <w:vAlign w:val="center"/>
          </w:tcPr>
          <w:p w14:paraId="70E60EA2">
            <w:pPr>
              <w:jc w:val="center"/>
              <w:rPr>
                <w:rFonts w:ascii="新宋体" w:hAnsi="新宋体" w:eastAsia="新宋体" w:cs="新宋体"/>
                <w:color w:val="auto"/>
                <w:sz w:val="22"/>
                <w:szCs w:val="22"/>
                <w:highlight w:val="none"/>
              </w:rPr>
            </w:pPr>
          </w:p>
        </w:tc>
        <w:tc>
          <w:tcPr>
            <w:tcW w:w="1232" w:type="dxa"/>
            <w:vAlign w:val="center"/>
          </w:tcPr>
          <w:p w14:paraId="0F7163D3">
            <w:pPr>
              <w:jc w:val="center"/>
              <w:rPr>
                <w:rFonts w:ascii="新宋体" w:hAnsi="新宋体" w:eastAsia="新宋体" w:cs="新宋体"/>
                <w:color w:val="auto"/>
                <w:sz w:val="22"/>
                <w:szCs w:val="22"/>
                <w:highlight w:val="none"/>
              </w:rPr>
            </w:pPr>
          </w:p>
        </w:tc>
      </w:tr>
      <w:tr w14:paraId="7E2A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06E58299">
            <w:pPr>
              <w:jc w:val="center"/>
              <w:rPr>
                <w:rFonts w:ascii="新宋体" w:hAnsi="新宋体" w:eastAsia="新宋体" w:cs="新宋体"/>
                <w:color w:val="auto"/>
                <w:sz w:val="22"/>
                <w:szCs w:val="22"/>
                <w:highlight w:val="none"/>
              </w:rPr>
            </w:pPr>
          </w:p>
        </w:tc>
        <w:tc>
          <w:tcPr>
            <w:tcW w:w="3528" w:type="dxa"/>
            <w:vAlign w:val="center"/>
          </w:tcPr>
          <w:p w14:paraId="6BE8AE57">
            <w:pPr>
              <w:snapToGrid w:val="0"/>
              <w:jc w:val="center"/>
              <w:rPr>
                <w:rFonts w:ascii="新宋体" w:hAnsi="新宋体" w:eastAsia="新宋体" w:cs="新宋体"/>
                <w:color w:val="auto"/>
                <w:sz w:val="22"/>
                <w:szCs w:val="22"/>
                <w:highlight w:val="none"/>
              </w:rPr>
            </w:pPr>
          </w:p>
        </w:tc>
        <w:tc>
          <w:tcPr>
            <w:tcW w:w="3528" w:type="dxa"/>
            <w:vAlign w:val="center"/>
          </w:tcPr>
          <w:p w14:paraId="6A43E31D">
            <w:pPr>
              <w:jc w:val="center"/>
              <w:rPr>
                <w:rFonts w:ascii="新宋体" w:hAnsi="新宋体" w:eastAsia="新宋体" w:cs="新宋体"/>
                <w:color w:val="auto"/>
                <w:sz w:val="22"/>
                <w:szCs w:val="22"/>
                <w:highlight w:val="none"/>
              </w:rPr>
            </w:pPr>
          </w:p>
        </w:tc>
        <w:tc>
          <w:tcPr>
            <w:tcW w:w="1232" w:type="dxa"/>
            <w:vAlign w:val="center"/>
          </w:tcPr>
          <w:p w14:paraId="2CB29CA2">
            <w:pPr>
              <w:jc w:val="center"/>
              <w:rPr>
                <w:rFonts w:ascii="新宋体" w:hAnsi="新宋体" w:eastAsia="新宋体" w:cs="新宋体"/>
                <w:color w:val="auto"/>
                <w:sz w:val="22"/>
                <w:szCs w:val="22"/>
                <w:highlight w:val="none"/>
              </w:rPr>
            </w:pPr>
          </w:p>
        </w:tc>
      </w:tr>
      <w:tr w14:paraId="19B7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66" w:type="dxa"/>
            <w:vMerge w:val="continue"/>
            <w:vAlign w:val="center"/>
          </w:tcPr>
          <w:p w14:paraId="46A675E2">
            <w:pPr>
              <w:jc w:val="center"/>
              <w:rPr>
                <w:rFonts w:ascii="新宋体" w:hAnsi="新宋体" w:eastAsia="新宋体" w:cs="新宋体"/>
                <w:color w:val="auto"/>
                <w:sz w:val="22"/>
                <w:szCs w:val="22"/>
                <w:highlight w:val="none"/>
              </w:rPr>
            </w:pPr>
          </w:p>
        </w:tc>
        <w:tc>
          <w:tcPr>
            <w:tcW w:w="3528" w:type="dxa"/>
            <w:vAlign w:val="center"/>
          </w:tcPr>
          <w:p w14:paraId="46FB8B7F">
            <w:pPr>
              <w:snapToGrid w:val="0"/>
              <w:jc w:val="center"/>
              <w:rPr>
                <w:rFonts w:ascii="新宋体" w:hAnsi="新宋体" w:eastAsia="新宋体" w:cs="新宋体"/>
                <w:color w:val="auto"/>
                <w:sz w:val="22"/>
                <w:szCs w:val="22"/>
                <w:highlight w:val="none"/>
              </w:rPr>
            </w:pPr>
          </w:p>
        </w:tc>
        <w:tc>
          <w:tcPr>
            <w:tcW w:w="3528" w:type="dxa"/>
            <w:vAlign w:val="center"/>
          </w:tcPr>
          <w:p w14:paraId="1A68A546">
            <w:pPr>
              <w:jc w:val="center"/>
              <w:rPr>
                <w:rFonts w:ascii="新宋体" w:hAnsi="新宋体" w:eastAsia="新宋体" w:cs="新宋体"/>
                <w:color w:val="auto"/>
                <w:sz w:val="22"/>
                <w:szCs w:val="22"/>
                <w:highlight w:val="none"/>
              </w:rPr>
            </w:pPr>
          </w:p>
        </w:tc>
        <w:tc>
          <w:tcPr>
            <w:tcW w:w="1232" w:type="dxa"/>
            <w:vAlign w:val="center"/>
          </w:tcPr>
          <w:p w14:paraId="0A2BD5E7">
            <w:pPr>
              <w:jc w:val="center"/>
              <w:rPr>
                <w:rFonts w:ascii="新宋体" w:hAnsi="新宋体" w:eastAsia="新宋体" w:cs="新宋体"/>
                <w:color w:val="auto"/>
                <w:sz w:val="22"/>
                <w:szCs w:val="22"/>
                <w:highlight w:val="none"/>
              </w:rPr>
            </w:pPr>
          </w:p>
        </w:tc>
      </w:tr>
    </w:tbl>
    <w:p w14:paraId="3AA1FAC3">
      <w:pPr>
        <w:rPr>
          <w:rFonts w:ascii="新宋体" w:hAnsi="新宋体" w:eastAsia="新宋体" w:cs="新宋体"/>
          <w:color w:val="auto"/>
          <w:sz w:val="24"/>
          <w:highlight w:val="none"/>
        </w:rPr>
      </w:pPr>
    </w:p>
    <w:p w14:paraId="14E1CC82">
      <w:pPr>
        <w:spacing w:line="400" w:lineRule="exact"/>
        <w:ind w:left="218" w:leftChars="104"/>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说明：不填写此表视为完全响应采购文件内容。</w:t>
      </w:r>
    </w:p>
    <w:p w14:paraId="15B676F4">
      <w:pPr>
        <w:spacing w:line="400" w:lineRule="exact"/>
        <w:rPr>
          <w:rFonts w:ascii="新宋体" w:hAnsi="新宋体" w:eastAsia="新宋体" w:cs="新宋体"/>
          <w:color w:val="auto"/>
          <w:sz w:val="22"/>
          <w:szCs w:val="22"/>
          <w:highlight w:val="none"/>
        </w:rPr>
      </w:pPr>
    </w:p>
    <w:p w14:paraId="6B5F64C8">
      <w:pPr>
        <w:spacing w:line="400" w:lineRule="exact"/>
        <w:rPr>
          <w:rFonts w:ascii="新宋体" w:hAnsi="新宋体" w:eastAsia="新宋体" w:cs="新宋体"/>
          <w:color w:val="auto"/>
          <w:sz w:val="22"/>
          <w:szCs w:val="22"/>
          <w:highlight w:val="none"/>
        </w:rPr>
      </w:pPr>
    </w:p>
    <w:p w14:paraId="14B7C299">
      <w:pPr>
        <w:spacing w:line="400" w:lineRule="exact"/>
        <w:rPr>
          <w:rFonts w:ascii="新宋体" w:hAnsi="新宋体" w:eastAsia="新宋体" w:cs="新宋体"/>
          <w:color w:val="auto"/>
          <w:sz w:val="22"/>
          <w:szCs w:val="22"/>
          <w:highlight w:val="none"/>
        </w:rPr>
      </w:pPr>
    </w:p>
    <w:p w14:paraId="2F6D3815">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0CEC6FD4">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法定代表人或被授权人（签字或盖章）：</w:t>
      </w:r>
    </w:p>
    <w:p w14:paraId="2C2B193A">
      <w:pPr>
        <w:spacing w:line="400" w:lineRule="exact"/>
        <w:ind w:firstLine="770" w:firstLineChars="3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4E97BE5">
      <w:pPr>
        <w:spacing w:line="400" w:lineRule="exact"/>
        <w:ind w:firstLine="770" w:firstLineChars="350"/>
        <w:rPr>
          <w:rFonts w:ascii="新宋体" w:hAnsi="新宋体" w:eastAsia="新宋体" w:cs="新宋体"/>
          <w:color w:val="auto"/>
          <w:sz w:val="22"/>
          <w:szCs w:val="22"/>
          <w:highlight w:val="none"/>
        </w:rPr>
      </w:pPr>
    </w:p>
    <w:p w14:paraId="1F7A2DD8">
      <w:pPr>
        <w:spacing w:line="400" w:lineRule="exact"/>
        <w:ind w:firstLine="770" w:firstLineChars="350"/>
        <w:rPr>
          <w:rFonts w:ascii="新宋体" w:hAnsi="新宋体" w:eastAsia="新宋体" w:cs="新宋体"/>
          <w:color w:val="auto"/>
          <w:sz w:val="22"/>
          <w:szCs w:val="22"/>
          <w:highlight w:val="none"/>
        </w:rPr>
      </w:pPr>
    </w:p>
    <w:p w14:paraId="4A9D35CD">
      <w:pPr>
        <w:spacing w:line="400" w:lineRule="exact"/>
        <w:ind w:firstLine="770" w:firstLineChars="350"/>
        <w:rPr>
          <w:rFonts w:ascii="新宋体" w:hAnsi="新宋体" w:eastAsia="新宋体" w:cs="新宋体"/>
          <w:color w:val="auto"/>
          <w:sz w:val="22"/>
          <w:szCs w:val="22"/>
          <w:highlight w:val="none"/>
        </w:rPr>
      </w:pPr>
    </w:p>
    <w:p w14:paraId="4F15655F">
      <w:pPr>
        <w:spacing w:line="400" w:lineRule="exact"/>
        <w:ind w:firstLine="770" w:firstLineChars="350"/>
        <w:rPr>
          <w:rFonts w:ascii="新宋体" w:hAnsi="新宋体" w:eastAsia="新宋体" w:cs="新宋体"/>
          <w:color w:val="auto"/>
          <w:sz w:val="22"/>
          <w:szCs w:val="22"/>
          <w:highlight w:val="none"/>
        </w:rPr>
      </w:pPr>
    </w:p>
    <w:p w14:paraId="398EF2A0">
      <w:pPr>
        <w:spacing w:line="400" w:lineRule="exact"/>
        <w:ind w:firstLine="770" w:firstLineChars="350"/>
        <w:rPr>
          <w:rFonts w:ascii="新宋体" w:hAnsi="新宋体" w:eastAsia="新宋体" w:cs="新宋体"/>
          <w:color w:val="auto"/>
          <w:sz w:val="22"/>
          <w:szCs w:val="22"/>
          <w:highlight w:val="none"/>
        </w:rPr>
      </w:pPr>
    </w:p>
    <w:p w14:paraId="6AE0D0DC">
      <w:pPr>
        <w:spacing w:line="400" w:lineRule="exact"/>
        <w:ind w:firstLine="770" w:firstLineChars="350"/>
        <w:rPr>
          <w:rFonts w:ascii="新宋体" w:hAnsi="新宋体" w:eastAsia="新宋体" w:cs="新宋体"/>
          <w:color w:val="auto"/>
          <w:sz w:val="22"/>
          <w:szCs w:val="22"/>
          <w:highlight w:val="none"/>
        </w:rPr>
      </w:pPr>
    </w:p>
    <w:p w14:paraId="3C7456F5">
      <w:pPr>
        <w:spacing w:line="50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商务条款偏离表</w:t>
      </w:r>
    </w:p>
    <w:p w14:paraId="42998B6B">
      <w:pPr>
        <w:ind w:firstLine="435"/>
        <w:jc w:val="center"/>
        <w:rPr>
          <w:rFonts w:ascii="新宋体" w:hAnsi="新宋体" w:eastAsia="新宋体" w:cs="新宋体"/>
          <w:b/>
          <w:color w:val="auto"/>
          <w:sz w:val="44"/>
          <w:highlight w:val="none"/>
        </w:rPr>
      </w:pPr>
    </w:p>
    <w:p w14:paraId="3C1ADDD1">
      <w:pPr>
        <w:overflowPunct w:val="0"/>
        <w:spacing w:line="380" w:lineRule="exact"/>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61449FC2">
      <w:pPr>
        <w:ind w:firstLine="221" w:firstLineChars="100"/>
        <w:rPr>
          <w:rFonts w:ascii="新宋体" w:hAnsi="新宋体" w:eastAsia="新宋体" w:cs="新宋体"/>
          <w:b/>
          <w:color w:val="auto"/>
          <w:sz w:val="22"/>
          <w:szCs w:val="22"/>
          <w:highlight w:val="none"/>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59"/>
        <w:gridCol w:w="2447"/>
        <w:gridCol w:w="2430"/>
        <w:gridCol w:w="1215"/>
        <w:gridCol w:w="1282"/>
      </w:tblGrid>
      <w:tr w14:paraId="5DF5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21" w:type="dxa"/>
            <w:vAlign w:val="center"/>
          </w:tcPr>
          <w:p w14:paraId="6A989374">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2747196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447" w:type="dxa"/>
            <w:vAlign w:val="center"/>
          </w:tcPr>
          <w:p w14:paraId="0D297648">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采购文件商务条款描述</w:t>
            </w:r>
          </w:p>
        </w:tc>
        <w:tc>
          <w:tcPr>
            <w:tcW w:w="2430" w:type="dxa"/>
            <w:vAlign w:val="center"/>
          </w:tcPr>
          <w:p w14:paraId="4DA3003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15" w:type="dxa"/>
            <w:vAlign w:val="center"/>
          </w:tcPr>
          <w:p w14:paraId="638444B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282" w:type="dxa"/>
            <w:vAlign w:val="center"/>
          </w:tcPr>
          <w:p w14:paraId="5B06993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120A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21" w:type="dxa"/>
            <w:vAlign w:val="center"/>
          </w:tcPr>
          <w:p w14:paraId="4D4D5EB2">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5BDC1B1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付款方式</w:t>
            </w:r>
          </w:p>
        </w:tc>
        <w:tc>
          <w:tcPr>
            <w:tcW w:w="2447" w:type="dxa"/>
            <w:vAlign w:val="center"/>
          </w:tcPr>
          <w:p w14:paraId="22619DA6">
            <w:pPr>
              <w:jc w:val="center"/>
              <w:rPr>
                <w:rFonts w:ascii="新宋体" w:hAnsi="新宋体" w:eastAsia="新宋体" w:cs="新宋体"/>
                <w:color w:val="auto"/>
                <w:sz w:val="22"/>
                <w:szCs w:val="22"/>
                <w:highlight w:val="none"/>
              </w:rPr>
            </w:pPr>
          </w:p>
        </w:tc>
        <w:tc>
          <w:tcPr>
            <w:tcW w:w="2430" w:type="dxa"/>
            <w:vAlign w:val="center"/>
          </w:tcPr>
          <w:p w14:paraId="67BE9C4C">
            <w:pPr>
              <w:jc w:val="center"/>
              <w:rPr>
                <w:rFonts w:ascii="新宋体" w:hAnsi="新宋体" w:eastAsia="新宋体" w:cs="新宋体"/>
                <w:color w:val="auto"/>
                <w:sz w:val="22"/>
                <w:szCs w:val="22"/>
                <w:highlight w:val="none"/>
              </w:rPr>
            </w:pPr>
          </w:p>
        </w:tc>
        <w:tc>
          <w:tcPr>
            <w:tcW w:w="1215" w:type="dxa"/>
            <w:vAlign w:val="center"/>
          </w:tcPr>
          <w:p w14:paraId="4CE39F69">
            <w:pPr>
              <w:jc w:val="center"/>
              <w:rPr>
                <w:rFonts w:ascii="新宋体" w:hAnsi="新宋体" w:eastAsia="新宋体" w:cs="新宋体"/>
                <w:color w:val="auto"/>
                <w:sz w:val="22"/>
                <w:szCs w:val="22"/>
                <w:highlight w:val="none"/>
              </w:rPr>
            </w:pPr>
          </w:p>
        </w:tc>
        <w:tc>
          <w:tcPr>
            <w:tcW w:w="1282" w:type="dxa"/>
            <w:vAlign w:val="center"/>
          </w:tcPr>
          <w:p w14:paraId="445312B8">
            <w:pPr>
              <w:jc w:val="center"/>
              <w:rPr>
                <w:rFonts w:ascii="新宋体" w:hAnsi="新宋体" w:eastAsia="新宋体" w:cs="新宋体"/>
                <w:color w:val="auto"/>
                <w:sz w:val="22"/>
                <w:szCs w:val="22"/>
                <w:highlight w:val="none"/>
              </w:rPr>
            </w:pPr>
          </w:p>
        </w:tc>
      </w:tr>
      <w:tr w14:paraId="40A7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vAlign w:val="center"/>
          </w:tcPr>
          <w:p w14:paraId="1498B7E9">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069C12F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服务时间</w:t>
            </w:r>
          </w:p>
        </w:tc>
        <w:tc>
          <w:tcPr>
            <w:tcW w:w="2447" w:type="dxa"/>
            <w:vAlign w:val="center"/>
          </w:tcPr>
          <w:p w14:paraId="5EF92577">
            <w:pPr>
              <w:jc w:val="center"/>
              <w:rPr>
                <w:rFonts w:ascii="新宋体" w:hAnsi="新宋体" w:eastAsia="新宋体" w:cs="新宋体"/>
                <w:color w:val="auto"/>
                <w:sz w:val="22"/>
                <w:szCs w:val="22"/>
                <w:highlight w:val="none"/>
              </w:rPr>
            </w:pPr>
          </w:p>
        </w:tc>
        <w:tc>
          <w:tcPr>
            <w:tcW w:w="2430" w:type="dxa"/>
            <w:vAlign w:val="center"/>
          </w:tcPr>
          <w:p w14:paraId="15DBE7EB">
            <w:pPr>
              <w:jc w:val="center"/>
              <w:rPr>
                <w:rFonts w:ascii="新宋体" w:hAnsi="新宋体" w:eastAsia="新宋体" w:cs="新宋体"/>
                <w:color w:val="auto"/>
                <w:sz w:val="22"/>
                <w:szCs w:val="22"/>
                <w:highlight w:val="none"/>
              </w:rPr>
            </w:pPr>
          </w:p>
        </w:tc>
        <w:tc>
          <w:tcPr>
            <w:tcW w:w="1215" w:type="dxa"/>
            <w:vAlign w:val="center"/>
          </w:tcPr>
          <w:p w14:paraId="142A9A16">
            <w:pPr>
              <w:jc w:val="center"/>
              <w:rPr>
                <w:rFonts w:ascii="新宋体" w:hAnsi="新宋体" w:eastAsia="新宋体" w:cs="新宋体"/>
                <w:color w:val="auto"/>
                <w:sz w:val="22"/>
                <w:szCs w:val="22"/>
                <w:highlight w:val="none"/>
              </w:rPr>
            </w:pPr>
          </w:p>
        </w:tc>
        <w:tc>
          <w:tcPr>
            <w:tcW w:w="1282" w:type="dxa"/>
            <w:vAlign w:val="center"/>
          </w:tcPr>
          <w:p w14:paraId="17A330D2">
            <w:pPr>
              <w:jc w:val="center"/>
              <w:rPr>
                <w:rFonts w:ascii="新宋体" w:hAnsi="新宋体" w:eastAsia="新宋体" w:cs="新宋体"/>
                <w:color w:val="auto"/>
                <w:sz w:val="22"/>
                <w:szCs w:val="22"/>
                <w:highlight w:val="none"/>
              </w:rPr>
            </w:pPr>
          </w:p>
        </w:tc>
      </w:tr>
      <w:tr w14:paraId="7DF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vAlign w:val="center"/>
          </w:tcPr>
          <w:p w14:paraId="65EF652C">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01148967">
            <w:pPr>
              <w:jc w:val="center"/>
              <w:rPr>
                <w:rFonts w:ascii="新宋体" w:hAnsi="新宋体" w:eastAsia="新宋体" w:cs="新宋体"/>
                <w:color w:val="auto"/>
                <w:sz w:val="22"/>
                <w:szCs w:val="22"/>
                <w:highlight w:val="none"/>
              </w:rPr>
            </w:pPr>
          </w:p>
        </w:tc>
        <w:tc>
          <w:tcPr>
            <w:tcW w:w="2447" w:type="dxa"/>
            <w:vAlign w:val="center"/>
          </w:tcPr>
          <w:p w14:paraId="0308B87B">
            <w:pPr>
              <w:jc w:val="center"/>
              <w:rPr>
                <w:rFonts w:ascii="新宋体" w:hAnsi="新宋体" w:eastAsia="新宋体" w:cs="新宋体"/>
                <w:color w:val="auto"/>
                <w:sz w:val="22"/>
                <w:szCs w:val="22"/>
                <w:highlight w:val="none"/>
              </w:rPr>
            </w:pPr>
          </w:p>
        </w:tc>
        <w:tc>
          <w:tcPr>
            <w:tcW w:w="2430" w:type="dxa"/>
            <w:vAlign w:val="center"/>
          </w:tcPr>
          <w:p w14:paraId="68C9BAF5">
            <w:pPr>
              <w:jc w:val="center"/>
              <w:rPr>
                <w:rFonts w:ascii="新宋体" w:hAnsi="新宋体" w:eastAsia="新宋体" w:cs="新宋体"/>
                <w:color w:val="auto"/>
                <w:sz w:val="22"/>
                <w:szCs w:val="22"/>
                <w:highlight w:val="none"/>
              </w:rPr>
            </w:pPr>
          </w:p>
        </w:tc>
        <w:tc>
          <w:tcPr>
            <w:tcW w:w="1215" w:type="dxa"/>
            <w:vAlign w:val="center"/>
          </w:tcPr>
          <w:p w14:paraId="7848949D">
            <w:pPr>
              <w:jc w:val="center"/>
              <w:rPr>
                <w:rFonts w:ascii="新宋体" w:hAnsi="新宋体" w:eastAsia="新宋体" w:cs="新宋体"/>
                <w:color w:val="auto"/>
                <w:sz w:val="22"/>
                <w:szCs w:val="22"/>
                <w:highlight w:val="none"/>
              </w:rPr>
            </w:pPr>
          </w:p>
        </w:tc>
        <w:tc>
          <w:tcPr>
            <w:tcW w:w="1282" w:type="dxa"/>
            <w:vAlign w:val="center"/>
          </w:tcPr>
          <w:p w14:paraId="23372B78">
            <w:pPr>
              <w:jc w:val="center"/>
              <w:rPr>
                <w:rFonts w:ascii="新宋体" w:hAnsi="新宋体" w:eastAsia="新宋体" w:cs="新宋体"/>
                <w:color w:val="auto"/>
                <w:sz w:val="22"/>
                <w:szCs w:val="22"/>
                <w:highlight w:val="none"/>
              </w:rPr>
            </w:pPr>
          </w:p>
        </w:tc>
      </w:tr>
      <w:tr w14:paraId="5925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vAlign w:val="center"/>
          </w:tcPr>
          <w:p w14:paraId="11370B4A">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7E046434">
            <w:pPr>
              <w:jc w:val="center"/>
              <w:rPr>
                <w:rFonts w:ascii="新宋体" w:hAnsi="新宋体" w:eastAsia="新宋体" w:cs="新宋体"/>
                <w:color w:val="auto"/>
                <w:sz w:val="22"/>
                <w:szCs w:val="22"/>
                <w:highlight w:val="none"/>
              </w:rPr>
            </w:pPr>
          </w:p>
        </w:tc>
        <w:tc>
          <w:tcPr>
            <w:tcW w:w="2447" w:type="dxa"/>
            <w:vAlign w:val="center"/>
          </w:tcPr>
          <w:p w14:paraId="3BA971A3">
            <w:pPr>
              <w:jc w:val="center"/>
              <w:rPr>
                <w:rFonts w:ascii="新宋体" w:hAnsi="新宋体" w:eastAsia="新宋体" w:cs="新宋体"/>
                <w:color w:val="auto"/>
                <w:sz w:val="22"/>
                <w:szCs w:val="22"/>
                <w:highlight w:val="none"/>
              </w:rPr>
            </w:pPr>
          </w:p>
        </w:tc>
        <w:tc>
          <w:tcPr>
            <w:tcW w:w="2430" w:type="dxa"/>
            <w:vAlign w:val="center"/>
          </w:tcPr>
          <w:p w14:paraId="40A3471E">
            <w:pPr>
              <w:jc w:val="center"/>
              <w:rPr>
                <w:rFonts w:ascii="新宋体" w:hAnsi="新宋体" w:eastAsia="新宋体" w:cs="新宋体"/>
                <w:color w:val="auto"/>
                <w:sz w:val="22"/>
                <w:szCs w:val="22"/>
                <w:highlight w:val="none"/>
              </w:rPr>
            </w:pPr>
          </w:p>
        </w:tc>
        <w:tc>
          <w:tcPr>
            <w:tcW w:w="1215" w:type="dxa"/>
            <w:vAlign w:val="center"/>
          </w:tcPr>
          <w:p w14:paraId="78614FF7">
            <w:pPr>
              <w:jc w:val="center"/>
              <w:rPr>
                <w:rFonts w:ascii="新宋体" w:hAnsi="新宋体" w:eastAsia="新宋体" w:cs="新宋体"/>
                <w:color w:val="auto"/>
                <w:sz w:val="22"/>
                <w:szCs w:val="22"/>
                <w:highlight w:val="none"/>
              </w:rPr>
            </w:pPr>
          </w:p>
        </w:tc>
        <w:tc>
          <w:tcPr>
            <w:tcW w:w="1282" w:type="dxa"/>
            <w:vAlign w:val="center"/>
          </w:tcPr>
          <w:p w14:paraId="73196AC5">
            <w:pPr>
              <w:jc w:val="center"/>
              <w:rPr>
                <w:rFonts w:ascii="新宋体" w:hAnsi="新宋体" w:eastAsia="新宋体" w:cs="新宋体"/>
                <w:color w:val="auto"/>
                <w:sz w:val="22"/>
                <w:szCs w:val="22"/>
                <w:highlight w:val="none"/>
              </w:rPr>
            </w:pPr>
          </w:p>
        </w:tc>
      </w:tr>
      <w:tr w14:paraId="51AC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vAlign w:val="center"/>
          </w:tcPr>
          <w:p w14:paraId="30BB5187">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71EB4866">
            <w:pPr>
              <w:jc w:val="center"/>
              <w:rPr>
                <w:rFonts w:ascii="新宋体" w:hAnsi="新宋体" w:eastAsia="新宋体" w:cs="新宋体"/>
                <w:color w:val="auto"/>
                <w:sz w:val="22"/>
                <w:szCs w:val="22"/>
                <w:highlight w:val="none"/>
              </w:rPr>
            </w:pPr>
          </w:p>
        </w:tc>
        <w:tc>
          <w:tcPr>
            <w:tcW w:w="2447" w:type="dxa"/>
            <w:vAlign w:val="center"/>
          </w:tcPr>
          <w:p w14:paraId="29124F82">
            <w:pPr>
              <w:jc w:val="center"/>
              <w:rPr>
                <w:rFonts w:ascii="新宋体" w:hAnsi="新宋体" w:eastAsia="新宋体" w:cs="新宋体"/>
                <w:color w:val="auto"/>
                <w:sz w:val="22"/>
                <w:szCs w:val="22"/>
                <w:highlight w:val="none"/>
              </w:rPr>
            </w:pPr>
          </w:p>
        </w:tc>
        <w:tc>
          <w:tcPr>
            <w:tcW w:w="2430" w:type="dxa"/>
            <w:vAlign w:val="center"/>
          </w:tcPr>
          <w:p w14:paraId="7FA24CDA">
            <w:pPr>
              <w:jc w:val="center"/>
              <w:rPr>
                <w:rFonts w:ascii="新宋体" w:hAnsi="新宋体" w:eastAsia="新宋体" w:cs="新宋体"/>
                <w:color w:val="auto"/>
                <w:sz w:val="22"/>
                <w:szCs w:val="22"/>
                <w:highlight w:val="none"/>
              </w:rPr>
            </w:pPr>
          </w:p>
        </w:tc>
        <w:tc>
          <w:tcPr>
            <w:tcW w:w="1215" w:type="dxa"/>
            <w:vAlign w:val="center"/>
          </w:tcPr>
          <w:p w14:paraId="5B14D488">
            <w:pPr>
              <w:jc w:val="center"/>
              <w:rPr>
                <w:rFonts w:ascii="新宋体" w:hAnsi="新宋体" w:eastAsia="新宋体" w:cs="新宋体"/>
                <w:color w:val="auto"/>
                <w:sz w:val="22"/>
                <w:szCs w:val="22"/>
                <w:highlight w:val="none"/>
              </w:rPr>
            </w:pPr>
          </w:p>
        </w:tc>
        <w:tc>
          <w:tcPr>
            <w:tcW w:w="1282" w:type="dxa"/>
            <w:vAlign w:val="center"/>
          </w:tcPr>
          <w:p w14:paraId="7D6C7B3E">
            <w:pPr>
              <w:jc w:val="center"/>
              <w:rPr>
                <w:rFonts w:ascii="新宋体" w:hAnsi="新宋体" w:eastAsia="新宋体" w:cs="新宋体"/>
                <w:color w:val="auto"/>
                <w:sz w:val="22"/>
                <w:szCs w:val="22"/>
                <w:highlight w:val="none"/>
              </w:rPr>
            </w:pPr>
          </w:p>
        </w:tc>
      </w:tr>
      <w:tr w14:paraId="7780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vAlign w:val="center"/>
          </w:tcPr>
          <w:p w14:paraId="6A7DC5FD">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72687475">
            <w:pPr>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447" w:type="dxa"/>
            <w:vAlign w:val="center"/>
          </w:tcPr>
          <w:p w14:paraId="03006D03">
            <w:pPr>
              <w:jc w:val="center"/>
              <w:rPr>
                <w:rFonts w:ascii="新宋体" w:hAnsi="新宋体" w:eastAsia="新宋体" w:cs="新宋体"/>
                <w:color w:val="auto"/>
                <w:sz w:val="22"/>
                <w:szCs w:val="22"/>
                <w:highlight w:val="none"/>
              </w:rPr>
            </w:pPr>
          </w:p>
        </w:tc>
        <w:tc>
          <w:tcPr>
            <w:tcW w:w="2430" w:type="dxa"/>
            <w:vAlign w:val="center"/>
          </w:tcPr>
          <w:p w14:paraId="78B25C3C">
            <w:pPr>
              <w:jc w:val="center"/>
              <w:rPr>
                <w:rFonts w:ascii="新宋体" w:hAnsi="新宋体" w:eastAsia="新宋体" w:cs="新宋体"/>
                <w:color w:val="auto"/>
                <w:sz w:val="22"/>
                <w:szCs w:val="22"/>
                <w:highlight w:val="none"/>
              </w:rPr>
            </w:pPr>
          </w:p>
        </w:tc>
        <w:tc>
          <w:tcPr>
            <w:tcW w:w="1215" w:type="dxa"/>
            <w:vAlign w:val="center"/>
          </w:tcPr>
          <w:p w14:paraId="07BCCAD0">
            <w:pPr>
              <w:jc w:val="center"/>
              <w:rPr>
                <w:rFonts w:ascii="新宋体" w:hAnsi="新宋体" w:eastAsia="新宋体" w:cs="新宋体"/>
                <w:color w:val="auto"/>
                <w:sz w:val="22"/>
                <w:szCs w:val="22"/>
                <w:highlight w:val="none"/>
              </w:rPr>
            </w:pPr>
          </w:p>
        </w:tc>
        <w:tc>
          <w:tcPr>
            <w:tcW w:w="1282" w:type="dxa"/>
            <w:vAlign w:val="center"/>
          </w:tcPr>
          <w:p w14:paraId="10C1BF83">
            <w:pPr>
              <w:jc w:val="center"/>
              <w:rPr>
                <w:rFonts w:ascii="新宋体" w:hAnsi="新宋体" w:eastAsia="新宋体" w:cs="新宋体"/>
                <w:color w:val="auto"/>
                <w:sz w:val="22"/>
                <w:szCs w:val="22"/>
                <w:highlight w:val="none"/>
              </w:rPr>
            </w:pPr>
          </w:p>
        </w:tc>
      </w:tr>
    </w:tbl>
    <w:p w14:paraId="26C2411E">
      <w:pPr>
        <w:spacing w:line="500" w:lineRule="exact"/>
        <w:ind w:firstLine="4800" w:firstLineChars="2000"/>
        <w:rPr>
          <w:rFonts w:ascii="新宋体" w:hAnsi="新宋体" w:eastAsia="新宋体" w:cs="新宋体"/>
          <w:color w:val="auto"/>
          <w:sz w:val="24"/>
          <w:highlight w:val="none"/>
        </w:rPr>
      </w:pPr>
    </w:p>
    <w:p w14:paraId="329F690B">
      <w:pPr>
        <w:spacing w:line="500" w:lineRule="exact"/>
        <w:ind w:firstLine="4400" w:firstLineChars="2000"/>
        <w:rPr>
          <w:rFonts w:ascii="新宋体" w:hAnsi="新宋体" w:eastAsia="新宋体" w:cs="新宋体"/>
          <w:color w:val="auto"/>
          <w:sz w:val="22"/>
          <w:szCs w:val="22"/>
          <w:highlight w:val="none"/>
        </w:rPr>
      </w:pPr>
    </w:p>
    <w:p w14:paraId="7FE202EE">
      <w:pPr>
        <w:spacing w:line="500" w:lineRule="exact"/>
        <w:ind w:firstLine="4400" w:firstLineChars="2000"/>
        <w:rPr>
          <w:rFonts w:ascii="新宋体" w:hAnsi="新宋体" w:eastAsia="新宋体" w:cs="新宋体"/>
          <w:color w:val="auto"/>
          <w:sz w:val="22"/>
          <w:szCs w:val="22"/>
          <w:highlight w:val="none"/>
        </w:rPr>
      </w:pPr>
    </w:p>
    <w:p w14:paraId="20EF7D52">
      <w:pPr>
        <w:spacing w:line="500" w:lineRule="exact"/>
        <w:ind w:firstLine="4400" w:firstLineChars="2000"/>
        <w:rPr>
          <w:rFonts w:ascii="新宋体" w:hAnsi="新宋体" w:eastAsia="新宋体" w:cs="新宋体"/>
          <w:color w:val="auto"/>
          <w:sz w:val="22"/>
          <w:szCs w:val="22"/>
          <w:highlight w:val="none"/>
        </w:rPr>
      </w:pPr>
    </w:p>
    <w:p w14:paraId="040D3F39">
      <w:pPr>
        <w:spacing w:line="500" w:lineRule="exact"/>
        <w:ind w:firstLine="4400" w:firstLineChars="2000"/>
        <w:rPr>
          <w:rFonts w:ascii="新宋体" w:hAnsi="新宋体" w:eastAsia="新宋体" w:cs="新宋体"/>
          <w:color w:val="auto"/>
          <w:sz w:val="22"/>
          <w:szCs w:val="22"/>
          <w:highlight w:val="none"/>
        </w:rPr>
      </w:pPr>
    </w:p>
    <w:p w14:paraId="56005EBF">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3163235C">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法定代表人或被授权人（签字或盖章）：</w:t>
      </w:r>
    </w:p>
    <w:p w14:paraId="09C11F3B">
      <w:pPr>
        <w:tabs>
          <w:tab w:val="left" w:pos="840"/>
        </w:tabs>
        <w:adjustRightInd w:val="0"/>
        <w:snapToGrid w:val="0"/>
        <w:spacing w:line="360" w:lineRule="auto"/>
        <w:ind w:left="420" w:leftChars="200"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1296DC4">
      <w:pPr>
        <w:spacing w:line="380" w:lineRule="exact"/>
        <w:ind w:firstLine="4400" w:firstLineChars="2000"/>
        <w:rPr>
          <w:rFonts w:ascii="宋体" w:hAnsi="宋体" w:cs="新宋体"/>
          <w:color w:val="auto"/>
          <w:sz w:val="22"/>
          <w:szCs w:val="22"/>
          <w:highlight w:val="none"/>
        </w:rPr>
      </w:pPr>
    </w:p>
    <w:p w14:paraId="006930B6">
      <w:pPr>
        <w:spacing w:line="380" w:lineRule="exact"/>
        <w:jc w:val="left"/>
        <w:rPr>
          <w:rFonts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br w:type="page"/>
      </w:r>
      <w:r>
        <w:rPr>
          <w:rFonts w:hint="eastAsia" w:ascii="新宋体" w:hAnsi="新宋体" w:eastAsia="新宋体"/>
          <w:b/>
          <w:color w:val="auto"/>
          <w:sz w:val="22"/>
          <w:szCs w:val="22"/>
          <w:highlight w:val="none"/>
          <w:u w:val="none"/>
        </w:rPr>
        <w:t>附件三</w:t>
      </w:r>
    </w:p>
    <w:p w14:paraId="7064B25C">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供应商为完成本项目组建的工作小组名单</w:t>
      </w:r>
    </w:p>
    <w:p w14:paraId="682E1814">
      <w:pPr>
        <w:pStyle w:val="15"/>
        <w:spacing w:line="400" w:lineRule="atLeast"/>
        <w:ind w:left="13" w:hanging="13" w:hangingChars="6"/>
        <w:jc w:val="center"/>
        <w:rPr>
          <w:rFonts w:hAnsi="宋体" w:eastAsia="宋体" w:cs="宋体"/>
          <w:color w:val="auto"/>
          <w:sz w:val="22"/>
          <w:szCs w:val="22"/>
          <w:highlight w:val="none"/>
        </w:rPr>
      </w:pPr>
      <w:r>
        <w:rPr>
          <w:rFonts w:hint="eastAsia" w:ascii="宋体" w:hAnsi="宋体" w:eastAsia="宋体" w:cs="宋体"/>
          <w:b/>
          <w:color w:val="auto"/>
          <w:sz w:val="22"/>
          <w:szCs w:val="22"/>
          <w:highlight w:val="none"/>
        </w:rPr>
        <w:t>（1）项目经理简历表</w:t>
      </w:r>
    </w:p>
    <w:p w14:paraId="5D2282FD">
      <w:pPr>
        <w:pStyle w:val="15"/>
        <w:spacing w:line="400" w:lineRule="atLeast"/>
        <w:ind w:left="663" w:hanging="663" w:hangingChars="300"/>
        <w:rPr>
          <w:rFonts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884"/>
        <w:gridCol w:w="1371"/>
        <w:gridCol w:w="1961"/>
        <w:gridCol w:w="1361"/>
        <w:gridCol w:w="2410"/>
      </w:tblGrid>
      <w:tr w14:paraId="24A0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97" w:type="dxa"/>
            <w:noWrap w:val="0"/>
            <w:vAlign w:val="center"/>
          </w:tcPr>
          <w:p w14:paraId="522A7342">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姓  名</w:t>
            </w:r>
          </w:p>
        </w:tc>
        <w:tc>
          <w:tcPr>
            <w:tcW w:w="1884" w:type="dxa"/>
            <w:noWrap w:val="0"/>
            <w:vAlign w:val="center"/>
          </w:tcPr>
          <w:p w14:paraId="4F2AE775">
            <w:pPr>
              <w:tabs>
                <w:tab w:val="left" w:pos="1620"/>
              </w:tabs>
              <w:spacing w:line="440" w:lineRule="exact"/>
              <w:jc w:val="center"/>
              <w:rPr>
                <w:rFonts w:ascii="宋体" w:hAnsi="宋体" w:cs="宋体"/>
                <w:color w:val="auto"/>
                <w:sz w:val="22"/>
                <w:szCs w:val="22"/>
                <w:highlight w:val="none"/>
              </w:rPr>
            </w:pPr>
          </w:p>
        </w:tc>
        <w:tc>
          <w:tcPr>
            <w:tcW w:w="1371" w:type="dxa"/>
            <w:noWrap w:val="0"/>
            <w:vAlign w:val="center"/>
          </w:tcPr>
          <w:p w14:paraId="5124A501">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性  别</w:t>
            </w:r>
          </w:p>
        </w:tc>
        <w:tc>
          <w:tcPr>
            <w:tcW w:w="1961" w:type="dxa"/>
            <w:noWrap w:val="0"/>
            <w:vAlign w:val="center"/>
          </w:tcPr>
          <w:p w14:paraId="2C4014A3">
            <w:pPr>
              <w:tabs>
                <w:tab w:val="left" w:pos="1620"/>
              </w:tabs>
              <w:spacing w:line="440" w:lineRule="exact"/>
              <w:jc w:val="center"/>
              <w:rPr>
                <w:rFonts w:ascii="宋体" w:hAnsi="宋体" w:cs="宋体"/>
                <w:color w:val="auto"/>
                <w:sz w:val="22"/>
                <w:szCs w:val="22"/>
                <w:highlight w:val="none"/>
              </w:rPr>
            </w:pPr>
          </w:p>
        </w:tc>
        <w:tc>
          <w:tcPr>
            <w:tcW w:w="1361" w:type="dxa"/>
            <w:noWrap w:val="0"/>
            <w:vAlign w:val="center"/>
          </w:tcPr>
          <w:p w14:paraId="119D4C86">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年 龄</w:t>
            </w:r>
          </w:p>
        </w:tc>
        <w:tc>
          <w:tcPr>
            <w:tcW w:w="2410" w:type="dxa"/>
            <w:noWrap w:val="0"/>
            <w:vAlign w:val="center"/>
          </w:tcPr>
          <w:p w14:paraId="00E5C752">
            <w:pPr>
              <w:tabs>
                <w:tab w:val="left" w:pos="1620"/>
              </w:tabs>
              <w:spacing w:line="440" w:lineRule="exact"/>
              <w:jc w:val="center"/>
              <w:rPr>
                <w:rFonts w:ascii="宋体" w:hAnsi="宋体" w:cs="宋体"/>
                <w:color w:val="auto"/>
                <w:sz w:val="22"/>
                <w:szCs w:val="22"/>
                <w:highlight w:val="none"/>
              </w:rPr>
            </w:pPr>
          </w:p>
        </w:tc>
      </w:tr>
      <w:tr w14:paraId="750A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97" w:type="dxa"/>
            <w:noWrap w:val="0"/>
            <w:vAlign w:val="center"/>
          </w:tcPr>
          <w:p w14:paraId="0539568D">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学 历</w:t>
            </w:r>
          </w:p>
        </w:tc>
        <w:tc>
          <w:tcPr>
            <w:tcW w:w="1884" w:type="dxa"/>
            <w:noWrap w:val="0"/>
            <w:vAlign w:val="center"/>
          </w:tcPr>
          <w:p w14:paraId="6B2FD031">
            <w:pPr>
              <w:tabs>
                <w:tab w:val="left" w:pos="1620"/>
              </w:tabs>
              <w:spacing w:line="440" w:lineRule="exact"/>
              <w:jc w:val="center"/>
              <w:rPr>
                <w:rFonts w:ascii="宋体" w:hAnsi="宋体" w:cs="宋体"/>
                <w:color w:val="auto"/>
                <w:sz w:val="22"/>
                <w:szCs w:val="22"/>
                <w:highlight w:val="none"/>
              </w:rPr>
            </w:pPr>
          </w:p>
        </w:tc>
        <w:tc>
          <w:tcPr>
            <w:tcW w:w="1371" w:type="dxa"/>
            <w:noWrap w:val="0"/>
            <w:vAlign w:val="center"/>
          </w:tcPr>
          <w:p w14:paraId="35D9A5CC">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专业</w:t>
            </w:r>
          </w:p>
        </w:tc>
        <w:tc>
          <w:tcPr>
            <w:tcW w:w="1961" w:type="dxa"/>
            <w:noWrap w:val="0"/>
            <w:vAlign w:val="center"/>
          </w:tcPr>
          <w:p w14:paraId="53A2C13E">
            <w:pPr>
              <w:tabs>
                <w:tab w:val="left" w:pos="1620"/>
              </w:tabs>
              <w:spacing w:line="440" w:lineRule="exact"/>
              <w:jc w:val="center"/>
              <w:rPr>
                <w:rFonts w:ascii="宋体" w:hAnsi="宋体" w:cs="宋体"/>
                <w:color w:val="auto"/>
                <w:sz w:val="22"/>
                <w:szCs w:val="22"/>
                <w:highlight w:val="none"/>
              </w:rPr>
            </w:pPr>
          </w:p>
        </w:tc>
        <w:tc>
          <w:tcPr>
            <w:tcW w:w="1361" w:type="dxa"/>
            <w:noWrap w:val="0"/>
            <w:vAlign w:val="center"/>
          </w:tcPr>
          <w:p w14:paraId="12B3ECA3">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职称/资格</w:t>
            </w:r>
          </w:p>
        </w:tc>
        <w:tc>
          <w:tcPr>
            <w:tcW w:w="2410" w:type="dxa"/>
            <w:noWrap w:val="0"/>
            <w:vAlign w:val="center"/>
          </w:tcPr>
          <w:p w14:paraId="1186C47F">
            <w:pPr>
              <w:tabs>
                <w:tab w:val="left" w:pos="1620"/>
              </w:tabs>
              <w:spacing w:line="440" w:lineRule="exact"/>
              <w:jc w:val="center"/>
              <w:rPr>
                <w:rFonts w:ascii="宋体" w:hAnsi="宋体" w:cs="宋体"/>
                <w:color w:val="auto"/>
                <w:sz w:val="22"/>
                <w:szCs w:val="22"/>
                <w:highlight w:val="none"/>
              </w:rPr>
            </w:pPr>
          </w:p>
        </w:tc>
      </w:tr>
      <w:tr w14:paraId="495D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7" w:type="dxa"/>
            <w:noWrap w:val="0"/>
            <w:vAlign w:val="center"/>
          </w:tcPr>
          <w:p w14:paraId="402C0054">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曾获荣誉</w:t>
            </w:r>
          </w:p>
        </w:tc>
        <w:tc>
          <w:tcPr>
            <w:tcW w:w="5216" w:type="dxa"/>
            <w:gridSpan w:val="3"/>
            <w:noWrap w:val="0"/>
            <w:vAlign w:val="center"/>
          </w:tcPr>
          <w:p w14:paraId="29083E58">
            <w:pPr>
              <w:tabs>
                <w:tab w:val="left" w:pos="1620"/>
              </w:tabs>
              <w:spacing w:line="440" w:lineRule="exact"/>
              <w:jc w:val="center"/>
              <w:rPr>
                <w:rFonts w:ascii="宋体" w:hAnsi="宋体" w:cs="宋体"/>
                <w:color w:val="auto"/>
                <w:sz w:val="22"/>
                <w:szCs w:val="22"/>
                <w:highlight w:val="none"/>
              </w:rPr>
            </w:pPr>
          </w:p>
        </w:tc>
        <w:tc>
          <w:tcPr>
            <w:tcW w:w="1361" w:type="dxa"/>
            <w:noWrap w:val="0"/>
            <w:vAlign w:val="center"/>
          </w:tcPr>
          <w:p w14:paraId="53A75294">
            <w:pPr>
              <w:tabs>
                <w:tab w:val="left" w:pos="1620"/>
              </w:tabs>
              <w:spacing w:line="44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联系方式</w:t>
            </w:r>
          </w:p>
        </w:tc>
        <w:tc>
          <w:tcPr>
            <w:tcW w:w="2410" w:type="dxa"/>
            <w:noWrap w:val="0"/>
            <w:vAlign w:val="center"/>
          </w:tcPr>
          <w:p w14:paraId="263E7F03">
            <w:pPr>
              <w:tabs>
                <w:tab w:val="left" w:pos="1620"/>
              </w:tabs>
              <w:spacing w:line="440" w:lineRule="exact"/>
              <w:jc w:val="center"/>
              <w:rPr>
                <w:rFonts w:ascii="宋体" w:hAnsi="宋体" w:cs="宋体"/>
                <w:color w:val="auto"/>
                <w:sz w:val="22"/>
                <w:szCs w:val="22"/>
                <w:highlight w:val="none"/>
              </w:rPr>
            </w:pPr>
          </w:p>
        </w:tc>
      </w:tr>
      <w:tr w14:paraId="0EE1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7" w:hRule="atLeast"/>
        </w:trPr>
        <w:tc>
          <w:tcPr>
            <w:tcW w:w="10184" w:type="dxa"/>
            <w:gridSpan w:val="6"/>
            <w:noWrap w:val="0"/>
            <w:vAlign w:val="top"/>
          </w:tcPr>
          <w:p w14:paraId="1D6A199C">
            <w:pPr>
              <w:tabs>
                <w:tab w:val="left" w:pos="1620"/>
              </w:tabs>
              <w:spacing w:before="120" w:beforeLines="50" w:line="440" w:lineRule="exact"/>
              <w:rPr>
                <w:rFonts w:ascii="宋体" w:hAnsi="宋体" w:cs="宋体"/>
                <w:color w:val="auto"/>
                <w:sz w:val="22"/>
                <w:szCs w:val="22"/>
                <w:highlight w:val="none"/>
              </w:rPr>
            </w:pPr>
            <w:r>
              <w:rPr>
                <w:rFonts w:hint="eastAsia" w:ascii="宋体" w:hAnsi="宋体" w:cs="宋体"/>
                <w:color w:val="auto"/>
                <w:sz w:val="22"/>
                <w:szCs w:val="22"/>
                <w:highlight w:val="none"/>
              </w:rPr>
              <w:t>从事相关工作经历及业绩：</w:t>
            </w:r>
          </w:p>
        </w:tc>
      </w:tr>
    </w:tbl>
    <w:p w14:paraId="29E4BBD5">
      <w:pPr>
        <w:pStyle w:val="15"/>
        <w:spacing w:line="340" w:lineRule="exact"/>
        <w:rPr>
          <w:rFonts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A3CD23D">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2D3CBB5">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投标人代表（签字或盖章）：</w:t>
      </w:r>
    </w:p>
    <w:p w14:paraId="5B50615B">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 xml:space="preserve">日期：  年   月  日  </w:t>
      </w:r>
    </w:p>
    <w:p w14:paraId="5ECF3EF3">
      <w:pPr>
        <w:pStyle w:val="15"/>
        <w:tabs>
          <w:tab w:val="left" w:pos="0"/>
          <w:tab w:val="left" w:pos="540"/>
        </w:tabs>
        <w:spacing w:line="340" w:lineRule="exact"/>
        <w:rPr>
          <w:rFonts w:hAnsi="宋体" w:eastAsia="宋体" w:cs="宋体"/>
          <w:color w:val="auto"/>
          <w:sz w:val="22"/>
          <w:szCs w:val="22"/>
          <w:highlight w:val="none"/>
        </w:rPr>
      </w:pPr>
    </w:p>
    <w:p w14:paraId="1324F2C7">
      <w:pPr>
        <w:rPr>
          <w:rFonts w:ascii="宋体" w:hAnsi="宋体" w:cs="宋体"/>
          <w:b/>
          <w:color w:val="auto"/>
          <w:sz w:val="22"/>
          <w:szCs w:val="22"/>
          <w:highlight w:val="none"/>
        </w:rPr>
      </w:pPr>
      <w:r>
        <w:rPr>
          <w:rFonts w:hint="eastAsia" w:ascii="宋体" w:hAnsi="宋体" w:cs="宋体"/>
          <w:b/>
          <w:color w:val="auto"/>
          <w:sz w:val="22"/>
          <w:szCs w:val="22"/>
          <w:highlight w:val="none"/>
        </w:rPr>
        <w:br w:type="page"/>
      </w:r>
      <w:r>
        <w:rPr>
          <w:rFonts w:hint="eastAsia" w:ascii="宋体" w:hAnsi="宋体" w:cs="宋体"/>
          <w:b/>
          <w:color w:val="auto"/>
          <w:sz w:val="22"/>
          <w:szCs w:val="22"/>
          <w:highlight w:val="none"/>
        </w:rPr>
        <w:t xml:space="preserve">附件四                 </w:t>
      </w:r>
    </w:p>
    <w:p w14:paraId="130132A9">
      <w:pPr>
        <w:tabs>
          <w:tab w:val="left" w:pos="780"/>
        </w:tabs>
        <w:spacing w:line="400" w:lineRule="exact"/>
        <w:ind w:left="180"/>
        <w:rPr>
          <w:rFonts w:ascii="新宋体" w:hAnsi="新宋体" w:eastAsia="新宋体"/>
          <w:color w:val="auto"/>
          <w:sz w:val="22"/>
          <w:szCs w:val="22"/>
          <w:highlight w:val="none"/>
        </w:rPr>
      </w:pPr>
    </w:p>
    <w:p w14:paraId="3767D5E7">
      <w:pPr>
        <w:jc w:val="center"/>
        <w:rPr>
          <w:rFonts w:ascii="宋体" w:hAnsi="宋体" w:cs="宋体"/>
          <w:b/>
          <w:color w:val="auto"/>
          <w:sz w:val="22"/>
          <w:szCs w:val="22"/>
          <w:highlight w:val="none"/>
        </w:rPr>
      </w:pPr>
      <w:r>
        <w:rPr>
          <w:rFonts w:hint="eastAsia" w:ascii="宋体" w:hAnsi="宋体" w:cs="宋体"/>
          <w:b/>
          <w:color w:val="auto"/>
          <w:sz w:val="22"/>
          <w:szCs w:val="22"/>
          <w:highlight w:val="none"/>
          <w:lang w:eastAsia="zh-CN"/>
        </w:rPr>
        <w:t>（</w:t>
      </w: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lang w:eastAsia="zh-CN"/>
        </w:rPr>
        <w:t>）安保服务</w:t>
      </w:r>
      <w:r>
        <w:rPr>
          <w:rFonts w:hint="eastAsia" w:ascii="宋体" w:hAnsi="宋体" w:cs="宋体"/>
          <w:b/>
          <w:color w:val="auto"/>
          <w:sz w:val="22"/>
          <w:szCs w:val="22"/>
          <w:highlight w:val="none"/>
        </w:rPr>
        <w:t>人员</w:t>
      </w:r>
      <w:r>
        <w:rPr>
          <w:rFonts w:hint="eastAsia" w:ascii="宋体" w:hAnsi="宋体" w:cs="宋体"/>
          <w:b/>
          <w:color w:val="auto"/>
          <w:sz w:val="22"/>
          <w:szCs w:val="22"/>
          <w:highlight w:val="none"/>
          <w:lang w:eastAsia="zh-CN"/>
        </w:rPr>
        <w:t>、消纳票据收验人员</w:t>
      </w:r>
      <w:r>
        <w:rPr>
          <w:rFonts w:hint="eastAsia" w:ascii="宋体" w:hAnsi="宋体" w:cs="宋体"/>
          <w:b/>
          <w:color w:val="auto"/>
          <w:sz w:val="22"/>
          <w:szCs w:val="22"/>
          <w:highlight w:val="none"/>
        </w:rPr>
        <w:t>情况表</w:t>
      </w:r>
    </w:p>
    <w:p w14:paraId="6E263668">
      <w:pPr>
        <w:pStyle w:val="2"/>
        <w:rPr>
          <w:rFonts w:ascii="宋体" w:hAnsi="宋体" w:eastAsia="宋体" w:cs="宋体"/>
          <w:color w:val="auto"/>
          <w:sz w:val="22"/>
          <w:szCs w:val="22"/>
          <w:highlight w:val="none"/>
        </w:rPr>
      </w:pPr>
    </w:p>
    <w:p w14:paraId="0871E931">
      <w:pPr>
        <w:rPr>
          <w:rFonts w:ascii="宋体" w:hAnsi="宋体" w:cs="宋体"/>
          <w:color w:val="auto"/>
          <w:sz w:val="22"/>
          <w:szCs w:val="22"/>
          <w:highlight w:val="none"/>
        </w:rPr>
      </w:pPr>
      <w:r>
        <w:rPr>
          <w:rFonts w:hint="eastAsia" w:ascii="宋体" w:hAnsi="宋体" w:cs="宋体"/>
          <w:b/>
          <w:color w:val="auto"/>
          <w:sz w:val="22"/>
          <w:szCs w:val="22"/>
          <w:highlight w:val="none"/>
        </w:rPr>
        <w:t>项目名称：                                         项目编号：</w:t>
      </w:r>
      <w:r>
        <w:rPr>
          <w:rFonts w:hint="eastAsia" w:ascii="宋体" w:hAnsi="宋体" w:cs="宋体"/>
          <w:color w:val="auto"/>
          <w:sz w:val="22"/>
          <w:szCs w:val="22"/>
          <w:highlight w:val="none"/>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885"/>
        <w:gridCol w:w="629"/>
        <w:gridCol w:w="758"/>
        <w:gridCol w:w="886"/>
        <w:gridCol w:w="957"/>
        <w:gridCol w:w="1069"/>
        <w:gridCol w:w="886"/>
        <w:gridCol w:w="1107"/>
        <w:gridCol w:w="2235"/>
      </w:tblGrid>
      <w:tr w14:paraId="4497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6" w:type="dxa"/>
            <w:noWrap w:val="0"/>
            <w:vAlign w:val="center"/>
          </w:tcPr>
          <w:p w14:paraId="3B9361AD">
            <w:pP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885" w:type="dxa"/>
            <w:noWrap w:val="0"/>
            <w:vAlign w:val="center"/>
          </w:tcPr>
          <w:p w14:paraId="18E43C53">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姓名</w:t>
            </w:r>
          </w:p>
        </w:tc>
        <w:tc>
          <w:tcPr>
            <w:tcW w:w="629" w:type="dxa"/>
            <w:noWrap w:val="0"/>
            <w:vAlign w:val="center"/>
          </w:tcPr>
          <w:p w14:paraId="02F8F4AC">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性别</w:t>
            </w:r>
          </w:p>
        </w:tc>
        <w:tc>
          <w:tcPr>
            <w:tcW w:w="758" w:type="dxa"/>
            <w:noWrap w:val="0"/>
            <w:vAlign w:val="center"/>
          </w:tcPr>
          <w:p w14:paraId="1407659B">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年龄</w:t>
            </w:r>
          </w:p>
        </w:tc>
        <w:tc>
          <w:tcPr>
            <w:tcW w:w="886" w:type="dxa"/>
            <w:noWrap w:val="0"/>
            <w:vAlign w:val="center"/>
          </w:tcPr>
          <w:p w14:paraId="36D5FA84">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专业/年限</w:t>
            </w:r>
          </w:p>
        </w:tc>
        <w:tc>
          <w:tcPr>
            <w:tcW w:w="957" w:type="dxa"/>
            <w:noWrap w:val="0"/>
            <w:vAlign w:val="center"/>
          </w:tcPr>
          <w:p w14:paraId="6CB2A9AA">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职称/</w:t>
            </w:r>
            <w:r>
              <w:rPr>
                <w:rFonts w:hint="eastAsia" w:ascii="宋体" w:hAnsi="宋体" w:cs="宋体"/>
                <w:color w:val="auto"/>
                <w:sz w:val="22"/>
                <w:szCs w:val="22"/>
                <w:highlight w:val="none"/>
              </w:rPr>
              <w:t>资格</w:t>
            </w:r>
          </w:p>
        </w:tc>
        <w:tc>
          <w:tcPr>
            <w:tcW w:w="1069" w:type="dxa"/>
            <w:noWrap w:val="0"/>
            <w:vAlign w:val="center"/>
          </w:tcPr>
          <w:p w14:paraId="7CAF2977">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拟担任何种工作/职务</w:t>
            </w:r>
          </w:p>
        </w:tc>
        <w:tc>
          <w:tcPr>
            <w:tcW w:w="886" w:type="dxa"/>
            <w:noWrap w:val="0"/>
            <w:vAlign w:val="center"/>
          </w:tcPr>
          <w:p w14:paraId="2F3E4CBE">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承诺</w:t>
            </w:r>
          </w:p>
          <w:p w14:paraId="259300C6">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到位率</w:t>
            </w:r>
          </w:p>
        </w:tc>
        <w:tc>
          <w:tcPr>
            <w:tcW w:w="1107" w:type="dxa"/>
            <w:noWrap w:val="0"/>
            <w:vAlign w:val="center"/>
          </w:tcPr>
          <w:p w14:paraId="39713773">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到现场服务起止时间</w:t>
            </w:r>
          </w:p>
        </w:tc>
        <w:tc>
          <w:tcPr>
            <w:tcW w:w="2235" w:type="dxa"/>
            <w:noWrap w:val="0"/>
            <w:vAlign w:val="center"/>
          </w:tcPr>
          <w:p w14:paraId="6985F352">
            <w:pPr>
              <w:jc w:val="center"/>
              <w:rPr>
                <w:rFonts w:ascii="宋体" w:hAnsi="宋体" w:cs="宋体"/>
                <w:bCs/>
                <w:color w:val="auto"/>
                <w:sz w:val="22"/>
                <w:szCs w:val="22"/>
                <w:highlight w:val="none"/>
              </w:rPr>
            </w:pPr>
            <w:r>
              <w:rPr>
                <w:rFonts w:hint="eastAsia" w:ascii="宋体" w:hAnsi="宋体" w:cs="宋体"/>
                <w:bCs/>
                <w:color w:val="auto"/>
                <w:sz w:val="22"/>
                <w:szCs w:val="22"/>
                <w:highlight w:val="none"/>
              </w:rPr>
              <w:t>类似服务的经历、业绩、是否有上岗证等介绍（或另附简历）</w:t>
            </w:r>
          </w:p>
        </w:tc>
      </w:tr>
      <w:tr w14:paraId="3979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501107A3">
            <w:pPr>
              <w:rPr>
                <w:rFonts w:ascii="宋体" w:hAnsi="宋体" w:cs="宋体"/>
                <w:color w:val="auto"/>
                <w:sz w:val="22"/>
                <w:szCs w:val="22"/>
                <w:highlight w:val="none"/>
              </w:rPr>
            </w:pPr>
          </w:p>
        </w:tc>
        <w:tc>
          <w:tcPr>
            <w:tcW w:w="885" w:type="dxa"/>
            <w:noWrap w:val="0"/>
            <w:vAlign w:val="center"/>
          </w:tcPr>
          <w:p w14:paraId="6D14549B">
            <w:pPr>
              <w:rPr>
                <w:rFonts w:ascii="宋体" w:hAnsi="宋体" w:cs="宋体"/>
                <w:color w:val="auto"/>
                <w:sz w:val="22"/>
                <w:szCs w:val="22"/>
                <w:highlight w:val="none"/>
              </w:rPr>
            </w:pPr>
          </w:p>
        </w:tc>
        <w:tc>
          <w:tcPr>
            <w:tcW w:w="629" w:type="dxa"/>
            <w:noWrap w:val="0"/>
            <w:vAlign w:val="center"/>
          </w:tcPr>
          <w:p w14:paraId="051A815A">
            <w:pPr>
              <w:rPr>
                <w:rFonts w:ascii="宋体" w:hAnsi="宋体" w:cs="宋体"/>
                <w:color w:val="auto"/>
                <w:sz w:val="22"/>
                <w:szCs w:val="22"/>
                <w:highlight w:val="none"/>
              </w:rPr>
            </w:pPr>
          </w:p>
        </w:tc>
        <w:tc>
          <w:tcPr>
            <w:tcW w:w="758" w:type="dxa"/>
            <w:noWrap w:val="0"/>
            <w:vAlign w:val="center"/>
          </w:tcPr>
          <w:p w14:paraId="659ED6CD">
            <w:pPr>
              <w:rPr>
                <w:rFonts w:ascii="宋体" w:hAnsi="宋体" w:cs="宋体"/>
                <w:color w:val="auto"/>
                <w:sz w:val="22"/>
                <w:szCs w:val="22"/>
                <w:highlight w:val="none"/>
              </w:rPr>
            </w:pPr>
          </w:p>
        </w:tc>
        <w:tc>
          <w:tcPr>
            <w:tcW w:w="886" w:type="dxa"/>
            <w:noWrap w:val="0"/>
            <w:vAlign w:val="center"/>
          </w:tcPr>
          <w:p w14:paraId="722517C9">
            <w:pPr>
              <w:rPr>
                <w:rFonts w:ascii="宋体" w:hAnsi="宋体" w:cs="宋体"/>
                <w:color w:val="auto"/>
                <w:sz w:val="22"/>
                <w:szCs w:val="22"/>
                <w:highlight w:val="none"/>
              </w:rPr>
            </w:pPr>
          </w:p>
        </w:tc>
        <w:tc>
          <w:tcPr>
            <w:tcW w:w="957" w:type="dxa"/>
            <w:noWrap w:val="0"/>
            <w:vAlign w:val="center"/>
          </w:tcPr>
          <w:p w14:paraId="7C6E09D1">
            <w:pPr>
              <w:rPr>
                <w:rFonts w:ascii="宋体" w:hAnsi="宋体" w:cs="宋体"/>
                <w:color w:val="auto"/>
                <w:sz w:val="22"/>
                <w:szCs w:val="22"/>
                <w:highlight w:val="none"/>
              </w:rPr>
            </w:pPr>
          </w:p>
        </w:tc>
        <w:tc>
          <w:tcPr>
            <w:tcW w:w="1069" w:type="dxa"/>
            <w:noWrap w:val="0"/>
            <w:vAlign w:val="center"/>
          </w:tcPr>
          <w:p w14:paraId="14DF6AA2">
            <w:pPr>
              <w:rPr>
                <w:rFonts w:ascii="宋体" w:hAnsi="宋体" w:cs="宋体"/>
                <w:color w:val="auto"/>
                <w:sz w:val="22"/>
                <w:szCs w:val="22"/>
                <w:highlight w:val="none"/>
              </w:rPr>
            </w:pPr>
          </w:p>
        </w:tc>
        <w:tc>
          <w:tcPr>
            <w:tcW w:w="886" w:type="dxa"/>
            <w:noWrap w:val="0"/>
            <w:vAlign w:val="center"/>
          </w:tcPr>
          <w:p w14:paraId="52FE2C3A">
            <w:pPr>
              <w:rPr>
                <w:rFonts w:ascii="宋体" w:hAnsi="宋体" w:cs="宋体"/>
                <w:color w:val="auto"/>
                <w:sz w:val="22"/>
                <w:szCs w:val="22"/>
                <w:highlight w:val="none"/>
              </w:rPr>
            </w:pPr>
          </w:p>
        </w:tc>
        <w:tc>
          <w:tcPr>
            <w:tcW w:w="1107" w:type="dxa"/>
            <w:noWrap w:val="0"/>
            <w:vAlign w:val="center"/>
          </w:tcPr>
          <w:p w14:paraId="6F0AFF51">
            <w:pPr>
              <w:rPr>
                <w:rFonts w:ascii="宋体" w:hAnsi="宋体" w:cs="宋体"/>
                <w:color w:val="auto"/>
                <w:sz w:val="22"/>
                <w:szCs w:val="22"/>
                <w:highlight w:val="none"/>
              </w:rPr>
            </w:pPr>
          </w:p>
        </w:tc>
        <w:tc>
          <w:tcPr>
            <w:tcW w:w="2235" w:type="dxa"/>
            <w:noWrap w:val="0"/>
            <w:vAlign w:val="center"/>
          </w:tcPr>
          <w:p w14:paraId="3736F996">
            <w:pPr>
              <w:rPr>
                <w:rFonts w:ascii="宋体" w:hAnsi="宋体" w:cs="宋体"/>
                <w:color w:val="auto"/>
                <w:sz w:val="22"/>
                <w:szCs w:val="22"/>
                <w:highlight w:val="none"/>
              </w:rPr>
            </w:pPr>
          </w:p>
        </w:tc>
      </w:tr>
      <w:tr w14:paraId="5DBF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10233B22">
            <w:pPr>
              <w:rPr>
                <w:rFonts w:ascii="宋体" w:hAnsi="宋体" w:cs="宋体"/>
                <w:color w:val="auto"/>
                <w:sz w:val="22"/>
                <w:szCs w:val="22"/>
                <w:highlight w:val="none"/>
              </w:rPr>
            </w:pPr>
          </w:p>
        </w:tc>
        <w:tc>
          <w:tcPr>
            <w:tcW w:w="885" w:type="dxa"/>
            <w:noWrap w:val="0"/>
            <w:vAlign w:val="center"/>
          </w:tcPr>
          <w:p w14:paraId="21967B4E">
            <w:pPr>
              <w:rPr>
                <w:rFonts w:ascii="宋体" w:hAnsi="宋体" w:cs="宋体"/>
                <w:color w:val="auto"/>
                <w:sz w:val="22"/>
                <w:szCs w:val="22"/>
                <w:highlight w:val="none"/>
              </w:rPr>
            </w:pPr>
          </w:p>
        </w:tc>
        <w:tc>
          <w:tcPr>
            <w:tcW w:w="629" w:type="dxa"/>
            <w:noWrap w:val="0"/>
            <w:vAlign w:val="center"/>
          </w:tcPr>
          <w:p w14:paraId="47A5CE6E">
            <w:pPr>
              <w:rPr>
                <w:rFonts w:ascii="宋体" w:hAnsi="宋体" w:cs="宋体"/>
                <w:color w:val="auto"/>
                <w:sz w:val="22"/>
                <w:szCs w:val="22"/>
                <w:highlight w:val="none"/>
              </w:rPr>
            </w:pPr>
          </w:p>
        </w:tc>
        <w:tc>
          <w:tcPr>
            <w:tcW w:w="758" w:type="dxa"/>
            <w:noWrap w:val="0"/>
            <w:vAlign w:val="center"/>
          </w:tcPr>
          <w:p w14:paraId="45F9C61F">
            <w:pPr>
              <w:rPr>
                <w:rFonts w:ascii="宋体" w:hAnsi="宋体" w:cs="宋体"/>
                <w:color w:val="auto"/>
                <w:sz w:val="22"/>
                <w:szCs w:val="22"/>
                <w:highlight w:val="none"/>
              </w:rPr>
            </w:pPr>
          </w:p>
        </w:tc>
        <w:tc>
          <w:tcPr>
            <w:tcW w:w="886" w:type="dxa"/>
            <w:noWrap w:val="0"/>
            <w:vAlign w:val="center"/>
          </w:tcPr>
          <w:p w14:paraId="5679476B">
            <w:pPr>
              <w:rPr>
                <w:rFonts w:ascii="宋体" w:hAnsi="宋体" w:cs="宋体"/>
                <w:color w:val="auto"/>
                <w:sz w:val="22"/>
                <w:szCs w:val="22"/>
                <w:highlight w:val="none"/>
              </w:rPr>
            </w:pPr>
          </w:p>
        </w:tc>
        <w:tc>
          <w:tcPr>
            <w:tcW w:w="957" w:type="dxa"/>
            <w:noWrap w:val="0"/>
            <w:vAlign w:val="center"/>
          </w:tcPr>
          <w:p w14:paraId="0AEDD619">
            <w:pPr>
              <w:rPr>
                <w:rFonts w:ascii="宋体" w:hAnsi="宋体" w:cs="宋体"/>
                <w:color w:val="auto"/>
                <w:sz w:val="22"/>
                <w:szCs w:val="22"/>
                <w:highlight w:val="none"/>
              </w:rPr>
            </w:pPr>
          </w:p>
        </w:tc>
        <w:tc>
          <w:tcPr>
            <w:tcW w:w="1069" w:type="dxa"/>
            <w:noWrap w:val="0"/>
            <w:vAlign w:val="center"/>
          </w:tcPr>
          <w:p w14:paraId="2BF6CA4B">
            <w:pPr>
              <w:rPr>
                <w:rFonts w:ascii="宋体" w:hAnsi="宋体" w:cs="宋体"/>
                <w:color w:val="auto"/>
                <w:sz w:val="22"/>
                <w:szCs w:val="22"/>
                <w:highlight w:val="none"/>
              </w:rPr>
            </w:pPr>
          </w:p>
        </w:tc>
        <w:tc>
          <w:tcPr>
            <w:tcW w:w="886" w:type="dxa"/>
            <w:noWrap w:val="0"/>
            <w:vAlign w:val="center"/>
          </w:tcPr>
          <w:p w14:paraId="7C641E69">
            <w:pPr>
              <w:rPr>
                <w:rFonts w:ascii="宋体" w:hAnsi="宋体" w:cs="宋体"/>
                <w:color w:val="auto"/>
                <w:sz w:val="22"/>
                <w:szCs w:val="22"/>
                <w:highlight w:val="none"/>
              </w:rPr>
            </w:pPr>
          </w:p>
        </w:tc>
        <w:tc>
          <w:tcPr>
            <w:tcW w:w="1107" w:type="dxa"/>
            <w:noWrap w:val="0"/>
            <w:vAlign w:val="center"/>
          </w:tcPr>
          <w:p w14:paraId="1633444A">
            <w:pPr>
              <w:rPr>
                <w:rFonts w:ascii="宋体" w:hAnsi="宋体" w:cs="宋体"/>
                <w:color w:val="auto"/>
                <w:sz w:val="22"/>
                <w:szCs w:val="22"/>
                <w:highlight w:val="none"/>
              </w:rPr>
            </w:pPr>
          </w:p>
        </w:tc>
        <w:tc>
          <w:tcPr>
            <w:tcW w:w="2235" w:type="dxa"/>
            <w:noWrap w:val="0"/>
            <w:vAlign w:val="center"/>
          </w:tcPr>
          <w:p w14:paraId="151B5611">
            <w:pPr>
              <w:pStyle w:val="16"/>
              <w:ind w:left="5250"/>
              <w:rPr>
                <w:rFonts w:ascii="宋体" w:hAnsi="宋体" w:cs="宋体"/>
                <w:color w:val="auto"/>
                <w:sz w:val="22"/>
                <w:szCs w:val="22"/>
                <w:highlight w:val="none"/>
              </w:rPr>
            </w:pPr>
          </w:p>
        </w:tc>
      </w:tr>
      <w:tr w14:paraId="3B16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562382AB">
            <w:pPr>
              <w:rPr>
                <w:rFonts w:ascii="宋体" w:hAnsi="宋体" w:cs="宋体"/>
                <w:color w:val="auto"/>
                <w:sz w:val="22"/>
                <w:szCs w:val="22"/>
                <w:highlight w:val="none"/>
              </w:rPr>
            </w:pPr>
          </w:p>
        </w:tc>
        <w:tc>
          <w:tcPr>
            <w:tcW w:w="885" w:type="dxa"/>
            <w:noWrap w:val="0"/>
            <w:vAlign w:val="center"/>
          </w:tcPr>
          <w:p w14:paraId="34E1379B">
            <w:pPr>
              <w:rPr>
                <w:rFonts w:ascii="宋体" w:hAnsi="宋体" w:cs="宋体"/>
                <w:color w:val="auto"/>
                <w:sz w:val="22"/>
                <w:szCs w:val="22"/>
                <w:highlight w:val="none"/>
              </w:rPr>
            </w:pPr>
          </w:p>
        </w:tc>
        <w:tc>
          <w:tcPr>
            <w:tcW w:w="629" w:type="dxa"/>
            <w:noWrap w:val="0"/>
            <w:vAlign w:val="center"/>
          </w:tcPr>
          <w:p w14:paraId="7C3C2652">
            <w:pPr>
              <w:rPr>
                <w:rFonts w:ascii="宋体" w:hAnsi="宋体" w:cs="宋体"/>
                <w:color w:val="auto"/>
                <w:sz w:val="22"/>
                <w:szCs w:val="22"/>
                <w:highlight w:val="none"/>
              </w:rPr>
            </w:pPr>
          </w:p>
        </w:tc>
        <w:tc>
          <w:tcPr>
            <w:tcW w:w="758" w:type="dxa"/>
            <w:noWrap w:val="0"/>
            <w:vAlign w:val="center"/>
          </w:tcPr>
          <w:p w14:paraId="04018BD6">
            <w:pPr>
              <w:rPr>
                <w:rFonts w:ascii="宋体" w:hAnsi="宋体" w:cs="宋体"/>
                <w:color w:val="auto"/>
                <w:sz w:val="22"/>
                <w:szCs w:val="22"/>
                <w:highlight w:val="none"/>
              </w:rPr>
            </w:pPr>
          </w:p>
        </w:tc>
        <w:tc>
          <w:tcPr>
            <w:tcW w:w="886" w:type="dxa"/>
            <w:noWrap w:val="0"/>
            <w:vAlign w:val="center"/>
          </w:tcPr>
          <w:p w14:paraId="16122A97">
            <w:pPr>
              <w:rPr>
                <w:rFonts w:ascii="宋体" w:hAnsi="宋体" w:cs="宋体"/>
                <w:color w:val="auto"/>
                <w:sz w:val="22"/>
                <w:szCs w:val="22"/>
                <w:highlight w:val="none"/>
              </w:rPr>
            </w:pPr>
          </w:p>
        </w:tc>
        <w:tc>
          <w:tcPr>
            <w:tcW w:w="957" w:type="dxa"/>
            <w:noWrap w:val="0"/>
            <w:vAlign w:val="center"/>
          </w:tcPr>
          <w:p w14:paraId="78C601C4">
            <w:pPr>
              <w:rPr>
                <w:rFonts w:ascii="宋体" w:hAnsi="宋体" w:cs="宋体"/>
                <w:color w:val="auto"/>
                <w:sz w:val="22"/>
                <w:szCs w:val="22"/>
                <w:highlight w:val="none"/>
              </w:rPr>
            </w:pPr>
          </w:p>
        </w:tc>
        <w:tc>
          <w:tcPr>
            <w:tcW w:w="1069" w:type="dxa"/>
            <w:noWrap w:val="0"/>
            <w:vAlign w:val="center"/>
          </w:tcPr>
          <w:p w14:paraId="603C3E6F">
            <w:pPr>
              <w:rPr>
                <w:rFonts w:ascii="宋体" w:hAnsi="宋体" w:cs="宋体"/>
                <w:color w:val="auto"/>
                <w:sz w:val="22"/>
                <w:szCs w:val="22"/>
                <w:highlight w:val="none"/>
              </w:rPr>
            </w:pPr>
          </w:p>
        </w:tc>
        <w:tc>
          <w:tcPr>
            <w:tcW w:w="886" w:type="dxa"/>
            <w:noWrap w:val="0"/>
            <w:vAlign w:val="center"/>
          </w:tcPr>
          <w:p w14:paraId="06CB2405">
            <w:pPr>
              <w:rPr>
                <w:rFonts w:ascii="宋体" w:hAnsi="宋体" w:cs="宋体"/>
                <w:color w:val="auto"/>
                <w:sz w:val="22"/>
                <w:szCs w:val="22"/>
                <w:highlight w:val="none"/>
              </w:rPr>
            </w:pPr>
          </w:p>
        </w:tc>
        <w:tc>
          <w:tcPr>
            <w:tcW w:w="1107" w:type="dxa"/>
            <w:noWrap w:val="0"/>
            <w:vAlign w:val="center"/>
          </w:tcPr>
          <w:p w14:paraId="5C0A58BB">
            <w:pPr>
              <w:rPr>
                <w:rFonts w:ascii="宋体" w:hAnsi="宋体" w:cs="宋体"/>
                <w:color w:val="auto"/>
                <w:sz w:val="22"/>
                <w:szCs w:val="22"/>
                <w:highlight w:val="none"/>
              </w:rPr>
            </w:pPr>
          </w:p>
        </w:tc>
        <w:tc>
          <w:tcPr>
            <w:tcW w:w="2235" w:type="dxa"/>
            <w:noWrap w:val="0"/>
            <w:vAlign w:val="center"/>
          </w:tcPr>
          <w:p w14:paraId="5321A36E">
            <w:pPr>
              <w:rPr>
                <w:rFonts w:ascii="宋体" w:hAnsi="宋体" w:cs="宋体"/>
                <w:color w:val="auto"/>
                <w:sz w:val="22"/>
                <w:szCs w:val="22"/>
                <w:highlight w:val="none"/>
              </w:rPr>
            </w:pPr>
          </w:p>
        </w:tc>
      </w:tr>
      <w:tr w14:paraId="45B5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7907E832">
            <w:pPr>
              <w:rPr>
                <w:rFonts w:ascii="宋体" w:hAnsi="宋体" w:cs="宋体"/>
                <w:color w:val="auto"/>
                <w:sz w:val="22"/>
                <w:szCs w:val="22"/>
                <w:highlight w:val="none"/>
              </w:rPr>
            </w:pPr>
          </w:p>
        </w:tc>
        <w:tc>
          <w:tcPr>
            <w:tcW w:w="885" w:type="dxa"/>
            <w:noWrap w:val="0"/>
            <w:vAlign w:val="center"/>
          </w:tcPr>
          <w:p w14:paraId="305A17BC">
            <w:pPr>
              <w:rPr>
                <w:rFonts w:ascii="宋体" w:hAnsi="宋体" w:cs="宋体"/>
                <w:color w:val="auto"/>
                <w:sz w:val="22"/>
                <w:szCs w:val="22"/>
                <w:highlight w:val="none"/>
              </w:rPr>
            </w:pPr>
          </w:p>
        </w:tc>
        <w:tc>
          <w:tcPr>
            <w:tcW w:w="629" w:type="dxa"/>
            <w:noWrap w:val="0"/>
            <w:vAlign w:val="center"/>
          </w:tcPr>
          <w:p w14:paraId="49C7EA03">
            <w:pPr>
              <w:rPr>
                <w:rFonts w:ascii="宋体" w:hAnsi="宋体" w:cs="宋体"/>
                <w:color w:val="auto"/>
                <w:sz w:val="22"/>
                <w:szCs w:val="22"/>
                <w:highlight w:val="none"/>
              </w:rPr>
            </w:pPr>
          </w:p>
        </w:tc>
        <w:tc>
          <w:tcPr>
            <w:tcW w:w="758" w:type="dxa"/>
            <w:noWrap w:val="0"/>
            <w:vAlign w:val="center"/>
          </w:tcPr>
          <w:p w14:paraId="070EAD7E">
            <w:pPr>
              <w:rPr>
                <w:rFonts w:ascii="宋体" w:hAnsi="宋体" w:cs="宋体"/>
                <w:color w:val="auto"/>
                <w:sz w:val="22"/>
                <w:szCs w:val="22"/>
                <w:highlight w:val="none"/>
              </w:rPr>
            </w:pPr>
          </w:p>
        </w:tc>
        <w:tc>
          <w:tcPr>
            <w:tcW w:w="886" w:type="dxa"/>
            <w:noWrap w:val="0"/>
            <w:vAlign w:val="center"/>
          </w:tcPr>
          <w:p w14:paraId="3A961BC2">
            <w:pPr>
              <w:rPr>
                <w:rFonts w:ascii="宋体" w:hAnsi="宋体" w:cs="宋体"/>
                <w:color w:val="auto"/>
                <w:sz w:val="22"/>
                <w:szCs w:val="22"/>
                <w:highlight w:val="none"/>
              </w:rPr>
            </w:pPr>
          </w:p>
        </w:tc>
        <w:tc>
          <w:tcPr>
            <w:tcW w:w="957" w:type="dxa"/>
            <w:noWrap w:val="0"/>
            <w:vAlign w:val="center"/>
          </w:tcPr>
          <w:p w14:paraId="173EABDB">
            <w:pPr>
              <w:rPr>
                <w:rFonts w:ascii="宋体" w:hAnsi="宋体" w:cs="宋体"/>
                <w:color w:val="auto"/>
                <w:sz w:val="22"/>
                <w:szCs w:val="22"/>
                <w:highlight w:val="none"/>
              </w:rPr>
            </w:pPr>
          </w:p>
        </w:tc>
        <w:tc>
          <w:tcPr>
            <w:tcW w:w="1069" w:type="dxa"/>
            <w:noWrap w:val="0"/>
            <w:vAlign w:val="center"/>
          </w:tcPr>
          <w:p w14:paraId="62E2EDA5">
            <w:pPr>
              <w:rPr>
                <w:rFonts w:ascii="宋体" w:hAnsi="宋体" w:cs="宋体"/>
                <w:color w:val="auto"/>
                <w:sz w:val="22"/>
                <w:szCs w:val="22"/>
                <w:highlight w:val="none"/>
              </w:rPr>
            </w:pPr>
          </w:p>
        </w:tc>
        <w:tc>
          <w:tcPr>
            <w:tcW w:w="886" w:type="dxa"/>
            <w:noWrap w:val="0"/>
            <w:vAlign w:val="center"/>
          </w:tcPr>
          <w:p w14:paraId="2F515597">
            <w:pPr>
              <w:rPr>
                <w:rFonts w:ascii="宋体" w:hAnsi="宋体" w:cs="宋体"/>
                <w:color w:val="auto"/>
                <w:sz w:val="22"/>
                <w:szCs w:val="22"/>
                <w:highlight w:val="none"/>
              </w:rPr>
            </w:pPr>
          </w:p>
        </w:tc>
        <w:tc>
          <w:tcPr>
            <w:tcW w:w="1107" w:type="dxa"/>
            <w:noWrap w:val="0"/>
            <w:vAlign w:val="center"/>
          </w:tcPr>
          <w:p w14:paraId="5F389011">
            <w:pPr>
              <w:rPr>
                <w:rFonts w:ascii="宋体" w:hAnsi="宋体" w:cs="宋体"/>
                <w:color w:val="auto"/>
                <w:sz w:val="22"/>
                <w:szCs w:val="22"/>
                <w:highlight w:val="none"/>
              </w:rPr>
            </w:pPr>
          </w:p>
        </w:tc>
        <w:tc>
          <w:tcPr>
            <w:tcW w:w="2235" w:type="dxa"/>
            <w:noWrap w:val="0"/>
            <w:vAlign w:val="center"/>
          </w:tcPr>
          <w:p w14:paraId="2EE07039">
            <w:pPr>
              <w:rPr>
                <w:rFonts w:ascii="宋体" w:hAnsi="宋体" w:cs="宋体"/>
                <w:color w:val="auto"/>
                <w:sz w:val="22"/>
                <w:szCs w:val="22"/>
                <w:highlight w:val="none"/>
              </w:rPr>
            </w:pPr>
          </w:p>
        </w:tc>
      </w:tr>
      <w:tr w14:paraId="615C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3CDE2073">
            <w:pPr>
              <w:rPr>
                <w:rFonts w:ascii="宋体" w:hAnsi="宋体" w:cs="宋体"/>
                <w:color w:val="auto"/>
                <w:sz w:val="22"/>
                <w:szCs w:val="22"/>
                <w:highlight w:val="none"/>
              </w:rPr>
            </w:pPr>
          </w:p>
        </w:tc>
        <w:tc>
          <w:tcPr>
            <w:tcW w:w="885" w:type="dxa"/>
            <w:noWrap w:val="0"/>
            <w:vAlign w:val="center"/>
          </w:tcPr>
          <w:p w14:paraId="4221E92C">
            <w:pPr>
              <w:rPr>
                <w:rFonts w:ascii="宋体" w:hAnsi="宋体" w:cs="宋体"/>
                <w:color w:val="auto"/>
                <w:sz w:val="22"/>
                <w:szCs w:val="22"/>
                <w:highlight w:val="none"/>
              </w:rPr>
            </w:pPr>
          </w:p>
        </w:tc>
        <w:tc>
          <w:tcPr>
            <w:tcW w:w="629" w:type="dxa"/>
            <w:noWrap w:val="0"/>
            <w:vAlign w:val="center"/>
          </w:tcPr>
          <w:p w14:paraId="163B8D4D">
            <w:pPr>
              <w:rPr>
                <w:rFonts w:ascii="宋体" w:hAnsi="宋体" w:cs="宋体"/>
                <w:color w:val="auto"/>
                <w:sz w:val="22"/>
                <w:szCs w:val="22"/>
                <w:highlight w:val="none"/>
              </w:rPr>
            </w:pPr>
          </w:p>
        </w:tc>
        <w:tc>
          <w:tcPr>
            <w:tcW w:w="758" w:type="dxa"/>
            <w:noWrap w:val="0"/>
            <w:vAlign w:val="center"/>
          </w:tcPr>
          <w:p w14:paraId="3A3C027D">
            <w:pPr>
              <w:rPr>
                <w:rFonts w:ascii="宋体" w:hAnsi="宋体" w:cs="宋体"/>
                <w:color w:val="auto"/>
                <w:sz w:val="22"/>
                <w:szCs w:val="22"/>
                <w:highlight w:val="none"/>
              </w:rPr>
            </w:pPr>
          </w:p>
        </w:tc>
        <w:tc>
          <w:tcPr>
            <w:tcW w:w="886" w:type="dxa"/>
            <w:noWrap w:val="0"/>
            <w:vAlign w:val="center"/>
          </w:tcPr>
          <w:p w14:paraId="4F83B893">
            <w:pPr>
              <w:rPr>
                <w:rFonts w:ascii="宋体" w:hAnsi="宋体" w:cs="宋体"/>
                <w:color w:val="auto"/>
                <w:sz w:val="22"/>
                <w:szCs w:val="22"/>
                <w:highlight w:val="none"/>
              </w:rPr>
            </w:pPr>
          </w:p>
        </w:tc>
        <w:tc>
          <w:tcPr>
            <w:tcW w:w="957" w:type="dxa"/>
            <w:noWrap w:val="0"/>
            <w:vAlign w:val="center"/>
          </w:tcPr>
          <w:p w14:paraId="63AC1BBE">
            <w:pPr>
              <w:rPr>
                <w:rFonts w:ascii="宋体" w:hAnsi="宋体" w:cs="宋体"/>
                <w:color w:val="auto"/>
                <w:sz w:val="22"/>
                <w:szCs w:val="22"/>
                <w:highlight w:val="none"/>
              </w:rPr>
            </w:pPr>
          </w:p>
        </w:tc>
        <w:tc>
          <w:tcPr>
            <w:tcW w:w="1069" w:type="dxa"/>
            <w:noWrap w:val="0"/>
            <w:vAlign w:val="center"/>
          </w:tcPr>
          <w:p w14:paraId="3FBCE972">
            <w:pPr>
              <w:rPr>
                <w:rFonts w:ascii="宋体" w:hAnsi="宋体" w:cs="宋体"/>
                <w:color w:val="auto"/>
                <w:sz w:val="22"/>
                <w:szCs w:val="22"/>
                <w:highlight w:val="none"/>
              </w:rPr>
            </w:pPr>
          </w:p>
        </w:tc>
        <w:tc>
          <w:tcPr>
            <w:tcW w:w="886" w:type="dxa"/>
            <w:noWrap w:val="0"/>
            <w:vAlign w:val="center"/>
          </w:tcPr>
          <w:p w14:paraId="0AEAD74F">
            <w:pPr>
              <w:rPr>
                <w:rFonts w:ascii="宋体" w:hAnsi="宋体" w:cs="宋体"/>
                <w:color w:val="auto"/>
                <w:sz w:val="22"/>
                <w:szCs w:val="22"/>
                <w:highlight w:val="none"/>
              </w:rPr>
            </w:pPr>
          </w:p>
        </w:tc>
        <w:tc>
          <w:tcPr>
            <w:tcW w:w="1107" w:type="dxa"/>
            <w:noWrap w:val="0"/>
            <w:vAlign w:val="center"/>
          </w:tcPr>
          <w:p w14:paraId="5936493C">
            <w:pPr>
              <w:rPr>
                <w:rFonts w:ascii="宋体" w:hAnsi="宋体" w:cs="宋体"/>
                <w:color w:val="auto"/>
                <w:sz w:val="22"/>
                <w:szCs w:val="22"/>
                <w:highlight w:val="none"/>
              </w:rPr>
            </w:pPr>
          </w:p>
        </w:tc>
        <w:tc>
          <w:tcPr>
            <w:tcW w:w="2235" w:type="dxa"/>
            <w:noWrap w:val="0"/>
            <w:vAlign w:val="center"/>
          </w:tcPr>
          <w:p w14:paraId="291AA1AC">
            <w:pPr>
              <w:rPr>
                <w:rFonts w:ascii="宋体" w:hAnsi="宋体" w:cs="宋体"/>
                <w:color w:val="auto"/>
                <w:sz w:val="22"/>
                <w:szCs w:val="22"/>
                <w:highlight w:val="none"/>
              </w:rPr>
            </w:pPr>
          </w:p>
        </w:tc>
      </w:tr>
      <w:tr w14:paraId="61D2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5C95B0F6">
            <w:pPr>
              <w:rPr>
                <w:rFonts w:ascii="宋体" w:hAnsi="宋体" w:cs="宋体"/>
                <w:color w:val="auto"/>
                <w:sz w:val="22"/>
                <w:szCs w:val="22"/>
                <w:highlight w:val="none"/>
              </w:rPr>
            </w:pPr>
          </w:p>
        </w:tc>
        <w:tc>
          <w:tcPr>
            <w:tcW w:w="885" w:type="dxa"/>
            <w:noWrap w:val="0"/>
            <w:vAlign w:val="center"/>
          </w:tcPr>
          <w:p w14:paraId="085013E9">
            <w:pPr>
              <w:rPr>
                <w:rFonts w:ascii="宋体" w:hAnsi="宋体" w:cs="宋体"/>
                <w:color w:val="auto"/>
                <w:sz w:val="22"/>
                <w:szCs w:val="22"/>
                <w:highlight w:val="none"/>
              </w:rPr>
            </w:pPr>
          </w:p>
        </w:tc>
        <w:tc>
          <w:tcPr>
            <w:tcW w:w="629" w:type="dxa"/>
            <w:noWrap w:val="0"/>
            <w:vAlign w:val="center"/>
          </w:tcPr>
          <w:p w14:paraId="712558EA">
            <w:pPr>
              <w:rPr>
                <w:rFonts w:ascii="宋体" w:hAnsi="宋体" w:cs="宋体"/>
                <w:color w:val="auto"/>
                <w:sz w:val="22"/>
                <w:szCs w:val="22"/>
                <w:highlight w:val="none"/>
              </w:rPr>
            </w:pPr>
          </w:p>
        </w:tc>
        <w:tc>
          <w:tcPr>
            <w:tcW w:w="758" w:type="dxa"/>
            <w:noWrap w:val="0"/>
            <w:vAlign w:val="center"/>
          </w:tcPr>
          <w:p w14:paraId="36B382B0">
            <w:pPr>
              <w:rPr>
                <w:rFonts w:ascii="宋体" w:hAnsi="宋体" w:cs="宋体"/>
                <w:color w:val="auto"/>
                <w:sz w:val="22"/>
                <w:szCs w:val="22"/>
                <w:highlight w:val="none"/>
              </w:rPr>
            </w:pPr>
          </w:p>
        </w:tc>
        <w:tc>
          <w:tcPr>
            <w:tcW w:w="886" w:type="dxa"/>
            <w:noWrap w:val="0"/>
            <w:vAlign w:val="center"/>
          </w:tcPr>
          <w:p w14:paraId="7AE0F786">
            <w:pPr>
              <w:rPr>
                <w:rFonts w:ascii="宋体" w:hAnsi="宋体" w:cs="宋体"/>
                <w:color w:val="auto"/>
                <w:sz w:val="22"/>
                <w:szCs w:val="22"/>
                <w:highlight w:val="none"/>
              </w:rPr>
            </w:pPr>
          </w:p>
        </w:tc>
        <w:tc>
          <w:tcPr>
            <w:tcW w:w="957" w:type="dxa"/>
            <w:noWrap w:val="0"/>
            <w:vAlign w:val="center"/>
          </w:tcPr>
          <w:p w14:paraId="7F697C9C">
            <w:pPr>
              <w:rPr>
                <w:rFonts w:ascii="宋体" w:hAnsi="宋体" w:cs="宋体"/>
                <w:color w:val="auto"/>
                <w:sz w:val="22"/>
                <w:szCs w:val="22"/>
                <w:highlight w:val="none"/>
              </w:rPr>
            </w:pPr>
          </w:p>
        </w:tc>
        <w:tc>
          <w:tcPr>
            <w:tcW w:w="1069" w:type="dxa"/>
            <w:noWrap w:val="0"/>
            <w:vAlign w:val="center"/>
          </w:tcPr>
          <w:p w14:paraId="1DA5B23F">
            <w:pPr>
              <w:rPr>
                <w:rFonts w:ascii="宋体" w:hAnsi="宋体" w:cs="宋体"/>
                <w:color w:val="auto"/>
                <w:sz w:val="22"/>
                <w:szCs w:val="22"/>
                <w:highlight w:val="none"/>
              </w:rPr>
            </w:pPr>
          </w:p>
        </w:tc>
        <w:tc>
          <w:tcPr>
            <w:tcW w:w="886" w:type="dxa"/>
            <w:noWrap w:val="0"/>
            <w:vAlign w:val="center"/>
          </w:tcPr>
          <w:p w14:paraId="59DFDAD3">
            <w:pPr>
              <w:rPr>
                <w:rFonts w:ascii="宋体" w:hAnsi="宋体" w:cs="宋体"/>
                <w:color w:val="auto"/>
                <w:sz w:val="22"/>
                <w:szCs w:val="22"/>
                <w:highlight w:val="none"/>
              </w:rPr>
            </w:pPr>
          </w:p>
        </w:tc>
        <w:tc>
          <w:tcPr>
            <w:tcW w:w="1107" w:type="dxa"/>
            <w:noWrap w:val="0"/>
            <w:vAlign w:val="center"/>
          </w:tcPr>
          <w:p w14:paraId="6856D7D1">
            <w:pPr>
              <w:rPr>
                <w:rFonts w:ascii="宋体" w:hAnsi="宋体" w:cs="宋体"/>
                <w:color w:val="auto"/>
                <w:sz w:val="22"/>
                <w:szCs w:val="22"/>
                <w:highlight w:val="none"/>
              </w:rPr>
            </w:pPr>
          </w:p>
        </w:tc>
        <w:tc>
          <w:tcPr>
            <w:tcW w:w="2235" w:type="dxa"/>
            <w:noWrap w:val="0"/>
            <w:vAlign w:val="center"/>
          </w:tcPr>
          <w:p w14:paraId="465F5319">
            <w:pPr>
              <w:rPr>
                <w:rFonts w:ascii="宋体" w:hAnsi="宋体" w:cs="宋体"/>
                <w:color w:val="auto"/>
                <w:sz w:val="22"/>
                <w:szCs w:val="22"/>
                <w:highlight w:val="none"/>
              </w:rPr>
            </w:pPr>
          </w:p>
        </w:tc>
      </w:tr>
      <w:tr w14:paraId="1547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6804CFF1">
            <w:pPr>
              <w:rPr>
                <w:rFonts w:ascii="宋体" w:hAnsi="宋体" w:cs="宋体"/>
                <w:color w:val="auto"/>
                <w:sz w:val="22"/>
                <w:szCs w:val="22"/>
                <w:highlight w:val="none"/>
              </w:rPr>
            </w:pPr>
          </w:p>
        </w:tc>
        <w:tc>
          <w:tcPr>
            <w:tcW w:w="885" w:type="dxa"/>
            <w:noWrap w:val="0"/>
            <w:vAlign w:val="center"/>
          </w:tcPr>
          <w:p w14:paraId="5D7ACFDF">
            <w:pPr>
              <w:rPr>
                <w:rFonts w:ascii="宋体" w:hAnsi="宋体" w:cs="宋体"/>
                <w:color w:val="auto"/>
                <w:sz w:val="22"/>
                <w:szCs w:val="22"/>
                <w:highlight w:val="none"/>
              </w:rPr>
            </w:pPr>
          </w:p>
        </w:tc>
        <w:tc>
          <w:tcPr>
            <w:tcW w:w="629" w:type="dxa"/>
            <w:noWrap w:val="0"/>
            <w:vAlign w:val="center"/>
          </w:tcPr>
          <w:p w14:paraId="5AAA56EF">
            <w:pPr>
              <w:rPr>
                <w:rFonts w:ascii="宋体" w:hAnsi="宋体" w:cs="宋体"/>
                <w:color w:val="auto"/>
                <w:sz w:val="22"/>
                <w:szCs w:val="22"/>
                <w:highlight w:val="none"/>
              </w:rPr>
            </w:pPr>
          </w:p>
        </w:tc>
        <w:tc>
          <w:tcPr>
            <w:tcW w:w="758" w:type="dxa"/>
            <w:noWrap w:val="0"/>
            <w:vAlign w:val="center"/>
          </w:tcPr>
          <w:p w14:paraId="6F86C11C">
            <w:pPr>
              <w:rPr>
                <w:rFonts w:ascii="宋体" w:hAnsi="宋体" w:cs="宋体"/>
                <w:color w:val="auto"/>
                <w:sz w:val="22"/>
                <w:szCs w:val="22"/>
                <w:highlight w:val="none"/>
              </w:rPr>
            </w:pPr>
          </w:p>
        </w:tc>
        <w:tc>
          <w:tcPr>
            <w:tcW w:w="886" w:type="dxa"/>
            <w:noWrap w:val="0"/>
            <w:vAlign w:val="center"/>
          </w:tcPr>
          <w:p w14:paraId="28FBCC72">
            <w:pPr>
              <w:rPr>
                <w:rFonts w:ascii="宋体" w:hAnsi="宋体" w:cs="宋体"/>
                <w:color w:val="auto"/>
                <w:sz w:val="22"/>
                <w:szCs w:val="22"/>
                <w:highlight w:val="none"/>
              </w:rPr>
            </w:pPr>
          </w:p>
        </w:tc>
        <w:tc>
          <w:tcPr>
            <w:tcW w:w="957" w:type="dxa"/>
            <w:noWrap w:val="0"/>
            <w:vAlign w:val="center"/>
          </w:tcPr>
          <w:p w14:paraId="4F9ACF8D">
            <w:pPr>
              <w:rPr>
                <w:rFonts w:ascii="宋体" w:hAnsi="宋体" w:cs="宋体"/>
                <w:color w:val="auto"/>
                <w:sz w:val="22"/>
                <w:szCs w:val="22"/>
                <w:highlight w:val="none"/>
              </w:rPr>
            </w:pPr>
          </w:p>
        </w:tc>
        <w:tc>
          <w:tcPr>
            <w:tcW w:w="1069" w:type="dxa"/>
            <w:noWrap w:val="0"/>
            <w:vAlign w:val="center"/>
          </w:tcPr>
          <w:p w14:paraId="34C89E6B">
            <w:pPr>
              <w:rPr>
                <w:rFonts w:ascii="宋体" w:hAnsi="宋体" w:cs="宋体"/>
                <w:color w:val="auto"/>
                <w:sz w:val="22"/>
                <w:szCs w:val="22"/>
                <w:highlight w:val="none"/>
              </w:rPr>
            </w:pPr>
          </w:p>
        </w:tc>
        <w:tc>
          <w:tcPr>
            <w:tcW w:w="886" w:type="dxa"/>
            <w:noWrap w:val="0"/>
            <w:vAlign w:val="center"/>
          </w:tcPr>
          <w:p w14:paraId="56A43083">
            <w:pPr>
              <w:rPr>
                <w:rFonts w:ascii="宋体" w:hAnsi="宋体" w:cs="宋体"/>
                <w:color w:val="auto"/>
                <w:sz w:val="22"/>
                <w:szCs w:val="22"/>
                <w:highlight w:val="none"/>
              </w:rPr>
            </w:pPr>
          </w:p>
        </w:tc>
        <w:tc>
          <w:tcPr>
            <w:tcW w:w="1107" w:type="dxa"/>
            <w:noWrap w:val="0"/>
            <w:vAlign w:val="center"/>
          </w:tcPr>
          <w:p w14:paraId="495E1E1C">
            <w:pPr>
              <w:rPr>
                <w:rFonts w:ascii="宋体" w:hAnsi="宋体" w:cs="宋体"/>
                <w:color w:val="auto"/>
                <w:sz w:val="22"/>
                <w:szCs w:val="22"/>
                <w:highlight w:val="none"/>
              </w:rPr>
            </w:pPr>
          </w:p>
        </w:tc>
        <w:tc>
          <w:tcPr>
            <w:tcW w:w="2235" w:type="dxa"/>
            <w:noWrap w:val="0"/>
            <w:vAlign w:val="center"/>
          </w:tcPr>
          <w:p w14:paraId="5F173FF1">
            <w:pPr>
              <w:rPr>
                <w:rFonts w:ascii="宋体" w:hAnsi="宋体" w:cs="宋体"/>
                <w:color w:val="auto"/>
                <w:sz w:val="22"/>
                <w:szCs w:val="22"/>
                <w:highlight w:val="none"/>
              </w:rPr>
            </w:pPr>
          </w:p>
        </w:tc>
      </w:tr>
      <w:tr w14:paraId="5A1B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797D425F">
            <w:pPr>
              <w:rPr>
                <w:rFonts w:ascii="宋体" w:hAnsi="宋体" w:cs="宋体"/>
                <w:color w:val="auto"/>
                <w:sz w:val="22"/>
                <w:szCs w:val="22"/>
                <w:highlight w:val="none"/>
              </w:rPr>
            </w:pPr>
          </w:p>
        </w:tc>
        <w:tc>
          <w:tcPr>
            <w:tcW w:w="885" w:type="dxa"/>
            <w:noWrap w:val="0"/>
            <w:vAlign w:val="center"/>
          </w:tcPr>
          <w:p w14:paraId="76F2322D">
            <w:pPr>
              <w:rPr>
                <w:rFonts w:ascii="宋体" w:hAnsi="宋体" w:cs="宋体"/>
                <w:color w:val="auto"/>
                <w:sz w:val="22"/>
                <w:szCs w:val="22"/>
                <w:highlight w:val="none"/>
              </w:rPr>
            </w:pPr>
          </w:p>
        </w:tc>
        <w:tc>
          <w:tcPr>
            <w:tcW w:w="629" w:type="dxa"/>
            <w:noWrap w:val="0"/>
            <w:vAlign w:val="center"/>
          </w:tcPr>
          <w:p w14:paraId="2F903EAC">
            <w:pPr>
              <w:rPr>
                <w:rFonts w:ascii="宋体" w:hAnsi="宋体" w:cs="宋体"/>
                <w:color w:val="auto"/>
                <w:sz w:val="22"/>
                <w:szCs w:val="22"/>
                <w:highlight w:val="none"/>
              </w:rPr>
            </w:pPr>
          </w:p>
        </w:tc>
        <w:tc>
          <w:tcPr>
            <w:tcW w:w="758" w:type="dxa"/>
            <w:noWrap w:val="0"/>
            <w:vAlign w:val="center"/>
          </w:tcPr>
          <w:p w14:paraId="46693BF1">
            <w:pPr>
              <w:rPr>
                <w:rFonts w:ascii="宋体" w:hAnsi="宋体" w:cs="宋体"/>
                <w:color w:val="auto"/>
                <w:sz w:val="22"/>
                <w:szCs w:val="22"/>
                <w:highlight w:val="none"/>
              </w:rPr>
            </w:pPr>
          </w:p>
        </w:tc>
        <w:tc>
          <w:tcPr>
            <w:tcW w:w="886" w:type="dxa"/>
            <w:noWrap w:val="0"/>
            <w:vAlign w:val="center"/>
          </w:tcPr>
          <w:p w14:paraId="223588BB">
            <w:pPr>
              <w:rPr>
                <w:rFonts w:ascii="宋体" w:hAnsi="宋体" w:cs="宋体"/>
                <w:color w:val="auto"/>
                <w:sz w:val="22"/>
                <w:szCs w:val="22"/>
                <w:highlight w:val="none"/>
              </w:rPr>
            </w:pPr>
          </w:p>
        </w:tc>
        <w:tc>
          <w:tcPr>
            <w:tcW w:w="957" w:type="dxa"/>
            <w:noWrap w:val="0"/>
            <w:vAlign w:val="center"/>
          </w:tcPr>
          <w:p w14:paraId="7E4A1E90">
            <w:pPr>
              <w:rPr>
                <w:rFonts w:ascii="宋体" w:hAnsi="宋体" w:cs="宋体"/>
                <w:color w:val="auto"/>
                <w:sz w:val="22"/>
                <w:szCs w:val="22"/>
                <w:highlight w:val="none"/>
              </w:rPr>
            </w:pPr>
          </w:p>
        </w:tc>
        <w:tc>
          <w:tcPr>
            <w:tcW w:w="1069" w:type="dxa"/>
            <w:noWrap w:val="0"/>
            <w:vAlign w:val="center"/>
          </w:tcPr>
          <w:p w14:paraId="747D68AF">
            <w:pPr>
              <w:rPr>
                <w:rFonts w:ascii="宋体" w:hAnsi="宋体" w:cs="宋体"/>
                <w:color w:val="auto"/>
                <w:sz w:val="22"/>
                <w:szCs w:val="22"/>
                <w:highlight w:val="none"/>
              </w:rPr>
            </w:pPr>
          </w:p>
        </w:tc>
        <w:tc>
          <w:tcPr>
            <w:tcW w:w="886" w:type="dxa"/>
            <w:noWrap w:val="0"/>
            <w:vAlign w:val="center"/>
          </w:tcPr>
          <w:p w14:paraId="5B476E2E">
            <w:pPr>
              <w:rPr>
                <w:rFonts w:ascii="宋体" w:hAnsi="宋体" w:cs="宋体"/>
                <w:color w:val="auto"/>
                <w:sz w:val="22"/>
                <w:szCs w:val="22"/>
                <w:highlight w:val="none"/>
              </w:rPr>
            </w:pPr>
          </w:p>
        </w:tc>
        <w:tc>
          <w:tcPr>
            <w:tcW w:w="1107" w:type="dxa"/>
            <w:noWrap w:val="0"/>
            <w:vAlign w:val="center"/>
          </w:tcPr>
          <w:p w14:paraId="42FA1F3E">
            <w:pPr>
              <w:rPr>
                <w:rFonts w:ascii="宋体" w:hAnsi="宋体" w:cs="宋体"/>
                <w:color w:val="auto"/>
                <w:sz w:val="22"/>
                <w:szCs w:val="22"/>
                <w:highlight w:val="none"/>
              </w:rPr>
            </w:pPr>
          </w:p>
        </w:tc>
        <w:tc>
          <w:tcPr>
            <w:tcW w:w="2235" w:type="dxa"/>
            <w:noWrap w:val="0"/>
            <w:vAlign w:val="center"/>
          </w:tcPr>
          <w:p w14:paraId="71D25A13">
            <w:pPr>
              <w:rPr>
                <w:rFonts w:ascii="宋体" w:hAnsi="宋体" w:cs="宋体"/>
                <w:color w:val="auto"/>
                <w:sz w:val="22"/>
                <w:szCs w:val="22"/>
                <w:highlight w:val="none"/>
              </w:rPr>
            </w:pPr>
          </w:p>
        </w:tc>
      </w:tr>
      <w:tr w14:paraId="25E9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6" w:type="dxa"/>
            <w:noWrap w:val="0"/>
            <w:vAlign w:val="center"/>
          </w:tcPr>
          <w:p w14:paraId="586EDC3D">
            <w:pPr>
              <w:rPr>
                <w:rFonts w:ascii="宋体" w:hAnsi="宋体" w:cs="宋体"/>
                <w:color w:val="auto"/>
                <w:sz w:val="22"/>
                <w:szCs w:val="22"/>
                <w:highlight w:val="none"/>
              </w:rPr>
            </w:pPr>
          </w:p>
        </w:tc>
        <w:tc>
          <w:tcPr>
            <w:tcW w:w="885" w:type="dxa"/>
            <w:noWrap w:val="0"/>
            <w:vAlign w:val="center"/>
          </w:tcPr>
          <w:p w14:paraId="606F1B5F">
            <w:pP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629" w:type="dxa"/>
            <w:noWrap w:val="0"/>
            <w:vAlign w:val="center"/>
          </w:tcPr>
          <w:p w14:paraId="7194954A">
            <w:pPr>
              <w:rPr>
                <w:rFonts w:ascii="宋体" w:hAnsi="宋体" w:cs="宋体"/>
                <w:color w:val="auto"/>
                <w:sz w:val="22"/>
                <w:szCs w:val="22"/>
                <w:highlight w:val="none"/>
              </w:rPr>
            </w:pPr>
          </w:p>
        </w:tc>
        <w:tc>
          <w:tcPr>
            <w:tcW w:w="758" w:type="dxa"/>
            <w:noWrap w:val="0"/>
            <w:vAlign w:val="center"/>
          </w:tcPr>
          <w:p w14:paraId="3BBCA5B5">
            <w:pPr>
              <w:rPr>
                <w:rFonts w:ascii="宋体" w:hAnsi="宋体" w:cs="宋体"/>
                <w:color w:val="auto"/>
                <w:sz w:val="22"/>
                <w:szCs w:val="22"/>
                <w:highlight w:val="none"/>
              </w:rPr>
            </w:pPr>
          </w:p>
        </w:tc>
        <w:tc>
          <w:tcPr>
            <w:tcW w:w="886" w:type="dxa"/>
            <w:noWrap w:val="0"/>
            <w:vAlign w:val="center"/>
          </w:tcPr>
          <w:p w14:paraId="0AF337C3">
            <w:pPr>
              <w:rPr>
                <w:rFonts w:ascii="宋体" w:hAnsi="宋体" w:cs="宋体"/>
                <w:color w:val="auto"/>
                <w:sz w:val="22"/>
                <w:szCs w:val="22"/>
                <w:highlight w:val="none"/>
              </w:rPr>
            </w:pPr>
          </w:p>
        </w:tc>
        <w:tc>
          <w:tcPr>
            <w:tcW w:w="957" w:type="dxa"/>
            <w:noWrap w:val="0"/>
            <w:vAlign w:val="center"/>
          </w:tcPr>
          <w:p w14:paraId="0E1ED1A4">
            <w:pPr>
              <w:rPr>
                <w:rFonts w:ascii="宋体" w:hAnsi="宋体" w:cs="宋体"/>
                <w:color w:val="auto"/>
                <w:sz w:val="22"/>
                <w:szCs w:val="22"/>
                <w:highlight w:val="none"/>
              </w:rPr>
            </w:pPr>
          </w:p>
        </w:tc>
        <w:tc>
          <w:tcPr>
            <w:tcW w:w="1069" w:type="dxa"/>
            <w:noWrap w:val="0"/>
            <w:vAlign w:val="center"/>
          </w:tcPr>
          <w:p w14:paraId="316CFF21">
            <w:pPr>
              <w:rPr>
                <w:rFonts w:ascii="宋体" w:hAnsi="宋体" w:cs="宋体"/>
                <w:color w:val="auto"/>
                <w:sz w:val="22"/>
                <w:szCs w:val="22"/>
                <w:highlight w:val="none"/>
              </w:rPr>
            </w:pPr>
          </w:p>
        </w:tc>
        <w:tc>
          <w:tcPr>
            <w:tcW w:w="886" w:type="dxa"/>
            <w:noWrap w:val="0"/>
            <w:vAlign w:val="center"/>
          </w:tcPr>
          <w:p w14:paraId="51D0A22A">
            <w:pPr>
              <w:rPr>
                <w:rFonts w:ascii="宋体" w:hAnsi="宋体" w:cs="宋体"/>
                <w:color w:val="auto"/>
                <w:sz w:val="22"/>
                <w:szCs w:val="22"/>
                <w:highlight w:val="none"/>
              </w:rPr>
            </w:pPr>
          </w:p>
        </w:tc>
        <w:tc>
          <w:tcPr>
            <w:tcW w:w="1107" w:type="dxa"/>
            <w:noWrap w:val="0"/>
            <w:vAlign w:val="center"/>
          </w:tcPr>
          <w:p w14:paraId="4E872F9F">
            <w:pPr>
              <w:rPr>
                <w:rFonts w:ascii="宋体" w:hAnsi="宋体" w:cs="宋体"/>
                <w:color w:val="auto"/>
                <w:sz w:val="22"/>
                <w:szCs w:val="22"/>
                <w:highlight w:val="none"/>
              </w:rPr>
            </w:pPr>
          </w:p>
        </w:tc>
        <w:tc>
          <w:tcPr>
            <w:tcW w:w="2235" w:type="dxa"/>
            <w:noWrap w:val="0"/>
            <w:vAlign w:val="center"/>
          </w:tcPr>
          <w:p w14:paraId="6A589E52">
            <w:pPr>
              <w:rPr>
                <w:rFonts w:ascii="宋体" w:hAnsi="宋体" w:cs="宋体"/>
                <w:color w:val="auto"/>
                <w:sz w:val="22"/>
                <w:szCs w:val="22"/>
                <w:highlight w:val="none"/>
              </w:rPr>
            </w:pPr>
          </w:p>
        </w:tc>
      </w:tr>
      <w:tr w14:paraId="0980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848" w:type="dxa"/>
            <w:gridSpan w:val="10"/>
            <w:noWrap w:val="0"/>
            <w:vAlign w:val="center"/>
          </w:tcPr>
          <w:p w14:paraId="635F8EC9">
            <w:pPr>
              <w:rPr>
                <w:rFonts w:ascii="宋体" w:hAnsi="宋体" w:cs="宋体"/>
                <w:color w:val="auto"/>
                <w:sz w:val="22"/>
                <w:szCs w:val="22"/>
                <w:highlight w:val="none"/>
              </w:rPr>
            </w:pPr>
            <w:r>
              <w:rPr>
                <w:rFonts w:hint="eastAsia" w:ascii="宋体" w:hAnsi="宋体" w:cs="宋体"/>
                <w:color w:val="auto"/>
                <w:sz w:val="22"/>
                <w:szCs w:val="22"/>
                <w:highlight w:val="none"/>
              </w:rPr>
              <w:t>承诺：一旦我公司成交，将实行项目负责人负责制，我方保证并配备上述项目管理机构及人员。上述填报内容真实，若不真实，愿按有关规定接受处理。</w:t>
            </w:r>
          </w:p>
        </w:tc>
      </w:tr>
    </w:tbl>
    <w:p w14:paraId="3B0F4034">
      <w:pPr>
        <w:spacing w:line="380" w:lineRule="exact"/>
        <w:ind w:firstLine="4400" w:firstLineChars="2000"/>
        <w:rPr>
          <w:rFonts w:hint="eastAsia" w:ascii="宋体" w:hAnsi="宋体" w:cs="宋体"/>
          <w:color w:val="auto"/>
          <w:sz w:val="22"/>
          <w:szCs w:val="22"/>
          <w:highlight w:val="none"/>
        </w:rPr>
      </w:pPr>
    </w:p>
    <w:p w14:paraId="1ACAFA7E">
      <w:pPr>
        <w:pStyle w:val="2"/>
        <w:rPr>
          <w:rFonts w:hint="eastAsia" w:ascii="宋体" w:hAnsi="宋体" w:cs="宋体"/>
          <w:color w:val="auto"/>
          <w:sz w:val="22"/>
          <w:szCs w:val="22"/>
          <w:highlight w:val="none"/>
        </w:rPr>
      </w:pPr>
    </w:p>
    <w:p w14:paraId="52651093">
      <w:pPr>
        <w:rPr>
          <w:rFonts w:hint="eastAsia"/>
          <w:color w:val="auto"/>
          <w:highlight w:val="none"/>
        </w:rPr>
      </w:pPr>
    </w:p>
    <w:p w14:paraId="59925A05">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226DD19C">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534E282F">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2AA190E5">
      <w:pPr>
        <w:spacing w:line="380" w:lineRule="exact"/>
        <w:ind w:firstLine="4400" w:firstLineChars="2000"/>
        <w:rPr>
          <w:rFonts w:ascii="宋体" w:hAnsi="宋体" w:cs="宋体"/>
          <w:color w:val="auto"/>
          <w:sz w:val="22"/>
          <w:szCs w:val="22"/>
          <w:highlight w:val="none"/>
        </w:rPr>
      </w:pPr>
    </w:p>
    <w:p w14:paraId="70850636">
      <w:pPr>
        <w:spacing w:line="380" w:lineRule="exact"/>
        <w:jc w:val="center"/>
        <w:rPr>
          <w:rFonts w:ascii="宋体" w:hAnsi="宋体" w:cs="宋体"/>
          <w:color w:val="auto"/>
          <w:sz w:val="22"/>
          <w:szCs w:val="22"/>
          <w:highlight w:val="none"/>
        </w:rPr>
      </w:pPr>
    </w:p>
    <w:p w14:paraId="5E770493">
      <w:pPr>
        <w:spacing w:before="120" w:beforeLines="50" w:after="120" w:afterLines="50"/>
        <w:rPr>
          <w:rFonts w:ascii="宋体" w:hAnsi="宋体" w:cs="宋体"/>
          <w:b/>
          <w:bCs/>
          <w:color w:val="auto"/>
          <w:sz w:val="22"/>
          <w:szCs w:val="22"/>
          <w:highlight w:val="none"/>
        </w:rPr>
      </w:pPr>
      <w:r>
        <w:rPr>
          <w:rFonts w:hint="eastAsia" w:ascii="宋体" w:hAnsi="宋体" w:eastAsia="宋体" w:cs="宋体"/>
          <w:b/>
          <w:color w:val="auto"/>
          <w:sz w:val="22"/>
          <w:szCs w:val="22"/>
          <w:highlight w:val="none"/>
        </w:rPr>
        <w:br w:type="page"/>
      </w:r>
    </w:p>
    <w:p w14:paraId="289ACD60">
      <w:pPr>
        <w:spacing w:before="120" w:beforeLines="50" w:after="120" w:afterLines="50"/>
        <w:jc w:val="both"/>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附件五</w:t>
      </w:r>
    </w:p>
    <w:p w14:paraId="14B87A2C">
      <w:pPr>
        <w:spacing w:before="120" w:beforeLines="50" w:after="120" w:afterLines="50"/>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同类服务业绩一览表</w:t>
      </w:r>
    </w:p>
    <w:p w14:paraId="12E6C5B7">
      <w:pPr>
        <w:spacing w:line="380" w:lineRule="exact"/>
        <w:ind w:left="-357" w:leftChars="-170" w:firstLine="216" w:firstLineChars="98"/>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                                              项目编号：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272"/>
        <w:gridCol w:w="1695"/>
        <w:gridCol w:w="1306"/>
        <w:gridCol w:w="1394"/>
        <w:gridCol w:w="2710"/>
      </w:tblGrid>
      <w:tr w14:paraId="0226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shd w:val="clear" w:color="auto" w:fill="D9D9D9"/>
            <w:noWrap w:val="0"/>
            <w:vAlign w:val="center"/>
          </w:tcPr>
          <w:p w14:paraId="11F2DC9E">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2272" w:type="dxa"/>
            <w:shd w:val="clear" w:color="auto" w:fill="D9D9D9"/>
            <w:noWrap w:val="0"/>
            <w:vAlign w:val="center"/>
          </w:tcPr>
          <w:p w14:paraId="00259E14">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用户名称</w:t>
            </w:r>
          </w:p>
        </w:tc>
        <w:tc>
          <w:tcPr>
            <w:tcW w:w="1695" w:type="dxa"/>
            <w:shd w:val="clear" w:color="auto" w:fill="D9D9D9"/>
            <w:noWrap w:val="0"/>
            <w:vAlign w:val="center"/>
          </w:tcPr>
          <w:p w14:paraId="1CAFA160">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项目名称</w:t>
            </w:r>
          </w:p>
        </w:tc>
        <w:tc>
          <w:tcPr>
            <w:tcW w:w="1306" w:type="dxa"/>
            <w:shd w:val="clear" w:color="auto" w:fill="D9D9D9"/>
            <w:noWrap w:val="0"/>
            <w:vAlign w:val="center"/>
          </w:tcPr>
          <w:p w14:paraId="0375B1F4">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合同金额</w:t>
            </w:r>
          </w:p>
        </w:tc>
        <w:tc>
          <w:tcPr>
            <w:tcW w:w="1394" w:type="dxa"/>
            <w:shd w:val="clear" w:color="auto" w:fill="D9D9D9"/>
            <w:noWrap w:val="0"/>
            <w:vAlign w:val="center"/>
          </w:tcPr>
          <w:p w14:paraId="43659EE7">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实施时间</w:t>
            </w:r>
          </w:p>
        </w:tc>
        <w:tc>
          <w:tcPr>
            <w:tcW w:w="2710" w:type="dxa"/>
            <w:shd w:val="clear" w:color="auto" w:fill="D9D9D9"/>
            <w:noWrap w:val="0"/>
            <w:vAlign w:val="center"/>
          </w:tcPr>
          <w:p w14:paraId="001802E5">
            <w:pPr>
              <w:spacing w:line="380" w:lineRule="exact"/>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用户联系人/联系方式</w:t>
            </w:r>
          </w:p>
        </w:tc>
      </w:tr>
      <w:tr w14:paraId="3F37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03306D35">
            <w:pPr>
              <w:spacing w:line="380" w:lineRule="exact"/>
              <w:jc w:val="center"/>
              <w:rPr>
                <w:rFonts w:ascii="宋体" w:hAnsi="宋体" w:cs="宋体"/>
                <w:b/>
                <w:bCs/>
                <w:color w:val="auto"/>
                <w:sz w:val="22"/>
                <w:szCs w:val="22"/>
                <w:highlight w:val="none"/>
              </w:rPr>
            </w:pPr>
          </w:p>
        </w:tc>
        <w:tc>
          <w:tcPr>
            <w:tcW w:w="2272" w:type="dxa"/>
            <w:noWrap w:val="0"/>
            <w:vAlign w:val="center"/>
          </w:tcPr>
          <w:p w14:paraId="3441C165">
            <w:pPr>
              <w:spacing w:line="380" w:lineRule="exact"/>
              <w:jc w:val="center"/>
              <w:rPr>
                <w:rFonts w:ascii="宋体" w:hAnsi="宋体" w:cs="宋体"/>
                <w:b/>
                <w:bCs/>
                <w:color w:val="auto"/>
                <w:sz w:val="22"/>
                <w:szCs w:val="22"/>
                <w:highlight w:val="none"/>
              </w:rPr>
            </w:pPr>
          </w:p>
        </w:tc>
        <w:tc>
          <w:tcPr>
            <w:tcW w:w="1695" w:type="dxa"/>
            <w:noWrap w:val="0"/>
            <w:vAlign w:val="center"/>
          </w:tcPr>
          <w:p w14:paraId="6F0C6196">
            <w:pPr>
              <w:spacing w:line="380" w:lineRule="exact"/>
              <w:jc w:val="center"/>
              <w:rPr>
                <w:rFonts w:ascii="宋体" w:hAnsi="宋体" w:cs="宋体"/>
                <w:b/>
                <w:bCs/>
                <w:color w:val="auto"/>
                <w:sz w:val="22"/>
                <w:szCs w:val="22"/>
                <w:highlight w:val="none"/>
              </w:rPr>
            </w:pPr>
          </w:p>
        </w:tc>
        <w:tc>
          <w:tcPr>
            <w:tcW w:w="1306" w:type="dxa"/>
            <w:noWrap w:val="0"/>
            <w:vAlign w:val="center"/>
          </w:tcPr>
          <w:p w14:paraId="28B9AB26">
            <w:pPr>
              <w:spacing w:line="380" w:lineRule="exact"/>
              <w:jc w:val="center"/>
              <w:rPr>
                <w:rFonts w:ascii="宋体" w:hAnsi="宋体" w:cs="宋体"/>
                <w:b/>
                <w:bCs/>
                <w:color w:val="auto"/>
                <w:sz w:val="22"/>
                <w:szCs w:val="22"/>
                <w:highlight w:val="none"/>
              </w:rPr>
            </w:pPr>
          </w:p>
        </w:tc>
        <w:tc>
          <w:tcPr>
            <w:tcW w:w="1394" w:type="dxa"/>
            <w:noWrap w:val="0"/>
            <w:vAlign w:val="center"/>
          </w:tcPr>
          <w:p w14:paraId="64BEEAD6">
            <w:pPr>
              <w:spacing w:line="380" w:lineRule="exact"/>
              <w:jc w:val="center"/>
              <w:rPr>
                <w:rFonts w:ascii="宋体" w:hAnsi="宋体" w:cs="宋体"/>
                <w:b/>
                <w:bCs/>
                <w:color w:val="auto"/>
                <w:sz w:val="22"/>
                <w:szCs w:val="22"/>
                <w:highlight w:val="none"/>
              </w:rPr>
            </w:pPr>
          </w:p>
        </w:tc>
        <w:tc>
          <w:tcPr>
            <w:tcW w:w="2710" w:type="dxa"/>
            <w:noWrap w:val="0"/>
            <w:vAlign w:val="center"/>
          </w:tcPr>
          <w:p w14:paraId="6109B0C4">
            <w:pPr>
              <w:spacing w:line="380" w:lineRule="exact"/>
              <w:jc w:val="center"/>
              <w:rPr>
                <w:rFonts w:ascii="宋体" w:hAnsi="宋体" w:cs="宋体"/>
                <w:b/>
                <w:bCs/>
                <w:color w:val="auto"/>
                <w:sz w:val="22"/>
                <w:szCs w:val="22"/>
                <w:highlight w:val="none"/>
              </w:rPr>
            </w:pPr>
          </w:p>
        </w:tc>
      </w:tr>
      <w:tr w14:paraId="0E4F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221D2A55">
            <w:pPr>
              <w:spacing w:line="380" w:lineRule="exact"/>
              <w:jc w:val="center"/>
              <w:rPr>
                <w:rFonts w:ascii="宋体" w:hAnsi="宋体" w:cs="宋体"/>
                <w:b/>
                <w:bCs/>
                <w:color w:val="auto"/>
                <w:sz w:val="22"/>
                <w:szCs w:val="22"/>
                <w:highlight w:val="none"/>
              </w:rPr>
            </w:pPr>
          </w:p>
        </w:tc>
        <w:tc>
          <w:tcPr>
            <w:tcW w:w="2272" w:type="dxa"/>
            <w:noWrap w:val="0"/>
            <w:vAlign w:val="center"/>
          </w:tcPr>
          <w:p w14:paraId="356C470E">
            <w:pPr>
              <w:spacing w:line="380" w:lineRule="exact"/>
              <w:jc w:val="center"/>
              <w:rPr>
                <w:rFonts w:ascii="宋体" w:hAnsi="宋体" w:cs="宋体"/>
                <w:b/>
                <w:bCs/>
                <w:color w:val="auto"/>
                <w:sz w:val="22"/>
                <w:szCs w:val="22"/>
                <w:highlight w:val="none"/>
              </w:rPr>
            </w:pPr>
          </w:p>
        </w:tc>
        <w:tc>
          <w:tcPr>
            <w:tcW w:w="1695" w:type="dxa"/>
            <w:noWrap w:val="0"/>
            <w:vAlign w:val="center"/>
          </w:tcPr>
          <w:p w14:paraId="2F319B39">
            <w:pPr>
              <w:spacing w:line="380" w:lineRule="exact"/>
              <w:jc w:val="center"/>
              <w:rPr>
                <w:rFonts w:ascii="宋体" w:hAnsi="宋体" w:cs="宋体"/>
                <w:b/>
                <w:bCs/>
                <w:color w:val="auto"/>
                <w:sz w:val="22"/>
                <w:szCs w:val="22"/>
                <w:highlight w:val="none"/>
              </w:rPr>
            </w:pPr>
          </w:p>
        </w:tc>
        <w:tc>
          <w:tcPr>
            <w:tcW w:w="1306" w:type="dxa"/>
            <w:noWrap w:val="0"/>
            <w:vAlign w:val="center"/>
          </w:tcPr>
          <w:p w14:paraId="6AF688ED">
            <w:pPr>
              <w:spacing w:line="380" w:lineRule="exact"/>
              <w:jc w:val="center"/>
              <w:rPr>
                <w:rFonts w:ascii="宋体" w:hAnsi="宋体" w:cs="宋体"/>
                <w:b/>
                <w:bCs/>
                <w:color w:val="auto"/>
                <w:sz w:val="22"/>
                <w:szCs w:val="22"/>
                <w:highlight w:val="none"/>
              </w:rPr>
            </w:pPr>
          </w:p>
        </w:tc>
        <w:tc>
          <w:tcPr>
            <w:tcW w:w="1394" w:type="dxa"/>
            <w:noWrap w:val="0"/>
            <w:vAlign w:val="center"/>
          </w:tcPr>
          <w:p w14:paraId="4F92BA2E">
            <w:pPr>
              <w:spacing w:line="380" w:lineRule="exact"/>
              <w:jc w:val="center"/>
              <w:rPr>
                <w:rFonts w:ascii="宋体" w:hAnsi="宋体" w:cs="宋体"/>
                <w:b/>
                <w:bCs/>
                <w:color w:val="auto"/>
                <w:sz w:val="22"/>
                <w:szCs w:val="22"/>
                <w:highlight w:val="none"/>
              </w:rPr>
            </w:pPr>
          </w:p>
        </w:tc>
        <w:tc>
          <w:tcPr>
            <w:tcW w:w="2710" w:type="dxa"/>
            <w:noWrap w:val="0"/>
            <w:vAlign w:val="center"/>
          </w:tcPr>
          <w:p w14:paraId="1CDA9EF3">
            <w:pPr>
              <w:spacing w:line="380" w:lineRule="exact"/>
              <w:jc w:val="center"/>
              <w:rPr>
                <w:rFonts w:ascii="宋体" w:hAnsi="宋体" w:cs="宋体"/>
                <w:b/>
                <w:bCs/>
                <w:color w:val="auto"/>
                <w:sz w:val="22"/>
                <w:szCs w:val="22"/>
                <w:highlight w:val="none"/>
              </w:rPr>
            </w:pPr>
          </w:p>
        </w:tc>
      </w:tr>
      <w:tr w14:paraId="483E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5F41047A">
            <w:pPr>
              <w:spacing w:line="380" w:lineRule="exact"/>
              <w:jc w:val="center"/>
              <w:rPr>
                <w:rFonts w:ascii="宋体" w:hAnsi="宋体" w:cs="宋体"/>
                <w:b/>
                <w:bCs/>
                <w:color w:val="auto"/>
                <w:sz w:val="22"/>
                <w:szCs w:val="22"/>
                <w:highlight w:val="none"/>
              </w:rPr>
            </w:pPr>
          </w:p>
        </w:tc>
        <w:tc>
          <w:tcPr>
            <w:tcW w:w="2272" w:type="dxa"/>
            <w:noWrap w:val="0"/>
            <w:vAlign w:val="center"/>
          </w:tcPr>
          <w:p w14:paraId="362576EA">
            <w:pPr>
              <w:spacing w:line="380" w:lineRule="exact"/>
              <w:jc w:val="center"/>
              <w:rPr>
                <w:rFonts w:ascii="宋体" w:hAnsi="宋体" w:cs="宋体"/>
                <w:b/>
                <w:bCs/>
                <w:color w:val="auto"/>
                <w:sz w:val="22"/>
                <w:szCs w:val="22"/>
                <w:highlight w:val="none"/>
              </w:rPr>
            </w:pPr>
          </w:p>
        </w:tc>
        <w:tc>
          <w:tcPr>
            <w:tcW w:w="1695" w:type="dxa"/>
            <w:noWrap w:val="0"/>
            <w:vAlign w:val="center"/>
          </w:tcPr>
          <w:p w14:paraId="1AF10CC5">
            <w:pPr>
              <w:spacing w:line="380" w:lineRule="exact"/>
              <w:jc w:val="center"/>
              <w:rPr>
                <w:rFonts w:ascii="宋体" w:hAnsi="宋体" w:cs="宋体"/>
                <w:b/>
                <w:bCs/>
                <w:color w:val="auto"/>
                <w:sz w:val="22"/>
                <w:szCs w:val="22"/>
                <w:highlight w:val="none"/>
              </w:rPr>
            </w:pPr>
          </w:p>
        </w:tc>
        <w:tc>
          <w:tcPr>
            <w:tcW w:w="1306" w:type="dxa"/>
            <w:noWrap w:val="0"/>
            <w:vAlign w:val="center"/>
          </w:tcPr>
          <w:p w14:paraId="0E98E762">
            <w:pPr>
              <w:spacing w:line="380" w:lineRule="exact"/>
              <w:jc w:val="center"/>
              <w:rPr>
                <w:rFonts w:ascii="宋体" w:hAnsi="宋体" w:cs="宋体"/>
                <w:b/>
                <w:bCs/>
                <w:color w:val="auto"/>
                <w:sz w:val="22"/>
                <w:szCs w:val="22"/>
                <w:highlight w:val="none"/>
              </w:rPr>
            </w:pPr>
          </w:p>
        </w:tc>
        <w:tc>
          <w:tcPr>
            <w:tcW w:w="1394" w:type="dxa"/>
            <w:noWrap w:val="0"/>
            <w:vAlign w:val="center"/>
          </w:tcPr>
          <w:p w14:paraId="7633B268">
            <w:pPr>
              <w:spacing w:line="380" w:lineRule="exact"/>
              <w:jc w:val="center"/>
              <w:rPr>
                <w:rFonts w:ascii="宋体" w:hAnsi="宋体" w:cs="宋体"/>
                <w:b/>
                <w:bCs/>
                <w:color w:val="auto"/>
                <w:sz w:val="22"/>
                <w:szCs w:val="22"/>
                <w:highlight w:val="none"/>
              </w:rPr>
            </w:pPr>
          </w:p>
        </w:tc>
        <w:tc>
          <w:tcPr>
            <w:tcW w:w="2710" w:type="dxa"/>
            <w:noWrap w:val="0"/>
            <w:vAlign w:val="center"/>
          </w:tcPr>
          <w:p w14:paraId="4B09EE97">
            <w:pPr>
              <w:spacing w:line="380" w:lineRule="exact"/>
              <w:jc w:val="center"/>
              <w:rPr>
                <w:rFonts w:ascii="宋体" w:hAnsi="宋体" w:cs="宋体"/>
                <w:b/>
                <w:bCs/>
                <w:color w:val="auto"/>
                <w:sz w:val="22"/>
                <w:szCs w:val="22"/>
                <w:highlight w:val="none"/>
              </w:rPr>
            </w:pPr>
          </w:p>
        </w:tc>
      </w:tr>
      <w:tr w14:paraId="6EAB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494F402C">
            <w:pPr>
              <w:spacing w:line="380" w:lineRule="exact"/>
              <w:jc w:val="center"/>
              <w:rPr>
                <w:rFonts w:ascii="宋体" w:hAnsi="宋体" w:cs="宋体"/>
                <w:b/>
                <w:bCs/>
                <w:color w:val="auto"/>
                <w:sz w:val="22"/>
                <w:szCs w:val="22"/>
                <w:highlight w:val="none"/>
              </w:rPr>
            </w:pPr>
          </w:p>
        </w:tc>
        <w:tc>
          <w:tcPr>
            <w:tcW w:w="2272" w:type="dxa"/>
            <w:noWrap w:val="0"/>
            <w:vAlign w:val="center"/>
          </w:tcPr>
          <w:p w14:paraId="4DD71D0F">
            <w:pPr>
              <w:spacing w:line="380" w:lineRule="exact"/>
              <w:jc w:val="center"/>
              <w:rPr>
                <w:rFonts w:ascii="宋体" w:hAnsi="宋体" w:cs="宋体"/>
                <w:b/>
                <w:bCs/>
                <w:color w:val="auto"/>
                <w:sz w:val="22"/>
                <w:szCs w:val="22"/>
                <w:highlight w:val="none"/>
              </w:rPr>
            </w:pPr>
          </w:p>
        </w:tc>
        <w:tc>
          <w:tcPr>
            <w:tcW w:w="1695" w:type="dxa"/>
            <w:noWrap w:val="0"/>
            <w:vAlign w:val="center"/>
          </w:tcPr>
          <w:p w14:paraId="2E7203CC">
            <w:pPr>
              <w:spacing w:line="380" w:lineRule="exact"/>
              <w:jc w:val="center"/>
              <w:rPr>
                <w:rFonts w:ascii="宋体" w:hAnsi="宋体" w:cs="宋体"/>
                <w:b/>
                <w:bCs/>
                <w:color w:val="auto"/>
                <w:sz w:val="22"/>
                <w:szCs w:val="22"/>
                <w:highlight w:val="none"/>
              </w:rPr>
            </w:pPr>
          </w:p>
        </w:tc>
        <w:tc>
          <w:tcPr>
            <w:tcW w:w="1306" w:type="dxa"/>
            <w:noWrap w:val="0"/>
            <w:vAlign w:val="center"/>
          </w:tcPr>
          <w:p w14:paraId="234DC333">
            <w:pPr>
              <w:spacing w:line="380" w:lineRule="exact"/>
              <w:jc w:val="center"/>
              <w:rPr>
                <w:rFonts w:ascii="宋体" w:hAnsi="宋体" w:cs="宋体"/>
                <w:b/>
                <w:bCs/>
                <w:color w:val="auto"/>
                <w:sz w:val="22"/>
                <w:szCs w:val="22"/>
                <w:highlight w:val="none"/>
              </w:rPr>
            </w:pPr>
          </w:p>
        </w:tc>
        <w:tc>
          <w:tcPr>
            <w:tcW w:w="1394" w:type="dxa"/>
            <w:noWrap w:val="0"/>
            <w:vAlign w:val="center"/>
          </w:tcPr>
          <w:p w14:paraId="2B447024">
            <w:pPr>
              <w:spacing w:line="380" w:lineRule="exact"/>
              <w:jc w:val="center"/>
              <w:rPr>
                <w:rFonts w:ascii="宋体" w:hAnsi="宋体" w:cs="宋体"/>
                <w:b/>
                <w:bCs/>
                <w:color w:val="auto"/>
                <w:sz w:val="22"/>
                <w:szCs w:val="22"/>
                <w:highlight w:val="none"/>
              </w:rPr>
            </w:pPr>
          </w:p>
        </w:tc>
        <w:tc>
          <w:tcPr>
            <w:tcW w:w="2710" w:type="dxa"/>
            <w:noWrap w:val="0"/>
            <w:vAlign w:val="center"/>
          </w:tcPr>
          <w:p w14:paraId="487A19D2">
            <w:pPr>
              <w:spacing w:line="380" w:lineRule="exact"/>
              <w:jc w:val="center"/>
              <w:rPr>
                <w:rFonts w:ascii="宋体" w:hAnsi="宋体" w:cs="宋体"/>
                <w:b/>
                <w:bCs/>
                <w:color w:val="auto"/>
                <w:sz w:val="22"/>
                <w:szCs w:val="22"/>
                <w:highlight w:val="none"/>
              </w:rPr>
            </w:pPr>
          </w:p>
        </w:tc>
      </w:tr>
      <w:tr w14:paraId="220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4092B0A3">
            <w:pPr>
              <w:spacing w:line="380" w:lineRule="exact"/>
              <w:jc w:val="center"/>
              <w:rPr>
                <w:rFonts w:ascii="宋体" w:hAnsi="宋体" w:cs="宋体"/>
                <w:b/>
                <w:bCs/>
                <w:color w:val="auto"/>
                <w:sz w:val="22"/>
                <w:szCs w:val="22"/>
                <w:highlight w:val="none"/>
              </w:rPr>
            </w:pPr>
          </w:p>
        </w:tc>
        <w:tc>
          <w:tcPr>
            <w:tcW w:w="2272" w:type="dxa"/>
            <w:noWrap w:val="0"/>
            <w:vAlign w:val="center"/>
          </w:tcPr>
          <w:p w14:paraId="5B09DC46">
            <w:pPr>
              <w:spacing w:line="380" w:lineRule="exact"/>
              <w:jc w:val="center"/>
              <w:rPr>
                <w:rFonts w:ascii="宋体" w:hAnsi="宋体" w:cs="宋体"/>
                <w:b/>
                <w:bCs/>
                <w:color w:val="auto"/>
                <w:sz w:val="22"/>
                <w:szCs w:val="22"/>
                <w:highlight w:val="none"/>
              </w:rPr>
            </w:pPr>
          </w:p>
        </w:tc>
        <w:tc>
          <w:tcPr>
            <w:tcW w:w="1695" w:type="dxa"/>
            <w:noWrap w:val="0"/>
            <w:vAlign w:val="center"/>
          </w:tcPr>
          <w:p w14:paraId="0CF5C006">
            <w:pPr>
              <w:spacing w:line="380" w:lineRule="exact"/>
              <w:jc w:val="center"/>
              <w:rPr>
                <w:rFonts w:ascii="宋体" w:hAnsi="宋体" w:cs="宋体"/>
                <w:b/>
                <w:bCs/>
                <w:color w:val="auto"/>
                <w:sz w:val="22"/>
                <w:szCs w:val="22"/>
                <w:highlight w:val="none"/>
              </w:rPr>
            </w:pPr>
          </w:p>
        </w:tc>
        <w:tc>
          <w:tcPr>
            <w:tcW w:w="1306" w:type="dxa"/>
            <w:noWrap w:val="0"/>
            <w:vAlign w:val="center"/>
          </w:tcPr>
          <w:p w14:paraId="2951EFC9">
            <w:pPr>
              <w:spacing w:line="380" w:lineRule="exact"/>
              <w:jc w:val="center"/>
              <w:rPr>
                <w:rFonts w:ascii="宋体" w:hAnsi="宋体" w:cs="宋体"/>
                <w:b/>
                <w:bCs/>
                <w:color w:val="auto"/>
                <w:sz w:val="22"/>
                <w:szCs w:val="22"/>
                <w:highlight w:val="none"/>
              </w:rPr>
            </w:pPr>
          </w:p>
        </w:tc>
        <w:tc>
          <w:tcPr>
            <w:tcW w:w="1394" w:type="dxa"/>
            <w:noWrap w:val="0"/>
            <w:vAlign w:val="center"/>
          </w:tcPr>
          <w:p w14:paraId="0A01F80F">
            <w:pPr>
              <w:spacing w:line="380" w:lineRule="exact"/>
              <w:jc w:val="center"/>
              <w:rPr>
                <w:rFonts w:ascii="宋体" w:hAnsi="宋体" w:cs="宋体"/>
                <w:b/>
                <w:bCs/>
                <w:color w:val="auto"/>
                <w:sz w:val="22"/>
                <w:szCs w:val="22"/>
                <w:highlight w:val="none"/>
              </w:rPr>
            </w:pPr>
          </w:p>
        </w:tc>
        <w:tc>
          <w:tcPr>
            <w:tcW w:w="2710" w:type="dxa"/>
            <w:noWrap w:val="0"/>
            <w:vAlign w:val="center"/>
          </w:tcPr>
          <w:p w14:paraId="1202315F">
            <w:pPr>
              <w:spacing w:line="380" w:lineRule="exact"/>
              <w:jc w:val="center"/>
              <w:rPr>
                <w:rFonts w:ascii="宋体" w:hAnsi="宋体" w:cs="宋体"/>
                <w:b/>
                <w:bCs/>
                <w:color w:val="auto"/>
                <w:sz w:val="22"/>
                <w:szCs w:val="22"/>
                <w:highlight w:val="none"/>
              </w:rPr>
            </w:pPr>
          </w:p>
        </w:tc>
      </w:tr>
      <w:tr w14:paraId="14CB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2DD62ABB">
            <w:pPr>
              <w:spacing w:line="380" w:lineRule="exact"/>
              <w:jc w:val="center"/>
              <w:rPr>
                <w:rFonts w:ascii="宋体" w:hAnsi="宋体" w:cs="宋体"/>
                <w:b/>
                <w:bCs/>
                <w:color w:val="auto"/>
                <w:sz w:val="22"/>
                <w:szCs w:val="22"/>
                <w:highlight w:val="none"/>
              </w:rPr>
            </w:pPr>
          </w:p>
        </w:tc>
        <w:tc>
          <w:tcPr>
            <w:tcW w:w="2272" w:type="dxa"/>
            <w:noWrap w:val="0"/>
            <w:vAlign w:val="center"/>
          </w:tcPr>
          <w:p w14:paraId="0999EB0C">
            <w:pPr>
              <w:spacing w:line="380" w:lineRule="exact"/>
              <w:jc w:val="center"/>
              <w:rPr>
                <w:rFonts w:ascii="宋体" w:hAnsi="宋体" w:cs="宋体"/>
                <w:b/>
                <w:bCs/>
                <w:color w:val="auto"/>
                <w:sz w:val="22"/>
                <w:szCs w:val="22"/>
                <w:highlight w:val="none"/>
              </w:rPr>
            </w:pPr>
          </w:p>
        </w:tc>
        <w:tc>
          <w:tcPr>
            <w:tcW w:w="1695" w:type="dxa"/>
            <w:noWrap w:val="0"/>
            <w:vAlign w:val="center"/>
          </w:tcPr>
          <w:p w14:paraId="78BB1543">
            <w:pPr>
              <w:spacing w:line="380" w:lineRule="exact"/>
              <w:jc w:val="center"/>
              <w:rPr>
                <w:rFonts w:ascii="宋体" w:hAnsi="宋体" w:cs="宋体"/>
                <w:b/>
                <w:bCs/>
                <w:color w:val="auto"/>
                <w:sz w:val="22"/>
                <w:szCs w:val="22"/>
                <w:highlight w:val="none"/>
              </w:rPr>
            </w:pPr>
          </w:p>
        </w:tc>
        <w:tc>
          <w:tcPr>
            <w:tcW w:w="1306" w:type="dxa"/>
            <w:noWrap w:val="0"/>
            <w:vAlign w:val="center"/>
          </w:tcPr>
          <w:p w14:paraId="23E8350D">
            <w:pPr>
              <w:spacing w:line="380" w:lineRule="exact"/>
              <w:jc w:val="center"/>
              <w:rPr>
                <w:rFonts w:ascii="宋体" w:hAnsi="宋体" w:cs="宋体"/>
                <w:b/>
                <w:bCs/>
                <w:color w:val="auto"/>
                <w:sz w:val="22"/>
                <w:szCs w:val="22"/>
                <w:highlight w:val="none"/>
              </w:rPr>
            </w:pPr>
          </w:p>
        </w:tc>
        <w:tc>
          <w:tcPr>
            <w:tcW w:w="1394" w:type="dxa"/>
            <w:noWrap w:val="0"/>
            <w:vAlign w:val="center"/>
          </w:tcPr>
          <w:p w14:paraId="5B7B368B">
            <w:pPr>
              <w:spacing w:line="380" w:lineRule="exact"/>
              <w:jc w:val="center"/>
              <w:rPr>
                <w:rFonts w:ascii="宋体" w:hAnsi="宋体" w:cs="宋体"/>
                <w:b/>
                <w:bCs/>
                <w:color w:val="auto"/>
                <w:sz w:val="22"/>
                <w:szCs w:val="22"/>
                <w:highlight w:val="none"/>
              </w:rPr>
            </w:pPr>
          </w:p>
        </w:tc>
        <w:tc>
          <w:tcPr>
            <w:tcW w:w="2710" w:type="dxa"/>
            <w:noWrap w:val="0"/>
            <w:vAlign w:val="center"/>
          </w:tcPr>
          <w:p w14:paraId="29E77C9D">
            <w:pPr>
              <w:spacing w:line="380" w:lineRule="exact"/>
              <w:jc w:val="center"/>
              <w:rPr>
                <w:rFonts w:ascii="宋体" w:hAnsi="宋体" w:cs="宋体"/>
                <w:b/>
                <w:bCs/>
                <w:color w:val="auto"/>
                <w:sz w:val="22"/>
                <w:szCs w:val="22"/>
                <w:highlight w:val="none"/>
              </w:rPr>
            </w:pPr>
          </w:p>
        </w:tc>
      </w:tr>
      <w:tr w14:paraId="5A28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4F15D807">
            <w:pPr>
              <w:spacing w:line="380" w:lineRule="exact"/>
              <w:jc w:val="center"/>
              <w:rPr>
                <w:rFonts w:ascii="宋体" w:hAnsi="宋体" w:cs="宋体"/>
                <w:b/>
                <w:bCs/>
                <w:color w:val="auto"/>
                <w:sz w:val="22"/>
                <w:szCs w:val="22"/>
                <w:highlight w:val="none"/>
              </w:rPr>
            </w:pPr>
          </w:p>
        </w:tc>
        <w:tc>
          <w:tcPr>
            <w:tcW w:w="2272" w:type="dxa"/>
            <w:noWrap w:val="0"/>
            <w:vAlign w:val="center"/>
          </w:tcPr>
          <w:p w14:paraId="4ACE45A8">
            <w:pPr>
              <w:spacing w:line="380" w:lineRule="exact"/>
              <w:jc w:val="center"/>
              <w:rPr>
                <w:rFonts w:ascii="宋体" w:hAnsi="宋体" w:cs="宋体"/>
                <w:b/>
                <w:bCs/>
                <w:color w:val="auto"/>
                <w:sz w:val="22"/>
                <w:szCs w:val="22"/>
                <w:highlight w:val="none"/>
              </w:rPr>
            </w:pPr>
          </w:p>
        </w:tc>
        <w:tc>
          <w:tcPr>
            <w:tcW w:w="1695" w:type="dxa"/>
            <w:noWrap w:val="0"/>
            <w:vAlign w:val="center"/>
          </w:tcPr>
          <w:p w14:paraId="5581FB32">
            <w:pPr>
              <w:spacing w:line="380" w:lineRule="exact"/>
              <w:jc w:val="center"/>
              <w:rPr>
                <w:rFonts w:ascii="宋体" w:hAnsi="宋体" w:cs="宋体"/>
                <w:b/>
                <w:bCs/>
                <w:color w:val="auto"/>
                <w:sz w:val="22"/>
                <w:szCs w:val="22"/>
                <w:highlight w:val="none"/>
              </w:rPr>
            </w:pPr>
          </w:p>
        </w:tc>
        <w:tc>
          <w:tcPr>
            <w:tcW w:w="1306" w:type="dxa"/>
            <w:noWrap w:val="0"/>
            <w:vAlign w:val="center"/>
          </w:tcPr>
          <w:p w14:paraId="33DB8801">
            <w:pPr>
              <w:spacing w:line="380" w:lineRule="exact"/>
              <w:jc w:val="center"/>
              <w:rPr>
                <w:rFonts w:ascii="宋体" w:hAnsi="宋体" w:cs="宋体"/>
                <w:b/>
                <w:bCs/>
                <w:color w:val="auto"/>
                <w:sz w:val="22"/>
                <w:szCs w:val="22"/>
                <w:highlight w:val="none"/>
              </w:rPr>
            </w:pPr>
          </w:p>
        </w:tc>
        <w:tc>
          <w:tcPr>
            <w:tcW w:w="1394" w:type="dxa"/>
            <w:noWrap w:val="0"/>
            <w:vAlign w:val="center"/>
          </w:tcPr>
          <w:p w14:paraId="1EC6FDD5">
            <w:pPr>
              <w:spacing w:line="380" w:lineRule="exact"/>
              <w:jc w:val="center"/>
              <w:rPr>
                <w:rFonts w:ascii="宋体" w:hAnsi="宋体" w:cs="宋体"/>
                <w:b/>
                <w:bCs/>
                <w:color w:val="auto"/>
                <w:sz w:val="22"/>
                <w:szCs w:val="22"/>
                <w:highlight w:val="none"/>
              </w:rPr>
            </w:pPr>
          </w:p>
        </w:tc>
        <w:tc>
          <w:tcPr>
            <w:tcW w:w="2710" w:type="dxa"/>
            <w:noWrap w:val="0"/>
            <w:vAlign w:val="center"/>
          </w:tcPr>
          <w:p w14:paraId="5E7BD988">
            <w:pPr>
              <w:spacing w:line="380" w:lineRule="exact"/>
              <w:jc w:val="center"/>
              <w:rPr>
                <w:rFonts w:ascii="宋体" w:hAnsi="宋体" w:cs="宋体"/>
                <w:b/>
                <w:bCs/>
                <w:color w:val="auto"/>
                <w:sz w:val="22"/>
                <w:szCs w:val="22"/>
                <w:highlight w:val="none"/>
              </w:rPr>
            </w:pPr>
          </w:p>
        </w:tc>
      </w:tr>
      <w:tr w14:paraId="57B5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00AFDCDC">
            <w:pPr>
              <w:spacing w:line="380" w:lineRule="exact"/>
              <w:jc w:val="center"/>
              <w:rPr>
                <w:rFonts w:ascii="宋体" w:hAnsi="宋体" w:cs="宋体"/>
                <w:b/>
                <w:bCs/>
                <w:color w:val="auto"/>
                <w:sz w:val="22"/>
                <w:szCs w:val="22"/>
                <w:highlight w:val="none"/>
              </w:rPr>
            </w:pPr>
          </w:p>
        </w:tc>
        <w:tc>
          <w:tcPr>
            <w:tcW w:w="2272" w:type="dxa"/>
            <w:noWrap w:val="0"/>
            <w:vAlign w:val="center"/>
          </w:tcPr>
          <w:p w14:paraId="0EB26A14">
            <w:pPr>
              <w:spacing w:line="380" w:lineRule="exact"/>
              <w:jc w:val="center"/>
              <w:rPr>
                <w:rFonts w:ascii="宋体" w:hAnsi="宋体" w:cs="宋体"/>
                <w:b/>
                <w:bCs/>
                <w:color w:val="auto"/>
                <w:sz w:val="22"/>
                <w:szCs w:val="22"/>
                <w:highlight w:val="none"/>
              </w:rPr>
            </w:pPr>
          </w:p>
        </w:tc>
        <w:tc>
          <w:tcPr>
            <w:tcW w:w="1695" w:type="dxa"/>
            <w:noWrap w:val="0"/>
            <w:vAlign w:val="center"/>
          </w:tcPr>
          <w:p w14:paraId="5774EB70">
            <w:pPr>
              <w:spacing w:line="380" w:lineRule="exact"/>
              <w:jc w:val="center"/>
              <w:rPr>
                <w:rFonts w:ascii="宋体" w:hAnsi="宋体" w:cs="宋体"/>
                <w:b/>
                <w:bCs/>
                <w:color w:val="auto"/>
                <w:sz w:val="22"/>
                <w:szCs w:val="22"/>
                <w:highlight w:val="none"/>
              </w:rPr>
            </w:pPr>
          </w:p>
        </w:tc>
        <w:tc>
          <w:tcPr>
            <w:tcW w:w="1306" w:type="dxa"/>
            <w:noWrap w:val="0"/>
            <w:vAlign w:val="center"/>
          </w:tcPr>
          <w:p w14:paraId="1F32EBBD">
            <w:pPr>
              <w:spacing w:line="380" w:lineRule="exact"/>
              <w:jc w:val="center"/>
              <w:rPr>
                <w:rFonts w:ascii="宋体" w:hAnsi="宋体" w:cs="宋体"/>
                <w:b/>
                <w:bCs/>
                <w:color w:val="auto"/>
                <w:sz w:val="22"/>
                <w:szCs w:val="22"/>
                <w:highlight w:val="none"/>
              </w:rPr>
            </w:pPr>
          </w:p>
        </w:tc>
        <w:tc>
          <w:tcPr>
            <w:tcW w:w="1394" w:type="dxa"/>
            <w:noWrap w:val="0"/>
            <w:vAlign w:val="center"/>
          </w:tcPr>
          <w:p w14:paraId="6B2EA884">
            <w:pPr>
              <w:spacing w:line="380" w:lineRule="exact"/>
              <w:jc w:val="center"/>
              <w:rPr>
                <w:rFonts w:ascii="宋体" w:hAnsi="宋体" w:cs="宋体"/>
                <w:b/>
                <w:bCs/>
                <w:color w:val="auto"/>
                <w:sz w:val="22"/>
                <w:szCs w:val="22"/>
                <w:highlight w:val="none"/>
              </w:rPr>
            </w:pPr>
          </w:p>
        </w:tc>
        <w:tc>
          <w:tcPr>
            <w:tcW w:w="2710" w:type="dxa"/>
            <w:noWrap w:val="0"/>
            <w:vAlign w:val="center"/>
          </w:tcPr>
          <w:p w14:paraId="00764DF8">
            <w:pPr>
              <w:spacing w:line="380" w:lineRule="exact"/>
              <w:jc w:val="center"/>
              <w:rPr>
                <w:rFonts w:ascii="宋体" w:hAnsi="宋体" w:cs="宋体"/>
                <w:b/>
                <w:bCs/>
                <w:color w:val="auto"/>
                <w:sz w:val="22"/>
                <w:szCs w:val="22"/>
                <w:highlight w:val="none"/>
              </w:rPr>
            </w:pPr>
          </w:p>
        </w:tc>
      </w:tr>
      <w:tr w14:paraId="3C92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7" w:type="dxa"/>
            <w:noWrap w:val="0"/>
            <w:vAlign w:val="center"/>
          </w:tcPr>
          <w:p w14:paraId="0A0106E8">
            <w:pPr>
              <w:spacing w:line="380" w:lineRule="exact"/>
              <w:jc w:val="center"/>
              <w:rPr>
                <w:rFonts w:ascii="宋体" w:hAnsi="宋体" w:cs="宋体"/>
                <w:b/>
                <w:bCs/>
                <w:color w:val="auto"/>
                <w:sz w:val="22"/>
                <w:szCs w:val="22"/>
                <w:highlight w:val="none"/>
              </w:rPr>
            </w:pPr>
          </w:p>
        </w:tc>
        <w:tc>
          <w:tcPr>
            <w:tcW w:w="2272" w:type="dxa"/>
            <w:noWrap w:val="0"/>
            <w:vAlign w:val="center"/>
          </w:tcPr>
          <w:p w14:paraId="1985A312">
            <w:pPr>
              <w:spacing w:line="380" w:lineRule="exact"/>
              <w:jc w:val="center"/>
              <w:rPr>
                <w:rFonts w:ascii="宋体" w:hAnsi="宋体" w:cs="宋体"/>
                <w:b/>
                <w:bCs/>
                <w:color w:val="auto"/>
                <w:sz w:val="22"/>
                <w:szCs w:val="22"/>
                <w:highlight w:val="none"/>
              </w:rPr>
            </w:pPr>
          </w:p>
        </w:tc>
        <w:tc>
          <w:tcPr>
            <w:tcW w:w="1695" w:type="dxa"/>
            <w:noWrap w:val="0"/>
            <w:vAlign w:val="center"/>
          </w:tcPr>
          <w:p w14:paraId="17719CA4">
            <w:pPr>
              <w:spacing w:line="380" w:lineRule="exact"/>
              <w:jc w:val="center"/>
              <w:rPr>
                <w:rFonts w:ascii="宋体" w:hAnsi="宋体" w:cs="宋体"/>
                <w:b/>
                <w:bCs/>
                <w:color w:val="auto"/>
                <w:sz w:val="22"/>
                <w:szCs w:val="22"/>
                <w:highlight w:val="none"/>
              </w:rPr>
            </w:pPr>
          </w:p>
        </w:tc>
        <w:tc>
          <w:tcPr>
            <w:tcW w:w="1306" w:type="dxa"/>
            <w:noWrap w:val="0"/>
            <w:vAlign w:val="center"/>
          </w:tcPr>
          <w:p w14:paraId="6318A1C4">
            <w:pPr>
              <w:spacing w:line="380" w:lineRule="exact"/>
              <w:jc w:val="center"/>
              <w:rPr>
                <w:rFonts w:ascii="宋体" w:hAnsi="宋体" w:cs="宋体"/>
                <w:b/>
                <w:bCs/>
                <w:color w:val="auto"/>
                <w:sz w:val="22"/>
                <w:szCs w:val="22"/>
                <w:highlight w:val="none"/>
              </w:rPr>
            </w:pPr>
          </w:p>
        </w:tc>
        <w:tc>
          <w:tcPr>
            <w:tcW w:w="1394" w:type="dxa"/>
            <w:noWrap w:val="0"/>
            <w:vAlign w:val="center"/>
          </w:tcPr>
          <w:p w14:paraId="22572CC0">
            <w:pPr>
              <w:spacing w:line="380" w:lineRule="exact"/>
              <w:jc w:val="center"/>
              <w:rPr>
                <w:rFonts w:ascii="宋体" w:hAnsi="宋体" w:cs="宋体"/>
                <w:b/>
                <w:bCs/>
                <w:color w:val="auto"/>
                <w:sz w:val="22"/>
                <w:szCs w:val="22"/>
                <w:highlight w:val="none"/>
              </w:rPr>
            </w:pPr>
          </w:p>
        </w:tc>
        <w:tc>
          <w:tcPr>
            <w:tcW w:w="2710" w:type="dxa"/>
            <w:noWrap w:val="0"/>
            <w:vAlign w:val="center"/>
          </w:tcPr>
          <w:p w14:paraId="6B5D2C82">
            <w:pPr>
              <w:spacing w:line="380" w:lineRule="exact"/>
              <w:jc w:val="center"/>
              <w:rPr>
                <w:rFonts w:ascii="宋体" w:hAnsi="宋体" w:cs="宋体"/>
                <w:b/>
                <w:bCs/>
                <w:color w:val="auto"/>
                <w:sz w:val="22"/>
                <w:szCs w:val="22"/>
                <w:highlight w:val="none"/>
              </w:rPr>
            </w:pPr>
          </w:p>
        </w:tc>
      </w:tr>
    </w:tbl>
    <w:p w14:paraId="46C929B4">
      <w:pPr>
        <w:spacing w:line="440" w:lineRule="exact"/>
        <w:ind w:firstLine="4400" w:firstLineChars="2000"/>
        <w:rPr>
          <w:rFonts w:ascii="宋体" w:hAnsi="宋体" w:cs="宋体"/>
          <w:color w:val="auto"/>
          <w:sz w:val="22"/>
          <w:szCs w:val="22"/>
          <w:highlight w:val="none"/>
        </w:rPr>
      </w:pPr>
    </w:p>
    <w:p w14:paraId="6D3DB704">
      <w:pPr>
        <w:tabs>
          <w:tab w:val="left" w:pos="1620"/>
        </w:tabs>
        <w:spacing w:line="360" w:lineRule="exact"/>
        <w:ind w:right="-107" w:firstLine="110" w:firstLineChars="50"/>
        <w:rPr>
          <w:rFonts w:ascii="宋体" w:hAnsi="宋体" w:cs="宋体"/>
          <w:color w:val="auto"/>
          <w:sz w:val="22"/>
          <w:szCs w:val="22"/>
          <w:highlight w:val="none"/>
          <w:u w:val="single"/>
        </w:rPr>
      </w:pPr>
    </w:p>
    <w:p w14:paraId="47DC0EAE">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投标人全称（盖章）：</w:t>
      </w:r>
    </w:p>
    <w:p w14:paraId="19CCC0D6">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3B9E586A">
      <w:pPr>
        <w:spacing w:line="38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日</w:t>
      </w:r>
    </w:p>
    <w:p w14:paraId="7930932D">
      <w:pPr>
        <w:rPr>
          <w:rFonts w:hint="eastAsia" w:ascii="新宋体" w:hAnsi="新宋体" w:eastAsia="新宋体"/>
          <w:b/>
          <w:bCs/>
          <w:color w:val="auto"/>
          <w:sz w:val="22"/>
          <w:szCs w:val="22"/>
          <w:highlight w:val="none"/>
        </w:rPr>
      </w:pPr>
    </w:p>
    <w:p w14:paraId="670B7CA2">
      <w:pP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br w:type="page"/>
      </w:r>
    </w:p>
    <w:p w14:paraId="20E87ED6">
      <w:pPr>
        <w:spacing w:before="120" w:beforeLines="50" w:after="120" w:afterLines="50"/>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（报价文件封面，供参考）</w:t>
      </w:r>
    </w:p>
    <w:p w14:paraId="0E0FCD2F">
      <w:pPr>
        <w:rPr>
          <w:rFonts w:ascii="新宋体" w:hAnsi="新宋体" w:eastAsia="新宋体" w:cs="新宋体"/>
          <w:color w:val="auto"/>
          <w:highlight w:val="none"/>
        </w:rPr>
      </w:pPr>
    </w:p>
    <w:p w14:paraId="27284BC3">
      <w:pPr>
        <w:rPr>
          <w:rFonts w:ascii="新宋体" w:hAnsi="新宋体" w:eastAsia="新宋体" w:cs="新宋体"/>
          <w:color w:val="auto"/>
          <w:highlight w:val="none"/>
        </w:rPr>
      </w:pPr>
    </w:p>
    <w:p w14:paraId="6617E088">
      <w:pPr>
        <w:rPr>
          <w:rFonts w:ascii="新宋体" w:hAnsi="新宋体" w:eastAsia="新宋体" w:cs="新宋体"/>
          <w:color w:val="auto"/>
          <w:highlight w:val="none"/>
          <w:u w:val="single"/>
        </w:rPr>
      </w:pPr>
    </w:p>
    <w:p w14:paraId="13FB57D4">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73403BC4">
      <w:pPr>
        <w:rPr>
          <w:rFonts w:ascii="新宋体" w:hAnsi="新宋体" w:eastAsia="新宋体" w:cs="新宋体"/>
          <w:color w:val="auto"/>
          <w:sz w:val="28"/>
          <w:szCs w:val="28"/>
          <w:highlight w:val="none"/>
        </w:rPr>
      </w:pPr>
    </w:p>
    <w:p w14:paraId="5DB26892">
      <w:pPr>
        <w:rPr>
          <w:rFonts w:ascii="新宋体" w:hAnsi="新宋体" w:eastAsia="新宋体" w:cs="新宋体"/>
          <w:color w:val="auto"/>
          <w:sz w:val="28"/>
          <w:szCs w:val="28"/>
          <w:highlight w:val="none"/>
        </w:rPr>
      </w:pPr>
    </w:p>
    <w:p w14:paraId="5BB4B3EE">
      <w:pPr>
        <w:pStyle w:val="12"/>
        <w:ind w:firstLine="280"/>
        <w:rPr>
          <w:rFonts w:ascii="新宋体" w:hAnsi="新宋体" w:eastAsia="新宋体" w:cs="新宋体"/>
          <w:color w:val="auto"/>
          <w:sz w:val="28"/>
          <w:szCs w:val="28"/>
          <w:highlight w:val="none"/>
        </w:rPr>
      </w:pPr>
    </w:p>
    <w:p w14:paraId="1DAA8CA5">
      <w:pPr>
        <w:pStyle w:val="12"/>
        <w:ind w:firstLine="280"/>
        <w:rPr>
          <w:rFonts w:ascii="新宋体" w:hAnsi="新宋体" w:eastAsia="新宋体" w:cs="新宋体"/>
          <w:color w:val="auto"/>
          <w:sz w:val="28"/>
          <w:szCs w:val="28"/>
          <w:highlight w:val="none"/>
        </w:rPr>
      </w:pPr>
    </w:p>
    <w:p w14:paraId="28295113">
      <w:pPr>
        <w:rPr>
          <w:rFonts w:ascii="新宋体" w:hAnsi="新宋体" w:eastAsia="新宋体" w:cs="新宋体"/>
          <w:color w:val="auto"/>
          <w:sz w:val="28"/>
          <w:szCs w:val="28"/>
          <w:highlight w:val="none"/>
        </w:rPr>
      </w:pPr>
    </w:p>
    <w:p w14:paraId="7DDA18AA">
      <w:pPr>
        <w:rPr>
          <w:rFonts w:ascii="新宋体" w:hAnsi="新宋体" w:eastAsia="新宋体" w:cs="新宋体"/>
          <w:color w:val="auto"/>
          <w:sz w:val="28"/>
          <w:szCs w:val="28"/>
          <w:highlight w:val="none"/>
        </w:rPr>
      </w:pPr>
    </w:p>
    <w:p w14:paraId="0040A348">
      <w:pPr>
        <w:jc w:val="center"/>
        <w:rPr>
          <w:rFonts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报 价 文 件</w:t>
      </w:r>
    </w:p>
    <w:p w14:paraId="46C80EE0">
      <w:pPr>
        <w:spacing w:line="360" w:lineRule="auto"/>
        <w:rPr>
          <w:rFonts w:ascii="新宋体" w:hAnsi="新宋体" w:eastAsia="新宋体" w:cs="新宋体"/>
          <w:color w:val="auto"/>
          <w:szCs w:val="21"/>
          <w:highlight w:val="none"/>
        </w:rPr>
      </w:pPr>
    </w:p>
    <w:p w14:paraId="4A389148">
      <w:pPr>
        <w:spacing w:line="360" w:lineRule="auto"/>
        <w:rPr>
          <w:rFonts w:ascii="新宋体" w:hAnsi="新宋体" w:eastAsia="新宋体" w:cs="新宋体"/>
          <w:color w:val="auto"/>
          <w:szCs w:val="21"/>
          <w:highlight w:val="none"/>
        </w:rPr>
      </w:pPr>
    </w:p>
    <w:p w14:paraId="4C1FD33F">
      <w:pPr>
        <w:spacing w:line="360" w:lineRule="auto"/>
        <w:rPr>
          <w:rFonts w:ascii="新宋体" w:hAnsi="新宋体" w:eastAsia="新宋体" w:cs="新宋体"/>
          <w:color w:val="auto"/>
          <w:szCs w:val="21"/>
          <w:highlight w:val="none"/>
        </w:rPr>
      </w:pPr>
    </w:p>
    <w:p w14:paraId="1262020A">
      <w:pPr>
        <w:spacing w:line="360" w:lineRule="auto"/>
        <w:rPr>
          <w:rFonts w:ascii="新宋体" w:hAnsi="新宋体" w:eastAsia="新宋体" w:cs="新宋体"/>
          <w:color w:val="auto"/>
          <w:szCs w:val="21"/>
          <w:highlight w:val="none"/>
        </w:rPr>
      </w:pPr>
    </w:p>
    <w:p w14:paraId="352EA9CF">
      <w:pPr>
        <w:spacing w:line="360" w:lineRule="auto"/>
        <w:rPr>
          <w:rFonts w:ascii="新宋体" w:hAnsi="新宋体" w:eastAsia="新宋体" w:cs="新宋体"/>
          <w:color w:val="auto"/>
          <w:szCs w:val="21"/>
          <w:highlight w:val="none"/>
        </w:rPr>
      </w:pPr>
    </w:p>
    <w:p w14:paraId="72C59FA5">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27CDB77">
      <w:pPr>
        <w:rPr>
          <w:rFonts w:ascii="新宋体" w:hAnsi="新宋体" w:eastAsia="新宋体" w:cs="新宋体"/>
          <w:color w:val="auto"/>
          <w:sz w:val="28"/>
          <w:szCs w:val="28"/>
          <w:highlight w:val="none"/>
          <w:u w:val="single"/>
        </w:rPr>
      </w:pPr>
    </w:p>
    <w:p w14:paraId="13A35D0F">
      <w:pPr>
        <w:jc w:val="center"/>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5360ABC0">
      <w:pPr>
        <w:rPr>
          <w:rFonts w:ascii="新宋体" w:hAnsi="新宋体" w:eastAsia="新宋体" w:cs="新宋体"/>
          <w:color w:val="auto"/>
          <w:sz w:val="28"/>
          <w:szCs w:val="28"/>
          <w:highlight w:val="none"/>
        </w:rPr>
      </w:pPr>
    </w:p>
    <w:p w14:paraId="1AA625AB">
      <w:pPr>
        <w:overflowPunct w:val="0"/>
        <w:spacing w:line="380" w:lineRule="exact"/>
        <w:ind w:firstLine="2738" w:firstLineChars="978"/>
        <w:rPr>
          <w:rFonts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54D6B7BA">
      <w:pPr>
        <w:pStyle w:val="4"/>
        <w:spacing w:before="340" w:after="330" w:line="360" w:lineRule="exact"/>
        <w:jc w:val="center"/>
        <w:rPr>
          <w:rFonts w:ascii="仿宋_GB2312" w:hAnsi="楷体_GB2312" w:eastAsia="仿宋_GB2312"/>
          <w:color w:val="auto"/>
          <w:sz w:val="22"/>
          <w:szCs w:val="22"/>
          <w:highlight w:val="none"/>
        </w:rPr>
      </w:pPr>
    </w:p>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6A57927C">
      <w:pPr>
        <w:spacing w:before="120" w:beforeLines="50" w:after="120" w:afterLines="50"/>
        <w:rPr>
          <w:rFonts w:hint="eastAsia" w:ascii="新宋体" w:hAnsi="新宋体" w:eastAsia="新宋体" w:cs="Times New Roman"/>
          <w:b/>
          <w:bCs/>
          <w:color w:val="auto"/>
          <w:sz w:val="22"/>
          <w:szCs w:val="22"/>
          <w:highlight w:val="none"/>
        </w:rPr>
      </w:pPr>
      <w:bookmarkStart w:id="187" w:name="_Toc29409"/>
      <w:r>
        <w:rPr>
          <w:rFonts w:ascii="宋体" w:hAnsi="宋体" w:cs="楷体"/>
          <w:b/>
          <w:bCs/>
          <w:color w:val="auto"/>
          <w:sz w:val="28"/>
          <w:szCs w:val="28"/>
          <w:highlight w:val="none"/>
        </w:rPr>
        <w:br w:type="page"/>
      </w:r>
      <w:bookmarkStart w:id="188" w:name="_Toc94280643"/>
      <w:r>
        <w:rPr>
          <w:rFonts w:hint="eastAsia" w:ascii="新宋体" w:hAnsi="新宋体" w:eastAsia="新宋体" w:cs="Times New Roman"/>
          <w:b/>
          <w:bCs/>
          <w:color w:val="auto"/>
          <w:sz w:val="22"/>
          <w:szCs w:val="22"/>
          <w:highlight w:val="none"/>
        </w:rPr>
        <w:t>附件一</w:t>
      </w:r>
    </w:p>
    <w:p w14:paraId="415C6AB8">
      <w:pPr>
        <w:autoSpaceDE w:val="0"/>
        <w:autoSpaceDN w:val="0"/>
        <w:adjustRightInd w:val="0"/>
        <w:spacing w:line="380" w:lineRule="atLeast"/>
        <w:jc w:val="center"/>
        <w:rPr>
          <w:rFonts w:hint="eastAsia"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开标一览表</w:t>
      </w:r>
      <w:bookmarkEnd w:id="187"/>
      <w:bookmarkEnd w:id="188"/>
    </w:p>
    <w:p w14:paraId="6F4BF7C2">
      <w:pPr>
        <w:overflowPunct w:val="0"/>
        <w:spacing w:line="380" w:lineRule="exact"/>
        <w:jc w:val="center"/>
        <w:rPr>
          <w:rFonts w:ascii="宋体" w:hAnsi="宋体" w:cs="楷体"/>
          <w:b/>
          <w:bCs/>
          <w:color w:val="auto"/>
          <w:sz w:val="28"/>
          <w:highlight w:val="none"/>
        </w:rPr>
      </w:pPr>
    </w:p>
    <w:p w14:paraId="26F42EAB">
      <w:pPr>
        <w:jc w:val="center"/>
        <w:rPr>
          <w:rFonts w:ascii="宋体" w:hAnsi="宋体"/>
          <w:bCs/>
          <w:color w:val="auto"/>
          <w:sz w:val="22"/>
          <w:szCs w:val="22"/>
          <w:highlight w:val="none"/>
        </w:rPr>
      </w:pPr>
      <w:r>
        <w:rPr>
          <w:rFonts w:hint="eastAsia" w:ascii="宋体" w:hAnsi="宋体"/>
          <w:color w:val="auto"/>
          <w:sz w:val="22"/>
          <w:szCs w:val="22"/>
          <w:highlight w:val="none"/>
        </w:rPr>
        <w:t xml:space="preserve">                         </w:t>
      </w:r>
      <w:r>
        <w:rPr>
          <w:rFonts w:hint="eastAsia" w:ascii="宋体" w:hAnsi="宋体"/>
          <w:bCs/>
          <w:color w:val="auto"/>
          <w:sz w:val="22"/>
          <w:szCs w:val="22"/>
          <w:highlight w:val="none"/>
        </w:rPr>
        <w:t xml:space="preserve"> </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20156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14:paraId="629DB696">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投标总价（大写）：</w:t>
            </w:r>
          </w:p>
          <w:p w14:paraId="099B1136">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p>
          <w:p w14:paraId="0FF9861F">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（小写）¥</w:t>
            </w:r>
          </w:p>
        </w:tc>
      </w:tr>
    </w:tbl>
    <w:p w14:paraId="1B19F84E">
      <w:pPr>
        <w:spacing w:line="400" w:lineRule="exact"/>
        <w:rPr>
          <w:rFonts w:ascii="宋体" w:hAnsi="宋体"/>
          <w:b/>
          <w:bCs/>
          <w:color w:val="auto"/>
          <w:sz w:val="22"/>
          <w:szCs w:val="22"/>
          <w:highlight w:val="none"/>
        </w:rPr>
      </w:pPr>
    </w:p>
    <w:p w14:paraId="6B1B5A16">
      <w:pPr>
        <w:spacing w:line="400" w:lineRule="exact"/>
        <w:rPr>
          <w:rFonts w:ascii="宋体" w:hAnsi="宋体" w:cs="新宋体"/>
          <w:color w:val="auto"/>
          <w:sz w:val="22"/>
          <w:szCs w:val="22"/>
          <w:highlight w:val="none"/>
        </w:rPr>
      </w:pPr>
      <w:r>
        <w:rPr>
          <w:rFonts w:hint="eastAsia" w:ascii="宋体" w:hAnsi="宋体" w:cs="新宋体"/>
          <w:color w:val="auto"/>
          <w:sz w:val="22"/>
          <w:szCs w:val="22"/>
          <w:highlight w:val="none"/>
        </w:rPr>
        <w:t>注：</w:t>
      </w:r>
    </w:p>
    <w:p w14:paraId="59E32AEF">
      <w:pPr>
        <w:spacing w:line="400" w:lineRule="exact"/>
        <w:rPr>
          <w:rFonts w:ascii="宋体" w:hAnsi="宋体" w:cs="新宋体"/>
          <w:color w:val="auto"/>
          <w:sz w:val="22"/>
          <w:szCs w:val="22"/>
          <w:highlight w:val="none"/>
        </w:rPr>
      </w:pPr>
      <w:r>
        <w:rPr>
          <w:rFonts w:hint="eastAsia" w:ascii="宋体" w:hAnsi="宋体" w:cs="新宋体"/>
          <w:color w:val="auto"/>
          <w:sz w:val="22"/>
          <w:szCs w:val="22"/>
          <w:highlight w:val="none"/>
        </w:rPr>
        <w:t>1.此栏内投标总价应与附件二“分项报价表”中总计价相一致。</w:t>
      </w:r>
    </w:p>
    <w:p w14:paraId="42B239C9">
      <w:pPr>
        <w:spacing w:line="40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2.不提供此表格的投标文件将被视为未实质性响应采购文件。</w:t>
      </w:r>
    </w:p>
    <w:p w14:paraId="2F6E3E15">
      <w:pPr>
        <w:spacing w:line="400" w:lineRule="exact"/>
        <w:rPr>
          <w:rFonts w:ascii="宋体" w:hAnsi="宋体" w:cs="新宋体"/>
          <w:color w:val="auto"/>
          <w:sz w:val="22"/>
          <w:szCs w:val="22"/>
          <w:highlight w:val="none"/>
        </w:rPr>
      </w:pPr>
    </w:p>
    <w:p w14:paraId="6A04FC7E">
      <w:pPr>
        <w:spacing w:line="400" w:lineRule="exact"/>
        <w:jc w:val="right"/>
        <w:rPr>
          <w:rFonts w:ascii="宋体" w:hAnsi="宋体" w:cs="新宋体"/>
          <w:color w:val="auto"/>
          <w:sz w:val="22"/>
          <w:szCs w:val="22"/>
          <w:highlight w:val="none"/>
        </w:rPr>
      </w:pPr>
    </w:p>
    <w:p w14:paraId="32F2ADF6">
      <w:pPr>
        <w:spacing w:line="380" w:lineRule="exact"/>
        <w:jc w:val="right"/>
        <w:rPr>
          <w:rFonts w:hint="eastAsia" w:ascii="宋体" w:hAnsi="宋体" w:cs="楷体"/>
          <w:color w:val="auto"/>
          <w:sz w:val="22"/>
          <w:szCs w:val="22"/>
          <w:highlight w:val="none"/>
        </w:rPr>
      </w:pPr>
    </w:p>
    <w:p w14:paraId="5BFAE258">
      <w:pPr>
        <w:spacing w:line="380" w:lineRule="exact"/>
        <w:jc w:val="right"/>
        <w:rPr>
          <w:rFonts w:hint="eastAsia" w:ascii="宋体" w:hAnsi="宋体" w:cs="楷体"/>
          <w:color w:val="auto"/>
          <w:sz w:val="22"/>
          <w:szCs w:val="22"/>
          <w:highlight w:val="none"/>
        </w:rPr>
      </w:pPr>
    </w:p>
    <w:p w14:paraId="67C946B9">
      <w:pPr>
        <w:spacing w:line="380" w:lineRule="exact"/>
        <w:jc w:val="right"/>
        <w:rPr>
          <w:rFonts w:ascii="宋体" w:hAnsi="宋体" w:cs="楷体"/>
          <w:color w:val="auto"/>
          <w:sz w:val="22"/>
          <w:szCs w:val="22"/>
          <w:highlight w:val="none"/>
        </w:rPr>
      </w:pPr>
      <w:r>
        <w:rPr>
          <w:rFonts w:hint="eastAsia" w:ascii="宋体" w:hAnsi="宋体" w:cs="楷体"/>
          <w:color w:val="auto"/>
          <w:sz w:val="22"/>
          <w:szCs w:val="22"/>
          <w:highlight w:val="none"/>
        </w:rPr>
        <w:t>投标人全称（盖章）：</w:t>
      </w:r>
    </w:p>
    <w:p w14:paraId="7DFEB199">
      <w:pPr>
        <w:spacing w:line="380" w:lineRule="exact"/>
        <w:jc w:val="right"/>
        <w:rPr>
          <w:rFonts w:ascii="宋体" w:hAnsi="宋体" w:cs="楷体"/>
          <w:color w:val="auto"/>
          <w:sz w:val="22"/>
          <w:szCs w:val="22"/>
          <w:highlight w:val="none"/>
        </w:rPr>
      </w:pPr>
      <w:r>
        <w:rPr>
          <w:rFonts w:hint="eastAsia" w:ascii="宋体" w:hAnsi="宋体" w:cs="楷体"/>
          <w:color w:val="auto"/>
          <w:sz w:val="22"/>
          <w:szCs w:val="22"/>
          <w:highlight w:val="none"/>
        </w:rPr>
        <w:t>法定代表人（法定负责人）或授权代表（签字）：</w:t>
      </w:r>
    </w:p>
    <w:p w14:paraId="4AA061E7">
      <w:pPr>
        <w:spacing w:line="380" w:lineRule="exact"/>
        <w:jc w:val="right"/>
        <w:rPr>
          <w:rFonts w:ascii="宋体" w:hAnsi="宋体" w:cs="楷体"/>
          <w:color w:val="auto"/>
          <w:sz w:val="22"/>
          <w:szCs w:val="22"/>
          <w:highlight w:val="none"/>
        </w:rPr>
      </w:pPr>
      <w:r>
        <w:rPr>
          <w:rFonts w:hint="eastAsia" w:ascii="宋体" w:hAnsi="宋体" w:cs="楷体"/>
          <w:color w:val="auto"/>
          <w:sz w:val="22"/>
          <w:szCs w:val="22"/>
          <w:highlight w:val="none"/>
        </w:rPr>
        <w:t>日 期：  年  月  日</w:t>
      </w:r>
    </w:p>
    <w:p w14:paraId="674A6521">
      <w:pPr>
        <w:pStyle w:val="2"/>
        <w:spacing w:line="400" w:lineRule="exact"/>
        <w:ind w:firstLine="0"/>
        <w:rPr>
          <w:rFonts w:ascii="宋体" w:hAnsi="宋体" w:cs="楷体"/>
          <w:color w:val="auto"/>
          <w:sz w:val="22"/>
          <w:szCs w:val="22"/>
          <w:highlight w:val="none"/>
        </w:rPr>
      </w:pPr>
    </w:p>
    <w:p w14:paraId="17F24B90">
      <w:pPr>
        <w:autoSpaceDE w:val="0"/>
        <w:autoSpaceDN w:val="0"/>
        <w:adjustRightInd w:val="0"/>
        <w:spacing w:line="380" w:lineRule="atLeast"/>
        <w:rPr>
          <w:rFonts w:hint="eastAsia" w:ascii="宋体" w:hAnsi="宋体" w:cs="宋体"/>
          <w:b/>
          <w:bCs/>
          <w:color w:val="auto"/>
          <w:kern w:val="0"/>
          <w:sz w:val="22"/>
          <w:szCs w:val="22"/>
          <w:highlight w:val="none"/>
          <w:lang w:val="zh-CN"/>
        </w:rPr>
        <w:sectPr>
          <w:footerReference r:id="rId6" w:type="default"/>
          <w:pgSz w:w="11906" w:h="16838"/>
          <w:pgMar w:top="1134" w:right="1134" w:bottom="1134" w:left="1134" w:header="851" w:footer="851" w:gutter="0"/>
          <w:cols w:space="720" w:num="1"/>
          <w:docGrid w:linePitch="316" w:charSpace="855"/>
        </w:sectPr>
      </w:pPr>
      <w:r>
        <w:rPr>
          <w:rFonts w:hint="eastAsia" w:ascii="宋体" w:hAnsi="宋体" w:cs="宋体"/>
          <w:b/>
          <w:bCs/>
          <w:color w:val="auto"/>
          <w:kern w:val="0"/>
          <w:sz w:val="22"/>
          <w:szCs w:val="22"/>
          <w:highlight w:val="none"/>
          <w:lang w:val="zh-CN"/>
        </w:rPr>
        <w:br w:type="page"/>
      </w:r>
    </w:p>
    <w:p w14:paraId="0AA847D0">
      <w:pPr>
        <w:autoSpaceDE w:val="0"/>
        <w:autoSpaceDN w:val="0"/>
        <w:adjustRightInd w:val="0"/>
        <w:spacing w:line="380" w:lineRule="atLeas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附件二</w:t>
      </w:r>
    </w:p>
    <w:p w14:paraId="7FDB2854">
      <w:pPr>
        <w:autoSpaceDE w:val="0"/>
        <w:autoSpaceDN w:val="0"/>
        <w:adjustRightInd w:val="0"/>
        <w:spacing w:line="380" w:lineRule="atLeast"/>
        <w:jc w:val="center"/>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分项报价表</w:t>
      </w:r>
    </w:p>
    <w:p w14:paraId="209C454B">
      <w:pPr>
        <w:autoSpaceDE w:val="0"/>
        <w:autoSpaceDN w:val="0"/>
        <w:adjustRightInd w:val="0"/>
        <w:spacing w:line="380" w:lineRule="atLeas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项目名称：            （价格单位：人民币</w:t>
      </w:r>
      <w:r>
        <w:rPr>
          <w:rFonts w:hint="eastAsia" w:ascii="宋体" w:hAnsi="宋体" w:cs="宋体"/>
          <w:b/>
          <w:bCs/>
          <w:color w:val="auto"/>
          <w:kern w:val="0"/>
          <w:sz w:val="22"/>
          <w:szCs w:val="22"/>
          <w:highlight w:val="none"/>
        </w:rPr>
        <w:t>元</w:t>
      </w:r>
      <w:r>
        <w:rPr>
          <w:rFonts w:hint="eastAsia" w:ascii="宋体" w:hAnsi="宋体" w:cs="宋体"/>
          <w:b/>
          <w:bCs/>
          <w:color w:val="auto"/>
          <w:kern w:val="0"/>
          <w:sz w:val="22"/>
          <w:szCs w:val="22"/>
          <w:highlight w:val="none"/>
          <w:lang w:val="zh-CN"/>
        </w:rPr>
        <w:t>）                   采购编号：</w:t>
      </w:r>
    </w:p>
    <w:tbl>
      <w:tblPr>
        <w:tblStyle w:val="29"/>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617"/>
        <w:gridCol w:w="1504"/>
        <w:gridCol w:w="2453"/>
        <w:gridCol w:w="2226"/>
        <w:gridCol w:w="5247"/>
      </w:tblGrid>
      <w:tr w14:paraId="2EBA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229" w:type="pct"/>
            <w:vAlign w:val="center"/>
          </w:tcPr>
          <w:p w14:paraId="6448E061">
            <w:pPr>
              <w:widowControl/>
              <w:spacing w:line="240" w:lineRule="auto"/>
              <w:jc w:val="center"/>
              <w:textAlignment w:val="center"/>
              <w:rPr>
                <w:rFonts w:ascii="新宋体" w:hAnsi="新宋体" w:eastAsia="新宋体" w:cs="新宋体"/>
                <w:b/>
                <w:bCs/>
                <w:color w:val="auto"/>
                <w:szCs w:val="21"/>
                <w:highlight w:val="none"/>
              </w:rPr>
            </w:pPr>
            <w:r>
              <w:rPr>
                <w:rFonts w:hint="eastAsia" w:ascii="新宋体" w:hAnsi="新宋体" w:eastAsia="新宋体" w:cs="新宋体"/>
                <w:b/>
                <w:bCs/>
                <w:color w:val="auto"/>
                <w:kern w:val="0"/>
                <w:szCs w:val="21"/>
                <w:highlight w:val="none"/>
                <w:lang w:bidi="ar"/>
              </w:rPr>
              <w:t>序号</w:t>
            </w:r>
          </w:p>
        </w:tc>
        <w:tc>
          <w:tcPr>
            <w:tcW w:w="888" w:type="pct"/>
            <w:vAlign w:val="center"/>
          </w:tcPr>
          <w:p w14:paraId="3AF772F0">
            <w:pPr>
              <w:widowControl/>
              <w:spacing w:line="240" w:lineRule="auto"/>
              <w:jc w:val="center"/>
              <w:textAlignment w:val="center"/>
              <w:rPr>
                <w:rFonts w:ascii="新宋体" w:hAnsi="新宋体" w:eastAsia="新宋体" w:cs="新宋体"/>
                <w:b/>
                <w:bCs/>
                <w:color w:val="auto"/>
                <w:szCs w:val="21"/>
                <w:highlight w:val="none"/>
              </w:rPr>
            </w:pPr>
            <w:r>
              <w:rPr>
                <w:rFonts w:hint="eastAsia" w:ascii="新宋体" w:hAnsi="新宋体" w:eastAsia="新宋体" w:cs="新宋体"/>
                <w:b/>
                <w:bCs/>
                <w:color w:val="auto"/>
                <w:kern w:val="0"/>
                <w:szCs w:val="21"/>
                <w:highlight w:val="none"/>
                <w:lang w:bidi="ar"/>
              </w:rPr>
              <w:t>名称</w:t>
            </w:r>
          </w:p>
        </w:tc>
        <w:tc>
          <w:tcPr>
            <w:tcW w:w="511" w:type="pct"/>
            <w:vAlign w:val="center"/>
          </w:tcPr>
          <w:p w14:paraId="101FD3D3">
            <w:pPr>
              <w:widowControl/>
              <w:spacing w:line="240" w:lineRule="auto"/>
              <w:jc w:val="center"/>
              <w:textAlignment w:val="center"/>
              <w:rPr>
                <w:rFonts w:ascii="新宋体" w:hAnsi="新宋体" w:eastAsia="新宋体" w:cs="新宋体"/>
                <w:b/>
                <w:bCs/>
                <w:color w:val="auto"/>
                <w:szCs w:val="21"/>
                <w:highlight w:val="none"/>
              </w:rPr>
            </w:pPr>
            <w:r>
              <w:rPr>
                <w:rFonts w:hint="eastAsia" w:ascii="新宋体" w:hAnsi="新宋体" w:eastAsia="新宋体" w:cs="新宋体"/>
                <w:b/>
                <w:bCs/>
                <w:color w:val="auto"/>
                <w:kern w:val="0"/>
                <w:szCs w:val="21"/>
                <w:highlight w:val="none"/>
                <w:lang w:bidi="ar"/>
              </w:rPr>
              <w:t>数量/单位</w:t>
            </w:r>
          </w:p>
        </w:tc>
        <w:tc>
          <w:tcPr>
            <w:tcW w:w="833" w:type="pct"/>
            <w:vAlign w:val="center"/>
          </w:tcPr>
          <w:p w14:paraId="509DE42B">
            <w:pPr>
              <w:widowControl/>
              <w:spacing w:line="240" w:lineRule="auto"/>
              <w:jc w:val="center"/>
              <w:textAlignment w:val="center"/>
              <w:rPr>
                <w:rFonts w:hint="default" w:ascii="新宋体" w:hAnsi="新宋体" w:eastAsia="新宋体" w:cs="新宋体"/>
                <w:b/>
                <w:bCs/>
                <w:color w:val="auto"/>
                <w:szCs w:val="21"/>
                <w:highlight w:val="none"/>
                <w:lang w:val="en-US" w:eastAsia="zh-CN"/>
              </w:rPr>
            </w:pPr>
            <w:r>
              <w:rPr>
                <w:rFonts w:hint="eastAsia" w:ascii="新宋体" w:hAnsi="新宋体" w:eastAsia="新宋体" w:cs="新宋体"/>
                <w:b/>
                <w:bCs/>
                <w:color w:val="auto"/>
                <w:szCs w:val="21"/>
                <w:highlight w:val="none"/>
                <w:lang w:val="en-US" w:eastAsia="zh-CN"/>
              </w:rPr>
              <w:t>全费用单价</w:t>
            </w:r>
          </w:p>
        </w:tc>
        <w:tc>
          <w:tcPr>
            <w:tcW w:w="756" w:type="pct"/>
            <w:vAlign w:val="center"/>
          </w:tcPr>
          <w:p w14:paraId="04348E22">
            <w:pPr>
              <w:widowControl/>
              <w:spacing w:line="240" w:lineRule="auto"/>
              <w:jc w:val="center"/>
              <w:textAlignment w:val="center"/>
              <w:rPr>
                <w:rFonts w:ascii="新宋体" w:hAnsi="新宋体" w:eastAsia="新宋体" w:cs="新宋体"/>
                <w:b/>
                <w:bCs/>
                <w:color w:val="auto"/>
                <w:kern w:val="0"/>
                <w:szCs w:val="21"/>
                <w:highlight w:val="none"/>
                <w:lang w:bidi="ar"/>
              </w:rPr>
            </w:pPr>
            <w:r>
              <w:rPr>
                <w:rFonts w:hint="eastAsia" w:ascii="新宋体" w:hAnsi="新宋体" w:eastAsia="新宋体" w:cs="新宋体"/>
                <w:b/>
                <w:bCs/>
                <w:color w:val="auto"/>
                <w:kern w:val="0"/>
                <w:szCs w:val="21"/>
                <w:highlight w:val="none"/>
                <w:lang w:val="en-US" w:eastAsia="zh-CN" w:bidi="ar"/>
              </w:rPr>
              <w:t>全费用</w:t>
            </w:r>
            <w:r>
              <w:rPr>
                <w:rFonts w:hint="eastAsia" w:ascii="新宋体" w:hAnsi="新宋体" w:eastAsia="新宋体" w:cs="新宋体"/>
                <w:b/>
                <w:bCs/>
                <w:color w:val="auto"/>
                <w:kern w:val="0"/>
                <w:szCs w:val="21"/>
                <w:highlight w:val="none"/>
                <w:lang w:bidi="ar"/>
              </w:rPr>
              <w:t>合计</w:t>
            </w:r>
          </w:p>
          <w:p w14:paraId="75B525BA">
            <w:pPr>
              <w:widowControl/>
              <w:spacing w:line="240" w:lineRule="auto"/>
              <w:jc w:val="center"/>
              <w:textAlignment w:val="center"/>
              <w:rPr>
                <w:rFonts w:ascii="新宋体" w:hAnsi="新宋体" w:eastAsia="新宋体" w:cs="新宋体"/>
                <w:b/>
                <w:bCs/>
                <w:color w:val="auto"/>
                <w:szCs w:val="21"/>
                <w:highlight w:val="none"/>
              </w:rPr>
            </w:pPr>
            <w:r>
              <w:rPr>
                <w:rFonts w:hint="eastAsia" w:ascii="新宋体" w:hAnsi="新宋体" w:eastAsia="新宋体" w:cs="新宋体"/>
                <w:b/>
                <w:bCs/>
                <w:color w:val="auto"/>
                <w:kern w:val="0"/>
                <w:szCs w:val="21"/>
                <w:highlight w:val="none"/>
                <w:lang w:bidi="ar"/>
              </w:rPr>
              <w:t>（</w:t>
            </w:r>
            <w:r>
              <w:rPr>
                <w:rFonts w:hint="default" w:ascii="新宋体" w:hAnsi="新宋体" w:eastAsia="新宋体" w:cs="新宋体"/>
                <w:b/>
                <w:bCs/>
                <w:color w:val="auto"/>
                <w:highlight w:val="none"/>
                <w:lang w:bidi="ar"/>
              </w:rPr>
              <w:t>元/年</w:t>
            </w:r>
            <w:r>
              <w:rPr>
                <w:rFonts w:hint="eastAsia" w:ascii="新宋体" w:hAnsi="新宋体" w:eastAsia="新宋体" w:cs="新宋体"/>
                <w:b/>
                <w:bCs/>
                <w:color w:val="auto"/>
                <w:kern w:val="0"/>
                <w:szCs w:val="21"/>
                <w:highlight w:val="none"/>
                <w:lang w:bidi="ar"/>
              </w:rPr>
              <w:t>）</w:t>
            </w:r>
          </w:p>
        </w:tc>
        <w:tc>
          <w:tcPr>
            <w:tcW w:w="1781" w:type="pct"/>
            <w:vAlign w:val="center"/>
          </w:tcPr>
          <w:p w14:paraId="39E0D3F8">
            <w:pPr>
              <w:widowControl/>
              <w:spacing w:line="240" w:lineRule="auto"/>
              <w:jc w:val="center"/>
              <w:textAlignment w:val="center"/>
              <w:rPr>
                <w:rFonts w:ascii="新宋体" w:hAnsi="新宋体" w:eastAsia="新宋体" w:cs="新宋体"/>
                <w:b/>
                <w:bCs/>
                <w:color w:val="auto"/>
                <w:szCs w:val="21"/>
                <w:highlight w:val="none"/>
              </w:rPr>
            </w:pPr>
            <w:r>
              <w:rPr>
                <w:rFonts w:hint="eastAsia" w:ascii="新宋体" w:hAnsi="新宋体" w:eastAsia="新宋体" w:cs="新宋体"/>
                <w:b/>
                <w:bCs/>
                <w:color w:val="auto"/>
                <w:kern w:val="0"/>
                <w:szCs w:val="21"/>
                <w:highlight w:val="none"/>
                <w:lang w:bidi="ar"/>
              </w:rPr>
              <w:t>备注说明</w:t>
            </w:r>
          </w:p>
        </w:tc>
      </w:tr>
      <w:tr w14:paraId="0F54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29" w:type="pct"/>
            <w:vAlign w:val="center"/>
          </w:tcPr>
          <w:p w14:paraId="79300E04">
            <w:pPr>
              <w:widowControl/>
              <w:spacing w:line="240" w:lineRule="auto"/>
              <w:jc w:val="center"/>
              <w:textAlignment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1</w:t>
            </w:r>
          </w:p>
        </w:tc>
        <w:tc>
          <w:tcPr>
            <w:tcW w:w="888" w:type="pct"/>
            <w:vAlign w:val="center"/>
          </w:tcPr>
          <w:p w14:paraId="7193E329">
            <w:pPr>
              <w:widowControl/>
              <w:spacing w:line="240" w:lineRule="auto"/>
              <w:jc w:val="center"/>
              <w:textAlignment w:val="center"/>
              <w:rPr>
                <w:rFonts w:hint="eastAsia"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渣土安保巡逻、岗亭口管理及泥浆渣土消纳票据收验人员费用</w:t>
            </w:r>
          </w:p>
        </w:tc>
        <w:tc>
          <w:tcPr>
            <w:tcW w:w="511" w:type="pct"/>
            <w:vAlign w:val="center"/>
          </w:tcPr>
          <w:p w14:paraId="46EDF388">
            <w:pPr>
              <w:spacing w:line="240" w:lineRule="auto"/>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 xml:space="preserve">  396人</w:t>
            </w:r>
            <w:r>
              <w:rPr>
                <w:rFonts w:hint="eastAsia" w:ascii="微软雅黑" w:hAnsi="微软雅黑" w:eastAsia="微软雅黑" w:cs="微软雅黑"/>
                <w:color w:val="auto"/>
                <w:highlight w:val="none"/>
                <w:lang w:val="en-US" w:eastAsia="zh-CN" w:bidi="ar"/>
              </w:rPr>
              <w:t>•</w:t>
            </w:r>
            <w:r>
              <w:rPr>
                <w:rFonts w:hint="eastAsia" w:ascii="新宋体" w:hAnsi="新宋体" w:eastAsia="新宋体" w:cs="新宋体"/>
                <w:color w:val="auto"/>
                <w:highlight w:val="none"/>
                <w:lang w:val="en-US" w:eastAsia="zh-CN" w:bidi="ar"/>
              </w:rPr>
              <w:t>月</w:t>
            </w:r>
          </w:p>
        </w:tc>
        <w:tc>
          <w:tcPr>
            <w:tcW w:w="833" w:type="pct"/>
            <w:vAlign w:val="center"/>
          </w:tcPr>
          <w:p w14:paraId="3A1C68CB">
            <w:pPr>
              <w:spacing w:line="240" w:lineRule="auto"/>
              <w:ind w:firstLine="420" w:firstLineChars="200"/>
              <w:jc w:val="left"/>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default" w:ascii="新宋体" w:hAnsi="新宋体" w:eastAsia="新宋体" w:cs="新宋体"/>
                <w:color w:val="auto"/>
                <w:highlight w:val="none"/>
                <w:lang w:val="en-US" w:eastAsia="zh-CN" w:bidi="ar"/>
              </w:rPr>
              <w:t>元/</w:t>
            </w:r>
            <w:r>
              <w:rPr>
                <w:rFonts w:hint="eastAsia" w:ascii="新宋体" w:hAnsi="新宋体" w:eastAsia="新宋体" w:cs="新宋体"/>
                <w:color w:val="auto"/>
                <w:highlight w:val="none"/>
                <w:lang w:val="en-US" w:eastAsia="zh-CN" w:bidi="ar"/>
              </w:rPr>
              <w:t>人</w:t>
            </w:r>
            <w:r>
              <w:rPr>
                <w:rFonts w:hint="eastAsia" w:ascii="微软雅黑" w:hAnsi="微软雅黑" w:eastAsia="微软雅黑" w:cs="微软雅黑"/>
                <w:color w:val="auto"/>
                <w:highlight w:val="none"/>
                <w:lang w:val="en-US" w:eastAsia="zh-CN" w:bidi="ar"/>
              </w:rPr>
              <w:t>•</w:t>
            </w:r>
            <w:r>
              <w:rPr>
                <w:rFonts w:hint="eastAsia" w:ascii="新宋体" w:hAnsi="新宋体" w:eastAsia="新宋体" w:cs="新宋体"/>
                <w:color w:val="auto"/>
                <w:highlight w:val="none"/>
                <w:lang w:val="en-US" w:eastAsia="zh-CN" w:bidi="ar"/>
              </w:rPr>
              <w:t>月</w:t>
            </w:r>
          </w:p>
        </w:tc>
        <w:tc>
          <w:tcPr>
            <w:tcW w:w="756" w:type="pct"/>
            <w:vAlign w:val="center"/>
          </w:tcPr>
          <w:p w14:paraId="2D4C7B2D">
            <w:pPr>
              <w:spacing w:line="240" w:lineRule="auto"/>
              <w:ind w:firstLine="420" w:firstLineChars="200"/>
              <w:jc w:val="left"/>
              <w:rPr>
                <w:rFonts w:hint="default" w:ascii="新宋体" w:hAnsi="新宋体" w:eastAsia="新宋体" w:cs="新宋体"/>
                <w:color w:val="auto"/>
                <w:highlight w:val="none"/>
                <w:lang w:val="en-US" w:eastAsia="zh-CN" w:bidi="ar"/>
              </w:rPr>
            </w:pPr>
          </w:p>
        </w:tc>
        <w:tc>
          <w:tcPr>
            <w:tcW w:w="1781" w:type="pct"/>
            <w:vAlign w:val="center"/>
          </w:tcPr>
          <w:p w14:paraId="5A625B05">
            <w:pPr>
              <w:spacing w:line="240" w:lineRule="auto"/>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1.含项目经理、安保巡逻、岗亭口管理、泥浆、渣土消纳票据收验人员等所有费用，由投标人考虑。</w:t>
            </w:r>
          </w:p>
          <w:p w14:paraId="220A5BA9">
            <w:pPr>
              <w:spacing w:line="240" w:lineRule="auto"/>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2.班次数量渣土消纳按照3（岗亭）*3（人）*3（班）*12（月/年）=324人•月，泥浆消纳按照1（岗亭）*3（人）*12（月/年）=36人•月，后场管理1（人）*3（班）*12（月/年）=36人•月。</w:t>
            </w:r>
          </w:p>
        </w:tc>
      </w:tr>
      <w:tr w14:paraId="7A19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 w:type="pct"/>
            <w:vAlign w:val="center"/>
          </w:tcPr>
          <w:p w14:paraId="05B4C2B3">
            <w:pPr>
              <w:widowControl/>
              <w:spacing w:line="240" w:lineRule="auto"/>
              <w:jc w:val="center"/>
              <w:textAlignment w:val="center"/>
              <w:rPr>
                <w:rFonts w:hint="default" w:ascii="新宋体" w:hAnsi="新宋体" w:eastAsia="新宋体" w:cs="新宋体"/>
                <w:color w:val="0000FF"/>
                <w:kern w:val="0"/>
                <w:szCs w:val="21"/>
                <w:highlight w:val="yellow"/>
                <w:lang w:val="en-US" w:eastAsia="zh-CN" w:bidi="ar"/>
              </w:rPr>
            </w:pPr>
            <w:r>
              <w:rPr>
                <w:rFonts w:hint="eastAsia" w:ascii="新宋体" w:hAnsi="新宋体" w:eastAsia="新宋体" w:cs="新宋体"/>
                <w:color w:val="auto"/>
                <w:szCs w:val="21"/>
                <w:highlight w:val="none"/>
                <w:lang w:val="en-US" w:eastAsia="zh-CN"/>
              </w:rPr>
              <w:t>2</w:t>
            </w:r>
          </w:p>
        </w:tc>
        <w:tc>
          <w:tcPr>
            <w:tcW w:w="888" w:type="pct"/>
            <w:vAlign w:val="center"/>
          </w:tcPr>
          <w:p w14:paraId="7527E557">
            <w:pPr>
              <w:widowControl/>
              <w:spacing w:line="240" w:lineRule="auto"/>
              <w:jc w:val="center"/>
              <w:textAlignment w:val="center"/>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洒水、清洗工作费用（日常）</w:t>
            </w:r>
          </w:p>
        </w:tc>
        <w:tc>
          <w:tcPr>
            <w:tcW w:w="511" w:type="pct"/>
            <w:vAlign w:val="center"/>
          </w:tcPr>
          <w:p w14:paraId="68FD696A">
            <w:pPr>
              <w:widowControl/>
              <w:spacing w:line="240" w:lineRule="auto"/>
              <w:jc w:val="center"/>
              <w:textAlignment w:val="center"/>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12月</w:t>
            </w:r>
          </w:p>
        </w:tc>
        <w:tc>
          <w:tcPr>
            <w:tcW w:w="833" w:type="pct"/>
            <w:vAlign w:val="center"/>
          </w:tcPr>
          <w:p w14:paraId="4D79C08F">
            <w:pPr>
              <w:widowControl/>
              <w:spacing w:line="240" w:lineRule="auto"/>
              <w:jc w:val="center"/>
              <w:textAlignment w:val="center"/>
              <w:rPr>
                <w:rFonts w:hint="default" w:ascii="新宋体" w:hAnsi="新宋体" w:eastAsia="新宋体" w:cs="新宋体"/>
                <w:color w:val="auto"/>
                <w:highlight w:val="none"/>
                <w:lang w:val="en-US" w:eastAsia="zh-CN"/>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highlight w:val="none"/>
                <w:lang w:val="en-US" w:eastAsia="zh-CN"/>
              </w:rPr>
              <w:t>元/月</w:t>
            </w:r>
          </w:p>
        </w:tc>
        <w:tc>
          <w:tcPr>
            <w:tcW w:w="756" w:type="pct"/>
            <w:vAlign w:val="center"/>
          </w:tcPr>
          <w:p w14:paraId="0DD60979">
            <w:pPr>
              <w:widowControl/>
              <w:spacing w:line="240" w:lineRule="auto"/>
              <w:jc w:val="center"/>
              <w:textAlignment w:val="center"/>
              <w:rPr>
                <w:rFonts w:hint="default" w:ascii="新宋体" w:hAnsi="新宋体" w:eastAsia="新宋体" w:cs="新宋体"/>
                <w:color w:val="auto"/>
                <w:highlight w:val="none"/>
                <w:lang w:val="en-US" w:eastAsia="zh-CN"/>
              </w:rPr>
            </w:pPr>
          </w:p>
        </w:tc>
        <w:tc>
          <w:tcPr>
            <w:tcW w:w="1781" w:type="pct"/>
            <w:vAlign w:val="center"/>
          </w:tcPr>
          <w:p w14:paraId="728451F0">
            <w:pPr>
              <w:spacing w:line="240" w:lineRule="auto"/>
              <w:jc w:val="left"/>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单价为洒水车综合使用费以及水费，平均每月按30天计算，需洒水至少4次/日，每月费用约4万元，一年费用约48万元；以上费用除日常洒水外还包括岗亭出入口及附近部分道路的洒水清洗；（2）招标人要求需要开展临时的洒水工作；（3）投标人在投标阶段在综合报价中考虑上述相关费用。</w:t>
            </w:r>
          </w:p>
          <w:p w14:paraId="46666683">
            <w:pPr>
              <w:pStyle w:val="2"/>
              <w:spacing w:line="240" w:lineRule="auto"/>
              <w:ind w:left="0" w:leftChars="0" w:firstLine="0" w:firstLineChars="0"/>
              <w:rPr>
                <w:rFonts w:hint="default"/>
                <w:lang w:val="en-US" w:eastAsia="zh-CN"/>
              </w:rPr>
            </w:pPr>
            <w:r>
              <w:rPr>
                <w:rFonts w:hint="eastAsia" w:ascii="新宋体" w:hAnsi="新宋体" w:eastAsia="新宋体" w:cs="新宋体"/>
                <w:b/>
                <w:bCs/>
                <w:color w:val="auto"/>
                <w:highlight w:val="none"/>
                <w:lang w:val="en-US" w:eastAsia="zh-CN" w:bidi="ar"/>
              </w:rPr>
              <w:t>▲本项按月及报价予以结算，每月时限不足当月天数，按照比例扣除。</w:t>
            </w:r>
          </w:p>
        </w:tc>
      </w:tr>
      <w:tr w14:paraId="5771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 w:type="pct"/>
            <w:vAlign w:val="center"/>
          </w:tcPr>
          <w:p w14:paraId="7FCEF7F6">
            <w:pPr>
              <w:spacing w:line="240" w:lineRule="auto"/>
              <w:jc w:val="center"/>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3</w:t>
            </w:r>
          </w:p>
        </w:tc>
        <w:tc>
          <w:tcPr>
            <w:tcW w:w="888" w:type="pct"/>
            <w:vAlign w:val="center"/>
          </w:tcPr>
          <w:p w14:paraId="3BA860C1">
            <w:pPr>
              <w:spacing w:line="240" w:lineRule="auto"/>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道路维修机械台班费用</w:t>
            </w:r>
          </w:p>
        </w:tc>
        <w:tc>
          <w:tcPr>
            <w:tcW w:w="511" w:type="pct"/>
            <w:vAlign w:val="center"/>
          </w:tcPr>
          <w:p w14:paraId="36C5CECE">
            <w:pPr>
              <w:spacing w:line="240" w:lineRule="auto"/>
              <w:ind w:firstLine="210" w:firstLineChars="100"/>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60个台班</w:t>
            </w:r>
          </w:p>
        </w:tc>
        <w:tc>
          <w:tcPr>
            <w:tcW w:w="833" w:type="pct"/>
            <w:vAlign w:val="center"/>
          </w:tcPr>
          <w:p w14:paraId="2E1ADB4C">
            <w:pPr>
              <w:spacing w:line="240" w:lineRule="auto"/>
              <w:ind w:firstLine="630" w:firstLineChars="300"/>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highlight w:val="none"/>
                <w:lang w:val="en-US" w:eastAsia="zh-CN" w:bidi="ar"/>
              </w:rPr>
              <w:t>元/台班</w:t>
            </w:r>
          </w:p>
        </w:tc>
        <w:tc>
          <w:tcPr>
            <w:tcW w:w="756" w:type="pct"/>
            <w:vAlign w:val="center"/>
          </w:tcPr>
          <w:p w14:paraId="2A2BD4D8">
            <w:pPr>
              <w:spacing w:line="240" w:lineRule="auto"/>
              <w:ind w:firstLine="630" w:firstLineChars="300"/>
              <w:jc w:val="left"/>
              <w:rPr>
                <w:rFonts w:hint="default" w:ascii="新宋体" w:hAnsi="新宋体" w:eastAsia="新宋体" w:cs="新宋体"/>
                <w:color w:val="auto"/>
                <w:highlight w:val="none"/>
                <w:lang w:val="en-US" w:eastAsia="zh-CN" w:bidi="ar"/>
              </w:rPr>
            </w:pPr>
          </w:p>
        </w:tc>
        <w:tc>
          <w:tcPr>
            <w:tcW w:w="1781" w:type="pct"/>
            <w:vAlign w:val="center"/>
          </w:tcPr>
          <w:p w14:paraId="6BAADFF1">
            <w:pPr>
              <w:spacing w:line="240" w:lineRule="auto"/>
              <w:jc w:val="left"/>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暂估每年60个台班，挖机规格需200型及以上或提供满足招标人工作需求，费用包括但不限于挖机租赁费、进出场、人员、燃料等所有费用，投标人在综合报价中考虑。台班计算要求：满8小时计一个台班数，4-6小时计半个台班。</w:t>
            </w:r>
          </w:p>
        </w:tc>
      </w:tr>
      <w:tr w14:paraId="3448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9" w:type="pct"/>
            <w:vAlign w:val="center"/>
          </w:tcPr>
          <w:p w14:paraId="4D5C0AAF">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4</w:t>
            </w:r>
          </w:p>
        </w:tc>
        <w:tc>
          <w:tcPr>
            <w:tcW w:w="888" w:type="pct"/>
            <w:vAlign w:val="center"/>
          </w:tcPr>
          <w:p w14:paraId="7113FB66">
            <w:pPr>
              <w:widowControl/>
              <w:spacing w:line="240" w:lineRule="auto"/>
              <w:jc w:val="center"/>
              <w:textAlignment w:val="center"/>
              <w:rPr>
                <w:rFonts w:hint="eastAsia" w:ascii="新宋体" w:hAnsi="新宋体" w:eastAsia="新宋体" w:cs="新宋体"/>
                <w:color w:val="auto"/>
                <w:kern w:val="0"/>
                <w:szCs w:val="21"/>
                <w:highlight w:val="none"/>
                <w:lang w:eastAsia="zh-CN" w:bidi="ar"/>
              </w:rPr>
            </w:pPr>
            <w:r>
              <w:rPr>
                <w:rFonts w:hint="eastAsia" w:ascii="新宋体" w:hAnsi="新宋体" w:eastAsia="新宋体" w:cs="新宋体"/>
                <w:color w:val="auto"/>
                <w:kern w:val="0"/>
                <w:szCs w:val="21"/>
                <w:highlight w:val="none"/>
                <w:lang w:eastAsia="zh-CN" w:bidi="ar"/>
              </w:rPr>
              <w:t>服务期内土方消纳岗亭及相关设备维护维修、</w:t>
            </w:r>
            <w:r>
              <w:rPr>
                <w:rFonts w:hint="eastAsia" w:ascii="新宋体" w:hAnsi="新宋体" w:eastAsia="新宋体" w:cs="新宋体"/>
                <w:color w:val="auto"/>
                <w:kern w:val="0"/>
                <w:szCs w:val="21"/>
                <w:highlight w:val="none"/>
                <w:lang w:val="en-US" w:eastAsia="zh-CN" w:bidi="ar"/>
              </w:rPr>
              <w:t>水电等各项</w:t>
            </w:r>
            <w:r>
              <w:rPr>
                <w:rFonts w:hint="eastAsia" w:ascii="新宋体" w:hAnsi="新宋体" w:eastAsia="新宋体" w:cs="新宋体"/>
                <w:color w:val="auto"/>
                <w:kern w:val="0"/>
                <w:szCs w:val="21"/>
                <w:highlight w:val="none"/>
                <w:lang w:eastAsia="zh-CN" w:bidi="ar"/>
              </w:rPr>
              <w:t>费用</w:t>
            </w:r>
          </w:p>
        </w:tc>
        <w:tc>
          <w:tcPr>
            <w:tcW w:w="511" w:type="pct"/>
            <w:vAlign w:val="center"/>
          </w:tcPr>
          <w:p w14:paraId="0094C616">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4个</w:t>
            </w:r>
          </w:p>
        </w:tc>
        <w:tc>
          <w:tcPr>
            <w:tcW w:w="833" w:type="pct"/>
            <w:vAlign w:val="center"/>
          </w:tcPr>
          <w:p w14:paraId="2B7C8C0E">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元/个/年</w:t>
            </w:r>
          </w:p>
        </w:tc>
        <w:tc>
          <w:tcPr>
            <w:tcW w:w="756" w:type="pct"/>
            <w:vAlign w:val="center"/>
          </w:tcPr>
          <w:p w14:paraId="294E2F60">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元/年</w:t>
            </w:r>
          </w:p>
        </w:tc>
        <w:tc>
          <w:tcPr>
            <w:tcW w:w="1781" w:type="pct"/>
            <w:vAlign w:val="center"/>
          </w:tcPr>
          <w:p w14:paraId="7211DFEC">
            <w:pPr>
              <w:spacing w:line="240" w:lineRule="auto"/>
              <w:jc w:val="both"/>
              <w:rPr>
                <w:rFonts w:hint="default"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服务内容包括但不限于：（1）服务期内土方消纳岗亭及相关设备维护维修，须保证土方消纳岗亭各设备正常使用。（2）土方消纳岗亭地磅、洗车池(洗车机)、水泵、泥浆泵等相关设备维护维修。（3）土方消纳岗亭及相关联的设备的用水用电费用支付(洗车池或高压冲洗设备、消纳岗亭办公及相关设备正常用水用电；清洁路面用水用电等。可根据现场实际情况采用抽水方式取水，如无法抽水须接入自来水。（4）土方消纳岗亭办公设备(电脑、空调、工控机等)维护维修。（5）摄像头维护维修等设备维护维修。（6）岗亭出口车辆冲洗设备及人员。</w:t>
            </w:r>
            <w:r>
              <w:rPr>
                <w:rFonts w:hint="eastAsia" w:ascii="新宋体" w:hAnsi="新宋体" w:eastAsia="新宋体" w:cs="新宋体"/>
                <w:b/>
                <w:bCs/>
                <w:color w:val="auto"/>
                <w:highlight w:val="none"/>
                <w:lang w:val="en-US" w:eastAsia="zh-CN" w:bidi="ar"/>
              </w:rPr>
              <w:t>本项按年一次性包干。</w:t>
            </w:r>
          </w:p>
        </w:tc>
      </w:tr>
      <w:tr w14:paraId="2252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9" w:type="pct"/>
            <w:vAlign w:val="center"/>
          </w:tcPr>
          <w:p w14:paraId="13756938">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5</w:t>
            </w:r>
          </w:p>
        </w:tc>
        <w:tc>
          <w:tcPr>
            <w:tcW w:w="888" w:type="pct"/>
            <w:vAlign w:val="center"/>
          </w:tcPr>
          <w:p w14:paraId="296416BA">
            <w:pPr>
              <w:widowControl/>
              <w:spacing w:line="240" w:lineRule="auto"/>
              <w:jc w:val="center"/>
              <w:textAlignment w:val="center"/>
              <w:rPr>
                <w:rFonts w:hint="eastAsia" w:ascii="新宋体" w:hAnsi="新宋体" w:eastAsia="新宋体" w:cs="新宋体"/>
                <w:color w:val="auto"/>
                <w:kern w:val="0"/>
                <w:szCs w:val="21"/>
                <w:highlight w:val="none"/>
                <w:lang w:eastAsia="zh-CN" w:bidi="ar"/>
              </w:rPr>
            </w:pPr>
            <w:r>
              <w:rPr>
                <w:rFonts w:hint="eastAsia" w:ascii="新宋体" w:hAnsi="新宋体" w:eastAsia="新宋体" w:cs="新宋体"/>
                <w:color w:val="auto"/>
                <w:kern w:val="0"/>
                <w:szCs w:val="21"/>
                <w:highlight w:val="none"/>
                <w:lang w:val="en-US" w:eastAsia="zh-CN" w:bidi="ar"/>
              </w:rPr>
              <w:t>土方消纳岗亭接入省主管部门的平台费用</w:t>
            </w:r>
          </w:p>
        </w:tc>
        <w:tc>
          <w:tcPr>
            <w:tcW w:w="511" w:type="pct"/>
            <w:vAlign w:val="center"/>
          </w:tcPr>
          <w:p w14:paraId="7EF5E898">
            <w:pPr>
              <w:widowControl/>
              <w:spacing w:line="240" w:lineRule="auto"/>
              <w:jc w:val="center"/>
              <w:textAlignment w:val="center"/>
              <w:rPr>
                <w:rFonts w:hint="eastAsia"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4个</w:t>
            </w:r>
          </w:p>
        </w:tc>
        <w:tc>
          <w:tcPr>
            <w:tcW w:w="833" w:type="pct"/>
            <w:vAlign w:val="center"/>
          </w:tcPr>
          <w:p w14:paraId="76A53108">
            <w:pPr>
              <w:widowControl/>
              <w:spacing w:line="240" w:lineRule="auto"/>
              <w:jc w:val="center"/>
              <w:textAlignment w:val="center"/>
              <w:rPr>
                <w:rFonts w:hint="eastAsia" w:ascii="新宋体" w:hAnsi="新宋体" w:eastAsia="新宋体" w:cs="新宋体"/>
                <w:color w:val="auto"/>
                <w:kern w:val="0"/>
                <w:szCs w:val="21"/>
                <w:highlight w:val="none"/>
                <w:u w:val="singl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元/个/年</w:t>
            </w:r>
          </w:p>
        </w:tc>
        <w:tc>
          <w:tcPr>
            <w:tcW w:w="756" w:type="pct"/>
            <w:vAlign w:val="center"/>
          </w:tcPr>
          <w:p w14:paraId="53738263">
            <w:pPr>
              <w:widowControl/>
              <w:spacing w:line="240" w:lineRule="auto"/>
              <w:jc w:val="center"/>
              <w:textAlignment w:val="center"/>
              <w:rPr>
                <w:rFonts w:hint="eastAsia" w:ascii="新宋体" w:hAnsi="新宋体" w:eastAsia="新宋体" w:cs="新宋体"/>
                <w:color w:val="auto"/>
                <w:kern w:val="0"/>
                <w:szCs w:val="21"/>
                <w:highlight w:val="none"/>
                <w:u w:val="singl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元/年</w:t>
            </w:r>
          </w:p>
        </w:tc>
        <w:tc>
          <w:tcPr>
            <w:tcW w:w="1781" w:type="pct"/>
            <w:vAlign w:val="center"/>
          </w:tcPr>
          <w:p w14:paraId="2A56075C">
            <w:pPr>
              <w:spacing w:line="240" w:lineRule="auto"/>
              <w:jc w:val="both"/>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土方消纳岗亭接入省主管部门的平台费用按照实际发生结算。</w:t>
            </w:r>
          </w:p>
        </w:tc>
      </w:tr>
      <w:tr w14:paraId="1ED3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9" w:type="pct"/>
            <w:vAlign w:val="center"/>
          </w:tcPr>
          <w:p w14:paraId="287ECFFD">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6</w:t>
            </w:r>
          </w:p>
        </w:tc>
        <w:tc>
          <w:tcPr>
            <w:tcW w:w="888" w:type="pct"/>
            <w:vAlign w:val="center"/>
          </w:tcPr>
          <w:p w14:paraId="4EB20A03">
            <w:pPr>
              <w:widowControl/>
              <w:spacing w:line="240" w:lineRule="auto"/>
              <w:jc w:val="center"/>
              <w:textAlignment w:val="center"/>
              <w:rPr>
                <w:rFonts w:hint="eastAsia" w:ascii="新宋体" w:hAnsi="新宋体" w:eastAsia="新宋体" w:cs="新宋体"/>
                <w:color w:val="auto"/>
                <w:kern w:val="0"/>
                <w:szCs w:val="21"/>
                <w:highlight w:val="none"/>
                <w:lang w:eastAsia="zh-CN" w:bidi="ar"/>
              </w:rPr>
            </w:pPr>
            <w:r>
              <w:rPr>
                <w:rFonts w:hint="eastAsia" w:ascii="新宋体" w:hAnsi="新宋体" w:eastAsia="新宋体" w:cs="新宋体"/>
                <w:color w:val="auto"/>
                <w:kern w:val="0"/>
                <w:szCs w:val="21"/>
                <w:highlight w:val="none"/>
                <w:lang w:val="en-US" w:eastAsia="zh-CN" w:bidi="ar"/>
              </w:rPr>
              <w:t>土方消纳岗亭100M光纤费用</w:t>
            </w:r>
          </w:p>
        </w:tc>
        <w:tc>
          <w:tcPr>
            <w:tcW w:w="511" w:type="pct"/>
            <w:vAlign w:val="center"/>
          </w:tcPr>
          <w:p w14:paraId="65941D3F">
            <w:pPr>
              <w:widowControl/>
              <w:spacing w:line="240" w:lineRule="auto"/>
              <w:jc w:val="center"/>
              <w:textAlignment w:val="center"/>
              <w:rPr>
                <w:rFonts w:hint="eastAsia"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4个</w:t>
            </w:r>
          </w:p>
        </w:tc>
        <w:tc>
          <w:tcPr>
            <w:tcW w:w="833" w:type="pct"/>
            <w:vAlign w:val="center"/>
          </w:tcPr>
          <w:p w14:paraId="1CCE4A9E">
            <w:pPr>
              <w:widowControl/>
              <w:spacing w:line="240" w:lineRule="auto"/>
              <w:jc w:val="center"/>
              <w:textAlignment w:val="center"/>
              <w:rPr>
                <w:rFonts w:hint="eastAsia" w:ascii="新宋体" w:hAnsi="新宋体" w:eastAsia="新宋体" w:cs="新宋体"/>
                <w:color w:val="auto"/>
                <w:kern w:val="0"/>
                <w:szCs w:val="21"/>
                <w:highlight w:val="none"/>
                <w:u w:val="singl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元/个/年</w:t>
            </w:r>
          </w:p>
        </w:tc>
        <w:tc>
          <w:tcPr>
            <w:tcW w:w="756" w:type="pct"/>
            <w:vAlign w:val="center"/>
          </w:tcPr>
          <w:p w14:paraId="4C864771">
            <w:pPr>
              <w:widowControl/>
              <w:spacing w:line="240" w:lineRule="auto"/>
              <w:jc w:val="center"/>
              <w:textAlignment w:val="center"/>
              <w:rPr>
                <w:rFonts w:hint="eastAsia" w:ascii="新宋体" w:hAnsi="新宋体" w:eastAsia="新宋体" w:cs="新宋体"/>
                <w:color w:val="auto"/>
                <w:kern w:val="0"/>
                <w:szCs w:val="21"/>
                <w:highlight w:val="none"/>
                <w:u w:val="singl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元/年</w:t>
            </w:r>
          </w:p>
        </w:tc>
        <w:tc>
          <w:tcPr>
            <w:tcW w:w="1781" w:type="pct"/>
            <w:vAlign w:val="center"/>
          </w:tcPr>
          <w:p w14:paraId="6DA51C06">
            <w:pPr>
              <w:spacing w:line="240" w:lineRule="auto"/>
              <w:jc w:val="both"/>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土方消纳岗亭100M光纤费用按照实际发生结算。</w:t>
            </w:r>
          </w:p>
        </w:tc>
      </w:tr>
      <w:tr w14:paraId="0367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9" w:type="pct"/>
            <w:vAlign w:val="center"/>
          </w:tcPr>
          <w:p w14:paraId="6ED8F501">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7</w:t>
            </w:r>
          </w:p>
        </w:tc>
        <w:tc>
          <w:tcPr>
            <w:tcW w:w="888" w:type="pct"/>
            <w:vAlign w:val="center"/>
          </w:tcPr>
          <w:p w14:paraId="05E9F67B">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default" w:ascii="新宋体" w:hAnsi="新宋体" w:eastAsia="新宋体" w:cs="新宋体"/>
                <w:color w:val="auto"/>
                <w:kern w:val="0"/>
                <w:szCs w:val="21"/>
                <w:highlight w:val="none"/>
                <w:lang w:val="en-US" w:eastAsia="zh-CN" w:bidi="ar"/>
              </w:rPr>
              <w:t>地磅检测费用</w:t>
            </w:r>
          </w:p>
        </w:tc>
        <w:tc>
          <w:tcPr>
            <w:tcW w:w="511" w:type="pct"/>
            <w:vAlign w:val="center"/>
          </w:tcPr>
          <w:p w14:paraId="64AB4817">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32次</w:t>
            </w:r>
          </w:p>
        </w:tc>
        <w:tc>
          <w:tcPr>
            <w:tcW w:w="833" w:type="pct"/>
            <w:vAlign w:val="center"/>
          </w:tcPr>
          <w:p w14:paraId="6440A5BC">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元/台</w:t>
            </w:r>
          </w:p>
        </w:tc>
        <w:tc>
          <w:tcPr>
            <w:tcW w:w="756" w:type="pct"/>
            <w:vAlign w:val="center"/>
          </w:tcPr>
          <w:p w14:paraId="37861534">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元/年</w:t>
            </w:r>
          </w:p>
        </w:tc>
        <w:tc>
          <w:tcPr>
            <w:tcW w:w="1781" w:type="pct"/>
            <w:vAlign w:val="center"/>
          </w:tcPr>
          <w:p w14:paraId="3624FB47">
            <w:pPr>
              <w:spacing w:line="240" w:lineRule="auto"/>
              <w:jc w:val="both"/>
              <w:rPr>
                <w:rFonts w:hint="default" w:ascii="新宋体" w:hAnsi="新宋体" w:eastAsia="新宋体" w:cs="新宋体"/>
                <w:color w:val="auto"/>
                <w:highlight w:val="none"/>
                <w:lang w:val="en-US" w:eastAsia="zh-CN" w:bidi="ar"/>
              </w:rPr>
            </w:pPr>
            <w:r>
              <w:rPr>
                <w:rFonts w:hint="default" w:ascii="新宋体" w:hAnsi="新宋体" w:eastAsia="新宋体" w:cs="新宋体"/>
                <w:color w:val="auto"/>
                <w:highlight w:val="none"/>
                <w:lang w:val="en-US" w:eastAsia="zh-CN" w:bidi="ar"/>
              </w:rPr>
              <w:t>每台地磅每季度须委托</w:t>
            </w:r>
            <w:r>
              <w:rPr>
                <w:rFonts w:hint="eastAsia" w:ascii="新宋体" w:hAnsi="新宋体" w:eastAsia="新宋体" w:cs="新宋体"/>
                <w:color w:val="auto"/>
                <w:highlight w:val="none"/>
                <w:lang w:val="en-US" w:eastAsia="zh-CN" w:bidi="ar"/>
              </w:rPr>
              <w:t>具备</w:t>
            </w:r>
            <w:r>
              <w:rPr>
                <w:rFonts w:hint="default" w:ascii="新宋体" w:hAnsi="新宋体" w:eastAsia="新宋体" w:cs="新宋体"/>
                <w:color w:val="auto"/>
                <w:highlight w:val="none"/>
                <w:lang w:val="en-US" w:eastAsia="zh-CN" w:bidi="ar"/>
              </w:rPr>
              <w:t>专业</w:t>
            </w:r>
            <w:r>
              <w:rPr>
                <w:rFonts w:hint="eastAsia" w:ascii="新宋体" w:hAnsi="新宋体" w:eastAsia="新宋体" w:cs="新宋体"/>
                <w:color w:val="auto"/>
                <w:highlight w:val="none"/>
                <w:lang w:val="en-US" w:eastAsia="zh-CN" w:bidi="ar"/>
              </w:rPr>
              <w:t>资质的检验</w:t>
            </w:r>
            <w:r>
              <w:rPr>
                <w:rFonts w:hint="default" w:ascii="新宋体" w:hAnsi="新宋体" w:eastAsia="新宋体" w:cs="新宋体"/>
                <w:color w:val="auto"/>
                <w:highlight w:val="none"/>
                <w:lang w:val="en-US" w:eastAsia="zh-CN" w:bidi="ar"/>
              </w:rPr>
              <w:t>机构对地磅设备进行一次检验(出具检验报告)</w:t>
            </w:r>
            <w:r>
              <w:rPr>
                <w:rFonts w:hint="eastAsia" w:ascii="新宋体" w:hAnsi="新宋体" w:eastAsia="新宋体" w:cs="新宋体"/>
                <w:color w:val="auto"/>
                <w:highlight w:val="none"/>
                <w:lang w:val="en-US" w:eastAsia="zh-CN" w:bidi="ar"/>
              </w:rPr>
              <w:t>或根据招标人需求开展</w:t>
            </w:r>
            <w:r>
              <w:rPr>
                <w:rFonts w:hint="default" w:ascii="新宋体" w:hAnsi="新宋体" w:eastAsia="新宋体" w:cs="新宋体"/>
                <w:color w:val="auto"/>
                <w:highlight w:val="none"/>
                <w:lang w:val="en-US" w:eastAsia="zh-CN" w:bidi="ar"/>
              </w:rPr>
              <w:t>，</w:t>
            </w:r>
            <w:r>
              <w:rPr>
                <w:rFonts w:hint="eastAsia" w:ascii="新宋体" w:hAnsi="新宋体" w:eastAsia="新宋体" w:cs="新宋体"/>
                <w:color w:val="auto"/>
                <w:highlight w:val="none"/>
                <w:lang w:val="en-US" w:eastAsia="zh-CN" w:bidi="ar"/>
              </w:rPr>
              <w:t>按实际发生次数结算</w:t>
            </w:r>
            <w:r>
              <w:rPr>
                <w:rFonts w:hint="default" w:ascii="新宋体" w:hAnsi="新宋体" w:eastAsia="新宋体" w:cs="新宋体"/>
                <w:color w:val="auto"/>
                <w:highlight w:val="none"/>
                <w:lang w:val="en-US" w:eastAsia="zh-CN" w:bidi="ar"/>
              </w:rPr>
              <w:t>。</w:t>
            </w:r>
          </w:p>
        </w:tc>
      </w:tr>
      <w:tr w14:paraId="3489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9" w:type="pct"/>
            <w:vAlign w:val="center"/>
          </w:tcPr>
          <w:p w14:paraId="4550922E">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8</w:t>
            </w:r>
          </w:p>
        </w:tc>
        <w:tc>
          <w:tcPr>
            <w:tcW w:w="888" w:type="pct"/>
            <w:vAlign w:val="center"/>
          </w:tcPr>
          <w:p w14:paraId="232D2ACD">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地磅迁改费用</w:t>
            </w:r>
          </w:p>
        </w:tc>
        <w:tc>
          <w:tcPr>
            <w:tcW w:w="511" w:type="pct"/>
            <w:vAlign w:val="center"/>
          </w:tcPr>
          <w:p w14:paraId="30E2EE60">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lang w:val="en-US" w:eastAsia="zh-CN" w:bidi="ar"/>
              </w:rPr>
              <w:t>3次</w:t>
            </w:r>
          </w:p>
        </w:tc>
        <w:tc>
          <w:tcPr>
            <w:tcW w:w="833" w:type="pct"/>
            <w:vAlign w:val="center"/>
          </w:tcPr>
          <w:p w14:paraId="7D5D6686">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元/次</w:t>
            </w:r>
          </w:p>
        </w:tc>
        <w:tc>
          <w:tcPr>
            <w:tcW w:w="756" w:type="pct"/>
            <w:vAlign w:val="center"/>
          </w:tcPr>
          <w:p w14:paraId="04389E75">
            <w:pPr>
              <w:widowControl/>
              <w:spacing w:line="240" w:lineRule="auto"/>
              <w:jc w:val="center"/>
              <w:textAlignment w:val="center"/>
              <w:rPr>
                <w:rFonts w:hint="default" w:ascii="新宋体" w:hAnsi="新宋体" w:eastAsia="新宋体" w:cs="新宋体"/>
                <w:color w:val="auto"/>
                <w:kern w:val="0"/>
                <w:szCs w:val="21"/>
                <w:highlight w:val="none"/>
                <w:lang w:val="en-US" w:eastAsia="zh-CN" w:bidi="ar"/>
              </w:rPr>
            </w:pPr>
            <w:r>
              <w:rPr>
                <w:rFonts w:hint="eastAsia" w:ascii="新宋体" w:hAnsi="新宋体" w:eastAsia="新宋体" w:cs="新宋体"/>
                <w:color w:val="auto"/>
                <w:kern w:val="0"/>
                <w:szCs w:val="21"/>
                <w:highlight w:val="none"/>
                <w:u w:val="single"/>
                <w:lang w:val="en-US" w:eastAsia="zh-CN" w:bidi="ar"/>
              </w:rPr>
              <w:t xml:space="preserve">       </w:t>
            </w:r>
            <w:r>
              <w:rPr>
                <w:rFonts w:hint="eastAsia" w:ascii="新宋体" w:hAnsi="新宋体" w:eastAsia="新宋体" w:cs="新宋体"/>
                <w:color w:val="auto"/>
                <w:kern w:val="0"/>
                <w:szCs w:val="21"/>
                <w:highlight w:val="none"/>
                <w:lang w:val="en-US" w:eastAsia="zh-CN" w:bidi="ar"/>
              </w:rPr>
              <w:t>元/年</w:t>
            </w:r>
          </w:p>
        </w:tc>
        <w:tc>
          <w:tcPr>
            <w:tcW w:w="1781" w:type="pct"/>
            <w:vAlign w:val="center"/>
          </w:tcPr>
          <w:p w14:paraId="557D822E">
            <w:pPr>
              <w:spacing w:line="240" w:lineRule="auto"/>
              <w:jc w:val="both"/>
              <w:rPr>
                <w:rFonts w:hint="eastAsia" w:ascii="新宋体" w:hAnsi="新宋体" w:eastAsia="新宋体" w:cs="新宋体"/>
                <w:color w:val="auto"/>
                <w:highlight w:val="none"/>
                <w:lang w:val="en-US" w:eastAsia="zh-CN" w:bidi="ar"/>
              </w:rPr>
            </w:pPr>
            <w:r>
              <w:rPr>
                <w:rFonts w:hint="eastAsia" w:ascii="新宋体" w:hAnsi="新宋体" w:eastAsia="新宋体" w:cs="新宋体"/>
                <w:color w:val="auto"/>
                <w:highlight w:val="none"/>
                <w:lang w:val="en-US" w:eastAsia="zh-CN" w:bidi="ar"/>
              </w:rPr>
              <w:t>根据招标人需要，将现有地磅迁改至其他区域，包括但不限于迁改过程中发生的地磅拆除、运输、安装地磅安装、新址的挖土方、钢筋混凝土工程等全部建设费用。</w:t>
            </w:r>
          </w:p>
        </w:tc>
      </w:tr>
      <w:tr w14:paraId="5451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6"/>
            <w:vAlign w:val="center"/>
          </w:tcPr>
          <w:p w14:paraId="281C62DB">
            <w:pPr>
              <w:spacing w:line="240" w:lineRule="auto"/>
              <w:jc w:val="both"/>
              <w:rPr>
                <w:rFonts w:hint="default" w:ascii="新宋体" w:hAnsi="新宋体" w:eastAsia="新宋体" w:cs="新宋体"/>
                <w:color w:val="auto"/>
                <w:highlight w:val="none"/>
                <w:lang w:val="en-US" w:eastAsia="zh-CN" w:bidi="ar"/>
              </w:rPr>
            </w:pPr>
            <w:r>
              <w:rPr>
                <w:rFonts w:hint="eastAsia" w:ascii="新宋体" w:hAnsi="新宋体" w:eastAsia="新宋体" w:cs="新宋体"/>
                <w:b/>
                <w:bCs/>
                <w:color w:val="auto"/>
                <w:highlight w:val="none"/>
                <w:lang w:val="en-US" w:eastAsia="zh-CN" w:bidi="ar"/>
              </w:rPr>
              <w:t>▲</w:t>
            </w:r>
            <w:r>
              <w:rPr>
                <w:rFonts w:hint="eastAsia" w:ascii="黑体" w:hAnsi="黑体" w:eastAsia="黑体" w:cs="黑体"/>
                <w:b/>
                <w:bCs/>
                <w:color w:val="auto"/>
                <w:highlight w:val="none"/>
                <w:lang w:val="en-US" w:eastAsia="zh-CN" w:bidi="ar"/>
              </w:rPr>
              <w:t>说明：上述费用包含企业利润、规费、管理费、税金。</w:t>
            </w:r>
          </w:p>
        </w:tc>
      </w:tr>
      <w:tr w14:paraId="5CAC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18" w:type="pct"/>
            <w:gridSpan w:val="2"/>
            <w:vAlign w:val="center"/>
          </w:tcPr>
          <w:p w14:paraId="64199069">
            <w:pPr>
              <w:widowControl/>
              <w:spacing w:line="240" w:lineRule="auto"/>
              <w:jc w:val="center"/>
              <w:textAlignment w:val="center"/>
              <w:rPr>
                <w:rFonts w:hint="eastAsia" w:ascii="新宋体" w:hAnsi="新宋体" w:eastAsia="新宋体" w:cs="新宋体"/>
                <w:b/>
                <w:color w:val="auto"/>
                <w:szCs w:val="21"/>
                <w:highlight w:val="none"/>
                <w:lang w:eastAsia="zh-CN"/>
              </w:rPr>
            </w:pPr>
            <w:r>
              <w:rPr>
                <w:rFonts w:hint="eastAsia" w:ascii="新宋体" w:hAnsi="新宋体" w:eastAsia="新宋体" w:cs="新宋体"/>
                <w:b/>
                <w:bCs/>
                <w:color w:val="auto"/>
                <w:kern w:val="0"/>
                <w:szCs w:val="21"/>
                <w:highlight w:val="none"/>
                <w:lang w:val="en-US" w:eastAsia="zh-CN" w:bidi="ar"/>
              </w:rPr>
              <w:t>一年服务期</w:t>
            </w:r>
            <w:r>
              <w:rPr>
                <w:rFonts w:hint="eastAsia" w:ascii="新宋体" w:hAnsi="新宋体" w:eastAsia="新宋体" w:cs="新宋体"/>
                <w:b/>
                <w:bCs/>
                <w:color w:val="auto"/>
                <w:kern w:val="0"/>
                <w:szCs w:val="21"/>
                <w:highlight w:val="none"/>
                <w:lang w:bidi="ar"/>
              </w:rPr>
              <w:t>合计总价</w:t>
            </w:r>
            <w:r>
              <w:rPr>
                <w:rFonts w:hint="eastAsia" w:ascii="新宋体" w:hAnsi="新宋体" w:eastAsia="新宋体" w:cs="新宋体"/>
                <w:b/>
                <w:bCs/>
                <w:color w:val="auto"/>
                <w:kern w:val="0"/>
                <w:szCs w:val="21"/>
                <w:highlight w:val="none"/>
                <w:lang w:eastAsia="zh-CN" w:bidi="ar"/>
              </w:rPr>
              <w:t>（</w:t>
            </w:r>
            <w:r>
              <w:rPr>
                <w:rFonts w:hint="eastAsia" w:ascii="新宋体" w:hAnsi="新宋体" w:eastAsia="新宋体" w:cs="新宋体"/>
                <w:b/>
                <w:bCs/>
                <w:color w:val="auto"/>
                <w:kern w:val="0"/>
                <w:szCs w:val="21"/>
                <w:highlight w:val="none"/>
                <w:lang w:val="en-US" w:eastAsia="zh-CN" w:bidi="ar"/>
              </w:rPr>
              <w:t>1+2+3+4+5+6+7+8</w:t>
            </w:r>
            <w:r>
              <w:rPr>
                <w:rFonts w:hint="eastAsia" w:ascii="新宋体" w:hAnsi="新宋体" w:eastAsia="新宋体" w:cs="新宋体"/>
                <w:b/>
                <w:bCs/>
                <w:color w:val="auto"/>
                <w:kern w:val="0"/>
                <w:szCs w:val="21"/>
                <w:highlight w:val="none"/>
                <w:lang w:eastAsia="zh-CN" w:bidi="ar"/>
              </w:rPr>
              <w:t>）</w:t>
            </w:r>
          </w:p>
        </w:tc>
        <w:tc>
          <w:tcPr>
            <w:tcW w:w="3881" w:type="pct"/>
            <w:gridSpan w:val="4"/>
            <w:vAlign w:val="center"/>
          </w:tcPr>
          <w:p w14:paraId="43D51790">
            <w:pPr>
              <w:autoSpaceDE w:val="0"/>
              <w:autoSpaceDN w:val="0"/>
              <w:adjustRightInd w:val="0"/>
              <w:spacing w:line="240" w:lineRule="auto"/>
              <w:ind w:right="349"/>
              <w:jc w:val="left"/>
              <w:rPr>
                <w:rFonts w:hint="default" w:ascii="宋体" w:hAnsi="宋体" w:eastAsia="宋体" w:cs="宋体"/>
                <w:b/>
                <w:bCs/>
                <w:kern w:val="0"/>
                <w:sz w:val="22"/>
                <w:szCs w:val="22"/>
                <w:highlight w:val="none"/>
                <w:lang w:val="en-US" w:eastAsia="zh-CN"/>
              </w:rPr>
            </w:pPr>
            <w:r>
              <w:rPr>
                <w:rFonts w:hint="eastAsia" w:ascii="宋体" w:hAnsi="宋体" w:cs="宋体"/>
                <w:b/>
                <w:bCs/>
                <w:kern w:val="0"/>
                <w:sz w:val="22"/>
                <w:szCs w:val="22"/>
                <w:highlight w:val="none"/>
              </w:rPr>
              <w:t>（大写）：</w:t>
            </w:r>
            <w:r>
              <w:rPr>
                <w:rFonts w:hint="eastAsia" w:ascii="宋体" w:hAnsi="宋体" w:cs="宋体"/>
                <w:b/>
                <w:bCs/>
                <w:kern w:val="0"/>
                <w:sz w:val="22"/>
                <w:szCs w:val="22"/>
                <w:highlight w:val="none"/>
                <w:u w:val="single"/>
                <w:lang w:val="en-US" w:eastAsia="zh-CN"/>
              </w:rPr>
              <w:t xml:space="preserve">                   </w:t>
            </w:r>
            <w:r>
              <w:rPr>
                <w:rFonts w:hint="eastAsia" w:ascii="宋体" w:hAnsi="宋体" w:cs="宋体"/>
                <w:b/>
                <w:bCs/>
                <w:kern w:val="0"/>
                <w:sz w:val="22"/>
                <w:szCs w:val="22"/>
                <w:highlight w:val="none"/>
                <w:u w:val="none"/>
                <w:lang w:val="en-US" w:eastAsia="zh-CN"/>
              </w:rPr>
              <w:t>元</w:t>
            </w:r>
          </w:p>
          <w:p w14:paraId="368FE316">
            <w:pPr>
              <w:autoSpaceDE w:val="0"/>
              <w:autoSpaceDN w:val="0"/>
              <w:adjustRightInd w:val="0"/>
              <w:spacing w:line="240" w:lineRule="auto"/>
              <w:ind w:right="349" w:firstLine="331"/>
              <w:jc w:val="left"/>
              <w:rPr>
                <w:rFonts w:ascii="宋体" w:hAnsi="宋体" w:cs="宋体"/>
                <w:b/>
                <w:bCs/>
                <w:kern w:val="0"/>
                <w:sz w:val="22"/>
                <w:szCs w:val="22"/>
                <w:highlight w:val="none"/>
              </w:rPr>
            </w:pPr>
          </w:p>
          <w:p w14:paraId="055332BB">
            <w:pPr>
              <w:widowControl/>
              <w:spacing w:line="240" w:lineRule="auto"/>
              <w:jc w:val="both"/>
              <w:textAlignment w:val="center"/>
              <w:rPr>
                <w:rFonts w:hint="default" w:ascii="新宋体" w:hAnsi="新宋体" w:eastAsia="宋体" w:cs="新宋体"/>
                <w:color w:val="auto"/>
                <w:sz w:val="22"/>
                <w:szCs w:val="22"/>
                <w:highlight w:val="none"/>
                <w:lang w:val="en-US" w:eastAsia="zh-CN"/>
              </w:rPr>
            </w:pPr>
            <w:r>
              <w:rPr>
                <w:rFonts w:hint="eastAsia" w:ascii="宋体" w:hAnsi="宋体" w:cs="宋体"/>
                <w:b/>
                <w:bCs/>
                <w:kern w:val="0"/>
                <w:sz w:val="22"/>
                <w:szCs w:val="22"/>
                <w:highlight w:val="none"/>
              </w:rPr>
              <w:t>（小写）¥</w:t>
            </w:r>
            <w:r>
              <w:rPr>
                <w:rFonts w:hint="eastAsia" w:ascii="宋体" w:hAnsi="宋体" w:cs="宋体"/>
                <w:b/>
                <w:bCs/>
                <w:kern w:val="0"/>
                <w:sz w:val="22"/>
                <w:szCs w:val="22"/>
                <w:highlight w:val="none"/>
                <w:u w:val="single"/>
                <w:lang w:val="en-US" w:eastAsia="zh-CN"/>
              </w:rPr>
              <w:t xml:space="preserve">                   </w:t>
            </w:r>
            <w:r>
              <w:rPr>
                <w:rFonts w:hint="eastAsia" w:ascii="宋体" w:hAnsi="宋体" w:cs="宋体"/>
                <w:b/>
                <w:bCs/>
                <w:kern w:val="0"/>
                <w:sz w:val="22"/>
                <w:szCs w:val="22"/>
                <w:highlight w:val="none"/>
                <w:lang w:val="en-US" w:eastAsia="zh-CN"/>
              </w:rPr>
              <w:t>元</w:t>
            </w:r>
          </w:p>
        </w:tc>
      </w:tr>
      <w:tr w14:paraId="4638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18" w:type="pct"/>
            <w:gridSpan w:val="2"/>
            <w:vAlign w:val="center"/>
          </w:tcPr>
          <w:p w14:paraId="5571557C">
            <w:pPr>
              <w:widowControl/>
              <w:spacing w:line="240" w:lineRule="auto"/>
              <w:jc w:val="center"/>
              <w:textAlignment w:val="center"/>
              <w:rPr>
                <w:rFonts w:hint="default" w:ascii="新宋体" w:hAnsi="新宋体" w:eastAsia="新宋体" w:cs="新宋体"/>
                <w:b/>
                <w:bCs/>
                <w:color w:val="auto"/>
                <w:kern w:val="0"/>
                <w:szCs w:val="21"/>
                <w:highlight w:val="none"/>
                <w:lang w:val="en-US" w:eastAsia="zh-CN" w:bidi="ar"/>
              </w:rPr>
            </w:pPr>
            <w:r>
              <w:rPr>
                <w:rFonts w:hint="eastAsia" w:ascii="新宋体" w:hAnsi="新宋体" w:eastAsia="新宋体" w:cs="新宋体"/>
                <w:b/>
                <w:bCs/>
                <w:color w:val="auto"/>
                <w:kern w:val="0"/>
                <w:szCs w:val="21"/>
                <w:highlight w:val="none"/>
                <w:lang w:val="en-US" w:eastAsia="zh-CN" w:bidi="ar"/>
              </w:rPr>
              <w:t>两年服务期</w:t>
            </w:r>
            <w:r>
              <w:rPr>
                <w:rFonts w:hint="eastAsia" w:ascii="新宋体" w:hAnsi="新宋体" w:eastAsia="新宋体" w:cs="新宋体"/>
                <w:b/>
                <w:bCs/>
                <w:color w:val="auto"/>
                <w:kern w:val="0"/>
                <w:szCs w:val="21"/>
                <w:highlight w:val="none"/>
                <w:lang w:bidi="ar"/>
              </w:rPr>
              <w:t>合计总价</w:t>
            </w:r>
          </w:p>
        </w:tc>
        <w:tc>
          <w:tcPr>
            <w:tcW w:w="3881" w:type="pct"/>
            <w:gridSpan w:val="4"/>
            <w:vAlign w:val="center"/>
          </w:tcPr>
          <w:p w14:paraId="034EC61C">
            <w:pPr>
              <w:autoSpaceDE w:val="0"/>
              <w:autoSpaceDN w:val="0"/>
              <w:adjustRightInd w:val="0"/>
              <w:spacing w:line="240" w:lineRule="auto"/>
              <w:ind w:right="349"/>
              <w:jc w:val="left"/>
              <w:rPr>
                <w:rFonts w:hint="default" w:ascii="宋体" w:hAnsi="宋体" w:eastAsia="宋体" w:cs="宋体"/>
                <w:b/>
                <w:bCs/>
                <w:kern w:val="0"/>
                <w:sz w:val="22"/>
                <w:szCs w:val="22"/>
                <w:highlight w:val="none"/>
                <w:lang w:val="en-US" w:eastAsia="zh-CN"/>
              </w:rPr>
            </w:pPr>
            <w:r>
              <w:rPr>
                <w:rFonts w:hint="eastAsia" w:ascii="宋体" w:hAnsi="宋体" w:cs="宋体"/>
                <w:b/>
                <w:bCs/>
                <w:kern w:val="0"/>
                <w:sz w:val="22"/>
                <w:szCs w:val="22"/>
                <w:highlight w:val="none"/>
              </w:rPr>
              <w:t>（大写）：</w:t>
            </w:r>
            <w:r>
              <w:rPr>
                <w:rFonts w:hint="eastAsia" w:ascii="宋体" w:hAnsi="宋体" w:cs="宋体"/>
                <w:b/>
                <w:bCs/>
                <w:kern w:val="0"/>
                <w:sz w:val="22"/>
                <w:szCs w:val="22"/>
                <w:highlight w:val="none"/>
                <w:u w:val="single"/>
                <w:lang w:val="en-US" w:eastAsia="zh-CN"/>
              </w:rPr>
              <w:t xml:space="preserve">                   </w:t>
            </w:r>
            <w:r>
              <w:rPr>
                <w:rFonts w:hint="eastAsia" w:ascii="宋体" w:hAnsi="宋体" w:cs="宋体"/>
                <w:b/>
                <w:bCs/>
                <w:kern w:val="0"/>
                <w:sz w:val="22"/>
                <w:szCs w:val="22"/>
                <w:highlight w:val="none"/>
                <w:u w:val="none"/>
                <w:lang w:val="en-US" w:eastAsia="zh-CN"/>
              </w:rPr>
              <w:t>元</w:t>
            </w:r>
          </w:p>
          <w:p w14:paraId="6A8F5578">
            <w:pPr>
              <w:autoSpaceDE w:val="0"/>
              <w:autoSpaceDN w:val="0"/>
              <w:adjustRightInd w:val="0"/>
              <w:spacing w:line="240" w:lineRule="auto"/>
              <w:ind w:right="349" w:firstLine="331"/>
              <w:jc w:val="left"/>
              <w:rPr>
                <w:rFonts w:ascii="宋体" w:hAnsi="宋体" w:cs="宋体"/>
                <w:b/>
                <w:bCs/>
                <w:kern w:val="0"/>
                <w:sz w:val="22"/>
                <w:szCs w:val="22"/>
                <w:highlight w:val="none"/>
              </w:rPr>
            </w:pPr>
          </w:p>
          <w:p w14:paraId="2DDE698E">
            <w:pPr>
              <w:widowControl/>
              <w:spacing w:line="240" w:lineRule="auto"/>
              <w:jc w:val="both"/>
              <w:textAlignment w:val="center"/>
              <w:rPr>
                <w:rFonts w:hint="default" w:ascii="新宋体" w:hAnsi="新宋体" w:eastAsia="宋体" w:cs="新宋体"/>
                <w:color w:val="auto"/>
                <w:kern w:val="0"/>
                <w:sz w:val="22"/>
                <w:szCs w:val="22"/>
                <w:highlight w:val="none"/>
                <w:lang w:val="en-US" w:eastAsia="zh-CN" w:bidi="ar"/>
              </w:rPr>
            </w:pPr>
            <w:r>
              <w:rPr>
                <w:rFonts w:hint="eastAsia" w:ascii="宋体" w:hAnsi="宋体" w:cs="宋体"/>
                <w:b/>
                <w:bCs/>
                <w:kern w:val="0"/>
                <w:sz w:val="22"/>
                <w:szCs w:val="22"/>
                <w:highlight w:val="none"/>
              </w:rPr>
              <w:t>（小写）¥</w:t>
            </w:r>
            <w:r>
              <w:rPr>
                <w:rFonts w:hint="eastAsia" w:ascii="宋体" w:hAnsi="宋体" w:cs="宋体"/>
                <w:b/>
                <w:bCs/>
                <w:kern w:val="0"/>
                <w:sz w:val="22"/>
                <w:szCs w:val="22"/>
                <w:highlight w:val="none"/>
                <w:u w:val="single"/>
                <w:lang w:val="en-US" w:eastAsia="zh-CN"/>
              </w:rPr>
              <w:t xml:space="preserve">                   </w:t>
            </w:r>
            <w:r>
              <w:rPr>
                <w:rFonts w:hint="eastAsia" w:ascii="宋体" w:hAnsi="宋体" w:cs="宋体"/>
                <w:b/>
                <w:bCs/>
                <w:kern w:val="0"/>
                <w:sz w:val="22"/>
                <w:szCs w:val="22"/>
                <w:highlight w:val="none"/>
                <w:lang w:val="en-US" w:eastAsia="zh-CN"/>
              </w:rPr>
              <w:t>元</w:t>
            </w:r>
          </w:p>
        </w:tc>
      </w:tr>
    </w:tbl>
    <w:p w14:paraId="14293DC0">
      <w:pPr>
        <w:spacing w:line="3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230EBF08">
      <w:pPr>
        <w:autoSpaceDE w:val="0"/>
        <w:autoSpaceDN w:val="0"/>
        <w:adjustRightInd w:val="0"/>
        <w:spacing w:line="380" w:lineRule="atLeast"/>
        <w:rPr>
          <w:rFonts w:ascii="宋体" w:hAnsi="宋体" w:cs="宋体"/>
          <w:b w:val="0"/>
          <w:bCs w:val="0"/>
          <w:color w:val="auto"/>
          <w:kern w:val="0"/>
          <w:sz w:val="22"/>
          <w:szCs w:val="22"/>
          <w:highlight w:val="none"/>
          <w:lang w:val="zh-CN"/>
        </w:rPr>
      </w:pPr>
      <w:r>
        <w:rPr>
          <w:rFonts w:hint="eastAsia" w:ascii="宋体" w:hAnsi="宋体" w:cs="宋体"/>
          <w:b w:val="0"/>
          <w:bCs w:val="0"/>
          <w:color w:val="auto"/>
          <w:kern w:val="0"/>
          <w:sz w:val="22"/>
          <w:szCs w:val="22"/>
          <w:highlight w:val="none"/>
          <w:lang w:val="zh-CN"/>
        </w:rPr>
        <w:t>1.</w:t>
      </w:r>
      <w:r>
        <w:rPr>
          <w:rFonts w:hint="eastAsia" w:ascii="宋体" w:hAnsi="宋体" w:cs="宋体"/>
          <w:b w:val="0"/>
          <w:bCs w:val="0"/>
          <w:color w:val="auto"/>
          <w:kern w:val="0"/>
          <w:sz w:val="22"/>
          <w:szCs w:val="22"/>
          <w:highlight w:val="none"/>
          <w:lang w:val="en-US" w:eastAsia="zh-CN"/>
        </w:rPr>
        <w:t>两年期</w:t>
      </w:r>
      <w:r>
        <w:rPr>
          <w:rFonts w:hint="eastAsia" w:ascii="宋体" w:hAnsi="宋体" w:cs="宋体"/>
          <w:b w:val="0"/>
          <w:bCs w:val="0"/>
          <w:color w:val="auto"/>
          <w:kern w:val="0"/>
          <w:sz w:val="22"/>
          <w:szCs w:val="22"/>
          <w:highlight w:val="none"/>
        </w:rPr>
        <w:t>合计总价</w:t>
      </w:r>
      <w:r>
        <w:rPr>
          <w:rFonts w:hint="eastAsia" w:ascii="宋体" w:hAnsi="宋体" w:cs="宋体"/>
          <w:b w:val="0"/>
          <w:bCs w:val="0"/>
          <w:color w:val="auto"/>
          <w:kern w:val="0"/>
          <w:sz w:val="22"/>
          <w:szCs w:val="22"/>
          <w:highlight w:val="none"/>
          <w:lang w:val="zh-CN"/>
        </w:rPr>
        <w:t>应与附件一“开标一览表”中投标总价相一致。</w:t>
      </w:r>
    </w:p>
    <w:p w14:paraId="608B2C87">
      <w:pPr>
        <w:autoSpaceDE w:val="0"/>
        <w:autoSpaceDN w:val="0"/>
        <w:adjustRightInd w:val="0"/>
        <w:spacing w:line="380" w:lineRule="atLeast"/>
        <w:rPr>
          <w:rFonts w:ascii="宋体" w:hAnsi="宋体" w:cs="宋体"/>
          <w:b w:val="0"/>
          <w:bCs w:val="0"/>
          <w:color w:val="auto"/>
          <w:kern w:val="0"/>
          <w:sz w:val="22"/>
          <w:szCs w:val="22"/>
          <w:highlight w:val="none"/>
          <w:lang w:val="zh-CN"/>
        </w:rPr>
      </w:pPr>
      <w:r>
        <w:rPr>
          <w:rFonts w:hint="eastAsia" w:ascii="宋体" w:hAnsi="宋体" w:cs="宋体"/>
          <w:b w:val="0"/>
          <w:bCs w:val="0"/>
          <w:color w:val="auto"/>
          <w:kern w:val="0"/>
          <w:sz w:val="22"/>
          <w:szCs w:val="22"/>
          <w:highlight w:val="none"/>
          <w:lang w:val="zh-CN"/>
        </w:rPr>
        <w:t>2.各项费用如已包含在合计价中请注明“含”，若免费请注明“免”, 若没有请注明“无”。</w:t>
      </w:r>
    </w:p>
    <w:p w14:paraId="522EE75B">
      <w:pPr>
        <w:autoSpaceDE w:val="0"/>
        <w:autoSpaceDN w:val="0"/>
        <w:adjustRightInd w:val="0"/>
        <w:spacing w:line="380" w:lineRule="atLeast"/>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zh-CN"/>
        </w:rPr>
        <w:t>3.</w:t>
      </w:r>
      <w:r>
        <w:rPr>
          <w:rFonts w:hint="eastAsia" w:ascii="宋体" w:hAnsi="宋体" w:cs="宋体"/>
          <w:b w:val="0"/>
          <w:bCs w:val="0"/>
          <w:color w:val="auto"/>
          <w:kern w:val="0"/>
          <w:sz w:val="22"/>
          <w:szCs w:val="22"/>
          <w:highlight w:val="none"/>
          <w:lang w:val="zh-CN" w:eastAsia="zh-CN"/>
        </w:rPr>
        <w:t>人员全费用中</w:t>
      </w:r>
      <w:r>
        <w:rPr>
          <w:rFonts w:hint="eastAsia" w:ascii="宋体" w:hAnsi="宋体" w:eastAsia="宋体" w:cs="宋体"/>
          <w:b w:val="0"/>
          <w:bCs w:val="0"/>
          <w:color w:val="auto"/>
          <w:kern w:val="0"/>
          <w:sz w:val="22"/>
          <w:szCs w:val="22"/>
          <w:highlight w:val="none"/>
          <w:lang w:val="zh-CN" w:eastAsia="zh-CN"/>
        </w:rPr>
        <w:t>已包含人员工资、福利、各种加班费、误餐费、各种社会保险、食宿与交通、设备及工具、器材、服装、安全、税费、管理费等一切符合法律法规所必需的费用</w:t>
      </w:r>
      <w:r>
        <w:rPr>
          <w:rFonts w:hint="eastAsia" w:ascii="宋体" w:hAnsi="宋体" w:cs="宋体"/>
          <w:b w:val="0"/>
          <w:bCs w:val="0"/>
          <w:color w:val="auto"/>
          <w:kern w:val="0"/>
          <w:sz w:val="22"/>
          <w:szCs w:val="22"/>
          <w:highlight w:val="none"/>
          <w:lang w:val="zh-CN" w:eastAsia="zh-CN"/>
        </w:rPr>
        <w:t>。</w:t>
      </w:r>
      <w:r>
        <w:rPr>
          <w:rFonts w:hint="eastAsia" w:ascii="新宋体" w:hAnsi="新宋体" w:eastAsia="新宋体" w:cs="新宋体"/>
          <w:b w:val="0"/>
          <w:bCs w:val="0"/>
          <w:color w:val="auto"/>
          <w:kern w:val="0"/>
          <w:sz w:val="22"/>
          <w:szCs w:val="22"/>
          <w:highlight w:val="none"/>
          <w:lang w:bidi="ar"/>
        </w:rPr>
        <w:t>巡查车辆使用费</w:t>
      </w:r>
      <w:r>
        <w:rPr>
          <w:rFonts w:hint="eastAsia" w:ascii="新宋体" w:hAnsi="新宋体" w:eastAsia="新宋体" w:cs="新宋体"/>
          <w:b w:val="0"/>
          <w:bCs w:val="0"/>
          <w:color w:val="auto"/>
          <w:kern w:val="0"/>
          <w:sz w:val="22"/>
          <w:szCs w:val="22"/>
          <w:highlight w:val="none"/>
          <w:lang w:eastAsia="zh-CN" w:bidi="ar"/>
        </w:rPr>
        <w:t>须包含进人员全费用报价中，费用包干，合同执行过程中不再另行支付。</w:t>
      </w:r>
    </w:p>
    <w:p w14:paraId="1B1C8962">
      <w:pPr>
        <w:autoSpaceDE w:val="0"/>
        <w:autoSpaceDN w:val="0"/>
        <w:adjustRightInd w:val="0"/>
        <w:spacing w:line="380" w:lineRule="atLeast"/>
        <w:rPr>
          <w:rFonts w:hint="default" w:ascii="宋体" w:hAnsi="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4.人员费用数量按照岗位设置人员及班次自行填报，满足项目要求，费用按照实际产生的在岗时间结算。</w:t>
      </w:r>
    </w:p>
    <w:p w14:paraId="62AF23FD">
      <w:pPr>
        <w:autoSpaceDE w:val="0"/>
        <w:autoSpaceDN w:val="0"/>
        <w:adjustRightInd w:val="0"/>
        <w:spacing w:line="380" w:lineRule="atLeast"/>
        <w:rPr>
          <w:rFonts w:ascii="宋体" w:hAnsi="宋体" w:cs="宋体"/>
          <w:b w:val="0"/>
          <w:bCs w:val="0"/>
          <w:color w:val="auto"/>
          <w:kern w:val="0"/>
          <w:sz w:val="22"/>
          <w:szCs w:val="22"/>
          <w:highlight w:val="none"/>
          <w:lang w:val="zh-CN"/>
        </w:rPr>
      </w:pPr>
      <w:r>
        <w:rPr>
          <w:rFonts w:hint="eastAsia" w:ascii="宋体" w:hAnsi="宋体" w:cs="宋体"/>
          <w:b w:val="0"/>
          <w:bCs w:val="0"/>
          <w:color w:val="auto"/>
          <w:kern w:val="0"/>
          <w:sz w:val="22"/>
          <w:szCs w:val="22"/>
          <w:highlight w:val="none"/>
          <w:lang w:val="en-US" w:eastAsia="zh-CN"/>
        </w:rPr>
        <w:t>5.</w:t>
      </w:r>
      <w:r>
        <w:rPr>
          <w:rFonts w:hint="eastAsia" w:ascii="宋体" w:hAnsi="宋体" w:cs="宋体"/>
          <w:b w:val="0"/>
          <w:bCs w:val="0"/>
          <w:color w:val="auto"/>
          <w:kern w:val="0"/>
          <w:sz w:val="22"/>
          <w:szCs w:val="22"/>
          <w:highlight w:val="none"/>
          <w:lang w:val="zh-CN"/>
        </w:rPr>
        <w:t xml:space="preserve">不提供投标分项报价表的投标文件将被视为未实质性响应采购文件。 </w:t>
      </w:r>
    </w:p>
    <w:p w14:paraId="2BC405AD">
      <w:pPr>
        <w:autoSpaceDE w:val="0"/>
        <w:autoSpaceDN w:val="0"/>
        <w:adjustRightInd w:val="0"/>
        <w:spacing w:line="380" w:lineRule="atLeast"/>
        <w:rPr>
          <w:rFonts w:hint="eastAsia" w:ascii="宋体" w:hAnsi="宋体" w:cs="宋体"/>
          <w:b w:val="0"/>
          <w:bCs w:val="0"/>
          <w:color w:val="auto"/>
          <w:kern w:val="0"/>
          <w:sz w:val="22"/>
          <w:szCs w:val="22"/>
          <w:highlight w:val="none"/>
          <w:lang w:val="zh-CN"/>
        </w:rPr>
      </w:pPr>
      <w:r>
        <w:rPr>
          <w:rFonts w:hint="eastAsia" w:ascii="宋体" w:hAnsi="宋体" w:cs="宋体"/>
          <w:b w:val="0"/>
          <w:bCs w:val="0"/>
          <w:color w:val="auto"/>
          <w:kern w:val="0"/>
          <w:sz w:val="22"/>
          <w:szCs w:val="22"/>
          <w:highlight w:val="none"/>
          <w:lang w:val="en-US" w:eastAsia="zh-CN"/>
        </w:rPr>
        <w:t>6</w:t>
      </w:r>
      <w:r>
        <w:rPr>
          <w:rFonts w:hint="eastAsia" w:ascii="宋体" w:hAnsi="宋体" w:cs="宋体"/>
          <w:b w:val="0"/>
          <w:bCs w:val="0"/>
          <w:color w:val="auto"/>
          <w:kern w:val="0"/>
          <w:sz w:val="22"/>
          <w:szCs w:val="22"/>
          <w:highlight w:val="none"/>
          <w:lang w:val="zh-CN"/>
        </w:rPr>
        <w:t>.本表可在不改变格式的情况下根据具体需要自行增减。</w:t>
      </w:r>
    </w:p>
    <w:p w14:paraId="6CA5A893">
      <w:pPr>
        <w:autoSpaceDE w:val="0"/>
        <w:autoSpaceDN w:val="0"/>
        <w:adjustRightInd w:val="0"/>
        <w:spacing w:line="380" w:lineRule="atLeast"/>
        <w:rPr>
          <w:rFonts w:ascii="宋体" w:hAnsi="宋体" w:cs="宋体"/>
          <w:b w:val="0"/>
          <w:bCs w:val="0"/>
          <w:color w:val="auto"/>
          <w:kern w:val="0"/>
          <w:sz w:val="22"/>
          <w:szCs w:val="22"/>
          <w:highlight w:val="none"/>
          <w:lang w:val="zh-CN"/>
        </w:rPr>
      </w:pPr>
      <w:r>
        <w:rPr>
          <w:rFonts w:hint="eastAsia" w:ascii="宋体" w:hAnsi="宋体" w:cs="宋体"/>
          <w:b w:val="0"/>
          <w:bCs w:val="0"/>
          <w:color w:val="auto"/>
          <w:kern w:val="0"/>
          <w:sz w:val="22"/>
          <w:szCs w:val="22"/>
          <w:highlight w:val="none"/>
          <w:lang w:val="en-US" w:eastAsia="zh-CN"/>
        </w:rPr>
        <w:t>7.</w:t>
      </w:r>
      <w:r>
        <w:rPr>
          <w:rFonts w:hint="eastAsia" w:ascii="宋体" w:hAnsi="宋体" w:cs="Arial"/>
          <w:b w:val="0"/>
          <w:bCs/>
          <w:color w:val="auto"/>
          <w:sz w:val="22"/>
          <w:szCs w:val="22"/>
          <w:highlight w:val="none"/>
          <w:lang w:eastAsia="zh-CN"/>
        </w:rPr>
        <w:t>本项目合同</w:t>
      </w:r>
      <w:r>
        <w:rPr>
          <w:rFonts w:hint="eastAsia" w:ascii="宋体" w:hAnsi="宋体" w:cs="Arial"/>
          <w:b w:val="0"/>
          <w:bCs/>
          <w:color w:val="auto"/>
          <w:sz w:val="22"/>
          <w:szCs w:val="22"/>
          <w:highlight w:val="none"/>
          <w:lang w:val="en-US" w:eastAsia="zh-CN"/>
        </w:rPr>
        <w:t>总</w:t>
      </w:r>
      <w:r>
        <w:rPr>
          <w:rFonts w:hint="eastAsia" w:ascii="宋体" w:hAnsi="宋体" w:cs="Arial"/>
          <w:b w:val="0"/>
          <w:bCs/>
          <w:color w:val="auto"/>
          <w:sz w:val="22"/>
          <w:szCs w:val="22"/>
          <w:highlight w:val="none"/>
          <w:lang w:eastAsia="zh-CN"/>
        </w:rPr>
        <w:t>价款含所有税费，除合同另有约定</w:t>
      </w:r>
      <w:r>
        <w:rPr>
          <w:rFonts w:hint="eastAsia" w:ascii="宋体" w:hAnsi="宋体" w:cs="宋体"/>
          <w:b w:val="0"/>
          <w:bCs w:val="0"/>
          <w:color w:val="auto"/>
          <w:kern w:val="0"/>
          <w:sz w:val="22"/>
          <w:szCs w:val="22"/>
          <w:highlight w:val="none"/>
          <w:lang w:val="zh-CN"/>
        </w:rPr>
        <w:t>。</w:t>
      </w:r>
    </w:p>
    <w:p w14:paraId="715B4948">
      <w:pPr>
        <w:autoSpaceDE w:val="0"/>
        <w:autoSpaceDN w:val="0"/>
        <w:adjustRightInd w:val="0"/>
        <w:spacing w:line="380" w:lineRule="atLeast"/>
        <w:ind w:firstLine="8800" w:firstLineChars="4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投标人全称（盖章）：</w:t>
      </w:r>
    </w:p>
    <w:p w14:paraId="6E0F15B1">
      <w:pPr>
        <w:autoSpaceDE w:val="0"/>
        <w:autoSpaceDN w:val="0"/>
        <w:adjustRightInd w:val="0"/>
        <w:spacing w:line="380" w:lineRule="atLeast"/>
        <w:ind w:firstLine="8800" w:firstLineChars="4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投标人代表（签名或盖章）：</w:t>
      </w:r>
    </w:p>
    <w:p w14:paraId="2F07E0BC">
      <w:pPr>
        <w:autoSpaceDE w:val="0"/>
        <w:autoSpaceDN w:val="0"/>
        <w:adjustRightInd w:val="0"/>
        <w:spacing w:line="380" w:lineRule="atLeast"/>
        <w:ind w:firstLine="8800" w:firstLineChars="40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日 期：  年  月  日</w:t>
      </w:r>
    </w:p>
    <w:p w14:paraId="67648449">
      <w:pPr>
        <w:pStyle w:val="3"/>
        <w:keepLines/>
        <w:spacing w:before="120" w:after="120"/>
        <w:rPr>
          <w:rFonts w:hint="eastAsia" w:ascii="宋体" w:hAnsi="宋体" w:cs="楷体"/>
          <w:b w:val="0"/>
          <w:bCs w:val="0"/>
          <w:color w:val="auto"/>
          <w:sz w:val="28"/>
          <w:szCs w:val="28"/>
          <w:highlight w:val="none"/>
        </w:rPr>
        <w:sectPr>
          <w:pgSz w:w="16838" w:h="11906" w:orient="landscape"/>
          <w:pgMar w:top="1134" w:right="1134" w:bottom="1134" w:left="1134" w:header="851" w:footer="850" w:gutter="0"/>
          <w:cols w:space="0" w:num="1"/>
          <w:rtlGutter w:val="0"/>
          <w:docGrid w:linePitch="316" w:charSpace="0"/>
        </w:sectPr>
      </w:pPr>
      <w:r>
        <w:rPr>
          <w:rFonts w:hint="eastAsia" w:ascii="宋体" w:hAnsi="宋体" w:cs="楷体"/>
          <w:b w:val="0"/>
          <w:bCs w:val="0"/>
          <w:color w:val="auto"/>
          <w:sz w:val="28"/>
          <w:szCs w:val="28"/>
          <w:highlight w:val="none"/>
        </w:rPr>
        <w:br w:type="page"/>
      </w:r>
      <w:bookmarkStart w:id="189" w:name="_Toc17027"/>
      <w:bookmarkStart w:id="190" w:name="_Toc252194859"/>
      <w:bookmarkStart w:id="191" w:name="_Toc251592744"/>
    </w:p>
    <w:p w14:paraId="689E4C3F">
      <w:pPr>
        <w:pStyle w:val="3"/>
        <w:keepLines/>
        <w:spacing w:before="120" w:after="120"/>
        <w:rPr>
          <w:rFonts w:ascii="新宋体" w:hAnsi="新宋体" w:eastAsia="新宋体" w:cs="新宋体"/>
          <w:bCs w:val="0"/>
          <w:color w:val="auto"/>
          <w:kern w:val="44"/>
          <w:sz w:val="32"/>
          <w:szCs w:val="32"/>
          <w:highlight w:val="none"/>
        </w:rPr>
      </w:pPr>
      <w:r>
        <w:rPr>
          <w:rFonts w:hint="eastAsia" w:ascii="新宋体" w:hAnsi="新宋体" w:eastAsia="新宋体" w:cs="新宋体"/>
          <w:bCs w:val="0"/>
          <w:color w:val="auto"/>
          <w:kern w:val="44"/>
          <w:sz w:val="32"/>
          <w:szCs w:val="32"/>
          <w:highlight w:val="none"/>
        </w:rPr>
        <w:t>第四部分   采购内容及要求</w:t>
      </w:r>
      <w:bookmarkEnd w:id="189"/>
    </w:p>
    <w:p w14:paraId="21DFDF15">
      <w:pPr>
        <w:adjustRightInd w:val="0"/>
        <w:snapToGrid w:val="0"/>
        <w:spacing w:line="440" w:lineRule="exact"/>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一、项目背景：</w:t>
      </w:r>
    </w:p>
    <w:p w14:paraId="6F8EA580">
      <w:pPr>
        <w:adjustRightInd w:val="0"/>
        <w:snapToGrid w:val="0"/>
        <w:spacing w:line="440" w:lineRule="exact"/>
        <w:ind w:firstLine="440" w:firstLineChars="200"/>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因瓯飞后场土方消纳业务拓展，为便于开展土方消纳现场的安全、收票、清洁、维护等日常工作的管理，故启动</w:t>
      </w:r>
      <w:r>
        <w:rPr>
          <w:rFonts w:hint="eastAsia" w:ascii="宋体" w:hAnsi="宋体" w:cs="宋体"/>
          <w:bCs/>
          <w:color w:val="auto"/>
          <w:kern w:val="0"/>
          <w:sz w:val="22"/>
          <w:szCs w:val="22"/>
          <w:highlight w:val="none"/>
          <w:lang w:eastAsia="zh-CN"/>
        </w:rPr>
        <w:t>龙湾二期建筑垃圾消纳及资源化利用项目后场消纳管理服务</w:t>
      </w:r>
      <w:r>
        <w:rPr>
          <w:rFonts w:hint="eastAsia" w:ascii="宋体" w:hAnsi="宋体" w:eastAsia="宋体" w:cs="宋体"/>
          <w:bCs/>
          <w:color w:val="auto"/>
          <w:kern w:val="0"/>
          <w:sz w:val="22"/>
          <w:szCs w:val="22"/>
          <w:highlight w:val="none"/>
          <w:lang w:eastAsia="zh-CN"/>
        </w:rPr>
        <w:t>招标。</w:t>
      </w:r>
    </w:p>
    <w:p w14:paraId="0FDF038C">
      <w:pPr>
        <w:pStyle w:val="12"/>
        <w:rPr>
          <w:rFonts w:hint="eastAsia"/>
          <w:color w:val="auto"/>
          <w:highlight w:val="none"/>
        </w:rPr>
      </w:pPr>
    </w:p>
    <w:p w14:paraId="4014CF1D">
      <w:pPr>
        <w:adjustRightInd w:val="0"/>
        <w:snapToGrid w:val="0"/>
        <w:spacing w:line="440" w:lineRule="exact"/>
        <w:rPr>
          <w:rFonts w:ascii="宋体" w:hAnsi="宋体"/>
          <w:b/>
          <w:color w:val="auto"/>
          <w:sz w:val="22"/>
          <w:szCs w:val="22"/>
          <w:highlight w:val="none"/>
        </w:rPr>
      </w:pPr>
      <w:r>
        <w:rPr>
          <w:rFonts w:hint="eastAsia" w:ascii="宋体" w:hAnsi="宋体"/>
          <w:b/>
          <w:color w:val="auto"/>
          <w:sz w:val="22"/>
          <w:szCs w:val="22"/>
          <w:highlight w:val="none"/>
          <w:lang w:eastAsia="zh-CN"/>
        </w:rPr>
        <w:t>二、</w:t>
      </w:r>
      <w:r>
        <w:rPr>
          <w:rFonts w:hint="eastAsia" w:ascii="宋体" w:hAnsi="宋体"/>
          <w:b/>
          <w:color w:val="auto"/>
          <w:sz w:val="22"/>
          <w:szCs w:val="22"/>
          <w:highlight w:val="none"/>
        </w:rPr>
        <w:t>工作范围</w:t>
      </w:r>
    </w:p>
    <w:p w14:paraId="495961E6">
      <w:pPr>
        <w:adjustRightInd w:val="0"/>
        <w:snapToGrid w:val="0"/>
        <w:spacing w:line="440" w:lineRule="exact"/>
        <w:ind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1.工作内容：负责龙湾二期建筑垃圾消纳及资源化利用项目消纳后场的安全秩序、人员安全、财产安全、消防和交通安全、消纳票据收验工作、电子联单扫码、土方消纳地磅数据录入与导出、土方车辆篷布内容物查看、道路洒水清洗、车辆冲洗、地磅清洁、检测、迁移、监控、沉淀池、岗亭清洁、日常管理工作、服务区内道路维修（含材料、人工及机械台班等）、设备维修维护管理等工作</w:t>
      </w:r>
      <w:r>
        <w:rPr>
          <w:rFonts w:hint="eastAsia" w:ascii="宋体" w:hAnsi="宋体" w:cs="宋体"/>
          <w:bCs/>
          <w:color w:val="auto"/>
          <w:kern w:val="0"/>
          <w:sz w:val="22"/>
          <w:szCs w:val="22"/>
          <w:highlight w:val="none"/>
        </w:rPr>
        <w:t>。</w:t>
      </w:r>
    </w:p>
    <w:p w14:paraId="62722389">
      <w:pPr>
        <w:adjustRightInd w:val="0"/>
        <w:snapToGrid w:val="0"/>
        <w:spacing w:line="440" w:lineRule="exact"/>
        <w:ind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w:t>
      </w:r>
      <w:r>
        <w:rPr>
          <w:rFonts w:hint="eastAsia" w:ascii="宋体" w:hAnsi="宋体" w:cs="宋体"/>
          <w:bCs/>
          <w:color w:val="auto"/>
          <w:kern w:val="0"/>
          <w:sz w:val="22"/>
          <w:szCs w:val="22"/>
          <w:highlight w:val="none"/>
          <w:lang w:val="en-US" w:eastAsia="zh-CN"/>
        </w:rPr>
        <w:t>.</w:t>
      </w:r>
      <w:r>
        <w:rPr>
          <w:rFonts w:hint="eastAsia" w:ascii="新宋体" w:hAnsi="新宋体" w:eastAsia="新宋体" w:cs="新宋体"/>
          <w:color w:val="auto"/>
          <w:sz w:val="22"/>
          <w:szCs w:val="22"/>
          <w:highlight w:val="none"/>
          <w:lang w:eastAsia="zh-CN"/>
        </w:rPr>
        <w:t>服务内容：服务区域内为24小时工作制，每24小时须按照招标文件要求及甲方要求配置足够的消纳票据收验人员在岗，负责土方、泥浆的消纳收票工作，包括但不限于电子联单扫码、土方及泥浆消纳地磅数据录入与导出、土方车辆篷布内容物查看、维修维护管理，保持土方消纳地磅、监控、沉淀池、岗亭基本整洁，维持土方、泥浆的消纳秩序，配合土方、泥浆消纳巡逻；服务区内道路维修（含人工、机械台班、进出场费用等）；服务区域内日常道路洒水服务（含人员及车辆使用等）；服务区域内摄像头及配套供电设备的日常清洁，需1-2日进行一次擦拭，确保监控清晰等工作（若有），并保证投入不少于一辆车辆用于本项目巡查调配。</w:t>
      </w:r>
    </w:p>
    <w:p w14:paraId="70005896">
      <w:pPr>
        <w:adjustRightInd w:val="0"/>
        <w:snapToGrid w:val="0"/>
        <w:spacing w:line="440" w:lineRule="exact"/>
        <w:ind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3</w:t>
      </w:r>
      <w:r>
        <w:rPr>
          <w:rFonts w:hint="eastAsia" w:ascii="宋体" w:hAnsi="宋体" w:cs="宋体"/>
          <w:bCs/>
          <w:color w:val="auto"/>
          <w:kern w:val="0"/>
          <w:sz w:val="22"/>
          <w:szCs w:val="22"/>
          <w:highlight w:val="none"/>
          <w:lang w:val="en-US" w:eastAsia="zh-CN"/>
        </w:rPr>
        <w:t>.</w:t>
      </w:r>
      <w:r>
        <w:rPr>
          <w:rFonts w:hint="eastAsia" w:ascii="宋体" w:hAnsi="宋体" w:cs="宋体"/>
          <w:bCs/>
          <w:color w:val="auto"/>
          <w:kern w:val="0"/>
          <w:sz w:val="22"/>
          <w:szCs w:val="22"/>
          <w:highlight w:val="none"/>
          <w:lang w:eastAsia="zh-CN"/>
        </w:rPr>
        <w:t>项目</w:t>
      </w:r>
      <w:r>
        <w:rPr>
          <w:rFonts w:hint="eastAsia" w:ascii="宋体" w:hAnsi="宋体" w:cs="宋体"/>
          <w:bCs/>
          <w:color w:val="auto"/>
          <w:kern w:val="0"/>
          <w:sz w:val="22"/>
          <w:szCs w:val="22"/>
          <w:highlight w:val="none"/>
        </w:rPr>
        <w:t>保安</w:t>
      </w:r>
      <w:r>
        <w:rPr>
          <w:rFonts w:hint="eastAsia" w:ascii="宋体" w:hAnsi="宋体" w:cs="宋体"/>
          <w:bCs/>
          <w:color w:val="auto"/>
          <w:kern w:val="0"/>
          <w:sz w:val="22"/>
          <w:szCs w:val="22"/>
          <w:highlight w:val="none"/>
          <w:lang w:eastAsia="zh-CN"/>
        </w:rPr>
        <w:t>及消纳票据收验人员</w:t>
      </w:r>
      <w:r>
        <w:rPr>
          <w:rFonts w:hint="eastAsia" w:ascii="宋体" w:hAnsi="宋体" w:cs="宋体"/>
          <w:bCs/>
          <w:color w:val="auto"/>
          <w:kern w:val="0"/>
          <w:sz w:val="22"/>
          <w:szCs w:val="22"/>
          <w:highlight w:val="none"/>
        </w:rPr>
        <w:t>按实际产生的服务时间及服务人数进行结算。</w:t>
      </w:r>
    </w:p>
    <w:p w14:paraId="04C94850">
      <w:pPr>
        <w:adjustRightInd w:val="0"/>
        <w:snapToGrid w:val="0"/>
        <w:spacing w:line="440" w:lineRule="exact"/>
        <w:rPr>
          <w:rFonts w:hint="eastAsia" w:ascii="宋体" w:hAnsi="宋体"/>
          <w:b/>
          <w:color w:val="auto"/>
          <w:sz w:val="22"/>
          <w:szCs w:val="22"/>
          <w:highlight w:val="none"/>
        </w:rPr>
      </w:pPr>
    </w:p>
    <w:p w14:paraId="2DD0FEF9">
      <w:pPr>
        <w:adjustRightInd w:val="0"/>
        <w:snapToGrid w:val="0"/>
        <w:spacing w:line="440" w:lineRule="exact"/>
        <w:rPr>
          <w:rFonts w:ascii="宋体" w:hAnsi="宋体"/>
          <w:b/>
          <w:color w:val="auto"/>
          <w:sz w:val="22"/>
          <w:szCs w:val="22"/>
          <w:highlight w:val="none"/>
        </w:rPr>
      </w:pPr>
      <w:r>
        <w:rPr>
          <w:rFonts w:hint="eastAsia" w:ascii="宋体" w:hAnsi="宋体"/>
          <w:b/>
          <w:color w:val="auto"/>
          <w:sz w:val="22"/>
          <w:szCs w:val="22"/>
          <w:highlight w:val="none"/>
          <w:lang w:eastAsia="zh-CN"/>
        </w:rPr>
        <w:t>三</w:t>
      </w:r>
      <w:r>
        <w:rPr>
          <w:rFonts w:hint="eastAsia" w:ascii="宋体" w:hAnsi="宋体"/>
          <w:b/>
          <w:color w:val="auto"/>
          <w:sz w:val="22"/>
          <w:szCs w:val="22"/>
          <w:highlight w:val="none"/>
        </w:rPr>
        <w:t>、项目服务期</w:t>
      </w:r>
    </w:p>
    <w:p w14:paraId="661E96FF">
      <w:pPr>
        <w:adjustRightInd w:val="0"/>
        <w:snapToGrid w:val="0"/>
        <w:spacing w:line="440" w:lineRule="exact"/>
        <w:ind w:firstLine="440" w:firstLineChars="200"/>
        <w:rPr>
          <w:rFonts w:ascii="宋体" w:hAnsi="宋体"/>
          <w:snapToGrid w:val="0"/>
          <w:color w:val="auto"/>
          <w:kern w:val="0"/>
          <w:sz w:val="22"/>
          <w:szCs w:val="22"/>
          <w:highlight w:val="none"/>
        </w:rPr>
      </w:pPr>
      <w:r>
        <w:rPr>
          <w:rFonts w:hint="eastAsia" w:ascii="宋体" w:hAnsi="宋体"/>
          <w:snapToGrid w:val="0"/>
          <w:color w:val="auto"/>
          <w:kern w:val="0"/>
          <w:sz w:val="22"/>
          <w:szCs w:val="22"/>
          <w:highlight w:val="none"/>
        </w:rPr>
        <w:t>项目服务期为自合同签订之日起一年，一年合同期满，</w:t>
      </w:r>
      <w:r>
        <w:rPr>
          <w:rFonts w:hint="eastAsia" w:ascii="宋体" w:hAnsi="宋体"/>
          <w:snapToGrid w:val="0"/>
          <w:color w:val="auto"/>
          <w:kern w:val="0"/>
          <w:sz w:val="22"/>
          <w:szCs w:val="22"/>
          <w:highlight w:val="none"/>
          <w:lang w:eastAsia="zh-CN"/>
        </w:rPr>
        <w:t>采购人</w:t>
      </w:r>
      <w:r>
        <w:rPr>
          <w:rFonts w:hint="eastAsia" w:ascii="宋体" w:hAnsi="宋体"/>
          <w:snapToGrid w:val="0"/>
          <w:color w:val="auto"/>
          <w:kern w:val="0"/>
          <w:sz w:val="22"/>
          <w:szCs w:val="22"/>
          <w:highlight w:val="none"/>
        </w:rPr>
        <w:t>对中标人服务期内所提供的服务考核满意的情况下，</w:t>
      </w:r>
      <w:r>
        <w:rPr>
          <w:rFonts w:hint="eastAsia" w:ascii="宋体" w:hAnsi="宋体"/>
          <w:snapToGrid w:val="0"/>
          <w:color w:val="auto"/>
          <w:kern w:val="0"/>
          <w:sz w:val="22"/>
          <w:szCs w:val="22"/>
          <w:highlight w:val="none"/>
          <w:lang w:eastAsia="zh-CN"/>
        </w:rPr>
        <w:t>采购人</w:t>
      </w:r>
      <w:r>
        <w:rPr>
          <w:rFonts w:hint="eastAsia" w:ascii="宋体" w:hAnsi="宋体"/>
          <w:snapToGrid w:val="0"/>
          <w:color w:val="auto"/>
          <w:kern w:val="0"/>
          <w:sz w:val="22"/>
          <w:szCs w:val="22"/>
          <w:highlight w:val="none"/>
        </w:rPr>
        <w:t>可选择与中标人续签一年期合同</w:t>
      </w:r>
      <w:r>
        <w:rPr>
          <w:rFonts w:hint="eastAsia" w:ascii="宋体" w:hAnsi="宋体"/>
          <w:snapToGrid w:val="0"/>
          <w:color w:val="auto"/>
          <w:kern w:val="0"/>
          <w:sz w:val="22"/>
          <w:szCs w:val="22"/>
          <w:highlight w:val="none"/>
          <w:lang w:eastAsia="zh-CN"/>
        </w:rPr>
        <w:t>（</w:t>
      </w:r>
      <w:r>
        <w:rPr>
          <w:rFonts w:hint="eastAsia" w:ascii="宋体" w:hAnsi="宋体"/>
          <w:snapToGrid w:val="0"/>
          <w:color w:val="auto"/>
          <w:kern w:val="0"/>
          <w:sz w:val="22"/>
          <w:szCs w:val="22"/>
          <w:highlight w:val="none"/>
        </w:rPr>
        <w:t>1+1模式</w:t>
      </w:r>
      <w:r>
        <w:rPr>
          <w:rFonts w:hint="eastAsia" w:ascii="宋体" w:hAnsi="宋体"/>
          <w:snapToGrid w:val="0"/>
          <w:color w:val="auto"/>
          <w:kern w:val="0"/>
          <w:sz w:val="22"/>
          <w:szCs w:val="22"/>
          <w:highlight w:val="none"/>
          <w:lang w:eastAsia="zh-CN"/>
        </w:rPr>
        <w:t>）</w:t>
      </w:r>
      <w:r>
        <w:rPr>
          <w:rFonts w:hint="eastAsia" w:ascii="宋体" w:hAnsi="宋体"/>
          <w:snapToGrid w:val="0"/>
          <w:color w:val="auto"/>
          <w:kern w:val="0"/>
          <w:sz w:val="22"/>
          <w:szCs w:val="22"/>
          <w:highlight w:val="none"/>
        </w:rPr>
        <w:t>。</w:t>
      </w:r>
    </w:p>
    <w:p w14:paraId="6DDF2091">
      <w:pPr>
        <w:adjustRightInd w:val="0"/>
        <w:snapToGrid w:val="0"/>
        <w:spacing w:line="440" w:lineRule="exact"/>
        <w:rPr>
          <w:rFonts w:ascii="宋体" w:hAnsi="宋体"/>
          <w:b/>
          <w:color w:val="auto"/>
          <w:sz w:val="22"/>
          <w:szCs w:val="22"/>
          <w:highlight w:val="none"/>
        </w:rPr>
      </w:pPr>
    </w:p>
    <w:p w14:paraId="4C815AC6">
      <w:pPr>
        <w:adjustRightInd w:val="0"/>
        <w:snapToGrid w:val="0"/>
        <w:spacing w:line="440" w:lineRule="exact"/>
        <w:rPr>
          <w:rFonts w:ascii="宋体" w:hAnsi="宋体"/>
          <w:b/>
          <w:color w:val="auto"/>
          <w:sz w:val="22"/>
          <w:szCs w:val="22"/>
          <w:highlight w:val="none"/>
        </w:rPr>
      </w:pPr>
      <w:r>
        <w:rPr>
          <w:rFonts w:hint="eastAsia" w:ascii="宋体" w:hAnsi="宋体"/>
          <w:b/>
          <w:color w:val="auto"/>
          <w:sz w:val="22"/>
          <w:szCs w:val="22"/>
          <w:highlight w:val="none"/>
          <w:lang w:eastAsia="zh-CN"/>
        </w:rPr>
        <w:t>四</w:t>
      </w:r>
      <w:r>
        <w:rPr>
          <w:rFonts w:hint="eastAsia" w:ascii="宋体" w:hAnsi="宋体"/>
          <w:b/>
          <w:color w:val="auto"/>
          <w:sz w:val="22"/>
          <w:szCs w:val="22"/>
          <w:highlight w:val="none"/>
        </w:rPr>
        <w:t>、岗位人员要求</w:t>
      </w:r>
    </w:p>
    <w:p w14:paraId="66793CB9">
      <w:pPr>
        <w:adjustRightInd w:val="0"/>
        <w:snapToGrid w:val="0"/>
        <w:spacing w:line="440" w:lineRule="exact"/>
        <w:ind w:firstLine="442" w:firstLineChars="200"/>
        <w:rPr>
          <w:rFonts w:ascii="宋体" w:hAnsi="宋体"/>
          <w:b/>
          <w:color w:val="auto"/>
          <w:sz w:val="22"/>
          <w:szCs w:val="22"/>
          <w:highlight w:val="none"/>
        </w:rPr>
      </w:pPr>
      <w:r>
        <w:rPr>
          <w:rFonts w:hint="eastAsia" w:ascii="宋体" w:hAnsi="宋体"/>
          <w:b/>
          <w:color w:val="auto"/>
          <w:sz w:val="22"/>
          <w:szCs w:val="22"/>
          <w:highlight w:val="none"/>
        </w:rPr>
        <w:t>1.人员配备要求：</w:t>
      </w:r>
    </w:p>
    <w:p w14:paraId="319AB032">
      <w:pPr>
        <w:adjustRightInd w:val="0"/>
        <w:snapToGrid w:val="0"/>
        <w:spacing w:line="440" w:lineRule="exact"/>
        <w:ind w:firstLine="440" w:firstLineChars="200"/>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须根据半军事化管理的标准</w:t>
      </w:r>
      <w:r>
        <w:rPr>
          <w:rFonts w:hint="eastAsia" w:ascii="宋体" w:hAnsi="宋体"/>
          <w:color w:val="auto"/>
          <w:sz w:val="22"/>
          <w:szCs w:val="22"/>
          <w:highlight w:val="none"/>
          <w:lang w:eastAsia="zh-CN"/>
        </w:rPr>
        <w:t>配置项目服务人员，人数及班次配置计划须满足</w:t>
      </w:r>
      <w:r>
        <w:rPr>
          <w:rFonts w:hint="eastAsia" w:ascii="宋体" w:hAnsi="宋体" w:cs="宋体"/>
          <w:bCs/>
          <w:color w:val="auto"/>
          <w:kern w:val="0"/>
          <w:sz w:val="22"/>
          <w:szCs w:val="22"/>
          <w:highlight w:val="none"/>
          <w:lang w:eastAsia="zh-CN"/>
        </w:rPr>
        <w:t>每岗亭每</w:t>
      </w:r>
      <w:r>
        <w:rPr>
          <w:rFonts w:hint="eastAsia" w:ascii="宋体" w:hAnsi="宋体" w:cs="宋体"/>
          <w:bCs/>
          <w:color w:val="auto"/>
          <w:kern w:val="0"/>
          <w:sz w:val="22"/>
          <w:szCs w:val="22"/>
          <w:highlight w:val="none"/>
        </w:rPr>
        <w:t>24小时</w:t>
      </w:r>
      <w:r>
        <w:rPr>
          <w:rFonts w:hint="eastAsia" w:ascii="宋体" w:hAnsi="宋体" w:cs="宋体"/>
          <w:bCs/>
          <w:color w:val="auto"/>
          <w:kern w:val="0"/>
          <w:sz w:val="22"/>
          <w:szCs w:val="22"/>
          <w:highlight w:val="none"/>
          <w:lang w:eastAsia="zh-CN"/>
        </w:rPr>
        <w:t>至少</w:t>
      </w:r>
      <w:r>
        <w:rPr>
          <w:rFonts w:hint="eastAsia" w:ascii="宋体" w:hAnsi="宋体" w:cs="宋体"/>
          <w:bCs/>
          <w:color w:val="auto"/>
          <w:kern w:val="0"/>
          <w:sz w:val="22"/>
          <w:szCs w:val="22"/>
          <w:highlight w:val="none"/>
        </w:rPr>
        <w:t>有</w:t>
      </w:r>
      <w:r>
        <w:rPr>
          <w:rFonts w:hint="eastAsia" w:ascii="宋体" w:hAnsi="宋体" w:cs="宋体"/>
          <w:bCs/>
          <w:color w:val="auto"/>
          <w:kern w:val="0"/>
          <w:sz w:val="22"/>
          <w:szCs w:val="22"/>
          <w:highlight w:val="none"/>
          <w:lang w:eastAsia="zh-CN"/>
        </w:rPr>
        <w:t>一名</w:t>
      </w:r>
      <w:r>
        <w:rPr>
          <w:rFonts w:hint="eastAsia" w:ascii="宋体" w:hAnsi="宋体" w:cs="宋体"/>
          <w:bCs/>
          <w:color w:val="auto"/>
          <w:kern w:val="0"/>
          <w:sz w:val="22"/>
          <w:szCs w:val="22"/>
          <w:highlight w:val="none"/>
          <w:lang w:val="en-US" w:eastAsia="zh-CN"/>
        </w:rPr>
        <w:t>安保人员及两名消纳票据收验人员在岗的要求</w:t>
      </w:r>
      <w:r>
        <w:rPr>
          <w:rFonts w:hint="eastAsia" w:ascii="宋体" w:hAnsi="宋体"/>
          <w:color w:val="auto"/>
          <w:sz w:val="22"/>
          <w:szCs w:val="22"/>
          <w:highlight w:val="none"/>
          <w:lang w:val="en-US" w:eastAsia="zh-CN"/>
        </w:rPr>
        <w:t>。</w:t>
      </w:r>
    </w:p>
    <w:p w14:paraId="30A2447A">
      <w:pPr>
        <w:adjustRightInd w:val="0"/>
        <w:snapToGrid w:val="0"/>
        <w:spacing w:line="440" w:lineRule="exact"/>
        <w:ind w:firstLine="442" w:firstLineChars="200"/>
        <w:rPr>
          <w:rFonts w:ascii="宋体" w:hAnsi="宋体"/>
          <w:b/>
          <w:color w:val="auto"/>
          <w:sz w:val="22"/>
          <w:szCs w:val="22"/>
          <w:highlight w:val="none"/>
        </w:rPr>
      </w:pPr>
      <w:r>
        <w:rPr>
          <w:rFonts w:hint="eastAsia" w:ascii="宋体" w:hAnsi="宋体"/>
          <w:b/>
          <w:color w:val="auto"/>
          <w:sz w:val="22"/>
          <w:szCs w:val="22"/>
          <w:highlight w:val="none"/>
        </w:rPr>
        <w:t>2.人员条件要求：</w:t>
      </w:r>
    </w:p>
    <w:p w14:paraId="71BD2A7E">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（1）消纳票据收验人员年龄</w:t>
      </w:r>
      <w:r>
        <w:rPr>
          <w:rFonts w:hint="eastAsia" w:ascii="宋体" w:hAnsi="宋体"/>
          <w:color w:val="auto"/>
          <w:sz w:val="22"/>
          <w:szCs w:val="22"/>
          <w:highlight w:val="none"/>
          <w:lang w:val="en-US" w:eastAsia="zh-CN"/>
        </w:rPr>
        <w:t>50</w:t>
      </w:r>
      <w:r>
        <w:rPr>
          <w:rFonts w:hint="eastAsia" w:ascii="宋体" w:hAnsi="宋体"/>
          <w:color w:val="auto"/>
          <w:sz w:val="22"/>
          <w:szCs w:val="22"/>
          <w:highlight w:val="none"/>
          <w:lang w:eastAsia="zh-CN"/>
        </w:rPr>
        <w:t>周岁以内，且掌握基本的电脑操作技能，项目经理及安保人员</w:t>
      </w:r>
      <w:r>
        <w:rPr>
          <w:rFonts w:hint="eastAsia" w:ascii="宋体" w:hAnsi="宋体"/>
          <w:color w:val="auto"/>
          <w:sz w:val="22"/>
          <w:szCs w:val="22"/>
          <w:highlight w:val="none"/>
          <w:lang w:val="en-US" w:eastAsia="zh-CN"/>
        </w:rPr>
        <w:t>55周岁以内</w:t>
      </w:r>
      <w:r>
        <w:rPr>
          <w:rFonts w:hint="eastAsia" w:ascii="宋体" w:hAnsi="宋体"/>
          <w:color w:val="auto"/>
          <w:sz w:val="22"/>
          <w:szCs w:val="22"/>
          <w:highlight w:val="none"/>
          <w:lang w:eastAsia="zh-CN"/>
        </w:rPr>
        <w:t>；</w:t>
      </w:r>
    </w:p>
    <w:p w14:paraId="0C47272D">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（2）初中文化程度及以上；</w:t>
      </w:r>
    </w:p>
    <w:p w14:paraId="772CEF3D">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（3）五官端正、保安身高165厘米以上；</w:t>
      </w:r>
    </w:p>
    <w:p w14:paraId="79626309">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（4）身体健康、没有疾病；</w:t>
      </w:r>
    </w:p>
    <w:p w14:paraId="6013FC2F">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（5）没有违法犯罪行为记录；</w:t>
      </w:r>
    </w:p>
    <w:p w14:paraId="5AE6967A">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（6）遵守国家法律、法规；</w:t>
      </w:r>
    </w:p>
    <w:p w14:paraId="1FA8ADB8">
      <w:pPr>
        <w:adjustRightInd w:val="0"/>
        <w:snapToGrid w:val="0"/>
        <w:spacing w:line="440" w:lineRule="exact"/>
        <w:ind w:firstLine="440" w:firstLineChars="200"/>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（7）服从管理。</w:t>
      </w:r>
    </w:p>
    <w:p w14:paraId="7EE6EF81">
      <w:pPr>
        <w:tabs>
          <w:tab w:val="left" w:pos="900"/>
        </w:tabs>
        <w:adjustRightInd w:val="0"/>
        <w:snapToGrid w:val="0"/>
        <w:spacing w:line="440" w:lineRule="exact"/>
        <w:ind w:left="540"/>
        <w:rPr>
          <w:rFonts w:hint="eastAsia" w:ascii="宋体" w:hAnsi="宋体"/>
          <w:color w:val="auto"/>
          <w:sz w:val="22"/>
          <w:szCs w:val="22"/>
          <w:highlight w:val="none"/>
        </w:rPr>
      </w:pPr>
    </w:p>
    <w:p w14:paraId="224C4E54">
      <w:pPr>
        <w:spacing w:line="420" w:lineRule="exact"/>
        <w:ind w:right="-21" w:rightChars="-10" w:firstLine="442" w:firstLineChars="200"/>
        <w:rPr>
          <w:rFonts w:hint="eastAsia" w:ascii="宋体" w:hAnsi="宋体" w:eastAsia="宋体" w:cs="Arial"/>
          <w:b/>
          <w:color w:val="auto"/>
          <w:sz w:val="22"/>
          <w:szCs w:val="22"/>
          <w:highlight w:val="none"/>
          <w:lang w:eastAsia="zh-CN"/>
        </w:rPr>
      </w:pPr>
      <w:r>
        <w:rPr>
          <w:rFonts w:hint="eastAsia" w:ascii="宋体" w:hAnsi="宋体" w:cs="Arial"/>
          <w:b/>
          <w:color w:val="auto"/>
          <w:sz w:val="22"/>
          <w:szCs w:val="22"/>
          <w:highlight w:val="none"/>
          <w:lang w:eastAsia="zh-CN"/>
        </w:rPr>
        <w:t>五</w:t>
      </w:r>
      <w:r>
        <w:rPr>
          <w:rFonts w:hint="eastAsia" w:ascii="宋体" w:hAnsi="宋体" w:cs="Arial"/>
          <w:b/>
          <w:color w:val="auto"/>
          <w:sz w:val="22"/>
          <w:szCs w:val="22"/>
          <w:highlight w:val="none"/>
        </w:rPr>
        <w:t>、</w:t>
      </w:r>
      <w:r>
        <w:rPr>
          <w:rFonts w:hint="eastAsia" w:ascii="宋体" w:hAnsi="宋体" w:cs="Arial"/>
          <w:b/>
          <w:color w:val="auto"/>
          <w:sz w:val="22"/>
          <w:szCs w:val="22"/>
          <w:highlight w:val="none"/>
          <w:lang w:val="en-US" w:eastAsia="zh-CN"/>
        </w:rPr>
        <w:t>其他</w:t>
      </w:r>
    </w:p>
    <w:p w14:paraId="7A2A4FE6">
      <w:pPr>
        <w:spacing w:line="420" w:lineRule="exact"/>
        <w:ind w:right="-21" w:rightChars="-10" w:firstLine="440" w:firstLineChars="200"/>
        <w:rPr>
          <w:rFonts w:hint="eastAsia" w:ascii="宋体" w:hAnsi="宋体" w:cs="Arial"/>
          <w:b w:val="0"/>
          <w:bCs/>
          <w:color w:val="auto"/>
          <w:sz w:val="22"/>
          <w:szCs w:val="22"/>
          <w:highlight w:val="none"/>
          <w:lang w:eastAsia="zh-CN"/>
        </w:rPr>
      </w:pPr>
      <w:r>
        <w:rPr>
          <w:rFonts w:hint="eastAsia" w:ascii="宋体" w:hAnsi="宋体" w:cs="Arial"/>
          <w:b w:val="0"/>
          <w:bCs/>
          <w:color w:val="auto"/>
          <w:sz w:val="22"/>
          <w:szCs w:val="22"/>
          <w:highlight w:val="none"/>
          <w:lang w:val="en-US" w:eastAsia="zh-CN"/>
        </w:rPr>
        <w:t>1.</w:t>
      </w:r>
      <w:r>
        <w:rPr>
          <w:rFonts w:hint="eastAsia" w:ascii="宋体" w:hAnsi="宋体" w:cs="Arial"/>
          <w:b w:val="0"/>
          <w:bCs/>
          <w:color w:val="auto"/>
          <w:sz w:val="22"/>
          <w:szCs w:val="22"/>
          <w:highlight w:val="none"/>
          <w:lang w:eastAsia="zh-CN"/>
        </w:rPr>
        <w:t>本项目合同总价款含所有税费，除合同另有约定。合同总价包括:</w:t>
      </w:r>
    </w:p>
    <w:p w14:paraId="799D840C">
      <w:pPr>
        <w:spacing w:line="420" w:lineRule="exact"/>
        <w:ind w:right="-21" w:rightChars="-10" w:firstLine="440" w:firstLineChars="200"/>
        <w:rPr>
          <w:rFonts w:hint="eastAsia" w:ascii="宋体" w:hAnsi="宋体" w:cs="Arial"/>
          <w:b w:val="0"/>
          <w:bCs/>
          <w:color w:val="auto"/>
          <w:sz w:val="22"/>
          <w:szCs w:val="22"/>
          <w:highlight w:val="none"/>
          <w:lang w:eastAsia="zh-CN"/>
        </w:rPr>
      </w:pPr>
      <w:r>
        <w:rPr>
          <w:rFonts w:hint="eastAsia" w:ascii="宋体" w:hAnsi="宋体" w:cs="Arial"/>
          <w:b w:val="0"/>
          <w:bCs/>
          <w:color w:val="auto"/>
          <w:sz w:val="22"/>
          <w:szCs w:val="22"/>
          <w:highlight w:val="none"/>
          <w:lang w:eastAsia="zh-CN"/>
        </w:rPr>
        <w:t>①人员全费用中已包含人员工资、福利、各种加班费、误餐费、各种社会保险、食宿与交通、设备及工具、器材、服装、安全、税费、管理费等一切符合法律法规所必需的费用。项目现场专用巡查车辆使用费已包含进人全费用中。</w:t>
      </w:r>
    </w:p>
    <w:p w14:paraId="4B2A8160">
      <w:pPr>
        <w:spacing w:line="420" w:lineRule="exact"/>
        <w:ind w:right="-21" w:rightChars="-10" w:firstLine="440" w:firstLineChars="200"/>
        <w:rPr>
          <w:rFonts w:hint="eastAsia" w:ascii="宋体" w:hAnsi="宋体" w:cs="Arial"/>
          <w:b w:val="0"/>
          <w:bCs/>
          <w:color w:val="auto"/>
          <w:sz w:val="22"/>
          <w:szCs w:val="22"/>
          <w:highlight w:val="none"/>
          <w:lang w:eastAsia="zh-CN"/>
        </w:rPr>
      </w:pPr>
      <w:r>
        <w:rPr>
          <w:rFonts w:hint="eastAsia" w:ascii="宋体" w:hAnsi="宋体" w:cs="Arial"/>
          <w:b w:val="0"/>
          <w:bCs/>
          <w:color w:val="auto"/>
          <w:sz w:val="22"/>
          <w:szCs w:val="22"/>
          <w:highlight w:val="none"/>
          <w:lang w:eastAsia="zh-CN"/>
        </w:rPr>
        <w:t>②服务期内土方消纳岗亭及相关设备维护维修、水电、网络接入等各项费用:（1）服务期内土方消纳岗亭及相关设备维护维修，须保证土方消纳岗亭各设备正常使用。（2）土方消纳岗亭地磅、洗车池(洗车机)、水泵、泥浆泵等相关设备维护维修。（3）土方消纳岗亭及相关联的设备的用水用电费用支付(洗车池或高压冲洗设备、消纳岗亭办公及相关设备正常用水用电；清洁路面用水用电等。可根据现场实际情况采用抽水方式取水，如无法抽水须接入自来水。（4）土方消纳岗亭办公设备(电脑、空调、工控机等)维护维修。（5）摄像头维护维修等设备维护维修。（6）岗亭出口车辆冲洗设备及人员。</w:t>
      </w:r>
      <w:r>
        <w:rPr>
          <w:rFonts w:hint="eastAsia" w:ascii="宋体" w:hAnsi="宋体" w:cs="Arial"/>
          <w:b w:val="0"/>
          <w:bCs/>
          <w:color w:val="auto"/>
          <w:sz w:val="22"/>
          <w:szCs w:val="22"/>
          <w:highlight w:val="none"/>
          <w:lang w:val="en-US" w:eastAsia="zh-CN"/>
        </w:rPr>
        <w:t>以上内容</w:t>
      </w:r>
      <w:r>
        <w:rPr>
          <w:rFonts w:hint="eastAsia" w:ascii="宋体" w:hAnsi="宋体" w:cs="Arial"/>
          <w:b w:val="0"/>
          <w:bCs/>
          <w:color w:val="auto"/>
          <w:sz w:val="22"/>
          <w:szCs w:val="22"/>
          <w:highlight w:val="none"/>
          <w:lang w:eastAsia="zh-CN"/>
        </w:rPr>
        <w:t>一次性包干，服务单位自行报价。</w:t>
      </w:r>
    </w:p>
    <w:p w14:paraId="496B24AD">
      <w:pPr>
        <w:spacing w:line="420" w:lineRule="exact"/>
        <w:ind w:right="-21" w:rightChars="-10" w:firstLine="440" w:firstLineChars="200"/>
        <w:rPr>
          <w:rFonts w:hint="eastAsia" w:ascii="宋体" w:hAnsi="宋体" w:cs="Arial"/>
          <w:b w:val="0"/>
          <w:bCs/>
          <w:color w:val="auto"/>
          <w:sz w:val="22"/>
          <w:szCs w:val="22"/>
          <w:highlight w:val="none"/>
          <w:lang w:eastAsia="zh-CN"/>
        </w:rPr>
      </w:pPr>
      <w:r>
        <w:rPr>
          <w:rFonts w:hint="eastAsia" w:ascii="宋体" w:hAnsi="宋体" w:cs="Arial"/>
          <w:b w:val="0"/>
          <w:bCs/>
          <w:color w:val="auto"/>
          <w:sz w:val="22"/>
          <w:szCs w:val="22"/>
          <w:highlight w:val="none"/>
          <w:lang w:eastAsia="zh-CN"/>
        </w:rPr>
        <w:t>③</w:t>
      </w:r>
      <w:r>
        <w:rPr>
          <w:rFonts w:hint="eastAsia" w:ascii="新宋体" w:hAnsi="新宋体" w:eastAsia="新宋体" w:cs="新宋体"/>
          <w:color w:val="auto"/>
          <w:sz w:val="22"/>
          <w:szCs w:val="22"/>
          <w:highlight w:val="none"/>
          <w:lang w:eastAsia="zh-CN"/>
        </w:rPr>
        <w:t>土方消纳岗亭接入省</w:t>
      </w:r>
      <w:r>
        <w:rPr>
          <w:rFonts w:hint="eastAsia" w:ascii="新宋体" w:hAnsi="新宋体" w:eastAsia="新宋体" w:cs="新宋体"/>
          <w:color w:val="auto"/>
          <w:sz w:val="22"/>
          <w:szCs w:val="22"/>
          <w:highlight w:val="none"/>
          <w:lang w:val="en-US" w:eastAsia="zh-CN"/>
        </w:rPr>
        <w:t>主管部门的</w:t>
      </w:r>
      <w:r>
        <w:rPr>
          <w:rFonts w:hint="eastAsia" w:ascii="新宋体" w:hAnsi="新宋体" w:eastAsia="新宋体" w:cs="新宋体"/>
          <w:color w:val="auto"/>
          <w:sz w:val="22"/>
          <w:szCs w:val="22"/>
          <w:highlight w:val="none"/>
          <w:lang w:eastAsia="zh-CN"/>
        </w:rPr>
        <w:t>平台，</w:t>
      </w:r>
      <w:r>
        <w:rPr>
          <w:rFonts w:hint="eastAsia" w:ascii="新宋体" w:hAnsi="新宋体" w:eastAsia="新宋体" w:cs="新宋体"/>
          <w:color w:val="auto"/>
          <w:sz w:val="22"/>
          <w:szCs w:val="22"/>
          <w:highlight w:val="none"/>
          <w:lang w:val="en-US" w:eastAsia="zh-CN"/>
        </w:rPr>
        <w:t>并保持网络通畅</w:t>
      </w:r>
      <w:r>
        <w:rPr>
          <w:rFonts w:hint="eastAsia" w:ascii="新宋体" w:hAnsi="新宋体" w:eastAsia="新宋体" w:cs="新宋体"/>
          <w:color w:val="auto"/>
          <w:sz w:val="22"/>
          <w:szCs w:val="22"/>
          <w:highlight w:val="none"/>
          <w:lang w:eastAsia="zh-CN"/>
        </w:rPr>
        <w:t>。</w:t>
      </w:r>
    </w:p>
    <w:p w14:paraId="2C282826">
      <w:pPr>
        <w:spacing w:line="420" w:lineRule="exact"/>
        <w:ind w:right="-21" w:rightChars="-10" w:firstLine="440" w:firstLineChars="200"/>
        <w:rPr>
          <w:rFonts w:hint="eastAsia" w:ascii="新宋体" w:hAnsi="新宋体" w:eastAsia="新宋体" w:cs="新宋体"/>
          <w:color w:val="auto"/>
          <w:sz w:val="22"/>
          <w:szCs w:val="22"/>
          <w:highlight w:val="none"/>
          <w:lang w:eastAsia="zh-CN"/>
        </w:rPr>
      </w:pPr>
      <w:r>
        <w:rPr>
          <w:rFonts w:hint="eastAsia" w:ascii="宋体" w:hAnsi="宋体" w:cs="Arial"/>
          <w:b w:val="0"/>
          <w:bCs/>
          <w:color w:val="auto"/>
          <w:sz w:val="22"/>
          <w:szCs w:val="22"/>
          <w:highlight w:val="none"/>
          <w:lang w:val="en-US" w:eastAsia="zh-CN"/>
        </w:rPr>
        <w:t>④</w:t>
      </w:r>
      <w:r>
        <w:rPr>
          <w:rFonts w:hint="eastAsia" w:ascii="新宋体" w:hAnsi="新宋体" w:eastAsia="新宋体" w:cs="新宋体"/>
          <w:color w:val="auto"/>
          <w:sz w:val="22"/>
          <w:szCs w:val="22"/>
          <w:highlight w:val="none"/>
          <w:lang w:eastAsia="zh-CN"/>
        </w:rPr>
        <w:t>土方消纳岗亭100M光纤网络接入，</w:t>
      </w:r>
      <w:r>
        <w:rPr>
          <w:rFonts w:hint="eastAsia" w:ascii="新宋体" w:hAnsi="新宋体" w:eastAsia="新宋体" w:cs="新宋体"/>
          <w:color w:val="auto"/>
          <w:sz w:val="22"/>
          <w:szCs w:val="22"/>
          <w:highlight w:val="none"/>
          <w:lang w:val="en-US" w:eastAsia="zh-CN"/>
        </w:rPr>
        <w:t>并保持日常的使用</w:t>
      </w:r>
      <w:r>
        <w:rPr>
          <w:rFonts w:hint="eastAsia" w:ascii="新宋体" w:hAnsi="新宋体" w:eastAsia="新宋体" w:cs="新宋体"/>
          <w:color w:val="auto"/>
          <w:sz w:val="22"/>
          <w:szCs w:val="22"/>
          <w:highlight w:val="none"/>
          <w:lang w:eastAsia="zh-CN"/>
        </w:rPr>
        <w:t>。</w:t>
      </w:r>
    </w:p>
    <w:p w14:paraId="5600CB12">
      <w:pPr>
        <w:pStyle w:val="2"/>
        <w:rPr>
          <w:rFonts w:hint="eastAsia"/>
          <w:color w:val="auto"/>
          <w:highlight w:val="none"/>
          <w:lang w:val="en-US" w:eastAsia="zh-CN"/>
        </w:rPr>
      </w:pPr>
      <w:r>
        <w:rPr>
          <w:rFonts w:hint="eastAsia" w:ascii="宋体" w:hAnsi="宋体" w:cs="Arial"/>
          <w:b w:val="0"/>
          <w:bCs/>
          <w:color w:val="auto"/>
          <w:sz w:val="22"/>
          <w:szCs w:val="22"/>
          <w:highlight w:val="none"/>
          <w:lang w:eastAsia="zh-CN"/>
        </w:rPr>
        <w:t>土方消纳岗亭接入省主管部门的平台及100M光纤费用按照实际发生结算。</w:t>
      </w:r>
    </w:p>
    <w:p w14:paraId="07833C06">
      <w:pPr>
        <w:spacing w:line="420" w:lineRule="exact"/>
        <w:ind w:right="-21" w:rightChars="-10" w:firstLine="440" w:firstLineChars="200"/>
        <w:rPr>
          <w:rFonts w:hint="eastAsia" w:ascii="宋体" w:hAnsi="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⑤</w:t>
      </w:r>
      <w:r>
        <w:rPr>
          <w:rFonts w:hint="eastAsia" w:ascii="宋体" w:hAnsi="宋体" w:cs="Arial"/>
          <w:b w:val="0"/>
          <w:bCs/>
          <w:color w:val="auto"/>
          <w:sz w:val="22"/>
          <w:szCs w:val="22"/>
          <w:highlight w:val="none"/>
          <w:lang w:eastAsia="zh-CN"/>
        </w:rPr>
        <w:t>地磅检验费用</w:t>
      </w:r>
      <w:r>
        <w:rPr>
          <w:rFonts w:hint="eastAsia" w:ascii="宋体" w:hAnsi="宋体" w:cs="Arial"/>
          <w:b w:val="0"/>
          <w:bCs/>
          <w:color w:val="auto"/>
          <w:sz w:val="22"/>
          <w:szCs w:val="22"/>
          <w:highlight w:val="none"/>
          <w:lang w:val="en-US" w:eastAsia="zh-CN"/>
        </w:rPr>
        <w:t>及地磅改迁费用</w:t>
      </w:r>
      <w:r>
        <w:rPr>
          <w:rFonts w:hint="eastAsia" w:ascii="宋体" w:hAnsi="宋体" w:cs="Arial"/>
          <w:b w:val="0"/>
          <w:bCs/>
          <w:color w:val="auto"/>
          <w:sz w:val="22"/>
          <w:szCs w:val="22"/>
          <w:highlight w:val="none"/>
          <w:lang w:eastAsia="zh-CN"/>
        </w:rPr>
        <w:t>:暂按8台地磅,每台地磅每季度须委托专业机构对地磅设备进行一次检验(出具检验报告)，8台地磅检验总数共32次，结算按实际</w:t>
      </w:r>
      <w:r>
        <w:rPr>
          <w:rFonts w:hint="eastAsia" w:ascii="宋体" w:hAnsi="宋体" w:cs="Arial"/>
          <w:b w:val="0"/>
          <w:bCs/>
          <w:color w:val="auto"/>
          <w:sz w:val="22"/>
          <w:szCs w:val="22"/>
          <w:highlight w:val="none"/>
          <w:lang w:val="en-US" w:eastAsia="zh-CN"/>
        </w:rPr>
        <w:t>检验</w:t>
      </w:r>
      <w:r>
        <w:rPr>
          <w:rFonts w:hint="eastAsia" w:ascii="宋体" w:hAnsi="宋体" w:cs="Arial"/>
          <w:b w:val="0"/>
          <w:bCs/>
          <w:color w:val="auto"/>
          <w:sz w:val="22"/>
          <w:szCs w:val="22"/>
          <w:highlight w:val="none"/>
          <w:lang w:eastAsia="zh-CN"/>
        </w:rPr>
        <w:t>次数结算。</w:t>
      </w:r>
      <w:r>
        <w:rPr>
          <w:rFonts w:hint="eastAsia" w:ascii="宋体" w:hAnsi="宋体" w:cs="Arial"/>
          <w:b w:val="0"/>
          <w:bCs/>
          <w:color w:val="auto"/>
          <w:sz w:val="22"/>
          <w:szCs w:val="22"/>
          <w:highlight w:val="none"/>
          <w:lang w:val="en-US" w:eastAsia="zh-CN"/>
        </w:rPr>
        <w:t>地磅改迁：根据采购人需要，将现有地磅迁改至其他区域，包括但不限于迁改过程中发生的地磅拆除、运输、安装地磅安装、新址的挖土方、钢筋混凝土工程等全部建设费用。</w:t>
      </w:r>
    </w:p>
    <w:p w14:paraId="75081B90">
      <w:pPr>
        <w:spacing w:line="420" w:lineRule="exact"/>
        <w:ind w:right="-21" w:rightChars="-10" w:firstLine="440" w:firstLineChars="200"/>
        <w:rPr>
          <w:rFonts w:hint="eastAsia" w:ascii="宋体" w:hAnsi="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⑥道路维修机械台班费用：暂估每年60个台班，挖机规格需200型及以上或提供满足采购人工作需求，费用包括但不限于挖机租赁费、人员、燃料等所有费用，投标人在综合报价中考虑。台班计算要求：满8小时计一个台班数，4-6小时计半个台班。</w:t>
      </w:r>
    </w:p>
    <w:p w14:paraId="76F6A1A7">
      <w:pPr>
        <w:spacing w:line="420" w:lineRule="exact"/>
        <w:ind w:right="-21" w:rightChars="-10" w:firstLine="440" w:firstLineChars="200"/>
        <w:rPr>
          <w:rFonts w:hint="default" w:ascii="宋体" w:hAnsi="宋体" w:cs="Arial"/>
          <w:b w:val="0"/>
          <w:bCs/>
          <w:color w:val="auto"/>
          <w:sz w:val="22"/>
          <w:szCs w:val="22"/>
          <w:highlight w:val="none"/>
          <w:lang w:val="en-US" w:eastAsia="zh-CN"/>
        </w:rPr>
      </w:pPr>
      <w:r>
        <w:rPr>
          <w:rFonts w:hint="eastAsia" w:ascii="宋体" w:hAnsi="宋体" w:cs="Arial"/>
          <w:b w:val="0"/>
          <w:bCs/>
          <w:color w:val="auto"/>
          <w:sz w:val="22"/>
          <w:szCs w:val="22"/>
          <w:highlight w:val="none"/>
          <w:lang w:val="en-US" w:eastAsia="zh-CN"/>
        </w:rPr>
        <w:t>⑦洒水车工作费用：投标人须配置不少于1辆车专项用于本项目路面洒水服务（加装gps，确保轨迹实时可查），平均每月按30天计算，需洒水至少4次/日，除日常洒水外还包括：岗亭出入口及附近部分道路的洒水清洗；（2）采购人要求需要开展临时的洒水工作。洒水车车况需满足项目现行管理模式以及围区道路实际情况。</w:t>
      </w:r>
    </w:p>
    <w:p w14:paraId="218BF915">
      <w:pPr>
        <w:spacing w:line="420" w:lineRule="exact"/>
        <w:ind w:right="-21" w:rightChars="-10"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2</w:t>
      </w:r>
      <w:r>
        <w:rPr>
          <w:rFonts w:hint="eastAsia" w:ascii="宋体" w:hAnsi="宋体" w:cs="宋体"/>
          <w:bCs/>
          <w:color w:val="auto"/>
          <w:kern w:val="0"/>
          <w:sz w:val="22"/>
          <w:szCs w:val="22"/>
          <w:highlight w:val="none"/>
        </w:rPr>
        <w:t>.至少提前1周（合同签订之日前溯）介入围区安保工作并与现有的安保公司做好交接工作。各投标人在投标文件技术资信部分给出详细的交接方案。</w:t>
      </w:r>
    </w:p>
    <w:p w14:paraId="301BEFD5">
      <w:pPr>
        <w:spacing w:line="420" w:lineRule="exact"/>
        <w:ind w:right="-21" w:rightChars="-10" w:firstLine="440" w:firstLineChars="200"/>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lang w:val="en-US" w:eastAsia="zh-CN"/>
        </w:rPr>
        <w:t>3</w:t>
      </w:r>
      <w:r>
        <w:rPr>
          <w:rFonts w:hint="eastAsia" w:ascii="宋体" w:hAnsi="宋体" w:cs="宋体"/>
          <w:bCs/>
          <w:color w:val="auto"/>
          <w:kern w:val="0"/>
          <w:sz w:val="22"/>
          <w:szCs w:val="22"/>
          <w:highlight w:val="none"/>
        </w:rPr>
        <w:t>.项目负责人或安保队长的职责包括与</w:t>
      </w:r>
      <w:r>
        <w:rPr>
          <w:rFonts w:hint="eastAsia" w:ascii="宋体" w:hAnsi="宋体" w:cs="宋体"/>
          <w:bCs/>
          <w:color w:val="auto"/>
          <w:kern w:val="0"/>
          <w:sz w:val="22"/>
          <w:szCs w:val="22"/>
          <w:highlight w:val="none"/>
          <w:lang w:val="en-US" w:eastAsia="zh-CN"/>
        </w:rPr>
        <w:t>采购人</w:t>
      </w:r>
      <w:r>
        <w:rPr>
          <w:rFonts w:hint="eastAsia" w:ascii="宋体" w:hAnsi="宋体" w:cs="宋体"/>
          <w:bCs/>
          <w:color w:val="auto"/>
          <w:kern w:val="0"/>
          <w:sz w:val="22"/>
          <w:szCs w:val="22"/>
          <w:highlight w:val="none"/>
        </w:rPr>
        <w:t>及龙湾区公安分局沟通对接安保服务过程中所可能发生的各种突发事项。</w:t>
      </w:r>
    </w:p>
    <w:p w14:paraId="3271B87A">
      <w:pPr>
        <w:spacing w:line="420" w:lineRule="exact"/>
        <w:ind w:right="-21" w:rightChars="-10" w:firstLine="440" w:firstLineChars="200"/>
        <w:rPr>
          <w:rFonts w:hint="eastAsia" w:ascii="宋体" w:hAnsi="宋体" w:cs="Arial"/>
          <w:b w:val="0"/>
          <w:bCs/>
          <w:color w:val="auto"/>
          <w:sz w:val="22"/>
          <w:szCs w:val="22"/>
          <w:highlight w:val="none"/>
        </w:rPr>
      </w:pPr>
      <w:r>
        <w:rPr>
          <w:rFonts w:hint="eastAsia" w:ascii="宋体" w:hAnsi="宋体" w:cs="宋体"/>
          <w:b w:val="0"/>
          <w:bCs/>
          <w:color w:val="auto"/>
          <w:kern w:val="0"/>
          <w:sz w:val="22"/>
          <w:szCs w:val="22"/>
          <w:highlight w:val="none"/>
          <w:lang w:val="en-US" w:eastAsia="zh-CN"/>
        </w:rPr>
        <w:t>4.</w:t>
      </w:r>
      <w:r>
        <w:rPr>
          <w:rFonts w:hint="eastAsia" w:ascii="宋体" w:hAnsi="宋体" w:cs="Arial"/>
          <w:b w:val="0"/>
          <w:bCs/>
          <w:color w:val="auto"/>
          <w:sz w:val="22"/>
          <w:szCs w:val="22"/>
          <w:highlight w:val="none"/>
        </w:rPr>
        <w:t>投标人须配置不少于</w:t>
      </w:r>
      <w:r>
        <w:rPr>
          <w:rFonts w:hint="eastAsia" w:ascii="宋体" w:hAnsi="宋体" w:cs="Arial"/>
          <w:b w:val="0"/>
          <w:bCs/>
          <w:color w:val="auto"/>
          <w:sz w:val="22"/>
          <w:szCs w:val="22"/>
          <w:highlight w:val="none"/>
          <w:lang w:val="en-US" w:eastAsia="zh-CN"/>
        </w:rPr>
        <w:t>1</w:t>
      </w:r>
      <w:r>
        <w:rPr>
          <w:rFonts w:hint="eastAsia" w:ascii="宋体" w:hAnsi="宋体" w:cs="Arial"/>
          <w:b w:val="0"/>
          <w:bCs/>
          <w:color w:val="auto"/>
          <w:sz w:val="22"/>
          <w:szCs w:val="22"/>
          <w:highlight w:val="none"/>
        </w:rPr>
        <w:t>辆车专项用于本项目巡查（加装gps，确保轨迹实时可查）</w:t>
      </w:r>
      <w:r>
        <w:rPr>
          <w:rFonts w:hint="eastAsia" w:ascii="宋体" w:hAnsi="宋体" w:cs="Arial"/>
          <w:b w:val="0"/>
          <w:bCs/>
          <w:color w:val="auto"/>
          <w:sz w:val="22"/>
          <w:szCs w:val="22"/>
          <w:highlight w:val="none"/>
          <w:lang w:val="en-US" w:eastAsia="zh-CN"/>
        </w:rPr>
        <w:t>，车况</w:t>
      </w:r>
      <w:r>
        <w:rPr>
          <w:rFonts w:hint="eastAsia" w:ascii="宋体" w:hAnsi="宋体" w:cs="Arial"/>
          <w:b w:val="0"/>
          <w:bCs/>
          <w:color w:val="auto"/>
          <w:sz w:val="22"/>
          <w:szCs w:val="22"/>
          <w:highlight w:val="none"/>
        </w:rPr>
        <w:t>需满足</w:t>
      </w:r>
      <w:r>
        <w:rPr>
          <w:rFonts w:hint="eastAsia" w:ascii="宋体" w:hAnsi="宋体" w:cs="Arial"/>
          <w:b w:val="0"/>
          <w:bCs/>
          <w:color w:val="auto"/>
          <w:sz w:val="22"/>
          <w:szCs w:val="22"/>
          <w:highlight w:val="none"/>
          <w:lang w:eastAsia="zh-CN"/>
        </w:rPr>
        <w:t>项目</w:t>
      </w:r>
      <w:r>
        <w:rPr>
          <w:rFonts w:hint="eastAsia" w:ascii="宋体" w:hAnsi="宋体" w:cs="Arial"/>
          <w:b w:val="0"/>
          <w:bCs/>
          <w:color w:val="auto"/>
          <w:sz w:val="22"/>
          <w:szCs w:val="22"/>
          <w:highlight w:val="none"/>
        </w:rPr>
        <w:t>现行管理模式以及围区道路实际情况</w:t>
      </w:r>
      <w:r>
        <w:rPr>
          <w:rFonts w:hint="eastAsia" w:ascii="宋体" w:hAnsi="宋体" w:cs="Arial"/>
          <w:b w:val="0"/>
          <w:bCs/>
          <w:color w:val="auto"/>
          <w:sz w:val="22"/>
          <w:szCs w:val="22"/>
          <w:highlight w:val="none"/>
          <w:lang w:eastAsia="zh-CN"/>
        </w:rPr>
        <w:t>（</w:t>
      </w:r>
      <w:r>
        <w:rPr>
          <w:rFonts w:hint="eastAsia" w:ascii="宋体" w:hAnsi="宋体" w:cs="Arial"/>
          <w:b w:val="0"/>
          <w:bCs/>
          <w:color w:val="auto"/>
          <w:sz w:val="22"/>
          <w:szCs w:val="22"/>
          <w:highlight w:val="none"/>
          <w:lang w:val="en-US" w:eastAsia="zh-CN"/>
        </w:rPr>
        <w:t>优先考虑皮卡车</w:t>
      </w:r>
      <w:r>
        <w:rPr>
          <w:rFonts w:hint="eastAsia" w:ascii="宋体" w:hAnsi="宋体" w:cs="Arial"/>
          <w:b w:val="0"/>
          <w:bCs/>
          <w:color w:val="auto"/>
          <w:sz w:val="22"/>
          <w:szCs w:val="22"/>
          <w:highlight w:val="none"/>
          <w:lang w:eastAsia="zh-CN"/>
        </w:rPr>
        <w:t>）</w:t>
      </w:r>
      <w:r>
        <w:rPr>
          <w:rFonts w:hint="eastAsia" w:ascii="宋体" w:hAnsi="宋体" w:cs="Arial"/>
          <w:b w:val="0"/>
          <w:bCs/>
          <w:color w:val="auto"/>
          <w:sz w:val="22"/>
          <w:szCs w:val="22"/>
          <w:highlight w:val="none"/>
        </w:rPr>
        <w:t>，如车况较差，则需按照</w:t>
      </w:r>
      <w:r>
        <w:rPr>
          <w:rFonts w:hint="eastAsia" w:ascii="宋体" w:hAnsi="宋体" w:cs="Arial"/>
          <w:b w:val="0"/>
          <w:bCs/>
          <w:color w:val="auto"/>
          <w:sz w:val="22"/>
          <w:szCs w:val="22"/>
          <w:highlight w:val="none"/>
          <w:lang w:eastAsia="zh-CN"/>
        </w:rPr>
        <w:t>采购人</w:t>
      </w:r>
      <w:r>
        <w:rPr>
          <w:rFonts w:hint="eastAsia" w:ascii="宋体" w:hAnsi="宋体" w:cs="Arial"/>
          <w:b w:val="0"/>
          <w:bCs/>
          <w:color w:val="auto"/>
          <w:sz w:val="22"/>
          <w:szCs w:val="22"/>
          <w:highlight w:val="none"/>
        </w:rPr>
        <w:t>的要求对车辆进行更换（提升）</w:t>
      </w:r>
      <w:r>
        <w:rPr>
          <w:rFonts w:hint="eastAsia" w:ascii="宋体" w:hAnsi="宋体" w:cs="Arial"/>
          <w:b w:val="0"/>
          <w:bCs/>
          <w:color w:val="auto"/>
          <w:sz w:val="22"/>
          <w:szCs w:val="22"/>
          <w:highlight w:val="none"/>
          <w:lang w:eastAsia="zh-CN"/>
        </w:rPr>
        <w:t>，</w:t>
      </w:r>
      <w:r>
        <w:rPr>
          <w:rFonts w:hint="eastAsia" w:ascii="宋体" w:hAnsi="宋体" w:cs="Arial"/>
          <w:b w:val="0"/>
          <w:bCs/>
          <w:color w:val="auto"/>
          <w:sz w:val="22"/>
          <w:szCs w:val="22"/>
          <w:highlight w:val="none"/>
          <w:lang w:val="en-US" w:eastAsia="zh-CN"/>
        </w:rPr>
        <w:t>费用包含在本项目投标总价中，投标报价不另行单列</w:t>
      </w:r>
      <w:r>
        <w:rPr>
          <w:rFonts w:hint="eastAsia" w:ascii="宋体" w:hAnsi="宋体" w:cs="Arial"/>
          <w:b w:val="0"/>
          <w:bCs/>
          <w:color w:val="auto"/>
          <w:sz w:val="22"/>
          <w:szCs w:val="22"/>
          <w:highlight w:val="none"/>
          <w:lang w:eastAsia="zh-CN"/>
        </w:rPr>
        <w:t>。</w:t>
      </w:r>
    </w:p>
    <w:p w14:paraId="5BE5EEB6">
      <w:pPr>
        <w:spacing w:line="420" w:lineRule="exact"/>
        <w:ind w:right="-21" w:rightChars="-10" w:firstLine="440" w:firstLineChars="200"/>
        <w:rPr>
          <w:rFonts w:hint="default" w:ascii="宋体" w:hAnsi="宋体" w:eastAsia="宋体" w:cs="宋体"/>
          <w:bCs/>
          <w:color w:val="auto"/>
          <w:kern w:val="0"/>
          <w:sz w:val="22"/>
          <w:szCs w:val="22"/>
          <w:highlight w:val="none"/>
          <w:lang w:val="en-US" w:eastAsia="zh-CN"/>
        </w:rPr>
      </w:pPr>
      <w:r>
        <w:rPr>
          <w:rFonts w:hint="eastAsia" w:ascii="宋体" w:hAnsi="宋体" w:cs="Arial"/>
          <w:b w:val="0"/>
          <w:bCs/>
          <w:color w:val="auto"/>
          <w:sz w:val="22"/>
          <w:szCs w:val="22"/>
          <w:highlight w:val="none"/>
          <w:lang w:val="en-US" w:eastAsia="zh-CN"/>
        </w:rPr>
        <w:t>6.采购人仅提供安保人员值班室，人员食宿等完成项目合同工作内容的一切费用由投标人自理</w:t>
      </w:r>
      <w:r>
        <w:rPr>
          <w:rFonts w:hint="eastAsia" w:ascii="宋体" w:hAnsi="宋体" w:cs="宋体"/>
          <w:bCs/>
          <w:color w:val="auto"/>
          <w:kern w:val="0"/>
          <w:sz w:val="22"/>
          <w:szCs w:val="22"/>
          <w:highlight w:val="none"/>
          <w:lang w:val="en-US" w:eastAsia="zh-CN"/>
        </w:rPr>
        <w:t>。</w:t>
      </w:r>
    </w:p>
    <w:p w14:paraId="308F7EB2">
      <w:pPr>
        <w:pStyle w:val="3"/>
        <w:keepLines/>
        <w:spacing w:before="120" w:after="120"/>
        <w:rPr>
          <w:rFonts w:ascii="新宋体" w:hAnsi="新宋体" w:eastAsia="新宋体" w:cs="新宋体"/>
          <w:bCs w:val="0"/>
          <w:color w:val="auto"/>
          <w:kern w:val="44"/>
          <w:sz w:val="32"/>
          <w:szCs w:val="32"/>
          <w:highlight w:val="none"/>
        </w:rPr>
      </w:pPr>
      <w:r>
        <w:rPr>
          <w:rFonts w:hint="eastAsia" w:ascii="宋体" w:hAnsi="宋体" w:cs="楷体"/>
          <w:color w:val="auto"/>
          <w:sz w:val="36"/>
          <w:szCs w:val="36"/>
          <w:highlight w:val="none"/>
        </w:rPr>
        <w:br w:type="page"/>
      </w:r>
      <w:bookmarkStart w:id="192" w:name="_Toc14399"/>
      <w:r>
        <w:rPr>
          <w:rFonts w:hint="eastAsia" w:ascii="新宋体" w:hAnsi="新宋体" w:eastAsia="新宋体" w:cs="新宋体"/>
          <w:bCs w:val="0"/>
          <w:color w:val="auto"/>
          <w:kern w:val="44"/>
          <w:sz w:val="32"/>
          <w:szCs w:val="32"/>
          <w:highlight w:val="none"/>
        </w:rPr>
        <w:t>第五部分   评标原则及方法</w:t>
      </w:r>
      <w:bookmarkEnd w:id="190"/>
      <w:bookmarkEnd w:id="191"/>
      <w:bookmarkEnd w:id="192"/>
    </w:p>
    <w:p w14:paraId="058FC2BC">
      <w:pPr>
        <w:pStyle w:val="11"/>
        <w:overflowPunct w:val="0"/>
        <w:spacing w:after="0" w:line="440" w:lineRule="exact"/>
        <w:rPr>
          <w:rFonts w:ascii="宋体" w:hAnsi="宋体" w:cs="楷体"/>
          <w:b/>
          <w:color w:val="auto"/>
          <w:sz w:val="22"/>
          <w:szCs w:val="22"/>
          <w:highlight w:val="none"/>
        </w:rPr>
      </w:pPr>
      <w:bookmarkStart w:id="193" w:name="_Toc221356961"/>
      <w:bookmarkStart w:id="194" w:name="_Toc221356898"/>
      <w:r>
        <w:rPr>
          <w:rFonts w:hint="eastAsia" w:ascii="宋体" w:hAnsi="宋体" w:cs="楷体"/>
          <w:b/>
          <w:color w:val="auto"/>
          <w:sz w:val="22"/>
          <w:szCs w:val="22"/>
          <w:highlight w:val="none"/>
        </w:rPr>
        <w:t>一. 总  则</w:t>
      </w:r>
      <w:bookmarkEnd w:id="193"/>
      <w:bookmarkEnd w:id="194"/>
    </w:p>
    <w:p w14:paraId="72C3AEF6">
      <w:pPr>
        <w:overflowPunct w:val="0"/>
        <w:spacing w:line="440" w:lineRule="exact"/>
        <w:ind w:firstLine="440" w:firstLineChars="200"/>
        <w:rPr>
          <w:rFonts w:ascii="宋体" w:hAnsi="宋体" w:cs="楷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r>
        <w:rPr>
          <w:rFonts w:hint="eastAsia" w:ascii="宋体" w:hAnsi="宋体" w:cs="楷体"/>
          <w:color w:val="auto"/>
          <w:sz w:val="22"/>
          <w:szCs w:val="22"/>
          <w:highlight w:val="none"/>
        </w:rPr>
        <w:t>。</w:t>
      </w:r>
    </w:p>
    <w:p w14:paraId="3879DA95">
      <w:pPr>
        <w:pStyle w:val="11"/>
        <w:overflowPunct w:val="0"/>
        <w:spacing w:after="0" w:line="440" w:lineRule="exact"/>
        <w:rPr>
          <w:rFonts w:ascii="宋体" w:hAnsi="宋体" w:cs="楷体"/>
          <w:b/>
          <w:color w:val="auto"/>
          <w:sz w:val="22"/>
          <w:szCs w:val="22"/>
          <w:highlight w:val="none"/>
        </w:rPr>
      </w:pPr>
      <w:bookmarkStart w:id="195" w:name="_Toc221356899"/>
      <w:bookmarkStart w:id="196" w:name="_Toc221356962"/>
      <w:r>
        <w:rPr>
          <w:rFonts w:hint="eastAsia" w:ascii="宋体" w:hAnsi="宋体" w:cs="楷体"/>
          <w:b/>
          <w:color w:val="auto"/>
          <w:sz w:val="22"/>
          <w:szCs w:val="22"/>
          <w:highlight w:val="none"/>
        </w:rPr>
        <w:t>二、评标组织</w:t>
      </w:r>
      <w:bookmarkEnd w:id="195"/>
      <w:bookmarkEnd w:id="196"/>
    </w:p>
    <w:p w14:paraId="0F84B537">
      <w:pPr>
        <w:overflowPunct w:val="0"/>
        <w:spacing w:line="440" w:lineRule="exact"/>
        <w:ind w:firstLine="440" w:firstLineChars="200"/>
        <w:rPr>
          <w:rFonts w:ascii="宋体" w:hAnsi="宋体" w:cs="楷体"/>
          <w:color w:val="auto"/>
          <w:sz w:val="22"/>
          <w:szCs w:val="22"/>
          <w:highlight w:val="none"/>
        </w:rPr>
      </w:pPr>
      <w:r>
        <w:rPr>
          <w:rFonts w:hint="eastAsia" w:ascii="宋体" w:hAnsi="宋体" w:cs="宋体"/>
          <w:color w:val="auto"/>
          <w:sz w:val="22"/>
          <w:szCs w:val="22"/>
          <w:highlight w:val="none"/>
        </w:rPr>
        <w:t>评标工作由</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依法组建的评标委员会负责，评标全过程由有关部门指导监督</w:t>
      </w:r>
      <w:r>
        <w:rPr>
          <w:rFonts w:hint="eastAsia" w:ascii="宋体" w:hAnsi="宋体" w:cs="楷体"/>
          <w:color w:val="auto"/>
          <w:sz w:val="22"/>
          <w:szCs w:val="22"/>
          <w:highlight w:val="none"/>
        </w:rPr>
        <w:t>。</w:t>
      </w:r>
    </w:p>
    <w:p w14:paraId="36006B4E">
      <w:pPr>
        <w:pStyle w:val="11"/>
        <w:overflowPunct w:val="0"/>
        <w:spacing w:after="0" w:line="440" w:lineRule="exact"/>
        <w:rPr>
          <w:rFonts w:ascii="宋体" w:hAnsi="宋体" w:cs="楷体"/>
          <w:b/>
          <w:color w:val="auto"/>
          <w:sz w:val="22"/>
          <w:szCs w:val="22"/>
          <w:highlight w:val="none"/>
        </w:rPr>
      </w:pPr>
      <w:bookmarkStart w:id="197" w:name="_Toc221356963"/>
      <w:bookmarkStart w:id="198" w:name="_Toc221356900"/>
      <w:r>
        <w:rPr>
          <w:rFonts w:hint="eastAsia" w:ascii="宋体" w:hAnsi="宋体" w:cs="楷体"/>
          <w:b/>
          <w:color w:val="auto"/>
          <w:sz w:val="22"/>
          <w:szCs w:val="22"/>
          <w:highlight w:val="none"/>
        </w:rPr>
        <w:t>三、评标程序</w:t>
      </w:r>
      <w:bookmarkEnd w:id="197"/>
      <w:bookmarkEnd w:id="198"/>
    </w:p>
    <w:p w14:paraId="6149233A">
      <w:pPr>
        <w:overflowPunct w:val="0"/>
        <w:spacing w:line="440" w:lineRule="exact"/>
        <w:ind w:firstLine="440" w:firstLineChars="200"/>
        <w:rPr>
          <w:rFonts w:ascii="宋体" w:hAnsi="宋体" w:cs="楷体"/>
          <w:color w:val="auto"/>
          <w:sz w:val="22"/>
          <w:szCs w:val="22"/>
          <w:highlight w:val="none"/>
        </w:rPr>
      </w:pPr>
      <w:r>
        <w:rPr>
          <w:rFonts w:hint="eastAsia" w:ascii="宋体" w:hAnsi="宋体" w:cs="宋体"/>
          <w:color w:val="auto"/>
          <w:sz w:val="22"/>
          <w:szCs w:val="22"/>
          <w:highlight w:val="none"/>
        </w:rPr>
        <w:t>开标后，</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或招标代理机构对各投标人的资格进行审查；然后评标委员会对合格投标人的进行符合性审查，按照采购文件中规定的评标方法和标准，对符合性审查合格的投标文件进行商务和技术评估，综合比较与评价</w:t>
      </w:r>
      <w:r>
        <w:rPr>
          <w:rFonts w:hint="eastAsia" w:ascii="宋体" w:hAnsi="宋体" w:cs="楷体"/>
          <w:color w:val="auto"/>
          <w:sz w:val="22"/>
          <w:szCs w:val="22"/>
          <w:highlight w:val="none"/>
        </w:rPr>
        <w:t>。</w:t>
      </w:r>
    </w:p>
    <w:p w14:paraId="3ED9024E">
      <w:pPr>
        <w:pStyle w:val="11"/>
        <w:overflowPunct w:val="0"/>
        <w:spacing w:after="0" w:line="440" w:lineRule="exact"/>
        <w:rPr>
          <w:rFonts w:ascii="宋体" w:hAnsi="宋体" w:cs="楷体"/>
          <w:b/>
          <w:color w:val="auto"/>
          <w:sz w:val="22"/>
          <w:szCs w:val="22"/>
          <w:highlight w:val="none"/>
        </w:rPr>
      </w:pPr>
      <w:bookmarkStart w:id="199" w:name="_Toc221356901"/>
      <w:bookmarkStart w:id="200" w:name="_Toc221356964"/>
      <w:r>
        <w:rPr>
          <w:rFonts w:hint="eastAsia" w:ascii="宋体" w:hAnsi="宋体" w:cs="楷体"/>
          <w:b/>
          <w:color w:val="auto"/>
          <w:sz w:val="22"/>
          <w:szCs w:val="22"/>
          <w:highlight w:val="none"/>
        </w:rPr>
        <w:t>四、评标办法</w:t>
      </w:r>
      <w:bookmarkEnd w:id="199"/>
      <w:bookmarkEnd w:id="200"/>
    </w:p>
    <w:p w14:paraId="59AE492A">
      <w:pPr>
        <w:overflowPunct w:val="0"/>
        <w:spacing w:line="440" w:lineRule="exact"/>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本次招标采用百分制综合评分法，其中技术资信部分</w:t>
      </w:r>
      <w:r>
        <w:rPr>
          <w:rFonts w:hint="eastAsia" w:ascii="宋体" w:hAnsi="宋体" w:cs="楷体"/>
          <w:color w:val="auto"/>
          <w:sz w:val="22"/>
          <w:szCs w:val="22"/>
          <w:highlight w:val="none"/>
          <w:lang w:val="en-US" w:eastAsia="zh-CN"/>
        </w:rPr>
        <w:t>80</w:t>
      </w:r>
      <w:r>
        <w:rPr>
          <w:rFonts w:hint="eastAsia" w:ascii="宋体" w:hAnsi="宋体" w:cs="楷体"/>
          <w:color w:val="auto"/>
          <w:sz w:val="22"/>
          <w:szCs w:val="22"/>
          <w:highlight w:val="none"/>
        </w:rPr>
        <w:t>分，商务（报价）部分</w:t>
      </w:r>
      <w:r>
        <w:rPr>
          <w:rFonts w:hint="eastAsia" w:ascii="宋体" w:hAnsi="宋体" w:cs="楷体"/>
          <w:color w:val="auto"/>
          <w:sz w:val="22"/>
          <w:szCs w:val="22"/>
          <w:highlight w:val="none"/>
          <w:lang w:val="en-US" w:eastAsia="zh-CN"/>
        </w:rPr>
        <w:t>2</w:t>
      </w:r>
      <w:r>
        <w:rPr>
          <w:rFonts w:hint="eastAsia" w:ascii="宋体" w:hAnsi="宋体" w:cs="楷体"/>
          <w:color w:val="auto"/>
          <w:sz w:val="22"/>
          <w:szCs w:val="22"/>
          <w:highlight w:val="none"/>
        </w:rPr>
        <w:t>0分。即投标人最大限度地满足采购文件实质性要求的基础上，按照采购文件的各项因素进行综合评审，以综合得分排序推荐中标候选人的评标方法。</w:t>
      </w:r>
    </w:p>
    <w:p w14:paraId="0F39FCBF">
      <w:pPr>
        <w:pStyle w:val="11"/>
        <w:overflowPunct w:val="0"/>
        <w:spacing w:after="0" w:line="440" w:lineRule="exact"/>
        <w:rPr>
          <w:rFonts w:ascii="宋体" w:hAnsi="宋体" w:cs="楷体"/>
          <w:b/>
          <w:color w:val="auto"/>
          <w:sz w:val="22"/>
          <w:szCs w:val="22"/>
          <w:highlight w:val="none"/>
        </w:rPr>
      </w:pPr>
      <w:r>
        <w:rPr>
          <w:rFonts w:hint="eastAsia" w:ascii="宋体" w:hAnsi="宋体" w:cs="楷体"/>
          <w:b/>
          <w:color w:val="auto"/>
          <w:sz w:val="22"/>
          <w:szCs w:val="22"/>
          <w:highlight w:val="none"/>
        </w:rPr>
        <w:t>五、评分细则</w:t>
      </w:r>
    </w:p>
    <w:p w14:paraId="6D136B8B">
      <w:pPr>
        <w:overflowPunct w:val="0"/>
        <w:spacing w:line="440" w:lineRule="exact"/>
        <w:rPr>
          <w:rFonts w:ascii="宋体" w:hAnsi="宋体" w:cs="楷体"/>
          <w:b/>
          <w:bCs/>
          <w:color w:val="auto"/>
          <w:sz w:val="22"/>
          <w:szCs w:val="22"/>
          <w:highlight w:val="none"/>
        </w:rPr>
      </w:pPr>
      <w:r>
        <w:rPr>
          <w:rFonts w:hint="eastAsia" w:ascii="宋体" w:hAnsi="宋体" w:cs="楷体"/>
          <w:b/>
          <w:bCs/>
          <w:color w:val="auto"/>
          <w:sz w:val="22"/>
          <w:szCs w:val="22"/>
          <w:highlight w:val="none"/>
        </w:rPr>
        <w:t>1. 技术资信部分的评定（</w:t>
      </w:r>
      <w:r>
        <w:rPr>
          <w:rFonts w:hint="eastAsia" w:ascii="宋体" w:hAnsi="宋体" w:cs="楷体"/>
          <w:b/>
          <w:bCs/>
          <w:color w:val="auto"/>
          <w:sz w:val="22"/>
          <w:szCs w:val="22"/>
          <w:highlight w:val="none"/>
          <w:lang w:val="en-US" w:eastAsia="zh-CN"/>
        </w:rPr>
        <w:t>80</w:t>
      </w:r>
      <w:r>
        <w:rPr>
          <w:rFonts w:hint="eastAsia" w:ascii="宋体" w:hAnsi="宋体" w:cs="楷体"/>
          <w:b/>
          <w:bCs/>
          <w:color w:val="auto"/>
          <w:sz w:val="22"/>
          <w:szCs w:val="22"/>
          <w:highlight w:val="none"/>
        </w:rPr>
        <w:t>分）</w:t>
      </w:r>
    </w:p>
    <w:p w14:paraId="236C8C30">
      <w:pPr>
        <w:overflowPunct w:val="0"/>
        <w:spacing w:line="440" w:lineRule="exact"/>
        <w:ind w:firstLine="440" w:firstLineChars="200"/>
        <w:rPr>
          <w:rFonts w:ascii="宋体" w:hAnsi="宋体" w:cs="楷体"/>
          <w:color w:val="auto"/>
          <w:sz w:val="22"/>
          <w:szCs w:val="22"/>
          <w:highlight w:val="none"/>
        </w:rPr>
      </w:pPr>
      <w:r>
        <w:rPr>
          <w:rFonts w:hint="eastAsia" w:ascii="宋体" w:hAnsi="宋体" w:cs="楷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进行评审、独立打分，所有评委成员的评分算术平均值为该投标人技术资信部分的综合得分（四舍五入，保留小数点后二位）。</w:t>
      </w:r>
    </w:p>
    <w:tbl>
      <w:tblPr>
        <w:tblStyle w:val="29"/>
        <w:tblW w:w="49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881"/>
        <w:gridCol w:w="1148"/>
        <w:gridCol w:w="6009"/>
      </w:tblGrid>
      <w:tr w14:paraId="6CA95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0" w:type="pct"/>
            <w:noWrap w:val="0"/>
            <w:vAlign w:val="center"/>
          </w:tcPr>
          <w:p w14:paraId="251E0F3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 w:val="22"/>
                <w:szCs w:val="22"/>
                <w:highlight w:val="none"/>
              </w:rPr>
            </w:pPr>
            <w:bookmarkStart w:id="201" w:name="_Toc221356903"/>
            <w:bookmarkStart w:id="202" w:name="_Toc221356966"/>
            <w:r>
              <w:rPr>
                <w:rFonts w:hint="eastAsia" w:ascii="宋体" w:hAnsi="宋体" w:cs="宋体"/>
                <w:b/>
                <w:color w:val="auto"/>
                <w:sz w:val="22"/>
                <w:szCs w:val="22"/>
                <w:highlight w:val="none"/>
              </w:rPr>
              <w:t>序号</w:t>
            </w:r>
          </w:p>
        </w:tc>
        <w:tc>
          <w:tcPr>
            <w:tcW w:w="957" w:type="pct"/>
            <w:noWrap w:val="0"/>
            <w:vAlign w:val="center"/>
          </w:tcPr>
          <w:p w14:paraId="04FF019A">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项   目</w:t>
            </w:r>
          </w:p>
        </w:tc>
        <w:tc>
          <w:tcPr>
            <w:tcW w:w="584" w:type="pct"/>
            <w:noWrap w:val="0"/>
            <w:vAlign w:val="center"/>
          </w:tcPr>
          <w:p w14:paraId="2F35B77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分值范围</w:t>
            </w:r>
          </w:p>
        </w:tc>
        <w:tc>
          <w:tcPr>
            <w:tcW w:w="3057" w:type="pct"/>
            <w:noWrap w:val="0"/>
            <w:vAlign w:val="center"/>
          </w:tcPr>
          <w:p w14:paraId="59CD462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auto"/>
                <w:sz w:val="22"/>
                <w:szCs w:val="22"/>
                <w:highlight w:val="none"/>
              </w:rPr>
            </w:pPr>
            <w:r>
              <w:rPr>
                <w:rFonts w:hint="eastAsia" w:ascii="宋体" w:hAnsi="宋体" w:cs="宋体"/>
                <w:b/>
                <w:color w:val="auto"/>
                <w:sz w:val="22"/>
                <w:szCs w:val="22"/>
                <w:highlight w:val="none"/>
              </w:rPr>
              <w:t>备    注</w:t>
            </w:r>
          </w:p>
        </w:tc>
      </w:tr>
      <w:tr w14:paraId="2CB2D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00" w:type="pct"/>
            <w:noWrap w:val="0"/>
            <w:vAlign w:val="center"/>
          </w:tcPr>
          <w:p w14:paraId="28DB16E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57" w:type="pct"/>
            <w:noWrap w:val="0"/>
            <w:vAlign w:val="center"/>
          </w:tcPr>
          <w:p w14:paraId="14915AF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综合实力</w:t>
            </w:r>
          </w:p>
        </w:tc>
        <w:tc>
          <w:tcPr>
            <w:tcW w:w="584" w:type="pct"/>
            <w:noWrap w:val="0"/>
            <w:vAlign w:val="center"/>
          </w:tcPr>
          <w:p w14:paraId="2889C300">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0-6分</w:t>
            </w:r>
          </w:p>
        </w:tc>
        <w:tc>
          <w:tcPr>
            <w:tcW w:w="3057" w:type="pct"/>
            <w:noWrap w:val="0"/>
            <w:vAlign w:val="center"/>
          </w:tcPr>
          <w:p w14:paraId="6EE54A52">
            <w:pPr>
              <w:keepNext w:val="0"/>
              <w:keepLines w:val="0"/>
              <w:pageBreakBefore w:val="0"/>
              <w:kinsoku/>
              <w:wordWrap/>
              <w:overflowPunct/>
              <w:topLinePunct w:val="0"/>
              <w:autoSpaceDE/>
              <w:autoSpaceDN/>
              <w:bidi w:val="0"/>
              <w:adjustRightInd w:val="0"/>
              <w:snapToGrid w:val="0"/>
              <w:spacing w:line="312" w:lineRule="auto"/>
              <w:textAlignment w:val="auto"/>
              <w:rPr>
                <w:color w:val="auto"/>
                <w:sz w:val="21"/>
                <w:szCs w:val="21"/>
                <w:highlight w:val="none"/>
              </w:rPr>
            </w:pPr>
            <w:r>
              <w:rPr>
                <w:rFonts w:hint="eastAsia"/>
                <w:color w:val="auto"/>
                <w:sz w:val="21"/>
                <w:szCs w:val="21"/>
                <w:highlight w:val="none"/>
              </w:rPr>
              <w:t>根据投标人的企业资质、行业实力</w:t>
            </w:r>
            <w:r>
              <w:rPr>
                <w:rFonts w:hint="eastAsia"/>
                <w:color w:val="auto"/>
                <w:sz w:val="21"/>
                <w:szCs w:val="21"/>
                <w:highlight w:val="none"/>
                <w:lang w:eastAsia="zh-CN"/>
              </w:rPr>
              <w:t>、</w:t>
            </w:r>
            <w:r>
              <w:rPr>
                <w:rFonts w:hint="eastAsia"/>
                <w:color w:val="auto"/>
                <w:sz w:val="21"/>
                <w:szCs w:val="21"/>
                <w:highlight w:val="none"/>
                <w:lang w:val="en-US" w:eastAsia="zh-CN"/>
              </w:rPr>
              <w:t>财务状况、履约能力</w:t>
            </w:r>
            <w:r>
              <w:rPr>
                <w:rFonts w:hint="eastAsia"/>
                <w:color w:val="auto"/>
                <w:sz w:val="21"/>
                <w:szCs w:val="21"/>
                <w:highlight w:val="none"/>
              </w:rPr>
              <w:t>等情况进行量化评分。</w:t>
            </w: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rPr>
              <w:t>-4分 B档：3.9-3分 C档：2.9-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tc>
      </w:tr>
      <w:tr w14:paraId="30BAF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00" w:type="pct"/>
            <w:noWrap w:val="0"/>
            <w:vAlign w:val="center"/>
          </w:tcPr>
          <w:p w14:paraId="48DF59B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ascii="宋体" w:hAnsi="宋体" w:cs="宋体"/>
                <w:color w:val="auto"/>
                <w:sz w:val="21"/>
                <w:szCs w:val="21"/>
                <w:highlight w:val="none"/>
              </w:rPr>
              <w:t>2</w:t>
            </w:r>
          </w:p>
        </w:tc>
        <w:tc>
          <w:tcPr>
            <w:tcW w:w="957" w:type="pct"/>
            <w:noWrap w:val="0"/>
            <w:vAlign w:val="center"/>
          </w:tcPr>
          <w:p w14:paraId="56877E53">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企业荣誉</w:t>
            </w:r>
          </w:p>
        </w:tc>
        <w:tc>
          <w:tcPr>
            <w:tcW w:w="584" w:type="pct"/>
            <w:noWrap w:val="0"/>
            <w:vAlign w:val="center"/>
          </w:tcPr>
          <w:p w14:paraId="73974E41">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3057" w:type="pct"/>
            <w:noWrap w:val="0"/>
            <w:vAlign w:val="center"/>
          </w:tcPr>
          <w:p w14:paraId="166EC07A">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年1月1日以来，获得行政部门颁发的荣誉的，每个得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分，最高得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r>
      <w:tr w14:paraId="5F025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noWrap w:val="0"/>
            <w:vAlign w:val="center"/>
          </w:tcPr>
          <w:p w14:paraId="5A4B5AA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3</w:t>
            </w:r>
          </w:p>
        </w:tc>
        <w:tc>
          <w:tcPr>
            <w:tcW w:w="957" w:type="pct"/>
            <w:noWrap w:val="0"/>
            <w:vAlign w:val="center"/>
          </w:tcPr>
          <w:p w14:paraId="336D7251">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体系认证情况</w:t>
            </w:r>
          </w:p>
        </w:tc>
        <w:tc>
          <w:tcPr>
            <w:tcW w:w="584" w:type="pct"/>
            <w:noWrap w:val="0"/>
            <w:vAlign w:val="center"/>
          </w:tcPr>
          <w:p w14:paraId="00F1A37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c>
          <w:tcPr>
            <w:tcW w:w="3057" w:type="pct"/>
            <w:noWrap w:val="0"/>
            <w:vAlign w:val="center"/>
          </w:tcPr>
          <w:p w14:paraId="72E0CF90">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具有有效的质量管理体系认证证书得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分，具有有效的环境管理体系认证证书得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分，具有有效的职业健康安全管理体系认证证书得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分，具有</w:t>
            </w:r>
            <w:r>
              <w:rPr>
                <w:rFonts w:hint="eastAsia" w:ascii="宋体" w:hAnsi="宋体" w:eastAsia="宋体" w:cs="宋体"/>
                <w:color w:val="auto"/>
                <w:sz w:val="21"/>
                <w:szCs w:val="21"/>
                <w:highlight w:val="none"/>
                <w:lang w:eastAsia="zh-CN"/>
              </w:rPr>
              <w:t>有效的</w:t>
            </w:r>
            <w:r>
              <w:rPr>
                <w:rFonts w:hint="eastAsia" w:ascii="宋体" w:hAnsi="宋体" w:eastAsia="宋体" w:cs="宋体"/>
                <w:color w:val="auto"/>
                <w:sz w:val="21"/>
                <w:szCs w:val="21"/>
                <w:highlight w:val="none"/>
              </w:rPr>
              <w:t>保安服务认证五星级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认证证书得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w:t>
            </w:r>
            <w:r>
              <w:rPr>
                <w:rFonts w:hint="eastAsia" w:ascii="宋体" w:hAnsi="宋体" w:eastAsia="宋体" w:cs="宋体"/>
                <w:color w:val="auto"/>
                <w:sz w:val="21"/>
                <w:szCs w:val="21"/>
                <w:highlight w:val="none"/>
                <w:lang w:eastAsia="zh-CN"/>
              </w:rPr>
              <w:t>高</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FE05E3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bCs/>
                <w:color w:val="auto"/>
                <w:sz w:val="21"/>
                <w:szCs w:val="21"/>
                <w:highlight w:val="none"/>
              </w:rPr>
              <w:t>证书须在全国认证认可信息公共服务平台(http://cx.cnca.cn/CertECloud/result/skipResultList?certItemOne=A)上证书状态为“有效”的查询结果网页截图打印件加盖公章，否则不得分</w:t>
            </w:r>
            <w:r>
              <w:rPr>
                <w:rFonts w:hint="eastAsia" w:ascii="宋体" w:hAnsi="宋体"/>
                <w:bCs/>
                <w:color w:val="auto"/>
                <w:sz w:val="21"/>
                <w:szCs w:val="21"/>
                <w:highlight w:val="none"/>
                <w:lang w:eastAsia="zh-CN"/>
              </w:rPr>
              <w:t>。</w:t>
            </w:r>
          </w:p>
        </w:tc>
      </w:tr>
      <w:tr w14:paraId="532BF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7686A2E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4</w:t>
            </w:r>
          </w:p>
        </w:tc>
        <w:tc>
          <w:tcPr>
            <w:tcW w:w="957" w:type="pct"/>
            <w:noWrap w:val="0"/>
            <w:vAlign w:val="center"/>
          </w:tcPr>
          <w:p w14:paraId="08799B3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同类项目业绩</w:t>
            </w:r>
          </w:p>
        </w:tc>
        <w:tc>
          <w:tcPr>
            <w:tcW w:w="584" w:type="pct"/>
            <w:noWrap w:val="0"/>
            <w:vAlign w:val="center"/>
          </w:tcPr>
          <w:p w14:paraId="122574E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3057" w:type="pct"/>
            <w:noWrap w:val="0"/>
            <w:vAlign w:val="center"/>
          </w:tcPr>
          <w:p w14:paraId="49D662CB">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投标人2020年1月1日以来</w:t>
            </w:r>
            <w:r>
              <w:rPr>
                <w:rFonts w:hint="eastAsia" w:ascii="宋体" w:hAnsi="宋体" w:cs="宋体"/>
                <w:color w:val="auto"/>
                <w:sz w:val="21"/>
                <w:szCs w:val="21"/>
                <w:highlight w:val="none"/>
                <w:lang w:eastAsia="zh-CN"/>
              </w:rPr>
              <w:t>类似项目</w:t>
            </w:r>
            <w:r>
              <w:rPr>
                <w:rFonts w:hint="eastAsia" w:ascii="宋体" w:hAnsi="宋体" w:cs="宋体"/>
                <w:color w:val="auto"/>
                <w:sz w:val="21"/>
                <w:szCs w:val="21"/>
                <w:highlight w:val="none"/>
              </w:rPr>
              <w:t>安保服务项目业绩。每个得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分，最高</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分（在投标文件中提供合同复印件，</w:t>
            </w:r>
            <w:r>
              <w:rPr>
                <w:rFonts w:hint="eastAsia" w:ascii="宋体" w:hAnsi="宋体" w:cs="宋体"/>
                <w:snapToGrid w:val="0"/>
                <w:color w:val="auto"/>
                <w:kern w:val="0"/>
                <w:sz w:val="21"/>
                <w:szCs w:val="21"/>
                <w:highlight w:val="none"/>
              </w:rPr>
              <w:t>若合同中未体现工作内容，可由采购单位出具相关证明材料</w:t>
            </w:r>
            <w:r>
              <w:rPr>
                <w:rFonts w:hint="eastAsia" w:ascii="宋体" w:hAnsi="宋体" w:cs="宋体"/>
                <w:color w:val="auto"/>
                <w:sz w:val="21"/>
                <w:szCs w:val="21"/>
                <w:highlight w:val="none"/>
              </w:rPr>
              <w:t>）</w:t>
            </w:r>
          </w:p>
        </w:tc>
      </w:tr>
      <w:tr w14:paraId="228A5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00" w:type="pct"/>
            <w:noWrap w:val="0"/>
            <w:vAlign w:val="center"/>
          </w:tcPr>
          <w:p w14:paraId="2D95C50A">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5</w:t>
            </w:r>
          </w:p>
        </w:tc>
        <w:tc>
          <w:tcPr>
            <w:tcW w:w="957" w:type="pct"/>
            <w:noWrap w:val="0"/>
            <w:vAlign w:val="center"/>
          </w:tcPr>
          <w:p w14:paraId="53679AA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拟驻现场项目负责人（</w:t>
            </w:r>
            <w:r>
              <w:rPr>
                <w:rFonts w:hint="eastAsia" w:ascii="宋体" w:hAnsi="宋体" w:cs="宋体"/>
                <w:color w:val="auto"/>
                <w:sz w:val="21"/>
                <w:szCs w:val="21"/>
                <w:highlight w:val="none"/>
                <w:lang w:eastAsia="zh-CN"/>
              </w:rPr>
              <w:t>项目经理</w:t>
            </w:r>
            <w:r>
              <w:rPr>
                <w:rFonts w:hint="eastAsia" w:ascii="宋体" w:hAnsi="宋体" w:cs="宋体"/>
                <w:color w:val="auto"/>
                <w:sz w:val="21"/>
                <w:szCs w:val="21"/>
                <w:highlight w:val="none"/>
              </w:rPr>
              <w:t>）素质</w:t>
            </w:r>
          </w:p>
        </w:tc>
        <w:tc>
          <w:tcPr>
            <w:tcW w:w="584" w:type="pct"/>
            <w:noWrap w:val="0"/>
            <w:vAlign w:val="center"/>
          </w:tcPr>
          <w:p w14:paraId="6CCF998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3057" w:type="pct"/>
            <w:noWrap w:val="0"/>
            <w:vAlign w:val="center"/>
          </w:tcPr>
          <w:p w14:paraId="58A15249">
            <w:pPr>
              <w:keepNext w:val="0"/>
              <w:keepLines w:val="0"/>
              <w:pageBreakBefore w:val="0"/>
              <w:kinsoku/>
              <w:wordWrap/>
              <w:overflowPunct/>
              <w:topLinePunct w:val="0"/>
              <w:autoSpaceDE/>
              <w:autoSpaceDN/>
              <w:bidi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1.本科</w:t>
            </w:r>
            <w:r>
              <w:rPr>
                <w:rFonts w:hint="eastAsia" w:ascii="宋体" w:hAnsi="宋体" w:cs="宋体"/>
                <w:color w:val="auto"/>
                <w:sz w:val="21"/>
                <w:szCs w:val="21"/>
                <w:highlight w:val="none"/>
                <w:lang w:val="en-US" w:eastAsia="zh-CN"/>
              </w:rPr>
              <w:t>及以上</w:t>
            </w:r>
            <w:r>
              <w:rPr>
                <w:rFonts w:hint="eastAsia" w:ascii="宋体" w:hAnsi="宋体" w:cs="宋体"/>
                <w:color w:val="auto"/>
                <w:sz w:val="21"/>
                <w:szCs w:val="21"/>
                <w:highlight w:val="none"/>
              </w:rPr>
              <w:t>学历的得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分，大专学历的得1分；</w:t>
            </w:r>
          </w:p>
          <w:p w14:paraId="7DB97450">
            <w:pPr>
              <w:keepNext w:val="0"/>
              <w:keepLines w:val="0"/>
              <w:pageBreakBefore w:val="0"/>
              <w:kinsoku/>
              <w:wordWrap/>
              <w:overflowPunct/>
              <w:topLinePunct w:val="0"/>
              <w:autoSpaceDE/>
              <w:autoSpaceDN/>
              <w:bidi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2.具备国家职业资格保安员二级及以上资格，得2分。</w:t>
            </w:r>
          </w:p>
        </w:tc>
      </w:tr>
      <w:tr w14:paraId="0B0B2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3F4F05F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6</w:t>
            </w:r>
          </w:p>
        </w:tc>
        <w:tc>
          <w:tcPr>
            <w:tcW w:w="957" w:type="pct"/>
            <w:noWrap w:val="0"/>
            <w:vAlign w:val="center"/>
          </w:tcPr>
          <w:p w14:paraId="723634E4">
            <w:pPr>
              <w:keepNext w:val="0"/>
              <w:keepLines w:val="0"/>
              <w:pageBreakBefore w:val="0"/>
              <w:kinsoku/>
              <w:wordWrap/>
              <w:overflowPunct/>
              <w:topLinePunct w:val="0"/>
              <w:autoSpaceDE/>
              <w:autoSpaceDN/>
              <w:bidi w:val="0"/>
              <w:snapToGrid w:val="0"/>
              <w:spacing w:line="312" w:lineRule="auto"/>
              <w:jc w:val="center"/>
              <w:textAlignment w:val="auto"/>
              <w:rPr>
                <w:rFonts w:ascii="宋体" w:hAnsi="宋体" w:cs="宋体"/>
                <w:snapToGrid w:val="0"/>
                <w:color w:val="auto"/>
                <w:kern w:val="0"/>
                <w:sz w:val="21"/>
                <w:szCs w:val="21"/>
                <w:highlight w:val="none"/>
              </w:rPr>
            </w:pPr>
            <w:r>
              <w:rPr>
                <w:rFonts w:hint="eastAsia" w:ascii="宋体" w:hAnsi="宋体" w:cs="宋体"/>
                <w:color w:val="auto"/>
                <w:sz w:val="21"/>
                <w:szCs w:val="21"/>
                <w:highlight w:val="none"/>
              </w:rPr>
              <w:t>项目服务人员情况</w:t>
            </w:r>
          </w:p>
        </w:tc>
        <w:tc>
          <w:tcPr>
            <w:tcW w:w="584" w:type="pct"/>
            <w:noWrap w:val="0"/>
            <w:vAlign w:val="center"/>
          </w:tcPr>
          <w:p w14:paraId="5F407DDB">
            <w:pPr>
              <w:keepNext w:val="0"/>
              <w:keepLines w:val="0"/>
              <w:pageBreakBefore w:val="0"/>
              <w:kinsoku/>
              <w:wordWrap/>
              <w:overflowPunct/>
              <w:topLinePunct w:val="0"/>
              <w:autoSpaceDE/>
              <w:autoSpaceDN/>
              <w:bidi w:val="0"/>
              <w:snapToGrid w:val="0"/>
              <w:spacing w:line="312" w:lineRule="auto"/>
              <w:jc w:val="center"/>
              <w:textAlignment w:val="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0-</w:t>
            </w:r>
            <w:r>
              <w:rPr>
                <w:rFonts w:ascii="宋体" w:hAnsi="宋体" w:cs="宋体"/>
                <w:snapToGrid w:val="0"/>
                <w:color w:val="auto"/>
                <w:kern w:val="0"/>
                <w:sz w:val="21"/>
                <w:szCs w:val="21"/>
                <w:highlight w:val="none"/>
              </w:rPr>
              <w:t>1</w:t>
            </w:r>
            <w:r>
              <w:rPr>
                <w:rFonts w:hint="eastAsia" w:ascii="宋体" w:hAnsi="宋体" w:cs="宋体"/>
                <w:snapToGrid w:val="0"/>
                <w:color w:val="auto"/>
                <w:kern w:val="0"/>
                <w:sz w:val="21"/>
                <w:szCs w:val="21"/>
                <w:highlight w:val="none"/>
              </w:rPr>
              <w:t>6分</w:t>
            </w:r>
          </w:p>
        </w:tc>
        <w:tc>
          <w:tcPr>
            <w:tcW w:w="3057" w:type="pct"/>
            <w:noWrap w:val="0"/>
            <w:vAlign w:val="center"/>
          </w:tcPr>
          <w:p w14:paraId="32344546">
            <w:pPr>
              <w:keepNext w:val="0"/>
              <w:keepLines w:val="0"/>
              <w:pageBreakBefore w:val="0"/>
              <w:kinsoku/>
              <w:wordWrap/>
              <w:overflowPunct/>
              <w:topLinePunct w:val="0"/>
              <w:autoSpaceDE/>
              <w:autoSpaceDN/>
              <w:bidi w:val="0"/>
              <w:snapToGrid w:val="0"/>
              <w:spacing w:line="312"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除项目负责人（</w:t>
            </w:r>
            <w:r>
              <w:rPr>
                <w:rFonts w:hint="eastAsia" w:ascii="宋体" w:hAnsi="宋体" w:cs="宋体"/>
                <w:color w:val="auto"/>
                <w:sz w:val="21"/>
                <w:szCs w:val="21"/>
                <w:highlight w:val="none"/>
                <w:lang w:eastAsia="zh-CN"/>
              </w:rPr>
              <w:t>项目经理</w:t>
            </w:r>
            <w:r>
              <w:rPr>
                <w:rFonts w:hint="eastAsia" w:ascii="宋体" w:hAnsi="宋体" w:cs="宋体"/>
                <w:color w:val="auto"/>
                <w:kern w:val="0"/>
                <w:sz w:val="21"/>
                <w:szCs w:val="21"/>
                <w:highlight w:val="none"/>
              </w:rPr>
              <w:t>）外</w:t>
            </w:r>
          </w:p>
          <w:p w14:paraId="4EB562F6">
            <w:pPr>
              <w:keepNext w:val="0"/>
              <w:keepLines w:val="0"/>
              <w:pageBreakBefore w:val="0"/>
              <w:kinsoku/>
              <w:wordWrap/>
              <w:overflowPunct/>
              <w:topLinePunct w:val="0"/>
              <w:autoSpaceDE/>
              <w:autoSpaceDN/>
              <w:bidi w:val="0"/>
              <w:snapToGrid w:val="0"/>
              <w:spacing w:line="312"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具备国家职业资格保安员三级及以上资格，每人得2分，最高得8分。</w:t>
            </w:r>
          </w:p>
          <w:p w14:paraId="2A0535FA">
            <w:pPr>
              <w:keepNext w:val="0"/>
              <w:keepLines w:val="0"/>
              <w:pageBreakBefore w:val="0"/>
              <w:kinsoku/>
              <w:wordWrap/>
              <w:overflowPunct/>
              <w:topLinePunct w:val="0"/>
              <w:autoSpaceDE/>
              <w:autoSpaceDN/>
              <w:bidi w:val="0"/>
              <w:snapToGrid w:val="0"/>
              <w:spacing w:line="312" w:lineRule="auto"/>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2.退伍军人，每人得1分，最高4分，需提供退伍证明。</w:t>
            </w:r>
          </w:p>
          <w:p w14:paraId="400AD084">
            <w:pPr>
              <w:keepNext w:val="0"/>
              <w:keepLines w:val="0"/>
              <w:pageBreakBefore w:val="0"/>
              <w:kinsoku/>
              <w:wordWrap/>
              <w:overflowPunct/>
              <w:topLinePunct w:val="0"/>
              <w:autoSpaceDE/>
              <w:autoSpaceDN/>
              <w:bidi w:val="0"/>
              <w:snapToGrid w:val="0"/>
              <w:spacing w:line="312" w:lineRule="auto"/>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有2年以上安保工作经验的（提供社保或公司证明），</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提供1人得1分，最高得4分。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同一个人不</w:t>
            </w:r>
            <w:r>
              <w:rPr>
                <w:rFonts w:hint="default" w:ascii="宋体" w:hAnsi="宋体" w:cs="宋体"/>
                <w:color w:val="auto"/>
                <w:kern w:val="0"/>
                <w:sz w:val="21"/>
                <w:szCs w:val="21"/>
                <w:highlight w:val="none"/>
              </w:rPr>
              <w:t>同时多项重复得分,以最高得分计算</w:t>
            </w:r>
            <w:r>
              <w:rPr>
                <w:rFonts w:hint="eastAsia" w:ascii="宋体" w:hAnsi="宋体" w:cs="宋体"/>
                <w:color w:val="auto"/>
                <w:kern w:val="0"/>
                <w:sz w:val="21"/>
                <w:szCs w:val="21"/>
                <w:highlight w:val="none"/>
                <w:lang w:eastAsia="zh-CN"/>
              </w:rPr>
              <w:t>）</w:t>
            </w:r>
          </w:p>
        </w:tc>
      </w:tr>
      <w:tr w14:paraId="0ECD3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1C7A34B1">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957" w:type="pct"/>
            <w:noWrap w:val="0"/>
            <w:vAlign w:val="center"/>
          </w:tcPr>
          <w:p w14:paraId="61BB718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管理服务组织机构设置、运作流程、服务管理机制</w:t>
            </w:r>
          </w:p>
        </w:tc>
        <w:tc>
          <w:tcPr>
            <w:tcW w:w="584" w:type="pct"/>
            <w:noWrap w:val="0"/>
            <w:vAlign w:val="center"/>
          </w:tcPr>
          <w:p w14:paraId="0BE4C3F0">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3057" w:type="pct"/>
            <w:noWrap w:val="0"/>
            <w:vAlign w:val="center"/>
          </w:tcPr>
          <w:p w14:paraId="093E59F6">
            <w:pPr>
              <w:keepNext w:val="0"/>
              <w:keepLines w:val="0"/>
              <w:pageBreakBefore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根据管理服务组织机构设置（附组织机构图）、运作流程（附运作流程图）、激励机制、监督机制、自我约束机制和信息反馈渠道及处理机制等是否科学、合理、高效，量化打分。</w:t>
            </w: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rPr>
              <w:t>-4分 B档：3.9-3分 C档：2.9-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tc>
      </w:tr>
      <w:tr w14:paraId="3B8BC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45DF3010">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957" w:type="pct"/>
            <w:noWrap w:val="0"/>
            <w:vAlign w:val="center"/>
          </w:tcPr>
          <w:p w14:paraId="636BCA2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项目质量管理保证措施方案</w:t>
            </w:r>
          </w:p>
        </w:tc>
        <w:tc>
          <w:tcPr>
            <w:tcW w:w="584" w:type="pct"/>
            <w:noWrap w:val="0"/>
            <w:vAlign w:val="center"/>
          </w:tcPr>
          <w:p w14:paraId="61B05E6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3057" w:type="pct"/>
            <w:noWrap w:val="0"/>
            <w:vAlign w:val="center"/>
          </w:tcPr>
          <w:p w14:paraId="4C2649D7">
            <w:pPr>
              <w:keepNext w:val="0"/>
              <w:keepLines w:val="0"/>
              <w:pageBreakBefore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根据为本项目就管理程序文件、质量记录，管理过程中存在的问题解决对策，管理成果检验评估方法，质量管理改进方法等，量化打分。</w:t>
            </w: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rPr>
              <w:t>-4分 B档：3.9-3分 C档：2.9-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tc>
      </w:tr>
      <w:tr w14:paraId="1BC74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322196B6">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957" w:type="pct"/>
            <w:noWrap w:val="0"/>
            <w:vAlign w:val="center"/>
          </w:tcPr>
          <w:p w14:paraId="6EF389C1">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项目负责人方案陈述及答辩情况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视频陈述不超过10分钟</w:t>
            </w:r>
            <w:r>
              <w:rPr>
                <w:rFonts w:hint="eastAsia" w:ascii="宋体" w:hAnsi="宋体" w:eastAsia="宋体" w:cs="宋体"/>
                <w:color w:val="auto"/>
                <w:sz w:val="21"/>
                <w:szCs w:val="21"/>
                <w:highlight w:val="none"/>
                <w:lang w:eastAsia="zh-CN"/>
              </w:rPr>
              <w:t>）</w:t>
            </w:r>
          </w:p>
        </w:tc>
        <w:tc>
          <w:tcPr>
            <w:tcW w:w="584" w:type="pct"/>
            <w:noWrap w:val="0"/>
            <w:vAlign w:val="center"/>
          </w:tcPr>
          <w:p w14:paraId="2803835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8"/>
                <w:sz w:val="21"/>
                <w:szCs w:val="21"/>
                <w:highlight w:val="none"/>
                <w:lang w:val="en-US" w:eastAsia="zh-CN"/>
              </w:rPr>
              <w:t>0-9分</w:t>
            </w:r>
          </w:p>
        </w:tc>
        <w:tc>
          <w:tcPr>
            <w:tcW w:w="3057" w:type="pct"/>
            <w:noWrap w:val="0"/>
            <w:vAlign w:val="center"/>
          </w:tcPr>
          <w:p w14:paraId="55F89181">
            <w:pPr>
              <w:keepNext w:val="0"/>
              <w:keepLines w:val="0"/>
              <w:pageBreakBefore w:val="0"/>
              <w:kinsoku/>
              <w:wordWrap/>
              <w:overflowPunct/>
              <w:topLinePunct w:val="0"/>
              <w:autoSpaceDE/>
              <w:autoSpaceDN/>
              <w:bidi w:val="0"/>
              <w:snapToGrid w:val="0"/>
              <w:spacing w:line="312"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根据投标人拟派项目负责人服务方案陈述及应对评标委员会的问询情况进行量化评分，A档：9-7分 B档：6.9-3分 C档：2.9-</w:t>
            </w:r>
            <w:r>
              <w:rPr>
                <w:rFonts w:hint="eastAsia" w:ascii="宋体" w:hAnsi="宋体" w:eastAsia="宋体" w:cs="宋体"/>
                <w:snapToGrid w:val="0"/>
                <w:color w:val="auto"/>
                <w:kern w:val="0"/>
                <w:sz w:val="21"/>
                <w:szCs w:val="21"/>
                <w:highlight w:val="none"/>
                <w:lang w:val="en-US" w:eastAsia="zh-CN"/>
              </w:rPr>
              <w:t>0</w:t>
            </w:r>
            <w:r>
              <w:rPr>
                <w:rFonts w:hint="eastAsia" w:ascii="宋体" w:hAnsi="宋体" w:eastAsia="宋体" w:cs="宋体"/>
                <w:snapToGrid w:val="0"/>
                <w:color w:val="auto"/>
                <w:kern w:val="0"/>
                <w:sz w:val="21"/>
                <w:szCs w:val="21"/>
                <w:highlight w:val="none"/>
              </w:rPr>
              <w:t>分。</w:t>
            </w:r>
          </w:p>
          <w:p w14:paraId="0E7196DE">
            <w:pPr>
              <w:keepNext w:val="0"/>
              <w:keepLines w:val="0"/>
              <w:pageBreakBefore w:val="0"/>
              <w:kinsoku/>
              <w:wordWrap/>
              <w:overflowPunct/>
              <w:topLinePunct w:val="0"/>
              <w:autoSpaceDE/>
              <w:autoSpaceDN/>
              <w:bidi w:val="0"/>
              <w:snapToGrid w:val="0"/>
              <w:spacing w:line="312"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0"/>
                <w:sz w:val="21"/>
                <w:szCs w:val="21"/>
                <w:highlight w:val="none"/>
              </w:rPr>
              <w:t>备注：项目负责人方案陈述需录制视频，视频</w:t>
            </w:r>
            <w:r>
              <w:rPr>
                <w:rFonts w:hint="eastAsia" w:ascii="宋体" w:hAnsi="宋体" w:eastAsia="宋体" w:cs="宋体"/>
                <w:snapToGrid w:val="0"/>
                <w:color w:val="auto"/>
                <w:kern w:val="0"/>
                <w:sz w:val="21"/>
                <w:szCs w:val="21"/>
                <w:highlight w:val="none"/>
                <w:lang w:val="en-US" w:eastAsia="zh-CN"/>
              </w:rPr>
              <w:t>文件</w:t>
            </w:r>
            <w:r>
              <w:rPr>
                <w:rFonts w:hint="eastAsia" w:ascii="宋体" w:hAnsi="宋体" w:eastAsia="宋体" w:cs="宋体"/>
                <w:snapToGrid w:val="0"/>
                <w:color w:val="auto"/>
                <w:kern w:val="0"/>
                <w:sz w:val="21"/>
                <w:szCs w:val="21"/>
                <w:highlight w:val="none"/>
              </w:rPr>
              <w:t>随电子版备份投标文件存储于U盘中，项目负责人方案陈述内容并非实质性要求，投标人代表放弃方案陈述或视频文件不能被正确读取则该项不得分。项目负责人答辩（如评标委员会成员认为其陈述内容需要答辩）流程在“</w:t>
            </w:r>
            <w:r>
              <w:rPr>
                <w:rFonts w:hint="eastAsia" w:ascii="宋体" w:hAnsi="宋体" w:cs="宋体"/>
                <w:snapToGrid w:val="0"/>
                <w:color w:val="auto"/>
                <w:kern w:val="0"/>
                <w:sz w:val="21"/>
                <w:szCs w:val="21"/>
                <w:highlight w:val="none"/>
                <w:lang w:eastAsia="zh-CN"/>
              </w:rPr>
              <w:t>乐采云</w:t>
            </w:r>
            <w:r>
              <w:rPr>
                <w:rFonts w:hint="eastAsia" w:ascii="宋体" w:hAnsi="宋体" w:eastAsia="宋体" w:cs="宋体"/>
                <w:snapToGrid w:val="0"/>
                <w:color w:val="auto"/>
                <w:kern w:val="0"/>
                <w:sz w:val="21"/>
                <w:szCs w:val="21"/>
                <w:highlight w:val="none"/>
              </w:rPr>
              <w:t>”平台上以在线</w:t>
            </w:r>
            <w:r>
              <w:rPr>
                <w:rFonts w:hint="eastAsia" w:ascii="宋体" w:hAnsi="宋体" w:eastAsia="宋体" w:cs="宋体"/>
                <w:snapToGrid w:val="0"/>
                <w:color w:val="auto"/>
                <w:kern w:val="0"/>
                <w:sz w:val="21"/>
                <w:szCs w:val="21"/>
                <w:highlight w:val="none"/>
                <w:lang w:val="en-US" w:eastAsia="zh-CN"/>
              </w:rPr>
              <w:t>澄清</w:t>
            </w:r>
            <w:r>
              <w:rPr>
                <w:rFonts w:hint="eastAsia" w:ascii="宋体" w:hAnsi="宋体" w:eastAsia="宋体" w:cs="宋体"/>
                <w:snapToGrid w:val="0"/>
                <w:color w:val="auto"/>
                <w:kern w:val="0"/>
                <w:sz w:val="21"/>
                <w:szCs w:val="21"/>
                <w:highlight w:val="none"/>
              </w:rPr>
              <w:t>方式进行。请各投标人项目负责人手机在开标当日保持畅通，否则在合理时间内未响应在线询标且无法联系所造成的后果由投标人负责。</w:t>
            </w:r>
          </w:p>
        </w:tc>
      </w:tr>
      <w:tr w14:paraId="3CB6F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064388A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957" w:type="pct"/>
            <w:noWrap w:val="0"/>
            <w:vAlign w:val="center"/>
          </w:tcPr>
          <w:p w14:paraId="179C605D">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保持员工队伍稳定措施</w:t>
            </w:r>
          </w:p>
        </w:tc>
        <w:tc>
          <w:tcPr>
            <w:tcW w:w="584" w:type="pct"/>
            <w:noWrap w:val="0"/>
            <w:vAlign w:val="center"/>
          </w:tcPr>
          <w:p w14:paraId="74B686E4">
            <w:pPr>
              <w:keepNext w:val="0"/>
              <w:keepLines w:val="0"/>
              <w:pageBreakBefore w:val="0"/>
              <w:widowControl/>
              <w:kinsoku/>
              <w:wordWrap/>
              <w:overflowPunct/>
              <w:topLinePunct w:val="0"/>
              <w:autoSpaceDE/>
              <w:autoSpaceDN/>
              <w:bidi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kern w:val="28"/>
                <w:sz w:val="21"/>
                <w:szCs w:val="21"/>
                <w:highlight w:val="none"/>
                <w:lang w:val="en-US" w:eastAsia="zh-CN"/>
              </w:rPr>
              <w:t>0</w:t>
            </w:r>
            <w:r>
              <w:rPr>
                <w:rFonts w:hint="eastAsia" w:ascii="宋体" w:hAnsi="宋体" w:cs="宋体"/>
                <w:color w:val="auto"/>
                <w:kern w:val="28"/>
                <w:sz w:val="21"/>
                <w:szCs w:val="21"/>
                <w:highlight w:val="none"/>
              </w:rPr>
              <w:t>-</w:t>
            </w:r>
            <w:r>
              <w:rPr>
                <w:rFonts w:hint="eastAsia" w:ascii="宋体" w:hAnsi="宋体" w:cs="宋体"/>
                <w:color w:val="auto"/>
                <w:kern w:val="28"/>
                <w:sz w:val="21"/>
                <w:szCs w:val="21"/>
                <w:highlight w:val="none"/>
                <w:lang w:val="en-US" w:eastAsia="zh-CN"/>
              </w:rPr>
              <w:t>9</w:t>
            </w:r>
            <w:r>
              <w:rPr>
                <w:rFonts w:hint="eastAsia" w:ascii="宋体" w:hAnsi="宋体" w:cs="宋体"/>
                <w:color w:val="auto"/>
                <w:kern w:val="28"/>
                <w:sz w:val="21"/>
                <w:szCs w:val="21"/>
                <w:highlight w:val="none"/>
              </w:rPr>
              <w:t>分</w:t>
            </w:r>
          </w:p>
        </w:tc>
        <w:tc>
          <w:tcPr>
            <w:tcW w:w="3057" w:type="pct"/>
            <w:noWrap w:val="0"/>
            <w:vAlign w:val="top"/>
          </w:tcPr>
          <w:p w14:paraId="63E21B40">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根据投标人针对本项目提供的薪酬标准及激励机制，福利待遇合理性、可行性等方面进行打分。A档：</w:t>
            </w:r>
            <w:r>
              <w:rPr>
                <w:rFonts w:hint="eastAsia" w:ascii="宋体" w:hAnsi="宋体" w:cs="宋体"/>
                <w:snapToGrid w:val="0"/>
                <w:color w:val="auto"/>
                <w:kern w:val="0"/>
                <w:sz w:val="21"/>
                <w:szCs w:val="21"/>
                <w:highlight w:val="none"/>
                <w:lang w:val="en-US" w:eastAsia="zh-CN"/>
              </w:rPr>
              <w:t>3</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2</w:t>
            </w:r>
            <w:r>
              <w:rPr>
                <w:rFonts w:hint="eastAsia" w:ascii="宋体" w:hAnsi="宋体" w:cs="宋体"/>
                <w:snapToGrid w:val="0"/>
                <w:color w:val="auto"/>
                <w:kern w:val="0"/>
                <w:sz w:val="21"/>
                <w:szCs w:val="21"/>
                <w:highlight w:val="none"/>
              </w:rPr>
              <w:t>分 B档：</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.9-</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分 C档：</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p w14:paraId="59576CCC">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2.投标人的人力资源管理实力及相关制度。</w:t>
            </w: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3</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2</w:t>
            </w:r>
            <w:r>
              <w:rPr>
                <w:rFonts w:hint="eastAsia" w:ascii="宋体" w:hAnsi="宋体" w:cs="宋体"/>
                <w:snapToGrid w:val="0"/>
                <w:color w:val="auto"/>
                <w:kern w:val="0"/>
                <w:sz w:val="21"/>
                <w:szCs w:val="21"/>
                <w:highlight w:val="none"/>
              </w:rPr>
              <w:t>分 B档：</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.9-</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分 C档：</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p w14:paraId="13861F9C">
            <w:pPr>
              <w:keepNext w:val="0"/>
              <w:keepLines w:val="0"/>
              <w:pageBreakBefore w:val="0"/>
              <w:widowControl/>
              <w:kinsoku/>
              <w:wordWrap/>
              <w:overflowPunct/>
              <w:topLinePunct w:val="0"/>
              <w:autoSpaceDE/>
              <w:autoSpaceDN/>
              <w:bidi w:val="0"/>
              <w:spacing w:line="312" w:lineRule="auto"/>
              <w:jc w:val="left"/>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3.项目移交过渡方案，稳定性、可操作性。</w:t>
            </w:r>
          </w:p>
          <w:p w14:paraId="6B0D4207">
            <w:pPr>
              <w:keepNext w:val="0"/>
              <w:keepLines w:val="0"/>
              <w:pageBreakBefore w:val="0"/>
              <w:kinsoku/>
              <w:wordWrap/>
              <w:overflowPunct/>
              <w:topLinePunct w:val="0"/>
              <w:autoSpaceDE/>
              <w:autoSpaceDN/>
              <w:bidi w:val="0"/>
              <w:snapToGrid w:val="0"/>
              <w:spacing w:line="312" w:lineRule="auto"/>
              <w:textAlignment w:val="auto"/>
              <w:rPr>
                <w:rFonts w:ascii="宋体" w:hAnsi="宋体" w:eastAsia="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3</w:t>
            </w:r>
            <w:r>
              <w:rPr>
                <w:rFonts w:hint="eastAsia" w:ascii="宋体" w:hAnsi="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2</w:t>
            </w:r>
            <w:r>
              <w:rPr>
                <w:rFonts w:hint="eastAsia" w:ascii="宋体" w:hAnsi="宋体" w:cs="宋体"/>
                <w:snapToGrid w:val="0"/>
                <w:color w:val="auto"/>
                <w:kern w:val="0"/>
                <w:sz w:val="21"/>
                <w:szCs w:val="21"/>
                <w:highlight w:val="none"/>
              </w:rPr>
              <w:t>分 B档：</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.9-</w:t>
            </w:r>
            <w:r>
              <w:rPr>
                <w:rFonts w:hint="eastAsia" w:ascii="宋体" w:hAnsi="宋体" w:cs="宋体"/>
                <w:snapToGrid w:val="0"/>
                <w:color w:val="auto"/>
                <w:kern w:val="0"/>
                <w:sz w:val="21"/>
                <w:szCs w:val="21"/>
                <w:highlight w:val="none"/>
                <w:lang w:val="en-US" w:eastAsia="zh-CN"/>
              </w:rPr>
              <w:t>1</w:t>
            </w:r>
            <w:r>
              <w:rPr>
                <w:rFonts w:hint="eastAsia" w:ascii="宋体" w:hAnsi="宋体" w:cs="宋体"/>
                <w:snapToGrid w:val="0"/>
                <w:color w:val="auto"/>
                <w:kern w:val="0"/>
                <w:sz w:val="21"/>
                <w:szCs w:val="21"/>
                <w:highlight w:val="none"/>
              </w:rPr>
              <w:t>分 C档：</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tc>
      </w:tr>
      <w:tr w14:paraId="7784C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00" w:type="pct"/>
            <w:noWrap w:val="0"/>
            <w:vAlign w:val="center"/>
          </w:tcPr>
          <w:p w14:paraId="7D472AC6">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957" w:type="pct"/>
            <w:noWrap w:val="0"/>
            <w:vAlign w:val="center"/>
          </w:tcPr>
          <w:p w14:paraId="478E10A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对本项目突发事件应急响应情况</w:t>
            </w:r>
          </w:p>
        </w:tc>
        <w:tc>
          <w:tcPr>
            <w:tcW w:w="584" w:type="pct"/>
            <w:noWrap w:val="0"/>
            <w:vAlign w:val="center"/>
          </w:tcPr>
          <w:p w14:paraId="37EBB0B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3057" w:type="pct"/>
            <w:noWrap w:val="0"/>
            <w:vAlign w:val="center"/>
          </w:tcPr>
          <w:p w14:paraId="4D9558BC">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对本项目突发事件应急响应方案及响应时间进行比较量化，</w:t>
            </w: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rPr>
              <w:t>-4分 B档：3.9-3分 C档：2.9-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tc>
      </w:tr>
      <w:tr w14:paraId="4E215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0" w:type="pct"/>
            <w:noWrap w:val="0"/>
            <w:vAlign w:val="center"/>
          </w:tcPr>
          <w:p w14:paraId="722D7515">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ascii="宋体" w:hAnsi="宋体" w:cs="宋体"/>
                <w:color w:val="auto"/>
                <w:sz w:val="21"/>
                <w:szCs w:val="21"/>
                <w:highlight w:val="none"/>
              </w:rPr>
              <w:t>1</w:t>
            </w:r>
            <w:r>
              <w:rPr>
                <w:rFonts w:hint="eastAsia" w:ascii="宋体" w:hAnsi="宋体" w:cs="宋体"/>
                <w:color w:val="auto"/>
                <w:sz w:val="21"/>
                <w:szCs w:val="21"/>
                <w:highlight w:val="none"/>
                <w:lang w:val="en-US" w:eastAsia="zh-CN"/>
              </w:rPr>
              <w:t>2</w:t>
            </w:r>
          </w:p>
        </w:tc>
        <w:tc>
          <w:tcPr>
            <w:tcW w:w="957" w:type="pct"/>
            <w:noWrap w:val="0"/>
            <w:vAlign w:val="center"/>
          </w:tcPr>
          <w:p w14:paraId="1991ACE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机械设备、器材、工具配备计划合理性</w:t>
            </w:r>
          </w:p>
        </w:tc>
        <w:tc>
          <w:tcPr>
            <w:tcW w:w="584" w:type="pct"/>
            <w:noWrap w:val="0"/>
            <w:vAlign w:val="center"/>
          </w:tcPr>
          <w:p w14:paraId="752F97D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3057" w:type="pct"/>
            <w:noWrap w:val="0"/>
            <w:vAlign w:val="center"/>
          </w:tcPr>
          <w:p w14:paraId="5557ABC7">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为满足采购文件要求拟配置的安保装备、器械、工具等的选用档次及是否齐备等因素量化打分。</w:t>
            </w:r>
          </w:p>
          <w:p w14:paraId="395ADE6D">
            <w:pPr>
              <w:keepNext w:val="0"/>
              <w:keepLines w:val="0"/>
              <w:pageBreakBefore w:val="0"/>
              <w:widowControl/>
              <w:kinsoku/>
              <w:wordWrap/>
              <w:overflowPunct/>
              <w:topLinePunct w:val="0"/>
              <w:autoSpaceDE/>
              <w:autoSpaceDN/>
              <w:bidi w:val="0"/>
              <w:spacing w:line="312"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napToGrid w:val="0"/>
                <w:color w:val="auto"/>
                <w:kern w:val="0"/>
                <w:sz w:val="21"/>
                <w:szCs w:val="21"/>
                <w:highlight w:val="none"/>
              </w:rPr>
              <w:t>A档：</w:t>
            </w:r>
            <w:r>
              <w:rPr>
                <w:rFonts w:hint="eastAsia" w:ascii="宋体" w:hAnsi="宋体" w:cs="宋体"/>
                <w:snapToGrid w:val="0"/>
                <w:color w:val="auto"/>
                <w:kern w:val="0"/>
                <w:sz w:val="21"/>
                <w:szCs w:val="21"/>
                <w:highlight w:val="none"/>
                <w:lang w:val="en-US" w:eastAsia="zh-CN"/>
              </w:rPr>
              <w:t>6</w:t>
            </w:r>
            <w:r>
              <w:rPr>
                <w:rFonts w:hint="eastAsia" w:ascii="宋体" w:hAnsi="宋体" w:cs="宋体"/>
                <w:snapToGrid w:val="0"/>
                <w:color w:val="auto"/>
                <w:kern w:val="0"/>
                <w:sz w:val="21"/>
                <w:szCs w:val="21"/>
                <w:highlight w:val="none"/>
              </w:rPr>
              <w:t>-4分 B档：3.9-3分 C档：2.9-</w:t>
            </w:r>
            <w:r>
              <w:rPr>
                <w:rFonts w:hint="eastAsia" w:ascii="宋体" w:hAnsi="宋体" w:cs="宋体"/>
                <w:snapToGrid w:val="0"/>
                <w:color w:val="auto"/>
                <w:kern w:val="0"/>
                <w:sz w:val="21"/>
                <w:szCs w:val="21"/>
                <w:highlight w:val="none"/>
                <w:lang w:val="en-US" w:eastAsia="zh-CN"/>
              </w:rPr>
              <w:t>0</w:t>
            </w:r>
            <w:r>
              <w:rPr>
                <w:rFonts w:hint="eastAsia" w:ascii="宋体" w:hAnsi="宋体" w:cs="宋体"/>
                <w:snapToGrid w:val="0"/>
                <w:color w:val="auto"/>
                <w:kern w:val="0"/>
                <w:sz w:val="21"/>
                <w:szCs w:val="21"/>
                <w:highlight w:val="none"/>
              </w:rPr>
              <w:t>分。</w:t>
            </w:r>
          </w:p>
        </w:tc>
      </w:tr>
    </w:tbl>
    <w:p w14:paraId="4F500857">
      <w:p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2DD5803F">
      <w:pPr>
        <w:numPr>
          <w:ilvl w:val="0"/>
          <w:numId w:val="12"/>
        </w:num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评标依据以供应商商务技术文件中加盖有效公章的证书/证明文件</w:t>
      </w:r>
      <w:r>
        <w:rPr>
          <w:rFonts w:hint="eastAsia" w:ascii="新宋体" w:hAnsi="新宋体" w:eastAsia="新宋体" w:cs="新宋体"/>
          <w:color w:val="auto"/>
          <w:sz w:val="22"/>
          <w:szCs w:val="22"/>
          <w:highlight w:val="none"/>
          <w:lang w:eastAsia="zh-CN"/>
        </w:rPr>
        <w:t>扫描件</w:t>
      </w:r>
      <w:r>
        <w:rPr>
          <w:rFonts w:hint="eastAsia" w:ascii="新宋体" w:hAnsi="新宋体" w:eastAsia="新宋体" w:cs="新宋体"/>
          <w:color w:val="auto"/>
          <w:sz w:val="22"/>
          <w:szCs w:val="22"/>
          <w:highlight w:val="none"/>
        </w:rPr>
        <w:t>为准；</w:t>
      </w:r>
    </w:p>
    <w:p w14:paraId="3C0AC13F">
      <w:pPr>
        <w:numPr>
          <w:ilvl w:val="0"/>
          <w:numId w:val="12"/>
        </w:numPr>
        <w:spacing w:line="440" w:lineRule="exact"/>
        <w:ind w:firstLine="330" w:firstLineChars="15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磋商响应文件中的合同文本原件，予以确认其的真实性和有效性，如出现与事实不符等情况，将根据有关规定以“提供虚假材料谋取中标”予以处理；</w:t>
      </w:r>
    </w:p>
    <w:p w14:paraId="0099143A">
      <w:p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2.商务（报价）部分的评定（</w:t>
      </w:r>
      <w:r>
        <w:rPr>
          <w:rFonts w:hint="eastAsia" w:ascii="新宋体" w:hAnsi="新宋体" w:eastAsia="新宋体" w:cs="新宋体"/>
          <w:b/>
          <w:bCs/>
          <w:color w:val="auto"/>
          <w:sz w:val="22"/>
          <w:szCs w:val="22"/>
          <w:highlight w:val="none"/>
          <w:lang w:val="en-US" w:eastAsia="zh-CN"/>
        </w:rPr>
        <w:t>2</w:t>
      </w:r>
      <w:r>
        <w:rPr>
          <w:rFonts w:hint="eastAsia" w:ascii="新宋体" w:hAnsi="新宋体" w:eastAsia="新宋体" w:cs="新宋体"/>
          <w:b/>
          <w:bCs/>
          <w:color w:val="auto"/>
          <w:sz w:val="22"/>
          <w:szCs w:val="22"/>
          <w:highlight w:val="none"/>
        </w:rPr>
        <w:t>0分）</w:t>
      </w:r>
    </w:p>
    <w:p w14:paraId="4960878A">
      <w:pPr>
        <w:spacing w:line="40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满足采购文件要求且最终报价的最低价作为评标基准价；</w:t>
      </w:r>
    </w:p>
    <w:p w14:paraId="1F53FCED">
      <w:pPr>
        <w:numPr>
          <w:ilvl w:val="0"/>
          <w:numId w:val="13"/>
        </w:numPr>
        <w:spacing w:line="44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有效供应商的最终报价等于评标基准价时，其最终报价评分值为满分</w:t>
      </w:r>
      <w:r>
        <w:rPr>
          <w:rFonts w:hint="eastAsia" w:ascii="新宋体" w:hAnsi="新宋体" w:eastAsia="新宋体" w:cs="新宋体"/>
          <w:bCs/>
          <w:color w:val="auto"/>
          <w:kern w:val="0"/>
          <w:sz w:val="22"/>
          <w:szCs w:val="22"/>
          <w:highlight w:val="none"/>
          <w:lang w:val="en-US" w:eastAsia="zh-CN"/>
        </w:rPr>
        <w:t>2</w:t>
      </w:r>
      <w:r>
        <w:rPr>
          <w:rFonts w:hint="eastAsia" w:ascii="新宋体" w:hAnsi="新宋体" w:eastAsia="新宋体" w:cs="新宋体"/>
          <w:bCs/>
          <w:color w:val="auto"/>
          <w:kern w:val="0"/>
          <w:sz w:val="22"/>
          <w:szCs w:val="22"/>
          <w:highlight w:val="none"/>
        </w:rPr>
        <w:t>0分；</w:t>
      </w:r>
    </w:p>
    <w:p w14:paraId="186AB159">
      <w:pPr>
        <w:numPr>
          <w:ilvl w:val="0"/>
          <w:numId w:val="13"/>
        </w:numPr>
        <w:spacing w:line="44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其他供应商的价格分按以下公式计算：</w:t>
      </w:r>
    </w:p>
    <w:p w14:paraId="0223C07C">
      <w:pPr>
        <w:spacing w:line="440" w:lineRule="exact"/>
        <w:ind w:left="400" w:firstLine="440" w:firstLineChars="200"/>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商务分得分=（评审基准价/供应商最终报价）×价格权值×100（四舍五入后保留小数2位，价格权值为</w:t>
      </w:r>
      <w:r>
        <w:rPr>
          <w:rFonts w:hint="eastAsia" w:ascii="新宋体" w:hAnsi="新宋体" w:eastAsia="新宋体" w:cs="新宋体"/>
          <w:bCs/>
          <w:color w:val="auto"/>
          <w:kern w:val="0"/>
          <w:sz w:val="22"/>
          <w:szCs w:val="22"/>
          <w:highlight w:val="none"/>
          <w:lang w:val="en-US" w:eastAsia="zh-CN"/>
        </w:rPr>
        <w:t>2</w:t>
      </w:r>
      <w:r>
        <w:rPr>
          <w:rFonts w:hint="eastAsia" w:ascii="新宋体" w:hAnsi="新宋体" w:eastAsia="新宋体" w:cs="新宋体"/>
          <w:bCs/>
          <w:color w:val="auto"/>
          <w:kern w:val="0"/>
          <w:sz w:val="22"/>
          <w:szCs w:val="22"/>
          <w:highlight w:val="none"/>
        </w:rPr>
        <w:t>0%）</w:t>
      </w:r>
    </w:p>
    <w:p w14:paraId="32FD1793">
      <w:pPr>
        <w:numPr>
          <w:ilvl w:val="0"/>
          <w:numId w:val="13"/>
        </w:numPr>
        <w:spacing w:line="44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如供应商报价超过项目采购预算金额，其投标文件作无效标处理。</w:t>
      </w:r>
    </w:p>
    <w:p w14:paraId="0A8954B5">
      <w:pPr>
        <w:numPr>
          <w:ilvl w:val="0"/>
          <w:numId w:val="13"/>
        </w:numPr>
        <w:spacing w:line="440" w:lineRule="exact"/>
        <w:rPr>
          <w:rFonts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所有供应商商务报价均超过项目采购预算金额，项目按流（废）标处理，重新组织采购程序。</w:t>
      </w:r>
    </w:p>
    <w:p w14:paraId="472A42D8">
      <w:pPr>
        <w:numPr>
          <w:ilvl w:val="0"/>
          <w:numId w:val="13"/>
        </w:numPr>
        <w:spacing w:line="44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kern w:val="0"/>
          <w:sz w:val="22"/>
          <w:szCs w:val="22"/>
          <w:highlight w:val="none"/>
        </w:rPr>
        <w:t>本项目采购预算金额为</w:t>
      </w:r>
      <w:r>
        <w:rPr>
          <w:rFonts w:hint="eastAsia" w:ascii="新宋体" w:hAnsi="新宋体" w:eastAsia="新宋体" w:cs="新宋体"/>
          <w:bCs/>
          <w:color w:val="auto"/>
          <w:kern w:val="0"/>
          <w:sz w:val="22"/>
          <w:szCs w:val="22"/>
          <w:highlight w:val="none"/>
          <w:lang w:val="en-US" w:eastAsia="zh-CN"/>
        </w:rPr>
        <w:t>7576000</w:t>
      </w:r>
      <w:r>
        <w:rPr>
          <w:rFonts w:hint="eastAsia" w:ascii="新宋体" w:hAnsi="新宋体" w:eastAsia="新宋体" w:cs="新宋体"/>
          <w:bCs/>
          <w:color w:val="auto"/>
          <w:kern w:val="0"/>
          <w:sz w:val="22"/>
          <w:szCs w:val="22"/>
          <w:highlight w:val="none"/>
        </w:rPr>
        <w:t>元。</w:t>
      </w:r>
    </w:p>
    <w:p w14:paraId="6C25F5A8">
      <w:p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3.有效投标供应商的综合得分为技术资信分和商务（报价）分的总和。</w:t>
      </w:r>
    </w:p>
    <w:p w14:paraId="515C1BB3">
      <w:pPr>
        <w:spacing w:line="440" w:lineRule="exact"/>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4.评标委员会依据法律、法规及采购文件有关规定在有效标中按投标供应商的最终得分（即技术分与商务分之和）高低进行排序，得分前两名的投标供应商推荐为中标候选人与备选中标供应商（得分相同投标报价低的排序优先；得分且投标报价相同的，由评委抽签决定排序）。</w:t>
      </w:r>
      <w:bookmarkEnd w:id="201"/>
      <w:bookmarkEnd w:id="202"/>
    </w:p>
    <w:sectPr>
      <w:pgSz w:w="11906" w:h="16838"/>
      <w:pgMar w:top="1134" w:right="1134" w:bottom="1134" w:left="1134" w:header="851" w:footer="850" w:gutter="0"/>
      <w:cols w:space="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Univers LT Std 57 Cn">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hakuyoxingshu7000">
    <w:altName w:val="宋体"/>
    <w:panose1 w:val="02000600000000000000"/>
    <w:charset w:val="86"/>
    <w:family w:val="auto"/>
    <w:pitch w:val="default"/>
    <w:sig w:usb0="00000000" w:usb1="00000000" w:usb2="0000003F" w:usb3="00000000" w:csb0="003F00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C161">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36</w:t>
    </w:r>
    <w:r>
      <w:fldChar w:fldCharType="end"/>
    </w:r>
  </w:p>
  <w:p w14:paraId="43103A80">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B06C">
    <w:pPr>
      <w:pStyle w:val="19"/>
      <w:framePr w:wrap="around" w:vAnchor="text" w:hAnchor="margin" w:xAlign="right" w:y="1"/>
      <w:rPr>
        <w:rStyle w:val="33"/>
      </w:rPr>
    </w:pPr>
    <w:r>
      <w:fldChar w:fldCharType="begin"/>
    </w:r>
    <w:r>
      <w:rPr>
        <w:rStyle w:val="33"/>
      </w:rPr>
      <w:instrText xml:space="preserve">PAGE  </w:instrText>
    </w:r>
    <w:r>
      <w:fldChar w:fldCharType="end"/>
    </w:r>
  </w:p>
  <w:p w14:paraId="2E3BDE76">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5B383">
    <w:pPr>
      <w:pStyle w:val="19"/>
      <w:framePr w:wrap="around" w:vAnchor="text" w:hAnchor="margin" w:xAlign="center" w:y="1"/>
      <w:rPr>
        <w:rStyle w:val="33"/>
      </w:rPr>
    </w:pPr>
    <w:r>
      <w:fldChar w:fldCharType="begin"/>
    </w:r>
    <w:r>
      <w:rPr>
        <w:rStyle w:val="33"/>
      </w:rPr>
      <w:instrText xml:space="preserve">PAGE  </w:instrText>
    </w:r>
    <w:r>
      <w:fldChar w:fldCharType="separate"/>
    </w:r>
    <w:r>
      <w:rPr>
        <w:rStyle w:val="33"/>
      </w:rPr>
      <w:t>47</w:t>
    </w:r>
    <w:r>
      <w:fldChar w:fldCharType="end"/>
    </w:r>
  </w:p>
  <w:p w14:paraId="4FBE166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7CA3">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F49EDE49"/>
    <w:multiLevelType w:val="singleLevel"/>
    <w:tmpl w:val="F49EDE49"/>
    <w:lvl w:ilvl="0" w:tentative="0">
      <w:start w:val="1"/>
      <w:numFmt w:val="decimal"/>
      <w:suff w:val="space"/>
      <w:lvlText w:val="%1)"/>
      <w:lvlJc w:val="left"/>
    </w:lvl>
  </w:abstractNum>
  <w:abstractNum w:abstractNumId="3">
    <w:nsid w:val="0000000C"/>
    <w:multiLevelType w:val="singleLevel"/>
    <w:tmpl w:val="0000000C"/>
    <w:lvl w:ilvl="0" w:tentative="0">
      <w:start w:val="1"/>
      <w:numFmt w:val="decimal"/>
      <w:pStyle w:val="77"/>
      <w:lvlText w:val="%1)"/>
      <w:lvlJc w:val="left"/>
      <w:pPr>
        <w:tabs>
          <w:tab w:val="left" w:pos="425"/>
        </w:tabs>
        <w:ind w:left="425" w:hanging="425"/>
      </w:pPr>
      <w:rPr>
        <w:rFonts w:hint="default"/>
      </w:rPr>
    </w:lvl>
  </w:abstractNum>
  <w:abstractNum w:abstractNumId="4">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6">
    <w:nsid w:val="22D61479"/>
    <w:multiLevelType w:val="multilevel"/>
    <w:tmpl w:val="22D61479"/>
    <w:lvl w:ilvl="0" w:tentative="0">
      <w:start w:val="1"/>
      <w:numFmt w:val="bullet"/>
      <w:pStyle w:val="95"/>
      <w:lvlText w:val=""/>
      <w:lvlJc w:val="left"/>
      <w:pPr>
        <w:tabs>
          <w:tab w:val="left" w:pos="391"/>
        </w:tabs>
        <w:ind w:left="391" w:hanging="391"/>
      </w:pPr>
      <w:rPr>
        <w:rFonts w:hint="default" w:ascii="Wingdings" w:hAnsi="Wingdings"/>
        <w:lang w:eastAsia="zh-CN"/>
      </w:rPr>
    </w:lvl>
    <w:lvl w:ilvl="1" w:tentative="0">
      <w:start w:val="1"/>
      <w:numFmt w:val="bullet"/>
      <w:lvlText w:val=""/>
      <w:lvlJc w:val="left"/>
      <w:pPr>
        <w:ind w:left="473" w:hanging="420"/>
      </w:pPr>
      <w:rPr>
        <w:rFonts w:hint="default" w:ascii="Wingdings" w:hAnsi="Wingdings"/>
      </w:rPr>
    </w:lvl>
    <w:lvl w:ilvl="2" w:tentative="0">
      <w:start w:val="1"/>
      <w:numFmt w:val="decimal"/>
      <w:lvlText w:val="%3."/>
      <w:lvlJc w:val="center"/>
      <w:pPr>
        <w:ind w:left="893" w:hanging="420"/>
      </w:pPr>
      <w:rPr>
        <w:rFonts w:hint="eastAsia"/>
      </w:rPr>
    </w:lvl>
    <w:lvl w:ilvl="3" w:tentative="0">
      <w:start w:val="1"/>
      <w:numFmt w:val="decimal"/>
      <w:pStyle w:val="117"/>
      <w:lvlText w:val="（%4）"/>
      <w:lvlJc w:val="left"/>
      <w:pPr>
        <w:ind w:left="1418" w:hanging="1134"/>
      </w:pPr>
      <w:rPr>
        <w:rFonts w:hint="default" w:hAnsi="Times New Roman"/>
      </w:rPr>
    </w:lvl>
    <w:lvl w:ilvl="4" w:tentative="0">
      <w:start w:val="1"/>
      <w:numFmt w:val="bullet"/>
      <w:lvlText w:val=""/>
      <w:lvlJc w:val="left"/>
      <w:pPr>
        <w:ind w:left="1733" w:hanging="420"/>
      </w:pPr>
      <w:rPr>
        <w:rFonts w:hint="default" w:ascii="Wingdings" w:hAnsi="Wingdings"/>
      </w:rPr>
    </w:lvl>
    <w:lvl w:ilvl="5" w:tentative="0">
      <w:start w:val="1"/>
      <w:numFmt w:val="bullet"/>
      <w:lvlText w:val=""/>
      <w:lvlJc w:val="left"/>
      <w:pPr>
        <w:ind w:left="2153" w:hanging="420"/>
      </w:pPr>
      <w:rPr>
        <w:rFonts w:hint="default" w:ascii="Wingdings" w:hAnsi="Wingdings"/>
      </w:rPr>
    </w:lvl>
    <w:lvl w:ilvl="6" w:tentative="0">
      <w:start w:val="1"/>
      <w:numFmt w:val="bullet"/>
      <w:lvlText w:val=""/>
      <w:lvlJc w:val="left"/>
      <w:pPr>
        <w:ind w:left="2573" w:hanging="420"/>
      </w:pPr>
      <w:rPr>
        <w:rFonts w:hint="default" w:ascii="Wingdings" w:hAnsi="Wingdings"/>
      </w:rPr>
    </w:lvl>
    <w:lvl w:ilvl="7" w:tentative="0">
      <w:start w:val="1"/>
      <w:numFmt w:val="bullet"/>
      <w:lvlText w:val=""/>
      <w:lvlJc w:val="left"/>
      <w:pPr>
        <w:ind w:left="2993" w:hanging="420"/>
      </w:pPr>
      <w:rPr>
        <w:rFonts w:hint="default" w:ascii="Wingdings" w:hAnsi="Wingdings"/>
      </w:rPr>
    </w:lvl>
    <w:lvl w:ilvl="8" w:tentative="0">
      <w:start w:val="1"/>
      <w:numFmt w:val="bullet"/>
      <w:lvlText w:val=""/>
      <w:lvlJc w:val="left"/>
      <w:pPr>
        <w:ind w:left="3413" w:hanging="420"/>
      </w:pPr>
      <w:rPr>
        <w:rFonts w:hint="default" w:ascii="Wingdings" w:hAnsi="Wingdings"/>
      </w:rPr>
    </w:lvl>
  </w:abstractNum>
  <w:abstractNum w:abstractNumId="7">
    <w:nsid w:val="2434239E"/>
    <w:multiLevelType w:val="multilevel"/>
    <w:tmpl w:val="2434239E"/>
    <w:lvl w:ilvl="0" w:tentative="0">
      <w:start w:val="1"/>
      <w:numFmt w:val="decimal"/>
      <w:lvlText w:val="%1."/>
      <w:lvlJc w:val="left"/>
      <w:pPr>
        <w:tabs>
          <w:tab w:val="left" w:pos="420"/>
        </w:tabs>
        <w:ind w:left="420" w:hanging="420"/>
      </w:pPr>
      <w:rPr>
        <w:rFonts w:hint="eastAsia" w:ascii="新宋体" w:hAnsi="新宋体" w:eastAsia="新宋体" w:cs="黑体"/>
      </w:rPr>
    </w:lvl>
    <w:lvl w:ilvl="1" w:tentative="0">
      <w:start w:val="0"/>
      <w:numFmt w:val="none"/>
      <w:lvlText w:val=""/>
      <w:lvlJc w:val="left"/>
      <w:pPr>
        <w:tabs>
          <w:tab w:val="left" w:pos="360"/>
        </w:tabs>
      </w:pPr>
    </w:lvl>
    <w:lvl w:ilvl="2" w:tentative="0">
      <w:start w:val="0"/>
      <w:numFmt w:val="none"/>
      <w:pStyle w:val="111"/>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1">
    <w:nsid w:val="6C07C839"/>
    <w:multiLevelType w:val="singleLevel"/>
    <w:tmpl w:val="6C07C839"/>
    <w:lvl w:ilvl="0" w:tentative="0">
      <w:start w:val="1"/>
      <w:numFmt w:val="decimal"/>
      <w:suff w:val="nothing"/>
      <w:lvlText w:val="（%1）"/>
      <w:lvlJc w:val="left"/>
    </w:lvl>
  </w:abstractNum>
  <w:abstractNum w:abstractNumId="12">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6"/>
  </w:num>
  <w:num w:numId="3">
    <w:abstractNumId w:val="7"/>
  </w:num>
  <w:num w:numId="4">
    <w:abstractNumId w:val="12"/>
  </w:num>
  <w:num w:numId="5">
    <w:abstractNumId w:val="2"/>
  </w:num>
  <w:num w:numId="6">
    <w:abstractNumId w:val="4"/>
  </w:num>
  <w:num w:numId="7">
    <w:abstractNumId w:val="8"/>
    <w:lvlOverride w:ilvl="0">
      <w:startOverride w:val="1"/>
    </w:lvlOverride>
  </w:num>
  <w:num w:numId="8">
    <w:abstractNumId w:val="9"/>
    <w:lvlOverride w:ilvl="0">
      <w:startOverride w:val="3"/>
    </w:lvlOverride>
  </w:num>
  <w:num w:numId="9">
    <w:abstractNumId w:val="10"/>
  </w:num>
  <w:num w:numId="10">
    <w:abstractNumId w:val="1"/>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7"/>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172A27"/>
    <w:rsid w:val="00001F8B"/>
    <w:rsid w:val="00002E2F"/>
    <w:rsid w:val="00010084"/>
    <w:rsid w:val="00010CF3"/>
    <w:rsid w:val="0001130C"/>
    <w:rsid w:val="00011AB9"/>
    <w:rsid w:val="00012821"/>
    <w:rsid w:val="000128BE"/>
    <w:rsid w:val="00016634"/>
    <w:rsid w:val="00020382"/>
    <w:rsid w:val="0002054B"/>
    <w:rsid w:val="00020EA3"/>
    <w:rsid w:val="000235C6"/>
    <w:rsid w:val="00030305"/>
    <w:rsid w:val="00030A7F"/>
    <w:rsid w:val="00032DD6"/>
    <w:rsid w:val="00035854"/>
    <w:rsid w:val="000400A0"/>
    <w:rsid w:val="00041607"/>
    <w:rsid w:val="00041EA5"/>
    <w:rsid w:val="00042A3F"/>
    <w:rsid w:val="0004542A"/>
    <w:rsid w:val="00045902"/>
    <w:rsid w:val="00045A4F"/>
    <w:rsid w:val="00047106"/>
    <w:rsid w:val="000475FB"/>
    <w:rsid w:val="00047A36"/>
    <w:rsid w:val="0005001A"/>
    <w:rsid w:val="00051115"/>
    <w:rsid w:val="00051D6D"/>
    <w:rsid w:val="00051FA5"/>
    <w:rsid w:val="00052583"/>
    <w:rsid w:val="00052AFE"/>
    <w:rsid w:val="0005363D"/>
    <w:rsid w:val="000552A7"/>
    <w:rsid w:val="00055C37"/>
    <w:rsid w:val="00055D38"/>
    <w:rsid w:val="00056BA3"/>
    <w:rsid w:val="00060D78"/>
    <w:rsid w:val="000611F4"/>
    <w:rsid w:val="000612F3"/>
    <w:rsid w:val="00062B32"/>
    <w:rsid w:val="00063A4A"/>
    <w:rsid w:val="0006425D"/>
    <w:rsid w:val="00064E3A"/>
    <w:rsid w:val="0006585A"/>
    <w:rsid w:val="000670C1"/>
    <w:rsid w:val="000679A0"/>
    <w:rsid w:val="000726F6"/>
    <w:rsid w:val="00072C60"/>
    <w:rsid w:val="00074FDD"/>
    <w:rsid w:val="000753B0"/>
    <w:rsid w:val="0007719E"/>
    <w:rsid w:val="000805CB"/>
    <w:rsid w:val="00082E7A"/>
    <w:rsid w:val="00083847"/>
    <w:rsid w:val="000855D1"/>
    <w:rsid w:val="000864BE"/>
    <w:rsid w:val="0009081D"/>
    <w:rsid w:val="0009188F"/>
    <w:rsid w:val="0009376A"/>
    <w:rsid w:val="00093A80"/>
    <w:rsid w:val="00094192"/>
    <w:rsid w:val="00094768"/>
    <w:rsid w:val="000962CF"/>
    <w:rsid w:val="000967BD"/>
    <w:rsid w:val="000A1FBC"/>
    <w:rsid w:val="000A2C1C"/>
    <w:rsid w:val="000A2DF0"/>
    <w:rsid w:val="000A37DD"/>
    <w:rsid w:val="000A4DD8"/>
    <w:rsid w:val="000A6F51"/>
    <w:rsid w:val="000B1F1D"/>
    <w:rsid w:val="000B47A2"/>
    <w:rsid w:val="000B47AC"/>
    <w:rsid w:val="000B580E"/>
    <w:rsid w:val="000B7409"/>
    <w:rsid w:val="000B77B7"/>
    <w:rsid w:val="000C054B"/>
    <w:rsid w:val="000C1F87"/>
    <w:rsid w:val="000C254F"/>
    <w:rsid w:val="000C259C"/>
    <w:rsid w:val="000C2771"/>
    <w:rsid w:val="000D0FFC"/>
    <w:rsid w:val="000D2D29"/>
    <w:rsid w:val="000D360D"/>
    <w:rsid w:val="000D3F77"/>
    <w:rsid w:val="000D400A"/>
    <w:rsid w:val="000D4159"/>
    <w:rsid w:val="000D4EBF"/>
    <w:rsid w:val="000E2B68"/>
    <w:rsid w:val="000E398F"/>
    <w:rsid w:val="000E448C"/>
    <w:rsid w:val="000E4A4F"/>
    <w:rsid w:val="000E5B6F"/>
    <w:rsid w:val="000E5C94"/>
    <w:rsid w:val="000E63DC"/>
    <w:rsid w:val="000E6427"/>
    <w:rsid w:val="000F1D6D"/>
    <w:rsid w:val="000F21B2"/>
    <w:rsid w:val="000F3332"/>
    <w:rsid w:val="000F3CB8"/>
    <w:rsid w:val="000F4AC3"/>
    <w:rsid w:val="000F5455"/>
    <w:rsid w:val="000F6B39"/>
    <w:rsid w:val="000F7478"/>
    <w:rsid w:val="000F760D"/>
    <w:rsid w:val="000F7CD9"/>
    <w:rsid w:val="001000B9"/>
    <w:rsid w:val="001012FE"/>
    <w:rsid w:val="001017BE"/>
    <w:rsid w:val="001017DD"/>
    <w:rsid w:val="00106EF2"/>
    <w:rsid w:val="001100E0"/>
    <w:rsid w:val="001117E2"/>
    <w:rsid w:val="00111958"/>
    <w:rsid w:val="00113D9D"/>
    <w:rsid w:val="00114B73"/>
    <w:rsid w:val="001157CA"/>
    <w:rsid w:val="00120F9F"/>
    <w:rsid w:val="00122054"/>
    <w:rsid w:val="001232EC"/>
    <w:rsid w:val="001249B1"/>
    <w:rsid w:val="00124D93"/>
    <w:rsid w:val="00124E39"/>
    <w:rsid w:val="00125369"/>
    <w:rsid w:val="00125850"/>
    <w:rsid w:val="001263F8"/>
    <w:rsid w:val="0012679A"/>
    <w:rsid w:val="00127B44"/>
    <w:rsid w:val="00131929"/>
    <w:rsid w:val="00131F9A"/>
    <w:rsid w:val="00133AE1"/>
    <w:rsid w:val="001357B0"/>
    <w:rsid w:val="00135BF2"/>
    <w:rsid w:val="00136332"/>
    <w:rsid w:val="00140834"/>
    <w:rsid w:val="00141533"/>
    <w:rsid w:val="00142172"/>
    <w:rsid w:val="00144181"/>
    <w:rsid w:val="00144254"/>
    <w:rsid w:val="00146461"/>
    <w:rsid w:val="00151840"/>
    <w:rsid w:val="00155F53"/>
    <w:rsid w:val="00156E9D"/>
    <w:rsid w:val="0015780A"/>
    <w:rsid w:val="00157A66"/>
    <w:rsid w:val="00157DE6"/>
    <w:rsid w:val="00161518"/>
    <w:rsid w:val="00163A86"/>
    <w:rsid w:val="0016451E"/>
    <w:rsid w:val="0016555E"/>
    <w:rsid w:val="00165849"/>
    <w:rsid w:val="00166045"/>
    <w:rsid w:val="00170387"/>
    <w:rsid w:val="00170712"/>
    <w:rsid w:val="00172782"/>
    <w:rsid w:val="00172A27"/>
    <w:rsid w:val="00173981"/>
    <w:rsid w:val="00173EEA"/>
    <w:rsid w:val="00174E04"/>
    <w:rsid w:val="00176FBD"/>
    <w:rsid w:val="00177552"/>
    <w:rsid w:val="00181938"/>
    <w:rsid w:val="0018253E"/>
    <w:rsid w:val="0018426C"/>
    <w:rsid w:val="00184822"/>
    <w:rsid w:val="001870AA"/>
    <w:rsid w:val="00191CFB"/>
    <w:rsid w:val="00192758"/>
    <w:rsid w:val="001943FD"/>
    <w:rsid w:val="00195D0D"/>
    <w:rsid w:val="00196CD8"/>
    <w:rsid w:val="001977E7"/>
    <w:rsid w:val="001A0140"/>
    <w:rsid w:val="001A074B"/>
    <w:rsid w:val="001A0EB9"/>
    <w:rsid w:val="001A0F7D"/>
    <w:rsid w:val="001A2B59"/>
    <w:rsid w:val="001A3222"/>
    <w:rsid w:val="001A6430"/>
    <w:rsid w:val="001B012E"/>
    <w:rsid w:val="001B1710"/>
    <w:rsid w:val="001B306C"/>
    <w:rsid w:val="001B3126"/>
    <w:rsid w:val="001B740D"/>
    <w:rsid w:val="001C2021"/>
    <w:rsid w:val="001C2EBB"/>
    <w:rsid w:val="001C47D4"/>
    <w:rsid w:val="001C4C3B"/>
    <w:rsid w:val="001C51B8"/>
    <w:rsid w:val="001C5264"/>
    <w:rsid w:val="001D09EB"/>
    <w:rsid w:val="001D09FE"/>
    <w:rsid w:val="001D1698"/>
    <w:rsid w:val="001D20F5"/>
    <w:rsid w:val="001D3635"/>
    <w:rsid w:val="001D417C"/>
    <w:rsid w:val="001E0BD9"/>
    <w:rsid w:val="001E214D"/>
    <w:rsid w:val="001E254F"/>
    <w:rsid w:val="001E27FB"/>
    <w:rsid w:val="001E2953"/>
    <w:rsid w:val="001E3796"/>
    <w:rsid w:val="001E56D0"/>
    <w:rsid w:val="001E571E"/>
    <w:rsid w:val="001E6E06"/>
    <w:rsid w:val="001E7562"/>
    <w:rsid w:val="001E7ECA"/>
    <w:rsid w:val="001F1864"/>
    <w:rsid w:val="001F2093"/>
    <w:rsid w:val="001F2E09"/>
    <w:rsid w:val="0020045C"/>
    <w:rsid w:val="00200461"/>
    <w:rsid w:val="002004CA"/>
    <w:rsid w:val="002005AF"/>
    <w:rsid w:val="0020177B"/>
    <w:rsid w:val="00201E24"/>
    <w:rsid w:val="00203EF2"/>
    <w:rsid w:val="002048F6"/>
    <w:rsid w:val="002067D8"/>
    <w:rsid w:val="0020700A"/>
    <w:rsid w:val="0021226D"/>
    <w:rsid w:val="00217297"/>
    <w:rsid w:val="00220ECD"/>
    <w:rsid w:val="0022161C"/>
    <w:rsid w:val="00221F0C"/>
    <w:rsid w:val="00222898"/>
    <w:rsid w:val="00222C68"/>
    <w:rsid w:val="00223216"/>
    <w:rsid w:val="0022420E"/>
    <w:rsid w:val="00227378"/>
    <w:rsid w:val="00235E45"/>
    <w:rsid w:val="00237A55"/>
    <w:rsid w:val="002400D1"/>
    <w:rsid w:val="0024127D"/>
    <w:rsid w:val="002413A7"/>
    <w:rsid w:val="00241454"/>
    <w:rsid w:val="00241ACA"/>
    <w:rsid w:val="00241EE7"/>
    <w:rsid w:val="002436EA"/>
    <w:rsid w:val="002443F3"/>
    <w:rsid w:val="00245E12"/>
    <w:rsid w:val="0025147C"/>
    <w:rsid w:val="002516D2"/>
    <w:rsid w:val="002525A9"/>
    <w:rsid w:val="00252754"/>
    <w:rsid w:val="00254061"/>
    <w:rsid w:val="00254B95"/>
    <w:rsid w:val="00257D26"/>
    <w:rsid w:val="0026027E"/>
    <w:rsid w:val="0026027F"/>
    <w:rsid w:val="00260309"/>
    <w:rsid w:val="00260D50"/>
    <w:rsid w:val="002613E3"/>
    <w:rsid w:val="002624BC"/>
    <w:rsid w:val="002628FF"/>
    <w:rsid w:val="00262BD0"/>
    <w:rsid w:val="00263246"/>
    <w:rsid w:val="00265C05"/>
    <w:rsid w:val="0026657C"/>
    <w:rsid w:val="002726B8"/>
    <w:rsid w:val="0027380C"/>
    <w:rsid w:val="002741F8"/>
    <w:rsid w:val="0027780C"/>
    <w:rsid w:val="00282690"/>
    <w:rsid w:val="00283C10"/>
    <w:rsid w:val="00285751"/>
    <w:rsid w:val="002870DA"/>
    <w:rsid w:val="0029256D"/>
    <w:rsid w:val="0029397C"/>
    <w:rsid w:val="00293D96"/>
    <w:rsid w:val="002972FA"/>
    <w:rsid w:val="002979A8"/>
    <w:rsid w:val="002A11C8"/>
    <w:rsid w:val="002A1AD5"/>
    <w:rsid w:val="002A292E"/>
    <w:rsid w:val="002A2D18"/>
    <w:rsid w:val="002A3FD6"/>
    <w:rsid w:val="002A5153"/>
    <w:rsid w:val="002A6C6C"/>
    <w:rsid w:val="002A736E"/>
    <w:rsid w:val="002B11E9"/>
    <w:rsid w:val="002B21B7"/>
    <w:rsid w:val="002B4371"/>
    <w:rsid w:val="002B48FA"/>
    <w:rsid w:val="002B64CD"/>
    <w:rsid w:val="002B6895"/>
    <w:rsid w:val="002C0B1E"/>
    <w:rsid w:val="002C191E"/>
    <w:rsid w:val="002C24D7"/>
    <w:rsid w:val="002C3AFE"/>
    <w:rsid w:val="002C6662"/>
    <w:rsid w:val="002C67BE"/>
    <w:rsid w:val="002C74DF"/>
    <w:rsid w:val="002D0915"/>
    <w:rsid w:val="002D098F"/>
    <w:rsid w:val="002D0D51"/>
    <w:rsid w:val="002D1048"/>
    <w:rsid w:val="002D17A8"/>
    <w:rsid w:val="002D4B48"/>
    <w:rsid w:val="002D7CFF"/>
    <w:rsid w:val="002E025D"/>
    <w:rsid w:val="002E233E"/>
    <w:rsid w:val="002E6278"/>
    <w:rsid w:val="002E6417"/>
    <w:rsid w:val="002F2A13"/>
    <w:rsid w:val="002F2A16"/>
    <w:rsid w:val="002F4365"/>
    <w:rsid w:val="002F4D81"/>
    <w:rsid w:val="002F5EC8"/>
    <w:rsid w:val="002F68FC"/>
    <w:rsid w:val="002F6DA7"/>
    <w:rsid w:val="002F6F7B"/>
    <w:rsid w:val="002F74E6"/>
    <w:rsid w:val="003001DB"/>
    <w:rsid w:val="00300264"/>
    <w:rsid w:val="00300869"/>
    <w:rsid w:val="00302552"/>
    <w:rsid w:val="00302862"/>
    <w:rsid w:val="00303761"/>
    <w:rsid w:val="003052B1"/>
    <w:rsid w:val="0030551E"/>
    <w:rsid w:val="0030613B"/>
    <w:rsid w:val="00306736"/>
    <w:rsid w:val="00307516"/>
    <w:rsid w:val="00310E1C"/>
    <w:rsid w:val="00311A70"/>
    <w:rsid w:val="00312A78"/>
    <w:rsid w:val="00313CA6"/>
    <w:rsid w:val="003143F0"/>
    <w:rsid w:val="00321C84"/>
    <w:rsid w:val="00322488"/>
    <w:rsid w:val="00322B7B"/>
    <w:rsid w:val="0032416A"/>
    <w:rsid w:val="003242DF"/>
    <w:rsid w:val="00325653"/>
    <w:rsid w:val="00326387"/>
    <w:rsid w:val="00326900"/>
    <w:rsid w:val="00330F43"/>
    <w:rsid w:val="003312E2"/>
    <w:rsid w:val="003316DA"/>
    <w:rsid w:val="003317DD"/>
    <w:rsid w:val="0033299E"/>
    <w:rsid w:val="00333B8D"/>
    <w:rsid w:val="003360A9"/>
    <w:rsid w:val="00336659"/>
    <w:rsid w:val="00336F72"/>
    <w:rsid w:val="0033732A"/>
    <w:rsid w:val="003373AB"/>
    <w:rsid w:val="00337FA7"/>
    <w:rsid w:val="0034170E"/>
    <w:rsid w:val="00341968"/>
    <w:rsid w:val="00343B96"/>
    <w:rsid w:val="00343CAA"/>
    <w:rsid w:val="00346857"/>
    <w:rsid w:val="00346864"/>
    <w:rsid w:val="00346AFC"/>
    <w:rsid w:val="0034780F"/>
    <w:rsid w:val="003478B9"/>
    <w:rsid w:val="00352923"/>
    <w:rsid w:val="003532DC"/>
    <w:rsid w:val="00353303"/>
    <w:rsid w:val="003534DD"/>
    <w:rsid w:val="003536E9"/>
    <w:rsid w:val="003555CB"/>
    <w:rsid w:val="00355A98"/>
    <w:rsid w:val="00355FFA"/>
    <w:rsid w:val="00356AC8"/>
    <w:rsid w:val="00356B9B"/>
    <w:rsid w:val="00356E4F"/>
    <w:rsid w:val="00357116"/>
    <w:rsid w:val="00357485"/>
    <w:rsid w:val="003615E3"/>
    <w:rsid w:val="00361D60"/>
    <w:rsid w:val="00362724"/>
    <w:rsid w:val="00362B14"/>
    <w:rsid w:val="00365052"/>
    <w:rsid w:val="00367B9B"/>
    <w:rsid w:val="00367DB6"/>
    <w:rsid w:val="00370167"/>
    <w:rsid w:val="00372D03"/>
    <w:rsid w:val="00373582"/>
    <w:rsid w:val="00374416"/>
    <w:rsid w:val="00374F50"/>
    <w:rsid w:val="00375823"/>
    <w:rsid w:val="003762F8"/>
    <w:rsid w:val="00380319"/>
    <w:rsid w:val="003816C2"/>
    <w:rsid w:val="003818AC"/>
    <w:rsid w:val="00382968"/>
    <w:rsid w:val="00383CA4"/>
    <w:rsid w:val="00384F6A"/>
    <w:rsid w:val="0038522A"/>
    <w:rsid w:val="00387867"/>
    <w:rsid w:val="0039067F"/>
    <w:rsid w:val="00393B7F"/>
    <w:rsid w:val="00395C39"/>
    <w:rsid w:val="003969CF"/>
    <w:rsid w:val="00396C6E"/>
    <w:rsid w:val="003A0BA2"/>
    <w:rsid w:val="003A1379"/>
    <w:rsid w:val="003A1975"/>
    <w:rsid w:val="003A1C6E"/>
    <w:rsid w:val="003A56F9"/>
    <w:rsid w:val="003A63F4"/>
    <w:rsid w:val="003B0155"/>
    <w:rsid w:val="003B2E69"/>
    <w:rsid w:val="003B4AF0"/>
    <w:rsid w:val="003B562C"/>
    <w:rsid w:val="003B6FD0"/>
    <w:rsid w:val="003B7263"/>
    <w:rsid w:val="003C0C86"/>
    <w:rsid w:val="003C4408"/>
    <w:rsid w:val="003C4874"/>
    <w:rsid w:val="003C6C0B"/>
    <w:rsid w:val="003C7F38"/>
    <w:rsid w:val="003D11E9"/>
    <w:rsid w:val="003D45A6"/>
    <w:rsid w:val="003D6176"/>
    <w:rsid w:val="003D6340"/>
    <w:rsid w:val="003D7708"/>
    <w:rsid w:val="003D7D16"/>
    <w:rsid w:val="003E1E14"/>
    <w:rsid w:val="003E2579"/>
    <w:rsid w:val="003E47ED"/>
    <w:rsid w:val="003F0660"/>
    <w:rsid w:val="003F075C"/>
    <w:rsid w:val="003F085E"/>
    <w:rsid w:val="003F1FA1"/>
    <w:rsid w:val="003F243E"/>
    <w:rsid w:val="003F3AA8"/>
    <w:rsid w:val="003F73A1"/>
    <w:rsid w:val="003F7541"/>
    <w:rsid w:val="003F7D06"/>
    <w:rsid w:val="00400F50"/>
    <w:rsid w:val="00403EAD"/>
    <w:rsid w:val="00407BE3"/>
    <w:rsid w:val="00411321"/>
    <w:rsid w:val="00411EBB"/>
    <w:rsid w:val="004126A2"/>
    <w:rsid w:val="004126B8"/>
    <w:rsid w:val="00412832"/>
    <w:rsid w:val="00412B66"/>
    <w:rsid w:val="0041414E"/>
    <w:rsid w:val="00415920"/>
    <w:rsid w:val="004163A4"/>
    <w:rsid w:val="004177B4"/>
    <w:rsid w:val="00417C7A"/>
    <w:rsid w:val="004212EB"/>
    <w:rsid w:val="00421B7F"/>
    <w:rsid w:val="004245A7"/>
    <w:rsid w:val="00424B17"/>
    <w:rsid w:val="004250CF"/>
    <w:rsid w:val="00427862"/>
    <w:rsid w:val="00432C04"/>
    <w:rsid w:val="004344C1"/>
    <w:rsid w:val="00434762"/>
    <w:rsid w:val="00435848"/>
    <w:rsid w:val="00436261"/>
    <w:rsid w:val="00437172"/>
    <w:rsid w:val="00437F85"/>
    <w:rsid w:val="00440C9A"/>
    <w:rsid w:val="0044358B"/>
    <w:rsid w:val="00446784"/>
    <w:rsid w:val="00447078"/>
    <w:rsid w:val="0045160A"/>
    <w:rsid w:val="00451861"/>
    <w:rsid w:val="004553CB"/>
    <w:rsid w:val="004559A9"/>
    <w:rsid w:val="00456424"/>
    <w:rsid w:val="00460384"/>
    <w:rsid w:val="00460413"/>
    <w:rsid w:val="004624C1"/>
    <w:rsid w:val="0046344C"/>
    <w:rsid w:val="00463471"/>
    <w:rsid w:val="00464580"/>
    <w:rsid w:val="00467720"/>
    <w:rsid w:val="0047096E"/>
    <w:rsid w:val="00470DC4"/>
    <w:rsid w:val="00471AD3"/>
    <w:rsid w:val="00472921"/>
    <w:rsid w:val="00472E9C"/>
    <w:rsid w:val="00473267"/>
    <w:rsid w:val="00473377"/>
    <w:rsid w:val="004741A7"/>
    <w:rsid w:val="0047622F"/>
    <w:rsid w:val="00476EC8"/>
    <w:rsid w:val="0047763D"/>
    <w:rsid w:val="00480118"/>
    <w:rsid w:val="0048086B"/>
    <w:rsid w:val="00480B92"/>
    <w:rsid w:val="0048234A"/>
    <w:rsid w:val="00484469"/>
    <w:rsid w:val="00485001"/>
    <w:rsid w:val="00485428"/>
    <w:rsid w:val="00491686"/>
    <w:rsid w:val="00491752"/>
    <w:rsid w:val="00491CFA"/>
    <w:rsid w:val="0049234F"/>
    <w:rsid w:val="0049312F"/>
    <w:rsid w:val="0049392B"/>
    <w:rsid w:val="00495128"/>
    <w:rsid w:val="0049535E"/>
    <w:rsid w:val="0049541F"/>
    <w:rsid w:val="00496095"/>
    <w:rsid w:val="00496175"/>
    <w:rsid w:val="00496571"/>
    <w:rsid w:val="00496F6E"/>
    <w:rsid w:val="004A13A4"/>
    <w:rsid w:val="004A3C4C"/>
    <w:rsid w:val="004A44B0"/>
    <w:rsid w:val="004A4661"/>
    <w:rsid w:val="004A48C2"/>
    <w:rsid w:val="004A5EC4"/>
    <w:rsid w:val="004A6989"/>
    <w:rsid w:val="004B0FAC"/>
    <w:rsid w:val="004B117E"/>
    <w:rsid w:val="004B123F"/>
    <w:rsid w:val="004B1615"/>
    <w:rsid w:val="004B1743"/>
    <w:rsid w:val="004B1AB2"/>
    <w:rsid w:val="004B27AA"/>
    <w:rsid w:val="004B2B1B"/>
    <w:rsid w:val="004B71CC"/>
    <w:rsid w:val="004B71F2"/>
    <w:rsid w:val="004C10F4"/>
    <w:rsid w:val="004C2012"/>
    <w:rsid w:val="004C305F"/>
    <w:rsid w:val="004C462F"/>
    <w:rsid w:val="004C5EC6"/>
    <w:rsid w:val="004C6566"/>
    <w:rsid w:val="004C6FF1"/>
    <w:rsid w:val="004D00AD"/>
    <w:rsid w:val="004D0E01"/>
    <w:rsid w:val="004D4165"/>
    <w:rsid w:val="004D4634"/>
    <w:rsid w:val="004D4DB9"/>
    <w:rsid w:val="004D57A5"/>
    <w:rsid w:val="004D72D3"/>
    <w:rsid w:val="004D7481"/>
    <w:rsid w:val="004D75BA"/>
    <w:rsid w:val="004D7CFE"/>
    <w:rsid w:val="004E0260"/>
    <w:rsid w:val="004E08C5"/>
    <w:rsid w:val="004E09FA"/>
    <w:rsid w:val="004E15E4"/>
    <w:rsid w:val="004E2060"/>
    <w:rsid w:val="004E2FDC"/>
    <w:rsid w:val="004E64FC"/>
    <w:rsid w:val="004F27D1"/>
    <w:rsid w:val="004F2E9C"/>
    <w:rsid w:val="004F4C4A"/>
    <w:rsid w:val="004F4FCA"/>
    <w:rsid w:val="004F526E"/>
    <w:rsid w:val="004F54CF"/>
    <w:rsid w:val="004F7A21"/>
    <w:rsid w:val="005003FB"/>
    <w:rsid w:val="00501707"/>
    <w:rsid w:val="0050351C"/>
    <w:rsid w:val="005041F6"/>
    <w:rsid w:val="005053D5"/>
    <w:rsid w:val="00512000"/>
    <w:rsid w:val="00513A1E"/>
    <w:rsid w:val="00515249"/>
    <w:rsid w:val="00515448"/>
    <w:rsid w:val="005154DA"/>
    <w:rsid w:val="0051781B"/>
    <w:rsid w:val="00517E74"/>
    <w:rsid w:val="0052154B"/>
    <w:rsid w:val="005216BA"/>
    <w:rsid w:val="005216BE"/>
    <w:rsid w:val="00521728"/>
    <w:rsid w:val="0052345E"/>
    <w:rsid w:val="005235BA"/>
    <w:rsid w:val="0052654D"/>
    <w:rsid w:val="0053020C"/>
    <w:rsid w:val="0053132C"/>
    <w:rsid w:val="00531CB7"/>
    <w:rsid w:val="00532E26"/>
    <w:rsid w:val="00533B86"/>
    <w:rsid w:val="005359EA"/>
    <w:rsid w:val="0053774F"/>
    <w:rsid w:val="00537972"/>
    <w:rsid w:val="00537C7B"/>
    <w:rsid w:val="00537FBF"/>
    <w:rsid w:val="00540020"/>
    <w:rsid w:val="005406D9"/>
    <w:rsid w:val="0054083A"/>
    <w:rsid w:val="005437E2"/>
    <w:rsid w:val="00546611"/>
    <w:rsid w:val="0055069D"/>
    <w:rsid w:val="0055100C"/>
    <w:rsid w:val="005519E1"/>
    <w:rsid w:val="00553369"/>
    <w:rsid w:val="00556590"/>
    <w:rsid w:val="00556ECD"/>
    <w:rsid w:val="00557991"/>
    <w:rsid w:val="0056033A"/>
    <w:rsid w:val="00561EAF"/>
    <w:rsid w:val="00563DDF"/>
    <w:rsid w:val="005644A5"/>
    <w:rsid w:val="00565966"/>
    <w:rsid w:val="005669AC"/>
    <w:rsid w:val="00567442"/>
    <w:rsid w:val="00567B4F"/>
    <w:rsid w:val="00570C24"/>
    <w:rsid w:val="00574181"/>
    <w:rsid w:val="00576408"/>
    <w:rsid w:val="005805B4"/>
    <w:rsid w:val="00580F4E"/>
    <w:rsid w:val="00581F94"/>
    <w:rsid w:val="0058468A"/>
    <w:rsid w:val="005867F0"/>
    <w:rsid w:val="00587E47"/>
    <w:rsid w:val="005917E0"/>
    <w:rsid w:val="00592F5D"/>
    <w:rsid w:val="0059392C"/>
    <w:rsid w:val="00593ED3"/>
    <w:rsid w:val="0059530F"/>
    <w:rsid w:val="005969E9"/>
    <w:rsid w:val="00596DC1"/>
    <w:rsid w:val="00597E86"/>
    <w:rsid w:val="005A12D9"/>
    <w:rsid w:val="005A165F"/>
    <w:rsid w:val="005A17E4"/>
    <w:rsid w:val="005A243A"/>
    <w:rsid w:val="005A2842"/>
    <w:rsid w:val="005A29A3"/>
    <w:rsid w:val="005A6E4E"/>
    <w:rsid w:val="005B01A0"/>
    <w:rsid w:val="005B0312"/>
    <w:rsid w:val="005B1E80"/>
    <w:rsid w:val="005B3AE9"/>
    <w:rsid w:val="005B3DED"/>
    <w:rsid w:val="005B46FB"/>
    <w:rsid w:val="005C0E2B"/>
    <w:rsid w:val="005C1CF2"/>
    <w:rsid w:val="005C2CAD"/>
    <w:rsid w:val="005C6A9B"/>
    <w:rsid w:val="005C74C9"/>
    <w:rsid w:val="005D2274"/>
    <w:rsid w:val="005D7185"/>
    <w:rsid w:val="005D750B"/>
    <w:rsid w:val="005E05A4"/>
    <w:rsid w:val="005E07C3"/>
    <w:rsid w:val="005E0B48"/>
    <w:rsid w:val="005E0D06"/>
    <w:rsid w:val="005E17FD"/>
    <w:rsid w:val="005E1B10"/>
    <w:rsid w:val="005E3434"/>
    <w:rsid w:val="005E7455"/>
    <w:rsid w:val="005F128B"/>
    <w:rsid w:val="005F3B57"/>
    <w:rsid w:val="005F4DC0"/>
    <w:rsid w:val="005F5C7C"/>
    <w:rsid w:val="00600A7E"/>
    <w:rsid w:val="00601C02"/>
    <w:rsid w:val="00602002"/>
    <w:rsid w:val="00604AAC"/>
    <w:rsid w:val="00604F46"/>
    <w:rsid w:val="00606D46"/>
    <w:rsid w:val="00610BB3"/>
    <w:rsid w:val="00611612"/>
    <w:rsid w:val="00612123"/>
    <w:rsid w:val="006126A0"/>
    <w:rsid w:val="006137B2"/>
    <w:rsid w:val="00614277"/>
    <w:rsid w:val="0061565F"/>
    <w:rsid w:val="00620550"/>
    <w:rsid w:val="00620F05"/>
    <w:rsid w:val="0062797E"/>
    <w:rsid w:val="006331D6"/>
    <w:rsid w:val="00634345"/>
    <w:rsid w:val="00635580"/>
    <w:rsid w:val="006356B4"/>
    <w:rsid w:val="0063711A"/>
    <w:rsid w:val="00641030"/>
    <w:rsid w:val="006411E3"/>
    <w:rsid w:val="00643C47"/>
    <w:rsid w:val="0064610F"/>
    <w:rsid w:val="00647606"/>
    <w:rsid w:val="00647FEF"/>
    <w:rsid w:val="006523CB"/>
    <w:rsid w:val="006526AC"/>
    <w:rsid w:val="006533E9"/>
    <w:rsid w:val="006543B0"/>
    <w:rsid w:val="00655AED"/>
    <w:rsid w:val="00656DD3"/>
    <w:rsid w:val="00657982"/>
    <w:rsid w:val="00660067"/>
    <w:rsid w:val="00660AA2"/>
    <w:rsid w:val="00663781"/>
    <w:rsid w:val="00663FA2"/>
    <w:rsid w:val="00666ECA"/>
    <w:rsid w:val="00670AB8"/>
    <w:rsid w:val="006721D3"/>
    <w:rsid w:val="00672452"/>
    <w:rsid w:val="0067285E"/>
    <w:rsid w:val="00672AEE"/>
    <w:rsid w:val="0067436B"/>
    <w:rsid w:val="0067446A"/>
    <w:rsid w:val="006756DE"/>
    <w:rsid w:val="00675C88"/>
    <w:rsid w:val="00676DF9"/>
    <w:rsid w:val="006802DE"/>
    <w:rsid w:val="00681F0E"/>
    <w:rsid w:val="00681F1D"/>
    <w:rsid w:val="006823A3"/>
    <w:rsid w:val="0068394F"/>
    <w:rsid w:val="00683B05"/>
    <w:rsid w:val="00687A01"/>
    <w:rsid w:val="00690AFC"/>
    <w:rsid w:val="006922F4"/>
    <w:rsid w:val="006950DB"/>
    <w:rsid w:val="00696AFC"/>
    <w:rsid w:val="0069725F"/>
    <w:rsid w:val="00697EFA"/>
    <w:rsid w:val="006A18C5"/>
    <w:rsid w:val="006A1AEA"/>
    <w:rsid w:val="006A1F60"/>
    <w:rsid w:val="006A2129"/>
    <w:rsid w:val="006A485C"/>
    <w:rsid w:val="006A632C"/>
    <w:rsid w:val="006B2FBB"/>
    <w:rsid w:val="006B38F5"/>
    <w:rsid w:val="006B4CCA"/>
    <w:rsid w:val="006B53F9"/>
    <w:rsid w:val="006B6B06"/>
    <w:rsid w:val="006B7053"/>
    <w:rsid w:val="006C035B"/>
    <w:rsid w:val="006C10C8"/>
    <w:rsid w:val="006C1411"/>
    <w:rsid w:val="006C1D85"/>
    <w:rsid w:val="006C1FCA"/>
    <w:rsid w:val="006C27FD"/>
    <w:rsid w:val="006C2D81"/>
    <w:rsid w:val="006C2FD4"/>
    <w:rsid w:val="006C3762"/>
    <w:rsid w:val="006C3A67"/>
    <w:rsid w:val="006C3DE3"/>
    <w:rsid w:val="006C4A16"/>
    <w:rsid w:val="006C577C"/>
    <w:rsid w:val="006C6E93"/>
    <w:rsid w:val="006C7786"/>
    <w:rsid w:val="006D0D1C"/>
    <w:rsid w:val="006D6C50"/>
    <w:rsid w:val="006D7389"/>
    <w:rsid w:val="006E2F32"/>
    <w:rsid w:val="006E32B0"/>
    <w:rsid w:val="006E36F8"/>
    <w:rsid w:val="006E3883"/>
    <w:rsid w:val="006E47E3"/>
    <w:rsid w:val="006E53F5"/>
    <w:rsid w:val="006E5F75"/>
    <w:rsid w:val="006E67D2"/>
    <w:rsid w:val="006E7460"/>
    <w:rsid w:val="006F0155"/>
    <w:rsid w:val="006F0579"/>
    <w:rsid w:val="006F0E6D"/>
    <w:rsid w:val="006F1E2D"/>
    <w:rsid w:val="006F2567"/>
    <w:rsid w:val="006F29AD"/>
    <w:rsid w:val="006F3606"/>
    <w:rsid w:val="006F38A5"/>
    <w:rsid w:val="006F390A"/>
    <w:rsid w:val="006F3DB3"/>
    <w:rsid w:val="006F5D12"/>
    <w:rsid w:val="006F60BF"/>
    <w:rsid w:val="006F7077"/>
    <w:rsid w:val="006F70E0"/>
    <w:rsid w:val="006F7815"/>
    <w:rsid w:val="006F796B"/>
    <w:rsid w:val="00700859"/>
    <w:rsid w:val="007014C5"/>
    <w:rsid w:val="007020A1"/>
    <w:rsid w:val="0070210D"/>
    <w:rsid w:val="00703F5F"/>
    <w:rsid w:val="007048EC"/>
    <w:rsid w:val="00704CAF"/>
    <w:rsid w:val="00704F8F"/>
    <w:rsid w:val="00705E7A"/>
    <w:rsid w:val="00706A39"/>
    <w:rsid w:val="0071025B"/>
    <w:rsid w:val="00713B49"/>
    <w:rsid w:val="0071478A"/>
    <w:rsid w:val="00715132"/>
    <w:rsid w:val="007152F7"/>
    <w:rsid w:val="007157B5"/>
    <w:rsid w:val="00715E27"/>
    <w:rsid w:val="007163A4"/>
    <w:rsid w:val="00717C01"/>
    <w:rsid w:val="00724E0B"/>
    <w:rsid w:val="00726C56"/>
    <w:rsid w:val="00726CE5"/>
    <w:rsid w:val="00727290"/>
    <w:rsid w:val="00727C9A"/>
    <w:rsid w:val="00732B59"/>
    <w:rsid w:val="00734935"/>
    <w:rsid w:val="0073498E"/>
    <w:rsid w:val="0073738E"/>
    <w:rsid w:val="00737817"/>
    <w:rsid w:val="00737987"/>
    <w:rsid w:val="007416FF"/>
    <w:rsid w:val="00742132"/>
    <w:rsid w:val="00743730"/>
    <w:rsid w:val="00744F70"/>
    <w:rsid w:val="0074570E"/>
    <w:rsid w:val="00746CF7"/>
    <w:rsid w:val="00747278"/>
    <w:rsid w:val="00747980"/>
    <w:rsid w:val="007502F8"/>
    <w:rsid w:val="007509A2"/>
    <w:rsid w:val="0075342C"/>
    <w:rsid w:val="00753432"/>
    <w:rsid w:val="0075357C"/>
    <w:rsid w:val="0075499F"/>
    <w:rsid w:val="00755646"/>
    <w:rsid w:val="007560DB"/>
    <w:rsid w:val="007563E5"/>
    <w:rsid w:val="0075690F"/>
    <w:rsid w:val="00757572"/>
    <w:rsid w:val="00761D60"/>
    <w:rsid w:val="00762615"/>
    <w:rsid w:val="0076262A"/>
    <w:rsid w:val="0076342B"/>
    <w:rsid w:val="00763E60"/>
    <w:rsid w:val="0076467E"/>
    <w:rsid w:val="007651F1"/>
    <w:rsid w:val="007708D1"/>
    <w:rsid w:val="00771265"/>
    <w:rsid w:val="00771EF3"/>
    <w:rsid w:val="0077281C"/>
    <w:rsid w:val="00772DF7"/>
    <w:rsid w:val="00774D87"/>
    <w:rsid w:val="0077759C"/>
    <w:rsid w:val="00780B1C"/>
    <w:rsid w:val="00780E40"/>
    <w:rsid w:val="00781264"/>
    <w:rsid w:val="007823B6"/>
    <w:rsid w:val="0078319A"/>
    <w:rsid w:val="007835D5"/>
    <w:rsid w:val="0078646F"/>
    <w:rsid w:val="00786E4C"/>
    <w:rsid w:val="00787231"/>
    <w:rsid w:val="00790169"/>
    <w:rsid w:val="00792B3B"/>
    <w:rsid w:val="007937D4"/>
    <w:rsid w:val="0079552C"/>
    <w:rsid w:val="0079611A"/>
    <w:rsid w:val="00796945"/>
    <w:rsid w:val="0079696D"/>
    <w:rsid w:val="0079698B"/>
    <w:rsid w:val="0079790B"/>
    <w:rsid w:val="00797EF4"/>
    <w:rsid w:val="007A0469"/>
    <w:rsid w:val="007A34B4"/>
    <w:rsid w:val="007A5A30"/>
    <w:rsid w:val="007A5AA5"/>
    <w:rsid w:val="007A70AE"/>
    <w:rsid w:val="007B070B"/>
    <w:rsid w:val="007B2FCF"/>
    <w:rsid w:val="007B3508"/>
    <w:rsid w:val="007B503D"/>
    <w:rsid w:val="007B63FF"/>
    <w:rsid w:val="007B65EA"/>
    <w:rsid w:val="007B6674"/>
    <w:rsid w:val="007B7062"/>
    <w:rsid w:val="007C079C"/>
    <w:rsid w:val="007C4B59"/>
    <w:rsid w:val="007C5162"/>
    <w:rsid w:val="007D0689"/>
    <w:rsid w:val="007D10DF"/>
    <w:rsid w:val="007D1C30"/>
    <w:rsid w:val="007D2026"/>
    <w:rsid w:val="007D235B"/>
    <w:rsid w:val="007D271A"/>
    <w:rsid w:val="007D35C9"/>
    <w:rsid w:val="007D3726"/>
    <w:rsid w:val="007D37C5"/>
    <w:rsid w:val="007D63AE"/>
    <w:rsid w:val="007D78EC"/>
    <w:rsid w:val="007E528A"/>
    <w:rsid w:val="007E745C"/>
    <w:rsid w:val="007E7DC5"/>
    <w:rsid w:val="007F210B"/>
    <w:rsid w:val="007F2450"/>
    <w:rsid w:val="007F2D41"/>
    <w:rsid w:val="007F2E03"/>
    <w:rsid w:val="007F33F1"/>
    <w:rsid w:val="007F5E71"/>
    <w:rsid w:val="007F62B2"/>
    <w:rsid w:val="007F7731"/>
    <w:rsid w:val="007F7C6A"/>
    <w:rsid w:val="007F7F68"/>
    <w:rsid w:val="00801F3C"/>
    <w:rsid w:val="00802A95"/>
    <w:rsid w:val="0080352E"/>
    <w:rsid w:val="0080398E"/>
    <w:rsid w:val="008061C3"/>
    <w:rsid w:val="00806DD7"/>
    <w:rsid w:val="00807350"/>
    <w:rsid w:val="00807A22"/>
    <w:rsid w:val="00810AA8"/>
    <w:rsid w:val="00811127"/>
    <w:rsid w:val="00812721"/>
    <w:rsid w:val="0081316B"/>
    <w:rsid w:val="00820538"/>
    <w:rsid w:val="008206F2"/>
    <w:rsid w:val="0082095F"/>
    <w:rsid w:val="008210D8"/>
    <w:rsid w:val="008227A1"/>
    <w:rsid w:val="00822EBA"/>
    <w:rsid w:val="0082441D"/>
    <w:rsid w:val="00825A71"/>
    <w:rsid w:val="00826AB5"/>
    <w:rsid w:val="0082742E"/>
    <w:rsid w:val="00827A2F"/>
    <w:rsid w:val="008302FB"/>
    <w:rsid w:val="0083112B"/>
    <w:rsid w:val="00831ADF"/>
    <w:rsid w:val="00834ED5"/>
    <w:rsid w:val="00835795"/>
    <w:rsid w:val="008369F3"/>
    <w:rsid w:val="00837B6E"/>
    <w:rsid w:val="0084055F"/>
    <w:rsid w:val="008406DD"/>
    <w:rsid w:val="00840F04"/>
    <w:rsid w:val="00841311"/>
    <w:rsid w:val="008413A0"/>
    <w:rsid w:val="00841C14"/>
    <w:rsid w:val="00842F06"/>
    <w:rsid w:val="008456D4"/>
    <w:rsid w:val="00846457"/>
    <w:rsid w:val="008467CA"/>
    <w:rsid w:val="008470F0"/>
    <w:rsid w:val="00847CCF"/>
    <w:rsid w:val="00850AFE"/>
    <w:rsid w:val="00860723"/>
    <w:rsid w:val="00860946"/>
    <w:rsid w:val="00862626"/>
    <w:rsid w:val="00865966"/>
    <w:rsid w:val="00866896"/>
    <w:rsid w:val="00870346"/>
    <w:rsid w:val="008712DC"/>
    <w:rsid w:val="00872814"/>
    <w:rsid w:val="00873569"/>
    <w:rsid w:val="008772CD"/>
    <w:rsid w:val="008773B2"/>
    <w:rsid w:val="00877489"/>
    <w:rsid w:val="0088054E"/>
    <w:rsid w:val="0088141A"/>
    <w:rsid w:val="00884769"/>
    <w:rsid w:val="00885184"/>
    <w:rsid w:val="008859D9"/>
    <w:rsid w:val="00885AAC"/>
    <w:rsid w:val="008872CB"/>
    <w:rsid w:val="00887CDD"/>
    <w:rsid w:val="0089383C"/>
    <w:rsid w:val="00893AE0"/>
    <w:rsid w:val="008949A4"/>
    <w:rsid w:val="00896C3F"/>
    <w:rsid w:val="00896F0C"/>
    <w:rsid w:val="008976A4"/>
    <w:rsid w:val="00897AD1"/>
    <w:rsid w:val="008A134B"/>
    <w:rsid w:val="008A13E3"/>
    <w:rsid w:val="008A2CDF"/>
    <w:rsid w:val="008A33F5"/>
    <w:rsid w:val="008A34DA"/>
    <w:rsid w:val="008A3DD5"/>
    <w:rsid w:val="008A6C16"/>
    <w:rsid w:val="008A6E76"/>
    <w:rsid w:val="008B1122"/>
    <w:rsid w:val="008B52F0"/>
    <w:rsid w:val="008B546A"/>
    <w:rsid w:val="008B691A"/>
    <w:rsid w:val="008B78FA"/>
    <w:rsid w:val="008C027A"/>
    <w:rsid w:val="008C1958"/>
    <w:rsid w:val="008C1CE4"/>
    <w:rsid w:val="008C2C63"/>
    <w:rsid w:val="008C3CC0"/>
    <w:rsid w:val="008C3FAB"/>
    <w:rsid w:val="008C46D5"/>
    <w:rsid w:val="008C4951"/>
    <w:rsid w:val="008C6912"/>
    <w:rsid w:val="008C6C56"/>
    <w:rsid w:val="008C71DC"/>
    <w:rsid w:val="008C7DA8"/>
    <w:rsid w:val="008D1109"/>
    <w:rsid w:val="008D46BA"/>
    <w:rsid w:val="008D618D"/>
    <w:rsid w:val="008D6534"/>
    <w:rsid w:val="008E1745"/>
    <w:rsid w:val="008E54DF"/>
    <w:rsid w:val="008E5B6E"/>
    <w:rsid w:val="008E6E62"/>
    <w:rsid w:val="008E7773"/>
    <w:rsid w:val="008F1295"/>
    <w:rsid w:val="008F4120"/>
    <w:rsid w:val="008F4450"/>
    <w:rsid w:val="008F639B"/>
    <w:rsid w:val="008F7BFE"/>
    <w:rsid w:val="008F7F60"/>
    <w:rsid w:val="009002D0"/>
    <w:rsid w:val="009017C8"/>
    <w:rsid w:val="00902590"/>
    <w:rsid w:val="00904E35"/>
    <w:rsid w:val="00905187"/>
    <w:rsid w:val="00905B8B"/>
    <w:rsid w:val="00911F44"/>
    <w:rsid w:val="009143FC"/>
    <w:rsid w:val="00914494"/>
    <w:rsid w:val="0091458C"/>
    <w:rsid w:val="00914FFB"/>
    <w:rsid w:val="009152F1"/>
    <w:rsid w:val="00915729"/>
    <w:rsid w:val="00917313"/>
    <w:rsid w:val="00917E3D"/>
    <w:rsid w:val="0092243B"/>
    <w:rsid w:val="00922E0E"/>
    <w:rsid w:val="009231F3"/>
    <w:rsid w:val="00923F3E"/>
    <w:rsid w:val="009254D0"/>
    <w:rsid w:val="009261FC"/>
    <w:rsid w:val="0092791F"/>
    <w:rsid w:val="0093000D"/>
    <w:rsid w:val="00930571"/>
    <w:rsid w:val="009332FC"/>
    <w:rsid w:val="00934C9C"/>
    <w:rsid w:val="00937499"/>
    <w:rsid w:val="009441FE"/>
    <w:rsid w:val="00944962"/>
    <w:rsid w:val="00946055"/>
    <w:rsid w:val="00947CB0"/>
    <w:rsid w:val="00947E60"/>
    <w:rsid w:val="00951F47"/>
    <w:rsid w:val="009520E9"/>
    <w:rsid w:val="009552C6"/>
    <w:rsid w:val="009556DE"/>
    <w:rsid w:val="00955BD3"/>
    <w:rsid w:val="00955DF1"/>
    <w:rsid w:val="009563E3"/>
    <w:rsid w:val="0095641E"/>
    <w:rsid w:val="009568DD"/>
    <w:rsid w:val="00957DD1"/>
    <w:rsid w:val="009609AF"/>
    <w:rsid w:val="00963220"/>
    <w:rsid w:val="00964092"/>
    <w:rsid w:val="009701F9"/>
    <w:rsid w:val="00970DE3"/>
    <w:rsid w:val="00970E31"/>
    <w:rsid w:val="009739CA"/>
    <w:rsid w:val="00973FCC"/>
    <w:rsid w:val="009745C4"/>
    <w:rsid w:val="00974794"/>
    <w:rsid w:val="00974F1C"/>
    <w:rsid w:val="009751E3"/>
    <w:rsid w:val="009752F9"/>
    <w:rsid w:val="00976108"/>
    <w:rsid w:val="00982A37"/>
    <w:rsid w:val="009843A7"/>
    <w:rsid w:val="0098470E"/>
    <w:rsid w:val="009856B0"/>
    <w:rsid w:val="00985CDB"/>
    <w:rsid w:val="00986980"/>
    <w:rsid w:val="00986CD0"/>
    <w:rsid w:val="009872E2"/>
    <w:rsid w:val="00990442"/>
    <w:rsid w:val="0099235F"/>
    <w:rsid w:val="00992DB7"/>
    <w:rsid w:val="009931A5"/>
    <w:rsid w:val="0099462E"/>
    <w:rsid w:val="009955DB"/>
    <w:rsid w:val="009A01D0"/>
    <w:rsid w:val="009A146B"/>
    <w:rsid w:val="009A191D"/>
    <w:rsid w:val="009A2248"/>
    <w:rsid w:val="009A26A4"/>
    <w:rsid w:val="009A2763"/>
    <w:rsid w:val="009A286D"/>
    <w:rsid w:val="009A612F"/>
    <w:rsid w:val="009A7067"/>
    <w:rsid w:val="009B1615"/>
    <w:rsid w:val="009B1F09"/>
    <w:rsid w:val="009B3FE6"/>
    <w:rsid w:val="009C1481"/>
    <w:rsid w:val="009C1D85"/>
    <w:rsid w:val="009C1E4B"/>
    <w:rsid w:val="009C3C7A"/>
    <w:rsid w:val="009C598A"/>
    <w:rsid w:val="009D12C1"/>
    <w:rsid w:val="009D1B66"/>
    <w:rsid w:val="009D43D0"/>
    <w:rsid w:val="009D4CDE"/>
    <w:rsid w:val="009D58FB"/>
    <w:rsid w:val="009E28B2"/>
    <w:rsid w:val="009E3B88"/>
    <w:rsid w:val="009E434D"/>
    <w:rsid w:val="009F284A"/>
    <w:rsid w:val="009F3CBF"/>
    <w:rsid w:val="009F448A"/>
    <w:rsid w:val="009F7042"/>
    <w:rsid w:val="00A0020C"/>
    <w:rsid w:val="00A00560"/>
    <w:rsid w:val="00A03104"/>
    <w:rsid w:val="00A04962"/>
    <w:rsid w:val="00A05A08"/>
    <w:rsid w:val="00A05AB5"/>
    <w:rsid w:val="00A12C09"/>
    <w:rsid w:val="00A12EF0"/>
    <w:rsid w:val="00A14898"/>
    <w:rsid w:val="00A15713"/>
    <w:rsid w:val="00A15E85"/>
    <w:rsid w:val="00A171D3"/>
    <w:rsid w:val="00A2150C"/>
    <w:rsid w:val="00A247DF"/>
    <w:rsid w:val="00A3190E"/>
    <w:rsid w:val="00A33878"/>
    <w:rsid w:val="00A33D8C"/>
    <w:rsid w:val="00A33E48"/>
    <w:rsid w:val="00A348CE"/>
    <w:rsid w:val="00A407EB"/>
    <w:rsid w:val="00A40F55"/>
    <w:rsid w:val="00A41050"/>
    <w:rsid w:val="00A435EA"/>
    <w:rsid w:val="00A44540"/>
    <w:rsid w:val="00A44980"/>
    <w:rsid w:val="00A44BF7"/>
    <w:rsid w:val="00A46A20"/>
    <w:rsid w:val="00A50A61"/>
    <w:rsid w:val="00A5129E"/>
    <w:rsid w:val="00A52772"/>
    <w:rsid w:val="00A532C7"/>
    <w:rsid w:val="00A54B43"/>
    <w:rsid w:val="00A54BEF"/>
    <w:rsid w:val="00A5503B"/>
    <w:rsid w:val="00A5503F"/>
    <w:rsid w:val="00A566BC"/>
    <w:rsid w:val="00A60819"/>
    <w:rsid w:val="00A65C0A"/>
    <w:rsid w:val="00A66789"/>
    <w:rsid w:val="00A70099"/>
    <w:rsid w:val="00A7180A"/>
    <w:rsid w:val="00A7231F"/>
    <w:rsid w:val="00A72FCB"/>
    <w:rsid w:val="00A72FE6"/>
    <w:rsid w:val="00A73BED"/>
    <w:rsid w:val="00A750B4"/>
    <w:rsid w:val="00A75432"/>
    <w:rsid w:val="00A75B3A"/>
    <w:rsid w:val="00A76748"/>
    <w:rsid w:val="00A77B92"/>
    <w:rsid w:val="00A81069"/>
    <w:rsid w:val="00A823FA"/>
    <w:rsid w:val="00A839DC"/>
    <w:rsid w:val="00A83B1A"/>
    <w:rsid w:val="00A83EE9"/>
    <w:rsid w:val="00A84466"/>
    <w:rsid w:val="00A86789"/>
    <w:rsid w:val="00A87865"/>
    <w:rsid w:val="00A9036C"/>
    <w:rsid w:val="00A90A2B"/>
    <w:rsid w:val="00A91DA4"/>
    <w:rsid w:val="00A9436E"/>
    <w:rsid w:val="00A94962"/>
    <w:rsid w:val="00A94E43"/>
    <w:rsid w:val="00A97DE3"/>
    <w:rsid w:val="00AA356E"/>
    <w:rsid w:val="00AA4293"/>
    <w:rsid w:val="00AA5EC5"/>
    <w:rsid w:val="00AA7778"/>
    <w:rsid w:val="00AB09D6"/>
    <w:rsid w:val="00AB0EC5"/>
    <w:rsid w:val="00AB15AB"/>
    <w:rsid w:val="00AB2B76"/>
    <w:rsid w:val="00AB3D30"/>
    <w:rsid w:val="00AB3D4C"/>
    <w:rsid w:val="00AB3E47"/>
    <w:rsid w:val="00AB593B"/>
    <w:rsid w:val="00AB5F8C"/>
    <w:rsid w:val="00AB6C07"/>
    <w:rsid w:val="00AB760E"/>
    <w:rsid w:val="00AC0120"/>
    <w:rsid w:val="00AC251E"/>
    <w:rsid w:val="00AC2E22"/>
    <w:rsid w:val="00AC433C"/>
    <w:rsid w:val="00AC634F"/>
    <w:rsid w:val="00AC727B"/>
    <w:rsid w:val="00AC72DE"/>
    <w:rsid w:val="00AC731C"/>
    <w:rsid w:val="00AD2210"/>
    <w:rsid w:val="00AD3700"/>
    <w:rsid w:val="00AD5244"/>
    <w:rsid w:val="00AD5842"/>
    <w:rsid w:val="00AD6BCD"/>
    <w:rsid w:val="00AD7704"/>
    <w:rsid w:val="00AE0389"/>
    <w:rsid w:val="00AE0C5E"/>
    <w:rsid w:val="00AE0CE7"/>
    <w:rsid w:val="00AE2704"/>
    <w:rsid w:val="00AE42AC"/>
    <w:rsid w:val="00AE4715"/>
    <w:rsid w:val="00AE4BA4"/>
    <w:rsid w:val="00AF144B"/>
    <w:rsid w:val="00AF1F57"/>
    <w:rsid w:val="00AF20ED"/>
    <w:rsid w:val="00AF37D9"/>
    <w:rsid w:val="00AF3B08"/>
    <w:rsid w:val="00AF3E63"/>
    <w:rsid w:val="00AF4A90"/>
    <w:rsid w:val="00AF6CB3"/>
    <w:rsid w:val="00AF76E4"/>
    <w:rsid w:val="00AF7DAA"/>
    <w:rsid w:val="00B02133"/>
    <w:rsid w:val="00B05C2D"/>
    <w:rsid w:val="00B074DB"/>
    <w:rsid w:val="00B11F41"/>
    <w:rsid w:val="00B13E40"/>
    <w:rsid w:val="00B148E7"/>
    <w:rsid w:val="00B221E3"/>
    <w:rsid w:val="00B2234E"/>
    <w:rsid w:val="00B22724"/>
    <w:rsid w:val="00B23E9C"/>
    <w:rsid w:val="00B272D2"/>
    <w:rsid w:val="00B273C3"/>
    <w:rsid w:val="00B34534"/>
    <w:rsid w:val="00B34916"/>
    <w:rsid w:val="00B357FB"/>
    <w:rsid w:val="00B35F61"/>
    <w:rsid w:val="00B37261"/>
    <w:rsid w:val="00B3759D"/>
    <w:rsid w:val="00B37EF9"/>
    <w:rsid w:val="00B41354"/>
    <w:rsid w:val="00B42310"/>
    <w:rsid w:val="00B438AB"/>
    <w:rsid w:val="00B4676C"/>
    <w:rsid w:val="00B46CD1"/>
    <w:rsid w:val="00B47265"/>
    <w:rsid w:val="00B47EB5"/>
    <w:rsid w:val="00B50F32"/>
    <w:rsid w:val="00B547A4"/>
    <w:rsid w:val="00B54FAD"/>
    <w:rsid w:val="00B550B3"/>
    <w:rsid w:val="00B55992"/>
    <w:rsid w:val="00B56D0B"/>
    <w:rsid w:val="00B61D32"/>
    <w:rsid w:val="00B6225D"/>
    <w:rsid w:val="00B62CBC"/>
    <w:rsid w:val="00B63627"/>
    <w:rsid w:val="00B6395A"/>
    <w:rsid w:val="00B649F6"/>
    <w:rsid w:val="00B653FA"/>
    <w:rsid w:val="00B654A9"/>
    <w:rsid w:val="00B6576A"/>
    <w:rsid w:val="00B67115"/>
    <w:rsid w:val="00B679E1"/>
    <w:rsid w:val="00B70454"/>
    <w:rsid w:val="00B71105"/>
    <w:rsid w:val="00B72423"/>
    <w:rsid w:val="00B72B7C"/>
    <w:rsid w:val="00B73646"/>
    <w:rsid w:val="00B743B1"/>
    <w:rsid w:val="00B75CCD"/>
    <w:rsid w:val="00B818BE"/>
    <w:rsid w:val="00B819C5"/>
    <w:rsid w:val="00B81D38"/>
    <w:rsid w:val="00B8649C"/>
    <w:rsid w:val="00B92931"/>
    <w:rsid w:val="00B933D4"/>
    <w:rsid w:val="00B94BD4"/>
    <w:rsid w:val="00B96964"/>
    <w:rsid w:val="00BA2A2D"/>
    <w:rsid w:val="00BA4483"/>
    <w:rsid w:val="00BA4A67"/>
    <w:rsid w:val="00BA6B6C"/>
    <w:rsid w:val="00BA7ADE"/>
    <w:rsid w:val="00BB06C9"/>
    <w:rsid w:val="00BB1972"/>
    <w:rsid w:val="00BB1D8E"/>
    <w:rsid w:val="00BB2FAC"/>
    <w:rsid w:val="00BB3B0B"/>
    <w:rsid w:val="00BB423B"/>
    <w:rsid w:val="00BB4C41"/>
    <w:rsid w:val="00BB5C3D"/>
    <w:rsid w:val="00BB6ED5"/>
    <w:rsid w:val="00BB7EE7"/>
    <w:rsid w:val="00BC0CE9"/>
    <w:rsid w:val="00BC1E5D"/>
    <w:rsid w:val="00BC36BC"/>
    <w:rsid w:val="00BC41F5"/>
    <w:rsid w:val="00BD0F02"/>
    <w:rsid w:val="00BD1984"/>
    <w:rsid w:val="00BD27C7"/>
    <w:rsid w:val="00BD432C"/>
    <w:rsid w:val="00BD5E13"/>
    <w:rsid w:val="00BD781C"/>
    <w:rsid w:val="00BE05EA"/>
    <w:rsid w:val="00BE07C6"/>
    <w:rsid w:val="00BE14BD"/>
    <w:rsid w:val="00BE442C"/>
    <w:rsid w:val="00BF07CB"/>
    <w:rsid w:val="00BF1791"/>
    <w:rsid w:val="00BF280B"/>
    <w:rsid w:val="00BF28AE"/>
    <w:rsid w:val="00BF3C4F"/>
    <w:rsid w:val="00BF436E"/>
    <w:rsid w:val="00BF538D"/>
    <w:rsid w:val="00BF62EA"/>
    <w:rsid w:val="00BF6483"/>
    <w:rsid w:val="00C00918"/>
    <w:rsid w:val="00C01AF2"/>
    <w:rsid w:val="00C0318A"/>
    <w:rsid w:val="00C03AEA"/>
    <w:rsid w:val="00C04A87"/>
    <w:rsid w:val="00C0719A"/>
    <w:rsid w:val="00C07453"/>
    <w:rsid w:val="00C105DC"/>
    <w:rsid w:val="00C11440"/>
    <w:rsid w:val="00C11794"/>
    <w:rsid w:val="00C12A30"/>
    <w:rsid w:val="00C141EE"/>
    <w:rsid w:val="00C15AE6"/>
    <w:rsid w:val="00C1657D"/>
    <w:rsid w:val="00C21165"/>
    <w:rsid w:val="00C219A3"/>
    <w:rsid w:val="00C23138"/>
    <w:rsid w:val="00C265EA"/>
    <w:rsid w:val="00C26B49"/>
    <w:rsid w:val="00C304B4"/>
    <w:rsid w:val="00C311B1"/>
    <w:rsid w:val="00C3228B"/>
    <w:rsid w:val="00C35145"/>
    <w:rsid w:val="00C357E5"/>
    <w:rsid w:val="00C36CB3"/>
    <w:rsid w:val="00C36EAA"/>
    <w:rsid w:val="00C37BFA"/>
    <w:rsid w:val="00C40895"/>
    <w:rsid w:val="00C40B4E"/>
    <w:rsid w:val="00C41E4B"/>
    <w:rsid w:val="00C4248F"/>
    <w:rsid w:val="00C44E89"/>
    <w:rsid w:val="00C47137"/>
    <w:rsid w:val="00C47D76"/>
    <w:rsid w:val="00C50868"/>
    <w:rsid w:val="00C526AB"/>
    <w:rsid w:val="00C5359B"/>
    <w:rsid w:val="00C5380A"/>
    <w:rsid w:val="00C54221"/>
    <w:rsid w:val="00C5494D"/>
    <w:rsid w:val="00C551D3"/>
    <w:rsid w:val="00C56940"/>
    <w:rsid w:val="00C60693"/>
    <w:rsid w:val="00C626BC"/>
    <w:rsid w:val="00C63E1A"/>
    <w:rsid w:val="00C6558A"/>
    <w:rsid w:val="00C671BB"/>
    <w:rsid w:val="00C70231"/>
    <w:rsid w:val="00C704EE"/>
    <w:rsid w:val="00C7273C"/>
    <w:rsid w:val="00C7301E"/>
    <w:rsid w:val="00C73F30"/>
    <w:rsid w:val="00C7598C"/>
    <w:rsid w:val="00C75A3D"/>
    <w:rsid w:val="00C76133"/>
    <w:rsid w:val="00C762CA"/>
    <w:rsid w:val="00C80033"/>
    <w:rsid w:val="00C80720"/>
    <w:rsid w:val="00C81B6E"/>
    <w:rsid w:val="00C8351A"/>
    <w:rsid w:val="00C852F8"/>
    <w:rsid w:val="00C856F5"/>
    <w:rsid w:val="00C8776B"/>
    <w:rsid w:val="00C90A2D"/>
    <w:rsid w:val="00C90F4D"/>
    <w:rsid w:val="00C9193F"/>
    <w:rsid w:val="00C93551"/>
    <w:rsid w:val="00C94A88"/>
    <w:rsid w:val="00C9534A"/>
    <w:rsid w:val="00C9655B"/>
    <w:rsid w:val="00C96654"/>
    <w:rsid w:val="00C97577"/>
    <w:rsid w:val="00CA173B"/>
    <w:rsid w:val="00CA1AB9"/>
    <w:rsid w:val="00CA26D2"/>
    <w:rsid w:val="00CA2CBE"/>
    <w:rsid w:val="00CA3992"/>
    <w:rsid w:val="00CA3CFC"/>
    <w:rsid w:val="00CA3D9D"/>
    <w:rsid w:val="00CA3F77"/>
    <w:rsid w:val="00CA46BF"/>
    <w:rsid w:val="00CA5CB5"/>
    <w:rsid w:val="00CA5FC2"/>
    <w:rsid w:val="00CB07EE"/>
    <w:rsid w:val="00CB1928"/>
    <w:rsid w:val="00CB24FE"/>
    <w:rsid w:val="00CB2753"/>
    <w:rsid w:val="00CB4295"/>
    <w:rsid w:val="00CB4E77"/>
    <w:rsid w:val="00CB685F"/>
    <w:rsid w:val="00CB72C6"/>
    <w:rsid w:val="00CB77E4"/>
    <w:rsid w:val="00CB791F"/>
    <w:rsid w:val="00CC1039"/>
    <w:rsid w:val="00CC1948"/>
    <w:rsid w:val="00CC557D"/>
    <w:rsid w:val="00CC620D"/>
    <w:rsid w:val="00CC64AF"/>
    <w:rsid w:val="00CC64EB"/>
    <w:rsid w:val="00CC69BC"/>
    <w:rsid w:val="00CC71E5"/>
    <w:rsid w:val="00CD01E0"/>
    <w:rsid w:val="00CD703F"/>
    <w:rsid w:val="00CD70F4"/>
    <w:rsid w:val="00CD75F6"/>
    <w:rsid w:val="00CE0008"/>
    <w:rsid w:val="00CE0B17"/>
    <w:rsid w:val="00CE21C4"/>
    <w:rsid w:val="00CE2C7A"/>
    <w:rsid w:val="00CE347A"/>
    <w:rsid w:val="00CE37C5"/>
    <w:rsid w:val="00CE39BD"/>
    <w:rsid w:val="00CE3B7C"/>
    <w:rsid w:val="00CE3E43"/>
    <w:rsid w:val="00CE44A0"/>
    <w:rsid w:val="00CE7E27"/>
    <w:rsid w:val="00CF1699"/>
    <w:rsid w:val="00CF29E9"/>
    <w:rsid w:val="00CF34C6"/>
    <w:rsid w:val="00CF39A0"/>
    <w:rsid w:val="00CF52CD"/>
    <w:rsid w:val="00CF5A75"/>
    <w:rsid w:val="00CF5CB3"/>
    <w:rsid w:val="00CF61E6"/>
    <w:rsid w:val="00D02045"/>
    <w:rsid w:val="00D02702"/>
    <w:rsid w:val="00D04ED9"/>
    <w:rsid w:val="00D04EE8"/>
    <w:rsid w:val="00D06F5A"/>
    <w:rsid w:val="00D11598"/>
    <w:rsid w:val="00D11D6E"/>
    <w:rsid w:val="00D1301C"/>
    <w:rsid w:val="00D15088"/>
    <w:rsid w:val="00D1617D"/>
    <w:rsid w:val="00D17809"/>
    <w:rsid w:val="00D23131"/>
    <w:rsid w:val="00D23712"/>
    <w:rsid w:val="00D24EF0"/>
    <w:rsid w:val="00D25FB3"/>
    <w:rsid w:val="00D27D89"/>
    <w:rsid w:val="00D30251"/>
    <w:rsid w:val="00D30982"/>
    <w:rsid w:val="00D30DE3"/>
    <w:rsid w:val="00D31E9A"/>
    <w:rsid w:val="00D33D33"/>
    <w:rsid w:val="00D35641"/>
    <w:rsid w:val="00D35702"/>
    <w:rsid w:val="00D37397"/>
    <w:rsid w:val="00D443C0"/>
    <w:rsid w:val="00D449CC"/>
    <w:rsid w:val="00D44F06"/>
    <w:rsid w:val="00D45135"/>
    <w:rsid w:val="00D45371"/>
    <w:rsid w:val="00D45E87"/>
    <w:rsid w:val="00D45F4A"/>
    <w:rsid w:val="00D47E8C"/>
    <w:rsid w:val="00D51394"/>
    <w:rsid w:val="00D51BE6"/>
    <w:rsid w:val="00D54FD5"/>
    <w:rsid w:val="00D55004"/>
    <w:rsid w:val="00D56300"/>
    <w:rsid w:val="00D566F4"/>
    <w:rsid w:val="00D57A72"/>
    <w:rsid w:val="00D603FC"/>
    <w:rsid w:val="00D60445"/>
    <w:rsid w:val="00D60BAE"/>
    <w:rsid w:val="00D6299C"/>
    <w:rsid w:val="00D63029"/>
    <w:rsid w:val="00D65F57"/>
    <w:rsid w:val="00D72BD7"/>
    <w:rsid w:val="00D7319D"/>
    <w:rsid w:val="00D7396B"/>
    <w:rsid w:val="00D75269"/>
    <w:rsid w:val="00D75C85"/>
    <w:rsid w:val="00D75F11"/>
    <w:rsid w:val="00D81331"/>
    <w:rsid w:val="00D82F7C"/>
    <w:rsid w:val="00D83233"/>
    <w:rsid w:val="00D84299"/>
    <w:rsid w:val="00D84B30"/>
    <w:rsid w:val="00D84E3F"/>
    <w:rsid w:val="00D91127"/>
    <w:rsid w:val="00D939E5"/>
    <w:rsid w:val="00D94B01"/>
    <w:rsid w:val="00D963B8"/>
    <w:rsid w:val="00D97CDC"/>
    <w:rsid w:val="00D97F4D"/>
    <w:rsid w:val="00DA05B0"/>
    <w:rsid w:val="00DA0692"/>
    <w:rsid w:val="00DA0B89"/>
    <w:rsid w:val="00DA2754"/>
    <w:rsid w:val="00DA295D"/>
    <w:rsid w:val="00DA2D33"/>
    <w:rsid w:val="00DA3089"/>
    <w:rsid w:val="00DA3BDF"/>
    <w:rsid w:val="00DA64DA"/>
    <w:rsid w:val="00DA7CEB"/>
    <w:rsid w:val="00DB019A"/>
    <w:rsid w:val="00DB2783"/>
    <w:rsid w:val="00DB4738"/>
    <w:rsid w:val="00DB519D"/>
    <w:rsid w:val="00DB6CE0"/>
    <w:rsid w:val="00DB7E0E"/>
    <w:rsid w:val="00DC0571"/>
    <w:rsid w:val="00DC1837"/>
    <w:rsid w:val="00DC2758"/>
    <w:rsid w:val="00DC3DE0"/>
    <w:rsid w:val="00DC4A35"/>
    <w:rsid w:val="00DC5006"/>
    <w:rsid w:val="00DC587E"/>
    <w:rsid w:val="00DC7512"/>
    <w:rsid w:val="00DD0E72"/>
    <w:rsid w:val="00DD1791"/>
    <w:rsid w:val="00DD313D"/>
    <w:rsid w:val="00DD6525"/>
    <w:rsid w:val="00DE0EC5"/>
    <w:rsid w:val="00DE3ED4"/>
    <w:rsid w:val="00DE52EE"/>
    <w:rsid w:val="00DF0C8F"/>
    <w:rsid w:val="00DF1835"/>
    <w:rsid w:val="00DF2837"/>
    <w:rsid w:val="00DF2B65"/>
    <w:rsid w:val="00DF47F9"/>
    <w:rsid w:val="00DF4F39"/>
    <w:rsid w:val="00DF7274"/>
    <w:rsid w:val="00E0000E"/>
    <w:rsid w:val="00E0027F"/>
    <w:rsid w:val="00E00ECD"/>
    <w:rsid w:val="00E01001"/>
    <w:rsid w:val="00E028B3"/>
    <w:rsid w:val="00E02D2D"/>
    <w:rsid w:val="00E03D4B"/>
    <w:rsid w:val="00E068A3"/>
    <w:rsid w:val="00E07251"/>
    <w:rsid w:val="00E10AB0"/>
    <w:rsid w:val="00E15248"/>
    <w:rsid w:val="00E16101"/>
    <w:rsid w:val="00E16C72"/>
    <w:rsid w:val="00E171EE"/>
    <w:rsid w:val="00E17DD3"/>
    <w:rsid w:val="00E22134"/>
    <w:rsid w:val="00E22296"/>
    <w:rsid w:val="00E2640D"/>
    <w:rsid w:val="00E2712E"/>
    <w:rsid w:val="00E3060B"/>
    <w:rsid w:val="00E3254B"/>
    <w:rsid w:val="00E327F9"/>
    <w:rsid w:val="00E34119"/>
    <w:rsid w:val="00E36AA7"/>
    <w:rsid w:val="00E37C37"/>
    <w:rsid w:val="00E40780"/>
    <w:rsid w:val="00E41F8E"/>
    <w:rsid w:val="00E4297F"/>
    <w:rsid w:val="00E42D12"/>
    <w:rsid w:val="00E430EA"/>
    <w:rsid w:val="00E434E9"/>
    <w:rsid w:val="00E45CDF"/>
    <w:rsid w:val="00E46D43"/>
    <w:rsid w:val="00E4788B"/>
    <w:rsid w:val="00E47AF5"/>
    <w:rsid w:val="00E50D76"/>
    <w:rsid w:val="00E50E8F"/>
    <w:rsid w:val="00E51203"/>
    <w:rsid w:val="00E5155C"/>
    <w:rsid w:val="00E51D1D"/>
    <w:rsid w:val="00E53170"/>
    <w:rsid w:val="00E532C6"/>
    <w:rsid w:val="00E53501"/>
    <w:rsid w:val="00E53DC9"/>
    <w:rsid w:val="00E54AA5"/>
    <w:rsid w:val="00E60C78"/>
    <w:rsid w:val="00E615A9"/>
    <w:rsid w:val="00E61EFE"/>
    <w:rsid w:val="00E62EDD"/>
    <w:rsid w:val="00E62F88"/>
    <w:rsid w:val="00E6340F"/>
    <w:rsid w:val="00E63471"/>
    <w:rsid w:val="00E64E20"/>
    <w:rsid w:val="00E70302"/>
    <w:rsid w:val="00E70A92"/>
    <w:rsid w:val="00E70B5D"/>
    <w:rsid w:val="00E70E7E"/>
    <w:rsid w:val="00E70FEE"/>
    <w:rsid w:val="00E720EC"/>
    <w:rsid w:val="00E72121"/>
    <w:rsid w:val="00E72393"/>
    <w:rsid w:val="00E73584"/>
    <w:rsid w:val="00E73DA0"/>
    <w:rsid w:val="00E762AA"/>
    <w:rsid w:val="00E80480"/>
    <w:rsid w:val="00E81973"/>
    <w:rsid w:val="00E83194"/>
    <w:rsid w:val="00E83393"/>
    <w:rsid w:val="00E84A92"/>
    <w:rsid w:val="00E84BB7"/>
    <w:rsid w:val="00E84C2B"/>
    <w:rsid w:val="00E84E32"/>
    <w:rsid w:val="00E87BF7"/>
    <w:rsid w:val="00E90B5E"/>
    <w:rsid w:val="00E9160A"/>
    <w:rsid w:val="00E91692"/>
    <w:rsid w:val="00E91B78"/>
    <w:rsid w:val="00E9641E"/>
    <w:rsid w:val="00E97649"/>
    <w:rsid w:val="00EA022C"/>
    <w:rsid w:val="00EA0F75"/>
    <w:rsid w:val="00EA118B"/>
    <w:rsid w:val="00EA15C2"/>
    <w:rsid w:val="00EA26E0"/>
    <w:rsid w:val="00EA4B6A"/>
    <w:rsid w:val="00EA5134"/>
    <w:rsid w:val="00EA6135"/>
    <w:rsid w:val="00EB0C80"/>
    <w:rsid w:val="00EB3970"/>
    <w:rsid w:val="00EB3F5C"/>
    <w:rsid w:val="00EB431B"/>
    <w:rsid w:val="00EB46C0"/>
    <w:rsid w:val="00EB68A7"/>
    <w:rsid w:val="00EB6E85"/>
    <w:rsid w:val="00EB71A1"/>
    <w:rsid w:val="00EC18FB"/>
    <w:rsid w:val="00EC2D66"/>
    <w:rsid w:val="00EC7D6F"/>
    <w:rsid w:val="00ED2D03"/>
    <w:rsid w:val="00ED3C0F"/>
    <w:rsid w:val="00ED45BA"/>
    <w:rsid w:val="00ED47A8"/>
    <w:rsid w:val="00ED6F5C"/>
    <w:rsid w:val="00EE0740"/>
    <w:rsid w:val="00EE210F"/>
    <w:rsid w:val="00EE2D14"/>
    <w:rsid w:val="00EE3843"/>
    <w:rsid w:val="00EE42D2"/>
    <w:rsid w:val="00EE51AC"/>
    <w:rsid w:val="00EE52CC"/>
    <w:rsid w:val="00EE56AE"/>
    <w:rsid w:val="00EE5EA6"/>
    <w:rsid w:val="00EE6BFB"/>
    <w:rsid w:val="00EE6FD9"/>
    <w:rsid w:val="00EF1A0E"/>
    <w:rsid w:val="00EF227C"/>
    <w:rsid w:val="00EF3CD6"/>
    <w:rsid w:val="00EF6991"/>
    <w:rsid w:val="00F00944"/>
    <w:rsid w:val="00F01AE3"/>
    <w:rsid w:val="00F01BA5"/>
    <w:rsid w:val="00F0419A"/>
    <w:rsid w:val="00F05CA0"/>
    <w:rsid w:val="00F06264"/>
    <w:rsid w:val="00F10586"/>
    <w:rsid w:val="00F11B07"/>
    <w:rsid w:val="00F13CBA"/>
    <w:rsid w:val="00F14F99"/>
    <w:rsid w:val="00F16160"/>
    <w:rsid w:val="00F161F9"/>
    <w:rsid w:val="00F16F2C"/>
    <w:rsid w:val="00F21179"/>
    <w:rsid w:val="00F229CA"/>
    <w:rsid w:val="00F22A2E"/>
    <w:rsid w:val="00F24FCF"/>
    <w:rsid w:val="00F27502"/>
    <w:rsid w:val="00F33820"/>
    <w:rsid w:val="00F33892"/>
    <w:rsid w:val="00F338E9"/>
    <w:rsid w:val="00F33B3D"/>
    <w:rsid w:val="00F33F72"/>
    <w:rsid w:val="00F34DFC"/>
    <w:rsid w:val="00F35637"/>
    <w:rsid w:val="00F37BD8"/>
    <w:rsid w:val="00F37FE2"/>
    <w:rsid w:val="00F437D0"/>
    <w:rsid w:val="00F43C49"/>
    <w:rsid w:val="00F457E2"/>
    <w:rsid w:val="00F505A2"/>
    <w:rsid w:val="00F51F96"/>
    <w:rsid w:val="00F542C8"/>
    <w:rsid w:val="00F55453"/>
    <w:rsid w:val="00F57058"/>
    <w:rsid w:val="00F57AFF"/>
    <w:rsid w:val="00F57F6B"/>
    <w:rsid w:val="00F63309"/>
    <w:rsid w:val="00F63CF5"/>
    <w:rsid w:val="00F65548"/>
    <w:rsid w:val="00F6581D"/>
    <w:rsid w:val="00F66A63"/>
    <w:rsid w:val="00F700D1"/>
    <w:rsid w:val="00F71C09"/>
    <w:rsid w:val="00F71D69"/>
    <w:rsid w:val="00F74B36"/>
    <w:rsid w:val="00F74BBC"/>
    <w:rsid w:val="00F75143"/>
    <w:rsid w:val="00F804B0"/>
    <w:rsid w:val="00F82121"/>
    <w:rsid w:val="00F83DD6"/>
    <w:rsid w:val="00F84BEF"/>
    <w:rsid w:val="00F8699C"/>
    <w:rsid w:val="00F90004"/>
    <w:rsid w:val="00F9042A"/>
    <w:rsid w:val="00F907A8"/>
    <w:rsid w:val="00F9425F"/>
    <w:rsid w:val="00F94B60"/>
    <w:rsid w:val="00F96884"/>
    <w:rsid w:val="00FA061A"/>
    <w:rsid w:val="00FA0C02"/>
    <w:rsid w:val="00FA3162"/>
    <w:rsid w:val="00FA39AD"/>
    <w:rsid w:val="00FA4DCE"/>
    <w:rsid w:val="00FA5089"/>
    <w:rsid w:val="00FA575F"/>
    <w:rsid w:val="00FA6B3F"/>
    <w:rsid w:val="00FB04AE"/>
    <w:rsid w:val="00FB04C9"/>
    <w:rsid w:val="00FB4AB4"/>
    <w:rsid w:val="00FB4BD9"/>
    <w:rsid w:val="00FB5056"/>
    <w:rsid w:val="00FB5516"/>
    <w:rsid w:val="00FB5B08"/>
    <w:rsid w:val="00FB5CAA"/>
    <w:rsid w:val="00FB5EC7"/>
    <w:rsid w:val="00FB62CD"/>
    <w:rsid w:val="00FB7130"/>
    <w:rsid w:val="00FB7252"/>
    <w:rsid w:val="00FB756C"/>
    <w:rsid w:val="00FC03CF"/>
    <w:rsid w:val="00FC1154"/>
    <w:rsid w:val="00FC1D1F"/>
    <w:rsid w:val="00FC3DC8"/>
    <w:rsid w:val="00FC425D"/>
    <w:rsid w:val="00FC451D"/>
    <w:rsid w:val="00FC7716"/>
    <w:rsid w:val="00FD059D"/>
    <w:rsid w:val="00FD19D6"/>
    <w:rsid w:val="00FD5DEB"/>
    <w:rsid w:val="00FD602A"/>
    <w:rsid w:val="00FD7B52"/>
    <w:rsid w:val="00FE0048"/>
    <w:rsid w:val="00FE01D6"/>
    <w:rsid w:val="00FE10AE"/>
    <w:rsid w:val="00FE12C8"/>
    <w:rsid w:val="00FE1E55"/>
    <w:rsid w:val="00FE27F5"/>
    <w:rsid w:val="00FE3685"/>
    <w:rsid w:val="00FE50EC"/>
    <w:rsid w:val="00FE6438"/>
    <w:rsid w:val="00FE67B3"/>
    <w:rsid w:val="00FE743A"/>
    <w:rsid w:val="00FF084D"/>
    <w:rsid w:val="00FF31DE"/>
    <w:rsid w:val="00FF3B1E"/>
    <w:rsid w:val="00FF656A"/>
    <w:rsid w:val="00FF707E"/>
    <w:rsid w:val="00FF734E"/>
    <w:rsid w:val="00FF7461"/>
    <w:rsid w:val="00FF748D"/>
    <w:rsid w:val="01274A87"/>
    <w:rsid w:val="014F18FD"/>
    <w:rsid w:val="01615A50"/>
    <w:rsid w:val="01877E8E"/>
    <w:rsid w:val="019A362C"/>
    <w:rsid w:val="019B0CFB"/>
    <w:rsid w:val="01B55005"/>
    <w:rsid w:val="01DC6760"/>
    <w:rsid w:val="01E21263"/>
    <w:rsid w:val="021C6183"/>
    <w:rsid w:val="025575E2"/>
    <w:rsid w:val="02840131"/>
    <w:rsid w:val="033F4FE1"/>
    <w:rsid w:val="037E5DCB"/>
    <w:rsid w:val="03C9262E"/>
    <w:rsid w:val="03CE6E4F"/>
    <w:rsid w:val="03E2226C"/>
    <w:rsid w:val="040F1BB3"/>
    <w:rsid w:val="04157D9A"/>
    <w:rsid w:val="04727DCD"/>
    <w:rsid w:val="04A0487D"/>
    <w:rsid w:val="04AC0D88"/>
    <w:rsid w:val="05654966"/>
    <w:rsid w:val="064674D8"/>
    <w:rsid w:val="06491C97"/>
    <w:rsid w:val="06582C75"/>
    <w:rsid w:val="065A7E66"/>
    <w:rsid w:val="06777CDE"/>
    <w:rsid w:val="06AD0181"/>
    <w:rsid w:val="06BE5E9C"/>
    <w:rsid w:val="06D84848"/>
    <w:rsid w:val="07133C6D"/>
    <w:rsid w:val="07256B46"/>
    <w:rsid w:val="072F7455"/>
    <w:rsid w:val="07636A29"/>
    <w:rsid w:val="077D78BE"/>
    <w:rsid w:val="07E7362B"/>
    <w:rsid w:val="081E4B5F"/>
    <w:rsid w:val="082C42CC"/>
    <w:rsid w:val="08681E3D"/>
    <w:rsid w:val="087010E6"/>
    <w:rsid w:val="087245E9"/>
    <w:rsid w:val="08E71493"/>
    <w:rsid w:val="0923440D"/>
    <w:rsid w:val="096D7A52"/>
    <w:rsid w:val="09704EEF"/>
    <w:rsid w:val="09C9041E"/>
    <w:rsid w:val="09E30FC8"/>
    <w:rsid w:val="09F66964"/>
    <w:rsid w:val="0A025FF9"/>
    <w:rsid w:val="0A0334A7"/>
    <w:rsid w:val="0A080661"/>
    <w:rsid w:val="0A945568"/>
    <w:rsid w:val="0AA0651D"/>
    <w:rsid w:val="0AB86C53"/>
    <w:rsid w:val="0ADD18C1"/>
    <w:rsid w:val="0B5656DA"/>
    <w:rsid w:val="0B661144"/>
    <w:rsid w:val="0B6F034D"/>
    <w:rsid w:val="0BBC40D1"/>
    <w:rsid w:val="0BC21618"/>
    <w:rsid w:val="0C211CA5"/>
    <w:rsid w:val="0C2E40D9"/>
    <w:rsid w:val="0CBB296F"/>
    <w:rsid w:val="0CD10396"/>
    <w:rsid w:val="0DC34D36"/>
    <w:rsid w:val="0E2A021A"/>
    <w:rsid w:val="0E6D5BB9"/>
    <w:rsid w:val="0E7476E7"/>
    <w:rsid w:val="0EB750AC"/>
    <w:rsid w:val="0F5B2655"/>
    <w:rsid w:val="0FBE29A1"/>
    <w:rsid w:val="0FE92B27"/>
    <w:rsid w:val="0FF878BE"/>
    <w:rsid w:val="102F6700"/>
    <w:rsid w:val="1031713E"/>
    <w:rsid w:val="117A568F"/>
    <w:rsid w:val="11A7392F"/>
    <w:rsid w:val="11C12B01"/>
    <w:rsid w:val="12330F97"/>
    <w:rsid w:val="12531C9B"/>
    <w:rsid w:val="12AB2CA4"/>
    <w:rsid w:val="12B018E9"/>
    <w:rsid w:val="12C07B98"/>
    <w:rsid w:val="13434F53"/>
    <w:rsid w:val="134D114A"/>
    <w:rsid w:val="135079C0"/>
    <w:rsid w:val="13682DA7"/>
    <w:rsid w:val="137F1409"/>
    <w:rsid w:val="13872098"/>
    <w:rsid w:val="13C133CE"/>
    <w:rsid w:val="140E4688"/>
    <w:rsid w:val="14186104"/>
    <w:rsid w:val="142D2B1D"/>
    <w:rsid w:val="14492156"/>
    <w:rsid w:val="14927D88"/>
    <w:rsid w:val="14990D94"/>
    <w:rsid w:val="14DE5ECD"/>
    <w:rsid w:val="15242DBE"/>
    <w:rsid w:val="153C74A9"/>
    <w:rsid w:val="15842DD8"/>
    <w:rsid w:val="15927AE0"/>
    <w:rsid w:val="159A07FF"/>
    <w:rsid w:val="15EA0412"/>
    <w:rsid w:val="15F1161D"/>
    <w:rsid w:val="16207911"/>
    <w:rsid w:val="16270B89"/>
    <w:rsid w:val="16457646"/>
    <w:rsid w:val="16940F8A"/>
    <w:rsid w:val="1696199B"/>
    <w:rsid w:val="16B36CF8"/>
    <w:rsid w:val="16B55FDE"/>
    <w:rsid w:val="16F6797E"/>
    <w:rsid w:val="17386D59"/>
    <w:rsid w:val="176136F5"/>
    <w:rsid w:val="17943E3D"/>
    <w:rsid w:val="17F141D6"/>
    <w:rsid w:val="180B4D80"/>
    <w:rsid w:val="181B50B9"/>
    <w:rsid w:val="1821268E"/>
    <w:rsid w:val="182457D5"/>
    <w:rsid w:val="18610EB1"/>
    <w:rsid w:val="186B4E30"/>
    <w:rsid w:val="18E50FD9"/>
    <w:rsid w:val="190F10F4"/>
    <w:rsid w:val="194859F8"/>
    <w:rsid w:val="197874D5"/>
    <w:rsid w:val="198C3F77"/>
    <w:rsid w:val="1A1800EB"/>
    <w:rsid w:val="1A6D6D72"/>
    <w:rsid w:val="1A7927E3"/>
    <w:rsid w:val="1A7F5B09"/>
    <w:rsid w:val="1AAF2DD5"/>
    <w:rsid w:val="1AB97E67"/>
    <w:rsid w:val="1AD33073"/>
    <w:rsid w:val="1B4048C2"/>
    <w:rsid w:val="1B5238E3"/>
    <w:rsid w:val="1B59326E"/>
    <w:rsid w:val="1C0F3C96"/>
    <w:rsid w:val="1C163621"/>
    <w:rsid w:val="1C2361BA"/>
    <w:rsid w:val="1C534BC7"/>
    <w:rsid w:val="1C5E1D2E"/>
    <w:rsid w:val="1C6E7EB8"/>
    <w:rsid w:val="1C837E33"/>
    <w:rsid w:val="1CFA7117"/>
    <w:rsid w:val="1D0F7F76"/>
    <w:rsid w:val="1D116D3C"/>
    <w:rsid w:val="1D13223F"/>
    <w:rsid w:val="1D547061"/>
    <w:rsid w:val="1D7F7370"/>
    <w:rsid w:val="1DB41DC8"/>
    <w:rsid w:val="1E167418"/>
    <w:rsid w:val="1E297809"/>
    <w:rsid w:val="1E4922BC"/>
    <w:rsid w:val="1E682B71"/>
    <w:rsid w:val="1E796AE2"/>
    <w:rsid w:val="1E82024A"/>
    <w:rsid w:val="1EC62F0A"/>
    <w:rsid w:val="1EFB350D"/>
    <w:rsid w:val="1F2A5F83"/>
    <w:rsid w:val="1F6D29F4"/>
    <w:rsid w:val="1FD31DC3"/>
    <w:rsid w:val="20030393"/>
    <w:rsid w:val="20573B7B"/>
    <w:rsid w:val="20601879"/>
    <w:rsid w:val="209C508F"/>
    <w:rsid w:val="20D451E9"/>
    <w:rsid w:val="21CE0F4C"/>
    <w:rsid w:val="22181B9B"/>
    <w:rsid w:val="222003A7"/>
    <w:rsid w:val="22794E74"/>
    <w:rsid w:val="22B73C2A"/>
    <w:rsid w:val="23187641"/>
    <w:rsid w:val="232E7656"/>
    <w:rsid w:val="234826EF"/>
    <w:rsid w:val="234D356B"/>
    <w:rsid w:val="23613299"/>
    <w:rsid w:val="237B1C44"/>
    <w:rsid w:val="23984833"/>
    <w:rsid w:val="239C59FC"/>
    <w:rsid w:val="24126346"/>
    <w:rsid w:val="243B4AA6"/>
    <w:rsid w:val="248D4BFE"/>
    <w:rsid w:val="2490178C"/>
    <w:rsid w:val="24971117"/>
    <w:rsid w:val="24AD32BB"/>
    <w:rsid w:val="24E37F11"/>
    <w:rsid w:val="250F1AC0"/>
    <w:rsid w:val="253415D9"/>
    <w:rsid w:val="255F0B60"/>
    <w:rsid w:val="2568190A"/>
    <w:rsid w:val="25684104"/>
    <w:rsid w:val="25727135"/>
    <w:rsid w:val="258F58AC"/>
    <w:rsid w:val="2590132F"/>
    <w:rsid w:val="259E0645"/>
    <w:rsid w:val="25AB3BE0"/>
    <w:rsid w:val="264C53A6"/>
    <w:rsid w:val="26511B39"/>
    <w:rsid w:val="267473A3"/>
    <w:rsid w:val="26A11CEE"/>
    <w:rsid w:val="26CF203B"/>
    <w:rsid w:val="270E0AC4"/>
    <w:rsid w:val="27215CE0"/>
    <w:rsid w:val="27486482"/>
    <w:rsid w:val="27603B29"/>
    <w:rsid w:val="276B045D"/>
    <w:rsid w:val="276E2ACE"/>
    <w:rsid w:val="27B76736"/>
    <w:rsid w:val="27B81FB9"/>
    <w:rsid w:val="27B964AA"/>
    <w:rsid w:val="27BC1E12"/>
    <w:rsid w:val="27DB4ADA"/>
    <w:rsid w:val="284C4A2B"/>
    <w:rsid w:val="28801A02"/>
    <w:rsid w:val="28865B09"/>
    <w:rsid w:val="28BF6F68"/>
    <w:rsid w:val="28D72411"/>
    <w:rsid w:val="28EA2A43"/>
    <w:rsid w:val="28F43F3F"/>
    <w:rsid w:val="297661BF"/>
    <w:rsid w:val="29D64532"/>
    <w:rsid w:val="29D741B2"/>
    <w:rsid w:val="29E96D83"/>
    <w:rsid w:val="2A205399"/>
    <w:rsid w:val="2A282CB7"/>
    <w:rsid w:val="2A631828"/>
    <w:rsid w:val="2AB01C96"/>
    <w:rsid w:val="2ABC0F8A"/>
    <w:rsid w:val="2AE311EC"/>
    <w:rsid w:val="2B177C68"/>
    <w:rsid w:val="2B3271C5"/>
    <w:rsid w:val="2B5C5632"/>
    <w:rsid w:val="2BAA2774"/>
    <w:rsid w:val="2BF00037"/>
    <w:rsid w:val="2C1B476C"/>
    <w:rsid w:val="2C1F4A50"/>
    <w:rsid w:val="2CA4459C"/>
    <w:rsid w:val="2CE37FCF"/>
    <w:rsid w:val="2CFE66A2"/>
    <w:rsid w:val="2D105F7D"/>
    <w:rsid w:val="2D1B22D5"/>
    <w:rsid w:val="2D466457"/>
    <w:rsid w:val="2D5766F2"/>
    <w:rsid w:val="2D627F65"/>
    <w:rsid w:val="2D863EDD"/>
    <w:rsid w:val="2D9C4E85"/>
    <w:rsid w:val="2DA24509"/>
    <w:rsid w:val="2DFC6CB0"/>
    <w:rsid w:val="2E2A66CA"/>
    <w:rsid w:val="2E301BB4"/>
    <w:rsid w:val="2E403904"/>
    <w:rsid w:val="2E521E0D"/>
    <w:rsid w:val="2E61554C"/>
    <w:rsid w:val="2E8C12C4"/>
    <w:rsid w:val="2EE85B84"/>
    <w:rsid w:val="2EFE3E42"/>
    <w:rsid w:val="2F3A4309"/>
    <w:rsid w:val="2F661C00"/>
    <w:rsid w:val="2F712264"/>
    <w:rsid w:val="2FA8493D"/>
    <w:rsid w:val="2FED7630"/>
    <w:rsid w:val="2FEF734E"/>
    <w:rsid w:val="30301FEE"/>
    <w:rsid w:val="307B2882"/>
    <w:rsid w:val="309C0740"/>
    <w:rsid w:val="30BB6A3B"/>
    <w:rsid w:val="30D53BBD"/>
    <w:rsid w:val="30E16A06"/>
    <w:rsid w:val="310857FE"/>
    <w:rsid w:val="311417F4"/>
    <w:rsid w:val="312B4AB9"/>
    <w:rsid w:val="318C5DD7"/>
    <w:rsid w:val="31902EFE"/>
    <w:rsid w:val="31AB6295"/>
    <w:rsid w:val="31C4034C"/>
    <w:rsid w:val="31CE4249"/>
    <w:rsid w:val="31E632F8"/>
    <w:rsid w:val="31F65DED"/>
    <w:rsid w:val="3251196A"/>
    <w:rsid w:val="32B223A1"/>
    <w:rsid w:val="32FB72B2"/>
    <w:rsid w:val="33056CEA"/>
    <w:rsid w:val="335E0AC8"/>
    <w:rsid w:val="3374075D"/>
    <w:rsid w:val="33A6194A"/>
    <w:rsid w:val="340A096F"/>
    <w:rsid w:val="3413455F"/>
    <w:rsid w:val="34176785"/>
    <w:rsid w:val="345228A1"/>
    <w:rsid w:val="351D0231"/>
    <w:rsid w:val="356815AA"/>
    <w:rsid w:val="359549F8"/>
    <w:rsid w:val="364A0BAA"/>
    <w:rsid w:val="365D424F"/>
    <w:rsid w:val="366864A1"/>
    <w:rsid w:val="36C958AE"/>
    <w:rsid w:val="371800E6"/>
    <w:rsid w:val="372955B0"/>
    <w:rsid w:val="374C01E8"/>
    <w:rsid w:val="375720DA"/>
    <w:rsid w:val="37682AB2"/>
    <w:rsid w:val="37915737"/>
    <w:rsid w:val="379E3BB9"/>
    <w:rsid w:val="37B36F71"/>
    <w:rsid w:val="37CE1367"/>
    <w:rsid w:val="37E47740"/>
    <w:rsid w:val="382C5402"/>
    <w:rsid w:val="383374BF"/>
    <w:rsid w:val="384B0DA5"/>
    <w:rsid w:val="384C786C"/>
    <w:rsid w:val="38B50915"/>
    <w:rsid w:val="3948288A"/>
    <w:rsid w:val="39581A48"/>
    <w:rsid w:val="39692DBF"/>
    <w:rsid w:val="39754798"/>
    <w:rsid w:val="39812B34"/>
    <w:rsid w:val="39F054BC"/>
    <w:rsid w:val="3A21256E"/>
    <w:rsid w:val="3A287454"/>
    <w:rsid w:val="3A6C157C"/>
    <w:rsid w:val="3A8A7A86"/>
    <w:rsid w:val="3BB00C1C"/>
    <w:rsid w:val="3C056EC5"/>
    <w:rsid w:val="3C792E06"/>
    <w:rsid w:val="3C99235D"/>
    <w:rsid w:val="3CB8348E"/>
    <w:rsid w:val="3CEB717E"/>
    <w:rsid w:val="3D0F06FA"/>
    <w:rsid w:val="3D1612C7"/>
    <w:rsid w:val="3D3D3705"/>
    <w:rsid w:val="3D711112"/>
    <w:rsid w:val="3DB633CE"/>
    <w:rsid w:val="3DF02037"/>
    <w:rsid w:val="3DF60935"/>
    <w:rsid w:val="3E274987"/>
    <w:rsid w:val="3EA130E8"/>
    <w:rsid w:val="3ED847AB"/>
    <w:rsid w:val="3F14330B"/>
    <w:rsid w:val="3F152A8D"/>
    <w:rsid w:val="3F346592"/>
    <w:rsid w:val="3F3725C6"/>
    <w:rsid w:val="3F4E2026"/>
    <w:rsid w:val="3F513648"/>
    <w:rsid w:val="3F5C36FF"/>
    <w:rsid w:val="3F5C6F82"/>
    <w:rsid w:val="3F8F64D8"/>
    <w:rsid w:val="3FC1012F"/>
    <w:rsid w:val="3FC343A8"/>
    <w:rsid w:val="3FC840B3"/>
    <w:rsid w:val="400C38A3"/>
    <w:rsid w:val="400D49F9"/>
    <w:rsid w:val="401815AF"/>
    <w:rsid w:val="40887B7E"/>
    <w:rsid w:val="40B52A37"/>
    <w:rsid w:val="40CD665F"/>
    <w:rsid w:val="40ED32DF"/>
    <w:rsid w:val="41065279"/>
    <w:rsid w:val="411462D3"/>
    <w:rsid w:val="417A61D5"/>
    <w:rsid w:val="419A589E"/>
    <w:rsid w:val="41DA5750"/>
    <w:rsid w:val="41DB2819"/>
    <w:rsid w:val="41E27C26"/>
    <w:rsid w:val="41FA1643"/>
    <w:rsid w:val="421C10AE"/>
    <w:rsid w:val="4224068F"/>
    <w:rsid w:val="42301F23"/>
    <w:rsid w:val="42895E35"/>
    <w:rsid w:val="42B13EFA"/>
    <w:rsid w:val="42DA4D3A"/>
    <w:rsid w:val="42E102FD"/>
    <w:rsid w:val="42E40ACD"/>
    <w:rsid w:val="42E42582"/>
    <w:rsid w:val="42FA73ED"/>
    <w:rsid w:val="42FF70F8"/>
    <w:rsid w:val="430805D0"/>
    <w:rsid w:val="432B62F0"/>
    <w:rsid w:val="432D727E"/>
    <w:rsid w:val="43862855"/>
    <w:rsid w:val="43F247C7"/>
    <w:rsid w:val="442C303A"/>
    <w:rsid w:val="442D64E6"/>
    <w:rsid w:val="44512496"/>
    <w:rsid w:val="447B3F61"/>
    <w:rsid w:val="44CB096E"/>
    <w:rsid w:val="450774CE"/>
    <w:rsid w:val="454E1AA4"/>
    <w:rsid w:val="455362C8"/>
    <w:rsid w:val="45D50676"/>
    <w:rsid w:val="45FA1280"/>
    <w:rsid w:val="46433736"/>
    <w:rsid w:val="46516310"/>
    <w:rsid w:val="46676190"/>
    <w:rsid w:val="469D0882"/>
    <w:rsid w:val="46DE0454"/>
    <w:rsid w:val="46F52897"/>
    <w:rsid w:val="46FB396B"/>
    <w:rsid w:val="475B7D47"/>
    <w:rsid w:val="47B51C34"/>
    <w:rsid w:val="47FB7F56"/>
    <w:rsid w:val="480A0DBF"/>
    <w:rsid w:val="481A15A1"/>
    <w:rsid w:val="482F635F"/>
    <w:rsid w:val="483C36F0"/>
    <w:rsid w:val="48A3363A"/>
    <w:rsid w:val="48B43B58"/>
    <w:rsid w:val="48C61172"/>
    <w:rsid w:val="48F71942"/>
    <w:rsid w:val="49366D6C"/>
    <w:rsid w:val="495B1666"/>
    <w:rsid w:val="49605AEE"/>
    <w:rsid w:val="49716DE8"/>
    <w:rsid w:val="49725FF6"/>
    <w:rsid w:val="497F41A4"/>
    <w:rsid w:val="49BE5E87"/>
    <w:rsid w:val="49CA09D9"/>
    <w:rsid w:val="49EF575D"/>
    <w:rsid w:val="4A287AB5"/>
    <w:rsid w:val="4A4E6880"/>
    <w:rsid w:val="4A5529FD"/>
    <w:rsid w:val="4A887DDB"/>
    <w:rsid w:val="4AE66BEE"/>
    <w:rsid w:val="4AEC68F9"/>
    <w:rsid w:val="4AEE787E"/>
    <w:rsid w:val="4B465A1D"/>
    <w:rsid w:val="4B48598E"/>
    <w:rsid w:val="4BF27A7E"/>
    <w:rsid w:val="4C147660"/>
    <w:rsid w:val="4C2618CD"/>
    <w:rsid w:val="4C2D2789"/>
    <w:rsid w:val="4C505198"/>
    <w:rsid w:val="4C617F12"/>
    <w:rsid w:val="4C8B7132"/>
    <w:rsid w:val="4CEF6349"/>
    <w:rsid w:val="4D015FE4"/>
    <w:rsid w:val="4D0C4375"/>
    <w:rsid w:val="4D102D7B"/>
    <w:rsid w:val="4D165ECD"/>
    <w:rsid w:val="4D233F9A"/>
    <w:rsid w:val="4D3651B9"/>
    <w:rsid w:val="4D3D11D7"/>
    <w:rsid w:val="4D3F1636"/>
    <w:rsid w:val="4D40134C"/>
    <w:rsid w:val="4D4203D5"/>
    <w:rsid w:val="4D634A95"/>
    <w:rsid w:val="4D796F28"/>
    <w:rsid w:val="4D7B73C2"/>
    <w:rsid w:val="4D8C0196"/>
    <w:rsid w:val="4DDC7F67"/>
    <w:rsid w:val="4DEF279D"/>
    <w:rsid w:val="4DF869F8"/>
    <w:rsid w:val="4E493D7D"/>
    <w:rsid w:val="4E821D07"/>
    <w:rsid w:val="4E8273DA"/>
    <w:rsid w:val="4ECA7FF7"/>
    <w:rsid w:val="4EF120B3"/>
    <w:rsid w:val="4F082D2B"/>
    <w:rsid w:val="4F316279"/>
    <w:rsid w:val="4FAD3644"/>
    <w:rsid w:val="4FC032B5"/>
    <w:rsid w:val="4FC122E5"/>
    <w:rsid w:val="50120DEA"/>
    <w:rsid w:val="504A47C7"/>
    <w:rsid w:val="50EF2D57"/>
    <w:rsid w:val="51137A93"/>
    <w:rsid w:val="51272EB1"/>
    <w:rsid w:val="51611D91"/>
    <w:rsid w:val="5186516E"/>
    <w:rsid w:val="518E73DD"/>
    <w:rsid w:val="51C20383"/>
    <w:rsid w:val="520812A5"/>
    <w:rsid w:val="52391A74"/>
    <w:rsid w:val="526925C3"/>
    <w:rsid w:val="52AF74B4"/>
    <w:rsid w:val="52F7312C"/>
    <w:rsid w:val="530950C7"/>
    <w:rsid w:val="533646AD"/>
    <w:rsid w:val="53431E94"/>
    <w:rsid w:val="534430A5"/>
    <w:rsid w:val="5393159C"/>
    <w:rsid w:val="539453CB"/>
    <w:rsid w:val="53F54ADB"/>
    <w:rsid w:val="54343481"/>
    <w:rsid w:val="544256CC"/>
    <w:rsid w:val="544E5FF1"/>
    <w:rsid w:val="54626AE2"/>
    <w:rsid w:val="549428D8"/>
    <w:rsid w:val="54B74610"/>
    <w:rsid w:val="54C227C1"/>
    <w:rsid w:val="54D13CB7"/>
    <w:rsid w:val="54DF2FCC"/>
    <w:rsid w:val="54FE1085"/>
    <w:rsid w:val="55031F07"/>
    <w:rsid w:val="55114AA0"/>
    <w:rsid w:val="55153725"/>
    <w:rsid w:val="559A36FF"/>
    <w:rsid w:val="55B360D4"/>
    <w:rsid w:val="55DE50EE"/>
    <w:rsid w:val="55E65D7D"/>
    <w:rsid w:val="560A1435"/>
    <w:rsid w:val="56301675"/>
    <w:rsid w:val="56582A17"/>
    <w:rsid w:val="565D6CC1"/>
    <w:rsid w:val="56614C8A"/>
    <w:rsid w:val="56781A69"/>
    <w:rsid w:val="56F157EB"/>
    <w:rsid w:val="57196EBC"/>
    <w:rsid w:val="579E50CE"/>
    <w:rsid w:val="57BF1EC3"/>
    <w:rsid w:val="57D24779"/>
    <w:rsid w:val="57D52571"/>
    <w:rsid w:val="57E37DC1"/>
    <w:rsid w:val="58381A4A"/>
    <w:rsid w:val="583B29CE"/>
    <w:rsid w:val="5860518C"/>
    <w:rsid w:val="587924B3"/>
    <w:rsid w:val="59F2429E"/>
    <w:rsid w:val="5A3A4498"/>
    <w:rsid w:val="5A9F1CB6"/>
    <w:rsid w:val="5AC70DFE"/>
    <w:rsid w:val="5AE34EAB"/>
    <w:rsid w:val="5AF9704F"/>
    <w:rsid w:val="5AFD5A55"/>
    <w:rsid w:val="5B021AAB"/>
    <w:rsid w:val="5B084A0C"/>
    <w:rsid w:val="5B550A5C"/>
    <w:rsid w:val="5B813AB0"/>
    <w:rsid w:val="5B844A35"/>
    <w:rsid w:val="5BA83AF9"/>
    <w:rsid w:val="5BB73D3C"/>
    <w:rsid w:val="5C1916A5"/>
    <w:rsid w:val="5C1E7315"/>
    <w:rsid w:val="5CB7466D"/>
    <w:rsid w:val="5CE53377"/>
    <w:rsid w:val="5D0900B4"/>
    <w:rsid w:val="5D11008D"/>
    <w:rsid w:val="5D4C3BC3"/>
    <w:rsid w:val="5D4E3D08"/>
    <w:rsid w:val="5D6E2740"/>
    <w:rsid w:val="5DA73435"/>
    <w:rsid w:val="5DE426B5"/>
    <w:rsid w:val="5E567766"/>
    <w:rsid w:val="5EBB1C78"/>
    <w:rsid w:val="5EF046D1"/>
    <w:rsid w:val="5EF329B1"/>
    <w:rsid w:val="5F064FAB"/>
    <w:rsid w:val="5F212894"/>
    <w:rsid w:val="5F451BDC"/>
    <w:rsid w:val="5F850BD3"/>
    <w:rsid w:val="5FB47C92"/>
    <w:rsid w:val="5FC47F2C"/>
    <w:rsid w:val="5FE5142F"/>
    <w:rsid w:val="600C644D"/>
    <w:rsid w:val="60730FCA"/>
    <w:rsid w:val="607C0353"/>
    <w:rsid w:val="60BA173E"/>
    <w:rsid w:val="610F4CC8"/>
    <w:rsid w:val="61250DED"/>
    <w:rsid w:val="61813705"/>
    <w:rsid w:val="61A27E40"/>
    <w:rsid w:val="61F42E91"/>
    <w:rsid w:val="623A0D90"/>
    <w:rsid w:val="62607EDA"/>
    <w:rsid w:val="62CA23F0"/>
    <w:rsid w:val="62CD5E9B"/>
    <w:rsid w:val="62DC3E7F"/>
    <w:rsid w:val="62DE5BC0"/>
    <w:rsid w:val="633D145D"/>
    <w:rsid w:val="638C2861"/>
    <w:rsid w:val="639962F3"/>
    <w:rsid w:val="63A31776"/>
    <w:rsid w:val="63B76CEE"/>
    <w:rsid w:val="63D11CD0"/>
    <w:rsid w:val="6472185A"/>
    <w:rsid w:val="64C94467"/>
    <w:rsid w:val="65151063"/>
    <w:rsid w:val="654C3747"/>
    <w:rsid w:val="656416EC"/>
    <w:rsid w:val="65D8147F"/>
    <w:rsid w:val="65E64613"/>
    <w:rsid w:val="66501DE9"/>
    <w:rsid w:val="66894448"/>
    <w:rsid w:val="66C764AB"/>
    <w:rsid w:val="67065A7F"/>
    <w:rsid w:val="671F1CD5"/>
    <w:rsid w:val="67255B9A"/>
    <w:rsid w:val="674106B7"/>
    <w:rsid w:val="67BC1793"/>
    <w:rsid w:val="68164ED3"/>
    <w:rsid w:val="681C6DDC"/>
    <w:rsid w:val="6839418E"/>
    <w:rsid w:val="686553E0"/>
    <w:rsid w:val="68837A86"/>
    <w:rsid w:val="68CB7E7A"/>
    <w:rsid w:val="693F58BF"/>
    <w:rsid w:val="6949563F"/>
    <w:rsid w:val="697D7C9D"/>
    <w:rsid w:val="69A3767C"/>
    <w:rsid w:val="69AC62C8"/>
    <w:rsid w:val="69F150D9"/>
    <w:rsid w:val="6A104C8E"/>
    <w:rsid w:val="6A123A14"/>
    <w:rsid w:val="6A1E62F0"/>
    <w:rsid w:val="6A2C3B47"/>
    <w:rsid w:val="6A4E1D0F"/>
    <w:rsid w:val="6A54337E"/>
    <w:rsid w:val="6A7B433D"/>
    <w:rsid w:val="6A8C58DC"/>
    <w:rsid w:val="6A976422"/>
    <w:rsid w:val="6AC54EF0"/>
    <w:rsid w:val="6AD53752"/>
    <w:rsid w:val="6B085226"/>
    <w:rsid w:val="6B0D7E9E"/>
    <w:rsid w:val="6B277CD9"/>
    <w:rsid w:val="6BA94DAF"/>
    <w:rsid w:val="6BE31711"/>
    <w:rsid w:val="6BEB6B1D"/>
    <w:rsid w:val="6C054650"/>
    <w:rsid w:val="6C123F77"/>
    <w:rsid w:val="6C205CF3"/>
    <w:rsid w:val="6C542CCA"/>
    <w:rsid w:val="6CAB026C"/>
    <w:rsid w:val="6CBA14C0"/>
    <w:rsid w:val="6D465AD5"/>
    <w:rsid w:val="6D8344B2"/>
    <w:rsid w:val="6D9A2F35"/>
    <w:rsid w:val="6DD62AF8"/>
    <w:rsid w:val="6E1F4C40"/>
    <w:rsid w:val="6E2C0351"/>
    <w:rsid w:val="6EBD43BD"/>
    <w:rsid w:val="6EC923CE"/>
    <w:rsid w:val="6ED46AA2"/>
    <w:rsid w:val="6EDD48F2"/>
    <w:rsid w:val="6F165D50"/>
    <w:rsid w:val="6F337F6D"/>
    <w:rsid w:val="6F6048EA"/>
    <w:rsid w:val="6F616041"/>
    <w:rsid w:val="6F755D6A"/>
    <w:rsid w:val="6F822668"/>
    <w:rsid w:val="6FA1380A"/>
    <w:rsid w:val="6FB41033"/>
    <w:rsid w:val="6FCC6203"/>
    <w:rsid w:val="6FE30247"/>
    <w:rsid w:val="704D190E"/>
    <w:rsid w:val="709E5136"/>
    <w:rsid w:val="70A26911"/>
    <w:rsid w:val="713D3157"/>
    <w:rsid w:val="713F23B2"/>
    <w:rsid w:val="71473959"/>
    <w:rsid w:val="7170784A"/>
    <w:rsid w:val="71A63A80"/>
    <w:rsid w:val="720D3E0B"/>
    <w:rsid w:val="722E7780"/>
    <w:rsid w:val="726A1FB8"/>
    <w:rsid w:val="727069CC"/>
    <w:rsid w:val="727950DD"/>
    <w:rsid w:val="72804A68"/>
    <w:rsid w:val="72B077B6"/>
    <w:rsid w:val="72C928DE"/>
    <w:rsid w:val="72F5757B"/>
    <w:rsid w:val="732145F1"/>
    <w:rsid w:val="734B7734"/>
    <w:rsid w:val="7366735C"/>
    <w:rsid w:val="738452C7"/>
    <w:rsid w:val="739F163C"/>
    <w:rsid w:val="73BC5E5C"/>
    <w:rsid w:val="73C31BFC"/>
    <w:rsid w:val="74BF2D99"/>
    <w:rsid w:val="752C594B"/>
    <w:rsid w:val="757D4451"/>
    <w:rsid w:val="75976EEA"/>
    <w:rsid w:val="759A405B"/>
    <w:rsid w:val="75E95CFE"/>
    <w:rsid w:val="7601057E"/>
    <w:rsid w:val="76010E26"/>
    <w:rsid w:val="760730BC"/>
    <w:rsid w:val="762C1BC5"/>
    <w:rsid w:val="76EB42AA"/>
    <w:rsid w:val="76EC05E7"/>
    <w:rsid w:val="77162EED"/>
    <w:rsid w:val="778B672F"/>
    <w:rsid w:val="77A43A56"/>
    <w:rsid w:val="78037F43"/>
    <w:rsid w:val="781D7F14"/>
    <w:rsid w:val="781F4519"/>
    <w:rsid w:val="78206C22"/>
    <w:rsid w:val="7873672C"/>
    <w:rsid w:val="788C3D53"/>
    <w:rsid w:val="78B23F93"/>
    <w:rsid w:val="78BF0E83"/>
    <w:rsid w:val="78C465D7"/>
    <w:rsid w:val="79011794"/>
    <w:rsid w:val="7917076E"/>
    <w:rsid w:val="79352EE7"/>
    <w:rsid w:val="793B0674"/>
    <w:rsid w:val="793D367B"/>
    <w:rsid w:val="79507FD7"/>
    <w:rsid w:val="79650632"/>
    <w:rsid w:val="798476A8"/>
    <w:rsid w:val="79CB17D1"/>
    <w:rsid w:val="79FC572A"/>
    <w:rsid w:val="7A2354CA"/>
    <w:rsid w:val="7A5549F4"/>
    <w:rsid w:val="7A867B87"/>
    <w:rsid w:val="7B4E6DB6"/>
    <w:rsid w:val="7B8E7BC4"/>
    <w:rsid w:val="7BAC1282"/>
    <w:rsid w:val="7BD06B0C"/>
    <w:rsid w:val="7BF62A6B"/>
    <w:rsid w:val="7C153320"/>
    <w:rsid w:val="7C2F194B"/>
    <w:rsid w:val="7C6559F4"/>
    <w:rsid w:val="7C8F243F"/>
    <w:rsid w:val="7CA91F84"/>
    <w:rsid w:val="7CBA6503"/>
    <w:rsid w:val="7CBE24B4"/>
    <w:rsid w:val="7CE426F4"/>
    <w:rsid w:val="7D5D7EF7"/>
    <w:rsid w:val="7D692A96"/>
    <w:rsid w:val="7DC43066"/>
    <w:rsid w:val="7E4E5655"/>
    <w:rsid w:val="7E8A6888"/>
    <w:rsid w:val="7EC42C09"/>
    <w:rsid w:val="7F5F0B94"/>
    <w:rsid w:val="7F820A3E"/>
    <w:rsid w:val="7F8A5E4A"/>
    <w:rsid w:val="7FD3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jc w:val="center"/>
      <w:outlineLvl w:val="0"/>
    </w:pPr>
    <w:rPr>
      <w:rFonts w:ascii="长城仿宋" w:eastAsia="长城仿宋"/>
      <w:b/>
      <w:bCs/>
    </w:rPr>
  </w:style>
  <w:style w:type="paragraph" w:styleId="4">
    <w:name w:val="heading 2"/>
    <w:basedOn w:val="1"/>
    <w:next w:val="1"/>
    <w:qFormat/>
    <w:uiPriority w:val="0"/>
    <w:pPr>
      <w:keepNext/>
      <w:keepLines/>
      <w:spacing w:before="260" w:after="260" w:line="416" w:lineRule="auto"/>
      <w:outlineLvl w:val="1"/>
    </w:pPr>
    <w:rPr>
      <w:rFonts w:ascii="黑体" w:hAnsi="黑体" w:eastAsia="Tahoma"/>
      <w:b/>
      <w:bCs/>
      <w:sz w:val="32"/>
      <w:szCs w:val="32"/>
    </w:rPr>
  </w:style>
  <w:style w:type="paragraph" w:styleId="5">
    <w:name w:val="heading 3"/>
    <w:basedOn w:val="1"/>
    <w:next w:val="2"/>
    <w:qFormat/>
    <w:uiPriority w:val="0"/>
    <w:pPr>
      <w:keepNext/>
      <w:outlineLvl w:val="2"/>
    </w:pPr>
    <w:rPr>
      <w:b/>
      <w:sz w:val="28"/>
      <w:szCs w:val="20"/>
    </w:rPr>
  </w:style>
  <w:style w:type="paragraph" w:styleId="6">
    <w:name w:val="heading 4"/>
    <w:basedOn w:val="1"/>
    <w:next w:val="1"/>
    <w:link w:val="4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9"/>
    <w:qFormat/>
    <w:uiPriority w:val="0"/>
    <w:pPr>
      <w:adjustRightInd w:val="0"/>
      <w:spacing w:line="312" w:lineRule="atLeast"/>
      <w:ind w:firstLine="420"/>
      <w:textAlignment w:val="baseline"/>
    </w:pPr>
    <w:rPr>
      <w:rFonts w:eastAsia="Wingdings"/>
      <w:kern w:val="0"/>
      <w:szCs w:val="20"/>
    </w:rPr>
  </w:style>
  <w:style w:type="paragraph" w:styleId="8">
    <w:name w:val="Note Heading"/>
    <w:basedOn w:val="1"/>
    <w:next w:val="1"/>
    <w:link w:val="41"/>
    <w:qFormat/>
    <w:uiPriority w:val="0"/>
    <w:pPr>
      <w:spacing w:beforeLines="20" w:afterLines="50"/>
      <w:jc w:val="center"/>
    </w:pPr>
    <w:rPr>
      <w:rFonts w:ascii="Calibri" w:hAnsi="Calibri"/>
      <w:sz w:val="24"/>
    </w:rPr>
  </w:style>
  <w:style w:type="paragraph" w:styleId="9">
    <w:name w:val="Document Map"/>
    <w:basedOn w:val="1"/>
    <w:link w:val="42"/>
    <w:qFormat/>
    <w:uiPriority w:val="0"/>
    <w:rPr>
      <w:rFonts w:ascii="宋体"/>
      <w:sz w:val="18"/>
      <w:szCs w:val="18"/>
    </w:rPr>
  </w:style>
  <w:style w:type="paragraph" w:styleId="10">
    <w:name w:val="annotation text"/>
    <w:basedOn w:val="1"/>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qFormat/>
    <w:uiPriority w:val="0"/>
    <w:pPr>
      <w:autoSpaceDE w:val="0"/>
      <w:autoSpaceDN w:val="0"/>
      <w:adjustRightInd w:val="0"/>
      <w:ind w:firstLine="420" w:firstLineChars="100"/>
      <w:jc w:val="left"/>
    </w:pPr>
    <w:rPr>
      <w:kern w:val="0"/>
      <w:sz w:val="20"/>
      <w:szCs w:val="20"/>
    </w:rPr>
  </w:style>
  <w:style w:type="paragraph" w:styleId="13">
    <w:name w:val="Body Text Indent"/>
    <w:basedOn w:val="1"/>
    <w:qFormat/>
    <w:uiPriority w:val="0"/>
    <w:pPr>
      <w:ind w:left="480" w:hanging="480" w:hangingChars="200"/>
    </w:pPr>
    <w:rPr>
      <w:sz w:val="24"/>
    </w:rPr>
  </w:style>
  <w:style w:type="paragraph" w:styleId="14">
    <w:name w:val="Block Text"/>
    <w:basedOn w:val="1"/>
    <w:qFormat/>
    <w:uiPriority w:val="99"/>
    <w:pPr>
      <w:spacing w:after="120"/>
      <w:ind w:left="1440" w:leftChars="700" w:right="1440" w:rightChars="700"/>
    </w:pPr>
    <w:rPr>
      <w:rFonts w:ascii="Calibri" w:hAnsi="Calibri"/>
      <w:szCs w:val="22"/>
    </w:rPr>
  </w:style>
  <w:style w:type="paragraph" w:styleId="15">
    <w:name w:val="Plain Text"/>
    <w:basedOn w:val="1"/>
    <w:next w:val="1"/>
    <w:link w:val="43"/>
    <w:qFormat/>
    <w:uiPriority w:val="0"/>
    <w:pPr>
      <w:widowControl/>
      <w:overflowPunct w:val="0"/>
      <w:autoSpaceDE w:val="0"/>
      <w:autoSpaceDN w:val="0"/>
      <w:adjustRightInd w:val="0"/>
      <w:jc w:val="left"/>
      <w:textAlignment w:val="baseline"/>
    </w:pPr>
    <w:rPr>
      <w:rFonts w:ascii="Wingdings" w:hAnsi="长城仿宋" w:eastAsia="Wingdings"/>
      <w:kern w:val="0"/>
      <w:szCs w:val="21"/>
    </w:rPr>
  </w:style>
  <w:style w:type="paragraph" w:styleId="16">
    <w:name w:val="Date"/>
    <w:basedOn w:val="1"/>
    <w:next w:val="1"/>
    <w:qFormat/>
    <w:uiPriority w:val="0"/>
    <w:pPr>
      <w:ind w:left="100" w:leftChars="2500"/>
    </w:pPr>
    <w:rPr>
      <w:szCs w:val="20"/>
    </w:rPr>
  </w:style>
  <w:style w:type="paragraph" w:styleId="17">
    <w:name w:val="Body Text Indent 2"/>
    <w:basedOn w:val="1"/>
    <w:qFormat/>
    <w:uiPriority w:val="0"/>
    <w:pPr>
      <w:spacing w:line="500" w:lineRule="exact"/>
      <w:ind w:firstLine="511" w:firstLineChars="213"/>
    </w:pPr>
    <w:rPr>
      <w:sz w:val="24"/>
    </w:rPr>
  </w:style>
  <w:style w:type="paragraph" w:styleId="18">
    <w:name w:val="Balloon Text"/>
    <w:basedOn w:val="1"/>
    <w:qFormat/>
    <w:uiPriority w:val="0"/>
    <w:rPr>
      <w:sz w:val="18"/>
      <w:szCs w:val="18"/>
    </w:rPr>
  </w:style>
  <w:style w:type="paragraph" w:styleId="19">
    <w:name w:val="footer"/>
    <w:basedOn w:val="1"/>
    <w:link w:val="44"/>
    <w:qFormat/>
    <w:uiPriority w:val="0"/>
    <w:pPr>
      <w:tabs>
        <w:tab w:val="center" w:pos="4153"/>
        <w:tab w:val="right" w:pos="8306"/>
      </w:tabs>
      <w:snapToGrid w:val="0"/>
      <w:jc w:val="left"/>
    </w:pPr>
    <w:rPr>
      <w:rFonts w:eastAsia="Wingdings"/>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rFonts w:eastAsia="Wingdings"/>
      <w:sz w:val="18"/>
      <w:szCs w:val="18"/>
    </w:rPr>
  </w:style>
  <w:style w:type="paragraph" w:styleId="21">
    <w:name w:val="toc 1"/>
    <w:basedOn w:val="1"/>
    <w:next w:val="1"/>
    <w:qFormat/>
    <w:uiPriority w:val="39"/>
    <w:pPr>
      <w:tabs>
        <w:tab w:val="right" w:leader="dot" w:pos="9061"/>
      </w:tabs>
      <w:spacing w:line="480" w:lineRule="auto"/>
      <w:ind w:left="358" w:hanging="358" w:hangingChars="128"/>
    </w:pPr>
  </w:style>
  <w:style w:type="paragraph" w:styleId="22">
    <w:name w:val="List"/>
    <w:basedOn w:val="1"/>
    <w:qFormat/>
    <w:uiPriority w:val="0"/>
    <w:pPr>
      <w:ind w:left="200" w:hanging="200" w:hangingChars="200"/>
      <w:contextualSpacing/>
    </w:pPr>
  </w:style>
  <w:style w:type="paragraph" w:styleId="23">
    <w:name w:val="toc 6"/>
    <w:basedOn w:val="1"/>
    <w:next w:val="1"/>
    <w:qFormat/>
    <w:uiPriority w:val="0"/>
    <w:pPr>
      <w:ind w:left="2100" w:leftChars="1000"/>
    </w:pPr>
    <w:rPr>
      <w:rFonts w:ascii="Calibri" w:hAnsi="Calibri"/>
      <w:szCs w:val="22"/>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jc w:val="left"/>
    </w:pPr>
    <w:rPr>
      <w:rFonts w:ascii="Wingdings" w:hAnsi="Wingdings" w:cs="Wingdings"/>
      <w:kern w:val="0"/>
      <w:sz w:val="24"/>
    </w:rPr>
  </w:style>
  <w:style w:type="paragraph" w:styleId="27">
    <w:name w:val="Title"/>
    <w:basedOn w:val="1"/>
    <w:next w:val="1"/>
    <w:qFormat/>
    <w:uiPriority w:val="0"/>
    <w:pPr>
      <w:spacing w:before="240" w:after="60"/>
      <w:jc w:val="center"/>
      <w:outlineLvl w:val="0"/>
    </w:pPr>
    <w:rPr>
      <w:rFonts w:ascii="Arial" w:hAnsi="Arial"/>
      <w:b/>
      <w:bCs/>
      <w:sz w:val="32"/>
      <w:szCs w:val="32"/>
    </w:rPr>
  </w:style>
  <w:style w:type="paragraph" w:styleId="28">
    <w:name w:val="annotation subject"/>
    <w:basedOn w:val="10"/>
    <w:next w:val="10"/>
    <w:qFormat/>
    <w:uiPriority w:val="0"/>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Emphasis"/>
    <w:basedOn w:val="31"/>
    <w:qFormat/>
    <w:uiPriority w:val="0"/>
    <w:rPr>
      <w:i/>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link w:val="3"/>
    <w:qFormat/>
    <w:uiPriority w:val="9"/>
    <w:rPr>
      <w:rFonts w:ascii="长城仿宋" w:eastAsia="长城仿宋"/>
      <w:b/>
      <w:bCs/>
      <w:kern w:val="2"/>
      <w:sz w:val="21"/>
      <w:szCs w:val="24"/>
    </w:rPr>
  </w:style>
  <w:style w:type="character" w:customStyle="1" w:styleId="39">
    <w:name w:val="正文缩进 Char1"/>
    <w:link w:val="2"/>
    <w:qFormat/>
    <w:uiPriority w:val="0"/>
    <w:rPr>
      <w:rFonts w:eastAsia="Wingdings"/>
      <w:sz w:val="21"/>
      <w:lang w:val="en-US" w:eastAsia="zh-CN" w:bidi="ar-SA"/>
    </w:rPr>
  </w:style>
  <w:style w:type="character" w:customStyle="1" w:styleId="40">
    <w:name w:val="标题 4 Char"/>
    <w:link w:val="6"/>
    <w:semiHidden/>
    <w:qFormat/>
    <w:uiPriority w:val="0"/>
    <w:rPr>
      <w:rFonts w:ascii="Cambria" w:hAnsi="Cambria" w:eastAsia="宋体" w:cs="Times New Roman"/>
      <w:b/>
      <w:bCs/>
      <w:kern w:val="2"/>
      <w:sz w:val="28"/>
      <w:szCs w:val="28"/>
    </w:rPr>
  </w:style>
  <w:style w:type="character" w:customStyle="1" w:styleId="41">
    <w:name w:val="注释标题 Char"/>
    <w:link w:val="8"/>
    <w:qFormat/>
    <w:uiPriority w:val="0"/>
    <w:rPr>
      <w:rFonts w:ascii="Calibri" w:hAnsi="Calibri" w:cs="Times New Roman"/>
      <w:kern w:val="2"/>
      <w:sz w:val="24"/>
      <w:szCs w:val="24"/>
    </w:rPr>
  </w:style>
  <w:style w:type="character" w:customStyle="1" w:styleId="42">
    <w:name w:val="文档结构图 Char"/>
    <w:link w:val="9"/>
    <w:qFormat/>
    <w:uiPriority w:val="0"/>
    <w:rPr>
      <w:rFonts w:ascii="宋体"/>
      <w:kern w:val="2"/>
      <w:sz w:val="18"/>
      <w:szCs w:val="18"/>
    </w:rPr>
  </w:style>
  <w:style w:type="character" w:customStyle="1" w:styleId="43">
    <w:name w:val="纯文本 Char"/>
    <w:link w:val="15"/>
    <w:qFormat/>
    <w:uiPriority w:val="0"/>
    <w:rPr>
      <w:rFonts w:ascii="Wingdings" w:hAnsi="长城仿宋" w:eastAsia="Wingdings"/>
      <w:sz w:val="21"/>
      <w:szCs w:val="21"/>
      <w:lang w:val="en-US" w:eastAsia="zh-CN" w:bidi="ar-SA"/>
    </w:rPr>
  </w:style>
  <w:style w:type="character" w:customStyle="1" w:styleId="44">
    <w:name w:val="页脚 Char"/>
    <w:link w:val="19"/>
    <w:qFormat/>
    <w:uiPriority w:val="0"/>
    <w:rPr>
      <w:rFonts w:eastAsia="Wingdings"/>
      <w:kern w:val="2"/>
      <w:sz w:val="18"/>
      <w:szCs w:val="18"/>
      <w:lang w:val="en-US" w:eastAsia="zh-CN" w:bidi="ar-SA"/>
    </w:rPr>
  </w:style>
  <w:style w:type="character" w:customStyle="1" w:styleId="45">
    <w:name w:val="页眉 Char"/>
    <w:link w:val="20"/>
    <w:qFormat/>
    <w:uiPriority w:val="0"/>
    <w:rPr>
      <w:rFonts w:eastAsia="Wingdings"/>
      <w:kern w:val="2"/>
      <w:sz w:val="18"/>
      <w:szCs w:val="18"/>
      <w:lang w:val="en-US" w:eastAsia="zh-CN" w:bidi="ar-SA"/>
    </w:rPr>
  </w:style>
  <w:style w:type="character" w:customStyle="1" w:styleId="46">
    <w:name w:val="Char Char7"/>
    <w:qFormat/>
    <w:uiPriority w:val="0"/>
    <w:rPr>
      <w:rFonts w:eastAsia="仿宋_GB2312"/>
      <w:sz w:val="21"/>
      <w:lang w:val="en-US" w:eastAsia="zh-CN" w:bidi="ar-SA"/>
    </w:rPr>
  </w:style>
  <w:style w:type="character" w:customStyle="1" w:styleId="47">
    <w:name w:val="dash6b63_6587__char"/>
    <w:qFormat/>
    <w:uiPriority w:val="0"/>
  </w:style>
  <w:style w:type="character" w:customStyle="1" w:styleId="48">
    <w:name w:val="纯文本 字符"/>
    <w:qFormat/>
    <w:uiPriority w:val="0"/>
    <w:rPr>
      <w:rFonts w:ascii="Wingdings" w:hAnsi="长城仿宋" w:eastAsia="Wingdings"/>
      <w:sz w:val="21"/>
      <w:szCs w:val="21"/>
      <w:lang w:val="en-US" w:eastAsia="zh-CN" w:bidi="ar-SA"/>
    </w:rPr>
  </w:style>
  <w:style w:type="character" w:customStyle="1" w:styleId="49">
    <w:name w:val="纯文本 Char1"/>
    <w:qFormat/>
    <w:uiPriority w:val="99"/>
    <w:rPr>
      <w:rFonts w:ascii="宋体" w:hAnsi="Courier New"/>
      <w:kern w:val="2"/>
      <w:sz w:val="21"/>
      <w:szCs w:val="24"/>
    </w:rPr>
  </w:style>
  <w:style w:type="character" w:customStyle="1" w:styleId="50">
    <w:name w:val="正文缩进 字符"/>
    <w:qFormat/>
    <w:uiPriority w:val="0"/>
    <w:rPr>
      <w:rFonts w:eastAsia="Wingdings"/>
      <w:sz w:val="21"/>
      <w:lang w:val="en-US" w:eastAsia="zh-CN" w:bidi="ar-SA"/>
    </w:rPr>
  </w:style>
  <w:style w:type="character" w:customStyle="1" w:styleId="51">
    <w:name w:val="chs1"/>
    <w:qFormat/>
    <w:uiPriority w:val="0"/>
    <w:rPr>
      <w:rFonts w:hint="default" w:ascii="_x000B__x000C_" w:hAnsi="_x000B__x000C_" w:cs="Times New Roman"/>
      <w:sz w:val="18"/>
      <w:szCs w:val="18"/>
    </w:rPr>
  </w:style>
  <w:style w:type="character" w:customStyle="1" w:styleId="52">
    <w:name w:val="正文缩进 Char"/>
    <w:qFormat/>
    <w:uiPriority w:val="0"/>
    <w:rPr>
      <w:rFonts w:eastAsia="Wingdings"/>
      <w:sz w:val="21"/>
      <w:lang w:val="en-US" w:eastAsia="zh-CN" w:bidi="ar-SA"/>
    </w:rPr>
  </w:style>
  <w:style w:type="character" w:customStyle="1" w:styleId="53">
    <w:name w:val="ändrad Char"/>
    <w:qFormat/>
    <w:uiPriority w:val="0"/>
    <w:rPr>
      <w:rFonts w:eastAsia="仿宋_GB2312"/>
      <w:kern w:val="2"/>
      <w:sz w:val="21"/>
      <w:szCs w:val="24"/>
      <w:lang w:val="en-US" w:eastAsia="zh-CN" w:bidi="ar-SA"/>
    </w:rPr>
  </w:style>
  <w:style w:type="character" w:customStyle="1" w:styleId="54">
    <w:name w:val="style13"/>
    <w:qFormat/>
    <w:uiPriority w:val="0"/>
  </w:style>
  <w:style w:type="character" w:customStyle="1" w:styleId="55">
    <w:name w:val="署名 Char"/>
    <w:qFormat/>
    <w:uiPriority w:val="0"/>
    <w:rPr>
      <w:rFonts w:eastAsia="宋体"/>
      <w:kern w:val="28"/>
      <w:sz w:val="28"/>
      <w:lang w:val="en-US" w:eastAsia="zh-CN" w:bidi="ar-SA"/>
    </w:rPr>
  </w:style>
  <w:style w:type="paragraph" w:customStyle="1" w:styleId="56">
    <w:name w:val="xl65"/>
    <w:basedOn w:val="1"/>
    <w:qFormat/>
    <w:uiPriority w:val="0"/>
    <w:pPr>
      <w:widowControl/>
      <w:spacing w:before="100" w:beforeAutospacing="1" w:after="100" w:afterAutospacing="1"/>
      <w:jc w:val="center"/>
    </w:pPr>
    <w:rPr>
      <w:rFonts w:ascii="宋体" w:hAnsi="宋体" w:cs="宋体"/>
      <w:kern w:val="0"/>
      <w:sz w:val="24"/>
    </w:rPr>
  </w:style>
  <w:style w:type="paragraph" w:styleId="57">
    <w:name w:val="List Paragraph"/>
    <w:basedOn w:val="1"/>
    <w:qFormat/>
    <w:uiPriority w:val="34"/>
    <w:pPr>
      <w:ind w:firstLine="420" w:firstLineChars="200"/>
    </w:pPr>
  </w:style>
  <w:style w:type="paragraph" w:customStyle="1" w:styleId="58">
    <w:name w:val="Sublist"/>
    <w:qFormat/>
    <w:uiPriority w:val="0"/>
    <w:pPr>
      <w:tabs>
        <w:tab w:val="left" w:pos="391"/>
      </w:tabs>
      <w:spacing w:before="80" w:after="80" w:line="240" w:lineRule="atLeast"/>
      <w:ind w:left="391" w:hanging="391"/>
    </w:pPr>
    <w:rPr>
      <w:rFonts w:ascii="Times New Roman" w:hAnsi="Times New Roman" w:eastAsia="宋体" w:cs="Times New Roman"/>
      <w:kern w:val="2"/>
      <w:sz w:val="21"/>
      <w:szCs w:val="24"/>
      <w:lang w:val="en-US" w:eastAsia="zh-CN" w:bidi="ar-SA"/>
    </w:rPr>
  </w:style>
  <w:style w:type="paragraph" w:customStyle="1" w:styleId="59">
    <w:name w:val="font9"/>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
    <w:name w:val="Char Char Char Char1"/>
    <w:basedOn w:val="1"/>
    <w:qFormat/>
    <w:uiPriority w:val="0"/>
    <w:rPr>
      <w:kern w:val="0"/>
      <w:sz w:val="24"/>
      <w:szCs w:val="20"/>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u w:val="single"/>
    </w:rPr>
  </w:style>
  <w:style w:type="paragraph" w:customStyle="1" w:styleId="63">
    <w:name w:val="Char Char Char Char1 Char Char Char Char"/>
    <w:basedOn w:val="1"/>
    <w:qFormat/>
    <w:uiPriority w:val="0"/>
    <w:pPr>
      <w:widowControl/>
      <w:spacing w:after="160" w:line="240" w:lineRule="exact"/>
      <w:jc w:val="left"/>
    </w:pPr>
    <w:rPr>
      <w:szCs w:val="20"/>
    </w:rPr>
  </w:style>
  <w:style w:type="paragraph" w:customStyle="1" w:styleId="64">
    <w:name w:val="_Style 5"/>
    <w:basedOn w:val="9"/>
    <w:qFormat/>
    <w:uiPriority w:val="0"/>
    <w:pPr>
      <w:shd w:val="clear" w:color="auto" w:fill="000080"/>
    </w:pPr>
    <w:rPr>
      <w:rFonts w:ascii="Times New Roman"/>
      <w:sz w:val="21"/>
      <w:szCs w:val="24"/>
    </w:rPr>
  </w:style>
  <w:style w:type="paragraph" w:customStyle="1" w:styleId="65">
    <w:name w:val="Char Char2 Char"/>
    <w:basedOn w:val="1"/>
    <w:qFormat/>
    <w:uiPriority w:val="0"/>
    <w:pPr>
      <w:keepNext/>
      <w:keepLines/>
      <w:pageBreakBefore/>
      <w:tabs>
        <w:tab w:val="left" w:pos="845"/>
      </w:tabs>
      <w:ind w:left="845" w:hanging="420"/>
    </w:pPr>
    <w:rPr>
      <w:szCs w:val="20"/>
    </w:rPr>
  </w:style>
  <w:style w:type="paragraph" w:customStyle="1" w:styleId="6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7">
    <w:name w:val="05 Body"/>
    <w:basedOn w:val="1"/>
    <w:qFormat/>
    <w:uiPriority w:val="0"/>
    <w:pPr>
      <w:widowControl/>
      <w:spacing w:line="288" w:lineRule="auto"/>
    </w:pPr>
    <w:rPr>
      <w:rFonts w:ascii="Arial" w:hAnsi="Arial"/>
      <w:kern w:val="20"/>
      <w:sz w:val="24"/>
      <w:lang w:val="en-GB" w:eastAsia="en-US"/>
    </w:rPr>
  </w:style>
  <w:style w:type="paragraph" w:customStyle="1" w:styleId="6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9">
    <w:name w:val="03 Wheras"/>
    <w:basedOn w:val="1"/>
    <w:qFormat/>
    <w:uiPriority w:val="0"/>
    <w:pPr>
      <w:widowControl/>
      <w:spacing w:line="288" w:lineRule="auto"/>
    </w:pPr>
    <w:rPr>
      <w:rFonts w:ascii="Arial" w:hAnsi="Arial" w:eastAsia="黑体"/>
      <w:b/>
      <w:kern w:val="20"/>
      <w:sz w:val="24"/>
      <w:lang w:val="en-GB" w:eastAsia="en-US"/>
    </w:rPr>
  </w:style>
  <w:style w:type="paragraph" w:customStyle="1" w:styleId="70">
    <w:name w:val="默认段落字体 Para Char Char Char Char"/>
    <w:basedOn w:val="1"/>
    <w:qFormat/>
    <w:uiPriority w:val="0"/>
    <w:rPr>
      <w:szCs w:val="20"/>
    </w:rPr>
  </w:style>
  <w:style w:type="paragraph" w:customStyle="1" w:styleId="71">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7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3">
    <w:name w:val="02 Parties"/>
    <w:basedOn w:val="1"/>
    <w:qFormat/>
    <w:uiPriority w:val="0"/>
    <w:pPr>
      <w:widowControl/>
      <w:tabs>
        <w:tab w:val="left" w:pos="567"/>
        <w:tab w:val="left" w:pos="624"/>
      </w:tabs>
      <w:spacing w:line="288" w:lineRule="auto"/>
      <w:ind w:left="624" w:hanging="624"/>
    </w:pPr>
    <w:rPr>
      <w:rFonts w:ascii="Arial" w:hAnsi="Arial"/>
      <w:kern w:val="20"/>
      <w:sz w:val="24"/>
      <w:lang w:val="en-GB" w:eastAsia="en-US"/>
    </w:rPr>
  </w:style>
  <w:style w:type="paragraph" w:customStyle="1" w:styleId="7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7">
    <w:name w:val="04 Recitals"/>
    <w:basedOn w:val="67"/>
    <w:qFormat/>
    <w:uiPriority w:val="0"/>
    <w:pPr>
      <w:numPr>
        <w:ilvl w:val="0"/>
        <w:numId w:val="1"/>
      </w:numPr>
      <w:tabs>
        <w:tab w:val="left" w:pos="480"/>
      </w:tabs>
    </w:pPr>
  </w:style>
  <w:style w:type="paragraph" w:customStyle="1" w:styleId="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1">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2">
    <w:name w:val="段"/>
    <w:qFormat/>
    <w:uiPriority w:val="0"/>
    <w:pPr>
      <w:autoSpaceDE w:val="0"/>
      <w:autoSpaceDN w:val="0"/>
      <w:ind w:firstLine="200" w:firstLineChars="200"/>
      <w:jc w:val="both"/>
    </w:pPr>
    <w:rPr>
      <w:rFonts w:ascii="Wingdings" w:hAnsi="Times New Roman" w:eastAsia="宋体" w:cs="Times New Roman"/>
      <w:sz w:val="21"/>
      <w:lang w:val="en-US" w:eastAsia="zh-CN" w:bidi="ar-SA"/>
    </w:rPr>
  </w:style>
  <w:style w:type="paragraph" w:customStyle="1" w:styleId="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84">
    <w:name w:val="Sublisttext"/>
    <w:next w:val="58"/>
    <w:qFormat/>
    <w:uiPriority w:val="0"/>
    <w:pPr>
      <w:spacing w:before="80" w:after="80" w:line="240" w:lineRule="atLeast"/>
      <w:ind w:left="958"/>
    </w:pPr>
    <w:rPr>
      <w:rFonts w:ascii="Times New Roman" w:hAnsi="Times New Roman" w:eastAsia="宋体" w:cs="Times New Roman"/>
      <w:kern w:val="2"/>
      <w:sz w:val="21"/>
      <w:szCs w:val="24"/>
      <w:lang w:val="en-US" w:eastAsia="zh-CN" w:bidi="ar-SA"/>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6">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7">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88">
    <w:name w:val="Default"/>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8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Char Char Char Char Char Char Char Char Char Char Char Char Char"/>
    <w:basedOn w:val="1"/>
    <w:qFormat/>
    <w:uiPriority w:val="0"/>
    <w:rPr>
      <w:rFonts w:ascii="Univers LT Std 57 Cn" w:hAnsi="Univers LT Std 57 Cn"/>
      <w:sz w:val="24"/>
      <w:szCs w:val="20"/>
    </w:rPr>
  </w:style>
  <w:style w:type="paragraph" w:customStyle="1" w:styleId="9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2">
    <w:name w:val="Contents2"/>
    <w:basedOn w:val="1"/>
    <w:next w:val="1"/>
    <w:qFormat/>
    <w:uiPriority w:val="0"/>
    <w:pPr>
      <w:spacing w:before="60" w:after="60" w:line="360" w:lineRule="atLeast"/>
      <w:outlineLvl w:val="1"/>
    </w:pPr>
    <w:rPr>
      <w:rFonts w:eastAsia="Tahoma"/>
      <w:b/>
      <w:bCs/>
      <w:sz w:val="28"/>
    </w:rPr>
  </w:style>
  <w:style w:type="paragraph" w:customStyle="1" w:styleId="93">
    <w:name w:val="Char Char Char Char"/>
    <w:basedOn w:val="9"/>
    <w:qFormat/>
    <w:uiPriority w:val="0"/>
    <w:pPr>
      <w:shd w:val="clear" w:color="auto" w:fill="000080"/>
    </w:pPr>
    <w:rPr>
      <w:rFonts w:ascii="Times New Roman"/>
      <w:sz w:val="21"/>
      <w:szCs w:val="24"/>
    </w:rPr>
  </w:style>
  <w:style w:type="paragraph" w:customStyle="1" w:styleId="94">
    <w:name w:val="正文1"/>
    <w:basedOn w:val="1"/>
    <w:qFormat/>
    <w:uiPriority w:val="0"/>
    <w:pPr>
      <w:spacing w:line="500" w:lineRule="exact"/>
    </w:pPr>
    <w:rPr>
      <w:rFonts w:ascii="黑体" w:hAnsi="黑体"/>
      <w:sz w:val="24"/>
      <w:szCs w:val="20"/>
    </w:rPr>
  </w:style>
  <w:style w:type="paragraph" w:customStyle="1" w:styleId="95">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u w:val="single"/>
    </w:rPr>
  </w:style>
  <w:style w:type="paragraph" w:customStyle="1" w:styleId="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1">
    <w:name w:val="List Paragraph1"/>
    <w:basedOn w:val="1"/>
    <w:qFormat/>
    <w:uiPriority w:val="0"/>
    <w:pPr>
      <w:ind w:firstLine="420" w:firstLineChars="200"/>
    </w:pPr>
    <w:rPr>
      <w:rFonts w:ascii="Courier New" w:hAnsi="Courier New" w:cs="Courier New"/>
      <w:szCs w:val="21"/>
    </w:rPr>
  </w:style>
  <w:style w:type="paragraph" w:customStyle="1" w:styleId="10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CM106"/>
    <w:basedOn w:val="88"/>
    <w:next w:val="88"/>
    <w:qFormat/>
    <w:uiPriority w:val="0"/>
    <w:rPr>
      <w:rFonts w:ascii="宋体" w:cs="Times New Roman"/>
      <w:color w:val="auto"/>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6">
    <w:name w:val="保留正文"/>
    <w:basedOn w:val="11"/>
    <w:qFormat/>
    <w:uiPriority w:val="0"/>
    <w:pPr>
      <w:keepNext/>
      <w:spacing w:after="160"/>
    </w:pPr>
    <w:rPr>
      <w:rFonts w:ascii="黑体" w:hAnsi="黑体" w:eastAsia="Wingdings" w:cs="黑体"/>
    </w:rPr>
  </w:style>
  <w:style w:type="paragraph" w:customStyle="1" w:styleId="107">
    <w:name w:val="xl8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8">
    <w:name w:val="Char Char Char Char Char Char Char"/>
    <w:basedOn w:val="1"/>
    <w:qFormat/>
    <w:uiPriority w:val="0"/>
  </w:style>
  <w:style w:type="paragraph" w:customStyle="1" w:styleId="109">
    <w:name w:val="Char"/>
    <w:basedOn w:val="1"/>
    <w:qFormat/>
    <w:uiPriority w:val="0"/>
    <w:rPr>
      <w:rFonts w:ascii="仿宋_GB2312" w:eastAsia="仿宋_GB2312"/>
      <w:b/>
      <w:sz w:val="32"/>
      <w:szCs w:val="32"/>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11">
    <w:name w:val="Level 2"/>
    <w:basedOn w:val="1"/>
    <w:next w:val="1"/>
    <w:qFormat/>
    <w:uiPriority w:val="0"/>
    <w:pPr>
      <w:numPr>
        <w:ilvl w:val="2"/>
        <w:numId w:val="3"/>
      </w:numPr>
      <w:tabs>
        <w:tab w:val="left" w:pos="2041"/>
      </w:tabs>
      <w:spacing w:after="140" w:line="290" w:lineRule="auto"/>
    </w:pPr>
    <w:rPr>
      <w:rFonts w:ascii="Calibri" w:hAnsi="Calibri"/>
      <w:kern w:val="20"/>
      <w:szCs w:val="28"/>
    </w:rPr>
  </w:style>
  <w:style w:type="paragraph" w:customStyle="1" w:styleId="112">
    <w:name w:val="标题6"/>
    <w:basedOn w:val="1"/>
    <w:next w:val="3"/>
    <w:qFormat/>
    <w:uiPriority w:val="0"/>
    <w:pPr>
      <w:widowControl/>
      <w:snapToGrid w:val="0"/>
      <w:spacing w:before="156" w:beforeLines="50" w:after="156" w:afterLines="50" w:line="520" w:lineRule="atLeast"/>
      <w:ind w:firstLine="200" w:firstLineChars="200"/>
    </w:pPr>
    <w:rPr>
      <w:rFonts w:cs="黑体"/>
      <w:b/>
      <w:sz w:val="24"/>
    </w:rPr>
  </w:style>
  <w:style w:type="paragraph" w:customStyle="1" w:styleId="11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招标文件－标准正文"/>
    <w:basedOn w:val="15"/>
    <w:qFormat/>
    <w:uiPriority w:val="0"/>
    <w:pPr>
      <w:spacing w:line="360" w:lineRule="auto"/>
    </w:pPr>
    <w:rPr>
      <w:rFonts w:ascii="Times New Roman" w:hAnsi="Times New Roman" w:eastAsia="宋体" w:cs="宋体"/>
      <w:color w:val="000000"/>
      <w:sz w:val="24"/>
      <w:szCs w:val="20"/>
    </w:rPr>
  </w:style>
  <w:style w:type="paragraph" w:customStyle="1" w:styleId="116">
    <w:name w:val="Char Char Char Char Char Char Char Char Char1 Char"/>
    <w:basedOn w:val="1"/>
    <w:qFormat/>
    <w:uiPriority w:val="0"/>
  </w:style>
  <w:style w:type="paragraph" w:customStyle="1" w:styleId="117">
    <w:name w:val="Level 4"/>
    <w:basedOn w:val="1"/>
    <w:qFormat/>
    <w:uiPriority w:val="0"/>
    <w:pPr>
      <w:widowControl/>
      <w:numPr>
        <w:ilvl w:val="3"/>
        <w:numId w:val="2"/>
      </w:numPr>
      <w:tabs>
        <w:tab w:val="left" w:pos="1817"/>
      </w:tabs>
      <w:spacing w:after="120" w:line="336" w:lineRule="auto"/>
      <w:outlineLvl w:val="3"/>
    </w:pPr>
    <w:rPr>
      <w:rFonts w:ascii="Arial" w:hAnsi="Arial"/>
      <w:w w:val="105"/>
      <w:kern w:val="20"/>
      <w:sz w:val="24"/>
      <w:lang w:val="en-GB" w:eastAsia="en-US"/>
    </w:rPr>
  </w:style>
  <w:style w:type="paragraph" w:customStyle="1" w:styleId="118">
    <w:name w:val="无间隔1"/>
    <w:qFormat/>
    <w:uiPriority w:val="0"/>
    <w:pPr>
      <w:widowControl w:val="0"/>
      <w:jc w:val="both"/>
    </w:pPr>
    <w:rPr>
      <w:rFonts w:ascii="Courier New" w:hAnsi="Courier New" w:eastAsia="宋体" w:cs="Courier New"/>
      <w:kern w:val="2"/>
      <w:sz w:val="21"/>
      <w:szCs w:val="21"/>
      <w:lang w:val="en-US" w:eastAsia="zh-CN" w:bidi="ar-SA"/>
    </w:rPr>
  </w:style>
  <w:style w:type="paragraph" w:customStyle="1" w:styleId="119">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0">
    <w:name w:val="表头文本"/>
    <w:basedOn w:val="1"/>
    <w:qFormat/>
    <w:uiPriority w:val="0"/>
    <w:pPr>
      <w:autoSpaceDE w:val="0"/>
      <w:autoSpaceDN w:val="0"/>
      <w:adjustRightInd w:val="0"/>
      <w:jc w:val="center"/>
    </w:pPr>
    <w:rPr>
      <w:b/>
      <w:kern w:val="0"/>
      <w:sz w:val="24"/>
      <w:szCs w:val="20"/>
    </w:rPr>
  </w:style>
  <w:style w:type="paragraph" w:customStyle="1" w:styleId="121">
    <w:name w:val="表内文字"/>
    <w:basedOn w:val="1"/>
    <w:qFormat/>
    <w:uiPriority w:val="0"/>
    <w:pPr>
      <w:adjustRightInd w:val="0"/>
      <w:snapToGrid w:val="0"/>
      <w:spacing w:line="500" w:lineRule="atLeast"/>
      <w:jc w:val="center"/>
    </w:pPr>
    <w:rPr>
      <w:rFonts w:ascii="黑体" w:hAnsi="黑体" w:eastAsia="长城仿宋" w:cs="黑体"/>
      <w:sz w:val="24"/>
    </w:rPr>
  </w:style>
  <w:style w:type="paragraph" w:customStyle="1" w:styleId="122">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23">
    <w:name w:val="Char Char"/>
    <w:basedOn w:val="1"/>
    <w:qFormat/>
    <w:uiPriority w:val="0"/>
  </w:style>
  <w:style w:type="paragraph" w:customStyle="1" w:styleId="124">
    <w:name w:val="[Normal]"/>
    <w:qFormat/>
    <w:uiPriority w:val="0"/>
    <w:rPr>
      <w:rFonts w:ascii="宋体" w:hAnsi="宋体" w:eastAsia="宋体" w:cs="Times New Roman"/>
      <w:sz w:val="24"/>
      <w:szCs w:val="22"/>
      <w:lang w:val="zh-CN" w:eastAsia="zh-CN" w:bidi="ar-SA"/>
    </w:rPr>
  </w:style>
  <w:style w:type="paragraph" w:customStyle="1" w:styleId="12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纯文本2"/>
    <w:basedOn w:val="125"/>
    <w:qFormat/>
    <w:uiPriority w:val="0"/>
    <w:pPr>
      <w:widowControl/>
      <w:jc w:val="left"/>
    </w:pPr>
    <w:rPr>
      <w:rFonts w:ascii="宋体" w:hAnsi="Courier New"/>
    </w:rPr>
  </w:style>
  <w:style w:type="character" w:customStyle="1" w:styleId="127">
    <w:name w:val="font11"/>
    <w:basedOn w:val="31"/>
    <w:qFormat/>
    <w:uiPriority w:val="0"/>
    <w:rPr>
      <w:rFonts w:hint="eastAsia" w:ascii="宋体" w:hAnsi="宋体" w:eastAsia="宋体" w:cs="宋体"/>
      <w:color w:val="000000"/>
      <w:sz w:val="21"/>
      <w:szCs w:val="21"/>
      <w:u w:val="none"/>
    </w:rPr>
  </w:style>
  <w:style w:type="character" w:customStyle="1" w:styleId="1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54</Pages>
  <Words>13004</Words>
  <Characters>13982</Characters>
  <Lines>50</Lines>
  <Paragraphs>63</Paragraphs>
  <TotalTime>43</TotalTime>
  <ScaleCrop>false</ScaleCrop>
  <LinksUpToDate>false</LinksUpToDate>
  <CharactersWithSpaces>14293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2022-01-29T08:37:00Z</dcterms:created>
  <dc:creator>Ray</dc:creator>
  <cp:lastModifiedBy>w®</cp:lastModifiedBy>
  <cp:lastPrinted>2023-04-25T08:23:00Z</cp:lastPrinted>
  <dcterms:modified xsi:type="dcterms:W3CDTF">2025-07-17T08:20:11Z</dcterms:modified>
  <dc:title>温州市政府分散采购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CFBD51D82B90445DB3828A1CCCAB3425_13</vt:lpwstr>
  </property>
  <property fmtid="{D5CDD505-2E9C-101B-9397-08002B2CF9AE}" pid="4" name="commondata">
    <vt:lpwstr>eyJoZGlkIjoiZDhkOWUyM2QzNWEzZjQ2M2U0ZjFkODM2NGI4OWVlN2MifQ==</vt:lpwstr>
  </property>
  <property fmtid="{D5CDD505-2E9C-101B-9397-08002B2CF9AE}" pid="5" name="KSOTemplateDocerSaveRecord">
    <vt:lpwstr>eyJoZGlkIjoiODQ4Y2FiM2Y2MWU2MDVmMTUxYjFkMDg4YjU4NmRhYmEiLCJ1c2VySWQiOiI5MzM4NjQ2MTUifQ==</vt:lpwstr>
  </property>
</Properties>
</file>