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5A7F95">
      <w:pPr>
        <w:autoSpaceDE w:val="0"/>
        <w:autoSpaceDN w:val="0"/>
        <w:spacing w:line="360" w:lineRule="auto"/>
        <w:textAlignment w:val="bottom"/>
        <w:rPr>
          <w:rFonts w:hint="eastAsia" w:ascii="宋体" w:hAnsi="宋体" w:cs="Courier New"/>
          <w:b/>
          <w:bCs/>
          <w:spacing w:val="120"/>
          <w:sz w:val="72"/>
          <w:szCs w:val="72"/>
          <w:highlight w:val="none"/>
        </w:rPr>
      </w:pPr>
    </w:p>
    <w:p w14:paraId="5B1D6C50">
      <w:pPr>
        <w:autoSpaceDE w:val="0"/>
        <w:autoSpaceDN w:val="0"/>
        <w:spacing w:line="500" w:lineRule="atLeast"/>
        <w:jc w:val="center"/>
        <w:textAlignment w:val="bottom"/>
        <w:rPr>
          <w:rFonts w:hint="eastAsia" w:ascii="宋体" w:hAnsi="宋体" w:cs="Courier New"/>
          <w:bCs/>
          <w:sz w:val="72"/>
          <w:szCs w:val="72"/>
          <w:highlight w:val="none"/>
        </w:rPr>
      </w:pPr>
      <w:sdt>
        <w:sdtPr>
          <w:rPr>
            <w:rFonts w:hint="eastAsia" w:ascii="宋体" w:hAnsi="宋体" w:cs="Courier New"/>
            <w:b/>
            <w:bCs/>
            <w:spacing w:val="120"/>
            <w:sz w:val="72"/>
            <w:szCs w:val="72"/>
            <w:highlight w:val="none"/>
          </w:rPr>
          <w:alias w:val="区域选择"/>
          <w:tag w:val="区域选择"/>
          <w:id w:val="-692767285"/>
          <w:placeholder>
            <w:docPart w:val="DefaultPlaceholder_1081868575"/>
          </w:placeholder>
          <w:dropDownList>
            <w:listItem w:value="选择一项。"/>
            <w:listItem w:displayText="温州市" w:value="温州市"/>
            <w:listItem w:displayText="瓯海区" w:value="瓯海区"/>
            <w:listItem w:displayText="鹿城区" w:value="鹿城区"/>
            <w:listItem w:displayText="龙湾区" w:value="龙湾区"/>
          </w:dropDownList>
        </w:sdtPr>
        <w:sdtEndPr>
          <w:rPr>
            <w:rFonts w:hint="eastAsia" w:ascii="宋体" w:hAnsi="宋体" w:cs="Courier New"/>
            <w:b/>
            <w:bCs/>
            <w:spacing w:val="120"/>
            <w:sz w:val="72"/>
            <w:szCs w:val="72"/>
            <w:highlight w:val="none"/>
          </w:rPr>
        </w:sdtEndPr>
        <w:sdtContent>
          <w:r>
            <w:rPr>
              <w:rFonts w:hint="eastAsia" w:ascii="宋体" w:hAnsi="宋体" w:cs="Courier New"/>
              <w:b/>
              <w:bCs/>
              <w:spacing w:val="120"/>
              <w:sz w:val="72"/>
              <w:szCs w:val="72"/>
              <w:highlight w:val="none"/>
            </w:rPr>
            <w:t>瓯海区</w:t>
          </w:r>
        </w:sdtContent>
      </w:sdt>
      <w:r>
        <w:rPr>
          <w:rFonts w:hint="eastAsia" w:ascii="宋体" w:hAnsi="宋体" w:cs="Courier New"/>
          <w:b/>
          <w:bCs/>
          <w:spacing w:val="120"/>
          <w:sz w:val="72"/>
          <w:szCs w:val="72"/>
          <w:highlight w:val="none"/>
        </w:rPr>
        <w:t>国有企业</w:t>
      </w:r>
      <w:r>
        <w:rPr>
          <w:rFonts w:ascii="宋体" w:hAnsi="宋体" w:cs="Courier New"/>
          <w:b/>
          <w:bCs/>
          <w:spacing w:val="120"/>
          <w:sz w:val="72"/>
          <w:szCs w:val="72"/>
          <w:highlight w:val="none"/>
        </w:rPr>
        <w:t>采购</w:t>
      </w:r>
    </w:p>
    <w:p w14:paraId="180AE486">
      <w:pPr>
        <w:spacing w:line="400" w:lineRule="atLeast"/>
        <w:jc w:val="center"/>
        <w:rPr>
          <w:rFonts w:hint="eastAsia" w:ascii="宋体" w:hAnsi="宋体" w:cs="Courier New"/>
          <w:b/>
          <w:sz w:val="52"/>
          <w:highlight w:val="none"/>
        </w:rPr>
      </w:pPr>
    </w:p>
    <w:p w14:paraId="786E8F0A">
      <w:pPr>
        <w:spacing w:line="400" w:lineRule="atLeast"/>
        <w:jc w:val="center"/>
        <w:rPr>
          <w:rFonts w:hint="eastAsia" w:ascii="宋体" w:hAnsi="宋体" w:cs="Courier New"/>
          <w:b/>
          <w:sz w:val="52"/>
          <w:highlight w:val="none"/>
        </w:rPr>
      </w:pPr>
    </w:p>
    <w:p w14:paraId="1EAE675B">
      <w:pPr>
        <w:spacing w:line="400" w:lineRule="atLeast"/>
        <w:jc w:val="center"/>
        <w:rPr>
          <w:rFonts w:hint="eastAsia" w:ascii="宋体" w:hAnsi="宋体" w:cs="Courier New"/>
          <w:b/>
          <w:sz w:val="52"/>
          <w:highlight w:val="none"/>
        </w:rPr>
      </w:pPr>
    </w:p>
    <w:p w14:paraId="17766CA5">
      <w:pPr>
        <w:autoSpaceDE w:val="0"/>
        <w:autoSpaceDN w:val="0"/>
        <w:spacing w:line="500" w:lineRule="atLeast"/>
        <w:jc w:val="center"/>
        <w:textAlignment w:val="bottom"/>
        <w:rPr>
          <w:rFonts w:hint="eastAsia" w:ascii="宋体" w:hAnsi="宋体" w:cs="Courier New"/>
          <w:b/>
          <w:bCs/>
          <w:sz w:val="72"/>
          <w:szCs w:val="72"/>
          <w:highlight w:val="none"/>
        </w:rPr>
      </w:pPr>
      <w:r>
        <w:rPr>
          <w:rFonts w:hint="eastAsia" w:ascii="宋体" w:hAnsi="宋体" w:cs="Courier New"/>
          <w:b/>
          <w:bCs/>
          <w:sz w:val="72"/>
          <w:szCs w:val="72"/>
          <w:highlight w:val="none"/>
        </w:rPr>
        <w:t>招  标  文  件</w:t>
      </w:r>
    </w:p>
    <w:p w14:paraId="0307D9E2">
      <w:pPr>
        <w:autoSpaceDE w:val="0"/>
        <w:autoSpaceDN w:val="0"/>
        <w:spacing w:line="500" w:lineRule="atLeast"/>
        <w:jc w:val="center"/>
        <w:textAlignment w:val="bottom"/>
        <w:rPr>
          <w:rFonts w:hint="eastAsia" w:ascii="宋体" w:hAnsi="宋体" w:cs="Courier New"/>
          <w:sz w:val="42"/>
          <w:szCs w:val="72"/>
          <w:highlight w:val="none"/>
        </w:rPr>
      </w:pPr>
      <w:r>
        <w:rPr>
          <w:rFonts w:ascii="宋体" w:hAnsi="宋体" w:cs="Courier New"/>
          <w:sz w:val="42"/>
          <w:szCs w:val="72"/>
          <w:highlight w:val="none"/>
        </w:rPr>
        <w:t>(</w:t>
      </w:r>
      <w:r>
        <w:rPr>
          <w:rFonts w:hint="eastAsia" w:ascii="宋体" w:hAnsi="宋体" w:cs="Courier New"/>
          <w:sz w:val="42"/>
          <w:szCs w:val="72"/>
          <w:highlight w:val="none"/>
        </w:rPr>
        <w:t>线上电子招投标</w:t>
      </w:r>
      <w:r>
        <w:rPr>
          <w:rFonts w:ascii="宋体" w:hAnsi="宋体" w:cs="Courier New"/>
          <w:sz w:val="42"/>
          <w:szCs w:val="72"/>
          <w:highlight w:val="none"/>
        </w:rPr>
        <w:t>)</w:t>
      </w:r>
    </w:p>
    <w:p w14:paraId="3A5385FD">
      <w:pPr>
        <w:spacing w:line="400" w:lineRule="exact"/>
        <w:jc w:val="center"/>
        <w:rPr>
          <w:rFonts w:hint="eastAsia" w:ascii="宋体" w:hAnsi="宋体"/>
          <w:b/>
          <w:sz w:val="32"/>
          <w:highlight w:val="none"/>
        </w:rPr>
      </w:pPr>
    </w:p>
    <w:p w14:paraId="0618B3BA">
      <w:pPr>
        <w:spacing w:line="400" w:lineRule="exact"/>
        <w:jc w:val="center"/>
        <w:rPr>
          <w:rFonts w:hint="eastAsia" w:ascii="宋体" w:hAnsi="宋体"/>
          <w:b/>
          <w:sz w:val="32"/>
          <w:highlight w:val="none"/>
        </w:rPr>
      </w:pPr>
    </w:p>
    <w:p w14:paraId="1B9D25F2">
      <w:pPr>
        <w:spacing w:line="400" w:lineRule="exact"/>
        <w:jc w:val="center"/>
        <w:rPr>
          <w:rFonts w:hint="eastAsia" w:ascii="宋体" w:hAnsi="宋体"/>
          <w:b/>
          <w:sz w:val="32"/>
          <w:highlight w:val="none"/>
        </w:rPr>
      </w:pPr>
    </w:p>
    <w:p w14:paraId="46DA06FC">
      <w:pPr>
        <w:spacing w:line="400" w:lineRule="exact"/>
        <w:jc w:val="center"/>
        <w:rPr>
          <w:rFonts w:hint="eastAsia" w:ascii="宋体" w:hAnsi="宋体"/>
          <w:b/>
          <w:sz w:val="32"/>
          <w:highlight w:val="none"/>
        </w:rPr>
      </w:pPr>
    </w:p>
    <w:p w14:paraId="10ADD22D">
      <w:pPr>
        <w:spacing w:line="400" w:lineRule="exact"/>
        <w:jc w:val="center"/>
        <w:rPr>
          <w:rFonts w:hint="eastAsia" w:ascii="宋体" w:hAnsi="宋体"/>
          <w:b/>
          <w:sz w:val="32"/>
          <w:highlight w:val="none"/>
        </w:rPr>
      </w:pPr>
    </w:p>
    <w:tbl>
      <w:tblPr>
        <w:tblStyle w:val="35"/>
        <w:tblW w:w="8555" w:type="dxa"/>
        <w:jc w:val="center"/>
        <w:tblLayout w:type="fixed"/>
        <w:tblCellMar>
          <w:top w:w="0" w:type="dxa"/>
          <w:left w:w="108" w:type="dxa"/>
          <w:bottom w:w="0" w:type="dxa"/>
          <w:right w:w="108" w:type="dxa"/>
        </w:tblCellMar>
      </w:tblPr>
      <w:tblGrid>
        <w:gridCol w:w="2340"/>
        <w:gridCol w:w="360"/>
        <w:gridCol w:w="5855"/>
      </w:tblGrid>
      <w:tr w14:paraId="630AC374">
        <w:tblPrEx>
          <w:tblCellMar>
            <w:top w:w="0" w:type="dxa"/>
            <w:left w:w="108" w:type="dxa"/>
            <w:bottom w:w="0" w:type="dxa"/>
            <w:right w:w="108" w:type="dxa"/>
          </w:tblCellMar>
        </w:tblPrEx>
        <w:trPr>
          <w:trHeight w:val="659" w:hRule="atLeast"/>
          <w:jc w:val="center"/>
        </w:trPr>
        <w:tc>
          <w:tcPr>
            <w:tcW w:w="2340" w:type="dxa"/>
            <w:vAlign w:val="center"/>
          </w:tcPr>
          <w:p w14:paraId="27356446">
            <w:pPr>
              <w:adjustRightInd w:val="0"/>
              <w:snapToGrid w:val="0"/>
              <w:spacing w:line="440" w:lineRule="exact"/>
              <w:jc w:val="distribute"/>
              <w:rPr>
                <w:rFonts w:hint="eastAsia" w:ascii="宋体" w:hAnsi="宋体"/>
                <w:sz w:val="30"/>
                <w:szCs w:val="30"/>
                <w:highlight w:val="none"/>
              </w:rPr>
            </w:pPr>
            <w:r>
              <w:rPr>
                <w:rFonts w:ascii="宋体" w:hAnsi="宋体"/>
                <w:spacing w:val="40"/>
                <w:sz w:val="30"/>
                <w:szCs w:val="30"/>
                <w:highlight w:val="none"/>
              </w:rPr>
              <w:t>项目编号</w:t>
            </w:r>
          </w:p>
        </w:tc>
        <w:tc>
          <w:tcPr>
            <w:tcW w:w="360" w:type="dxa"/>
            <w:vAlign w:val="center"/>
          </w:tcPr>
          <w:p w14:paraId="7496CCF3">
            <w:pPr>
              <w:adjustRightInd w:val="0"/>
              <w:snapToGrid w:val="0"/>
              <w:spacing w:line="440" w:lineRule="exact"/>
              <w:jc w:val="distribute"/>
              <w:rPr>
                <w:rFonts w:hint="eastAsia" w:ascii="宋体" w:hAnsi="宋体"/>
                <w:sz w:val="30"/>
                <w:szCs w:val="30"/>
                <w:highlight w:val="none"/>
              </w:rPr>
            </w:pPr>
            <w:r>
              <w:rPr>
                <w:rFonts w:ascii="宋体" w:hAnsi="宋体"/>
                <w:sz w:val="30"/>
                <w:szCs w:val="30"/>
                <w:highlight w:val="none"/>
              </w:rPr>
              <w:t>：</w:t>
            </w:r>
          </w:p>
        </w:tc>
        <w:tc>
          <w:tcPr>
            <w:tcW w:w="5855" w:type="dxa"/>
            <w:vAlign w:val="center"/>
          </w:tcPr>
          <w:p w14:paraId="64425F37">
            <w:pPr>
              <w:adjustRightInd w:val="0"/>
              <w:snapToGrid w:val="0"/>
              <w:spacing w:line="440" w:lineRule="exact"/>
              <w:rPr>
                <w:rFonts w:hint="eastAsia" w:ascii="宋体" w:hAnsi="宋体" w:eastAsia="宋体"/>
                <w:spacing w:val="-20"/>
                <w:sz w:val="30"/>
                <w:szCs w:val="30"/>
                <w:highlight w:val="none"/>
                <w:lang w:eastAsia="zh-CN"/>
              </w:rPr>
            </w:pPr>
            <w:r>
              <w:rPr>
                <w:rFonts w:hint="eastAsia" w:ascii="宋体" w:hAnsi="宋体"/>
                <w:spacing w:val="40"/>
                <w:sz w:val="30"/>
                <w:szCs w:val="30"/>
                <w:highlight w:val="none"/>
                <w:lang w:eastAsia="zh-CN"/>
              </w:rPr>
              <w:t>ZJLC-202500624（M）</w:t>
            </w:r>
          </w:p>
        </w:tc>
      </w:tr>
      <w:tr w14:paraId="34C69A29">
        <w:tblPrEx>
          <w:tblCellMar>
            <w:top w:w="0" w:type="dxa"/>
            <w:left w:w="108" w:type="dxa"/>
            <w:bottom w:w="0" w:type="dxa"/>
            <w:right w:w="108" w:type="dxa"/>
          </w:tblCellMar>
        </w:tblPrEx>
        <w:trPr>
          <w:trHeight w:val="614" w:hRule="atLeast"/>
          <w:jc w:val="center"/>
        </w:trPr>
        <w:tc>
          <w:tcPr>
            <w:tcW w:w="2340" w:type="dxa"/>
            <w:vAlign w:val="center"/>
          </w:tcPr>
          <w:p w14:paraId="1F29AD6F">
            <w:pPr>
              <w:adjustRightInd w:val="0"/>
              <w:snapToGrid w:val="0"/>
              <w:spacing w:line="440" w:lineRule="exact"/>
              <w:jc w:val="distribute"/>
              <w:rPr>
                <w:rFonts w:hint="eastAsia" w:ascii="宋体" w:hAnsi="宋体"/>
                <w:sz w:val="30"/>
                <w:szCs w:val="30"/>
                <w:highlight w:val="none"/>
              </w:rPr>
            </w:pPr>
            <w:r>
              <w:rPr>
                <w:rFonts w:hint="eastAsia" w:ascii="宋体" w:hAnsi="宋体"/>
                <w:sz w:val="30"/>
                <w:szCs w:val="30"/>
                <w:highlight w:val="none"/>
              </w:rPr>
              <w:t>项目名称</w:t>
            </w:r>
          </w:p>
        </w:tc>
        <w:tc>
          <w:tcPr>
            <w:tcW w:w="360" w:type="dxa"/>
            <w:vAlign w:val="center"/>
          </w:tcPr>
          <w:p w14:paraId="5DDDECB2">
            <w:pPr>
              <w:adjustRightInd w:val="0"/>
              <w:snapToGrid w:val="0"/>
              <w:spacing w:line="440" w:lineRule="exact"/>
              <w:jc w:val="distribute"/>
              <w:rPr>
                <w:rFonts w:hint="eastAsia" w:ascii="宋体" w:hAnsi="宋体"/>
                <w:sz w:val="30"/>
                <w:szCs w:val="30"/>
                <w:highlight w:val="none"/>
              </w:rPr>
            </w:pPr>
            <w:r>
              <w:rPr>
                <w:rFonts w:ascii="宋体" w:hAnsi="宋体"/>
                <w:sz w:val="30"/>
                <w:szCs w:val="30"/>
                <w:highlight w:val="none"/>
              </w:rPr>
              <w:t>：</w:t>
            </w:r>
          </w:p>
        </w:tc>
        <w:tc>
          <w:tcPr>
            <w:tcW w:w="5855" w:type="dxa"/>
            <w:vAlign w:val="center"/>
          </w:tcPr>
          <w:p w14:paraId="7FD1E8E2">
            <w:pPr>
              <w:adjustRightInd w:val="0"/>
              <w:snapToGrid w:val="0"/>
              <w:spacing w:line="440" w:lineRule="exact"/>
              <w:rPr>
                <w:rFonts w:hint="eastAsia" w:ascii="宋体" w:hAnsi="宋体" w:eastAsia="宋体"/>
                <w:sz w:val="30"/>
                <w:szCs w:val="30"/>
                <w:highlight w:val="none"/>
                <w:lang w:eastAsia="zh-CN"/>
              </w:rPr>
            </w:pPr>
            <w:r>
              <w:rPr>
                <w:rFonts w:hint="eastAsia" w:ascii="宋体" w:hAnsi="宋体"/>
                <w:sz w:val="30"/>
                <w:szCs w:val="30"/>
                <w:highlight w:val="none"/>
                <w:lang w:eastAsia="zh-CN"/>
              </w:rPr>
              <w:t>温州百佳东方妇产医院电梯采购</w:t>
            </w:r>
          </w:p>
        </w:tc>
      </w:tr>
      <w:tr w14:paraId="24E3DF3F">
        <w:tblPrEx>
          <w:tblCellMar>
            <w:top w:w="0" w:type="dxa"/>
            <w:left w:w="108" w:type="dxa"/>
            <w:bottom w:w="0" w:type="dxa"/>
            <w:right w:w="108" w:type="dxa"/>
          </w:tblCellMar>
        </w:tblPrEx>
        <w:trPr>
          <w:trHeight w:val="614" w:hRule="atLeast"/>
          <w:jc w:val="center"/>
        </w:trPr>
        <w:tc>
          <w:tcPr>
            <w:tcW w:w="2340" w:type="dxa"/>
            <w:vAlign w:val="center"/>
          </w:tcPr>
          <w:p w14:paraId="27C4A24B">
            <w:pPr>
              <w:adjustRightInd w:val="0"/>
              <w:snapToGrid w:val="0"/>
              <w:spacing w:line="440" w:lineRule="exact"/>
              <w:jc w:val="distribute"/>
              <w:rPr>
                <w:rFonts w:hint="eastAsia" w:ascii="宋体" w:hAnsi="宋体"/>
                <w:sz w:val="30"/>
                <w:szCs w:val="30"/>
                <w:highlight w:val="none"/>
              </w:rPr>
            </w:pPr>
            <w:r>
              <w:rPr>
                <w:rFonts w:hint="eastAsia" w:ascii="宋体" w:hAnsi="宋体"/>
                <w:spacing w:val="40"/>
                <w:sz w:val="30"/>
                <w:szCs w:val="30"/>
                <w:highlight w:val="none"/>
              </w:rPr>
              <w:t>采购</w:t>
            </w:r>
            <w:r>
              <w:rPr>
                <w:rFonts w:ascii="宋体" w:hAnsi="宋体"/>
                <w:spacing w:val="40"/>
                <w:sz w:val="30"/>
                <w:szCs w:val="30"/>
                <w:highlight w:val="none"/>
              </w:rPr>
              <w:t>方式</w:t>
            </w:r>
          </w:p>
        </w:tc>
        <w:tc>
          <w:tcPr>
            <w:tcW w:w="360" w:type="dxa"/>
            <w:vAlign w:val="center"/>
          </w:tcPr>
          <w:p w14:paraId="0311D327">
            <w:pPr>
              <w:adjustRightInd w:val="0"/>
              <w:snapToGrid w:val="0"/>
              <w:spacing w:line="440" w:lineRule="exact"/>
              <w:jc w:val="distribute"/>
              <w:rPr>
                <w:rFonts w:hint="eastAsia" w:ascii="宋体" w:hAnsi="宋体"/>
                <w:sz w:val="30"/>
                <w:szCs w:val="30"/>
                <w:highlight w:val="none"/>
              </w:rPr>
            </w:pPr>
            <w:r>
              <w:rPr>
                <w:rFonts w:ascii="宋体" w:hAnsi="宋体"/>
                <w:sz w:val="30"/>
                <w:szCs w:val="30"/>
                <w:highlight w:val="none"/>
              </w:rPr>
              <w:t>：</w:t>
            </w:r>
          </w:p>
        </w:tc>
        <w:tc>
          <w:tcPr>
            <w:tcW w:w="5855" w:type="dxa"/>
            <w:vAlign w:val="center"/>
          </w:tcPr>
          <w:p w14:paraId="3DBCAA9F">
            <w:pPr>
              <w:adjustRightInd w:val="0"/>
              <w:snapToGrid w:val="0"/>
              <w:spacing w:line="440" w:lineRule="exact"/>
              <w:rPr>
                <w:rFonts w:hint="eastAsia" w:ascii="宋体" w:hAnsi="宋体"/>
                <w:sz w:val="30"/>
                <w:szCs w:val="30"/>
                <w:highlight w:val="none"/>
              </w:rPr>
            </w:pPr>
            <w:r>
              <w:rPr>
                <w:rFonts w:hint="eastAsia" w:ascii="宋体" w:hAnsi="宋体"/>
                <w:sz w:val="30"/>
                <w:szCs w:val="30"/>
                <w:highlight w:val="none"/>
              </w:rPr>
              <w:t>公开招标</w:t>
            </w:r>
          </w:p>
        </w:tc>
      </w:tr>
    </w:tbl>
    <w:p w14:paraId="16DA7243">
      <w:pPr>
        <w:jc w:val="center"/>
        <w:rPr>
          <w:rFonts w:hint="eastAsia" w:ascii="宋体" w:hAnsi="宋体"/>
          <w:b/>
          <w:sz w:val="24"/>
          <w:highlight w:val="none"/>
        </w:rPr>
      </w:pPr>
    </w:p>
    <w:p w14:paraId="74A5261A">
      <w:pPr>
        <w:rPr>
          <w:rFonts w:hint="eastAsia" w:ascii="宋体" w:hAnsi="宋体"/>
          <w:b/>
          <w:sz w:val="24"/>
          <w:highlight w:val="none"/>
        </w:rPr>
      </w:pPr>
    </w:p>
    <w:p w14:paraId="2738889A">
      <w:pPr>
        <w:rPr>
          <w:rFonts w:hint="eastAsia" w:ascii="宋体" w:hAnsi="宋体"/>
          <w:b/>
          <w:sz w:val="24"/>
          <w:highlight w:val="none"/>
        </w:rPr>
      </w:pPr>
    </w:p>
    <w:p w14:paraId="14075529">
      <w:pPr>
        <w:jc w:val="center"/>
        <w:rPr>
          <w:rFonts w:hint="eastAsia" w:ascii="宋体" w:hAnsi="宋体"/>
          <w:b/>
          <w:sz w:val="24"/>
          <w:highlight w:val="none"/>
        </w:rPr>
      </w:pPr>
    </w:p>
    <w:p w14:paraId="4BF4C3F0">
      <w:pPr>
        <w:jc w:val="center"/>
        <w:rPr>
          <w:rFonts w:hint="eastAsia" w:ascii="宋体" w:hAnsi="宋体"/>
          <w:b/>
          <w:sz w:val="24"/>
          <w:highlight w:val="none"/>
        </w:rPr>
      </w:pPr>
    </w:p>
    <w:p w14:paraId="7E17A27B">
      <w:pPr>
        <w:jc w:val="center"/>
        <w:rPr>
          <w:rFonts w:hint="eastAsia" w:ascii="宋体" w:hAnsi="宋体"/>
          <w:b/>
          <w:sz w:val="24"/>
          <w:highlight w:val="none"/>
        </w:rPr>
      </w:pPr>
    </w:p>
    <w:tbl>
      <w:tblPr>
        <w:tblStyle w:val="35"/>
        <w:tblW w:w="8688" w:type="dxa"/>
        <w:jc w:val="center"/>
        <w:tblLayout w:type="fixed"/>
        <w:tblCellMar>
          <w:top w:w="0" w:type="dxa"/>
          <w:left w:w="108" w:type="dxa"/>
          <w:bottom w:w="0" w:type="dxa"/>
          <w:right w:w="108" w:type="dxa"/>
        </w:tblCellMar>
      </w:tblPr>
      <w:tblGrid>
        <w:gridCol w:w="2340"/>
        <w:gridCol w:w="360"/>
        <w:gridCol w:w="5988"/>
      </w:tblGrid>
      <w:tr w14:paraId="1A0FBE14">
        <w:tblPrEx>
          <w:tblCellMar>
            <w:top w:w="0" w:type="dxa"/>
            <w:left w:w="108" w:type="dxa"/>
            <w:bottom w:w="0" w:type="dxa"/>
            <w:right w:w="108" w:type="dxa"/>
          </w:tblCellMar>
        </w:tblPrEx>
        <w:trPr>
          <w:trHeight w:val="614" w:hRule="atLeast"/>
          <w:jc w:val="center"/>
        </w:trPr>
        <w:tc>
          <w:tcPr>
            <w:tcW w:w="2340" w:type="dxa"/>
            <w:vAlign w:val="center"/>
          </w:tcPr>
          <w:p w14:paraId="18AFFB35">
            <w:pPr>
              <w:adjustRightInd w:val="0"/>
              <w:snapToGrid w:val="0"/>
              <w:spacing w:line="440" w:lineRule="exact"/>
              <w:jc w:val="distribute"/>
              <w:rPr>
                <w:rFonts w:hint="eastAsia" w:ascii="宋体" w:hAnsi="宋体"/>
                <w:sz w:val="30"/>
                <w:szCs w:val="30"/>
                <w:highlight w:val="none"/>
              </w:rPr>
            </w:pPr>
            <w:r>
              <w:rPr>
                <w:rFonts w:hint="eastAsia" w:ascii="宋体" w:hAnsi="宋体"/>
                <w:sz w:val="30"/>
                <w:szCs w:val="30"/>
                <w:highlight w:val="none"/>
              </w:rPr>
              <w:t>采购人</w:t>
            </w:r>
          </w:p>
        </w:tc>
        <w:tc>
          <w:tcPr>
            <w:tcW w:w="360" w:type="dxa"/>
            <w:tcBorders>
              <w:left w:val="nil"/>
            </w:tcBorders>
            <w:vAlign w:val="center"/>
          </w:tcPr>
          <w:p w14:paraId="498FF141">
            <w:pPr>
              <w:adjustRightInd w:val="0"/>
              <w:snapToGrid w:val="0"/>
              <w:spacing w:line="440" w:lineRule="exact"/>
              <w:jc w:val="distribute"/>
              <w:rPr>
                <w:rFonts w:hint="eastAsia" w:ascii="宋体" w:hAnsi="宋体"/>
                <w:sz w:val="30"/>
                <w:szCs w:val="30"/>
                <w:highlight w:val="none"/>
              </w:rPr>
            </w:pPr>
            <w:r>
              <w:rPr>
                <w:rFonts w:hint="eastAsia" w:ascii="宋体" w:hAnsi="宋体"/>
                <w:sz w:val="30"/>
                <w:szCs w:val="30"/>
                <w:highlight w:val="none"/>
              </w:rPr>
              <w:t>：</w:t>
            </w:r>
          </w:p>
        </w:tc>
        <w:tc>
          <w:tcPr>
            <w:tcW w:w="5988" w:type="dxa"/>
            <w:vAlign w:val="center"/>
          </w:tcPr>
          <w:p w14:paraId="672B3125">
            <w:pPr>
              <w:adjustRightInd w:val="0"/>
              <w:snapToGrid w:val="0"/>
              <w:spacing w:line="440" w:lineRule="exact"/>
              <w:jc w:val="distribute"/>
              <w:rPr>
                <w:rFonts w:hint="eastAsia" w:ascii="宋体" w:hAnsi="宋体" w:eastAsia="宋体"/>
                <w:sz w:val="30"/>
                <w:szCs w:val="30"/>
                <w:highlight w:val="none"/>
                <w:lang w:eastAsia="zh-CN"/>
              </w:rPr>
            </w:pPr>
            <w:r>
              <w:rPr>
                <w:rFonts w:hint="eastAsia" w:ascii="宋体" w:hAnsi="宋体"/>
                <w:sz w:val="30"/>
                <w:szCs w:val="30"/>
                <w:highlight w:val="none"/>
                <w:lang w:eastAsia="zh-CN"/>
              </w:rPr>
              <w:t>温州市瓯海科创集团有限公司</w:t>
            </w:r>
          </w:p>
        </w:tc>
      </w:tr>
      <w:tr w14:paraId="50967271">
        <w:tblPrEx>
          <w:tblCellMar>
            <w:top w:w="0" w:type="dxa"/>
            <w:left w:w="108" w:type="dxa"/>
            <w:bottom w:w="0" w:type="dxa"/>
            <w:right w:w="108" w:type="dxa"/>
          </w:tblCellMar>
        </w:tblPrEx>
        <w:trPr>
          <w:trHeight w:val="614" w:hRule="atLeast"/>
          <w:jc w:val="center"/>
        </w:trPr>
        <w:tc>
          <w:tcPr>
            <w:tcW w:w="2340" w:type="dxa"/>
            <w:vAlign w:val="center"/>
          </w:tcPr>
          <w:p w14:paraId="4EC97591">
            <w:pPr>
              <w:adjustRightInd w:val="0"/>
              <w:snapToGrid w:val="0"/>
              <w:spacing w:line="440" w:lineRule="exact"/>
              <w:jc w:val="distribute"/>
              <w:rPr>
                <w:rFonts w:hint="eastAsia" w:ascii="宋体" w:hAnsi="宋体"/>
                <w:sz w:val="30"/>
                <w:szCs w:val="30"/>
                <w:highlight w:val="none"/>
              </w:rPr>
            </w:pPr>
            <w:r>
              <w:rPr>
                <w:rFonts w:hint="eastAsia" w:ascii="宋体" w:hAnsi="宋体"/>
                <w:sz w:val="30"/>
                <w:szCs w:val="30"/>
                <w:highlight w:val="none"/>
              </w:rPr>
              <w:t>采购代理机构</w:t>
            </w:r>
          </w:p>
        </w:tc>
        <w:tc>
          <w:tcPr>
            <w:tcW w:w="360" w:type="dxa"/>
            <w:tcBorders>
              <w:left w:val="nil"/>
            </w:tcBorders>
            <w:vAlign w:val="center"/>
          </w:tcPr>
          <w:p w14:paraId="0B10AA8F">
            <w:pPr>
              <w:adjustRightInd w:val="0"/>
              <w:snapToGrid w:val="0"/>
              <w:spacing w:line="440" w:lineRule="exact"/>
              <w:jc w:val="distribute"/>
              <w:rPr>
                <w:rFonts w:hint="eastAsia" w:ascii="宋体" w:hAnsi="宋体"/>
                <w:sz w:val="30"/>
                <w:szCs w:val="30"/>
                <w:highlight w:val="none"/>
              </w:rPr>
            </w:pPr>
            <w:r>
              <w:rPr>
                <w:rFonts w:hint="eastAsia" w:ascii="宋体" w:hAnsi="宋体"/>
                <w:sz w:val="30"/>
                <w:szCs w:val="30"/>
                <w:highlight w:val="none"/>
              </w:rPr>
              <w:t>：</w:t>
            </w:r>
          </w:p>
        </w:tc>
        <w:tc>
          <w:tcPr>
            <w:tcW w:w="5988" w:type="dxa"/>
            <w:vAlign w:val="center"/>
          </w:tcPr>
          <w:p w14:paraId="6322F255">
            <w:pPr>
              <w:adjustRightInd w:val="0"/>
              <w:snapToGrid w:val="0"/>
              <w:spacing w:line="440" w:lineRule="exact"/>
              <w:jc w:val="distribute"/>
              <w:rPr>
                <w:rFonts w:hint="eastAsia" w:ascii="宋体" w:hAnsi="宋体"/>
                <w:sz w:val="30"/>
                <w:szCs w:val="30"/>
                <w:highlight w:val="none"/>
              </w:rPr>
            </w:pPr>
            <w:r>
              <w:rPr>
                <w:rFonts w:hint="eastAsia" w:ascii="宋体" w:hAnsi="宋体"/>
                <w:sz w:val="30"/>
                <w:szCs w:val="30"/>
                <w:highlight w:val="none"/>
              </w:rPr>
              <w:t>浙江立创项目管理有限公司</w:t>
            </w:r>
          </w:p>
        </w:tc>
      </w:tr>
    </w:tbl>
    <w:p w14:paraId="1EABA469">
      <w:pPr>
        <w:spacing w:before="120" w:beforeLines="50" w:line="360" w:lineRule="auto"/>
        <w:jc w:val="center"/>
        <w:rPr>
          <w:rFonts w:hint="eastAsia" w:ascii="宋体" w:hAnsi="宋体"/>
          <w:spacing w:val="40"/>
          <w:sz w:val="30"/>
          <w:szCs w:val="30"/>
          <w:highlight w:val="none"/>
        </w:rPr>
      </w:pPr>
      <w:r>
        <w:rPr>
          <w:rFonts w:ascii="宋体" w:hAnsi="宋体"/>
          <w:spacing w:val="40"/>
          <w:sz w:val="30"/>
          <w:szCs w:val="30"/>
          <w:highlight w:val="none"/>
        </w:rPr>
        <w:t>二〇二</w:t>
      </w:r>
      <w:r>
        <w:rPr>
          <w:rFonts w:hint="eastAsia" w:ascii="宋体" w:hAnsi="宋体"/>
          <w:spacing w:val="40"/>
          <w:sz w:val="30"/>
          <w:szCs w:val="30"/>
          <w:highlight w:val="none"/>
          <w:lang w:val="en-US" w:eastAsia="zh-CN"/>
        </w:rPr>
        <w:t>五</w:t>
      </w:r>
      <w:r>
        <w:rPr>
          <w:rFonts w:ascii="宋体" w:hAnsi="宋体"/>
          <w:spacing w:val="40"/>
          <w:sz w:val="30"/>
          <w:szCs w:val="30"/>
          <w:highlight w:val="none"/>
        </w:rPr>
        <w:t>年</w:t>
      </w:r>
    </w:p>
    <w:p w14:paraId="38097A5A">
      <w:pPr>
        <w:jc w:val="center"/>
        <w:rPr>
          <w:rFonts w:hint="eastAsia" w:ascii="宋体" w:hAnsi="宋体"/>
          <w:b/>
          <w:bCs/>
          <w:sz w:val="32"/>
          <w:szCs w:val="32"/>
          <w:highlight w:val="none"/>
        </w:rPr>
        <w:sectPr>
          <w:footerReference r:id="rId4" w:type="first"/>
          <w:headerReference r:id="rId3" w:type="default"/>
          <w:pgSz w:w="11906" w:h="16838"/>
          <w:pgMar w:top="1134" w:right="1134" w:bottom="1134" w:left="1134" w:header="851" w:footer="851" w:gutter="0"/>
          <w:pgNumType w:start="0"/>
          <w:cols w:space="720" w:num="1"/>
          <w:titlePg/>
          <w:docGrid w:linePitch="312" w:charSpace="0"/>
        </w:sectPr>
      </w:pPr>
    </w:p>
    <w:p w14:paraId="2919F330">
      <w:pPr>
        <w:jc w:val="center"/>
        <w:rPr>
          <w:rFonts w:hint="eastAsia" w:ascii="宋体" w:hAnsi="宋体"/>
          <w:b/>
          <w:bCs/>
          <w:sz w:val="32"/>
          <w:szCs w:val="32"/>
          <w:highlight w:val="none"/>
        </w:rPr>
      </w:pPr>
      <w:r>
        <w:rPr>
          <w:rFonts w:hint="eastAsia" w:ascii="宋体" w:hAnsi="宋体"/>
          <w:b/>
          <w:bCs/>
          <w:sz w:val="32"/>
          <w:szCs w:val="32"/>
          <w:highlight w:val="none"/>
        </w:rPr>
        <w:t xml:space="preserve"> </w:t>
      </w:r>
    </w:p>
    <w:p w14:paraId="10B79670">
      <w:pPr>
        <w:jc w:val="center"/>
        <w:rPr>
          <w:rFonts w:hint="eastAsia" w:ascii="宋体" w:hAnsi="宋体" w:cs="Courier New"/>
          <w:b/>
          <w:bCs/>
          <w:sz w:val="42"/>
          <w:szCs w:val="32"/>
          <w:highlight w:val="none"/>
        </w:rPr>
      </w:pPr>
      <w:r>
        <w:rPr>
          <w:rFonts w:hint="eastAsia" w:ascii="宋体" w:hAnsi="宋体" w:cs="Courier New"/>
          <w:b/>
          <w:bCs/>
          <w:sz w:val="42"/>
          <w:szCs w:val="32"/>
          <w:highlight w:val="none"/>
        </w:rPr>
        <w:t>目    录</w:t>
      </w:r>
    </w:p>
    <w:p w14:paraId="4D099A05">
      <w:pPr>
        <w:pStyle w:val="24"/>
        <w:tabs>
          <w:tab w:val="right" w:leader="dot" w:pos="9638"/>
          <w:tab w:val="clear" w:pos="9660"/>
        </w:tabs>
        <w:spacing w:line="240" w:lineRule="auto"/>
        <w:rPr>
          <w:sz w:val="24"/>
          <w:highlight w:val="none"/>
        </w:rPr>
      </w:pPr>
      <w:r>
        <w:rPr>
          <w:rFonts w:hint="eastAsia" w:ascii="宋体" w:hAnsi="宋体"/>
          <w:sz w:val="24"/>
          <w:highlight w:val="none"/>
        </w:rPr>
        <w:fldChar w:fldCharType="begin"/>
      </w:r>
      <w:r>
        <w:rPr>
          <w:rStyle w:val="42"/>
          <w:rFonts w:hint="eastAsia" w:ascii="宋体" w:hAnsi="宋体"/>
          <w:color w:val="auto"/>
          <w:sz w:val="24"/>
          <w:highlight w:val="none"/>
        </w:rPr>
        <w:instrText xml:space="preserve"> TOC \o "1-3" \h \z \u </w:instrText>
      </w:r>
      <w:r>
        <w:rPr>
          <w:rFonts w:hint="eastAsia" w:ascii="宋体" w:hAnsi="宋体"/>
          <w:sz w:val="24"/>
          <w:highlight w:val="none"/>
        </w:rPr>
        <w:fldChar w:fldCharType="separate"/>
      </w:r>
      <w:r>
        <w:rPr>
          <w:highlight w:val="none"/>
        </w:rPr>
        <w:fldChar w:fldCharType="begin"/>
      </w:r>
      <w:r>
        <w:rPr>
          <w:highlight w:val="none"/>
        </w:rPr>
        <w:instrText xml:space="preserve"> HYPERLINK \l "_Toc25208" </w:instrText>
      </w:r>
      <w:r>
        <w:rPr>
          <w:highlight w:val="none"/>
        </w:rPr>
        <w:fldChar w:fldCharType="separate"/>
      </w:r>
      <w:r>
        <w:rPr>
          <w:rFonts w:hint="eastAsia" w:ascii="宋体" w:hAnsi="宋体" w:cs="Courier New"/>
          <w:sz w:val="24"/>
          <w:highlight w:val="none"/>
        </w:rPr>
        <w:t>投标邀请函</w:t>
      </w:r>
      <w:r>
        <w:rPr>
          <w:sz w:val="24"/>
          <w:highlight w:val="none"/>
        </w:rPr>
        <w:tab/>
      </w:r>
      <w:r>
        <w:rPr>
          <w:sz w:val="24"/>
          <w:highlight w:val="none"/>
        </w:rPr>
        <w:fldChar w:fldCharType="begin"/>
      </w:r>
      <w:r>
        <w:rPr>
          <w:sz w:val="24"/>
          <w:highlight w:val="none"/>
        </w:rPr>
        <w:instrText xml:space="preserve"> PAGEREF _Toc25208 \h </w:instrText>
      </w:r>
      <w:r>
        <w:rPr>
          <w:sz w:val="24"/>
          <w:highlight w:val="none"/>
        </w:rPr>
        <w:fldChar w:fldCharType="separate"/>
      </w:r>
      <w:r>
        <w:rPr>
          <w:sz w:val="24"/>
          <w:highlight w:val="none"/>
        </w:rPr>
        <w:t>2</w:t>
      </w:r>
      <w:r>
        <w:rPr>
          <w:sz w:val="24"/>
          <w:highlight w:val="none"/>
        </w:rPr>
        <w:fldChar w:fldCharType="end"/>
      </w:r>
      <w:r>
        <w:rPr>
          <w:sz w:val="24"/>
          <w:highlight w:val="none"/>
        </w:rPr>
        <w:fldChar w:fldCharType="end"/>
      </w:r>
    </w:p>
    <w:p w14:paraId="26EA3B74">
      <w:pPr>
        <w:pStyle w:val="24"/>
        <w:tabs>
          <w:tab w:val="right" w:leader="dot" w:pos="9638"/>
          <w:tab w:val="clear" w:pos="9660"/>
        </w:tabs>
        <w:spacing w:line="240" w:lineRule="auto"/>
        <w:rPr>
          <w:sz w:val="24"/>
          <w:highlight w:val="none"/>
        </w:rPr>
      </w:pPr>
      <w:r>
        <w:rPr>
          <w:highlight w:val="none"/>
        </w:rPr>
        <w:fldChar w:fldCharType="begin"/>
      </w:r>
      <w:r>
        <w:rPr>
          <w:highlight w:val="none"/>
        </w:rPr>
        <w:instrText xml:space="preserve"> HYPERLINK \l "_Toc2533" </w:instrText>
      </w:r>
      <w:r>
        <w:rPr>
          <w:highlight w:val="none"/>
        </w:rPr>
        <w:fldChar w:fldCharType="separate"/>
      </w:r>
      <w:r>
        <w:rPr>
          <w:rFonts w:hint="eastAsia" w:ascii="宋体" w:hAnsi="宋体" w:cs="Courier New"/>
          <w:sz w:val="24"/>
          <w:highlight w:val="none"/>
        </w:rPr>
        <w:t>第一部分  投标人须知</w:t>
      </w:r>
      <w:r>
        <w:rPr>
          <w:sz w:val="24"/>
          <w:highlight w:val="none"/>
        </w:rPr>
        <w:tab/>
      </w:r>
      <w:r>
        <w:rPr>
          <w:sz w:val="24"/>
          <w:highlight w:val="none"/>
        </w:rPr>
        <w:fldChar w:fldCharType="begin"/>
      </w:r>
      <w:r>
        <w:rPr>
          <w:sz w:val="24"/>
          <w:highlight w:val="none"/>
        </w:rPr>
        <w:instrText xml:space="preserve"> PAGEREF _Toc2533 \h </w:instrText>
      </w:r>
      <w:r>
        <w:rPr>
          <w:sz w:val="24"/>
          <w:highlight w:val="none"/>
        </w:rPr>
        <w:fldChar w:fldCharType="separate"/>
      </w:r>
      <w:r>
        <w:rPr>
          <w:sz w:val="24"/>
          <w:highlight w:val="none"/>
        </w:rPr>
        <w:t>4</w:t>
      </w:r>
      <w:r>
        <w:rPr>
          <w:sz w:val="24"/>
          <w:highlight w:val="none"/>
        </w:rPr>
        <w:fldChar w:fldCharType="end"/>
      </w:r>
      <w:r>
        <w:rPr>
          <w:sz w:val="24"/>
          <w:highlight w:val="none"/>
        </w:rPr>
        <w:fldChar w:fldCharType="end"/>
      </w:r>
    </w:p>
    <w:p w14:paraId="1D76AC6E">
      <w:pPr>
        <w:pStyle w:val="27"/>
        <w:tabs>
          <w:tab w:val="right" w:leader="dot" w:pos="9638"/>
        </w:tabs>
        <w:rPr>
          <w:sz w:val="24"/>
          <w:highlight w:val="none"/>
        </w:rPr>
      </w:pPr>
      <w:r>
        <w:rPr>
          <w:highlight w:val="none"/>
        </w:rPr>
        <w:fldChar w:fldCharType="begin"/>
      </w:r>
      <w:r>
        <w:rPr>
          <w:highlight w:val="none"/>
        </w:rPr>
        <w:instrText xml:space="preserve"> HYPERLINK \l "_Toc24190" </w:instrText>
      </w:r>
      <w:r>
        <w:rPr>
          <w:highlight w:val="none"/>
        </w:rPr>
        <w:fldChar w:fldCharType="separate"/>
      </w:r>
      <w:r>
        <w:rPr>
          <w:rFonts w:hint="eastAsia" w:ascii="宋体" w:hAnsi="宋体" w:cs="Courier New"/>
          <w:sz w:val="24"/>
          <w:highlight w:val="none"/>
        </w:rPr>
        <w:t>投标人须知前附表</w:t>
      </w:r>
      <w:r>
        <w:rPr>
          <w:sz w:val="24"/>
          <w:highlight w:val="none"/>
        </w:rPr>
        <w:tab/>
      </w:r>
      <w:r>
        <w:rPr>
          <w:sz w:val="24"/>
          <w:highlight w:val="none"/>
        </w:rPr>
        <w:fldChar w:fldCharType="begin"/>
      </w:r>
      <w:r>
        <w:rPr>
          <w:sz w:val="24"/>
          <w:highlight w:val="none"/>
        </w:rPr>
        <w:instrText xml:space="preserve"> PAGEREF _Toc24190 \h </w:instrText>
      </w:r>
      <w:r>
        <w:rPr>
          <w:sz w:val="24"/>
          <w:highlight w:val="none"/>
        </w:rPr>
        <w:fldChar w:fldCharType="separate"/>
      </w:r>
      <w:r>
        <w:rPr>
          <w:sz w:val="24"/>
          <w:highlight w:val="none"/>
        </w:rPr>
        <w:t>4</w:t>
      </w:r>
      <w:r>
        <w:rPr>
          <w:sz w:val="24"/>
          <w:highlight w:val="none"/>
        </w:rPr>
        <w:fldChar w:fldCharType="end"/>
      </w:r>
      <w:r>
        <w:rPr>
          <w:sz w:val="24"/>
          <w:highlight w:val="none"/>
        </w:rPr>
        <w:fldChar w:fldCharType="end"/>
      </w:r>
    </w:p>
    <w:p w14:paraId="0F098485">
      <w:pPr>
        <w:pStyle w:val="27"/>
        <w:tabs>
          <w:tab w:val="right" w:leader="dot" w:pos="9638"/>
        </w:tabs>
        <w:rPr>
          <w:sz w:val="24"/>
          <w:highlight w:val="none"/>
        </w:rPr>
      </w:pPr>
      <w:r>
        <w:rPr>
          <w:highlight w:val="none"/>
        </w:rPr>
        <w:fldChar w:fldCharType="begin"/>
      </w:r>
      <w:r>
        <w:rPr>
          <w:highlight w:val="none"/>
        </w:rPr>
        <w:instrText xml:space="preserve"> HYPERLINK \l "_Toc26114" </w:instrText>
      </w:r>
      <w:r>
        <w:rPr>
          <w:highlight w:val="none"/>
        </w:rPr>
        <w:fldChar w:fldCharType="separate"/>
      </w:r>
      <w:r>
        <w:rPr>
          <w:rFonts w:hint="eastAsia" w:ascii="宋体" w:hAnsi="宋体" w:cs="Courier New"/>
          <w:sz w:val="24"/>
          <w:highlight w:val="none"/>
        </w:rPr>
        <w:t>一、 说明</w:t>
      </w:r>
      <w:r>
        <w:rPr>
          <w:sz w:val="24"/>
          <w:highlight w:val="none"/>
        </w:rPr>
        <w:tab/>
      </w:r>
      <w:r>
        <w:rPr>
          <w:sz w:val="24"/>
          <w:highlight w:val="none"/>
        </w:rPr>
        <w:fldChar w:fldCharType="begin"/>
      </w:r>
      <w:r>
        <w:rPr>
          <w:sz w:val="24"/>
          <w:highlight w:val="none"/>
        </w:rPr>
        <w:instrText xml:space="preserve"> PAGEREF _Toc26114 \h </w:instrText>
      </w:r>
      <w:r>
        <w:rPr>
          <w:sz w:val="24"/>
          <w:highlight w:val="none"/>
        </w:rPr>
        <w:fldChar w:fldCharType="separate"/>
      </w:r>
      <w:r>
        <w:rPr>
          <w:sz w:val="24"/>
          <w:highlight w:val="none"/>
        </w:rPr>
        <w:t>7</w:t>
      </w:r>
      <w:r>
        <w:rPr>
          <w:sz w:val="24"/>
          <w:highlight w:val="none"/>
        </w:rPr>
        <w:fldChar w:fldCharType="end"/>
      </w:r>
      <w:r>
        <w:rPr>
          <w:sz w:val="24"/>
          <w:highlight w:val="none"/>
        </w:rPr>
        <w:fldChar w:fldCharType="end"/>
      </w:r>
    </w:p>
    <w:p w14:paraId="6FF18F8B">
      <w:pPr>
        <w:pStyle w:val="27"/>
        <w:tabs>
          <w:tab w:val="right" w:leader="dot" w:pos="9638"/>
        </w:tabs>
        <w:rPr>
          <w:sz w:val="24"/>
          <w:highlight w:val="none"/>
        </w:rPr>
      </w:pPr>
      <w:r>
        <w:rPr>
          <w:highlight w:val="none"/>
        </w:rPr>
        <w:fldChar w:fldCharType="begin"/>
      </w:r>
      <w:r>
        <w:rPr>
          <w:highlight w:val="none"/>
        </w:rPr>
        <w:instrText xml:space="preserve"> HYPERLINK \l "_Toc19900" </w:instrText>
      </w:r>
      <w:r>
        <w:rPr>
          <w:highlight w:val="none"/>
        </w:rPr>
        <w:fldChar w:fldCharType="separate"/>
      </w:r>
      <w:r>
        <w:rPr>
          <w:rFonts w:hint="eastAsia" w:ascii="宋体" w:hAnsi="宋体" w:cs="Courier New"/>
          <w:sz w:val="24"/>
          <w:highlight w:val="none"/>
        </w:rPr>
        <w:t>二、 招标文件</w:t>
      </w:r>
      <w:r>
        <w:rPr>
          <w:sz w:val="24"/>
          <w:highlight w:val="none"/>
        </w:rPr>
        <w:tab/>
      </w:r>
      <w:r>
        <w:rPr>
          <w:sz w:val="24"/>
          <w:highlight w:val="none"/>
        </w:rPr>
        <w:fldChar w:fldCharType="begin"/>
      </w:r>
      <w:r>
        <w:rPr>
          <w:sz w:val="24"/>
          <w:highlight w:val="none"/>
        </w:rPr>
        <w:instrText xml:space="preserve"> PAGEREF _Toc19900 \h </w:instrText>
      </w:r>
      <w:r>
        <w:rPr>
          <w:sz w:val="24"/>
          <w:highlight w:val="none"/>
        </w:rPr>
        <w:fldChar w:fldCharType="separate"/>
      </w:r>
      <w:r>
        <w:rPr>
          <w:sz w:val="24"/>
          <w:highlight w:val="none"/>
        </w:rPr>
        <w:t>7</w:t>
      </w:r>
      <w:r>
        <w:rPr>
          <w:sz w:val="24"/>
          <w:highlight w:val="none"/>
        </w:rPr>
        <w:fldChar w:fldCharType="end"/>
      </w:r>
      <w:r>
        <w:rPr>
          <w:sz w:val="24"/>
          <w:highlight w:val="none"/>
        </w:rPr>
        <w:fldChar w:fldCharType="end"/>
      </w:r>
    </w:p>
    <w:p w14:paraId="4BE39641">
      <w:pPr>
        <w:pStyle w:val="27"/>
        <w:tabs>
          <w:tab w:val="right" w:leader="dot" w:pos="9638"/>
        </w:tabs>
        <w:rPr>
          <w:sz w:val="24"/>
          <w:highlight w:val="none"/>
        </w:rPr>
      </w:pPr>
      <w:r>
        <w:rPr>
          <w:highlight w:val="none"/>
        </w:rPr>
        <w:fldChar w:fldCharType="begin"/>
      </w:r>
      <w:r>
        <w:rPr>
          <w:highlight w:val="none"/>
        </w:rPr>
        <w:instrText xml:space="preserve"> HYPERLINK \l "_Toc12587" </w:instrText>
      </w:r>
      <w:r>
        <w:rPr>
          <w:highlight w:val="none"/>
        </w:rPr>
        <w:fldChar w:fldCharType="separate"/>
      </w:r>
      <w:r>
        <w:rPr>
          <w:rFonts w:hint="eastAsia" w:ascii="宋体" w:hAnsi="宋体" w:cs="Courier New"/>
          <w:sz w:val="24"/>
          <w:highlight w:val="none"/>
        </w:rPr>
        <w:t>三、 投标文件</w:t>
      </w:r>
      <w:r>
        <w:rPr>
          <w:sz w:val="24"/>
          <w:highlight w:val="none"/>
        </w:rPr>
        <w:tab/>
      </w:r>
      <w:r>
        <w:rPr>
          <w:sz w:val="24"/>
          <w:highlight w:val="none"/>
        </w:rPr>
        <w:fldChar w:fldCharType="begin"/>
      </w:r>
      <w:r>
        <w:rPr>
          <w:sz w:val="24"/>
          <w:highlight w:val="none"/>
        </w:rPr>
        <w:instrText xml:space="preserve"> PAGEREF _Toc12587 \h </w:instrText>
      </w:r>
      <w:r>
        <w:rPr>
          <w:sz w:val="24"/>
          <w:highlight w:val="none"/>
        </w:rPr>
        <w:fldChar w:fldCharType="separate"/>
      </w:r>
      <w:r>
        <w:rPr>
          <w:sz w:val="24"/>
          <w:highlight w:val="none"/>
        </w:rPr>
        <w:t>8</w:t>
      </w:r>
      <w:r>
        <w:rPr>
          <w:sz w:val="24"/>
          <w:highlight w:val="none"/>
        </w:rPr>
        <w:fldChar w:fldCharType="end"/>
      </w:r>
      <w:r>
        <w:rPr>
          <w:sz w:val="24"/>
          <w:highlight w:val="none"/>
        </w:rPr>
        <w:fldChar w:fldCharType="end"/>
      </w:r>
    </w:p>
    <w:p w14:paraId="56DF56A3">
      <w:pPr>
        <w:pStyle w:val="27"/>
        <w:tabs>
          <w:tab w:val="right" w:leader="dot" w:pos="9638"/>
        </w:tabs>
        <w:rPr>
          <w:sz w:val="24"/>
          <w:highlight w:val="none"/>
        </w:rPr>
      </w:pPr>
      <w:r>
        <w:rPr>
          <w:highlight w:val="none"/>
        </w:rPr>
        <w:fldChar w:fldCharType="begin"/>
      </w:r>
      <w:r>
        <w:rPr>
          <w:highlight w:val="none"/>
        </w:rPr>
        <w:instrText xml:space="preserve"> HYPERLINK \l "_Toc14010" </w:instrText>
      </w:r>
      <w:r>
        <w:rPr>
          <w:highlight w:val="none"/>
        </w:rPr>
        <w:fldChar w:fldCharType="separate"/>
      </w:r>
      <w:r>
        <w:rPr>
          <w:rFonts w:hint="eastAsia" w:ascii="宋体" w:hAnsi="宋体" w:cs="Courier New"/>
          <w:sz w:val="24"/>
          <w:highlight w:val="none"/>
        </w:rPr>
        <w:t>四、 投标</w:t>
      </w:r>
      <w:r>
        <w:rPr>
          <w:sz w:val="24"/>
          <w:highlight w:val="none"/>
        </w:rPr>
        <w:tab/>
      </w:r>
      <w:r>
        <w:rPr>
          <w:sz w:val="24"/>
          <w:highlight w:val="none"/>
        </w:rPr>
        <w:fldChar w:fldCharType="begin"/>
      </w:r>
      <w:r>
        <w:rPr>
          <w:sz w:val="24"/>
          <w:highlight w:val="none"/>
        </w:rPr>
        <w:instrText xml:space="preserve"> PAGEREF _Toc14010 \h </w:instrText>
      </w:r>
      <w:r>
        <w:rPr>
          <w:sz w:val="24"/>
          <w:highlight w:val="none"/>
        </w:rPr>
        <w:fldChar w:fldCharType="separate"/>
      </w:r>
      <w:r>
        <w:rPr>
          <w:sz w:val="24"/>
          <w:highlight w:val="none"/>
        </w:rPr>
        <w:t>10</w:t>
      </w:r>
      <w:r>
        <w:rPr>
          <w:sz w:val="24"/>
          <w:highlight w:val="none"/>
        </w:rPr>
        <w:fldChar w:fldCharType="end"/>
      </w:r>
      <w:r>
        <w:rPr>
          <w:sz w:val="24"/>
          <w:highlight w:val="none"/>
        </w:rPr>
        <w:fldChar w:fldCharType="end"/>
      </w:r>
    </w:p>
    <w:p w14:paraId="0EE292B9">
      <w:pPr>
        <w:pStyle w:val="27"/>
        <w:tabs>
          <w:tab w:val="right" w:leader="dot" w:pos="9638"/>
        </w:tabs>
        <w:rPr>
          <w:sz w:val="24"/>
          <w:highlight w:val="none"/>
        </w:rPr>
      </w:pPr>
      <w:r>
        <w:rPr>
          <w:highlight w:val="none"/>
        </w:rPr>
        <w:fldChar w:fldCharType="begin"/>
      </w:r>
      <w:r>
        <w:rPr>
          <w:highlight w:val="none"/>
        </w:rPr>
        <w:instrText xml:space="preserve"> HYPERLINK \l "_Toc22379" </w:instrText>
      </w:r>
      <w:r>
        <w:rPr>
          <w:highlight w:val="none"/>
        </w:rPr>
        <w:fldChar w:fldCharType="separate"/>
      </w:r>
      <w:r>
        <w:rPr>
          <w:rFonts w:hint="eastAsia" w:ascii="宋体" w:hAnsi="宋体" w:cs="Courier New"/>
          <w:sz w:val="24"/>
          <w:highlight w:val="none"/>
        </w:rPr>
        <w:t>五、 电子化开标</w:t>
      </w:r>
      <w:r>
        <w:rPr>
          <w:sz w:val="24"/>
          <w:highlight w:val="none"/>
        </w:rPr>
        <w:tab/>
      </w:r>
      <w:r>
        <w:rPr>
          <w:sz w:val="24"/>
          <w:highlight w:val="none"/>
        </w:rPr>
        <w:fldChar w:fldCharType="begin"/>
      </w:r>
      <w:r>
        <w:rPr>
          <w:sz w:val="24"/>
          <w:highlight w:val="none"/>
        </w:rPr>
        <w:instrText xml:space="preserve"> PAGEREF _Toc22379 \h </w:instrText>
      </w:r>
      <w:r>
        <w:rPr>
          <w:sz w:val="24"/>
          <w:highlight w:val="none"/>
        </w:rPr>
        <w:fldChar w:fldCharType="separate"/>
      </w:r>
      <w:r>
        <w:rPr>
          <w:sz w:val="24"/>
          <w:highlight w:val="none"/>
        </w:rPr>
        <w:t>10</w:t>
      </w:r>
      <w:r>
        <w:rPr>
          <w:sz w:val="24"/>
          <w:highlight w:val="none"/>
        </w:rPr>
        <w:fldChar w:fldCharType="end"/>
      </w:r>
      <w:r>
        <w:rPr>
          <w:sz w:val="24"/>
          <w:highlight w:val="none"/>
        </w:rPr>
        <w:fldChar w:fldCharType="end"/>
      </w:r>
    </w:p>
    <w:p w14:paraId="7254CF75">
      <w:pPr>
        <w:pStyle w:val="27"/>
        <w:tabs>
          <w:tab w:val="right" w:leader="dot" w:pos="9638"/>
        </w:tabs>
        <w:rPr>
          <w:sz w:val="24"/>
          <w:highlight w:val="none"/>
        </w:rPr>
      </w:pPr>
      <w:r>
        <w:rPr>
          <w:highlight w:val="none"/>
        </w:rPr>
        <w:fldChar w:fldCharType="begin"/>
      </w:r>
      <w:r>
        <w:rPr>
          <w:highlight w:val="none"/>
        </w:rPr>
        <w:instrText xml:space="preserve"> HYPERLINK \l "_Toc24174" </w:instrText>
      </w:r>
      <w:r>
        <w:rPr>
          <w:highlight w:val="none"/>
        </w:rPr>
        <w:fldChar w:fldCharType="separate"/>
      </w:r>
      <w:r>
        <w:rPr>
          <w:rFonts w:ascii="宋体" w:hAnsi="宋体"/>
          <w:sz w:val="24"/>
          <w:highlight w:val="none"/>
        </w:rPr>
        <w:t>六</w:t>
      </w:r>
      <w:r>
        <w:rPr>
          <w:rFonts w:hint="eastAsia" w:ascii="宋体" w:hAnsi="宋体"/>
          <w:sz w:val="24"/>
          <w:highlight w:val="none"/>
        </w:rPr>
        <w:t>、 资格审查及评标</w:t>
      </w:r>
      <w:r>
        <w:rPr>
          <w:sz w:val="24"/>
          <w:highlight w:val="none"/>
        </w:rPr>
        <w:tab/>
      </w:r>
      <w:r>
        <w:rPr>
          <w:sz w:val="24"/>
          <w:highlight w:val="none"/>
        </w:rPr>
        <w:fldChar w:fldCharType="begin"/>
      </w:r>
      <w:r>
        <w:rPr>
          <w:sz w:val="24"/>
          <w:highlight w:val="none"/>
        </w:rPr>
        <w:instrText xml:space="preserve"> PAGEREF _Toc24174 \h </w:instrText>
      </w:r>
      <w:r>
        <w:rPr>
          <w:sz w:val="24"/>
          <w:highlight w:val="none"/>
        </w:rPr>
        <w:fldChar w:fldCharType="separate"/>
      </w:r>
      <w:r>
        <w:rPr>
          <w:sz w:val="24"/>
          <w:highlight w:val="none"/>
        </w:rPr>
        <w:t>11</w:t>
      </w:r>
      <w:r>
        <w:rPr>
          <w:sz w:val="24"/>
          <w:highlight w:val="none"/>
        </w:rPr>
        <w:fldChar w:fldCharType="end"/>
      </w:r>
      <w:r>
        <w:rPr>
          <w:sz w:val="24"/>
          <w:highlight w:val="none"/>
        </w:rPr>
        <w:fldChar w:fldCharType="end"/>
      </w:r>
    </w:p>
    <w:p w14:paraId="0A35228F">
      <w:pPr>
        <w:pStyle w:val="27"/>
        <w:tabs>
          <w:tab w:val="right" w:leader="dot" w:pos="9638"/>
        </w:tabs>
        <w:rPr>
          <w:sz w:val="24"/>
          <w:highlight w:val="none"/>
        </w:rPr>
      </w:pPr>
      <w:r>
        <w:rPr>
          <w:highlight w:val="none"/>
        </w:rPr>
        <w:fldChar w:fldCharType="begin"/>
      </w:r>
      <w:r>
        <w:rPr>
          <w:highlight w:val="none"/>
        </w:rPr>
        <w:instrText xml:space="preserve"> HYPERLINK \l "_Toc22158" </w:instrText>
      </w:r>
      <w:r>
        <w:rPr>
          <w:highlight w:val="none"/>
        </w:rPr>
        <w:fldChar w:fldCharType="separate"/>
      </w:r>
      <w:r>
        <w:rPr>
          <w:rFonts w:hint="eastAsia" w:ascii="宋体" w:hAnsi="宋体" w:cs="Courier New"/>
          <w:sz w:val="24"/>
          <w:highlight w:val="none"/>
        </w:rPr>
        <w:t xml:space="preserve">七、 </w:t>
      </w:r>
      <w:r>
        <w:rPr>
          <w:rFonts w:ascii="宋体" w:hAnsi="宋体" w:cs="Courier New"/>
          <w:sz w:val="24"/>
          <w:highlight w:val="none"/>
        </w:rPr>
        <w:t>定标及</w:t>
      </w:r>
      <w:r>
        <w:rPr>
          <w:rFonts w:hint="eastAsia" w:ascii="宋体" w:hAnsi="宋体" w:cs="Courier New"/>
          <w:sz w:val="24"/>
          <w:highlight w:val="none"/>
        </w:rPr>
        <w:t>合同授予</w:t>
      </w:r>
      <w:r>
        <w:rPr>
          <w:sz w:val="24"/>
          <w:highlight w:val="none"/>
        </w:rPr>
        <w:tab/>
      </w:r>
      <w:r>
        <w:rPr>
          <w:sz w:val="24"/>
          <w:highlight w:val="none"/>
        </w:rPr>
        <w:fldChar w:fldCharType="begin"/>
      </w:r>
      <w:r>
        <w:rPr>
          <w:sz w:val="24"/>
          <w:highlight w:val="none"/>
        </w:rPr>
        <w:instrText xml:space="preserve"> PAGEREF _Toc22158 \h </w:instrText>
      </w:r>
      <w:r>
        <w:rPr>
          <w:sz w:val="24"/>
          <w:highlight w:val="none"/>
        </w:rPr>
        <w:fldChar w:fldCharType="separate"/>
      </w:r>
      <w:r>
        <w:rPr>
          <w:sz w:val="24"/>
          <w:highlight w:val="none"/>
        </w:rPr>
        <w:t>15</w:t>
      </w:r>
      <w:r>
        <w:rPr>
          <w:sz w:val="24"/>
          <w:highlight w:val="none"/>
        </w:rPr>
        <w:fldChar w:fldCharType="end"/>
      </w:r>
      <w:r>
        <w:rPr>
          <w:sz w:val="24"/>
          <w:highlight w:val="none"/>
        </w:rPr>
        <w:fldChar w:fldCharType="end"/>
      </w:r>
    </w:p>
    <w:p w14:paraId="649C3014">
      <w:pPr>
        <w:pStyle w:val="27"/>
        <w:tabs>
          <w:tab w:val="right" w:leader="dot" w:pos="9638"/>
        </w:tabs>
        <w:rPr>
          <w:sz w:val="24"/>
          <w:highlight w:val="none"/>
        </w:rPr>
      </w:pPr>
      <w:r>
        <w:rPr>
          <w:highlight w:val="none"/>
        </w:rPr>
        <w:fldChar w:fldCharType="begin"/>
      </w:r>
      <w:r>
        <w:rPr>
          <w:highlight w:val="none"/>
        </w:rPr>
        <w:instrText xml:space="preserve"> HYPERLINK \l "_Toc11618" </w:instrText>
      </w:r>
      <w:r>
        <w:rPr>
          <w:highlight w:val="none"/>
        </w:rPr>
        <w:fldChar w:fldCharType="separate"/>
      </w:r>
      <w:r>
        <w:rPr>
          <w:rFonts w:hint="eastAsia" w:ascii="宋体" w:hAnsi="宋体" w:cs="Courier New"/>
          <w:sz w:val="24"/>
          <w:highlight w:val="none"/>
        </w:rPr>
        <w:t xml:space="preserve">八、 </w:t>
      </w:r>
      <w:r>
        <w:rPr>
          <w:rFonts w:ascii="宋体" w:hAnsi="宋体" w:cs="Courier New"/>
          <w:sz w:val="24"/>
          <w:highlight w:val="none"/>
        </w:rPr>
        <w:t>政府采购政策</w:t>
      </w:r>
      <w:r>
        <w:rPr>
          <w:sz w:val="24"/>
          <w:highlight w:val="none"/>
        </w:rPr>
        <w:tab/>
      </w:r>
      <w:r>
        <w:rPr>
          <w:sz w:val="24"/>
          <w:highlight w:val="none"/>
        </w:rPr>
        <w:fldChar w:fldCharType="begin"/>
      </w:r>
      <w:r>
        <w:rPr>
          <w:sz w:val="24"/>
          <w:highlight w:val="none"/>
        </w:rPr>
        <w:instrText xml:space="preserve"> PAGEREF _Toc11618 \h </w:instrText>
      </w:r>
      <w:r>
        <w:rPr>
          <w:sz w:val="24"/>
          <w:highlight w:val="none"/>
        </w:rPr>
        <w:fldChar w:fldCharType="separate"/>
      </w:r>
      <w:r>
        <w:rPr>
          <w:sz w:val="24"/>
          <w:highlight w:val="none"/>
        </w:rPr>
        <w:t>15</w:t>
      </w:r>
      <w:r>
        <w:rPr>
          <w:sz w:val="24"/>
          <w:highlight w:val="none"/>
        </w:rPr>
        <w:fldChar w:fldCharType="end"/>
      </w:r>
      <w:r>
        <w:rPr>
          <w:sz w:val="24"/>
          <w:highlight w:val="none"/>
        </w:rPr>
        <w:fldChar w:fldCharType="end"/>
      </w:r>
    </w:p>
    <w:p w14:paraId="2DD3BC34">
      <w:pPr>
        <w:pStyle w:val="27"/>
        <w:tabs>
          <w:tab w:val="right" w:leader="dot" w:pos="9638"/>
        </w:tabs>
        <w:rPr>
          <w:sz w:val="24"/>
          <w:highlight w:val="none"/>
        </w:rPr>
      </w:pPr>
      <w:r>
        <w:rPr>
          <w:highlight w:val="none"/>
        </w:rPr>
        <w:fldChar w:fldCharType="begin"/>
      </w:r>
      <w:r>
        <w:rPr>
          <w:highlight w:val="none"/>
        </w:rPr>
        <w:instrText xml:space="preserve"> HYPERLINK \l "_Toc30526" </w:instrText>
      </w:r>
      <w:r>
        <w:rPr>
          <w:highlight w:val="none"/>
        </w:rPr>
        <w:fldChar w:fldCharType="separate"/>
      </w:r>
      <w:r>
        <w:rPr>
          <w:rFonts w:hint="eastAsia" w:ascii="宋体" w:hAnsi="宋体" w:cs="Courier New"/>
          <w:sz w:val="24"/>
          <w:highlight w:val="none"/>
        </w:rPr>
        <w:t>九、 询问、质疑、投诉</w:t>
      </w:r>
      <w:r>
        <w:rPr>
          <w:sz w:val="24"/>
          <w:highlight w:val="none"/>
        </w:rPr>
        <w:tab/>
      </w:r>
      <w:r>
        <w:rPr>
          <w:sz w:val="24"/>
          <w:highlight w:val="none"/>
        </w:rPr>
        <w:fldChar w:fldCharType="begin"/>
      </w:r>
      <w:r>
        <w:rPr>
          <w:sz w:val="24"/>
          <w:highlight w:val="none"/>
        </w:rPr>
        <w:instrText xml:space="preserve"> PAGEREF _Toc30526 \h </w:instrText>
      </w:r>
      <w:r>
        <w:rPr>
          <w:sz w:val="24"/>
          <w:highlight w:val="none"/>
        </w:rPr>
        <w:fldChar w:fldCharType="separate"/>
      </w:r>
      <w:r>
        <w:rPr>
          <w:sz w:val="24"/>
          <w:highlight w:val="none"/>
        </w:rPr>
        <w:t>17</w:t>
      </w:r>
      <w:r>
        <w:rPr>
          <w:sz w:val="24"/>
          <w:highlight w:val="none"/>
        </w:rPr>
        <w:fldChar w:fldCharType="end"/>
      </w:r>
      <w:r>
        <w:rPr>
          <w:sz w:val="24"/>
          <w:highlight w:val="none"/>
        </w:rPr>
        <w:fldChar w:fldCharType="end"/>
      </w:r>
    </w:p>
    <w:p w14:paraId="539B2C3E">
      <w:pPr>
        <w:pStyle w:val="27"/>
        <w:tabs>
          <w:tab w:val="right" w:leader="dot" w:pos="9638"/>
        </w:tabs>
        <w:rPr>
          <w:sz w:val="24"/>
          <w:highlight w:val="none"/>
        </w:rPr>
      </w:pPr>
      <w:r>
        <w:rPr>
          <w:highlight w:val="none"/>
        </w:rPr>
        <w:fldChar w:fldCharType="begin"/>
      </w:r>
      <w:r>
        <w:rPr>
          <w:highlight w:val="none"/>
        </w:rPr>
        <w:instrText xml:space="preserve"> HYPERLINK \l "_Toc19149" </w:instrText>
      </w:r>
      <w:r>
        <w:rPr>
          <w:highlight w:val="none"/>
        </w:rPr>
        <w:fldChar w:fldCharType="separate"/>
      </w:r>
      <w:r>
        <w:rPr>
          <w:rFonts w:hint="eastAsia" w:ascii="宋体" w:hAnsi="宋体" w:cs="Courier New"/>
          <w:sz w:val="24"/>
          <w:highlight w:val="none"/>
        </w:rPr>
        <w:t>十、 其他</w:t>
      </w:r>
      <w:r>
        <w:rPr>
          <w:sz w:val="24"/>
          <w:highlight w:val="none"/>
        </w:rPr>
        <w:tab/>
      </w:r>
      <w:r>
        <w:rPr>
          <w:sz w:val="24"/>
          <w:highlight w:val="none"/>
        </w:rPr>
        <w:fldChar w:fldCharType="begin"/>
      </w:r>
      <w:r>
        <w:rPr>
          <w:sz w:val="24"/>
          <w:highlight w:val="none"/>
        </w:rPr>
        <w:instrText xml:space="preserve"> PAGEREF _Toc19149 \h </w:instrText>
      </w:r>
      <w:r>
        <w:rPr>
          <w:sz w:val="24"/>
          <w:highlight w:val="none"/>
        </w:rPr>
        <w:fldChar w:fldCharType="separate"/>
      </w:r>
      <w:r>
        <w:rPr>
          <w:sz w:val="24"/>
          <w:highlight w:val="none"/>
        </w:rPr>
        <w:t>17</w:t>
      </w:r>
      <w:r>
        <w:rPr>
          <w:sz w:val="24"/>
          <w:highlight w:val="none"/>
        </w:rPr>
        <w:fldChar w:fldCharType="end"/>
      </w:r>
      <w:r>
        <w:rPr>
          <w:sz w:val="24"/>
          <w:highlight w:val="none"/>
        </w:rPr>
        <w:fldChar w:fldCharType="end"/>
      </w:r>
    </w:p>
    <w:p w14:paraId="1A1F058A">
      <w:pPr>
        <w:pStyle w:val="24"/>
        <w:tabs>
          <w:tab w:val="right" w:leader="dot" w:pos="9638"/>
          <w:tab w:val="clear" w:pos="9660"/>
        </w:tabs>
        <w:spacing w:line="240" w:lineRule="auto"/>
        <w:rPr>
          <w:sz w:val="24"/>
          <w:highlight w:val="none"/>
        </w:rPr>
      </w:pPr>
      <w:r>
        <w:rPr>
          <w:highlight w:val="none"/>
        </w:rPr>
        <w:fldChar w:fldCharType="begin"/>
      </w:r>
      <w:r>
        <w:rPr>
          <w:highlight w:val="none"/>
        </w:rPr>
        <w:instrText xml:space="preserve"> HYPERLINK \l "_Toc10276" </w:instrText>
      </w:r>
      <w:r>
        <w:rPr>
          <w:highlight w:val="none"/>
        </w:rPr>
        <w:fldChar w:fldCharType="separate"/>
      </w:r>
      <w:r>
        <w:rPr>
          <w:rFonts w:hint="eastAsia" w:ascii="宋体" w:hAnsi="宋体" w:cs="Courier New"/>
          <w:sz w:val="24"/>
          <w:highlight w:val="none"/>
        </w:rPr>
        <w:t>第二部分   合同条款</w:t>
      </w:r>
      <w:r>
        <w:rPr>
          <w:sz w:val="24"/>
          <w:highlight w:val="none"/>
        </w:rPr>
        <w:tab/>
      </w:r>
      <w:r>
        <w:rPr>
          <w:sz w:val="24"/>
          <w:highlight w:val="none"/>
        </w:rPr>
        <w:fldChar w:fldCharType="begin"/>
      </w:r>
      <w:r>
        <w:rPr>
          <w:sz w:val="24"/>
          <w:highlight w:val="none"/>
        </w:rPr>
        <w:instrText xml:space="preserve"> PAGEREF _Toc10276 \h </w:instrText>
      </w:r>
      <w:r>
        <w:rPr>
          <w:sz w:val="24"/>
          <w:highlight w:val="none"/>
        </w:rPr>
        <w:fldChar w:fldCharType="separate"/>
      </w:r>
      <w:r>
        <w:rPr>
          <w:sz w:val="24"/>
          <w:highlight w:val="none"/>
        </w:rPr>
        <w:t>19</w:t>
      </w:r>
      <w:r>
        <w:rPr>
          <w:sz w:val="24"/>
          <w:highlight w:val="none"/>
        </w:rPr>
        <w:fldChar w:fldCharType="end"/>
      </w:r>
      <w:r>
        <w:rPr>
          <w:sz w:val="24"/>
          <w:highlight w:val="none"/>
        </w:rPr>
        <w:fldChar w:fldCharType="end"/>
      </w:r>
    </w:p>
    <w:p w14:paraId="6C57DA40">
      <w:pPr>
        <w:pStyle w:val="24"/>
        <w:tabs>
          <w:tab w:val="right" w:leader="dot" w:pos="9638"/>
          <w:tab w:val="clear" w:pos="9660"/>
        </w:tabs>
        <w:spacing w:line="240" w:lineRule="auto"/>
        <w:rPr>
          <w:sz w:val="24"/>
          <w:highlight w:val="none"/>
        </w:rPr>
      </w:pPr>
      <w:r>
        <w:rPr>
          <w:highlight w:val="none"/>
        </w:rPr>
        <w:fldChar w:fldCharType="begin"/>
      </w:r>
      <w:r>
        <w:rPr>
          <w:highlight w:val="none"/>
        </w:rPr>
        <w:instrText xml:space="preserve"> HYPERLINK \l "_Toc1477" </w:instrText>
      </w:r>
      <w:r>
        <w:rPr>
          <w:highlight w:val="none"/>
        </w:rPr>
        <w:fldChar w:fldCharType="separate"/>
      </w:r>
      <w:r>
        <w:rPr>
          <w:rFonts w:hint="eastAsia" w:ascii="宋体" w:hAnsi="宋体" w:cs="Courier New"/>
          <w:sz w:val="24"/>
          <w:highlight w:val="none"/>
        </w:rPr>
        <w:t>第三部分   应提交的有关格式范例</w:t>
      </w:r>
      <w:r>
        <w:rPr>
          <w:sz w:val="24"/>
          <w:highlight w:val="none"/>
        </w:rPr>
        <w:tab/>
      </w:r>
      <w:r>
        <w:rPr>
          <w:sz w:val="24"/>
          <w:highlight w:val="none"/>
        </w:rPr>
        <w:fldChar w:fldCharType="begin"/>
      </w:r>
      <w:r>
        <w:rPr>
          <w:sz w:val="24"/>
          <w:highlight w:val="none"/>
        </w:rPr>
        <w:instrText xml:space="preserve"> PAGEREF _Toc1477 \h </w:instrText>
      </w:r>
      <w:r>
        <w:rPr>
          <w:sz w:val="24"/>
          <w:highlight w:val="none"/>
        </w:rPr>
        <w:fldChar w:fldCharType="separate"/>
      </w:r>
      <w:r>
        <w:rPr>
          <w:sz w:val="24"/>
          <w:highlight w:val="none"/>
        </w:rPr>
        <w:t>24</w:t>
      </w:r>
      <w:r>
        <w:rPr>
          <w:sz w:val="24"/>
          <w:highlight w:val="none"/>
        </w:rPr>
        <w:fldChar w:fldCharType="end"/>
      </w:r>
      <w:r>
        <w:rPr>
          <w:sz w:val="24"/>
          <w:highlight w:val="none"/>
        </w:rPr>
        <w:fldChar w:fldCharType="end"/>
      </w:r>
    </w:p>
    <w:p w14:paraId="5436CED4">
      <w:pPr>
        <w:pStyle w:val="18"/>
        <w:tabs>
          <w:tab w:val="right" w:leader="dot" w:pos="9638"/>
        </w:tabs>
        <w:rPr>
          <w:sz w:val="24"/>
          <w:highlight w:val="none"/>
        </w:rPr>
      </w:pPr>
      <w:r>
        <w:rPr>
          <w:highlight w:val="none"/>
        </w:rPr>
        <w:fldChar w:fldCharType="begin"/>
      </w:r>
      <w:r>
        <w:rPr>
          <w:highlight w:val="none"/>
        </w:rPr>
        <w:instrText xml:space="preserve"> HYPERLINK \l "_Toc21220" </w:instrText>
      </w:r>
      <w:r>
        <w:rPr>
          <w:highlight w:val="none"/>
        </w:rPr>
        <w:fldChar w:fldCharType="separate"/>
      </w:r>
      <w:r>
        <w:rPr>
          <w:rFonts w:hint="eastAsia" w:ascii="Times New Roman" w:hAnsi="Times New Roman"/>
          <w:bCs/>
          <w:sz w:val="24"/>
          <w:highlight w:val="none"/>
        </w:rPr>
        <w:t>资格文件</w:t>
      </w:r>
      <w:r>
        <w:rPr>
          <w:sz w:val="24"/>
          <w:highlight w:val="none"/>
        </w:rPr>
        <w:tab/>
      </w:r>
      <w:r>
        <w:rPr>
          <w:sz w:val="24"/>
          <w:highlight w:val="none"/>
        </w:rPr>
        <w:fldChar w:fldCharType="begin"/>
      </w:r>
      <w:r>
        <w:rPr>
          <w:sz w:val="24"/>
          <w:highlight w:val="none"/>
        </w:rPr>
        <w:instrText xml:space="preserve"> PAGEREF _Toc21220 \h </w:instrText>
      </w:r>
      <w:r>
        <w:rPr>
          <w:sz w:val="24"/>
          <w:highlight w:val="none"/>
        </w:rPr>
        <w:fldChar w:fldCharType="separate"/>
      </w:r>
      <w:r>
        <w:rPr>
          <w:sz w:val="24"/>
          <w:highlight w:val="none"/>
        </w:rPr>
        <w:t>25</w:t>
      </w:r>
      <w:r>
        <w:rPr>
          <w:sz w:val="24"/>
          <w:highlight w:val="none"/>
        </w:rPr>
        <w:fldChar w:fldCharType="end"/>
      </w:r>
      <w:r>
        <w:rPr>
          <w:sz w:val="24"/>
          <w:highlight w:val="none"/>
        </w:rPr>
        <w:fldChar w:fldCharType="end"/>
      </w:r>
    </w:p>
    <w:p w14:paraId="174518C0">
      <w:pPr>
        <w:pStyle w:val="18"/>
        <w:tabs>
          <w:tab w:val="right" w:leader="dot" w:pos="9638"/>
        </w:tabs>
        <w:rPr>
          <w:sz w:val="24"/>
          <w:highlight w:val="none"/>
        </w:rPr>
      </w:pPr>
      <w:r>
        <w:rPr>
          <w:highlight w:val="none"/>
        </w:rPr>
        <w:fldChar w:fldCharType="begin"/>
      </w:r>
      <w:r>
        <w:rPr>
          <w:highlight w:val="none"/>
        </w:rPr>
        <w:instrText xml:space="preserve"> HYPERLINK \l "_Toc9395" </w:instrText>
      </w:r>
      <w:r>
        <w:rPr>
          <w:highlight w:val="none"/>
        </w:rPr>
        <w:fldChar w:fldCharType="separate"/>
      </w:r>
      <w:r>
        <w:rPr>
          <w:rFonts w:hint="eastAsia" w:ascii="Times New Roman" w:hAnsi="Times New Roman"/>
          <w:bCs/>
          <w:sz w:val="24"/>
          <w:highlight w:val="none"/>
        </w:rPr>
        <w:t>报价文件</w:t>
      </w:r>
      <w:r>
        <w:rPr>
          <w:sz w:val="24"/>
          <w:highlight w:val="none"/>
        </w:rPr>
        <w:tab/>
      </w:r>
      <w:r>
        <w:rPr>
          <w:sz w:val="24"/>
          <w:highlight w:val="none"/>
        </w:rPr>
        <w:fldChar w:fldCharType="begin"/>
      </w:r>
      <w:r>
        <w:rPr>
          <w:sz w:val="24"/>
          <w:highlight w:val="none"/>
        </w:rPr>
        <w:instrText xml:space="preserve"> PAGEREF _Toc9395 \h </w:instrText>
      </w:r>
      <w:r>
        <w:rPr>
          <w:sz w:val="24"/>
          <w:highlight w:val="none"/>
        </w:rPr>
        <w:fldChar w:fldCharType="separate"/>
      </w:r>
      <w:r>
        <w:rPr>
          <w:sz w:val="24"/>
          <w:highlight w:val="none"/>
        </w:rPr>
        <w:t>29</w:t>
      </w:r>
      <w:r>
        <w:rPr>
          <w:sz w:val="24"/>
          <w:highlight w:val="none"/>
        </w:rPr>
        <w:fldChar w:fldCharType="end"/>
      </w:r>
      <w:r>
        <w:rPr>
          <w:sz w:val="24"/>
          <w:highlight w:val="none"/>
        </w:rPr>
        <w:fldChar w:fldCharType="end"/>
      </w:r>
    </w:p>
    <w:p w14:paraId="2AAE028E">
      <w:pPr>
        <w:pStyle w:val="18"/>
        <w:tabs>
          <w:tab w:val="right" w:leader="dot" w:pos="9638"/>
        </w:tabs>
        <w:rPr>
          <w:sz w:val="24"/>
          <w:highlight w:val="none"/>
        </w:rPr>
      </w:pPr>
      <w:r>
        <w:rPr>
          <w:highlight w:val="none"/>
        </w:rPr>
        <w:fldChar w:fldCharType="begin"/>
      </w:r>
      <w:r>
        <w:rPr>
          <w:highlight w:val="none"/>
        </w:rPr>
        <w:instrText xml:space="preserve"> HYPERLINK \l "_Toc560" </w:instrText>
      </w:r>
      <w:r>
        <w:rPr>
          <w:highlight w:val="none"/>
        </w:rPr>
        <w:fldChar w:fldCharType="separate"/>
      </w:r>
      <w:r>
        <w:rPr>
          <w:rFonts w:hint="eastAsia" w:ascii="Times New Roman" w:hAnsi="Times New Roman"/>
          <w:bCs/>
          <w:sz w:val="24"/>
          <w:highlight w:val="none"/>
        </w:rPr>
        <w:t>商务技术文件</w:t>
      </w:r>
      <w:r>
        <w:rPr>
          <w:sz w:val="24"/>
          <w:highlight w:val="none"/>
        </w:rPr>
        <w:tab/>
      </w:r>
      <w:r>
        <w:rPr>
          <w:sz w:val="24"/>
          <w:highlight w:val="none"/>
        </w:rPr>
        <w:fldChar w:fldCharType="begin"/>
      </w:r>
      <w:r>
        <w:rPr>
          <w:sz w:val="24"/>
          <w:highlight w:val="none"/>
        </w:rPr>
        <w:instrText xml:space="preserve"> PAGEREF _Toc560 \h </w:instrText>
      </w:r>
      <w:r>
        <w:rPr>
          <w:sz w:val="24"/>
          <w:highlight w:val="none"/>
        </w:rPr>
        <w:fldChar w:fldCharType="separate"/>
      </w:r>
      <w:r>
        <w:rPr>
          <w:sz w:val="24"/>
          <w:highlight w:val="none"/>
        </w:rPr>
        <w:t>33</w:t>
      </w:r>
      <w:r>
        <w:rPr>
          <w:sz w:val="24"/>
          <w:highlight w:val="none"/>
        </w:rPr>
        <w:fldChar w:fldCharType="end"/>
      </w:r>
      <w:r>
        <w:rPr>
          <w:sz w:val="24"/>
          <w:highlight w:val="none"/>
        </w:rPr>
        <w:fldChar w:fldCharType="end"/>
      </w:r>
    </w:p>
    <w:p w14:paraId="1331F4D0">
      <w:pPr>
        <w:pStyle w:val="18"/>
        <w:tabs>
          <w:tab w:val="right" w:leader="dot" w:pos="9638"/>
        </w:tabs>
        <w:rPr>
          <w:sz w:val="24"/>
          <w:highlight w:val="none"/>
        </w:rPr>
      </w:pPr>
      <w:r>
        <w:rPr>
          <w:highlight w:val="none"/>
        </w:rPr>
        <w:fldChar w:fldCharType="begin"/>
      </w:r>
      <w:r>
        <w:rPr>
          <w:highlight w:val="none"/>
        </w:rPr>
        <w:instrText xml:space="preserve"> HYPERLINK \l "_Toc13742" </w:instrText>
      </w:r>
      <w:r>
        <w:rPr>
          <w:highlight w:val="none"/>
        </w:rPr>
        <w:fldChar w:fldCharType="separate"/>
      </w:r>
      <w:r>
        <w:rPr>
          <w:rFonts w:hint="eastAsia" w:ascii="宋体" w:hAnsi="宋体"/>
          <w:bCs/>
          <w:sz w:val="24"/>
          <w:highlight w:val="none"/>
        </w:rPr>
        <w:t>封面</w:t>
      </w:r>
      <w:r>
        <w:rPr>
          <w:sz w:val="24"/>
          <w:highlight w:val="none"/>
        </w:rPr>
        <w:tab/>
      </w:r>
      <w:r>
        <w:rPr>
          <w:sz w:val="24"/>
          <w:highlight w:val="none"/>
        </w:rPr>
        <w:fldChar w:fldCharType="begin"/>
      </w:r>
      <w:r>
        <w:rPr>
          <w:sz w:val="24"/>
          <w:highlight w:val="none"/>
        </w:rPr>
        <w:instrText xml:space="preserve"> PAGEREF _Toc13742 \h </w:instrText>
      </w:r>
      <w:r>
        <w:rPr>
          <w:sz w:val="24"/>
          <w:highlight w:val="none"/>
        </w:rPr>
        <w:fldChar w:fldCharType="separate"/>
      </w:r>
      <w:r>
        <w:rPr>
          <w:sz w:val="24"/>
          <w:highlight w:val="none"/>
        </w:rPr>
        <w:t>39</w:t>
      </w:r>
      <w:r>
        <w:rPr>
          <w:sz w:val="24"/>
          <w:highlight w:val="none"/>
        </w:rPr>
        <w:fldChar w:fldCharType="end"/>
      </w:r>
      <w:r>
        <w:rPr>
          <w:sz w:val="24"/>
          <w:highlight w:val="none"/>
        </w:rPr>
        <w:fldChar w:fldCharType="end"/>
      </w:r>
    </w:p>
    <w:p w14:paraId="2154E80C">
      <w:pPr>
        <w:pStyle w:val="24"/>
        <w:tabs>
          <w:tab w:val="right" w:leader="dot" w:pos="9638"/>
          <w:tab w:val="clear" w:pos="9660"/>
        </w:tabs>
        <w:spacing w:line="240" w:lineRule="auto"/>
        <w:rPr>
          <w:sz w:val="24"/>
          <w:highlight w:val="none"/>
        </w:rPr>
      </w:pPr>
      <w:r>
        <w:rPr>
          <w:highlight w:val="none"/>
        </w:rPr>
        <w:fldChar w:fldCharType="begin"/>
      </w:r>
      <w:r>
        <w:rPr>
          <w:highlight w:val="none"/>
        </w:rPr>
        <w:instrText xml:space="preserve"> HYPERLINK \l "_Toc10568" </w:instrText>
      </w:r>
      <w:r>
        <w:rPr>
          <w:highlight w:val="none"/>
        </w:rPr>
        <w:fldChar w:fldCharType="separate"/>
      </w:r>
      <w:r>
        <w:rPr>
          <w:rFonts w:hint="eastAsia" w:ascii="宋体" w:hAnsi="宋体"/>
          <w:sz w:val="24"/>
          <w:highlight w:val="none"/>
        </w:rPr>
        <w:t>第四部分   采购内容及要求</w:t>
      </w:r>
      <w:r>
        <w:rPr>
          <w:sz w:val="24"/>
          <w:highlight w:val="none"/>
        </w:rPr>
        <w:tab/>
      </w:r>
      <w:r>
        <w:rPr>
          <w:sz w:val="24"/>
          <w:highlight w:val="none"/>
        </w:rPr>
        <w:fldChar w:fldCharType="begin"/>
      </w:r>
      <w:r>
        <w:rPr>
          <w:sz w:val="24"/>
          <w:highlight w:val="none"/>
        </w:rPr>
        <w:instrText xml:space="preserve"> PAGEREF _Toc10568 \h </w:instrText>
      </w:r>
      <w:r>
        <w:rPr>
          <w:sz w:val="24"/>
          <w:highlight w:val="none"/>
        </w:rPr>
        <w:fldChar w:fldCharType="separate"/>
      </w:r>
      <w:r>
        <w:rPr>
          <w:sz w:val="24"/>
          <w:highlight w:val="none"/>
        </w:rPr>
        <w:t>40</w:t>
      </w:r>
      <w:r>
        <w:rPr>
          <w:sz w:val="24"/>
          <w:highlight w:val="none"/>
        </w:rPr>
        <w:fldChar w:fldCharType="end"/>
      </w:r>
      <w:r>
        <w:rPr>
          <w:sz w:val="24"/>
          <w:highlight w:val="none"/>
        </w:rPr>
        <w:fldChar w:fldCharType="end"/>
      </w:r>
    </w:p>
    <w:p w14:paraId="72ADA70E">
      <w:pPr>
        <w:pStyle w:val="27"/>
        <w:tabs>
          <w:tab w:val="right" w:leader="dot" w:pos="9638"/>
        </w:tabs>
        <w:rPr>
          <w:sz w:val="24"/>
          <w:highlight w:val="none"/>
        </w:rPr>
      </w:pPr>
      <w:r>
        <w:rPr>
          <w:highlight w:val="none"/>
        </w:rPr>
        <w:fldChar w:fldCharType="begin"/>
      </w:r>
      <w:r>
        <w:rPr>
          <w:highlight w:val="none"/>
        </w:rPr>
        <w:instrText xml:space="preserve"> HYPERLINK \l "_Toc3690" </w:instrText>
      </w:r>
      <w:r>
        <w:rPr>
          <w:highlight w:val="none"/>
        </w:rPr>
        <w:fldChar w:fldCharType="separate"/>
      </w:r>
      <w:r>
        <w:rPr>
          <w:rFonts w:hint="eastAsia" w:ascii="宋体" w:hAnsi="宋体"/>
          <w:sz w:val="24"/>
          <w:highlight w:val="none"/>
        </w:rPr>
        <w:t>（一）、总则</w:t>
      </w:r>
      <w:r>
        <w:rPr>
          <w:sz w:val="24"/>
          <w:highlight w:val="none"/>
        </w:rPr>
        <w:tab/>
      </w:r>
      <w:r>
        <w:rPr>
          <w:sz w:val="24"/>
          <w:highlight w:val="none"/>
        </w:rPr>
        <w:fldChar w:fldCharType="begin"/>
      </w:r>
      <w:r>
        <w:rPr>
          <w:sz w:val="24"/>
          <w:highlight w:val="none"/>
        </w:rPr>
        <w:instrText xml:space="preserve"> PAGEREF _Toc3690 \h </w:instrText>
      </w:r>
      <w:r>
        <w:rPr>
          <w:sz w:val="24"/>
          <w:highlight w:val="none"/>
        </w:rPr>
        <w:fldChar w:fldCharType="separate"/>
      </w:r>
      <w:r>
        <w:rPr>
          <w:sz w:val="24"/>
          <w:highlight w:val="none"/>
        </w:rPr>
        <w:t>40</w:t>
      </w:r>
      <w:r>
        <w:rPr>
          <w:sz w:val="24"/>
          <w:highlight w:val="none"/>
        </w:rPr>
        <w:fldChar w:fldCharType="end"/>
      </w:r>
      <w:r>
        <w:rPr>
          <w:sz w:val="24"/>
          <w:highlight w:val="none"/>
        </w:rPr>
        <w:fldChar w:fldCharType="end"/>
      </w:r>
    </w:p>
    <w:p w14:paraId="3C8482C3">
      <w:pPr>
        <w:pStyle w:val="18"/>
        <w:tabs>
          <w:tab w:val="right" w:leader="dot" w:pos="9638"/>
        </w:tabs>
        <w:rPr>
          <w:sz w:val="24"/>
          <w:highlight w:val="none"/>
        </w:rPr>
      </w:pPr>
      <w:r>
        <w:rPr>
          <w:highlight w:val="none"/>
        </w:rPr>
        <w:fldChar w:fldCharType="begin"/>
      </w:r>
      <w:r>
        <w:rPr>
          <w:highlight w:val="none"/>
        </w:rPr>
        <w:instrText xml:space="preserve"> HYPERLINK \l "_Toc8353" </w:instrText>
      </w:r>
      <w:r>
        <w:rPr>
          <w:highlight w:val="none"/>
        </w:rPr>
        <w:fldChar w:fldCharType="separate"/>
      </w:r>
      <w:r>
        <w:rPr>
          <w:rFonts w:hint="eastAsia" w:ascii="宋体" w:hAnsi="宋体"/>
          <w:sz w:val="24"/>
          <w:highlight w:val="none"/>
        </w:rPr>
        <w:t>二、质量保证</w:t>
      </w:r>
      <w:r>
        <w:rPr>
          <w:sz w:val="24"/>
          <w:highlight w:val="none"/>
        </w:rPr>
        <w:tab/>
      </w:r>
      <w:r>
        <w:rPr>
          <w:sz w:val="24"/>
          <w:highlight w:val="none"/>
        </w:rPr>
        <w:fldChar w:fldCharType="begin"/>
      </w:r>
      <w:r>
        <w:rPr>
          <w:sz w:val="24"/>
          <w:highlight w:val="none"/>
        </w:rPr>
        <w:instrText xml:space="preserve"> PAGEREF _Toc8353 \h </w:instrText>
      </w:r>
      <w:r>
        <w:rPr>
          <w:sz w:val="24"/>
          <w:highlight w:val="none"/>
        </w:rPr>
        <w:fldChar w:fldCharType="separate"/>
      </w:r>
      <w:r>
        <w:rPr>
          <w:sz w:val="24"/>
          <w:highlight w:val="none"/>
        </w:rPr>
        <w:t>40</w:t>
      </w:r>
      <w:r>
        <w:rPr>
          <w:sz w:val="24"/>
          <w:highlight w:val="none"/>
        </w:rPr>
        <w:fldChar w:fldCharType="end"/>
      </w:r>
      <w:r>
        <w:rPr>
          <w:sz w:val="24"/>
          <w:highlight w:val="none"/>
        </w:rPr>
        <w:fldChar w:fldCharType="end"/>
      </w:r>
    </w:p>
    <w:p w14:paraId="2BFAE7DB">
      <w:pPr>
        <w:pStyle w:val="18"/>
        <w:tabs>
          <w:tab w:val="right" w:leader="dot" w:pos="9638"/>
        </w:tabs>
        <w:rPr>
          <w:sz w:val="24"/>
          <w:highlight w:val="none"/>
        </w:rPr>
      </w:pPr>
      <w:r>
        <w:rPr>
          <w:highlight w:val="none"/>
        </w:rPr>
        <w:fldChar w:fldCharType="begin"/>
      </w:r>
      <w:r>
        <w:rPr>
          <w:highlight w:val="none"/>
        </w:rPr>
        <w:instrText xml:space="preserve"> HYPERLINK \l "_Toc24795" </w:instrText>
      </w:r>
      <w:r>
        <w:rPr>
          <w:highlight w:val="none"/>
        </w:rPr>
        <w:fldChar w:fldCharType="separate"/>
      </w:r>
      <w:r>
        <w:rPr>
          <w:rFonts w:hint="eastAsia" w:ascii="宋体" w:hAnsi="宋体"/>
          <w:sz w:val="24"/>
          <w:highlight w:val="none"/>
        </w:rPr>
        <w:t>三、产品质保及售后服务要求</w:t>
      </w:r>
      <w:r>
        <w:rPr>
          <w:sz w:val="24"/>
          <w:highlight w:val="none"/>
        </w:rPr>
        <w:tab/>
      </w:r>
      <w:r>
        <w:rPr>
          <w:sz w:val="24"/>
          <w:highlight w:val="none"/>
        </w:rPr>
        <w:fldChar w:fldCharType="begin"/>
      </w:r>
      <w:r>
        <w:rPr>
          <w:sz w:val="24"/>
          <w:highlight w:val="none"/>
        </w:rPr>
        <w:instrText xml:space="preserve"> PAGEREF _Toc24795 \h </w:instrText>
      </w:r>
      <w:r>
        <w:rPr>
          <w:sz w:val="24"/>
          <w:highlight w:val="none"/>
        </w:rPr>
        <w:fldChar w:fldCharType="separate"/>
      </w:r>
      <w:r>
        <w:rPr>
          <w:sz w:val="24"/>
          <w:highlight w:val="none"/>
        </w:rPr>
        <w:t>41</w:t>
      </w:r>
      <w:r>
        <w:rPr>
          <w:sz w:val="24"/>
          <w:highlight w:val="none"/>
        </w:rPr>
        <w:fldChar w:fldCharType="end"/>
      </w:r>
      <w:r>
        <w:rPr>
          <w:sz w:val="24"/>
          <w:highlight w:val="none"/>
        </w:rPr>
        <w:fldChar w:fldCharType="end"/>
      </w:r>
    </w:p>
    <w:p w14:paraId="20440EB3">
      <w:pPr>
        <w:pStyle w:val="18"/>
        <w:tabs>
          <w:tab w:val="right" w:leader="dot" w:pos="9638"/>
        </w:tabs>
        <w:rPr>
          <w:sz w:val="24"/>
          <w:highlight w:val="none"/>
        </w:rPr>
      </w:pPr>
      <w:r>
        <w:rPr>
          <w:highlight w:val="none"/>
        </w:rPr>
        <w:fldChar w:fldCharType="begin"/>
      </w:r>
      <w:r>
        <w:rPr>
          <w:highlight w:val="none"/>
        </w:rPr>
        <w:instrText xml:space="preserve"> HYPERLINK \l "_Toc18561" </w:instrText>
      </w:r>
      <w:r>
        <w:rPr>
          <w:highlight w:val="none"/>
        </w:rPr>
        <w:fldChar w:fldCharType="separate"/>
      </w:r>
      <w:r>
        <w:rPr>
          <w:rFonts w:hint="eastAsia" w:ascii="宋体" w:hAnsi="宋体"/>
          <w:sz w:val="24"/>
          <w:highlight w:val="none"/>
        </w:rPr>
        <w:t>四、交货时间</w:t>
      </w:r>
      <w:r>
        <w:rPr>
          <w:sz w:val="24"/>
          <w:highlight w:val="none"/>
        </w:rPr>
        <w:tab/>
      </w:r>
      <w:r>
        <w:rPr>
          <w:sz w:val="24"/>
          <w:highlight w:val="none"/>
        </w:rPr>
        <w:fldChar w:fldCharType="begin"/>
      </w:r>
      <w:r>
        <w:rPr>
          <w:sz w:val="24"/>
          <w:highlight w:val="none"/>
        </w:rPr>
        <w:instrText xml:space="preserve"> PAGEREF _Toc18561 \h </w:instrText>
      </w:r>
      <w:r>
        <w:rPr>
          <w:sz w:val="24"/>
          <w:highlight w:val="none"/>
        </w:rPr>
        <w:fldChar w:fldCharType="separate"/>
      </w:r>
      <w:r>
        <w:rPr>
          <w:sz w:val="24"/>
          <w:highlight w:val="none"/>
        </w:rPr>
        <w:t>41</w:t>
      </w:r>
      <w:r>
        <w:rPr>
          <w:sz w:val="24"/>
          <w:highlight w:val="none"/>
        </w:rPr>
        <w:fldChar w:fldCharType="end"/>
      </w:r>
      <w:r>
        <w:rPr>
          <w:sz w:val="24"/>
          <w:highlight w:val="none"/>
        </w:rPr>
        <w:fldChar w:fldCharType="end"/>
      </w:r>
    </w:p>
    <w:p w14:paraId="18C3A435">
      <w:pPr>
        <w:pStyle w:val="18"/>
        <w:tabs>
          <w:tab w:val="right" w:leader="dot" w:pos="9638"/>
        </w:tabs>
        <w:rPr>
          <w:sz w:val="24"/>
          <w:highlight w:val="none"/>
        </w:rPr>
      </w:pPr>
      <w:r>
        <w:rPr>
          <w:highlight w:val="none"/>
        </w:rPr>
        <w:fldChar w:fldCharType="begin"/>
      </w:r>
      <w:r>
        <w:rPr>
          <w:highlight w:val="none"/>
        </w:rPr>
        <w:instrText xml:space="preserve"> HYPERLINK \l "_Toc12736" </w:instrText>
      </w:r>
      <w:r>
        <w:rPr>
          <w:highlight w:val="none"/>
        </w:rPr>
        <w:fldChar w:fldCharType="separate"/>
      </w:r>
      <w:r>
        <w:rPr>
          <w:rFonts w:hint="eastAsia" w:ascii="宋体" w:hAnsi="宋体"/>
          <w:sz w:val="24"/>
          <w:highlight w:val="none"/>
        </w:rPr>
        <w:t>五、测试及项目验收</w:t>
      </w:r>
      <w:r>
        <w:rPr>
          <w:sz w:val="24"/>
          <w:highlight w:val="none"/>
        </w:rPr>
        <w:tab/>
      </w:r>
      <w:r>
        <w:rPr>
          <w:sz w:val="24"/>
          <w:highlight w:val="none"/>
        </w:rPr>
        <w:fldChar w:fldCharType="begin"/>
      </w:r>
      <w:r>
        <w:rPr>
          <w:sz w:val="24"/>
          <w:highlight w:val="none"/>
        </w:rPr>
        <w:instrText xml:space="preserve"> PAGEREF _Toc12736 \h </w:instrText>
      </w:r>
      <w:r>
        <w:rPr>
          <w:sz w:val="24"/>
          <w:highlight w:val="none"/>
        </w:rPr>
        <w:fldChar w:fldCharType="separate"/>
      </w:r>
      <w:r>
        <w:rPr>
          <w:sz w:val="24"/>
          <w:highlight w:val="none"/>
        </w:rPr>
        <w:t>41</w:t>
      </w:r>
      <w:r>
        <w:rPr>
          <w:sz w:val="24"/>
          <w:highlight w:val="none"/>
        </w:rPr>
        <w:fldChar w:fldCharType="end"/>
      </w:r>
      <w:r>
        <w:rPr>
          <w:sz w:val="24"/>
          <w:highlight w:val="none"/>
        </w:rPr>
        <w:fldChar w:fldCharType="end"/>
      </w:r>
    </w:p>
    <w:p w14:paraId="6952CA80">
      <w:pPr>
        <w:pStyle w:val="27"/>
        <w:tabs>
          <w:tab w:val="right" w:leader="dot" w:pos="9638"/>
        </w:tabs>
        <w:rPr>
          <w:sz w:val="24"/>
          <w:highlight w:val="none"/>
        </w:rPr>
      </w:pPr>
      <w:r>
        <w:rPr>
          <w:highlight w:val="none"/>
        </w:rPr>
        <w:fldChar w:fldCharType="begin"/>
      </w:r>
      <w:r>
        <w:rPr>
          <w:highlight w:val="none"/>
        </w:rPr>
        <w:instrText xml:space="preserve"> HYPERLINK \l "_Toc2523" </w:instrText>
      </w:r>
      <w:r>
        <w:rPr>
          <w:highlight w:val="none"/>
        </w:rPr>
        <w:fldChar w:fldCharType="separate"/>
      </w:r>
      <w:r>
        <w:rPr>
          <w:rFonts w:hint="eastAsia" w:ascii="宋体" w:hAnsi="宋体"/>
          <w:sz w:val="24"/>
          <w:highlight w:val="none"/>
        </w:rPr>
        <w:t>（二）、采购内容及技术要求</w:t>
      </w:r>
      <w:r>
        <w:rPr>
          <w:sz w:val="24"/>
          <w:highlight w:val="none"/>
        </w:rPr>
        <w:tab/>
      </w:r>
      <w:r>
        <w:rPr>
          <w:sz w:val="24"/>
          <w:highlight w:val="none"/>
        </w:rPr>
        <w:fldChar w:fldCharType="begin"/>
      </w:r>
      <w:r>
        <w:rPr>
          <w:sz w:val="24"/>
          <w:highlight w:val="none"/>
        </w:rPr>
        <w:instrText xml:space="preserve"> PAGEREF _Toc2523 \h </w:instrText>
      </w:r>
      <w:r>
        <w:rPr>
          <w:sz w:val="24"/>
          <w:highlight w:val="none"/>
        </w:rPr>
        <w:fldChar w:fldCharType="separate"/>
      </w:r>
      <w:r>
        <w:rPr>
          <w:sz w:val="24"/>
          <w:highlight w:val="none"/>
        </w:rPr>
        <w:t>41</w:t>
      </w:r>
      <w:r>
        <w:rPr>
          <w:sz w:val="24"/>
          <w:highlight w:val="none"/>
        </w:rPr>
        <w:fldChar w:fldCharType="end"/>
      </w:r>
      <w:r>
        <w:rPr>
          <w:sz w:val="24"/>
          <w:highlight w:val="none"/>
        </w:rPr>
        <w:fldChar w:fldCharType="end"/>
      </w:r>
    </w:p>
    <w:p w14:paraId="0E8D579F">
      <w:pPr>
        <w:pStyle w:val="24"/>
        <w:tabs>
          <w:tab w:val="right" w:leader="dot" w:pos="9638"/>
          <w:tab w:val="clear" w:pos="9660"/>
        </w:tabs>
        <w:spacing w:line="240" w:lineRule="auto"/>
        <w:rPr>
          <w:sz w:val="24"/>
          <w:highlight w:val="none"/>
        </w:rPr>
      </w:pPr>
      <w:r>
        <w:rPr>
          <w:highlight w:val="none"/>
        </w:rPr>
        <w:fldChar w:fldCharType="begin"/>
      </w:r>
      <w:r>
        <w:rPr>
          <w:highlight w:val="none"/>
        </w:rPr>
        <w:instrText xml:space="preserve"> HYPERLINK \l "_Toc10416" </w:instrText>
      </w:r>
      <w:r>
        <w:rPr>
          <w:highlight w:val="none"/>
        </w:rPr>
        <w:fldChar w:fldCharType="separate"/>
      </w:r>
      <w:r>
        <w:rPr>
          <w:rFonts w:hint="eastAsia" w:ascii="宋体" w:hAnsi="宋体" w:cs="宋体"/>
          <w:kern w:val="0"/>
          <w:sz w:val="24"/>
          <w:highlight w:val="none"/>
        </w:rPr>
        <w:t>一、采购内容清单</w:t>
      </w:r>
      <w:r>
        <w:rPr>
          <w:sz w:val="24"/>
          <w:highlight w:val="none"/>
        </w:rPr>
        <w:tab/>
      </w:r>
      <w:r>
        <w:rPr>
          <w:sz w:val="24"/>
          <w:highlight w:val="none"/>
        </w:rPr>
        <w:fldChar w:fldCharType="begin"/>
      </w:r>
      <w:r>
        <w:rPr>
          <w:sz w:val="24"/>
          <w:highlight w:val="none"/>
        </w:rPr>
        <w:instrText xml:space="preserve"> PAGEREF _Toc10416 \h </w:instrText>
      </w:r>
      <w:r>
        <w:rPr>
          <w:sz w:val="24"/>
          <w:highlight w:val="none"/>
        </w:rPr>
        <w:fldChar w:fldCharType="separate"/>
      </w:r>
      <w:r>
        <w:rPr>
          <w:sz w:val="24"/>
          <w:highlight w:val="none"/>
        </w:rPr>
        <w:t>41</w:t>
      </w:r>
      <w:r>
        <w:rPr>
          <w:sz w:val="24"/>
          <w:highlight w:val="none"/>
        </w:rPr>
        <w:fldChar w:fldCharType="end"/>
      </w:r>
      <w:r>
        <w:rPr>
          <w:sz w:val="24"/>
          <w:highlight w:val="none"/>
        </w:rPr>
        <w:fldChar w:fldCharType="end"/>
      </w:r>
    </w:p>
    <w:p w14:paraId="22C1BA01">
      <w:pPr>
        <w:pStyle w:val="24"/>
        <w:tabs>
          <w:tab w:val="right" w:leader="dot" w:pos="9638"/>
          <w:tab w:val="clear" w:pos="9660"/>
        </w:tabs>
        <w:spacing w:line="240" w:lineRule="auto"/>
        <w:rPr>
          <w:highlight w:val="none"/>
        </w:rPr>
      </w:pPr>
      <w:r>
        <w:rPr>
          <w:highlight w:val="none"/>
        </w:rPr>
        <w:fldChar w:fldCharType="begin"/>
      </w:r>
      <w:r>
        <w:rPr>
          <w:highlight w:val="none"/>
        </w:rPr>
        <w:instrText xml:space="preserve"> HYPERLINK \l "_Toc28337" </w:instrText>
      </w:r>
      <w:r>
        <w:rPr>
          <w:highlight w:val="none"/>
        </w:rPr>
        <w:fldChar w:fldCharType="separate"/>
      </w:r>
      <w:r>
        <w:rPr>
          <w:rFonts w:hint="eastAsia" w:ascii="宋体" w:hAnsi="宋体" w:cs="Arial Unicode MS"/>
          <w:sz w:val="24"/>
          <w:highlight w:val="none"/>
        </w:rPr>
        <w:t xml:space="preserve">第五部分   </w:t>
      </w:r>
      <w:r>
        <w:rPr>
          <w:rFonts w:hint="eastAsia" w:ascii="宋体" w:hAnsi="宋体"/>
          <w:sz w:val="24"/>
          <w:highlight w:val="none"/>
        </w:rPr>
        <w:t>评标原则及办法</w:t>
      </w:r>
      <w:r>
        <w:rPr>
          <w:sz w:val="24"/>
          <w:highlight w:val="none"/>
        </w:rPr>
        <w:tab/>
      </w:r>
      <w:r>
        <w:rPr>
          <w:sz w:val="24"/>
          <w:highlight w:val="none"/>
        </w:rPr>
        <w:fldChar w:fldCharType="begin"/>
      </w:r>
      <w:r>
        <w:rPr>
          <w:sz w:val="24"/>
          <w:highlight w:val="none"/>
        </w:rPr>
        <w:instrText xml:space="preserve"> PAGEREF _Toc28337 \h </w:instrText>
      </w:r>
      <w:r>
        <w:rPr>
          <w:sz w:val="24"/>
          <w:highlight w:val="none"/>
        </w:rPr>
        <w:fldChar w:fldCharType="separate"/>
      </w:r>
      <w:r>
        <w:rPr>
          <w:sz w:val="24"/>
          <w:highlight w:val="none"/>
        </w:rPr>
        <w:t>43</w:t>
      </w:r>
      <w:r>
        <w:rPr>
          <w:sz w:val="24"/>
          <w:highlight w:val="none"/>
        </w:rPr>
        <w:fldChar w:fldCharType="end"/>
      </w:r>
      <w:r>
        <w:rPr>
          <w:sz w:val="24"/>
          <w:highlight w:val="none"/>
        </w:rPr>
        <w:fldChar w:fldCharType="end"/>
      </w:r>
    </w:p>
    <w:p w14:paraId="2F43F266">
      <w:pPr>
        <w:pStyle w:val="24"/>
        <w:spacing w:line="276" w:lineRule="auto"/>
        <w:jc w:val="left"/>
        <w:rPr>
          <w:rFonts w:hint="eastAsia" w:ascii="宋体" w:hAnsi="宋体" w:cs="Courier New"/>
          <w:b/>
          <w:bCs/>
          <w:sz w:val="28"/>
          <w:szCs w:val="30"/>
          <w:highlight w:val="none"/>
        </w:rPr>
      </w:pPr>
      <w:r>
        <w:rPr>
          <w:rFonts w:hint="eastAsia" w:ascii="宋体" w:hAnsi="宋体"/>
          <w:highlight w:val="none"/>
        </w:rPr>
        <w:fldChar w:fldCharType="end"/>
      </w:r>
      <w:r>
        <w:rPr>
          <w:rFonts w:ascii="宋体" w:hAnsi="宋体" w:cs="Courier New"/>
          <w:b/>
          <w:bCs/>
          <w:sz w:val="28"/>
          <w:szCs w:val="30"/>
          <w:highlight w:val="none"/>
        </w:rPr>
        <w:t>注：</w:t>
      </w:r>
      <w:r>
        <w:rPr>
          <w:rFonts w:hint="eastAsia" w:ascii="宋体" w:hAnsi="宋体" w:cs="Courier New"/>
          <w:b/>
          <w:bCs/>
          <w:sz w:val="28"/>
          <w:szCs w:val="30"/>
          <w:highlight w:val="none"/>
        </w:rPr>
        <w:t>请投标人</w:t>
      </w:r>
      <w:r>
        <w:rPr>
          <w:rFonts w:ascii="宋体" w:hAnsi="宋体" w:cs="Courier New"/>
          <w:b/>
          <w:bCs/>
          <w:sz w:val="28"/>
          <w:szCs w:val="30"/>
          <w:highlight w:val="none"/>
        </w:rPr>
        <w:t>认真查看招标文件中的每一个条款及要求，因误读招标文件而造成的后果，采购人概不负责。</w:t>
      </w:r>
      <w:bookmarkStart w:id="0" w:name="_Toc227489885"/>
      <w:bookmarkStart w:id="1" w:name="_Toc215415528"/>
      <w:bookmarkStart w:id="2" w:name="_Toc216667818"/>
      <w:bookmarkStart w:id="3" w:name="_Toc227057031"/>
      <w:bookmarkStart w:id="4" w:name="_Toc227056844"/>
      <w:bookmarkStart w:id="5" w:name="_Toc219538611"/>
      <w:bookmarkStart w:id="6" w:name="_Toc217460683"/>
      <w:bookmarkStart w:id="7" w:name="_Toc223717602"/>
      <w:bookmarkStart w:id="8" w:name="_Toc223933219"/>
      <w:bookmarkStart w:id="9" w:name="_Toc218041724"/>
    </w:p>
    <w:p w14:paraId="5FC2D67C">
      <w:pPr>
        <w:widowControl/>
        <w:jc w:val="left"/>
        <w:rPr>
          <w:rFonts w:hint="eastAsia" w:ascii="宋体" w:hAnsi="宋体" w:cs="Courier New"/>
          <w:b/>
          <w:bCs/>
          <w:sz w:val="36"/>
          <w:szCs w:val="36"/>
          <w:highlight w:val="none"/>
          <w:lang w:val="zh-CN"/>
        </w:rPr>
      </w:pPr>
      <w:r>
        <w:rPr>
          <w:rFonts w:ascii="宋体" w:hAnsi="宋体" w:cs="Courier New"/>
          <w:sz w:val="36"/>
          <w:szCs w:val="36"/>
          <w:highlight w:val="none"/>
        </w:rPr>
        <w:br w:type="page"/>
      </w:r>
    </w:p>
    <w:bookmarkEnd w:id="0"/>
    <w:bookmarkEnd w:id="1"/>
    <w:bookmarkEnd w:id="2"/>
    <w:bookmarkEnd w:id="3"/>
    <w:bookmarkEnd w:id="4"/>
    <w:bookmarkEnd w:id="5"/>
    <w:bookmarkEnd w:id="6"/>
    <w:bookmarkEnd w:id="7"/>
    <w:bookmarkEnd w:id="8"/>
    <w:bookmarkEnd w:id="9"/>
    <w:p w14:paraId="71BDB616">
      <w:pPr>
        <w:autoSpaceDE w:val="0"/>
        <w:autoSpaceDN w:val="0"/>
        <w:adjustRightInd w:val="0"/>
        <w:snapToGrid w:val="0"/>
        <w:spacing w:line="454" w:lineRule="atLeast"/>
        <w:jc w:val="center"/>
        <w:textAlignment w:val="bottom"/>
        <w:outlineLvl w:val="0"/>
        <w:rPr>
          <w:rFonts w:ascii="宋体"/>
          <w:sz w:val="28"/>
          <w:szCs w:val="28"/>
          <w:highlight w:val="none"/>
        </w:rPr>
      </w:pPr>
      <w:r>
        <w:rPr>
          <w:rFonts w:hint="eastAsia" w:ascii="宋体"/>
          <w:sz w:val="28"/>
          <w:szCs w:val="28"/>
          <w:highlight w:val="none"/>
        </w:rPr>
        <w:t>浙江立创项目管理有限公司关于</w:t>
      </w:r>
      <w:r>
        <w:rPr>
          <w:rFonts w:hint="eastAsia" w:ascii="宋体"/>
          <w:sz w:val="28"/>
          <w:szCs w:val="28"/>
          <w:highlight w:val="none"/>
          <w:lang w:eastAsia="zh-CN"/>
        </w:rPr>
        <w:t>温州百佳东方妇产医院电梯采购</w:t>
      </w:r>
      <w:r>
        <w:rPr>
          <w:rFonts w:hint="eastAsia" w:ascii="宋体"/>
          <w:sz w:val="28"/>
          <w:szCs w:val="28"/>
          <w:highlight w:val="none"/>
        </w:rPr>
        <w:t>的公开</w:t>
      </w:r>
      <w:r>
        <w:rPr>
          <w:rFonts w:ascii="宋体"/>
          <w:sz w:val="28"/>
          <w:szCs w:val="28"/>
          <w:highlight w:val="none"/>
        </w:rPr>
        <w:t>招标公告</w:t>
      </w:r>
    </w:p>
    <w:p w14:paraId="7D391D05">
      <w:pPr>
        <w:ind w:firstLine="440" w:firstLineChars="200"/>
        <w:rPr>
          <w:rFonts w:ascii="宋体"/>
          <w:color w:val="000000"/>
          <w:sz w:val="22"/>
          <w:szCs w:val="22"/>
          <w:highlight w:val="none"/>
        </w:rPr>
      </w:pPr>
      <w:r>
        <w:rPr>
          <w:rFonts w:ascii="宋体"/>
          <w:color w:val="000000"/>
          <w:sz w:val="22"/>
          <w:szCs w:val="22"/>
          <w:highlight w:val="none"/>
        </w:rPr>
        <w:t>项目概况 </w:t>
      </w:r>
    </w:p>
    <w:p w14:paraId="12B711E6">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w:t>
      </w:r>
      <w:r>
        <w:rPr>
          <w:rFonts w:hint="eastAsia" w:ascii="宋体"/>
          <w:color w:val="000000"/>
          <w:sz w:val="22"/>
          <w:szCs w:val="22"/>
          <w:highlight w:val="none"/>
          <w:lang w:eastAsia="zh-CN"/>
        </w:rPr>
        <w:t>温州百佳东方妇产医院电梯采购</w:t>
      </w:r>
      <w:r>
        <w:rPr>
          <w:rFonts w:ascii="宋体" w:cs="宋体"/>
          <w:color w:val="000000"/>
          <w:sz w:val="22"/>
          <w:szCs w:val="22"/>
          <w:highlight w:val="none"/>
        </w:rPr>
        <w:t>招标项目的潜在投标人应在</w:t>
      </w:r>
      <w:r>
        <w:rPr>
          <w:rFonts w:hint="eastAsia" w:ascii="宋体" w:cs="宋体"/>
          <w:color w:val="000000"/>
          <w:sz w:val="22"/>
          <w:szCs w:val="22"/>
          <w:highlight w:val="none"/>
          <w:lang w:eastAsia="zh-CN"/>
        </w:rPr>
        <w:t>乐采云平台</w:t>
      </w:r>
      <w:r>
        <w:rPr>
          <w:rFonts w:ascii="宋体" w:cs="宋体"/>
          <w:color w:val="000000"/>
          <w:sz w:val="22"/>
          <w:szCs w:val="22"/>
          <w:highlight w:val="none"/>
        </w:rPr>
        <w:t>获取（下载）招标文件，并于</w:t>
      </w:r>
      <w:r>
        <w:rPr>
          <w:rFonts w:hint="eastAsia" w:ascii="宋体" w:cs="宋体"/>
          <w:b/>
          <w:bCs/>
          <w:color w:val="000000"/>
          <w:sz w:val="22"/>
          <w:szCs w:val="22"/>
          <w:highlight w:val="none"/>
        </w:rPr>
        <w:t>202</w:t>
      </w:r>
      <w:r>
        <w:rPr>
          <w:rFonts w:hint="eastAsia" w:ascii="宋体" w:cs="宋体"/>
          <w:b/>
          <w:bCs/>
          <w:color w:val="000000"/>
          <w:sz w:val="22"/>
          <w:szCs w:val="22"/>
          <w:highlight w:val="none"/>
          <w:lang w:val="en-US" w:eastAsia="zh-CN"/>
        </w:rPr>
        <w:t>5</w:t>
      </w:r>
      <w:r>
        <w:rPr>
          <w:rFonts w:hint="eastAsia" w:ascii="宋体" w:cs="宋体"/>
          <w:b/>
          <w:bCs/>
          <w:color w:val="000000"/>
          <w:sz w:val="22"/>
          <w:szCs w:val="22"/>
          <w:highlight w:val="none"/>
        </w:rPr>
        <w:t>年</w:t>
      </w:r>
      <w:r>
        <w:rPr>
          <w:rFonts w:hint="eastAsia" w:ascii="宋体" w:cs="宋体"/>
          <w:b/>
          <w:bCs/>
          <w:color w:val="000000"/>
          <w:sz w:val="22"/>
          <w:szCs w:val="22"/>
          <w:highlight w:val="none"/>
          <w:lang w:val="en-US" w:eastAsia="zh-CN"/>
        </w:rPr>
        <w:t>07</w:t>
      </w:r>
      <w:r>
        <w:rPr>
          <w:rFonts w:hint="eastAsia" w:ascii="宋体" w:cs="宋体"/>
          <w:b/>
          <w:bCs/>
          <w:color w:val="000000"/>
          <w:sz w:val="22"/>
          <w:szCs w:val="22"/>
          <w:highlight w:val="none"/>
        </w:rPr>
        <w:t>月</w:t>
      </w:r>
      <w:r>
        <w:rPr>
          <w:rFonts w:hint="eastAsia" w:ascii="宋体" w:cs="宋体"/>
          <w:b/>
          <w:bCs/>
          <w:color w:val="000000"/>
          <w:sz w:val="22"/>
          <w:szCs w:val="22"/>
          <w:highlight w:val="none"/>
          <w:lang w:val="en-US" w:eastAsia="zh-CN"/>
        </w:rPr>
        <w:t>11</w:t>
      </w:r>
      <w:r>
        <w:rPr>
          <w:rFonts w:hint="eastAsia" w:ascii="宋体" w:cs="宋体"/>
          <w:b/>
          <w:bCs/>
          <w:color w:val="000000"/>
          <w:sz w:val="22"/>
          <w:szCs w:val="22"/>
          <w:highlight w:val="none"/>
        </w:rPr>
        <w:t>日09</w:t>
      </w:r>
      <w:r>
        <w:rPr>
          <w:rFonts w:ascii="宋体" w:cs="宋体"/>
          <w:b/>
          <w:bCs/>
          <w:color w:val="000000"/>
          <w:sz w:val="22"/>
          <w:szCs w:val="22"/>
          <w:highlight w:val="none"/>
        </w:rPr>
        <w:t>:30</w:t>
      </w:r>
      <w:r>
        <w:rPr>
          <w:rFonts w:ascii="宋体" w:cs="宋体"/>
          <w:color w:val="000000"/>
          <w:sz w:val="22"/>
          <w:szCs w:val="22"/>
          <w:highlight w:val="none"/>
        </w:rPr>
        <w:t>（北京时间）前递交（上传）投标文件。                             </w:t>
      </w:r>
    </w:p>
    <w:p w14:paraId="1DDCA996">
      <w:pPr>
        <w:widowControl/>
        <w:shd w:val="clear" w:color="auto" w:fill="FFFFFF"/>
        <w:spacing w:line="460" w:lineRule="exact"/>
        <w:rPr>
          <w:rFonts w:ascii="宋体" w:cs="宋体"/>
          <w:color w:val="000000"/>
          <w:sz w:val="22"/>
          <w:szCs w:val="22"/>
          <w:highlight w:val="none"/>
        </w:rPr>
      </w:pPr>
      <w:r>
        <w:rPr>
          <w:rFonts w:hint="eastAsia" w:ascii="宋体" w:cs="宋体"/>
          <w:bCs/>
          <w:color w:val="000000"/>
          <w:sz w:val="22"/>
          <w:szCs w:val="22"/>
          <w:highlight w:val="none"/>
        </w:rPr>
        <w:t>一、项目基本情况</w:t>
      </w:r>
      <w:r>
        <w:rPr>
          <w:rFonts w:hint="eastAsia" w:ascii="宋体" w:cs="宋体"/>
          <w:color w:val="000000"/>
          <w:sz w:val="22"/>
          <w:szCs w:val="22"/>
          <w:highlight w:val="none"/>
        </w:rPr>
        <w:t>                                            </w:t>
      </w:r>
    </w:p>
    <w:p w14:paraId="4DE2F174">
      <w:pPr>
        <w:widowControl/>
        <w:shd w:val="clear" w:color="auto" w:fill="FFFFFF"/>
        <w:spacing w:line="460" w:lineRule="exact"/>
        <w:jc w:val="left"/>
        <w:rPr>
          <w:rFonts w:hint="eastAsia" w:ascii="宋体" w:eastAsia="宋体" w:cs="宋体"/>
          <w:color w:val="000000"/>
          <w:sz w:val="22"/>
          <w:szCs w:val="22"/>
          <w:highlight w:val="none"/>
          <w:lang w:eastAsia="zh-CN"/>
        </w:rPr>
      </w:pPr>
      <w:r>
        <w:rPr>
          <w:rFonts w:ascii="宋体" w:cs="宋体"/>
          <w:color w:val="000000"/>
          <w:sz w:val="22"/>
          <w:szCs w:val="22"/>
          <w:highlight w:val="none"/>
        </w:rPr>
        <w:t>    项目编号：</w:t>
      </w:r>
      <w:r>
        <w:rPr>
          <w:rFonts w:hint="eastAsia" w:ascii="宋体"/>
          <w:color w:val="000000"/>
          <w:sz w:val="22"/>
          <w:szCs w:val="22"/>
          <w:highlight w:val="none"/>
          <w:lang w:eastAsia="zh-CN"/>
        </w:rPr>
        <w:t>ZJLC-202500624（M）</w:t>
      </w:r>
    </w:p>
    <w:p w14:paraId="11FD9704">
      <w:pPr>
        <w:widowControl/>
        <w:shd w:val="clear" w:color="auto" w:fill="FFFFFF"/>
        <w:spacing w:line="460" w:lineRule="exact"/>
        <w:jc w:val="left"/>
        <w:rPr>
          <w:rFonts w:hint="eastAsia" w:ascii="宋体" w:eastAsia="宋体" w:cs="宋体"/>
          <w:color w:val="000000"/>
          <w:sz w:val="22"/>
          <w:szCs w:val="22"/>
          <w:highlight w:val="none"/>
          <w:lang w:eastAsia="zh-CN"/>
        </w:rPr>
      </w:pPr>
      <w:r>
        <w:rPr>
          <w:rFonts w:ascii="宋体" w:cs="宋体"/>
          <w:color w:val="000000"/>
          <w:sz w:val="22"/>
          <w:szCs w:val="22"/>
          <w:highlight w:val="none"/>
        </w:rPr>
        <w:t>    项目名称：</w:t>
      </w:r>
      <w:r>
        <w:rPr>
          <w:rFonts w:hint="eastAsia" w:ascii="宋体"/>
          <w:color w:val="000000"/>
          <w:sz w:val="22"/>
          <w:szCs w:val="22"/>
          <w:highlight w:val="none"/>
          <w:lang w:eastAsia="zh-CN"/>
        </w:rPr>
        <w:t>温州百佳东方妇产医院电梯采购</w:t>
      </w:r>
    </w:p>
    <w:p w14:paraId="38693809">
      <w:pPr>
        <w:widowControl/>
        <w:shd w:val="clear" w:color="auto" w:fill="FFFFFF"/>
        <w:spacing w:line="460" w:lineRule="exact"/>
        <w:jc w:val="left"/>
        <w:rPr>
          <w:rFonts w:hint="eastAsia" w:ascii="宋体" w:eastAsia="宋体" w:cs="宋体"/>
          <w:color w:val="000000"/>
          <w:sz w:val="22"/>
          <w:szCs w:val="22"/>
          <w:highlight w:val="none"/>
          <w:lang w:eastAsia="zh-CN"/>
        </w:rPr>
      </w:pPr>
      <w:r>
        <w:rPr>
          <w:rFonts w:ascii="宋体" w:cs="宋体"/>
          <w:color w:val="000000"/>
          <w:sz w:val="22"/>
          <w:szCs w:val="22"/>
          <w:highlight w:val="none"/>
        </w:rPr>
        <w:t>    预算金额（元）：</w:t>
      </w:r>
      <w:r>
        <w:rPr>
          <w:rFonts w:hint="eastAsia" w:ascii="宋体" w:cs="宋体"/>
          <w:color w:val="000000"/>
          <w:sz w:val="22"/>
          <w:szCs w:val="22"/>
          <w:highlight w:val="none"/>
          <w:lang w:eastAsia="zh-CN"/>
        </w:rPr>
        <w:t>494400</w:t>
      </w:r>
    </w:p>
    <w:p w14:paraId="4C27E4CB">
      <w:pPr>
        <w:widowControl/>
        <w:shd w:val="clear" w:color="auto" w:fill="FFFFFF"/>
        <w:spacing w:line="460" w:lineRule="exact"/>
        <w:jc w:val="left"/>
        <w:rPr>
          <w:rFonts w:hint="eastAsia" w:ascii="宋体" w:eastAsia="宋体" w:cs="宋体"/>
          <w:color w:val="000000"/>
          <w:sz w:val="22"/>
          <w:szCs w:val="22"/>
          <w:highlight w:val="none"/>
          <w:lang w:eastAsia="zh-CN"/>
        </w:rPr>
      </w:pPr>
      <w:r>
        <w:rPr>
          <w:rFonts w:ascii="宋体" w:cs="宋体"/>
          <w:color w:val="000000"/>
          <w:sz w:val="22"/>
          <w:szCs w:val="22"/>
          <w:highlight w:val="none"/>
        </w:rPr>
        <w:t>    最高限价（元）：</w:t>
      </w:r>
      <w:r>
        <w:rPr>
          <w:rFonts w:hint="eastAsia" w:ascii="宋体" w:cs="宋体"/>
          <w:color w:val="000000"/>
          <w:sz w:val="22"/>
          <w:szCs w:val="22"/>
          <w:highlight w:val="none"/>
          <w:lang w:eastAsia="zh-CN"/>
        </w:rPr>
        <w:t>494400</w:t>
      </w:r>
    </w:p>
    <w:p w14:paraId="7B8C9E1F">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采购需求：</w:t>
      </w:r>
    </w:p>
    <w:p w14:paraId="4902851E">
      <w:pPr>
        <w:widowControl/>
        <w:shd w:val="clear" w:color="auto" w:fill="FFFFFF"/>
        <w:spacing w:line="460" w:lineRule="exact"/>
        <w:ind w:firstLine="435"/>
        <w:jc w:val="left"/>
        <w:rPr>
          <w:rFonts w:hint="eastAsia" w:ascii="宋体" w:eastAsia="宋体" w:cs="宋体"/>
          <w:sz w:val="22"/>
          <w:szCs w:val="22"/>
          <w:highlight w:val="none"/>
          <w:lang w:eastAsia="zh-CN"/>
        </w:rPr>
      </w:pPr>
      <w:r>
        <w:rPr>
          <w:rFonts w:ascii="宋体" w:cs="宋体"/>
          <w:color w:val="000000"/>
          <w:sz w:val="22"/>
          <w:szCs w:val="22"/>
          <w:highlight w:val="none"/>
        </w:rPr>
        <w:t>   </w:t>
      </w:r>
      <w:r>
        <w:rPr>
          <w:rFonts w:ascii="宋体" w:cs="宋体"/>
          <w:sz w:val="22"/>
          <w:szCs w:val="22"/>
          <w:highlight w:val="none"/>
        </w:rPr>
        <w:t>标项一:</w:t>
      </w:r>
    </w:p>
    <w:p w14:paraId="6F806B17">
      <w:pPr>
        <w:widowControl/>
        <w:shd w:val="clear" w:color="auto" w:fill="FFFFFF"/>
        <w:spacing w:line="460" w:lineRule="exact"/>
        <w:ind w:firstLine="435"/>
        <w:jc w:val="left"/>
        <w:rPr>
          <w:rFonts w:hint="eastAsia" w:ascii="宋体" w:eastAsia="宋体"/>
          <w:color w:val="000000"/>
          <w:sz w:val="22"/>
          <w:szCs w:val="22"/>
          <w:highlight w:val="none"/>
          <w:lang w:eastAsia="zh-CN"/>
        </w:rPr>
      </w:pPr>
      <w:r>
        <w:rPr>
          <w:rFonts w:ascii="宋体" w:cs="宋体"/>
          <w:sz w:val="22"/>
          <w:szCs w:val="22"/>
          <w:highlight w:val="none"/>
        </w:rPr>
        <w:t>    标项名称: </w:t>
      </w:r>
      <w:r>
        <w:rPr>
          <w:rFonts w:hint="eastAsia" w:ascii="宋体"/>
          <w:color w:val="000000"/>
          <w:sz w:val="22"/>
          <w:szCs w:val="22"/>
          <w:highlight w:val="none"/>
          <w:lang w:eastAsia="zh-CN"/>
        </w:rPr>
        <w:t>温州百佳东方妇产医院电梯采购</w:t>
      </w:r>
    </w:p>
    <w:p w14:paraId="6630D7B2">
      <w:pPr>
        <w:widowControl/>
        <w:shd w:val="clear" w:color="auto" w:fill="FFFFFF"/>
        <w:spacing w:line="460" w:lineRule="exact"/>
        <w:ind w:firstLine="435"/>
        <w:jc w:val="left"/>
        <w:rPr>
          <w:rFonts w:hint="eastAsia" w:ascii="宋体" w:eastAsia="宋体" w:cs="宋体"/>
          <w:sz w:val="22"/>
          <w:szCs w:val="22"/>
          <w:highlight w:val="none"/>
          <w:lang w:eastAsia="zh-CN"/>
        </w:rPr>
      </w:pPr>
      <w:r>
        <w:rPr>
          <w:rFonts w:ascii="宋体" w:cs="宋体"/>
          <w:sz w:val="22"/>
          <w:szCs w:val="22"/>
          <w:highlight w:val="none"/>
        </w:rPr>
        <w:t>    数量: </w:t>
      </w:r>
      <w:r>
        <w:rPr>
          <w:rFonts w:hint="eastAsia" w:ascii="宋体" w:cs="宋体"/>
          <w:sz w:val="22"/>
          <w:szCs w:val="22"/>
          <w:highlight w:val="none"/>
        </w:rPr>
        <w:t>1</w:t>
      </w:r>
      <w:r>
        <w:rPr>
          <w:rFonts w:ascii="宋体" w:cs="宋体"/>
          <w:sz w:val="22"/>
          <w:szCs w:val="22"/>
          <w:highlight w:val="none"/>
        </w:rPr>
        <w:t> </w:t>
      </w:r>
      <w:r>
        <w:rPr>
          <w:rFonts w:hint="eastAsia" w:ascii="宋体" w:cs="宋体"/>
          <w:sz w:val="22"/>
          <w:szCs w:val="22"/>
          <w:highlight w:val="none"/>
        </w:rPr>
        <w:t>批</w:t>
      </w:r>
    </w:p>
    <w:p w14:paraId="3E9FAF6A">
      <w:pPr>
        <w:widowControl/>
        <w:shd w:val="clear" w:color="auto" w:fill="FFFFFF"/>
        <w:spacing w:line="460" w:lineRule="exact"/>
        <w:ind w:firstLine="435"/>
        <w:jc w:val="left"/>
        <w:rPr>
          <w:rFonts w:hint="eastAsia" w:ascii="宋体" w:eastAsia="宋体" w:cs="宋体"/>
          <w:sz w:val="22"/>
          <w:szCs w:val="22"/>
          <w:highlight w:val="none"/>
          <w:lang w:eastAsia="zh-CN"/>
        </w:rPr>
      </w:pPr>
      <w:r>
        <w:rPr>
          <w:rFonts w:ascii="宋体" w:cs="宋体"/>
          <w:sz w:val="22"/>
          <w:szCs w:val="22"/>
          <w:highlight w:val="none"/>
        </w:rPr>
        <w:t>    预算金额（元）: </w:t>
      </w:r>
      <w:r>
        <w:rPr>
          <w:rFonts w:hint="eastAsia" w:ascii="宋体" w:cs="宋体"/>
          <w:sz w:val="22"/>
          <w:szCs w:val="22"/>
          <w:highlight w:val="none"/>
          <w:lang w:eastAsia="zh-CN"/>
        </w:rPr>
        <w:t>494400</w:t>
      </w:r>
    </w:p>
    <w:p w14:paraId="155AF173">
      <w:pPr>
        <w:widowControl/>
        <w:shd w:val="clear" w:color="auto" w:fill="FFFFFF"/>
        <w:spacing w:line="460" w:lineRule="exact"/>
        <w:ind w:firstLine="435"/>
        <w:jc w:val="left"/>
        <w:rPr>
          <w:rFonts w:hint="eastAsia" w:ascii="宋体" w:eastAsia="宋体" w:cs="宋体"/>
          <w:sz w:val="22"/>
          <w:szCs w:val="22"/>
          <w:highlight w:val="none"/>
          <w:lang w:eastAsia="zh-CN"/>
        </w:rPr>
      </w:pPr>
      <w:r>
        <w:rPr>
          <w:rFonts w:ascii="宋体" w:cs="宋体"/>
          <w:sz w:val="22"/>
          <w:szCs w:val="22"/>
          <w:highlight w:val="none"/>
        </w:rPr>
        <w:t>    简要规格描述或项目基本概况介绍、用途：</w:t>
      </w:r>
      <w:r>
        <w:rPr>
          <w:rFonts w:hint="eastAsia" w:ascii="宋体" w:cs="宋体"/>
          <w:sz w:val="22"/>
          <w:szCs w:val="22"/>
          <w:highlight w:val="none"/>
        </w:rPr>
        <w:t>见招标文件</w:t>
      </w:r>
    </w:p>
    <w:p w14:paraId="7E68BBAA">
      <w:pPr>
        <w:widowControl/>
        <w:shd w:val="clear" w:color="auto" w:fill="FFFFFF"/>
        <w:spacing w:line="460" w:lineRule="exact"/>
        <w:ind w:firstLine="435"/>
        <w:jc w:val="left"/>
        <w:rPr>
          <w:rFonts w:ascii="宋体" w:cs="宋体"/>
          <w:sz w:val="22"/>
          <w:szCs w:val="22"/>
          <w:highlight w:val="none"/>
        </w:rPr>
      </w:pPr>
      <w:r>
        <w:rPr>
          <w:rFonts w:ascii="宋体" w:cs="宋体"/>
          <w:sz w:val="22"/>
          <w:szCs w:val="22"/>
          <w:highlight w:val="none"/>
        </w:rPr>
        <w:t>    备注： </w:t>
      </w:r>
    </w:p>
    <w:p w14:paraId="67478D70">
      <w:pPr>
        <w:widowControl/>
        <w:shd w:val="clear" w:color="auto" w:fill="FFFFFF"/>
        <w:spacing w:line="460" w:lineRule="exact"/>
        <w:jc w:val="left"/>
        <w:rPr>
          <w:rFonts w:ascii="宋体" w:cs="宋体"/>
          <w:color w:val="000000"/>
          <w:sz w:val="22"/>
          <w:szCs w:val="22"/>
          <w:highlight w:val="none"/>
        </w:rPr>
      </w:pPr>
      <w:r>
        <w:rPr>
          <w:rFonts w:ascii="宋体" w:cs="宋体"/>
          <w:sz w:val="22"/>
          <w:szCs w:val="22"/>
          <w:highlight w:val="none"/>
        </w:rPr>
        <w:t> </w:t>
      </w:r>
      <w:r>
        <w:rPr>
          <w:rFonts w:ascii="宋体" w:cs="宋体"/>
          <w:color w:val="000000"/>
          <w:sz w:val="22"/>
          <w:szCs w:val="22"/>
          <w:highlight w:val="none"/>
        </w:rPr>
        <w:t>  合同履约期限：</w:t>
      </w:r>
      <w:r>
        <w:rPr>
          <w:rFonts w:hint="eastAsia" w:ascii="宋体" w:cs="宋体"/>
          <w:color w:val="000000"/>
          <w:sz w:val="22"/>
          <w:szCs w:val="22"/>
          <w:highlight w:val="none"/>
        </w:rPr>
        <w:t>见招标文件</w:t>
      </w:r>
      <w:r>
        <w:rPr>
          <w:rFonts w:ascii="宋体" w:cs="宋体"/>
          <w:color w:val="000000"/>
          <w:sz w:val="22"/>
          <w:szCs w:val="22"/>
          <w:highlight w:val="none"/>
        </w:rPr>
        <w:t>。</w:t>
      </w:r>
    </w:p>
    <w:p w14:paraId="77017E3E">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本项目（否）接受联合体投标。</w:t>
      </w:r>
    </w:p>
    <w:p w14:paraId="3C319E85">
      <w:pPr>
        <w:widowControl/>
        <w:shd w:val="clear" w:color="auto" w:fill="FFFFFF"/>
        <w:spacing w:line="460" w:lineRule="exact"/>
        <w:jc w:val="left"/>
        <w:rPr>
          <w:rFonts w:ascii="宋体" w:cs="宋体"/>
          <w:color w:val="000000"/>
          <w:sz w:val="22"/>
          <w:szCs w:val="22"/>
          <w:highlight w:val="none"/>
        </w:rPr>
      </w:pPr>
      <w:r>
        <w:rPr>
          <w:rFonts w:hint="eastAsia" w:ascii="宋体" w:cs="宋体"/>
          <w:bCs/>
          <w:color w:val="000000"/>
          <w:sz w:val="22"/>
          <w:szCs w:val="22"/>
          <w:highlight w:val="none"/>
        </w:rPr>
        <w:t>二、申请人的资格要求：</w:t>
      </w:r>
    </w:p>
    <w:p w14:paraId="5D98FD42">
      <w:pPr>
        <w:widowControl/>
        <w:spacing w:line="380" w:lineRule="exact"/>
        <w:ind w:firstLine="330" w:firstLineChars="150"/>
        <w:jc w:val="left"/>
        <w:rPr>
          <w:rFonts w:ascii="宋体"/>
          <w:color w:val="000000"/>
          <w:sz w:val="22"/>
          <w:highlight w:val="none"/>
        </w:rPr>
      </w:pPr>
      <w:r>
        <w:rPr>
          <w:rFonts w:ascii="宋体" w:cs="宋体"/>
          <w:color w:val="000000"/>
          <w:sz w:val="22"/>
          <w:szCs w:val="22"/>
          <w:highlight w:val="none"/>
        </w:rPr>
        <w:t xml:space="preserve"> 1.</w:t>
      </w:r>
      <w:r>
        <w:rPr>
          <w:rFonts w:hint="eastAsia" w:ascii="宋体" w:cs="宋体"/>
          <w:color w:val="000000"/>
          <w:sz w:val="22"/>
          <w:szCs w:val="22"/>
          <w:highlight w:val="none"/>
        </w:rPr>
        <w:t>满足《《温州市瓯海区区属国有企业采购管理办法》温瓯政办发〔2024〕44号“三、采购当事人中第四款”对投标供应商的基本资格条件；未被“信用中国”（www.creditchina.gov.cn)、中国政府采购网（www.ccgp.gov.cn）列入失信被执行人、重大税收违法案件当事人名单、采购严重违法失信行为记录名单。</w:t>
      </w:r>
    </w:p>
    <w:p w14:paraId="531152F1">
      <w:pPr>
        <w:widowControl/>
        <w:spacing w:line="380" w:lineRule="exact"/>
        <w:ind w:firstLine="330" w:firstLineChars="150"/>
        <w:jc w:val="left"/>
        <w:rPr>
          <w:rFonts w:ascii="宋体"/>
          <w:color w:val="000000"/>
          <w:sz w:val="22"/>
          <w:highlight w:val="none"/>
        </w:rPr>
      </w:pPr>
      <w:r>
        <w:rPr>
          <w:rFonts w:ascii="宋体" w:cs="宋体"/>
          <w:color w:val="000000"/>
          <w:sz w:val="22"/>
          <w:szCs w:val="22"/>
          <w:highlight w:val="none"/>
        </w:rPr>
        <w:t>2.落实政府采购政策需满足的资格要求：</w:t>
      </w:r>
      <w:r>
        <w:rPr>
          <w:rFonts w:hint="eastAsia" w:ascii="宋体"/>
          <w:sz w:val="22"/>
          <w:szCs w:val="22"/>
          <w:highlight w:val="none"/>
        </w:rPr>
        <w:t>无</w:t>
      </w:r>
    </w:p>
    <w:p w14:paraId="3AC47390">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3.本项目的特定资格要求：</w:t>
      </w:r>
      <w:r>
        <w:rPr>
          <w:rFonts w:hint="eastAsia" w:ascii="宋体"/>
          <w:color w:val="000000"/>
          <w:sz w:val="22"/>
          <w:highlight w:val="none"/>
        </w:rPr>
        <w:t>无；</w:t>
      </w:r>
      <w:r>
        <w:rPr>
          <w:rFonts w:ascii="宋体" w:cs="宋体"/>
          <w:color w:val="000000"/>
          <w:sz w:val="22"/>
          <w:szCs w:val="22"/>
          <w:highlight w:val="none"/>
        </w:rPr>
        <w:t> </w:t>
      </w:r>
    </w:p>
    <w:p w14:paraId="3C112400">
      <w:pPr>
        <w:widowControl/>
        <w:shd w:val="clear" w:color="auto" w:fill="FFFFFF"/>
        <w:spacing w:line="460" w:lineRule="exact"/>
        <w:rPr>
          <w:rFonts w:ascii="宋体" w:cs="宋体"/>
          <w:color w:val="000000"/>
          <w:sz w:val="22"/>
          <w:szCs w:val="22"/>
          <w:highlight w:val="none"/>
        </w:rPr>
      </w:pPr>
      <w:r>
        <w:rPr>
          <w:rFonts w:hint="eastAsia" w:ascii="宋体" w:cs="宋体"/>
          <w:bCs/>
          <w:color w:val="000000"/>
          <w:sz w:val="22"/>
          <w:szCs w:val="22"/>
          <w:highlight w:val="none"/>
        </w:rPr>
        <w:t>三、获取招标文件</w:t>
      </w:r>
      <w:r>
        <w:rPr>
          <w:rFonts w:hint="eastAsia" w:ascii="宋体" w:cs="宋体"/>
          <w:color w:val="000000"/>
          <w:sz w:val="22"/>
          <w:szCs w:val="22"/>
          <w:highlight w:val="none"/>
        </w:rPr>
        <w:t> </w:t>
      </w:r>
    </w:p>
    <w:p w14:paraId="19414F23">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时间：/至</w:t>
      </w:r>
      <w:r>
        <w:rPr>
          <w:rFonts w:hint="eastAsia" w:ascii="宋体" w:cs="宋体"/>
          <w:b/>
          <w:bCs/>
          <w:color w:val="000000"/>
          <w:sz w:val="22"/>
          <w:szCs w:val="22"/>
          <w:highlight w:val="none"/>
        </w:rPr>
        <w:t>202</w:t>
      </w:r>
      <w:r>
        <w:rPr>
          <w:rFonts w:hint="eastAsia" w:ascii="宋体" w:cs="宋体"/>
          <w:b/>
          <w:bCs/>
          <w:color w:val="000000"/>
          <w:sz w:val="22"/>
          <w:szCs w:val="22"/>
          <w:highlight w:val="none"/>
          <w:lang w:val="en-US" w:eastAsia="zh-CN"/>
        </w:rPr>
        <w:t>5</w:t>
      </w:r>
      <w:r>
        <w:rPr>
          <w:rFonts w:hint="eastAsia" w:ascii="宋体" w:cs="宋体"/>
          <w:b/>
          <w:bCs/>
          <w:color w:val="000000"/>
          <w:sz w:val="22"/>
          <w:szCs w:val="22"/>
          <w:highlight w:val="none"/>
        </w:rPr>
        <w:t>年</w:t>
      </w:r>
      <w:r>
        <w:rPr>
          <w:rFonts w:hint="eastAsia" w:ascii="宋体" w:cs="宋体"/>
          <w:b/>
          <w:bCs/>
          <w:color w:val="000000"/>
          <w:sz w:val="22"/>
          <w:szCs w:val="22"/>
          <w:highlight w:val="none"/>
          <w:lang w:val="en-US" w:eastAsia="zh-CN"/>
        </w:rPr>
        <w:t>07</w:t>
      </w:r>
      <w:r>
        <w:rPr>
          <w:rFonts w:hint="eastAsia" w:ascii="宋体" w:cs="宋体"/>
          <w:b/>
          <w:bCs/>
          <w:color w:val="000000"/>
          <w:sz w:val="22"/>
          <w:szCs w:val="22"/>
          <w:highlight w:val="none"/>
        </w:rPr>
        <w:t>月</w:t>
      </w:r>
      <w:r>
        <w:rPr>
          <w:rFonts w:hint="eastAsia" w:ascii="宋体" w:cs="宋体"/>
          <w:b/>
          <w:bCs/>
          <w:color w:val="000000"/>
          <w:sz w:val="22"/>
          <w:szCs w:val="22"/>
          <w:highlight w:val="none"/>
          <w:lang w:val="en-US" w:eastAsia="zh-CN"/>
        </w:rPr>
        <w:t>11</w:t>
      </w:r>
      <w:r>
        <w:rPr>
          <w:rFonts w:hint="eastAsia" w:ascii="宋体" w:cs="宋体"/>
          <w:b/>
          <w:bCs/>
          <w:color w:val="000000"/>
          <w:sz w:val="22"/>
          <w:szCs w:val="22"/>
          <w:highlight w:val="none"/>
        </w:rPr>
        <w:t>日</w:t>
      </w:r>
      <w:r>
        <w:rPr>
          <w:rFonts w:ascii="宋体" w:cs="宋体"/>
          <w:color w:val="000000"/>
          <w:sz w:val="22"/>
          <w:szCs w:val="22"/>
          <w:highlight w:val="none"/>
        </w:rPr>
        <w:t> ，每天上午00:00至12:00 ，下午12:00至23:59（北京时间，线上获取法定节假日均可，线下获取文件法定节假日除外）</w:t>
      </w:r>
    </w:p>
    <w:p w14:paraId="4FD241FA">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地点（网址）：</w:t>
      </w:r>
      <w:r>
        <w:rPr>
          <w:rFonts w:hint="eastAsia" w:ascii="宋体" w:cs="宋体"/>
          <w:color w:val="000000"/>
          <w:sz w:val="22"/>
          <w:szCs w:val="22"/>
          <w:highlight w:val="none"/>
          <w:lang w:eastAsia="zh-CN"/>
        </w:rPr>
        <w:t>乐采云平台</w:t>
      </w:r>
      <w:r>
        <w:rPr>
          <w:rFonts w:ascii="宋体" w:cs="宋体"/>
          <w:color w:val="000000"/>
          <w:sz w:val="22"/>
          <w:szCs w:val="22"/>
          <w:highlight w:val="none"/>
        </w:rPr>
        <w:t> </w:t>
      </w:r>
    </w:p>
    <w:p w14:paraId="14995946">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方式：</w:t>
      </w:r>
      <w:r>
        <w:rPr>
          <w:rFonts w:hint="eastAsia" w:ascii="宋体" w:cs="宋体"/>
          <w:color w:val="000000"/>
          <w:sz w:val="22"/>
          <w:szCs w:val="22"/>
          <w:highlight w:val="none"/>
        </w:rPr>
        <w:t>供应商登录政采云平台</w:t>
      </w:r>
      <w:r>
        <w:rPr>
          <w:rFonts w:ascii="宋体" w:cs="宋体"/>
          <w:color w:val="000000"/>
          <w:sz w:val="22"/>
          <w:szCs w:val="22"/>
          <w:highlight w:val="none"/>
        </w:rPr>
        <w:t>https://www.zcygov.cn/在线申请获取采购文件（进入“项目采购”应用，在获取采购文件菜单中选择项目，申请获取采购文件）</w:t>
      </w:r>
    </w:p>
    <w:p w14:paraId="48814027">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xml:space="preserve">    </w:t>
      </w:r>
      <w:r>
        <w:rPr>
          <w:rFonts w:hint="eastAsia" w:ascii="宋体" w:cs="宋体"/>
          <w:color w:val="000000"/>
          <w:sz w:val="22"/>
          <w:szCs w:val="22"/>
          <w:highlight w:val="none"/>
          <w:lang w:val="en-US" w:eastAsia="zh-CN"/>
        </w:rPr>
        <w:t>采购文件</w:t>
      </w:r>
      <w:r>
        <w:rPr>
          <w:rFonts w:ascii="宋体" w:cs="宋体"/>
          <w:color w:val="000000"/>
          <w:sz w:val="22"/>
          <w:szCs w:val="22"/>
          <w:highlight w:val="none"/>
        </w:rPr>
        <w:t>售价（元）：0 </w:t>
      </w:r>
    </w:p>
    <w:p w14:paraId="2888DD96">
      <w:pPr>
        <w:widowControl/>
        <w:shd w:val="clear" w:color="auto" w:fill="FFFFFF"/>
        <w:spacing w:line="460" w:lineRule="exact"/>
        <w:rPr>
          <w:rFonts w:ascii="宋体" w:cs="宋体"/>
          <w:color w:val="000000"/>
          <w:sz w:val="22"/>
          <w:szCs w:val="22"/>
          <w:highlight w:val="none"/>
        </w:rPr>
      </w:pPr>
      <w:r>
        <w:rPr>
          <w:rFonts w:hint="eastAsia" w:ascii="宋体" w:cs="宋体"/>
          <w:bCs/>
          <w:color w:val="000000"/>
          <w:sz w:val="22"/>
          <w:szCs w:val="22"/>
          <w:highlight w:val="none"/>
        </w:rPr>
        <w:t>四、提交投标文件截止时间、开标时间和地点</w:t>
      </w:r>
    </w:p>
    <w:p w14:paraId="340649E4">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w:t>
      </w:r>
      <w:r>
        <w:rPr>
          <w:rFonts w:ascii="宋体" w:cs="宋体"/>
          <w:b/>
          <w:bCs/>
          <w:color w:val="000000"/>
          <w:sz w:val="22"/>
          <w:szCs w:val="22"/>
          <w:highlight w:val="none"/>
        </w:rPr>
        <w:t>提交投标文件截止时间：</w:t>
      </w:r>
      <w:r>
        <w:rPr>
          <w:rFonts w:hint="eastAsia" w:ascii="宋体" w:cs="宋体"/>
          <w:b/>
          <w:bCs/>
          <w:color w:val="000000"/>
          <w:sz w:val="22"/>
          <w:szCs w:val="22"/>
          <w:highlight w:val="none"/>
        </w:rPr>
        <w:t>202</w:t>
      </w:r>
      <w:r>
        <w:rPr>
          <w:rFonts w:hint="eastAsia" w:ascii="宋体" w:cs="宋体"/>
          <w:b/>
          <w:bCs/>
          <w:color w:val="000000"/>
          <w:sz w:val="22"/>
          <w:szCs w:val="22"/>
          <w:highlight w:val="none"/>
          <w:lang w:val="en-US" w:eastAsia="zh-CN"/>
        </w:rPr>
        <w:t>5</w:t>
      </w:r>
      <w:r>
        <w:rPr>
          <w:rFonts w:hint="eastAsia" w:ascii="宋体" w:cs="宋体"/>
          <w:b/>
          <w:bCs/>
          <w:color w:val="000000"/>
          <w:sz w:val="22"/>
          <w:szCs w:val="22"/>
          <w:highlight w:val="none"/>
        </w:rPr>
        <w:t>年</w:t>
      </w:r>
      <w:r>
        <w:rPr>
          <w:rFonts w:hint="eastAsia" w:ascii="宋体" w:cs="宋体"/>
          <w:b/>
          <w:bCs/>
          <w:color w:val="000000"/>
          <w:sz w:val="22"/>
          <w:szCs w:val="22"/>
          <w:highlight w:val="none"/>
          <w:lang w:val="en-US" w:eastAsia="zh-CN"/>
        </w:rPr>
        <w:t>07</w:t>
      </w:r>
      <w:r>
        <w:rPr>
          <w:rFonts w:hint="eastAsia" w:ascii="宋体" w:cs="宋体"/>
          <w:b/>
          <w:bCs/>
          <w:color w:val="000000"/>
          <w:sz w:val="22"/>
          <w:szCs w:val="22"/>
          <w:highlight w:val="none"/>
        </w:rPr>
        <w:t>月</w:t>
      </w:r>
      <w:r>
        <w:rPr>
          <w:rFonts w:hint="eastAsia" w:ascii="宋体" w:cs="宋体"/>
          <w:b/>
          <w:bCs/>
          <w:color w:val="000000"/>
          <w:sz w:val="22"/>
          <w:szCs w:val="22"/>
          <w:highlight w:val="none"/>
          <w:lang w:val="en-US" w:eastAsia="zh-CN"/>
        </w:rPr>
        <w:t>11</w:t>
      </w:r>
      <w:r>
        <w:rPr>
          <w:rFonts w:hint="eastAsia" w:ascii="宋体" w:cs="宋体"/>
          <w:b/>
          <w:bCs/>
          <w:color w:val="000000"/>
          <w:sz w:val="22"/>
          <w:szCs w:val="22"/>
          <w:highlight w:val="none"/>
        </w:rPr>
        <w:t>日09</w:t>
      </w:r>
      <w:r>
        <w:rPr>
          <w:rFonts w:ascii="宋体" w:cs="宋体"/>
          <w:b/>
          <w:bCs/>
          <w:color w:val="000000"/>
          <w:sz w:val="22"/>
          <w:szCs w:val="22"/>
          <w:highlight w:val="none"/>
        </w:rPr>
        <w:t>:30（北京时间）</w:t>
      </w:r>
    </w:p>
    <w:p w14:paraId="10DFA1E3">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投标地点（网址）：</w:t>
      </w:r>
      <w:r>
        <w:rPr>
          <w:rFonts w:hint="eastAsia" w:ascii="宋体" w:cs="宋体"/>
          <w:color w:val="000000"/>
          <w:sz w:val="22"/>
          <w:szCs w:val="22"/>
          <w:highlight w:val="none"/>
        </w:rPr>
        <w:t>本项目采用在线投标方式，投标供应商无须前往投标现场，递交样品（U盘）代表需在投标截止时间前送到温州市瓯海区娄桥街道仁汇路建设大厦20楼西北首。</w:t>
      </w:r>
      <w:r>
        <w:rPr>
          <w:rFonts w:ascii="宋体" w:cs="宋体"/>
          <w:color w:val="000000"/>
          <w:sz w:val="22"/>
          <w:szCs w:val="22"/>
          <w:highlight w:val="none"/>
        </w:rPr>
        <w:t> </w:t>
      </w:r>
    </w:p>
    <w:p w14:paraId="18C7A8E5">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xml:space="preserve">    </w:t>
      </w:r>
      <w:r>
        <w:rPr>
          <w:rFonts w:ascii="宋体" w:cs="宋体"/>
          <w:b/>
          <w:bCs/>
          <w:color w:val="000000"/>
          <w:sz w:val="22"/>
          <w:szCs w:val="22"/>
          <w:highlight w:val="none"/>
        </w:rPr>
        <w:t>开标时间：</w:t>
      </w:r>
      <w:r>
        <w:rPr>
          <w:rFonts w:hint="eastAsia" w:ascii="宋体" w:cs="宋体"/>
          <w:b/>
          <w:bCs/>
          <w:color w:val="000000"/>
          <w:sz w:val="22"/>
          <w:szCs w:val="22"/>
          <w:highlight w:val="none"/>
        </w:rPr>
        <w:t>202</w:t>
      </w:r>
      <w:r>
        <w:rPr>
          <w:rFonts w:hint="eastAsia" w:ascii="宋体" w:cs="宋体"/>
          <w:b/>
          <w:bCs/>
          <w:color w:val="000000"/>
          <w:sz w:val="22"/>
          <w:szCs w:val="22"/>
          <w:highlight w:val="none"/>
          <w:lang w:val="en-US" w:eastAsia="zh-CN"/>
        </w:rPr>
        <w:t>5</w:t>
      </w:r>
      <w:r>
        <w:rPr>
          <w:rFonts w:hint="eastAsia" w:ascii="宋体" w:cs="宋体"/>
          <w:b/>
          <w:bCs/>
          <w:color w:val="000000"/>
          <w:sz w:val="22"/>
          <w:szCs w:val="22"/>
          <w:highlight w:val="none"/>
        </w:rPr>
        <w:t>年</w:t>
      </w:r>
      <w:r>
        <w:rPr>
          <w:rFonts w:hint="eastAsia" w:ascii="宋体" w:cs="宋体"/>
          <w:b/>
          <w:bCs/>
          <w:color w:val="000000"/>
          <w:sz w:val="22"/>
          <w:szCs w:val="22"/>
          <w:highlight w:val="none"/>
          <w:lang w:val="en-US" w:eastAsia="zh-CN"/>
        </w:rPr>
        <w:t>07</w:t>
      </w:r>
      <w:r>
        <w:rPr>
          <w:rFonts w:hint="eastAsia" w:ascii="宋体" w:cs="宋体"/>
          <w:b/>
          <w:bCs/>
          <w:color w:val="000000"/>
          <w:sz w:val="22"/>
          <w:szCs w:val="22"/>
          <w:highlight w:val="none"/>
        </w:rPr>
        <w:t>月</w:t>
      </w:r>
      <w:r>
        <w:rPr>
          <w:rFonts w:hint="eastAsia" w:ascii="宋体" w:cs="宋体"/>
          <w:b/>
          <w:bCs/>
          <w:color w:val="000000"/>
          <w:sz w:val="22"/>
          <w:szCs w:val="22"/>
          <w:highlight w:val="none"/>
          <w:lang w:val="en-US" w:eastAsia="zh-CN"/>
        </w:rPr>
        <w:t>11</w:t>
      </w:r>
      <w:r>
        <w:rPr>
          <w:rFonts w:hint="eastAsia" w:ascii="宋体" w:cs="宋体"/>
          <w:b/>
          <w:bCs/>
          <w:color w:val="000000"/>
          <w:sz w:val="22"/>
          <w:szCs w:val="22"/>
          <w:highlight w:val="none"/>
        </w:rPr>
        <w:t>日09</w:t>
      </w:r>
      <w:r>
        <w:rPr>
          <w:rFonts w:ascii="宋体" w:cs="宋体"/>
          <w:b/>
          <w:bCs/>
          <w:color w:val="000000"/>
          <w:sz w:val="22"/>
          <w:szCs w:val="22"/>
          <w:highlight w:val="none"/>
        </w:rPr>
        <w:t>:30 </w:t>
      </w:r>
    </w:p>
    <w:p w14:paraId="0A1BC889">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开标地点（网址）：</w:t>
      </w:r>
      <w:r>
        <w:rPr>
          <w:rFonts w:hint="eastAsia" w:ascii="宋体" w:cs="宋体"/>
          <w:color w:val="000000"/>
          <w:sz w:val="22"/>
          <w:szCs w:val="22"/>
          <w:highlight w:val="none"/>
        </w:rPr>
        <w:t>本项目采用在线投标方式，投标供应商无须前往投标现场。</w:t>
      </w:r>
      <w:r>
        <w:rPr>
          <w:rFonts w:ascii="宋体" w:cs="宋体"/>
          <w:color w:val="000000"/>
          <w:sz w:val="22"/>
          <w:szCs w:val="22"/>
          <w:highlight w:val="none"/>
        </w:rPr>
        <w:t> </w:t>
      </w:r>
    </w:p>
    <w:p w14:paraId="15644078">
      <w:pPr>
        <w:widowControl/>
        <w:shd w:val="clear" w:color="auto" w:fill="FFFFFF"/>
        <w:spacing w:line="460" w:lineRule="exact"/>
        <w:rPr>
          <w:rFonts w:ascii="宋体" w:cs="宋体"/>
          <w:color w:val="000000"/>
          <w:sz w:val="22"/>
          <w:szCs w:val="22"/>
          <w:highlight w:val="none"/>
        </w:rPr>
      </w:pPr>
      <w:r>
        <w:rPr>
          <w:rFonts w:hint="eastAsia" w:ascii="宋体" w:cs="宋体"/>
          <w:bCs/>
          <w:color w:val="000000"/>
          <w:sz w:val="22"/>
          <w:szCs w:val="22"/>
          <w:highlight w:val="none"/>
        </w:rPr>
        <w:t>五、公告期限</w:t>
      </w:r>
      <w:r>
        <w:rPr>
          <w:rFonts w:hint="eastAsia" w:ascii="宋体" w:cs="宋体"/>
          <w:color w:val="000000"/>
          <w:sz w:val="22"/>
          <w:szCs w:val="22"/>
          <w:highlight w:val="none"/>
        </w:rPr>
        <w:t> </w:t>
      </w:r>
    </w:p>
    <w:p w14:paraId="29E1B5E1">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自本公告发布之日起5个工作日。</w:t>
      </w:r>
    </w:p>
    <w:p w14:paraId="0B7D54DC">
      <w:pPr>
        <w:widowControl/>
        <w:shd w:val="clear" w:color="auto" w:fill="FFFFFF"/>
        <w:spacing w:line="460" w:lineRule="exact"/>
        <w:rPr>
          <w:rFonts w:ascii="宋体" w:cs="宋体"/>
          <w:color w:val="000000"/>
          <w:sz w:val="22"/>
          <w:szCs w:val="22"/>
          <w:highlight w:val="none"/>
        </w:rPr>
      </w:pPr>
      <w:r>
        <w:rPr>
          <w:rFonts w:hint="eastAsia" w:ascii="宋体" w:cs="宋体"/>
          <w:bCs/>
          <w:color w:val="000000"/>
          <w:sz w:val="22"/>
          <w:szCs w:val="22"/>
          <w:highlight w:val="none"/>
        </w:rPr>
        <w:t>六、其他补充事宜</w:t>
      </w:r>
    </w:p>
    <w:p w14:paraId="19656620">
      <w:pPr>
        <w:widowControl/>
        <w:shd w:val="clear" w:color="auto" w:fill="FFFFFF"/>
        <w:spacing w:line="460" w:lineRule="exact"/>
        <w:ind w:firstLine="440" w:firstLineChars="200"/>
        <w:jc w:val="left"/>
        <w:rPr>
          <w:rFonts w:ascii="宋体" w:cs="宋体"/>
          <w:color w:val="000000"/>
          <w:sz w:val="22"/>
          <w:szCs w:val="22"/>
          <w:highlight w:val="none"/>
        </w:rPr>
      </w:pPr>
      <w:r>
        <w:rPr>
          <w:rFonts w:ascii="宋体" w:cs="宋体"/>
          <w:color w:val="000000"/>
          <w:sz w:val="22"/>
          <w:szCs w:val="22"/>
          <w:highlight w:val="none"/>
        </w:rPr>
        <w:t>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3B9CA052">
      <w:pPr>
        <w:widowControl/>
        <w:shd w:val="clear" w:color="auto" w:fill="FFFFFF"/>
        <w:spacing w:line="460" w:lineRule="exact"/>
        <w:ind w:firstLine="440" w:firstLineChars="200"/>
        <w:jc w:val="left"/>
        <w:rPr>
          <w:rFonts w:ascii="宋体" w:cs="宋体"/>
          <w:color w:val="000000"/>
          <w:sz w:val="22"/>
          <w:szCs w:val="22"/>
          <w:highlight w:val="none"/>
        </w:rPr>
      </w:pPr>
      <w:r>
        <w:rPr>
          <w:rFonts w:hint="eastAsia" w:ascii="宋体" w:cs="宋体"/>
          <w:color w:val="000000"/>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58AC77F7">
      <w:pPr>
        <w:widowControl/>
        <w:shd w:val="clear" w:color="auto" w:fill="FFFFFF"/>
        <w:spacing w:line="460" w:lineRule="exact"/>
        <w:ind w:firstLine="440" w:firstLineChars="200"/>
        <w:jc w:val="left"/>
        <w:rPr>
          <w:rFonts w:ascii="宋体" w:cs="宋体"/>
          <w:color w:val="000000"/>
          <w:sz w:val="22"/>
          <w:szCs w:val="22"/>
          <w:highlight w:val="none"/>
        </w:rPr>
      </w:pPr>
      <w:r>
        <w:rPr>
          <w:rFonts w:hint="eastAsia" w:ascii="宋体" w:cs="宋体"/>
          <w:color w:val="000000"/>
          <w:sz w:val="22"/>
          <w:szCs w:val="22"/>
          <w:highlight w:val="none"/>
        </w:rPr>
        <w:t>3</w:t>
      </w:r>
      <w:r>
        <w:rPr>
          <w:rFonts w:ascii="宋体" w:cs="宋体"/>
          <w:color w:val="000000"/>
          <w:sz w:val="22"/>
          <w:szCs w:val="22"/>
          <w:highlight w:val="none"/>
        </w:rPr>
        <w:t>.其他事项：</w:t>
      </w:r>
      <w:r>
        <w:rPr>
          <w:rFonts w:hint="eastAsia" w:ascii="宋体" w:cs="宋体"/>
          <w:color w:val="000000"/>
          <w:sz w:val="22"/>
          <w:szCs w:val="22"/>
          <w:highlight w:val="none"/>
        </w:rPr>
        <w:t>3.</w:t>
      </w:r>
      <w:r>
        <w:rPr>
          <w:rFonts w:ascii="宋体" w:cs="宋体"/>
          <w:color w:val="000000"/>
          <w:sz w:val="22"/>
          <w:szCs w:val="22"/>
          <w:highlight w:val="none"/>
        </w:rPr>
        <w:t>1、本项目通过“</w:t>
      </w:r>
      <w:r>
        <w:rPr>
          <w:rFonts w:hint="eastAsia" w:ascii="宋体" w:cs="宋体"/>
          <w:color w:val="000000"/>
          <w:sz w:val="22"/>
          <w:szCs w:val="22"/>
          <w:highlight w:val="none"/>
          <w:lang w:eastAsia="zh-CN"/>
        </w:rPr>
        <w:t>乐采云平台（https://www.lecaiyun.com/</w:t>
      </w:r>
      <w:r>
        <w:rPr>
          <w:rFonts w:ascii="宋体" w:cs="宋体"/>
          <w:color w:val="000000"/>
          <w:sz w:val="22"/>
          <w:szCs w:val="22"/>
          <w:highlight w:val="none"/>
        </w:rPr>
        <w:t>”实行在线投标响应（电子投标），供应商应先安装“政采云电子交易客户端”，并按照本招标文件和“</w:t>
      </w:r>
      <w:r>
        <w:rPr>
          <w:rFonts w:hint="eastAsia" w:ascii="宋体" w:cs="宋体"/>
          <w:color w:val="000000"/>
          <w:sz w:val="22"/>
          <w:szCs w:val="22"/>
          <w:highlight w:val="none"/>
          <w:lang w:eastAsia="zh-CN"/>
        </w:rPr>
        <w:t>乐采云平台</w:t>
      </w:r>
      <w:r>
        <w:rPr>
          <w:rFonts w:ascii="宋体" w:cs="宋体"/>
          <w:color w:val="000000"/>
          <w:sz w:val="22"/>
          <w:szCs w:val="22"/>
          <w:highlight w:val="none"/>
        </w:rPr>
        <w:t>”的要求，通过“政采云电子交易客户端”编制并加密投标文件。供应商未按规定加密的投标文件，“</w:t>
      </w:r>
      <w:r>
        <w:rPr>
          <w:rFonts w:hint="eastAsia" w:ascii="宋体" w:cs="宋体"/>
          <w:color w:val="000000"/>
          <w:sz w:val="22"/>
          <w:szCs w:val="22"/>
          <w:highlight w:val="none"/>
          <w:lang w:eastAsia="zh-CN"/>
        </w:rPr>
        <w:t>乐采云平台</w:t>
      </w:r>
      <w:r>
        <w:rPr>
          <w:rFonts w:ascii="宋体" w:cs="宋体"/>
          <w:color w:val="000000"/>
          <w:sz w:val="22"/>
          <w:szCs w:val="22"/>
          <w:highlight w:val="none"/>
        </w:rPr>
        <w:t>”将予以拒收。 “政采云电子交易客户端”请自行前往“浙江政府采购网-下载专区-电子交易客户端”进行下载；电子投标具体操作流程详见本公告附件《供应商项目采购-电子招投标操作指南》；通过“</w:t>
      </w:r>
      <w:r>
        <w:rPr>
          <w:rFonts w:hint="eastAsia" w:ascii="宋体" w:cs="宋体"/>
          <w:color w:val="000000"/>
          <w:sz w:val="22"/>
          <w:szCs w:val="22"/>
          <w:highlight w:val="none"/>
          <w:lang w:eastAsia="zh-CN"/>
        </w:rPr>
        <w:t>乐采云平台</w:t>
      </w:r>
      <w:r>
        <w:rPr>
          <w:rFonts w:ascii="宋体" w:cs="宋体"/>
          <w:color w:val="000000"/>
          <w:sz w:val="22"/>
          <w:szCs w:val="22"/>
          <w:highlight w:val="none"/>
        </w:rPr>
        <w:t>”参与在线投标时如遇平台技术问题详询400-881-7190。 为确保网上操作合法、有效和安全，投标供应商应当在投标截止时间前完成在“</w:t>
      </w:r>
      <w:r>
        <w:rPr>
          <w:rFonts w:hint="eastAsia" w:ascii="宋体" w:cs="宋体"/>
          <w:color w:val="000000"/>
          <w:sz w:val="22"/>
          <w:szCs w:val="22"/>
          <w:highlight w:val="none"/>
          <w:lang w:eastAsia="zh-CN"/>
        </w:rPr>
        <w:t>乐采云平台</w:t>
      </w:r>
      <w:r>
        <w:rPr>
          <w:rFonts w:ascii="宋体" w:cs="宋体"/>
          <w:color w:val="000000"/>
          <w:sz w:val="22"/>
          <w:szCs w:val="22"/>
          <w:highlight w:val="none"/>
        </w:rPr>
        <w:t>”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r>
        <w:rPr>
          <w:rFonts w:hint="eastAsia" w:ascii="宋体" w:cs="宋体"/>
          <w:color w:val="000000"/>
          <w:sz w:val="22"/>
          <w:szCs w:val="22"/>
          <w:highlight w:val="none"/>
        </w:rPr>
        <w:t>3.2</w:t>
      </w:r>
      <w:r>
        <w:rPr>
          <w:rFonts w:ascii="宋体" w:cs="宋体"/>
          <w:color w:val="000000"/>
          <w:sz w:val="22"/>
          <w:szCs w:val="22"/>
          <w:highlight w:val="none"/>
        </w:rPr>
        <w:t xml:space="preserve"> 、投标供应商应当在投标截止时间前，将生成的“电子加密投标文件”上传递交至“</w:t>
      </w:r>
      <w:r>
        <w:rPr>
          <w:rFonts w:hint="eastAsia" w:ascii="宋体" w:cs="宋体"/>
          <w:color w:val="000000"/>
          <w:sz w:val="22"/>
          <w:szCs w:val="22"/>
          <w:highlight w:val="none"/>
          <w:lang w:eastAsia="zh-CN"/>
        </w:rPr>
        <w:t>乐采云平台</w:t>
      </w:r>
      <w:r>
        <w:rPr>
          <w:rFonts w:ascii="宋体" w:cs="宋体"/>
          <w:color w:val="000000"/>
          <w:sz w:val="22"/>
          <w:szCs w:val="22"/>
          <w:highlight w:val="none"/>
        </w:rPr>
        <w:t>”。投标截止时间以后上传递交的投标文件将被“</w:t>
      </w:r>
      <w:r>
        <w:rPr>
          <w:rFonts w:hint="eastAsia" w:ascii="宋体" w:cs="宋体"/>
          <w:color w:val="000000"/>
          <w:sz w:val="22"/>
          <w:szCs w:val="22"/>
          <w:highlight w:val="none"/>
          <w:lang w:eastAsia="zh-CN"/>
        </w:rPr>
        <w:t>乐采云平台</w:t>
      </w:r>
      <w:r>
        <w:rPr>
          <w:rFonts w:ascii="宋体" w:cs="宋体"/>
          <w:color w:val="000000"/>
          <w:sz w:val="22"/>
          <w:szCs w:val="22"/>
          <w:highlight w:val="none"/>
        </w:rPr>
        <w:t xml:space="preserve">”拒收。 </w:t>
      </w:r>
      <w:r>
        <w:rPr>
          <w:rFonts w:hint="eastAsia" w:ascii="宋体" w:cs="宋体"/>
          <w:color w:val="000000"/>
          <w:sz w:val="22"/>
          <w:szCs w:val="22"/>
          <w:highlight w:val="none"/>
        </w:rPr>
        <w:t>3.3</w:t>
      </w:r>
      <w:r>
        <w:rPr>
          <w:rFonts w:ascii="宋体" w:cs="宋体"/>
          <w:color w:val="000000"/>
          <w:sz w:val="22"/>
          <w:szCs w:val="22"/>
          <w:highlight w:val="none"/>
        </w:rPr>
        <w:t>、通过“</w:t>
      </w:r>
      <w:r>
        <w:rPr>
          <w:rFonts w:hint="eastAsia" w:ascii="宋体" w:cs="宋体"/>
          <w:color w:val="000000"/>
          <w:sz w:val="22"/>
          <w:szCs w:val="22"/>
          <w:highlight w:val="none"/>
          <w:lang w:eastAsia="zh-CN"/>
        </w:rPr>
        <w:t>乐采云平台</w:t>
      </w:r>
      <w:r>
        <w:rPr>
          <w:rFonts w:ascii="宋体" w:cs="宋体"/>
          <w:color w:val="000000"/>
          <w:sz w:val="22"/>
          <w:szCs w:val="22"/>
          <w:highlight w:val="none"/>
        </w:rPr>
        <w:t>”上传递交的“电子加密投标文件”无法按时解密，视为，投标无效。   </w:t>
      </w:r>
    </w:p>
    <w:p w14:paraId="7FBDDC9D">
      <w:pPr>
        <w:widowControl/>
        <w:shd w:val="clear" w:color="auto" w:fill="FFFFFF"/>
        <w:spacing w:line="460" w:lineRule="exact"/>
        <w:rPr>
          <w:rFonts w:ascii="宋体" w:cs="宋体"/>
          <w:color w:val="000000"/>
          <w:sz w:val="22"/>
          <w:szCs w:val="22"/>
          <w:highlight w:val="none"/>
        </w:rPr>
      </w:pPr>
      <w:r>
        <w:rPr>
          <w:rFonts w:hint="eastAsia" w:ascii="宋体" w:cs="宋体"/>
          <w:bCs/>
          <w:color w:val="000000"/>
          <w:sz w:val="22"/>
          <w:szCs w:val="22"/>
          <w:highlight w:val="none"/>
        </w:rPr>
        <w:t>七、对本次采购提出询问、质疑、投诉，请按以下方式联系</w:t>
      </w:r>
    </w:p>
    <w:p w14:paraId="00C77344">
      <w:pPr>
        <w:widowControl/>
        <w:snapToGrid w:val="0"/>
        <w:spacing w:line="320" w:lineRule="exact"/>
        <w:ind w:left="562" w:leftChars="202" w:hanging="138" w:hangingChars="63"/>
        <w:jc w:val="left"/>
        <w:rPr>
          <w:rFonts w:ascii="宋体" w:cs="宋体"/>
          <w:color w:val="000000"/>
          <w:sz w:val="22"/>
          <w:szCs w:val="22"/>
          <w:highlight w:val="none"/>
        </w:rPr>
      </w:pPr>
      <w:r>
        <w:rPr>
          <w:rFonts w:ascii="宋体" w:cs="宋体"/>
          <w:color w:val="000000"/>
          <w:sz w:val="22"/>
          <w:szCs w:val="22"/>
          <w:highlight w:val="none"/>
        </w:rPr>
        <w:t>1.采购人信息</w:t>
      </w:r>
    </w:p>
    <w:p w14:paraId="7907F3D5">
      <w:pPr>
        <w:widowControl/>
        <w:shd w:val="clear" w:color="auto" w:fill="FFFFFF"/>
        <w:spacing w:line="460" w:lineRule="exact"/>
        <w:jc w:val="left"/>
        <w:rPr>
          <w:rFonts w:hint="eastAsia" w:ascii="宋体" w:eastAsia="宋体" w:cs="宋体"/>
          <w:color w:val="000000"/>
          <w:sz w:val="22"/>
          <w:szCs w:val="22"/>
          <w:highlight w:val="none"/>
          <w:lang w:eastAsia="zh-CN"/>
        </w:rPr>
      </w:pPr>
      <w:r>
        <w:rPr>
          <w:rFonts w:ascii="宋体" w:cs="宋体"/>
          <w:color w:val="000000"/>
          <w:sz w:val="22"/>
          <w:szCs w:val="22"/>
          <w:highlight w:val="none"/>
        </w:rPr>
        <w:t>    名    称：</w:t>
      </w:r>
      <w:r>
        <w:rPr>
          <w:rFonts w:hint="eastAsia" w:ascii="宋体" w:hAnsi="宋体" w:cs="宋体"/>
          <w:kern w:val="0"/>
          <w:sz w:val="22"/>
          <w:szCs w:val="22"/>
          <w:highlight w:val="none"/>
          <w:lang w:eastAsia="zh-CN"/>
        </w:rPr>
        <w:t>温州市瓯海科创集团有限公司</w:t>
      </w:r>
    </w:p>
    <w:p w14:paraId="23D2CD74">
      <w:pPr>
        <w:widowControl/>
        <w:shd w:val="clear" w:color="auto" w:fill="FFFFFF"/>
        <w:spacing w:line="460" w:lineRule="exact"/>
        <w:jc w:val="left"/>
        <w:rPr>
          <w:rFonts w:hint="eastAsia" w:ascii="宋体" w:eastAsia="宋体" w:cs="宋体"/>
          <w:sz w:val="22"/>
          <w:szCs w:val="22"/>
          <w:highlight w:val="none"/>
          <w:lang w:eastAsia="zh-CN"/>
        </w:rPr>
      </w:pPr>
      <w:r>
        <w:rPr>
          <w:rFonts w:ascii="宋体" w:cs="宋体"/>
          <w:sz w:val="22"/>
          <w:szCs w:val="22"/>
          <w:highlight w:val="none"/>
        </w:rPr>
        <w:t>    </w:t>
      </w:r>
      <w:r>
        <w:rPr>
          <w:rFonts w:hint="eastAsia" w:ascii="宋体" w:cs="宋体"/>
          <w:sz w:val="22"/>
          <w:szCs w:val="22"/>
          <w:highlight w:val="none"/>
        </w:rPr>
        <w:t xml:space="preserve"> </w:t>
      </w:r>
      <w:r>
        <w:rPr>
          <w:rFonts w:ascii="宋体" w:cs="宋体"/>
          <w:sz w:val="22"/>
          <w:szCs w:val="22"/>
          <w:highlight w:val="none"/>
        </w:rPr>
        <w:t>项目联系人（询问）：</w:t>
      </w:r>
      <w:r>
        <w:rPr>
          <w:rFonts w:hint="eastAsia" w:ascii="宋体" w:hAnsi="宋体" w:cs="宋体"/>
          <w:kern w:val="0"/>
          <w:sz w:val="22"/>
          <w:szCs w:val="22"/>
          <w:highlight w:val="none"/>
          <w:lang w:eastAsia="zh-CN"/>
        </w:rPr>
        <w:t>周先生</w:t>
      </w:r>
    </w:p>
    <w:p w14:paraId="1C66653B">
      <w:pPr>
        <w:widowControl/>
        <w:shd w:val="clear" w:color="auto" w:fill="FFFFFF"/>
        <w:spacing w:line="460" w:lineRule="exact"/>
        <w:jc w:val="left"/>
        <w:rPr>
          <w:rFonts w:hint="eastAsia" w:ascii="宋体" w:eastAsia="宋体" w:cs="宋体"/>
          <w:sz w:val="22"/>
          <w:szCs w:val="22"/>
          <w:highlight w:val="none"/>
          <w:lang w:val="en-US" w:eastAsia="zh-CN"/>
        </w:rPr>
      </w:pPr>
      <w:r>
        <w:rPr>
          <w:rFonts w:ascii="宋体" w:cs="宋体"/>
          <w:sz w:val="22"/>
          <w:szCs w:val="22"/>
          <w:highlight w:val="none"/>
        </w:rPr>
        <w:t>    项目联系方式（询问）：</w:t>
      </w:r>
      <w:r>
        <w:rPr>
          <w:rFonts w:hint="eastAsia" w:ascii="宋体" w:cs="宋体"/>
          <w:sz w:val="22"/>
          <w:szCs w:val="22"/>
          <w:highlight w:val="none"/>
          <w:lang w:eastAsia="zh-CN"/>
        </w:rPr>
        <w:t>0577-85690187</w:t>
      </w:r>
    </w:p>
    <w:p w14:paraId="31963F4A">
      <w:pPr>
        <w:widowControl/>
        <w:shd w:val="clear" w:color="auto" w:fill="FFFFFF"/>
        <w:spacing w:line="460" w:lineRule="exact"/>
        <w:ind w:firstLine="660"/>
        <w:jc w:val="left"/>
        <w:rPr>
          <w:rFonts w:hint="eastAsia" w:ascii="宋体" w:eastAsia="宋体" w:cs="宋体"/>
          <w:sz w:val="22"/>
          <w:szCs w:val="22"/>
          <w:highlight w:val="none"/>
          <w:lang w:eastAsia="zh-CN"/>
        </w:rPr>
      </w:pPr>
      <w:r>
        <w:rPr>
          <w:rFonts w:ascii="宋体" w:cs="宋体"/>
          <w:sz w:val="22"/>
          <w:szCs w:val="22"/>
          <w:highlight w:val="none"/>
        </w:rPr>
        <w:t>质疑联系人：</w:t>
      </w:r>
      <w:r>
        <w:rPr>
          <w:rFonts w:hint="eastAsia" w:ascii="宋体" w:hAnsi="宋体" w:cs="宋体"/>
          <w:kern w:val="0"/>
          <w:sz w:val="22"/>
          <w:szCs w:val="22"/>
          <w:highlight w:val="none"/>
          <w:lang w:eastAsia="zh-CN"/>
        </w:rPr>
        <w:t>周先生</w:t>
      </w:r>
    </w:p>
    <w:p w14:paraId="5B0CC3C7">
      <w:pPr>
        <w:widowControl/>
        <w:shd w:val="clear" w:color="auto" w:fill="FFFFFF"/>
        <w:spacing w:line="460" w:lineRule="exact"/>
        <w:ind w:firstLine="660"/>
        <w:jc w:val="left"/>
        <w:rPr>
          <w:rFonts w:hint="eastAsia" w:ascii="宋体" w:eastAsia="宋体" w:cs="宋体"/>
          <w:sz w:val="22"/>
          <w:szCs w:val="22"/>
          <w:highlight w:val="none"/>
          <w:lang w:val="en-US" w:eastAsia="zh-CN"/>
        </w:rPr>
      </w:pPr>
      <w:r>
        <w:rPr>
          <w:rFonts w:ascii="宋体" w:cs="宋体"/>
          <w:sz w:val="22"/>
          <w:szCs w:val="22"/>
          <w:highlight w:val="none"/>
        </w:rPr>
        <w:t>质疑联系方式：</w:t>
      </w:r>
      <w:r>
        <w:rPr>
          <w:rFonts w:hint="eastAsia" w:ascii="宋体" w:cs="宋体"/>
          <w:sz w:val="22"/>
          <w:szCs w:val="22"/>
          <w:highlight w:val="none"/>
          <w:lang w:eastAsia="zh-CN"/>
        </w:rPr>
        <w:t>0577-85690187</w:t>
      </w:r>
    </w:p>
    <w:p w14:paraId="43EF2BD3">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2.采购代理机构信息            </w:t>
      </w:r>
    </w:p>
    <w:p w14:paraId="03449659">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名    称：</w:t>
      </w:r>
      <w:r>
        <w:rPr>
          <w:rFonts w:hint="eastAsia" w:ascii="宋体" w:cs="宋体"/>
          <w:color w:val="000000"/>
          <w:sz w:val="22"/>
          <w:szCs w:val="22"/>
          <w:highlight w:val="none"/>
        </w:rPr>
        <w:t>浙江立创项目管理有限公司</w:t>
      </w:r>
      <w:r>
        <w:rPr>
          <w:rFonts w:ascii="宋体" w:cs="宋体"/>
          <w:color w:val="000000"/>
          <w:sz w:val="22"/>
          <w:szCs w:val="22"/>
          <w:highlight w:val="none"/>
        </w:rPr>
        <w:t>             </w:t>
      </w:r>
    </w:p>
    <w:p w14:paraId="1D111F72">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地    址：</w:t>
      </w:r>
      <w:r>
        <w:rPr>
          <w:rFonts w:hint="eastAsia" w:ascii="宋体" w:cs="宋体"/>
          <w:color w:val="000000"/>
          <w:sz w:val="22"/>
          <w:szCs w:val="22"/>
          <w:highlight w:val="none"/>
        </w:rPr>
        <w:t>温州市瓯海区娄桥街道仁汇路建设大厦20楼西北首</w:t>
      </w:r>
      <w:r>
        <w:rPr>
          <w:rFonts w:ascii="宋体" w:cs="宋体"/>
          <w:color w:val="000000"/>
          <w:sz w:val="22"/>
          <w:szCs w:val="22"/>
          <w:highlight w:val="none"/>
        </w:rPr>
        <w:t>             </w:t>
      </w:r>
    </w:p>
    <w:p w14:paraId="6E465ED5">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传    真：/             </w:t>
      </w:r>
    </w:p>
    <w:p w14:paraId="0F99101D">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项目联系人（询问）：</w:t>
      </w:r>
      <w:r>
        <w:rPr>
          <w:rFonts w:hint="eastAsia" w:ascii="宋体" w:cs="宋体"/>
          <w:color w:val="000000"/>
          <w:sz w:val="22"/>
          <w:szCs w:val="22"/>
          <w:highlight w:val="none"/>
        </w:rPr>
        <w:t>麻先生</w:t>
      </w:r>
      <w:r>
        <w:rPr>
          <w:rFonts w:ascii="宋体" w:cs="宋体"/>
          <w:color w:val="000000"/>
          <w:sz w:val="22"/>
          <w:szCs w:val="22"/>
          <w:highlight w:val="none"/>
        </w:rPr>
        <w:t>              </w:t>
      </w:r>
    </w:p>
    <w:p w14:paraId="21CBC14A">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项目联系方式（询问）：</w:t>
      </w:r>
      <w:r>
        <w:rPr>
          <w:rFonts w:hint="eastAsia" w:ascii="宋体" w:cs="宋体"/>
          <w:color w:val="000000"/>
          <w:sz w:val="22"/>
          <w:szCs w:val="22"/>
          <w:highlight w:val="none"/>
        </w:rPr>
        <w:t>0577-88410388、18058839300</w:t>
      </w:r>
    </w:p>
    <w:p w14:paraId="353B9C3C">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质疑联系人：</w:t>
      </w:r>
      <w:r>
        <w:rPr>
          <w:rFonts w:hint="eastAsia" w:ascii="宋体" w:cs="宋体"/>
          <w:color w:val="000000"/>
          <w:sz w:val="22"/>
          <w:szCs w:val="22"/>
          <w:highlight w:val="none"/>
        </w:rPr>
        <w:t>陈先生</w:t>
      </w:r>
      <w:r>
        <w:rPr>
          <w:rFonts w:ascii="宋体" w:cs="宋体"/>
          <w:color w:val="000000"/>
          <w:sz w:val="22"/>
          <w:szCs w:val="22"/>
          <w:highlight w:val="none"/>
        </w:rPr>
        <w:t>             </w:t>
      </w:r>
    </w:p>
    <w:p w14:paraId="25AB20CC">
      <w:pPr>
        <w:widowControl/>
        <w:shd w:val="clear" w:color="auto" w:fill="FFFFFF"/>
        <w:spacing w:line="460" w:lineRule="exact"/>
        <w:jc w:val="left"/>
        <w:rPr>
          <w:rFonts w:ascii="宋体" w:cs="宋体"/>
          <w:color w:val="000000"/>
          <w:sz w:val="22"/>
          <w:szCs w:val="22"/>
          <w:highlight w:val="none"/>
        </w:rPr>
      </w:pPr>
      <w:r>
        <w:rPr>
          <w:rFonts w:ascii="宋体" w:cs="宋体"/>
          <w:color w:val="000000"/>
          <w:sz w:val="22"/>
          <w:szCs w:val="22"/>
          <w:highlight w:val="none"/>
        </w:rPr>
        <w:t>    质疑联系方式：</w:t>
      </w:r>
      <w:r>
        <w:rPr>
          <w:rFonts w:hint="eastAsia" w:ascii="宋体" w:cs="宋体"/>
          <w:sz w:val="22"/>
          <w:szCs w:val="22"/>
          <w:highlight w:val="none"/>
        </w:rPr>
        <w:t>15968793001</w:t>
      </w:r>
      <w:r>
        <w:rPr>
          <w:rFonts w:ascii="宋体" w:cs="宋体"/>
          <w:color w:val="000000"/>
          <w:sz w:val="22"/>
          <w:szCs w:val="22"/>
          <w:highlight w:val="none"/>
        </w:rPr>
        <w:t>　　　　　　     </w:t>
      </w:r>
    </w:p>
    <w:p w14:paraId="3F9B2F83">
      <w:pPr>
        <w:widowControl/>
        <w:shd w:val="clear" w:color="auto" w:fill="FFFFFF"/>
        <w:spacing w:line="460" w:lineRule="exact"/>
        <w:ind w:firstLine="330" w:firstLineChars="150"/>
        <w:jc w:val="left"/>
        <w:rPr>
          <w:rFonts w:hint="eastAsia" w:ascii="宋体" w:cs="宋体"/>
          <w:color w:val="000000"/>
          <w:sz w:val="22"/>
          <w:szCs w:val="22"/>
          <w:highlight w:val="none"/>
        </w:rPr>
      </w:pPr>
      <w:r>
        <w:rPr>
          <w:rFonts w:ascii="宋体" w:cs="宋体"/>
          <w:color w:val="000000"/>
          <w:sz w:val="22"/>
          <w:szCs w:val="22"/>
          <w:highlight w:val="none"/>
        </w:rPr>
        <w:t>3.</w:t>
      </w:r>
      <w:r>
        <w:rPr>
          <w:rFonts w:hint="eastAsia" w:ascii="宋体" w:cs="宋体"/>
          <w:color w:val="000000"/>
          <w:sz w:val="22"/>
          <w:szCs w:val="22"/>
          <w:highlight w:val="none"/>
        </w:rPr>
        <w:t>采购监督管理部门</w:t>
      </w:r>
    </w:p>
    <w:p w14:paraId="43222CBA">
      <w:pPr>
        <w:widowControl/>
        <w:shd w:val="clear" w:color="auto" w:fill="FFFFFF"/>
        <w:spacing w:line="460" w:lineRule="exact"/>
        <w:ind w:firstLine="330" w:firstLineChars="150"/>
        <w:jc w:val="left"/>
        <w:rPr>
          <w:rFonts w:hint="eastAsia" w:ascii="宋体" w:cs="宋体"/>
          <w:color w:val="000000"/>
          <w:sz w:val="22"/>
          <w:szCs w:val="22"/>
          <w:highlight w:val="none"/>
        </w:rPr>
      </w:pPr>
      <w:r>
        <w:rPr>
          <w:rFonts w:hint="eastAsia" w:ascii="宋体" w:cs="宋体"/>
          <w:color w:val="000000"/>
          <w:sz w:val="22"/>
          <w:szCs w:val="22"/>
          <w:highlight w:val="none"/>
        </w:rPr>
        <w:t>名   称：温州瓯海科技产业发展集团有限公司-纪检审计室</w:t>
      </w:r>
    </w:p>
    <w:p w14:paraId="12D96C5C">
      <w:pPr>
        <w:widowControl/>
        <w:shd w:val="clear" w:color="auto" w:fill="FFFFFF"/>
        <w:spacing w:line="460" w:lineRule="exact"/>
        <w:ind w:firstLine="330" w:firstLineChars="150"/>
        <w:jc w:val="left"/>
        <w:rPr>
          <w:rFonts w:ascii="宋体" w:cs="宋体"/>
          <w:bCs/>
          <w:color w:val="000000"/>
          <w:sz w:val="22"/>
          <w:szCs w:val="22"/>
          <w:highlight w:val="none"/>
        </w:rPr>
      </w:pPr>
      <w:r>
        <w:rPr>
          <w:rFonts w:hint="eastAsia" w:ascii="宋体" w:cs="宋体"/>
          <w:color w:val="000000"/>
          <w:sz w:val="22"/>
          <w:szCs w:val="22"/>
          <w:highlight w:val="none"/>
        </w:rPr>
        <w:t xml:space="preserve">   监督投诉电话：0577-85699259</w:t>
      </w:r>
    </w:p>
    <w:p w14:paraId="184CF570">
      <w:pPr>
        <w:widowControl/>
        <w:spacing w:line="360" w:lineRule="auto"/>
        <w:ind w:firstLine="440" w:firstLineChars="200"/>
        <w:jc w:val="right"/>
        <w:rPr>
          <w:rFonts w:hint="eastAsia" w:ascii="宋体" w:hAnsi="宋体"/>
          <w:kern w:val="0"/>
          <w:sz w:val="22"/>
          <w:szCs w:val="22"/>
          <w:highlight w:val="none"/>
        </w:rPr>
      </w:pPr>
    </w:p>
    <w:p w14:paraId="2DA5F2D1">
      <w:pPr>
        <w:rPr>
          <w:rFonts w:hint="eastAsia" w:ascii="宋体" w:hAnsi="宋体" w:eastAsia="宋体"/>
          <w:sz w:val="22"/>
          <w:szCs w:val="22"/>
          <w:highlight w:val="none"/>
        </w:rPr>
      </w:pPr>
      <w:r>
        <w:rPr>
          <w:rFonts w:hint="eastAsia" w:ascii="宋体" w:hAnsi="宋体" w:eastAsia="宋体"/>
          <w:sz w:val="22"/>
          <w:szCs w:val="22"/>
          <w:highlight w:val="none"/>
        </w:rPr>
        <w:br w:type="page"/>
      </w:r>
    </w:p>
    <w:p w14:paraId="19FBAC06">
      <w:pPr>
        <w:pStyle w:val="3"/>
        <w:pageBreakBefore w:val="0"/>
        <w:kinsoku/>
        <w:wordWrap/>
        <w:overflowPunct/>
        <w:topLinePunct w:val="0"/>
        <w:bidi w:val="0"/>
        <w:spacing w:beforeAutospacing="0" w:after="0" w:afterLines="0" w:afterAutospacing="0" w:line="420" w:lineRule="exact"/>
        <w:ind w:firstLine="42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32"/>
          <w:szCs w:val="24"/>
          <w:highlight w:val="none"/>
          <w:lang w:val="en-US" w:eastAsia="zh-CN" w:bidi="ar-SA"/>
        </w:rPr>
        <w:t>温州市瓯海科创集团有限公司关于温州百佳东方妇产医院电梯采购采购文件征求意见公示</w:t>
      </w:r>
    </w:p>
    <w:p w14:paraId="211747BE">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p>
    <w:p w14:paraId="4763B50C">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浙江立创项目管理有限公司</w:t>
      </w:r>
      <w:r>
        <w:rPr>
          <w:rFonts w:hint="eastAsia" w:ascii="宋体" w:hAnsi="宋体" w:eastAsia="宋体" w:cs="宋体"/>
          <w:color w:val="auto"/>
          <w:sz w:val="24"/>
          <w:szCs w:val="24"/>
          <w:highlight w:val="none"/>
        </w:rPr>
        <w:t>受</w:t>
      </w:r>
      <w:r>
        <w:rPr>
          <w:rFonts w:hint="eastAsia" w:ascii="宋体" w:hAnsi="宋体" w:eastAsia="宋体" w:cs="宋体"/>
          <w:color w:val="auto"/>
          <w:sz w:val="24"/>
          <w:szCs w:val="24"/>
          <w:highlight w:val="none"/>
          <w:lang w:eastAsia="zh-CN"/>
        </w:rPr>
        <w:t>温州市瓯海科创集团有限公司</w:t>
      </w:r>
      <w:r>
        <w:rPr>
          <w:rFonts w:hint="eastAsia" w:ascii="宋体" w:hAnsi="宋体" w:eastAsia="宋体" w:cs="宋体"/>
          <w:color w:val="auto"/>
          <w:sz w:val="24"/>
          <w:szCs w:val="24"/>
          <w:highlight w:val="none"/>
        </w:rPr>
        <w:t>委托，就</w:t>
      </w:r>
      <w:r>
        <w:rPr>
          <w:rFonts w:hint="eastAsia" w:ascii="宋体" w:hAnsi="宋体" w:eastAsia="宋体" w:cs="宋体"/>
          <w:color w:val="auto"/>
          <w:sz w:val="24"/>
          <w:szCs w:val="24"/>
          <w:highlight w:val="none"/>
          <w:lang w:eastAsia="zh-CN"/>
        </w:rPr>
        <w:t>温州百佳东方妇产医院电梯采购</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方式进行国企采购。现将采购文件公布如下,并公开征求投标供应商及专家意见。</w:t>
      </w:r>
    </w:p>
    <w:p w14:paraId="0AB5577F">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一、征求意见范围：</w:t>
      </w:r>
    </w:p>
    <w:p w14:paraId="198CECF3">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1、是否出现明显的倾向性意见和特定的性能指标；</w:t>
      </w:r>
    </w:p>
    <w:p w14:paraId="6C5E5B69">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2、影响国有企业采购“公开、公平、公正”原则的其他情况。</w:t>
      </w:r>
    </w:p>
    <w:p w14:paraId="104128CA">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二、征求意见的回复：</w:t>
      </w:r>
    </w:p>
    <w:p w14:paraId="5BC431F0">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各投标供应商及专家提出修改理由和建议的，请于</w:t>
      </w:r>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09</w:t>
      </w:r>
      <w:r>
        <w:rPr>
          <w:rFonts w:hint="eastAsia" w:ascii="宋体" w:hAnsi="宋体" w:eastAsia="宋体" w:cs="宋体"/>
          <w:b w:val="0"/>
          <w:bCs w:val="0"/>
          <w:color w:val="auto"/>
          <w:sz w:val="24"/>
          <w:szCs w:val="24"/>
          <w:highlight w:val="none"/>
        </w:rPr>
        <w:t>日</w:t>
      </w:r>
      <w:r>
        <w:rPr>
          <w:rFonts w:hint="eastAsia" w:ascii="宋体" w:hAnsi="宋体" w:eastAsia="宋体" w:cs="宋体"/>
          <w:color w:val="auto"/>
          <w:sz w:val="24"/>
          <w:szCs w:val="24"/>
          <w:highlight w:val="none"/>
        </w:rPr>
        <w:t>下午17:30前（节假日除外）将书面材料签字（盖章）并密封后送至</w:t>
      </w:r>
      <w:r>
        <w:rPr>
          <w:rFonts w:hint="eastAsia" w:ascii="宋体" w:hAnsi="宋体" w:eastAsia="宋体" w:cs="宋体"/>
          <w:bCs/>
          <w:color w:val="auto"/>
          <w:sz w:val="24"/>
          <w:szCs w:val="24"/>
          <w:highlight w:val="none"/>
          <w:lang w:val="en-US" w:eastAsia="zh-CN"/>
        </w:rPr>
        <w:t>温州市瓯海区娄桥街道仁汇路建设大厦20楼西北首</w:t>
      </w:r>
      <w:r>
        <w:rPr>
          <w:rFonts w:hint="eastAsia" w:ascii="宋体" w:hAnsi="宋体" w:eastAsia="宋体" w:cs="宋体"/>
          <w:color w:val="auto"/>
          <w:sz w:val="24"/>
          <w:szCs w:val="24"/>
          <w:highlight w:val="none"/>
        </w:rPr>
        <w:t>，外地可将文档的盖章扫描件发送至以下信箱：</w:t>
      </w:r>
      <w:r>
        <w:rPr>
          <w:rFonts w:hint="eastAsia" w:ascii="宋体" w:hAnsi="宋体" w:eastAsia="宋体" w:cs="宋体"/>
          <w:color w:val="auto"/>
          <w:sz w:val="24"/>
          <w:szCs w:val="24"/>
          <w:highlight w:val="none"/>
          <w:lang w:val="en-US" w:eastAsia="zh-CN"/>
        </w:rPr>
        <w:t>5499379</w:t>
      </w:r>
      <w:r>
        <w:rPr>
          <w:rFonts w:hint="eastAsia" w:ascii="宋体" w:hAnsi="宋体" w:eastAsia="宋体" w:cs="宋体"/>
          <w:color w:val="auto"/>
          <w:sz w:val="24"/>
          <w:szCs w:val="24"/>
          <w:highlight w:val="none"/>
        </w:rPr>
        <w:t>@qq.com或邮寄至我公司。</w:t>
      </w:r>
    </w:p>
    <w:p w14:paraId="6AF96ADC">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麻先生</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18058839300</w:t>
      </w:r>
      <w:r>
        <w:rPr>
          <w:rFonts w:hint="eastAsia" w:ascii="宋体" w:hAnsi="宋体" w:eastAsia="宋体" w:cs="宋体"/>
          <w:color w:val="auto"/>
          <w:sz w:val="24"/>
          <w:szCs w:val="24"/>
          <w:highlight w:val="none"/>
        </w:rPr>
        <w:t>。对逾期送达的意见、建议书恕不接受。</w:t>
      </w:r>
    </w:p>
    <w:p w14:paraId="4CD1A2A7">
      <w:pPr>
        <w:pStyle w:val="3"/>
        <w:pageBreakBefore w:val="0"/>
        <w:kinsoku/>
        <w:wordWrap/>
        <w:overflowPunct/>
        <w:topLinePunct w:val="0"/>
        <w:bidi w:val="0"/>
        <w:spacing w:beforeAutospacing="0" w:after="0" w:afterLines="0" w:afterAutospacing="0" w:line="420" w:lineRule="exact"/>
        <w:ind w:firstLine="420"/>
        <w:textAlignment w:val="auto"/>
        <w:rPr>
          <w:rFonts w:hint="eastAsia" w:ascii="宋体" w:hAnsi="宋体" w:eastAsia="宋体" w:cs="宋体"/>
          <w:color w:val="auto"/>
          <w:sz w:val="24"/>
          <w:szCs w:val="24"/>
          <w:highlight w:val="none"/>
        </w:rPr>
      </w:pPr>
    </w:p>
    <w:p w14:paraId="1308A1F4">
      <w:pPr>
        <w:pStyle w:val="3"/>
        <w:pageBreakBefore w:val="0"/>
        <w:kinsoku/>
        <w:wordWrap/>
        <w:overflowPunct/>
        <w:topLinePunct w:val="0"/>
        <w:bidi w:val="0"/>
        <w:spacing w:beforeAutospacing="0" w:after="0" w:afterLines="0" w:afterAutospacing="0" w:line="420" w:lineRule="exact"/>
        <w:ind w:firstLine="42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温州市瓯海科创集团有限公司</w:t>
      </w:r>
    </w:p>
    <w:p w14:paraId="458335FF">
      <w:pPr>
        <w:pStyle w:val="3"/>
        <w:pageBreakBefore w:val="0"/>
        <w:kinsoku/>
        <w:wordWrap/>
        <w:overflowPunct/>
        <w:topLinePunct w:val="0"/>
        <w:bidi w:val="0"/>
        <w:spacing w:beforeAutospacing="0" w:after="0" w:afterLines="0" w:afterAutospacing="0" w:line="420" w:lineRule="exact"/>
        <w:ind w:firstLine="420"/>
        <w:jc w:val="righ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浙江立创项目管理有限公司</w:t>
      </w:r>
    </w:p>
    <w:p w14:paraId="0CD4ADE0">
      <w:pPr>
        <w:pStyle w:val="3"/>
        <w:pageBreakBefore w:val="0"/>
        <w:kinsoku/>
        <w:wordWrap/>
        <w:overflowPunct/>
        <w:topLinePunct w:val="0"/>
        <w:bidi w:val="0"/>
        <w:spacing w:beforeAutospacing="0" w:after="0" w:afterLines="0" w:afterAutospacing="0" w:line="420" w:lineRule="exact"/>
        <w:ind w:firstLine="420"/>
        <w:jc w:val="right"/>
        <w:textAlignment w:val="auto"/>
        <w:rPr>
          <w:rFonts w:hint="eastAsia" w:ascii="宋体" w:hAnsi="宋体" w:eastAsia="宋体" w:cs="宋体"/>
          <w:color w:val="auto"/>
          <w:sz w:val="24"/>
          <w:szCs w:val="24"/>
          <w:highlight w:val="none"/>
        </w:rPr>
        <w:sectPr>
          <w:headerReference r:id="rId5" w:type="default"/>
          <w:footerReference r:id="rId6"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271" w:name="_GoBack"/>
      <w:bookmarkEnd w:id="271"/>
      <w:r>
        <w:rPr>
          <w:rFonts w:hint="eastAsia" w:ascii="宋体" w:hAnsi="宋体" w:eastAsia="宋体" w:cs="宋体"/>
          <w:b w:val="0"/>
          <w:bCs w:val="0"/>
          <w:color w:val="auto"/>
          <w:sz w:val="24"/>
          <w:szCs w:val="24"/>
          <w:highlight w:val="none"/>
        </w:rPr>
        <w:t>202</w:t>
      </w: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年</w:t>
      </w:r>
      <w:r>
        <w:rPr>
          <w:rFonts w:hint="eastAsia" w:ascii="宋体" w:hAnsi="宋体" w:eastAsia="宋体" w:cs="宋体"/>
          <w:b w:val="0"/>
          <w:bCs w:val="0"/>
          <w:color w:val="auto"/>
          <w:sz w:val="24"/>
          <w:szCs w:val="24"/>
          <w:highlight w:val="none"/>
          <w:lang w:val="en-US" w:eastAsia="zh-CN"/>
        </w:rPr>
        <w:t>07</w:t>
      </w:r>
      <w:r>
        <w:rPr>
          <w:rFonts w:hint="eastAsia" w:ascii="宋体" w:hAnsi="宋体" w:eastAsia="宋体" w:cs="宋体"/>
          <w:b w:val="0"/>
          <w:bCs w:val="0"/>
          <w:color w:val="auto"/>
          <w:sz w:val="24"/>
          <w:szCs w:val="24"/>
          <w:highlight w:val="none"/>
        </w:rPr>
        <w:t>月</w:t>
      </w:r>
      <w:r>
        <w:rPr>
          <w:rFonts w:hint="eastAsia" w:ascii="宋体" w:hAnsi="宋体" w:eastAsia="宋体" w:cs="宋体"/>
          <w:b w:val="0"/>
          <w:bCs w:val="0"/>
          <w:color w:val="auto"/>
          <w:sz w:val="24"/>
          <w:szCs w:val="24"/>
          <w:highlight w:val="none"/>
          <w:lang w:val="en-US" w:eastAsia="zh-CN"/>
        </w:rPr>
        <w:t xml:space="preserve">03 </w:t>
      </w:r>
      <w:r>
        <w:rPr>
          <w:rFonts w:hint="eastAsia" w:ascii="宋体" w:hAnsi="宋体" w:eastAsia="宋体" w:cs="宋体"/>
          <w:b w:val="0"/>
          <w:bCs w:val="0"/>
          <w:color w:val="auto"/>
          <w:sz w:val="24"/>
          <w:szCs w:val="24"/>
          <w:highlight w:val="none"/>
        </w:rPr>
        <w:t>日</w:t>
      </w:r>
    </w:p>
    <w:p w14:paraId="29109156">
      <w:pPr>
        <w:pStyle w:val="5"/>
        <w:spacing w:before="120" w:beforeLines="50"/>
        <w:rPr>
          <w:rFonts w:hint="eastAsia" w:ascii="宋体" w:hAnsi="宋体" w:eastAsia="宋体" w:cs="Courier New"/>
          <w:sz w:val="36"/>
          <w:szCs w:val="36"/>
          <w:highlight w:val="none"/>
        </w:rPr>
      </w:pPr>
      <w:r>
        <w:rPr>
          <w:rFonts w:hint="eastAsia" w:ascii="宋体" w:hAnsi="宋体" w:eastAsia="宋体"/>
          <w:sz w:val="22"/>
          <w:szCs w:val="22"/>
          <w:highlight w:val="none"/>
        </w:rPr>
        <w:br w:type="page"/>
      </w:r>
      <w:bookmarkStart w:id="10" w:name="_Toc223933220"/>
      <w:bookmarkStart w:id="11" w:name="_Toc219538612"/>
      <w:bookmarkStart w:id="12" w:name="_Toc217460684"/>
      <w:bookmarkStart w:id="13" w:name="_Toc2533"/>
      <w:bookmarkStart w:id="14" w:name="_Toc218041725"/>
      <w:bookmarkStart w:id="15" w:name="_Toc227489886"/>
      <w:bookmarkStart w:id="16" w:name="_Toc223717603"/>
      <w:bookmarkStart w:id="17" w:name="_Toc227056845"/>
      <w:bookmarkStart w:id="18" w:name="_Toc215415529"/>
      <w:bookmarkStart w:id="19" w:name="_Toc227057032"/>
      <w:bookmarkStart w:id="20" w:name="_Toc216667819"/>
      <w:r>
        <w:rPr>
          <w:rFonts w:hint="eastAsia" w:ascii="宋体" w:hAnsi="宋体" w:eastAsia="宋体" w:cs="Courier New"/>
          <w:sz w:val="36"/>
          <w:szCs w:val="36"/>
          <w:highlight w:val="none"/>
        </w:rPr>
        <w:t>第一部分  投标人须知</w:t>
      </w:r>
      <w:bookmarkEnd w:id="10"/>
      <w:bookmarkEnd w:id="11"/>
      <w:bookmarkEnd w:id="12"/>
      <w:bookmarkEnd w:id="13"/>
      <w:bookmarkEnd w:id="14"/>
      <w:bookmarkEnd w:id="15"/>
      <w:bookmarkEnd w:id="16"/>
      <w:bookmarkEnd w:id="17"/>
      <w:bookmarkEnd w:id="18"/>
      <w:bookmarkEnd w:id="19"/>
      <w:bookmarkEnd w:id="20"/>
    </w:p>
    <w:p w14:paraId="49AD75C2">
      <w:pPr>
        <w:pStyle w:val="6"/>
        <w:spacing w:line="400" w:lineRule="exact"/>
        <w:jc w:val="center"/>
        <w:rPr>
          <w:rFonts w:hint="eastAsia" w:ascii="宋体" w:hAnsi="宋体" w:eastAsia="宋体" w:cs="Courier New"/>
          <w:highlight w:val="none"/>
        </w:rPr>
      </w:pPr>
      <w:bookmarkStart w:id="21" w:name="_Toc433729304"/>
      <w:bookmarkStart w:id="22" w:name="_Toc401243876"/>
      <w:bookmarkStart w:id="23" w:name="_Toc24190"/>
      <w:bookmarkStart w:id="24" w:name="_Toc217460685"/>
      <w:bookmarkStart w:id="25" w:name="_Toc223933221"/>
      <w:bookmarkStart w:id="26" w:name="_Toc218041726"/>
      <w:bookmarkStart w:id="27" w:name="_Toc216667820"/>
      <w:bookmarkStart w:id="28" w:name="_Toc219538613"/>
      <w:bookmarkStart w:id="29" w:name="_Toc227056846"/>
      <w:bookmarkStart w:id="30" w:name="_Toc227057033"/>
      <w:bookmarkStart w:id="31" w:name="_Toc227489887"/>
      <w:bookmarkStart w:id="32" w:name="_Toc223717604"/>
      <w:bookmarkStart w:id="33" w:name="_Toc215415530"/>
      <w:r>
        <w:rPr>
          <w:rFonts w:hint="eastAsia" w:ascii="宋体" w:hAnsi="宋体" w:eastAsia="宋体" w:cs="Courier New"/>
          <w:highlight w:val="none"/>
        </w:rPr>
        <w:t>投标人须知前附表</w:t>
      </w:r>
      <w:bookmarkEnd w:id="21"/>
      <w:bookmarkEnd w:id="22"/>
      <w:bookmarkEnd w:id="23"/>
    </w:p>
    <w:tbl>
      <w:tblPr>
        <w:tblStyle w:val="35"/>
        <w:tblW w:w="10201" w:type="dxa"/>
        <w:jc w:val="center"/>
        <w:tblLayout w:type="fixed"/>
        <w:tblCellMar>
          <w:top w:w="0" w:type="dxa"/>
          <w:left w:w="108" w:type="dxa"/>
          <w:bottom w:w="0" w:type="dxa"/>
          <w:right w:w="108" w:type="dxa"/>
        </w:tblCellMar>
      </w:tblPr>
      <w:tblGrid>
        <w:gridCol w:w="562"/>
        <w:gridCol w:w="1843"/>
        <w:gridCol w:w="7796"/>
      </w:tblGrid>
      <w:tr w14:paraId="61566C97">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F2FDD36">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4910B89B">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条款名称</w:t>
            </w:r>
          </w:p>
        </w:tc>
        <w:tc>
          <w:tcPr>
            <w:tcW w:w="7796" w:type="dxa"/>
            <w:tcBorders>
              <w:top w:val="single" w:color="auto" w:sz="4" w:space="0"/>
              <w:left w:val="single" w:color="auto" w:sz="4" w:space="0"/>
              <w:bottom w:val="single" w:color="auto" w:sz="4" w:space="0"/>
              <w:right w:val="single" w:color="auto" w:sz="4" w:space="0"/>
            </w:tcBorders>
            <w:vAlign w:val="center"/>
          </w:tcPr>
          <w:p w14:paraId="1A56D491">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编列内容</w:t>
            </w:r>
          </w:p>
        </w:tc>
      </w:tr>
      <w:tr w14:paraId="10C3B391">
        <w:tblPrEx>
          <w:tblCellMar>
            <w:top w:w="0" w:type="dxa"/>
            <w:left w:w="108" w:type="dxa"/>
            <w:bottom w:w="0" w:type="dxa"/>
            <w:right w:w="108" w:type="dxa"/>
          </w:tblCellMar>
        </w:tblPrEx>
        <w:trPr>
          <w:trHeight w:val="742"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F845D20">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B2C0A53">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项目名称</w:t>
            </w:r>
          </w:p>
        </w:tc>
        <w:tc>
          <w:tcPr>
            <w:tcW w:w="7796" w:type="dxa"/>
            <w:tcBorders>
              <w:top w:val="single" w:color="auto" w:sz="4" w:space="0"/>
              <w:left w:val="single" w:color="auto" w:sz="4" w:space="0"/>
              <w:bottom w:val="single" w:color="auto" w:sz="4" w:space="0"/>
              <w:right w:val="single" w:color="auto" w:sz="4" w:space="0"/>
            </w:tcBorders>
            <w:vAlign w:val="center"/>
          </w:tcPr>
          <w:p w14:paraId="22D26AF8">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lang w:eastAsia="zh-CN"/>
              </w:rPr>
              <w:t>温州百佳东方妇产医院电梯采购</w:t>
            </w:r>
          </w:p>
        </w:tc>
      </w:tr>
      <w:tr w14:paraId="679E6A7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E721654">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91A79C6">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项目编号</w:t>
            </w:r>
          </w:p>
        </w:tc>
        <w:tc>
          <w:tcPr>
            <w:tcW w:w="7796" w:type="dxa"/>
            <w:tcBorders>
              <w:top w:val="single" w:color="auto" w:sz="4" w:space="0"/>
              <w:left w:val="single" w:color="auto" w:sz="4" w:space="0"/>
              <w:bottom w:val="single" w:color="auto" w:sz="4" w:space="0"/>
              <w:right w:val="single" w:color="auto" w:sz="4" w:space="0"/>
            </w:tcBorders>
            <w:vAlign w:val="center"/>
          </w:tcPr>
          <w:p w14:paraId="7311B588">
            <w:pPr>
              <w:spacing w:line="360" w:lineRule="exact"/>
              <w:rPr>
                <w:rFonts w:hint="eastAsia" w:ascii="宋体" w:hAnsi="宋体" w:eastAsia="宋体" w:cs="楷体"/>
                <w:kern w:val="0"/>
                <w:sz w:val="22"/>
                <w:szCs w:val="22"/>
                <w:highlight w:val="none"/>
                <w:lang w:eastAsia="zh-CN"/>
              </w:rPr>
            </w:pPr>
            <w:r>
              <w:rPr>
                <w:rFonts w:hint="eastAsia" w:ascii="宋体" w:hAnsi="宋体" w:cs="楷体"/>
                <w:sz w:val="22"/>
                <w:szCs w:val="22"/>
                <w:highlight w:val="none"/>
                <w:lang w:eastAsia="zh-CN"/>
              </w:rPr>
              <w:t>ZJLC-202500624（M）</w:t>
            </w:r>
          </w:p>
        </w:tc>
      </w:tr>
      <w:tr w14:paraId="4E2BCF3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DB02BDF">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F4F0982">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项目性质</w:t>
            </w:r>
          </w:p>
        </w:tc>
        <w:tc>
          <w:tcPr>
            <w:tcW w:w="7796" w:type="dxa"/>
            <w:tcBorders>
              <w:top w:val="single" w:color="auto" w:sz="4" w:space="0"/>
              <w:left w:val="single" w:color="auto" w:sz="4" w:space="0"/>
              <w:bottom w:val="single" w:color="auto" w:sz="4" w:space="0"/>
              <w:right w:val="single" w:color="auto" w:sz="4" w:space="0"/>
            </w:tcBorders>
            <w:vAlign w:val="center"/>
          </w:tcPr>
          <w:p w14:paraId="628E1F02">
            <w:pPr>
              <w:spacing w:line="360" w:lineRule="exact"/>
              <w:rPr>
                <w:rFonts w:hint="eastAsia" w:ascii="宋体" w:hAnsi="宋体" w:cs="楷体"/>
                <w:sz w:val="22"/>
                <w:szCs w:val="22"/>
                <w:highlight w:val="none"/>
              </w:rPr>
            </w:pPr>
            <w:r>
              <w:rPr>
                <w:rFonts w:hint="eastAsia" w:ascii="宋体" w:hAnsi="宋体" w:cs="楷体"/>
                <w:sz w:val="22"/>
                <w:szCs w:val="22"/>
                <w:highlight w:val="none"/>
              </w:rPr>
              <w:t>国企采购（货物类）</w:t>
            </w:r>
          </w:p>
        </w:tc>
      </w:tr>
      <w:tr w14:paraId="6EEEECE2">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D13AF1D">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54E67A11">
            <w:pPr>
              <w:spacing w:line="360" w:lineRule="exact"/>
              <w:rPr>
                <w:rFonts w:hint="eastAsia" w:ascii="宋体" w:hAnsi="宋体" w:cs="楷体"/>
                <w:kern w:val="0"/>
                <w:sz w:val="22"/>
                <w:szCs w:val="22"/>
                <w:highlight w:val="none"/>
              </w:rPr>
            </w:pPr>
            <w:r>
              <w:rPr>
                <w:rFonts w:hint="eastAsia" w:ascii="宋体" w:hAnsi="宋体" w:cs="宋体"/>
                <w:kern w:val="0"/>
                <w:sz w:val="22"/>
                <w:szCs w:val="22"/>
                <w:highlight w:val="none"/>
              </w:rPr>
              <w:t>采购组织类型</w:t>
            </w:r>
          </w:p>
        </w:tc>
        <w:tc>
          <w:tcPr>
            <w:tcW w:w="7796" w:type="dxa"/>
            <w:tcBorders>
              <w:top w:val="single" w:color="auto" w:sz="4" w:space="0"/>
              <w:left w:val="single" w:color="auto" w:sz="4" w:space="0"/>
              <w:bottom w:val="single" w:color="auto" w:sz="4" w:space="0"/>
              <w:right w:val="single" w:color="auto" w:sz="4" w:space="0"/>
            </w:tcBorders>
            <w:vAlign w:val="center"/>
          </w:tcPr>
          <w:p w14:paraId="00EA5722">
            <w:pPr>
              <w:spacing w:line="360" w:lineRule="exact"/>
              <w:rPr>
                <w:rFonts w:hint="eastAsia" w:ascii="宋体" w:hAnsi="宋体" w:cs="楷体"/>
                <w:sz w:val="22"/>
                <w:szCs w:val="22"/>
                <w:highlight w:val="none"/>
              </w:rPr>
            </w:pPr>
            <w:r>
              <w:rPr>
                <w:rFonts w:hint="eastAsia" w:ascii="宋体" w:hAnsi="宋体" w:cs="宋体"/>
                <w:kern w:val="0"/>
                <w:sz w:val="22"/>
                <w:szCs w:val="22"/>
                <w:highlight w:val="none"/>
              </w:rPr>
              <w:t>分散采购-委托中介</w:t>
            </w:r>
          </w:p>
        </w:tc>
      </w:tr>
      <w:tr w14:paraId="05524A8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089D296">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6E3342CA">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采购方式</w:t>
            </w:r>
          </w:p>
        </w:tc>
        <w:tc>
          <w:tcPr>
            <w:tcW w:w="7796" w:type="dxa"/>
            <w:tcBorders>
              <w:top w:val="single" w:color="auto" w:sz="4" w:space="0"/>
              <w:left w:val="single" w:color="auto" w:sz="4" w:space="0"/>
              <w:bottom w:val="single" w:color="auto" w:sz="4" w:space="0"/>
              <w:right w:val="single" w:color="auto" w:sz="4" w:space="0"/>
            </w:tcBorders>
            <w:vAlign w:val="center"/>
          </w:tcPr>
          <w:p w14:paraId="44FCF196">
            <w:pPr>
              <w:spacing w:line="360" w:lineRule="exact"/>
              <w:rPr>
                <w:rFonts w:hint="eastAsia" w:ascii="宋体" w:hAnsi="宋体" w:cs="楷体"/>
                <w:sz w:val="22"/>
                <w:szCs w:val="22"/>
                <w:highlight w:val="none"/>
              </w:rPr>
            </w:pPr>
            <w:r>
              <w:rPr>
                <w:rFonts w:hint="eastAsia" w:ascii="宋体" w:hAnsi="宋体" w:cs="楷体"/>
                <w:sz w:val="22"/>
                <w:szCs w:val="22"/>
                <w:highlight w:val="none"/>
              </w:rPr>
              <w:t>公开招标（以招标公告的方式邀请非特定的供应商参加投标的采购方式）</w:t>
            </w:r>
          </w:p>
        </w:tc>
      </w:tr>
      <w:tr w14:paraId="3DD6B90C">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0208D72">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39503B4">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采购人</w:t>
            </w:r>
          </w:p>
        </w:tc>
        <w:tc>
          <w:tcPr>
            <w:tcW w:w="7796" w:type="dxa"/>
            <w:tcBorders>
              <w:top w:val="single" w:color="auto" w:sz="4" w:space="0"/>
              <w:left w:val="single" w:color="auto" w:sz="4" w:space="0"/>
              <w:bottom w:val="single" w:color="auto" w:sz="4" w:space="0"/>
              <w:right w:val="single" w:color="auto" w:sz="4" w:space="0"/>
            </w:tcBorders>
            <w:vAlign w:val="center"/>
          </w:tcPr>
          <w:p w14:paraId="7D974FA7">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采购人名称：</w:t>
            </w:r>
            <w:r>
              <w:rPr>
                <w:rFonts w:hint="eastAsia" w:ascii="宋体" w:hAnsi="宋体" w:cs="楷体"/>
                <w:kern w:val="0"/>
                <w:sz w:val="22"/>
                <w:szCs w:val="22"/>
                <w:highlight w:val="none"/>
                <w:lang w:eastAsia="zh-CN"/>
              </w:rPr>
              <w:t>温州市瓯海科创集团有限公司</w:t>
            </w:r>
          </w:p>
          <w:p w14:paraId="47953EF8">
            <w:pPr>
              <w:spacing w:line="360" w:lineRule="exact"/>
              <w:rPr>
                <w:rFonts w:hint="eastAsia" w:ascii="宋体" w:hAnsi="宋体" w:eastAsia="宋体" w:cs="楷体"/>
                <w:kern w:val="0"/>
                <w:sz w:val="22"/>
                <w:szCs w:val="22"/>
                <w:highlight w:val="none"/>
                <w:lang w:eastAsia="zh-CN"/>
              </w:rPr>
            </w:pPr>
            <w:r>
              <w:rPr>
                <w:rFonts w:hint="eastAsia" w:ascii="宋体" w:hAnsi="宋体" w:cs="楷体"/>
                <w:kern w:val="0"/>
                <w:sz w:val="22"/>
                <w:szCs w:val="22"/>
                <w:highlight w:val="none"/>
              </w:rPr>
              <w:t>联系人：</w:t>
            </w:r>
            <w:r>
              <w:rPr>
                <w:rFonts w:hint="eastAsia" w:ascii="宋体" w:hAnsi="宋体" w:cs="楷体"/>
                <w:kern w:val="0"/>
                <w:sz w:val="22"/>
                <w:szCs w:val="22"/>
                <w:highlight w:val="none"/>
                <w:lang w:eastAsia="zh-CN"/>
              </w:rPr>
              <w:t>周先生</w:t>
            </w:r>
          </w:p>
          <w:p w14:paraId="70684437">
            <w:pPr>
              <w:spacing w:line="360" w:lineRule="exact"/>
              <w:rPr>
                <w:rFonts w:hint="eastAsia" w:ascii="宋体" w:hAnsi="宋体" w:eastAsia="宋体" w:cs="楷体"/>
                <w:kern w:val="0"/>
                <w:sz w:val="22"/>
                <w:szCs w:val="22"/>
                <w:highlight w:val="none"/>
                <w:lang w:val="en-US" w:eastAsia="zh-CN"/>
              </w:rPr>
            </w:pPr>
            <w:r>
              <w:rPr>
                <w:rFonts w:hint="eastAsia" w:ascii="宋体" w:hAnsi="宋体" w:cs="楷体"/>
                <w:kern w:val="0"/>
                <w:sz w:val="22"/>
                <w:szCs w:val="22"/>
                <w:highlight w:val="none"/>
              </w:rPr>
              <w:t xml:space="preserve">联系方式： </w:t>
            </w:r>
            <w:r>
              <w:rPr>
                <w:rFonts w:hint="eastAsia" w:ascii="宋体" w:hAnsi="宋体" w:cs="楷体"/>
                <w:kern w:val="0"/>
                <w:sz w:val="22"/>
                <w:szCs w:val="22"/>
                <w:highlight w:val="none"/>
                <w:lang w:eastAsia="zh-CN"/>
              </w:rPr>
              <w:t>0577-85690187</w:t>
            </w:r>
          </w:p>
        </w:tc>
      </w:tr>
      <w:tr w14:paraId="56DC4334">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A88DE9D">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3DA1DC31">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采购代理机构</w:t>
            </w:r>
          </w:p>
        </w:tc>
        <w:tc>
          <w:tcPr>
            <w:tcW w:w="7796" w:type="dxa"/>
            <w:tcBorders>
              <w:top w:val="single" w:color="auto" w:sz="4" w:space="0"/>
              <w:left w:val="single" w:color="auto" w:sz="4" w:space="0"/>
              <w:bottom w:val="single" w:color="auto" w:sz="4" w:space="0"/>
              <w:right w:val="single" w:color="auto" w:sz="4" w:space="0"/>
            </w:tcBorders>
            <w:vAlign w:val="center"/>
          </w:tcPr>
          <w:p w14:paraId="205C3588">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代理机构名称：浙江立创项目管理有限公司</w:t>
            </w:r>
          </w:p>
          <w:p w14:paraId="41355B38">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代理机构地址：</w:t>
            </w:r>
            <w:r>
              <w:rPr>
                <w:rFonts w:hint="eastAsia" w:ascii="宋体" w:hAnsi="宋体" w:cs="宋体"/>
                <w:kern w:val="0"/>
                <w:sz w:val="22"/>
                <w:szCs w:val="22"/>
                <w:highlight w:val="none"/>
              </w:rPr>
              <w:t>温州市瓯海区娄桥街道仁汇路建设大厦20层西北首</w:t>
            </w:r>
          </w:p>
          <w:p w14:paraId="2AA70469">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联系人：陈先生、麻先生</w:t>
            </w:r>
          </w:p>
          <w:p w14:paraId="6205D4C8">
            <w:pPr>
              <w:spacing w:line="360" w:lineRule="exact"/>
              <w:rPr>
                <w:rFonts w:hint="eastAsia" w:ascii="宋体" w:hAnsi="宋体"/>
                <w:highlight w:val="none"/>
              </w:rPr>
            </w:pPr>
            <w:r>
              <w:rPr>
                <w:rFonts w:hint="eastAsia" w:ascii="宋体" w:hAnsi="宋体" w:cs="楷体"/>
                <w:kern w:val="0"/>
                <w:sz w:val="22"/>
                <w:szCs w:val="22"/>
                <w:highlight w:val="none"/>
              </w:rPr>
              <w:t>联系方式：</w:t>
            </w:r>
            <w:r>
              <w:rPr>
                <w:rFonts w:hint="eastAsia" w:ascii="宋体" w:hAnsi="宋体" w:cs="宋体"/>
                <w:kern w:val="0"/>
                <w:sz w:val="22"/>
                <w:szCs w:val="22"/>
                <w:highlight w:val="none"/>
              </w:rPr>
              <w:t>0577-88410388、15968793001、18058839300</w:t>
            </w:r>
          </w:p>
        </w:tc>
      </w:tr>
      <w:tr w14:paraId="7A1620D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E41C03F">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CE19594">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投标人资格要求</w:t>
            </w:r>
          </w:p>
        </w:tc>
        <w:tc>
          <w:tcPr>
            <w:tcW w:w="7796" w:type="dxa"/>
            <w:tcBorders>
              <w:top w:val="single" w:color="auto" w:sz="4" w:space="0"/>
              <w:left w:val="single" w:color="auto" w:sz="4" w:space="0"/>
              <w:bottom w:val="single" w:color="auto" w:sz="4" w:space="0"/>
              <w:right w:val="single" w:color="auto" w:sz="4" w:space="0"/>
            </w:tcBorders>
            <w:vAlign w:val="center"/>
          </w:tcPr>
          <w:p w14:paraId="0070DD71">
            <w:pPr>
              <w:spacing w:line="360" w:lineRule="exact"/>
              <w:rPr>
                <w:rFonts w:hint="eastAsia" w:ascii="宋体" w:hAnsi="宋体" w:cs="宋体"/>
                <w:kern w:val="0"/>
                <w:sz w:val="22"/>
                <w:szCs w:val="22"/>
                <w:highlight w:val="none"/>
              </w:rPr>
            </w:pPr>
            <w:r>
              <w:rPr>
                <w:rFonts w:hint="eastAsia" w:ascii="宋体" w:hAnsi="宋体" w:cs="宋体"/>
                <w:kern w:val="0"/>
                <w:sz w:val="22"/>
                <w:szCs w:val="22"/>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2482EF4">
            <w:pPr>
              <w:spacing w:line="360" w:lineRule="exact"/>
              <w:rPr>
                <w:rFonts w:hint="eastAsia" w:ascii="宋体" w:hAnsi="宋体" w:cs="宋体"/>
                <w:kern w:val="0"/>
                <w:sz w:val="22"/>
                <w:szCs w:val="22"/>
                <w:highlight w:val="none"/>
              </w:rPr>
            </w:pPr>
            <w:r>
              <w:rPr>
                <w:rFonts w:hint="eastAsia" w:ascii="宋体" w:hAnsi="宋体" w:cs="宋体"/>
                <w:kern w:val="0"/>
                <w:sz w:val="22"/>
                <w:szCs w:val="22"/>
                <w:highlight w:val="none"/>
              </w:rPr>
              <w:t>2、落实政府采购政策需满足的资格要求：无。</w:t>
            </w:r>
          </w:p>
          <w:p w14:paraId="54FD8FB1">
            <w:pPr>
              <w:spacing w:line="360" w:lineRule="exact"/>
              <w:rPr>
                <w:rFonts w:hint="eastAsia" w:ascii="宋体" w:hAnsi="宋体" w:cs="宋体"/>
                <w:kern w:val="0"/>
                <w:sz w:val="22"/>
                <w:szCs w:val="22"/>
                <w:highlight w:val="none"/>
              </w:rPr>
            </w:pPr>
            <w:r>
              <w:rPr>
                <w:rFonts w:hint="eastAsia" w:ascii="宋体" w:hAnsi="宋体" w:cs="宋体"/>
                <w:kern w:val="0"/>
                <w:sz w:val="22"/>
                <w:szCs w:val="22"/>
                <w:highlight w:val="none"/>
              </w:rPr>
              <w:t>3、本项目的特定资格要求：无。</w:t>
            </w:r>
          </w:p>
        </w:tc>
      </w:tr>
      <w:tr w14:paraId="0631B314">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221D059">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07DFE5C7">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是否接受联合体投标</w:t>
            </w:r>
          </w:p>
        </w:tc>
        <w:tc>
          <w:tcPr>
            <w:tcW w:w="7796" w:type="dxa"/>
            <w:tcBorders>
              <w:top w:val="single" w:color="auto" w:sz="4" w:space="0"/>
              <w:left w:val="single" w:color="auto" w:sz="4" w:space="0"/>
              <w:bottom w:val="single" w:color="auto" w:sz="4" w:space="0"/>
              <w:right w:val="single" w:color="auto" w:sz="4" w:space="0"/>
            </w:tcBorders>
            <w:vAlign w:val="center"/>
          </w:tcPr>
          <w:p w14:paraId="7DBE6D6C">
            <w:pPr>
              <w:spacing w:line="360" w:lineRule="exact"/>
              <w:rPr>
                <w:rFonts w:hint="eastAsia" w:ascii="宋体" w:hAnsi="宋体" w:cs="楷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kern w:val="0"/>
                <w:sz w:val="22"/>
                <w:szCs w:val="22"/>
                <w:highlight w:val="none"/>
              </w:rPr>
              <w:t>不接受</w:t>
            </w:r>
          </w:p>
        </w:tc>
      </w:tr>
      <w:tr w14:paraId="11D3BC78">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7640FD2">
            <w:pPr>
              <w:numPr>
                <w:ilvl w:val="0"/>
                <w:numId w:val="2"/>
              </w:numPr>
              <w:spacing w:line="360" w:lineRule="exact"/>
              <w:jc w:val="center"/>
              <w:rPr>
                <w:rFonts w:hint="eastAsia" w:ascii="宋体" w:hAnsi="宋体" w:cs="楷体"/>
                <w:kern w:val="0"/>
                <w:sz w:val="22"/>
                <w:szCs w:val="22"/>
                <w:highlight w:val="none"/>
              </w:rPr>
            </w:pPr>
          </w:p>
        </w:tc>
        <w:tc>
          <w:tcPr>
            <w:tcW w:w="1843" w:type="dxa"/>
            <w:tcBorders>
              <w:top w:val="single" w:color="auto" w:sz="4" w:space="0"/>
              <w:left w:val="single" w:color="auto" w:sz="4" w:space="0"/>
              <w:bottom w:val="single" w:color="auto" w:sz="4" w:space="0"/>
              <w:right w:val="single" w:color="auto" w:sz="4" w:space="0"/>
            </w:tcBorders>
            <w:vAlign w:val="center"/>
          </w:tcPr>
          <w:p w14:paraId="7A495B7A">
            <w:pPr>
              <w:spacing w:line="360" w:lineRule="exact"/>
              <w:rPr>
                <w:rFonts w:hint="eastAsia" w:ascii="宋体" w:hAnsi="宋体" w:cs="楷体"/>
                <w:kern w:val="0"/>
                <w:sz w:val="22"/>
                <w:szCs w:val="22"/>
                <w:highlight w:val="none"/>
              </w:rPr>
            </w:pPr>
            <w:r>
              <w:rPr>
                <w:rFonts w:hint="eastAsia" w:ascii="宋体" w:hAnsi="宋体" w:cs="Times New Roman"/>
                <w:sz w:val="22"/>
                <w:szCs w:val="22"/>
                <w:highlight w:val="none"/>
                <w:lang w:val="zh-CN"/>
              </w:rPr>
              <w:t>限制</w:t>
            </w:r>
            <w:r>
              <w:rPr>
                <w:rFonts w:hint="eastAsia" w:ascii="宋体" w:hAnsi="宋体"/>
                <w:sz w:val="22"/>
                <w:szCs w:val="22"/>
                <w:highlight w:val="none"/>
                <w:lang w:val="zh-CN"/>
              </w:rPr>
              <w:t>参加</w:t>
            </w:r>
            <w:r>
              <w:rPr>
                <w:rFonts w:hint="eastAsia" w:ascii="宋体" w:hAnsi="宋体" w:cs="Times New Roman"/>
                <w:sz w:val="22"/>
                <w:szCs w:val="22"/>
                <w:highlight w:val="none"/>
                <w:lang w:val="zh-CN"/>
              </w:rPr>
              <w:t>说明</w:t>
            </w:r>
          </w:p>
        </w:tc>
        <w:tc>
          <w:tcPr>
            <w:tcW w:w="7796" w:type="dxa"/>
            <w:tcBorders>
              <w:top w:val="single" w:color="auto" w:sz="4" w:space="0"/>
              <w:left w:val="single" w:color="auto" w:sz="4" w:space="0"/>
              <w:bottom w:val="single" w:color="auto" w:sz="4" w:space="0"/>
              <w:right w:val="single" w:color="auto" w:sz="4" w:space="0"/>
            </w:tcBorders>
            <w:vAlign w:val="center"/>
          </w:tcPr>
          <w:p w14:paraId="3149FEAF">
            <w:pPr>
              <w:spacing w:line="360" w:lineRule="exact"/>
              <w:rPr>
                <w:rFonts w:hint="eastAsia"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、为采购项目提供整体设计、规范编制或者项目管理、监理、检测等服务的供应商，不得再参加该采购项目的其他采购活动。</w:t>
            </w:r>
          </w:p>
          <w:p w14:paraId="6FCCB1B9">
            <w:pPr>
              <w:spacing w:line="360" w:lineRule="exact"/>
              <w:rPr>
                <w:rFonts w:hint="eastAsia" w:ascii="宋体" w:hAnsi="宋体" w:cs="楷体"/>
                <w:kern w:val="0"/>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、单位负责人为同一人或者存在直接控股、管理关系的不同供应商，不得参加同一合同项下的政府采购活动。</w:t>
            </w:r>
          </w:p>
          <w:p w14:paraId="1842C8C1">
            <w:pPr>
              <w:spacing w:line="360" w:lineRule="exact"/>
              <w:rPr>
                <w:highlight w:val="none"/>
              </w:rPr>
            </w:pPr>
            <w:r>
              <w:rPr>
                <w:rFonts w:hint="eastAsia" w:ascii="宋体" w:hAnsi="宋体" w:cs="楷体"/>
                <w:kern w:val="0"/>
                <w:sz w:val="22"/>
                <w:szCs w:val="22"/>
                <w:highlight w:val="none"/>
              </w:rPr>
              <w:t>3、</w:t>
            </w:r>
            <w:r>
              <w:rPr>
                <w:rFonts w:ascii="宋体" w:hAnsi="宋体" w:cs="楷体"/>
                <w:kern w:val="0"/>
                <w:sz w:val="22"/>
                <w:szCs w:val="22"/>
                <w:highlight w:val="none"/>
              </w:rPr>
              <w:t>公益一类事业单位、使用事业编制且由财政拨款保障的群团组织，不作为政府购买服务的购买主体和承接主体（仅适用于政府购买服务项目）</w:t>
            </w:r>
            <w:r>
              <w:rPr>
                <w:rFonts w:hint="eastAsia" w:ascii="宋体" w:hAnsi="宋体" w:cs="楷体"/>
                <w:kern w:val="0"/>
                <w:sz w:val="22"/>
                <w:szCs w:val="22"/>
                <w:highlight w:val="none"/>
              </w:rPr>
              <w:t>。</w:t>
            </w:r>
          </w:p>
        </w:tc>
      </w:tr>
      <w:tr w14:paraId="6915E62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16B2CF5">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11</w:t>
            </w:r>
          </w:p>
        </w:tc>
        <w:tc>
          <w:tcPr>
            <w:tcW w:w="1843" w:type="dxa"/>
            <w:tcBorders>
              <w:top w:val="single" w:color="auto" w:sz="4" w:space="0"/>
              <w:left w:val="single" w:color="auto" w:sz="4" w:space="0"/>
              <w:bottom w:val="single" w:color="auto" w:sz="4" w:space="0"/>
              <w:right w:val="single" w:color="auto" w:sz="4" w:space="0"/>
            </w:tcBorders>
            <w:vAlign w:val="center"/>
          </w:tcPr>
          <w:p w14:paraId="62C50EE2">
            <w:pPr>
              <w:spacing w:line="360" w:lineRule="exact"/>
              <w:jc w:val="center"/>
              <w:rPr>
                <w:rFonts w:hint="eastAsia" w:ascii="宋体" w:hAnsi="宋体" w:cs="楷体"/>
                <w:kern w:val="0"/>
                <w:sz w:val="22"/>
                <w:szCs w:val="22"/>
                <w:highlight w:val="none"/>
              </w:rPr>
            </w:pPr>
            <w:r>
              <w:rPr>
                <w:rFonts w:hint="eastAsia" w:ascii="宋体" w:hAnsi="宋体" w:cs="Times New Roman"/>
                <w:sz w:val="22"/>
                <w:szCs w:val="22"/>
                <w:highlight w:val="none"/>
              </w:rPr>
              <w:t>进口产品</w:t>
            </w:r>
          </w:p>
        </w:tc>
        <w:tc>
          <w:tcPr>
            <w:tcW w:w="7796" w:type="dxa"/>
            <w:tcBorders>
              <w:top w:val="single" w:color="auto" w:sz="4" w:space="0"/>
              <w:left w:val="single" w:color="auto" w:sz="4" w:space="0"/>
              <w:bottom w:val="single" w:color="auto" w:sz="4" w:space="0"/>
              <w:right w:val="single" w:color="auto" w:sz="4" w:space="0"/>
            </w:tcBorders>
            <w:vAlign w:val="center"/>
          </w:tcPr>
          <w:p w14:paraId="010DBD84">
            <w:pPr>
              <w:spacing w:line="360" w:lineRule="exact"/>
              <w:rPr>
                <w:rFonts w:hint="eastAsia" w:ascii="宋体" w:hAnsi="宋体" w:cs="楷体"/>
                <w:kern w:val="0"/>
                <w:sz w:val="22"/>
                <w:szCs w:val="22"/>
                <w:highlight w:val="none"/>
              </w:rPr>
            </w:pPr>
            <w:r>
              <w:rPr>
                <w:rFonts w:hint="eastAsia" w:ascii="宋体" w:hAnsi="宋体" w:cs="楷体"/>
                <w:b/>
                <w:kern w:val="0"/>
                <w:sz w:val="22"/>
                <w:szCs w:val="22"/>
                <w:highlight w:val="none"/>
              </w:rPr>
              <w:sym w:font="Wingdings" w:char="F0FE"/>
            </w:r>
            <w:r>
              <w:rPr>
                <w:rFonts w:hint="eastAsia" w:ascii="宋体" w:hAnsi="宋体" w:cs="楷体"/>
                <w:kern w:val="0"/>
                <w:sz w:val="22"/>
                <w:szCs w:val="22"/>
                <w:highlight w:val="none"/>
              </w:rPr>
              <w:t>允许</w:t>
            </w:r>
          </w:p>
        </w:tc>
      </w:tr>
      <w:tr w14:paraId="2A064E66">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09CF8CC">
            <w:pPr>
              <w:tabs>
                <w:tab w:val="left" w:pos="333"/>
              </w:tabs>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12</w:t>
            </w:r>
          </w:p>
        </w:tc>
        <w:tc>
          <w:tcPr>
            <w:tcW w:w="1843" w:type="dxa"/>
            <w:tcBorders>
              <w:top w:val="single" w:color="auto" w:sz="4" w:space="0"/>
              <w:left w:val="single" w:color="auto" w:sz="4" w:space="0"/>
              <w:bottom w:val="single" w:color="auto" w:sz="4" w:space="0"/>
              <w:right w:val="single" w:color="auto" w:sz="4" w:space="0"/>
            </w:tcBorders>
            <w:vAlign w:val="center"/>
          </w:tcPr>
          <w:p w14:paraId="56B2DB9A">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现场考察</w:t>
            </w:r>
          </w:p>
        </w:tc>
        <w:tc>
          <w:tcPr>
            <w:tcW w:w="7796" w:type="dxa"/>
            <w:tcBorders>
              <w:top w:val="single" w:color="auto" w:sz="4" w:space="0"/>
              <w:left w:val="single" w:color="auto" w:sz="4" w:space="0"/>
              <w:bottom w:val="single" w:color="auto" w:sz="4" w:space="0"/>
              <w:right w:val="single" w:color="auto" w:sz="4" w:space="0"/>
            </w:tcBorders>
            <w:vAlign w:val="center"/>
          </w:tcPr>
          <w:p w14:paraId="67D89322">
            <w:pPr>
              <w:spacing w:line="360" w:lineRule="exact"/>
              <w:rPr>
                <w:rFonts w:hint="eastAsia" w:ascii="宋体" w:hAnsi="宋体" w:cs="楷体"/>
                <w:kern w:val="0"/>
                <w:sz w:val="22"/>
                <w:szCs w:val="22"/>
                <w:highlight w:val="none"/>
              </w:rPr>
            </w:pPr>
            <w:r>
              <w:rPr>
                <w:rFonts w:hint="eastAsia" w:ascii="宋体" w:hAnsi="宋体" w:cs="楷体"/>
                <w:b/>
                <w:bCs/>
                <w:kern w:val="0"/>
                <w:sz w:val="22"/>
                <w:szCs w:val="22"/>
                <w:highlight w:val="none"/>
              </w:rPr>
              <w:sym w:font="Wingdings" w:char="F0FE"/>
            </w:r>
            <w:r>
              <w:rPr>
                <w:rFonts w:hint="eastAsia" w:ascii="宋体" w:hAnsi="宋体" w:cs="楷体"/>
                <w:kern w:val="0"/>
                <w:sz w:val="22"/>
                <w:szCs w:val="22"/>
                <w:highlight w:val="none"/>
              </w:rPr>
              <w:t>不组织，投标人如需进行现场考察，可自行前往。</w:t>
            </w:r>
          </w:p>
        </w:tc>
      </w:tr>
      <w:tr w14:paraId="68CF9833">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D38C7D3">
            <w:pPr>
              <w:tabs>
                <w:tab w:val="left" w:pos="288"/>
              </w:tabs>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13</w:t>
            </w:r>
          </w:p>
        </w:tc>
        <w:tc>
          <w:tcPr>
            <w:tcW w:w="1843" w:type="dxa"/>
            <w:tcBorders>
              <w:top w:val="single" w:color="auto" w:sz="4" w:space="0"/>
              <w:left w:val="single" w:color="auto" w:sz="4" w:space="0"/>
              <w:bottom w:val="single" w:color="auto" w:sz="4" w:space="0"/>
              <w:right w:val="single" w:color="auto" w:sz="4" w:space="0"/>
            </w:tcBorders>
            <w:vAlign w:val="center"/>
          </w:tcPr>
          <w:p w14:paraId="5F63908C">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开标前答疑会</w:t>
            </w:r>
          </w:p>
        </w:tc>
        <w:tc>
          <w:tcPr>
            <w:tcW w:w="7796" w:type="dxa"/>
            <w:tcBorders>
              <w:top w:val="single" w:color="auto" w:sz="4" w:space="0"/>
              <w:left w:val="single" w:color="auto" w:sz="4" w:space="0"/>
              <w:bottom w:val="single" w:color="auto" w:sz="4" w:space="0"/>
              <w:right w:val="single" w:color="auto" w:sz="4" w:space="0"/>
            </w:tcBorders>
            <w:vAlign w:val="center"/>
          </w:tcPr>
          <w:p w14:paraId="347ACCEE">
            <w:pPr>
              <w:spacing w:line="360" w:lineRule="exact"/>
              <w:rPr>
                <w:rFonts w:hint="eastAsia" w:ascii="宋体" w:hAnsi="宋体" w:cs="宋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不召开</w:t>
            </w:r>
          </w:p>
        </w:tc>
      </w:tr>
      <w:tr w14:paraId="1B3F973E">
        <w:tblPrEx>
          <w:tblCellMar>
            <w:top w:w="0" w:type="dxa"/>
            <w:left w:w="108" w:type="dxa"/>
            <w:bottom w:w="0" w:type="dxa"/>
            <w:right w:w="108" w:type="dxa"/>
          </w:tblCellMar>
        </w:tblPrEx>
        <w:trPr>
          <w:trHeight w:val="416"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2FBBE05">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CF2605C">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投标保证金</w:t>
            </w:r>
          </w:p>
        </w:tc>
        <w:tc>
          <w:tcPr>
            <w:tcW w:w="7796" w:type="dxa"/>
            <w:tcBorders>
              <w:top w:val="single" w:color="auto" w:sz="4" w:space="0"/>
              <w:left w:val="single" w:color="auto" w:sz="4" w:space="0"/>
              <w:bottom w:val="single" w:color="auto" w:sz="4" w:space="0"/>
              <w:right w:val="single" w:color="auto" w:sz="4" w:space="0"/>
            </w:tcBorders>
            <w:vAlign w:val="center"/>
          </w:tcPr>
          <w:p w14:paraId="7B6AF5EF">
            <w:pPr>
              <w:widowControl/>
              <w:spacing w:line="360" w:lineRule="exact"/>
              <w:jc w:val="left"/>
              <w:rPr>
                <w:rFonts w:hint="eastAsia" w:ascii="宋体" w:hAnsi="宋体"/>
                <w:kern w:val="0"/>
                <w:szCs w:val="21"/>
                <w:highlight w:val="none"/>
              </w:rPr>
            </w:pPr>
            <w:r>
              <w:rPr>
                <w:rFonts w:hint="eastAsia" w:ascii="宋体" w:hAnsi="宋体" w:cs="楷体"/>
                <w:b/>
                <w:kern w:val="0"/>
                <w:sz w:val="22"/>
                <w:szCs w:val="22"/>
                <w:highlight w:val="none"/>
              </w:rPr>
              <w:sym w:font="Wingdings" w:char="F0FE"/>
            </w:r>
            <w:r>
              <w:rPr>
                <w:rFonts w:hint="eastAsia" w:ascii="宋体" w:hAnsi="宋体" w:cs="楷体"/>
                <w:kern w:val="0"/>
                <w:sz w:val="22"/>
                <w:szCs w:val="22"/>
                <w:highlight w:val="none"/>
              </w:rPr>
              <w:t>不收取</w:t>
            </w:r>
          </w:p>
        </w:tc>
      </w:tr>
      <w:tr w14:paraId="6431FF6B">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F1C0C88">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436557A3">
            <w:pPr>
              <w:spacing w:line="360" w:lineRule="exact"/>
              <w:jc w:val="center"/>
              <w:rPr>
                <w:rFonts w:hint="eastAsia" w:ascii="宋体" w:hAnsi="宋体" w:cs="楷体"/>
                <w:kern w:val="0"/>
                <w:sz w:val="22"/>
                <w:szCs w:val="22"/>
                <w:highlight w:val="none"/>
              </w:rPr>
            </w:pPr>
            <w:r>
              <w:rPr>
                <w:rFonts w:ascii="宋体" w:hAnsi="宋体" w:cs="楷体"/>
                <w:kern w:val="0"/>
                <w:sz w:val="22"/>
                <w:szCs w:val="22"/>
                <w:highlight w:val="none"/>
              </w:rPr>
              <w:t>是否退还投标文件</w:t>
            </w:r>
          </w:p>
        </w:tc>
        <w:tc>
          <w:tcPr>
            <w:tcW w:w="7796" w:type="dxa"/>
            <w:tcBorders>
              <w:top w:val="single" w:color="auto" w:sz="4" w:space="0"/>
              <w:left w:val="single" w:color="auto" w:sz="4" w:space="0"/>
              <w:bottom w:val="single" w:color="auto" w:sz="4" w:space="0"/>
              <w:right w:val="single" w:color="auto" w:sz="4" w:space="0"/>
            </w:tcBorders>
            <w:vAlign w:val="center"/>
          </w:tcPr>
          <w:p w14:paraId="08314916">
            <w:pPr>
              <w:widowControl/>
              <w:adjustRightInd w:val="0"/>
              <w:spacing w:line="360" w:lineRule="exact"/>
              <w:jc w:val="left"/>
              <w:textAlignment w:val="baseline"/>
              <w:rPr>
                <w:rFonts w:hint="eastAsia"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否，证书原件除外</w:t>
            </w:r>
          </w:p>
        </w:tc>
      </w:tr>
      <w:tr w14:paraId="6DC6071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AEC9854">
            <w:pPr>
              <w:tabs>
                <w:tab w:val="left" w:pos="318"/>
              </w:tabs>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16</w:t>
            </w:r>
          </w:p>
        </w:tc>
        <w:tc>
          <w:tcPr>
            <w:tcW w:w="1843" w:type="dxa"/>
            <w:tcBorders>
              <w:top w:val="single" w:color="auto" w:sz="4" w:space="0"/>
              <w:left w:val="single" w:color="auto" w:sz="4" w:space="0"/>
              <w:bottom w:val="single" w:color="auto" w:sz="4" w:space="0"/>
              <w:right w:val="single" w:color="auto" w:sz="4" w:space="0"/>
            </w:tcBorders>
            <w:vAlign w:val="center"/>
          </w:tcPr>
          <w:p w14:paraId="4479FF58">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投标有效期</w:t>
            </w:r>
          </w:p>
        </w:tc>
        <w:tc>
          <w:tcPr>
            <w:tcW w:w="7796" w:type="dxa"/>
            <w:tcBorders>
              <w:top w:val="single" w:color="auto" w:sz="4" w:space="0"/>
              <w:left w:val="single" w:color="auto" w:sz="4" w:space="0"/>
              <w:bottom w:val="single" w:color="auto" w:sz="4" w:space="0"/>
              <w:right w:val="single" w:color="auto" w:sz="4" w:space="0"/>
            </w:tcBorders>
            <w:vAlign w:val="center"/>
          </w:tcPr>
          <w:p w14:paraId="605DEF3D">
            <w:pPr>
              <w:spacing w:line="360" w:lineRule="exact"/>
              <w:rPr>
                <w:rFonts w:hint="eastAsia" w:ascii="宋体" w:hAnsi="宋体" w:cs="楷体"/>
                <w:b/>
                <w:kern w:val="0"/>
                <w:sz w:val="22"/>
                <w:szCs w:val="22"/>
                <w:highlight w:val="none"/>
              </w:rPr>
            </w:pPr>
            <w:r>
              <w:rPr>
                <w:rFonts w:hint="eastAsia" w:ascii="宋体" w:hAnsi="宋体" w:cs="楷体"/>
                <w:kern w:val="0"/>
                <w:sz w:val="22"/>
                <w:szCs w:val="22"/>
                <w:highlight w:val="none"/>
              </w:rPr>
              <w:t>投标文件自</w:t>
            </w:r>
            <w:r>
              <w:rPr>
                <w:rFonts w:ascii="宋体" w:hAnsi="宋体" w:cs="楷体"/>
                <w:kern w:val="0"/>
                <w:sz w:val="22"/>
                <w:szCs w:val="22"/>
                <w:highlight w:val="none"/>
              </w:rPr>
              <w:t>投标截止时间</w:t>
            </w:r>
            <w:r>
              <w:rPr>
                <w:rFonts w:hint="eastAsia" w:ascii="宋体" w:hAnsi="宋体" w:cs="楷体"/>
                <w:kern w:val="0"/>
                <w:sz w:val="22"/>
                <w:szCs w:val="22"/>
                <w:highlight w:val="none"/>
              </w:rPr>
              <w:t>起生效，有效期90天。</w:t>
            </w:r>
          </w:p>
        </w:tc>
      </w:tr>
      <w:tr w14:paraId="6D0F3095">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7711A1FA">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17</w:t>
            </w:r>
          </w:p>
        </w:tc>
        <w:tc>
          <w:tcPr>
            <w:tcW w:w="1843" w:type="dxa"/>
            <w:tcBorders>
              <w:top w:val="single" w:color="auto" w:sz="4" w:space="0"/>
              <w:left w:val="single" w:color="auto" w:sz="4" w:space="0"/>
              <w:bottom w:val="single" w:color="auto" w:sz="4" w:space="0"/>
              <w:right w:val="single" w:color="auto" w:sz="4" w:space="0"/>
            </w:tcBorders>
            <w:vAlign w:val="center"/>
          </w:tcPr>
          <w:p w14:paraId="64738EA7">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投标文件签章</w:t>
            </w:r>
          </w:p>
        </w:tc>
        <w:tc>
          <w:tcPr>
            <w:tcW w:w="7796" w:type="dxa"/>
            <w:tcBorders>
              <w:top w:val="single" w:color="auto" w:sz="4" w:space="0"/>
              <w:left w:val="single" w:color="auto" w:sz="4" w:space="0"/>
              <w:bottom w:val="single" w:color="auto" w:sz="4" w:space="0"/>
              <w:right w:val="single" w:color="auto" w:sz="4" w:space="0"/>
            </w:tcBorders>
            <w:vAlign w:val="center"/>
          </w:tcPr>
          <w:p w14:paraId="5AB64546">
            <w:pPr>
              <w:spacing w:line="360" w:lineRule="exact"/>
              <w:rPr>
                <w:rFonts w:hint="eastAsia"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以下方式均可，下同。</w:t>
            </w:r>
          </w:p>
          <w:p w14:paraId="57D765BD">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（1）电子签章</w:t>
            </w:r>
          </w:p>
          <w:p w14:paraId="17717D22">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（2）实体签章，书面签署/盖章后扫描至电子投标文件中上传。</w:t>
            </w:r>
          </w:p>
        </w:tc>
      </w:tr>
      <w:tr w14:paraId="58BFF411">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01239424">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18</w:t>
            </w:r>
          </w:p>
        </w:tc>
        <w:tc>
          <w:tcPr>
            <w:tcW w:w="1843" w:type="dxa"/>
            <w:tcBorders>
              <w:top w:val="single" w:color="auto" w:sz="4" w:space="0"/>
              <w:left w:val="single" w:color="auto" w:sz="4" w:space="0"/>
              <w:bottom w:val="single" w:color="auto" w:sz="4" w:space="0"/>
              <w:right w:val="single" w:color="auto" w:sz="4" w:space="0"/>
            </w:tcBorders>
            <w:vAlign w:val="center"/>
          </w:tcPr>
          <w:p w14:paraId="0CF36D70">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投标文件的形式</w:t>
            </w:r>
          </w:p>
        </w:tc>
        <w:tc>
          <w:tcPr>
            <w:tcW w:w="7796" w:type="dxa"/>
            <w:tcBorders>
              <w:top w:val="single" w:color="auto" w:sz="4" w:space="0"/>
              <w:left w:val="single" w:color="auto" w:sz="4" w:space="0"/>
              <w:bottom w:val="single" w:color="auto" w:sz="4" w:space="0"/>
              <w:right w:val="single" w:color="auto" w:sz="4" w:space="0"/>
            </w:tcBorders>
            <w:vAlign w:val="center"/>
          </w:tcPr>
          <w:p w14:paraId="33A9A390">
            <w:pPr>
              <w:spacing w:line="360" w:lineRule="exact"/>
              <w:rPr>
                <w:rFonts w:hint="eastAsia" w:ascii="宋体" w:hAnsi="宋体" w:cs="楷体"/>
                <w:kern w:val="0"/>
                <w:sz w:val="22"/>
                <w:szCs w:val="22"/>
                <w:highlight w:val="none"/>
              </w:rPr>
            </w:pPr>
            <w:r>
              <w:rPr>
                <w:rFonts w:hint="eastAsia" w:ascii="宋体" w:hAnsi="宋体" w:cs="楷体"/>
                <w:b/>
                <w:snapToGrid w:val="0"/>
                <w:sz w:val="22"/>
                <w:szCs w:val="22"/>
                <w:highlight w:val="none"/>
              </w:rPr>
              <w:sym w:font="Wingdings" w:char="F0FE"/>
            </w:r>
            <w:r>
              <w:rPr>
                <w:rFonts w:hint="eastAsia" w:ascii="宋体" w:hAnsi="宋体" w:cs="楷体"/>
                <w:kern w:val="0"/>
                <w:sz w:val="22"/>
                <w:szCs w:val="22"/>
                <w:highlight w:val="none"/>
              </w:rPr>
              <w:t>电子投标文件（包括“电子加密投标文件”和“备份投标文件”，在投标文件编制完成后同时生成）；</w:t>
            </w:r>
          </w:p>
          <w:p w14:paraId="61C0480B">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（1）“电子加密投标文件”是指通过“政采云电子交易客户端”完成投标文件编制后生成并加密的数据电文形式的投标文件。</w:t>
            </w:r>
          </w:p>
          <w:p w14:paraId="04C65C75">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（2）“备份投标文件”是指与“电子加密投标文件”同时生成的数据电文形式的电子文件（备份标书），其他方式编制的备份投标文件视为无效备份投标文件。</w:t>
            </w:r>
          </w:p>
        </w:tc>
      </w:tr>
      <w:tr w14:paraId="138A97B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28472B0E">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19</w:t>
            </w:r>
          </w:p>
        </w:tc>
        <w:tc>
          <w:tcPr>
            <w:tcW w:w="1843" w:type="dxa"/>
            <w:tcBorders>
              <w:top w:val="single" w:color="auto" w:sz="4" w:space="0"/>
              <w:left w:val="single" w:color="auto" w:sz="4" w:space="0"/>
              <w:bottom w:val="single" w:color="auto" w:sz="4" w:space="0"/>
              <w:right w:val="single" w:color="auto" w:sz="4" w:space="0"/>
            </w:tcBorders>
            <w:vAlign w:val="center"/>
          </w:tcPr>
          <w:p w14:paraId="6A8CD529">
            <w:pPr>
              <w:spacing w:line="360" w:lineRule="exact"/>
              <w:jc w:val="center"/>
              <w:rPr>
                <w:rFonts w:hint="eastAsia" w:ascii="宋体" w:hAnsi="宋体" w:cs="楷体"/>
                <w:kern w:val="0"/>
                <w:sz w:val="22"/>
                <w:szCs w:val="22"/>
                <w:highlight w:val="none"/>
              </w:rPr>
            </w:pPr>
            <w:r>
              <w:rPr>
                <w:rFonts w:ascii="宋体" w:hAnsi="宋体" w:cs="楷体"/>
                <w:kern w:val="0"/>
                <w:sz w:val="22"/>
                <w:szCs w:val="22"/>
                <w:highlight w:val="none"/>
              </w:rPr>
              <w:t>投标文件的份数</w:t>
            </w:r>
          </w:p>
        </w:tc>
        <w:tc>
          <w:tcPr>
            <w:tcW w:w="7796" w:type="dxa"/>
            <w:tcBorders>
              <w:top w:val="single" w:color="auto" w:sz="4" w:space="0"/>
              <w:left w:val="single" w:color="auto" w:sz="4" w:space="0"/>
              <w:bottom w:val="single" w:color="auto" w:sz="4" w:space="0"/>
              <w:right w:val="single" w:color="auto" w:sz="4" w:space="0"/>
            </w:tcBorders>
            <w:vAlign w:val="center"/>
          </w:tcPr>
          <w:p w14:paraId="317B43C3">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（1）“电子加密投标文件”：在线上传递交、一份。</w:t>
            </w:r>
          </w:p>
          <w:p w14:paraId="411E1383">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（2）“备份投标文件”：自愿提交、一份。</w:t>
            </w:r>
          </w:p>
          <w:p w14:paraId="1A95361C">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（3）</w:t>
            </w:r>
            <w:r>
              <w:rPr>
                <w:rFonts w:hint="eastAsia" w:ascii="宋体" w:hAnsi="宋体" w:cs="楷体"/>
                <w:b/>
                <w:kern w:val="0"/>
                <w:sz w:val="22"/>
                <w:szCs w:val="22"/>
                <w:highlight w:val="none"/>
              </w:rPr>
              <w:t>投标人中标后提供以下资料给采购代理机构留底以作项目存档使用：</w:t>
            </w:r>
            <w:r>
              <w:rPr>
                <w:rFonts w:ascii="宋体" w:hAnsi="宋体" w:cs="楷体"/>
                <w:b/>
                <w:kern w:val="0"/>
                <w:sz w:val="22"/>
                <w:szCs w:val="22"/>
                <w:highlight w:val="none"/>
              </w:rPr>
              <w:fldChar w:fldCharType="begin"/>
            </w:r>
            <w:r>
              <w:rPr>
                <w:rFonts w:ascii="宋体" w:hAnsi="宋体" w:cs="楷体"/>
                <w:b/>
                <w:kern w:val="0"/>
                <w:sz w:val="22"/>
                <w:szCs w:val="22"/>
                <w:highlight w:val="none"/>
              </w:rPr>
              <w:instrText xml:space="preserve"> </w:instrText>
            </w:r>
            <w:r>
              <w:rPr>
                <w:rFonts w:hint="eastAsia" w:ascii="宋体" w:hAnsi="宋体" w:cs="楷体"/>
                <w:b/>
                <w:kern w:val="0"/>
                <w:sz w:val="22"/>
                <w:szCs w:val="22"/>
                <w:highlight w:val="none"/>
              </w:rPr>
              <w:instrText xml:space="preserve">= 1 \* GB3</w:instrText>
            </w:r>
            <w:r>
              <w:rPr>
                <w:rFonts w:ascii="宋体" w:hAnsi="宋体" w:cs="楷体"/>
                <w:b/>
                <w:kern w:val="0"/>
                <w:sz w:val="22"/>
                <w:szCs w:val="22"/>
                <w:highlight w:val="none"/>
              </w:rPr>
              <w:instrText xml:space="preserve"> </w:instrText>
            </w:r>
            <w:r>
              <w:rPr>
                <w:rFonts w:ascii="宋体" w:hAnsi="宋体" w:cs="楷体"/>
                <w:b/>
                <w:kern w:val="0"/>
                <w:sz w:val="22"/>
                <w:szCs w:val="22"/>
                <w:highlight w:val="none"/>
              </w:rPr>
              <w:fldChar w:fldCharType="separate"/>
            </w:r>
            <w:r>
              <w:rPr>
                <w:rFonts w:hint="eastAsia" w:ascii="宋体" w:hAnsi="宋体" w:cs="楷体"/>
                <w:b/>
                <w:kern w:val="0"/>
                <w:sz w:val="22"/>
                <w:szCs w:val="22"/>
                <w:highlight w:val="none"/>
              </w:rPr>
              <w:t>①</w:t>
            </w:r>
            <w:r>
              <w:rPr>
                <w:rFonts w:ascii="宋体" w:hAnsi="宋体" w:cs="楷体"/>
                <w:b/>
                <w:kern w:val="0"/>
                <w:sz w:val="22"/>
                <w:szCs w:val="22"/>
                <w:highlight w:val="none"/>
              </w:rPr>
              <w:fldChar w:fldCharType="end"/>
            </w:r>
            <w:r>
              <w:rPr>
                <w:rFonts w:hint="eastAsia" w:ascii="宋体" w:hAnsi="宋体" w:cs="楷体"/>
                <w:b/>
                <w:kern w:val="0"/>
                <w:sz w:val="22"/>
                <w:szCs w:val="22"/>
                <w:highlight w:val="none"/>
              </w:rPr>
              <w:t>三套完整的纸质投标文件；</w:t>
            </w:r>
            <w:r>
              <w:rPr>
                <w:rFonts w:ascii="宋体" w:hAnsi="宋体" w:cs="楷体"/>
                <w:b/>
                <w:kern w:val="0"/>
                <w:sz w:val="22"/>
                <w:szCs w:val="22"/>
                <w:highlight w:val="none"/>
              </w:rPr>
              <w:fldChar w:fldCharType="begin"/>
            </w:r>
            <w:r>
              <w:rPr>
                <w:rFonts w:ascii="宋体" w:hAnsi="宋体" w:cs="楷体"/>
                <w:b/>
                <w:kern w:val="0"/>
                <w:sz w:val="22"/>
                <w:szCs w:val="22"/>
                <w:highlight w:val="none"/>
              </w:rPr>
              <w:instrText xml:space="preserve"> </w:instrText>
            </w:r>
            <w:r>
              <w:rPr>
                <w:rFonts w:hint="eastAsia" w:ascii="宋体" w:hAnsi="宋体" w:cs="楷体"/>
                <w:b/>
                <w:kern w:val="0"/>
                <w:sz w:val="22"/>
                <w:szCs w:val="22"/>
                <w:highlight w:val="none"/>
              </w:rPr>
              <w:instrText xml:space="preserve">= 2 \* GB3</w:instrText>
            </w:r>
            <w:r>
              <w:rPr>
                <w:rFonts w:ascii="宋体" w:hAnsi="宋体" w:cs="楷体"/>
                <w:b/>
                <w:kern w:val="0"/>
                <w:sz w:val="22"/>
                <w:szCs w:val="22"/>
                <w:highlight w:val="none"/>
              </w:rPr>
              <w:instrText xml:space="preserve"> </w:instrText>
            </w:r>
            <w:r>
              <w:rPr>
                <w:rFonts w:ascii="宋体" w:hAnsi="宋体" w:cs="楷体"/>
                <w:b/>
                <w:kern w:val="0"/>
                <w:sz w:val="22"/>
                <w:szCs w:val="22"/>
                <w:highlight w:val="none"/>
              </w:rPr>
              <w:fldChar w:fldCharType="separate"/>
            </w:r>
            <w:r>
              <w:rPr>
                <w:rFonts w:hint="eastAsia" w:ascii="宋体" w:hAnsi="宋体" w:cs="楷体"/>
                <w:b/>
                <w:kern w:val="0"/>
                <w:sz w:val="22"/>
                <w:szCs w:val="22"/>
                <w:highlight w:val="none"/>
              </w:rPr>
              <w:t>②</w:t>
            </w:r>
            <w:r>
              <w:rPr>
                <w:rFonts w:ascii="宋体" w:hAnsi="宋体" w:cs="楷体"/>
                <w:b/>
                <w:kern w:val="0"/>
                <w:sz w:val="22"/>
                <w:szCs w:val="22"/>
                <w:highlight w:val="none"/>
              </w:rPr>
              <w:fldChar w:fldCharType="end"/>
            </w:r>
            <w:r>
              <w:rPr>
                <w:rFonts w:hint="eastAsia" w:ascii="宋体" w:hAnsi="宋体" w:cs="楷体"/>
                <w:b/>
                <w:kern w:val="0"/>
                <w:sz w:val="22"/>
                <w:szCs w:val="22"/>
                <w:highlight w:val="none"/>
              </w:rPr>
              <w:t>电子投标文件与纸质投标文件内容一致的承诺书。</w:t>
            </w:r>
          </w:p>
        </w:tc>
      </w:tr>
      <w:tr w14:paraId="329B885E">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859281A">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20</w:t>
            </w:r>
          </w:p>
        </w:tc>
        <w:tc>
          <w:tcPr>
            <w:tcW w:w="1843" w:type="dxa"/>
            <w:tcBorders>
              <w:top w:val="single" w:color="auto" w:sz="4" w:space="0"/>
              <w:left w:val="single" w:color="auto" w:sz="4" w:space="0"/>
              <w:bottom w:val="single" w:color="auto" w:sz="4" w:space="0"/>
              <w:right w:val="single" w:color="auto" w:sz="4" w:space="0"/>
            </w:tcBorders>
            <w:vAlign w:val="center"/>
          </w:tcPr>
          <w:p w14:paraId="7F9B5BDF">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投标文件的上传、递交</w:t>
            </w:r>
          </w:p>
        </w:tc>
        <w:tc>
          <w:tcPr>
            <w:tcW w:w="7796" w:type="dxa"/>
            <w:tcBorders>
              <w:top w:val="single" w:color="auto" w:sz="4" w:space="0"/>
              <w:left w:val="single" w:color="auto" w:sz="4" w:space="0"/>
              <w:bottom w:val="single" w:color="auto" w:sz="4" w:space="0"/>
              <w:right w:val="single" w:color="auto" w:sz="4" w:space="0"/>
            </w:tcBorders>
            <w:vAlign w:val="center"/>
          </w:tcPr>
          <w:p w14:paraId="60EC11B3">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（1）“电子加密投标文件”的上传、递交：</w:t>
            </w:r>
          </w:p>
          <w:p w14:paraId="7C557816">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a.投标人应在投标截止时间前将“电子加密投标文件”成功上传递交至“</w:t>
            </w:r>
            <w:r>
              <w:rPr>
                <w:rFonts w:hint="eastAsia" w:ascii="宋体" w:hAnsi="宋体" w:cs="楷体"/>
                <w:kern w:val="0"/>
                <w:sz w:val="22"/>
                <w:szCs w:val="22"/>
                <w:highlight w:val="none"/>
                <w:lang w:eastAsia="zh-CN"/>
              </w:rPr>
              <w:t>乐采云平台</w:t>
            </w:r>
            <w:r>
              <w:rPr>
                <w:rFonts w:hint="eastAsia" w:ascii="宋体" w:hAnsi="宋体" w:cs="楷体"/>
                <w:kern w:val="0"/>
                <w:sz w:val="22"/>
                <w:szCs w:val="22"/>
                <w:highlight w:val="none"/>
              </w:rPr>
              <w:t>”，否则</w:t>
            </w:r>
            <w:r>
              <w:rPr>
                <w:rFonts w:hint="eastAsia" w:ascii="宋体" w:hAnsi="宋体" w:cs="楷体"/>
                <w:b/>
                <w:kern w:val="0"/>
                <w:sz w:val="22"/>
                <w:szCs w:val="22"/>
                <w:highlight w:val="none"/>
              </w:rPr>
              <w:t>视为撤回投标文件。</w:t>
            </w:r>
          </w:p>
          <w:p w14:paraId="69790604">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b.“电子加密投标文件”成功上传递交后，投标人可自行打印投标文件接收回执。</w:t>
            </w:r>
          </w:p>
          <w:p w14:paraId="187B9434">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（2）“备份投标文件”的密封包装、递交：</w:t>
            </w:r>
          </w:p>
          <w:p w14:paraId="12A22686">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a.投标人在“</w:t>
            </w:r>
            <w:r>
              <w:rPr>
                <w:rFonts w:hint="eastAsia" w:ascii="宋体" w:hAnsi="宋体" w:cs="楷体"/>
                <w:kern w:val="0"/>
                <w:sz w:val="22"/>
                <w:szCs w:val="22"/>
                <w:highlight w:val="none"/>
                <w:lang w:eastAsia="zh-CN"/>
              </w:rPr>
              <w:t>乐采云平台</w:t>
            </w:r>
            <w:r>
              <w:rPr>
                <w:rFonts w:hint="eastAsia" w:ascii="宋体" w:hAnsi="宋体" w:cs="楷体"/>
                <w:kern w:val="0"/>
                <w:sz w:val="22"/>
                <w:szCs w:val="22"/>
                <w:highlight w:val="none"/>
              </w:rPr>
              <w:t>”完成“电子加密投标文件”的上传递交后，还可以（建议EMS或顺丰邮寄形式）在投标截止时间前递交以介质（U盘）存储的 “备份投标文件”（一份），递交至采购代理机构地址（地址详见招标文件，防疫期间不建议投标人现场递交）；</w:t>
            </w:r>
            <w:r>
              <w:rPr>
                <w:rFonts w:hint="eastAsia" w:ascii="宋体" w:hAnsi="宋体" w:cs="楷体"/>
                <w:b/>
                <w:bCs/>
                <w:kern w:val="0"/>
                <w:sz w:val="22"/>
                <w:szCs w:val="22"/>
                <w:highlight w:val="none"/>
              </w:rPr>
              <w:t>“备份投标文件”由投标人自愿提交，招标文件不作强制性要求，但投标人仅递交了“备份投标文件”的，投标无效。</w:t>
            </w:r>
          </w:p>
          <w:p w14:paraId="62C1430B">
            <w:pPr>
              <w:spacing w:line="360" w:lineRule="exact"/>
              <w:rPr>
                <w:rFonts w:hint="eastAsia" w:ascii="宋体" w:hAnsi="宋体" w:cs="楷体"/>
                <w:b/>
                <w:bCs/>
                <w:kern w:val="0"/>
                <w:sz w:val="22"/>
                <w:szCs w:val="22"/>
                <w:highlight w:val="none"/>
              </w:rPr>
            </w:pPr>
            <w:r>
              <w:rPr>
                <w:rFonts w:hint="eastAsia" w:ascii="宋体" w:hAnsi="宋体" w:cs="楷体"/>
                <w:kern w:val="0"/>
                <w:sz w:val="22"/>
                <w:szCs w:val="22"/>
                <w:highlight w:val="none"/>
              </w:rPr>
              <w:t>b.“备份投标文件”应当密封包装，并在包装上标注投标项目名称、投标单位名称并加盖公章。</w:t>
            </w:r>
            <w:r>
              <w:rPr>
                <w:rFonts w:hint="eastAsia" w:ascii="宋体" w:hAnsi="宋体" w:cs="楷体"/>
                <w:b/>
                <w:bCs/>
                <w:kern w:val="0"/>
                <w:sz w:val="22"/>
                <w:szCs w:val="22"/>
                <w:highlight w:val="none"/>
              </w:rPr>
              <w:t>没有密封包装或者逾期递交的“备份投标文件”将不予接收，邮寄的以收到时间为准；</w:t>
            </w:r>
          </w:p>
          <w:p w14:paraId="553ACE27">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c.通过“</w:t>
            </w:r>
            <w:r>
              <w:rPr>
                <w:rFonts w:hint="eastAsia" w:ascii="宋体" w:hAnsi="宋体" w:cs="楷体"/>
                <w:kern w:val="0"/>
                <w:sz w:val="22"/>
                <w:szCs w:val="22"/>
                <w:highlight w:val="none"/>
                <w:lang w:eastAsia="zh-CN"/>
              </w:rPr>
              <w:t>乐采云平台</w:t>
            </w:r>
            <w:r>
              <w:rPr>
                <w:rFonts w:hint="eastAsia" w:ascii="宋体" w:hAnsi="宋体" w:cs="楷体"/>
                <w:kern w:val="0"/>
                <w:sz w:val="22"/>
                <w:szCs w:val="22"/>
                <w:highlight w:val="none"/>
              </w:rPr>
              <w:t>”成功上传递交的“电子加密投标文件”已按时解密的，“备份投标文件”自动失效。</w:t>
            </w:r>
          </w:p>
        </w:tc>
      </w:tr>
      <w:tr w14:paraId="187E2787">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6BB2D945">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21</w:t>
            </w:r>
          </w:p>
        </w:tc>
        <w:tc>
          <w:tcPr>
            <w:tcW w:w="1843" w:type="dxa"/>
            <w:tcBorders>
              <w:top w:val="single" w:color="auto" w:sz="4" w:space="0"/>
              <w:left w:val="single" w:color="auto" w:sz="4" w:space="0"/>
              <w:bottom w:val="single" w:color="auto" w:sz="4" w:space="0"/>
              <w:right w:val="single" w:color="auto" w:sz="4" w:space="0"/>
            </w:tcBorders>
            <w:vAlign w:val="center"/>
          </w:tcPr>
          <w:p w14:paraId="715D1EFC">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电子加密投标文件的解密和异常情况处理</w:t>
            </w:r>
          </w:p>
        </w:tc>
        <w:tc>
          <w:tcPr>
            <w:tcW w:w="7796" w:type="dxa"/>
            <w:tcBorders>
              <w:top w:val="single" w:color="auto" w:sz="4" w:space="0"/>
              <w:left w:val="single" w:color="auto" w:sz="4" w:space="0"/>
              <w:bottom w:val="single" w:color="auto" w:sz="4" w:space="0"/>
              <w:right w:val="single" w:color="auto" w:sz="4" w:space="0"/>
            </w:tcBorders>
            <w:vAlign w:val="center"/>
          </w:tcPr>
          <w:p w14:paraId="3A5BC363">
            <w:pPr>
              <w:spacing w:line="360" w:lineRule="exact"/>
              <w:rPr>
                <w:rFonts w:hint="eastAsia" w:ascii="宋体" w:hAnsi="宋体" w:cs="楷体"/>
                <w:b/>
                <w:kern w:val="0"/>
                <w:sz w:val="22"/>
                <w:szCs w:val="22"/>
                <w:highlight w:val="none"/>
              </w:rPr>
            </w:pPr>
            <w:r>
              <w:rPr>
                <w:rFonts w:hint="eastAsia" w:ascii="宋体" w:hAnsi="宋体" w:cs="楷体"/>
                <w:kern w:val="0"/>
                <w:sz w:val="22"/>
                <w:szCs w:val="22"/>
                <w:highlight w:val="none"/>
              </w:rPr>
              <w:t>（1）投标截止时间后，采购代理机构将向各投标人发出“电子加密投标文件”的解密通知，</w:t>
            </w:r>
            <w:r>
              <w:rPr>
                <w:rFonts w:hint="eastAsia" w:ascii="宋体" w:hAnsi="宋体" w:cs="楷体"/>
                <w:b/>
                <w:kern w:val="0"/>
                <w:sz w:val="22"/>
                <w:szCs w:val="22"/>
                <w:highlight w:val="none"/>
              </w:rPr>
              <w:t>各投标人代表应当在接到解密通知后30分钟内自行完成“电子加密投标文件”的在线解密（解密电子投标文件必须插入CA，</w:t>
            </w:r>
            <w:r>
              <w:rPr>
                <w:rFonts w:hint="eastAsia" w:ascii="宋体" w:hAnsi="宋体" w:cs="楷体"/>
                <w:b/>
                <w:bCs/>
                <w:kern w:val="0"/>
                <w:sz w:val="22"/>
                <w:szCs w:val="22"/>
                <w:highlight w:val="none"/>
              </w:rPr>
              <w:t>解密CA必须是上传并制作电子投标文件CA锁</w:t>
            </w:r>
            <w:r>
              <w:rPr>
                <w:rFonts w:hint="eastAsia" w:ascii="宋体" w:hAnsi="宋体" w:cs="楷体"/>
                <w:b/>
                <w:kern w:val="0"/>
                <w:sz w:val="22"/>
                <w:szCs w:val="22"/>
                <w:highlight w:val="none"/>
              </w:rPr>
              <w:t>），如“</w:t>
            </w:r>
            <w:r>
              <w:rPr>
                <w:rFonts w:hint="eastAsia" w:ascii="宋体" w:hAnsi="宋体" w:cs="楷体"/>
                <w:b/>
                <w:kern w:val="0"/>
                <w:sz w:val="22"/>
                <w:szCs w:val="22"/>
                <w:highlight w:val="none"/>
                <w:lang w:eastAsia="zh-CN"/>
              </w:rPr>
              <w:t>乐采云平台</w:t>
            </w:r>
            <w:r>
              <w:rPr>
                <w:rFonts w:hint="eastAsia" w:ascii="宋体" w:hAnsi="宋体" w:cs="楷体"/>
                <w:b/>
                <w:kern w:val="0"/>
                <w:sz w:val="22"/>
                <w:szCs w:val="22"/>
                <w:highlight w:val="none"/>
              </w:rPr>
              <w:t>”中调整解密时间，按调整后的解密时间。</w:t>
            </w:r>
          </w:p>
          <w:p w14:paraId="11D6A542">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（2）通过“</w:t>
            </w:r>
            <w:r>
              <w:rPr>
                <w:rFonts w:hint="eastAsia" w:ascii="宋体" w:hAnsi="宋体" w:cs="楷体"/>
                <w:kern w:val="0"/>
                <w:sz w:val="22"/>
                <w:szCs w:val="22"/>
                <w:highlight w:val="none"/>
                <w:lang w:eastAsia="zh-CN"/>
              </w:rPr>
              <w:t>乐采云平台</w:t>
            </w:r>
            <w:r>
              <w:rPr>
                <w:rFonts w:hint="eastAsia" w:ascii="宋体" w:hAnsi="宋体" w:cs="楷体"/>
                <w:kern w:val="0"/>
                <w:sz w:val="22"/>
                <w:szCs w:val="22"/>
                <w:highlight w:val="none"/>
              </w:rPr>
              <w:t>”成功上传递交的“电子加密投标文件”无法按时解密，投标人如按规定递交了“备份投标文件”的，以“备份投标文件”为依据（由采购代理机构按“</w:t>
            </w:r>
            <w:r>
              <w:rPr>
                <w:rFonts w:hint="eastAsia" w:ascii="宋体" w:hAnsi="宋体" w:cs="楷体"/>
                <w:kern w:val="0"/>
                <w:sz w:val="22"/>
                <w:szCs w:val="22"/>
                <w:highlight w:val="none"/>
                <w:lang w:eastAsia="zh-CN"/>
              </w:rPr>
              <w:t>乐采云平台</w:t>
            </w:r>
            <w:r>
              <w:rPr>
                <w:rFonts w:hint="eastAsia" w:ascii="宋体" w:hAnsi="宋体" w:cs="楷体"/>
                <w:kern w:val="0"/>
                <w:sz w:val="22"/>
                <w:szCs w:val="22"/>
                <w:highlight w:val="none"/>
              </w:rPr>
              <w:t>”操作规范将“备份投标文件”上传至“</w:t>
            </w:r>
            <w:r>
              <w:rPr>
                <w:rFonts w:hint="eastAsia" w:ascii="宋体" w:hAnsi="宋体" w:cs="楷体"/>
                <w:kern w:val="0"/>
                <w:sz w:val="22"/>
                <w:szCs w:val="22"/>
                <w:highlight w:val="none"/>
                <w:lang w:eastAsia="zh-CN"/>
              </w:rPr>
              <w:t>乐采云平台</w:t>
            </w:r>
            <w:r>
              <w:rPr>
                <w:rFonts w:hint="eastAsia" w:ascii="宋体" w:hAnsi="宋体" w:cs="楷体"/>
                <w:kern w:val="0"/>
                <w:sz w:val="22"/>
                <w:szCs w:val="22"/>
                <w:highlight w:val="none"/>
              </w:rPr>
              <w:t>”，上传成功后，“电子加密投标文件”自动失效），否则视为投标文件撤回。</w:t>
            </w:r>
          </w:p>
          <w:p w14:paraId="7C403F6E">
            <w:pPr>
              <w:spacing w:line="360" w:lineRule="exact"/>
              <w:rPr>
                <w:rFonts w:hint="eastAsia" w:ascii="宋体" w:hAnsi="宋体" w:cs="楷体"/>
                <w:b/>
                <w:kern w:val="0"/>
                <w:sz w:val="22"/>
                <w:szCs w:val="22"/>
                <w:highlight w:val="none"/>
              </w:rPr>
            </w:pPr>
            <w:r>
              <w:rPr>
                <w:rFonts w:hint="eastAsia" w:ascii="宋体" w:hAnsi="宋体" w:cs="楷体"/>
                <w:b/>
                <w:kern w:val="0"/>
                <w:sz w:val="22"/>
                <w:szCs w:val="22"/>
                <w:highlight w:val="none"/>
              </w:rPr>
              <w:t>（3）未按规定递交合格“备份投标文件”的或递交的“备份投标文件”无法成功上传的，视为投标文件撤回。</w:t>
            </w:r>
          </w:p>
          <w:p w14:paraId="48135719">
            <w:pPr>
              <w:spacing w:line="360" w:lineRule="exact"/>
              <w:rPr>
                <w:rFonts w:hint="eastAsia" w:ascii="宋体" w:hAnsi="宋体" w:cs="楷体"/>
                <w:kern w:val="0"/>
                <w:sz w:val="22"/>
                <w:szCs w:val="22"/>
                <w:highlight w:val="none"/>
              </w:rPr>
            </w:pPr>
            <w:r>
              <w:rPr>
                <w:rFonts w:hint="eastAsia" w:ascii="宋体" w:hAnsi="宋体" w:cs="楷体"/>
                <w:b/>
                <w:kern w:val="0"/>
                <w:sz w:val="22"/>
                <w:szCs w:val="22"/>
                <w:highlight w:val="none"/>
              </w:rPr>
              <w:t>（4）在解密期限内投标人电子投标文件解密失败，且经异常处理后政采云电子交易系统仍未能解决的，政采云系统会默认投标人自动放弃，视为撤回投标文件。</w:t>
            </w:r>
          </w:p>
        </w:tc>
      </w:tr>
      <w:tr w14:paraId="47F7713A">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BBAD7BF">
            <w:pPr>
              <w:tabs>
                <w:tab w:val="left" w:pos="318"/>
              </w:tabs>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22</w:t>
            </w:r>
          </w:p>
        </w:tc>
        <w:tc>
          <w:tcPr>
            <w:tcW w:w="1843" w:type="dxa"/>
            <w:tcBorders>
              <w:top w:val="single" w:color="auto" w:sz="4" w:space="0"/>
              <w:left w:val="single" w:color="auto" w:sz="4" w:space="0"/>
              <w:bottom w:val="single" w:color="auto" w:sz="4" w:space="0"/>
              <w:right w:val="single" w:color="auto" w:sz="4" w:space="0"/>
            </w:tcBorders>
            <w:vAlign w:val="center"/>
          </w:tcPr>
          <w:p w14:paraId="65CCC4CA">
            <w:pPr>
              <w:spacing w:line="360" w:lineRule="exact"/>
              <w:jc w:val="center"/>
              <w:rPr>
                <w:rFonts w:hint="eastAsia" w:ascii="宋体" w:hAnsi="宋体" w:cs="楷体"/>
                <w:kern w:val="0"/>
                <w:sz w:val="22"/>
                <w:szCs w:val="22"/>
                <w:highlight w:val="none"/>
              </w:rPr>
            </w:pPr>
            <w:r>
              <w:rPr>
                <w:rFonts w:ascii="宋体" w:hAnsi="宋体" w:cs="楷体"/>
                <w:kern w:val="0"/>
                <w:sz w:val="22"/>
                <w:szCs w:val="22"/>
                <w:highlight w:val="none"/>
              </w:rPr>
              <w:t>投标截止时间及地点</w:t>
            </w:r>
          </w:p>
        </w:tc>
        <w:tc>
          <w:tcPr>
            <w:tcW w:w="7796" w:type="dxa"/>
            <w:tcBorders>
              <w:top w:val="single" w:color="auto" w:sz="4" w:space="0"/>
              <w:left w:val="single" w:color="auto" w:sz="4" w:space="0"/>
              <w:bottom w:val="single" w:color="auto" w:sz="4" w:space="0"/>
              <w:right w:val="single" w:color="auto" w:sz="4" w:space="0"/>
            </w:tcBorders>
            <w:vAlign w:val="center"/>
          </w:tcPr>
          <w:p w14:paraId="6EF14945">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投标截止时间</w:t>
            </w:r>
            <w:r>
              <w:rPr>
                <w:rFonts w:ascii="宋体" w:hAnsi="宋体" w:cs="楷体"/>
                <w:kern w:val="0"/>
                <w:sz w:val="22"/>
                <w:szCs w:val="22"/>
                <w:highlight w:val="none"/>
              </w:rPr>
              <w:t>：</w:t>
            </w:r>
            <w:r>
              <w:rPr>
                <w:rFonts w:hint="eastAsia" w:ascii="宋体" w:hAnsi="宋体"/>
                <w:sz w:val="22"/>
                <w:szCs w:val="22"/>
                <w:highlight w:val="none"/>
              </w:rPr>
              <w:t>详见投标邀请函</w:t>
            </w:r>
          </w:p>
          <w:p w14:paraId="33929752">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递交地点：</w:t>
            </w:r>
            <w:r>
              <w:rPr>
                <w:rFonts w:hint="eastAsia" w:ascii="宋体" w:hAnsi="宋体"/>
                <w:sz w:val="22"/>
                <w:szCs w:val="22"/>
                <w:highlight w:val="none"/>
              </w:rPr>
              <w:t>通过“</w:t>
            </w:r>
            <w:r>
              <w:rPr>
                <w:rFonts w:hint="eastAsia" w:ascii="宋体" w:hAnsi="宋体"/>
                <w:sz w:val="22"/>
                <w:szCs w:val="22"/>
                <w:highlight w:val="none"/>
                <w:lang w:eastAsia="zh-CN"/>
              </w:rPr>
              <w:t>乐采云平台（https://www.lecaiyun.com/</w:t>
            </w:r>
            <w:r>
              <w:rPr>
                <w:rFonts w:hint="eastAsia" w:ascii="宋体" w:hAnsi="宋体"/>
                <w:sz w:val="22"/>
                <w:szCs w:val="22"/>
                <w:highlight w:val="none"/>
              </w:rPr>
              <w:t>”在线递交。</w:t>
            </w:r>
          </w:p>
        </w:tc>
      </w:tr>
      <w:tr w14:paraId="366869FD">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562514FF">
            <w:pPr>
              <w:tabs>
                <w:tab w:val="left" w:pos="318"/>
              </w:tabs>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23</w:t>
            </w:r>
          </w:p>
        </w:tc>
        <w:tc>
          <w:tcPr>
            <w:tcW w:w="1843" w:type="dxa"/>
            <w:tcBorders>
              <w:top w:val="single" w:color="auto" w:sz="4" w:space="0"/>
              <w:left w:val="single" w:color="auto" w:sz="4" w:space="0"/>
              <w:bottom w:val="single" w:color="auto" w:sz="4" w:space="0"/>
              <w:right w:val="single" w:color="auto" w:sz="4" w:space="0"/>
            </w:tcBorders>
            <w:vAlign w:val="center"/>
          </w:tcPr>
          <w:p w14:paraId="27CA37A5">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开标时间和地点</w:t>
            </w:r>
          </w:p>
        </w:tc>
        <w:tc>
          <w:tcPr>
            <w:tcW w:w="7796" w:type="dxa"/>
            <w:tcBorders>
              <w:top w:val="single" w:color="auto" w:sz="4" w:space="0"/>
              <w:left w:val="single" w:color="auto" w:sz="4" w:space="0"/>
              <w:bottom w:val="single" w:color="auto" w:sz="4" w:space="0"/>
              <w:right w:val="single" w:color="auto" w:sz="4" w:space="0"/>
            </w:tcBorders>
            <w:vAlign w:val="center"/>
          </w:tcPr>
          <w:p w14:paraId="55A33B8E">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开标时间：同投标截止时间</w:t>
            </w:r>
          </w:p>
          <w:p w14:paraId="596E6315">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开标地点：浙江立创项目管理有限公司会议室（温州市瓯海区娄桥街道仁汇路建设大厦20层西北首），通过“</w:t>
            </w:r>
            <w:r>
              <w:rPr>
                <w:rFonts w:hint="eastAsia" w:ascii="宋体" w:hAnsi="宋体" w:cs="楷体"/>
                <w:kern w:val="0"/>
                <w:sz w:val="22"/>
                <w:szCs w:val="22"/>
                <w:highlight w:val="none"/>
                <w:lang w:eastAsia="zh-CN"/>
              </w:rPr>
              <w:t>乐采云平台（https://www.lecaiyun.com/</w:t>
            </w:r>
            <w:r>
              <w:rPr>
                <w:rFonts w:hint="eastAsia" w:ascii="宋体" w:hAnsi="宋体" w:cs="楷体"/>
                <w:kern w:val="0"/>
                <w:sz w:val="22"/>
                <w:szCs w:val="22"/>
                <w:highlight w:val="none"/>
              </w:rPr>
              <w:t>”线上开启。</w:t>
            </w:r>
          </w:p>
        </w:tc>
      </w:tr>
      <w:tr w14:paraId="5BFF3586">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C676CA2">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24</w:t>
            </w:r>
          </w:p>
        </w:tc>
        <w:tc>
          <w:tcPr>
            <w:tcW w:w="1843" w:type="dxa"/>
            <w:tcBorders>
              <w:top w:val="single" w:color="auto" w:sz="4" w:space="0"/>
              <w:left w:val="single" w:color="auto" w:sz="4" w:space="0"/>
              <w:bottom w:val="single" w:color="auto" w:sz="4" w:space="0"/>
              <w:right w:val="single" w:color="auto" w:sz="4" w:space="0"/>
            </w:tcBorders>
            <w:vAlign w:val="center"/>
          </w:tcPr>
          <w:p w14:paraId="333E7CC6">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评标委员会</w:t>
            </w:r>
          </w:p>
          <w:p w14:paraId="0ACD0AD6">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的组建</w:t>
            </w:r>
          </w:p>
        </w:tc>
        <w:tc>
          <w:tcPr>
            <w:tcW w:w="7796" w:type="dxa"/>
            <w:tcBorders>
              <w:top w:val="single" w:color="auto" w:sz="4" w:space="0"/>
              <w:left w:val="single" w:color="auto" w:sz="4" w:space="0"/>
              <w:bottom w:val="single" w:color="auto" w:sz="4" w:space="0"/>
              <w:right w:val="single" w:color="auto" w:sz="4" w:space="0"/>
            </w:tcBorders>
            <w:vAlign w:val="center"/>
          </w:tcPr>
          <w:p w14:paraId="67EBD7C7">
            <w:pPr>
              <w:spacing w:line="360" w:lineRule="exact"/>
              <w:rPr>
                <w:rFonts w:hint="eastAsia" w:ascii="宋体" w:hAnsi="宋体" w:cs="楷体"/>
                <w:kern w:val="0"/>
                <w:sz w:val="22"/>
                <w:szCs w:val="22"/>
                <w:highlight w:val="none"/>
              </w:rPr>
            </w:pPr>
            <w:r>
              <w:rPr>
                <w:rFonts w:ascii="宋体" w:hAnsi="宋体" w:cs="楷体"/>
                <w:kern w:val="0"/>
                <w:sz w:val="22"/>
                <w:szCs w:val="22"/>
                <w:highlight w:val="none"/>
              </w:rPr>
              <w:t>评标委员会</w:t>
            </w:r>
            <w:r>
              <w:rPr>
                <w:rFonts w:hint="eastAsia" w:ascii="宋体" w:hAnsi="宋体" w:cs="楷体"/>
                <w:kern w:val="0"/>
                <w:sz w:val="22"/>
                <w:szCs w:val="22"/>
                <w:highlight w:val="none"/>
              </w:rPr>
              <w:t>构成：5人及5人以上单数。</w:t>
            </w:r>
          </w:p>
          <w:p w14:paraId="2A740651">
            <w:pPr>
              <w:spacing w:line="360" w:lineRule="exact"/>
              <w:rPr>
                <w:rFonts w:hint="eastAsia" w:ascii="宋体" w:hAnsi="宋体" w:cs="楷体"/>
                <w:kern w:val="0"/>
                <w:sz w:val="22"/>
                <w:szCs w:val="22"/>
                <w:highlight w:val="none"/>
              </w:rPr>
            </w:pPr>
            <w:r>
              <w:rPr>
                <w:rFonts w:ascii="宋体" w:hAnsi="宋体" w:cs="楷体"/>
                <w:kern w:val="0"/>
                <w:sz w:val="22"/>
                <w:szCs w:val="22"/>
                <w:highlight w:val="none"/>
              </w:rPr>
              <w:t>评标专家确定方式</w:t>
            </w:r>
            <w:r>
              <w:rPr>
                <w:rFonts w:hint="eastAsia" w:ascii="宋体" w:hAnsi="宋体" w:cs="楷体"/>
                <w:kern w:val="0"/>
                <w:sz w:val="22"/>
                <w:szCs w:val="22"/>
                <w:highlight w:val="none"/>
              </w:rPr>
              <w:t>：按规定组建。</w:t>
            </w:r>
          </w:p>
        </w:tc>
      </w:tr>
      <w:tr w14:paraId="5A17C799">
        <w:tblPrEx>
          <w:tblCellMar>
            <w:top w:w="0" w:type="dxa"/>
            <w:left w:w="108" w:type="dxa"/>
            <w:bottom w:w="0" w:type="dxa"/>
            <w:right w:w="108" w:type="dxa"/>
          </w:tblCellMar>
        </w:tblPrEx>
        <w:trPr>
          <w:trHeight w:val="1415"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479F8191">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25</w:t>
            </w:r>
          </w:p>
        </w:tc>
        <w:tc>
          <w:tcPr>
            <w:tcW w:w="1843" w:type="dxa"/>
            <w:tcBorders>
              <w:top w:val="single" w:color="auto" w:sz="4" w:space="0"/>
              <w:left w:val="single" w:color="auto" w:sz="4" w:space="0"/>
              <w:bottom w:val="single" w:color="auto" w:sz="4" w:space="0"/>
              <w:right w:val="single" w:color="auto" w:sz="4" w:space="0"/>
            </w:tcBorders>
            <w:vAlign w:val="center"/>
          </w:tcPr>
          <w:p w14:paraId="18AA4569">
            <w:pPr>
              <w:spacing w:line="360" w:lineRule="exact"/>
              <w:jc w:val="center"/>
              <w:rPr>
                <w:rFonts w:hint="eastAsia" w:ascii="宋体" w:hAnsi="宋体" w:cs="楷体"/>
                <w:kern w:val="0"/>
                <w:sz w:val="22"/>
                <w:szCs w:val="22"/>
                <w:highlight w:val="none"/>
              </w:rPr>
            </w:pPr>
            <w:r>
              <w:rPr>
                <w:rFonts w:hint="eastAsia" w:ascii="宋体" w:hAnsi="宋体" w:cs="新宋体"/>
                <w:kern w:val="0"/>
                <w:sz w:val="22"/>
                <w:szCs w:val="22"/>
                <w:highlight w:val="none"/>
              </w:rPr>
              <w:t>履约保证金</w:t>
            </w:r>
          </w:p>
        </w:tc>
        <w:tc>
          <w:tcPr>
            <w:tcW w:w="7796" w:type="dxa"/>
            <w:tcBorders>
              <w:top w:val="single" w:color="auto" w:sz="4" w:space="0"/>
              <w:left w:val="single" w:color="auto" w:sz="4" w:space="0"/>
              <w:bottom w:val="single" w:color="auto" w:sz="4" w:space="0"/>
              <w:right w:val="single" w:color="auto" w:sz="4" w:space="0"/>
            </w:tcBorders>
            <w:vAlign w:val="center"/>
          </w:tcPr>
          <w:p w14:paraId="6E96844E">
            <w:pPr>
              <w:spacing w:line="360" w:lineRule="exact"/>
              <w:rPr>
                <w:rFonts w:hint="eastAsia" w:ascii="宋体" w:hAnsi="宋体" w:cs="新宋体"/>
                <w:bCs/>
                <w:sz w:val="22"/>
                <w:szCs w:val="22"/>
                <w:highlight w:val="none"/>
              </w:rPr>
            </w:pPr>
            <w:r>
              <w:rPr>
                <w:rFonts w:hint="eastAsia" w:ascii="宋体" w:hAnsi="宋体" w:cs="新宋体"/>
                <w:bCs/>
                <w:sz w:val="22"/>
                <w:szCs w:val="22"/>
                <w:highlight w:val="none"/>
              </w:rPr>
              <w:t>□不需要</w:t>
            </w:r>
          </w:p>
          <w:p w14:paraId="30D67B84">
            <w:pPr>
              <w:spacing w:line="360" w:lineRule="exact"/>
              <w:rPr>
                <w:rFonts w:hint="eastAsia" w:ascii="宋体" w:hAnsi="宋体" w:cs="楷体"/>
                <w:kern w:val="0"/>
                <w:sz w:val="22"/>
                <w:szCs w:val="22"/>
                <w:highlight w:val="none"/>
              </w:rPr>
            </w:pPr>
            <w:r>
              <w:rPr>
                <w:rFonts w:hint="eastAsia" w:ascii="宋体" w:hAnsi="宋体" w:cs="新宋体"/>
                <w:bCs/>
                <w:sz w:val="22"/>
                <w:szCs w:val="22"/>
                <w:highlight w:val="none"/>
              </w:rPr>
              <w:sym w:font="Wingdings" w:char="00FE"/>
            </w:r>
            <w:r>
              <w:rPr>
                <w:rFonts w:hint="eastAsia" w:ascii="宋体" w:hAnsi="宋体" w:cs="新宋体"/>
                <w:bCs/>
                <w:sz w:val="22"/>
                <w:szCs w:val="22"/>
                <w:highlight w:val="none"/>
              </w:rPr>
              <w:t>需要，签订合同后7个工作日内，中标人向采购人提交合同金额1%的履约保证金（提交方式：现金、转账、支票、汇票、本票或者金融机构、担保机构出具的保函等形式）。</w:t>
            </w:r>
          </w:p>
        </w:tc>
      </w:tr>
      <w:tr w14:paraId="3F138879">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370421BF">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26</w:t>
            </w:r>
          </w:p>
        </w:tc>
        <w:tc>
          <w:tcPr>
            <w:tcW w:w="1843" w:type="dxa"/>
            <w:tcBorders>
              <w:top w:val="single" w:color="auto" w:sz="4" w:space="0"/>
              <w:left w:val="single" w:color="auto" w:sz="4" w:space="0"/>
              <w:bottom w:val="single" w:color="auto" w:sz="4" w:space="0"/>
              <w:right w:val="single" w:color="auto" w:sz="4" w:space="0"/>
            </w:tcBorders>
            <w:vAlign w:val="center"/>
          </w:tcPr>
          <w:p w14:paraId="1464B1D5">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政府采购信息发布媒体（以下简称为：“指定媒体”）</w:t>
            </w:r>
          </w:p>
        </w:tc>
        <w:tc>
          <w:tcPr>
            <w:tcW w:w="7796" w:type="dxa"/>
            <w:tcBorders>
              <w:top w:val="single" w:color="auto" w:sz="4" w:space="0"/>
              <w:left w:val="single" w:color="auto" w:sz="4" w:space="0"/>
              <w:bottom w:val="single" w:color="auto" w:sz="4" w:space="0"/>
              <w:right w:val="single" w:color="auto" w:sz="4" w:space="0"/>
            </w:tcBorders>
            <w:vAlign w:val="center"/>
          </w:tcPr>
          <w:p w14:paraId="0758D426">
            <w:pPr>
              <w:spacing w:line="360" w:lineRule="exact"/>
              <w:rPr>
                <w:rFonts w:hint="eastAsia" w:ascii="宋体" w:hAnsi="宋体" w:cs="楷体"/>
                <w:kern w:val="0"/>
                <w:sz w:val="22"/>
                <w:szCs w:val="22"/>
                <w:highlight w:val="none"/>
              </w:rPr>
            </w:pPr>
            <w:r>
              <w:rPr>
                <w:rFonts w:ascii="宋体" w:hAnsi="宋体" w:cs="楷体"/>
                <w:kern w:val="0"/>
                <w:sz w:val="22"/>
                <w:szCs w:val="22"/>
                <w:highlight w:val="none"/>
              </w:rPr>
              <w:t>1</w:t>
            </w:r>
            <w:r>
              <w:rPr>
                <w:rFonts w:hint="eastAsia" w:ascii="宋体" w:hAnsi="宋体" w:cs="楷体"/>
                <w:kern w:val="0"/>
                <w:sz w:val="22"/>
                <w:szCs w:val="22"/>
                <w:highlight w:val="none"/>
              </w:rPr>
              <w:t>、本项目的有关信息，包括但不限于：招标公告、澄清（更正）公告（若有）、招标文件、招标文件的澄清（修改）（若有）、中标公告、终止公告（若有）、废标公告（若有）等都将在招标文件载明的指定媒体发布。</w:t>
            </w:r>
          </w:p>
          <w:p w14:paraId="2EC16643">
            <w:pPr>
              <w:spacing w:line="360" w:lineRule="exact"/>
              <w:rPr>
                <w:rFonts w:hint="eastAsia" w:ascii="宋体" w:hAnsi="宋体"/>
                <w:sz w:val="22"/>
                <w:szCs w:val="22"/>
                <w:highlight w:val="none"/>
              </w:rPr>
            </w:pPr>
            <w:r>
              <w:rPr>
                <w:rFonts w:ascii="宋体" w:hAnsi="宋体" w:cs="楷体"/>
                <w:kern w:val="0"/>
                <w:sz w:val="22"/>
                <w:szCs w:val="22"/>
                <w:highlight w:val="none"/>
              </w:rPr>
              <w:t>2</w:t>
            </w:r>
            <w:r>
              <w:rPr>
                <w:rFonts w:hint="eastAsia" w:ascii="宋体" w:hAnsi="宋体" w:cs="楷体"/>
                <w:kern w:val="0"/>
                <w:sz w:val="22"/>
                <w:szCs w:val="22"/>
                <w:highlight w:val="none"/>
              </w:rPr>
              <w:t>、指定媒体：浙江政府采购网，网址</w:t>
            </w:r>
            <w:r>
              <w:rPr>
                <w:rFonts w:ascii="宋体" w:hAnsi="宋体" w:cs="楷体"/>
                <w:kern w:val="0"/>
                <w:sz w:val="22"/>
                <w:szCs w:val="22"/>
                <w:highlight w:val="none"/>
              </w:rPr>
              <w:t>zfcg.czt.zj.gov.cn</w:t>
            </w:r>
            <w:r>
              <w:rPr>
                <w:rFonts w:hint="eastAsia" w:ascii="宋体" w:hAnsi="宋体" w:cs="楷体"/>
                <w:kern w:val="0"/>
                <w:sz w:val="22"/>
                <w:szCs w:val="22"/>
                <w:highlight w:val="none"/>
              </w:rPr>
              <w:t>。</w:t>
            </w:r>
          </w:p>
        </w:tc>
      </w:tr>
      <w:tr w14:paraId="030598C0">
        <w:tblPrEx>
          <w:tblCellMar>
            <w:top w:w="0" w:type="dxa"/>
            <w:left w:w="108" w:type="dxa"/>
            <w:bottom w:w="0" w:type="dxa"/>
            <w:right w:w="108" w:type="dxa"/>
          </w:tblCellMar>
        </w:tblPrEx>
        <w:trPr>
          <w:trHeight w:val="544" w:hRule="atLeast"/>
          <w:jc w:val="center"/>
        </w:trPr>
        <w:tc>
          <w:tcPr>
            <w:tcW w:w="562" w:type="dxa"/>
            <w:tcBorders>
              <w:top w:val="single" w:color="auto" w:sz="4" w:space="0"/>
              <w:left w:val="single" w:color="auto" w:sz="4" w:space="0"/>
              <w:bottom w:val="single" w:color="auto" w:sz="4" w:space="0"/>
              <w:right w:val="single" w:color="auto" w:sz="4" w:space="0"/>
            </w:tcBorders>
            <w:vAlign w:val="center"/>
          </w:tcPr>
          <w:p w14:paraId="1714E725">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27</w:t>
            </w:r>
          </w:p>
        </w:tc>
        <w:tc>
          <w:tcPr>
            <w:tcW w:w="1843" w:type="dxa"/>
            <w:tcBorders>
              <w:top w:val="single" w:color="auto" w:sz="4" w:space="0"/>
              <w:left w:val="single" w:color="auto" w:sz="4" w:space="0"/>
              <w:bottom w:val="single" w:color="auto" w:sz="4" w:space="0"/>
              <w:right w:val="single" w:color="auto" w:sz="4" w:space="0"/>
            </w:tcBorders>
            <w:vAlign w:val="center"/>
          </w:tcPr>
          <w:p w14:paraId="4A0A8EF8">
            <w:pPr>
              <w:spacing w:line="360" w:lineRule="exact"/>
              <w:jc w:val="center"/>
              <w:rPr>
                <w:rFonts w:hint="eastAsia" w:ascii="宋体" w:hAnsi="宋体" w:cs="楷体"/>
                <w:kern w:val="0"/>
                <w:sz w:val="22"/>
                <w:szCs w:val="22"/>
                <w:highlight w:val="none"/>
              </w:rPr>
            </w:pPr>
            <w:r>
              <w:rPr>
                <w:rFonts w:hint="eastAsia" w:ascii="宋体" w:hAnsi="宋体" w:cs="楷体"/>
                <w:kern w:val="0"/>
                <w:sz w:val="22"/>
                <w:szCs w:val="22"/>
                <w:highlight w:val="none"/>
              </w:rPr>
              <w:t>其他说明</w:t>
            </w:r>
          </w:p>
        </w:tc>
        <w:tc>
          <w:tcPr>
            <w:tcW w:w="7796" w:type="dxa"/>
            <w:tcBorders>
              <w:top w:val="single" w:color="auto" w:sz="4" w:space="0"/>
              <w:left w:val="single" w:color="auto" w:sz="4" w:space="0"/>
              <w:bottom w:val="single" w:color="auto" w:sz="4" w:space="0"/>
              <w:right w:val="single" w:color="auto" w:sz="4" w:space="0"/>
            </w:tcBorders>
            <w:vAlign w:val="center"/>
          </w:tcPr>
          <w:p w14:paraId="0E63708C">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1、招标文件、招标公告中如有前后不一致的，一律以本“投标人须知前附表”为准。</w:t>
            </w:r>
          </w:p>
          <w:p w14:paraId="70B8E3FA">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2、本招标文件涉及的时间为“北京时间”。</w:t>
            </w:r>
          </w:p>
          <w:p w14:paraId="64B481D3">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3、本招标文件涉及的货币为“人民币”。</w:t>
            </w:r>
          </w:p>
          <w:p w14:paraId="16130DC5">
            <w:pPr>
              <w:spacing w:line="360" w:lineRule="exact"/>
              <w:rPr>
                <w:rFonts w:hint="eastAsia" w:ascii="宋体" w:hAnsi="宋体" w:cs="楷体"/>
                <w:kern w:val="0"/>
                <w:sz w:val="22"/>
                <w:szCs w:val="22"/>
                <w:highlight w:val="none"/>
              </w:rPr>
            </w:pPr>
            <w:r>
              <w:rPr>
                <w:rFonts w:hint="eastAsia" w:ascii="宋体" w:hAnsi="宋体" w:cs="楷体"/>
                <w:kern w:val="0"/>
                <w:sz w:val="22"/>
                <w:szCs w:val="22"/>
                <w:highlight w:val="none"/>
              </w:rPr>
              <w:t>4、本招标文件的解释权属于采购人及采购代理机构。</w:t>
            </w:r>
          </w:p>
          <w:p w14:paraId="4F8B4A97">
            <w:pPr>
              <w:adjustRightInd w:val="0"/>
              <w:snapToGrid w:val="0"/>
              <w:spacing w:line="360" w:lineRule="exact"/>
              <w:rPr>
                <w:rFonts w:hint="eastAsia" w:ascii="宋体" w:hAnsi="宋体"/>
                <w:b/>
                <w:sz w:val="22"/>
                <w:szCs w:val="22"/>
                <w:highlight w:val="none"/>
              </w:rPr>
            </w:pPr>
            <w:r>
              <w:rPr>
                <w:rFonts w:hint="eastAsia" w:ascii="宋体" w:hAnsi="宋体" w:cs="楷体"/>
                <w:kern w:val="0"/>
                <w:sz w:val="22"/>
                <w:szCs w:val="22"/>
                <w:highlight w:val="none"/>
              </w:rPr>
              <w:t>5、</w:t>
            </w:r>
            <w:r>
              <w:rPr>
                <w:rFonts w:ascii="宋体" w:hAnsi="宋体"/>
                <w:b/>
                <w:sz w:val="22"/>
                <w:szCs w:val="22"/>
                <w:highlight w:val="none"/>
              </w:rPr>
              <w:t>中标</w:t>
            </w:r>
            <w:r>
              <w:rPr>
                <w:rFonts w:hint="eastAsia" w:ascii="宋体" w:hAnsi="宋体"/>
                <w:b/>
                <w:sz w:val="22"/>
                <w:szCs w:val="22"/>
                <w:highlight w:val="none"/>
              </w:rPr>
              <w:t>（</w:t>
            </w:r>
            <w:r>
              <w:rPr>
                <w:rFonts w:ascii="宋体" w:hAnsi="宋体"/>
                <w:b/>
                <w:sz w:val="22"/>
                <w:szCs w:val="22"/>
                <w:highlight w:val="none"/>
              </w:rPr>
              <w:t>成交</w:t>
            </w:r>
            <w:r>
              <w:rPr>
                <w:rFonts w:hint="eastAsia" w:ascii="宋体" w:hAnsi="宋体"/>
                <w:b/>
                <w:sz w:val="22"/>
                <w:szCs w:val="22"/>
                <w:highlight w:val="none"/>
              </w:rPr>
              <w:t>）</w:t>
            </w:r>
            <w:r>
              <w:rPr>
                <w:rFonts w:ascii="宋体" w:hAnsi="宋体"/>
                <w:b/>
                <w:sz w:val="22"/>
                <w:szCs w:val="22"/>
                <w:highlight w:val="none"/>
              </w:rPr>
              <w:t>供应商</w:t>
            </w:r>
            <w:r>
              <w:rPr>
                <w:rFonts w:hint="eastAsia" w:ascii="宋体" w:hAnsi="宋体"/>
                <w:b/>
                <w:sz w:val="22"/>
                <w:szCs w:val="22"/>
                <w:highlight w:val="none"/>
              </w:rPr>
              <w:t>须在合同签订后两个工作日内将合同扫描件电子版发给采购代理机构备案（邮箱：5499379@qq.com），否则会影响合同款的支付。</w:t>
            </w:r>
          </w:p>
          <w:p w14:paraId="39E59D78">
            <w:pPr>
              <w:wordWrap w:val="0"/>
              <w:adjustRightInd w:val="0"/>
              <w:snapToGrid w:val="0"/>
              <w:spacing w:line="360" w:lineRule="exact"/>
              <w:rPr>
                <w:rFonts w:hint="eastAsia" w:ascii="宋体" w:hAnsi="宋体"/>
                <w:b/>
                <w:sz w:val="22"/>
                <w:szCs w:val="22"/>
                <w:highlight w:val="none"/>
              </w:rPr>
            </w:pPr>
            <w:r>
              <w:rPr>
                <w:rFonts w:hint="eastAsia" w:ascii="宋体" w:hAnsi="宋体"/>
                <w:sz w:val="22"/>
                <w:szCs w:val="22"/>
                <w:highlight w:val="none"/>
              </w:rPr>
              <w:t>6、</w:t>
            </w:r>
            <w:r>
              <w:rPr>
                <w:rFonts w:hint="eastAsia" w:ascii="宋体" w:hAnsi="宋体"/>
                <w:b/>
                <w:sz w:val="22"/>
                <w:szCs w:val="22"/>
                <w:highlight w:val="none"/>
              </w:rPr>
              <w:t>政采云公司如对“政府采购项目电子交易管理操作”有调整的，按调整后的说明操作。</w:t>
            </w:r>
          </w:p>
          <w:p w14:paraId="71CA905E">
            <w:pPr>
              <w:wordWrap w:val="0"/>
              <w:adjustRightInd w:val="0"/>
              <w:snapToGrid w:val="0"/>
              <w:spacing w:line="360" w:lineRule="exact"/>
              <w:rPr>
                <w:rFonts w:hint="eastAsia" w:ascii="宋体" w:hAnsi="宋体"/>
                <w:b/>
                <w:sz w:val="22"/>
                <w:szCs w:val="22"/>
                <w:highlight w:val="none"/>
              </w:rPr>
            </w:pPr>
            <w:r>
              <w:rPr>
                <w:rFonts w:hint="eastAsia" w:ascii="宋体" w:hAnsi="宋体"/>
                <w:b/>
                <w:sz w:val="22"/>
                <w:szCs w:val="22"/>
                <w:highlight w:val="none"/>
              </w:rPr>
              <w:t>7、本项目仅提供电子版招标文件，电子版招标</w:t>
            </w:r>
            <w:r>
              <w:rPr>
                <w:rFonts w:ascii="宋体" w:hAnsi="宋体"/>
                <w:b/>
                <w:sz w:val="22"/>
                <w:szCs w:val="22"/>
                <w:highlight w:val="none"/>
              </w:rPr>
              <w:t>文件与纸质版</w:t>
            </w:r>
            <w:r>
              <w:rPr>
                <w:rFonts w:hint="eastAsia" w:ascii="宋体" w:hAnsi="宋体"/>
                <w:b/>
                <w:sz w:val="22"/>
                <w:szCs w:val="22"/>
                <w:highlight w:val="none"/>
              </w:rPr>
              <w:t>招标文件</w:t>
            </w:r>
            <w:r>
              <w:rPr>
                <w:rFonts w:ascii="宋体" w:hAnsi="宋体"/>
                <w:b/>
                <w:sz w:val="22"/>
                <w:szCs w:val="22"/>
                <w:highlight w:val="none"/>
              </w:rPr>
              <w:t>具有同等效力</w:t>
            </w:r>
            <w:r>
              <w:rPr>
                <w:rFonts w:hint="eastAsia" w:ascii="宋体" w:hAnsi="宋体"/>
                <w:b/>
                <w:sz w:val="22"/>
                <w:szCs w:val="22"/>
                <w:highlight w:val="none"/>
              </w:rPr>
              <w:t>。</w:t>
            </w:r>
          </w:p>
          <w:p w14:paraId="0F138DF5">
            <w:pPr>
              <w:wordWrap w:val="0"/>
              <w:adjustRightInd w:val="0"/>
              <w:snapToGrid w:val="0"/>
              <w:spacing w:line="360" w:lineRule="exact"/>
              <w:rPr>
                <w:rFonts w:hint="eastAsia" w:ascii="宋体" w:hAnsi="宋体"/>
                <w:sz w:val="22"/>
                <w:szCs w:val="22"/>
                <w:highlight w:val="none"/>
              </w:rPr>
            </w:pPr>
            <w:r>
              <w:rPr>
                <w:rFonts w:hint="eastAsia" w:ascii="宋体" w:hAnsi="宋体"/>
                <w:b/>
                <w:sz w:val="22"/>
                <w:szCs w:val="22"/>
                <w:highlight w:val="none"/>
              </w:rPr>
              <w:t>8、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bl>
    <w:p w14:paraId="2CFCBC62">
      <w:pPr>
        <w:pStyle w:val="6"/>
        <w:spacing w:line="400" w:lineRule="exact"/>
        <w:jc w:val="center"/>
        <w:rPr>
          <w:rFonts w:hint="eastAsia" w:ascii="宋体" w:hAnsi="宋体" w:eastAsia="宋体" w:cs="Courier New"/>
          <w:highlight w:val="none"/>
        </w:rPr>
      </w:pPr>
      <w:r>
        <w:rPr>
          <w:rFonts w:ascii="宋体" w:hAnsi="宋体" w:eastAsia="宋体" w:cs="Courier New"/>
          <w:highlight w:val="none"/>
          <w:lang w:val="en-US"/>
        </w:rPr>
        <w:br w:type="page"/>
      </w:r>
      <w:bookmarkStart w:id="34" w:name="_Toc26114"/>
      <w:r>
        <w:rPr>
          <w:rFonts w:hint="eastAsia" w:ascii="宋体" w:hAnsi="宋体" w:eastAsia="宋体" w:cs="Courier New"/>
          <w:highlight w:val="none"/>
        </w:rPr>
        <w:t>一、 说明</w:t>
      </w:r>
      <w:bookmarkEnd w:id="24"/>
      <w:bookmarkEnd w:id="25"/>
      <w:bookmarkEnd w:id="26"/>
      <w:bookmarkEnd w:id="27"/>
      <w:bookmarkEnd w:id="28"/>
      <w:bookmarkEnd w:id="29"/>
      <w:bookmarkEnd w:id="30"/>
      <w:bookmarkEnd w:id="31"/>
      <w:bookmarkEnd w:id="32"/>
      <w:bookmarkEnd w:id="33"/>
      <w:bookmarkEnd w:id="34"/>
    </w:p>
    <w:p w14:paraId="62A31FFD">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sz w:val="22"/>
          <w:szCs w:val="22"/>
          <w:highlight w:val="none"/>
        </w:rPr>
        <w:t>适用范围：适用于招标文件载明项目的政府采购活动（以下简称：“本次采购活动”）。</w:t>
      </w:r>
    </w:p>
    <w:p w14:paraId="7CE05C33">
      <w:pPr>
        <w:numPr>
          <w:ilvl w:val="0"/>
          <w:numId w:val="3"/>
        </w:numPr>
        <w:tabs>
          <w:tab w:val="left" w:pos="540"/>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采购人、采购代理机构：见投标人须知前附表。</w:t>
      </w:r>
    </w:p>
    <w:p w14:paraId="12DA4114">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投标人：</w:t>
      </w:r>
      <w:r>
        <w:rPr>
          <w:rFonts w:ascii="宋体" w:hAnsi="宋体" w:cs="Courier New"/>
          <w:sz w:val="22"/>
          <w:szCs w:val="22"/>
          <w:highlight w:val="none"/>
        </w:rPr>
        <w:t>是响应招标、参加投标竞争的</w:t>
      </w:r>
      <w:r>
        <w:rPr>
          <w:rFonts w:hint="eastAsia" w:ascii="宋体" w:hAnsi="宋体" w:cs="Courier New"/>
          <w:sz w:val="22"/>
          <w:szCs w:val="22"/>
          <w:highlight w:val="none"/>
        </w:rPr>
        <w:t>供应商。</w:t>
      </w:r>
    </w:p>
    <w:p w14:paraId="645486D0">
      <w:pPr>
        <w:numPr>
          <w:ilvl w:val="0"/>
          <w:numId w:val="3"/>
        </w:numPr>
        <w:tabs>
          <w:tab w:val="left" w:pos="525"/>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潜在供应商：有意向参加本项目投标的供应商。</w:t>
      </w:r>
    </w:p>
    <w:p w14:paraId="058753AF">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投标人代表</w:t>
      </w:r>
    </w:p>
    <w:p w14:paraId="025E8412">
      <w:pPr>
        <w:numPr>
          <w:ilvl w:val="1"/>
          <w:numId w:val="3"/>
        </w:numPr>
        <w:spacing w:line="360" w:lineRule="auto"/>
        <w:rPr>
          <w:rFonts w:hint="eastAsia" w:ascii="宋体" w:hAnsi="宋体"/>
          <w:sz w:val="22"/>
          <w:szCs w:val="22"/>
          <w:highlight w:val="none"/>
        </w:rPr>
      </w:pPr>
      <w:r>
        <w:rPr>
          <w:rFonts w:hint="eastAsia" w:ascii="宋体" w:hAnsi="宋体"/>
          <w:sz w:val="22"/>
          <w:szCs w:val="22"/>
          <w:highlight w:val="none"/>
        </w:rPr>
        <w:t>指全权代表投标人参加投标活动并签署投标文件的人。如果投标人代表不是单位负责人，须持有《单位负责人授权书》。</w:t>
      </w:r>
    </w:p>
    <w:p w14:paraId="1B6AE09E">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ascii="宋体" w:hAnsi="宋体" w:cs="Courier New"/>
          <w:sz w:val="22"/>
          <w:szCs w:val="22"/>
          <w:highlight w:val="none"/>
        </w:rPr>
        <w:t>“单位负责人”指单位</w:t>
      </w:r>
      <w:r>
        <w:rPr>
          <w:rFonts w:hint="eastAsia" w:ascii="宋体" w:hAnsi="宋体"/>
          <w:sz w:val="22"/>
          <w:szCs w:val="22"/>
          <w:highlight w:val="none"/>
        </w:rPr>
        <w:t>法定代表人</w:t>
      </w:r>
      <w:r>
        <w:rPr>
          <w:rFonts w:ascii="宋体" w:hAnsi="宋体" w:cs="Courier New"/>
          <w:sz w:val="22"/>
          <w:szCs w:val="22"/>
          <w:highlight w:val="none"/>
        </w:rPr>
        <w:t>或法律、法规规定代表单位行使职权的主要负责人。</w:t>
      </w:r>
    </w:p>
    <w:p w14:paraId="6EFE74D1">
      <w:pPr>
        <w:pStyle w:val="221"/>
        <w:spacing w:line="360" w:lineRule="auto"/>
        <w:ind w:left="567" w:firstLine="0" w:firstLineChars="0"/>
        <w:rPr>
          <w:rFonts w:hint="eastAsia" w:ascii="宋体" w:hAnsi="宋体"/>
          <w:sz w:val="22"/>
          <w:szCs w:val="22"/>
          <w:highlight w:val="none"/>
        </w:rPr>
      </w:pPr>
      <w:r>
        <w:rPr>
          <w:rFonts w:hint="eastAsia" w:ascii="宋体" w:hAnsi="宋体"/>
          <w:sz w:val="22"/>
          <w:szCs w:val="22"/>
          <w:highlight w:val="none"/>
        </w:rPr>
        <w:t>①</w:t>
      </w:r>
      <w:r>
        <w:rPr>
          <w:rFonts w:ascii="宋体" w:hAnsi="宋体"/>
          <w:sz w:val="22"/>
          <w:szCs w:val="22"/>
          <w:highlight w:val="none"/>
          <w:u w:val="single"/>
        </w:rPr>
        <w:t>企业（银行、保险、石油石化、电力、电信等行业除外）、事业单位和社会团体法人的“单位负责人”指法定代表人</w:t>
      </w:r>
      <w:r>
        <w:rPr>
          <w:rFonts w:ascii="宋体" w:hAnsi="宋体"/>
          <w:sz w:val="22"/>
          <w:szCs w:val="22"/>
          <w:highlight w:val="none"/>
        </w:rPr>
        <w:t xml:space="preserve">，即与实际提交的“营业执照等证明文件”载明的一致。 </w:t>
      </w:r>
    </w:p>
    <w:p w14:paraId="120F48AA">
      <w:pPr>
        <w:pStyle w:val="221"/>
        <w:spacing w:line="360" w:lineRule="auto"/>
        <w:ind w:left="567" w:firstLine="0" w:firstLineChars="0"/>
        <w:rPr>
          <w:rFonts w:hint="eastAsia" w:ascii="宋体" w:hAnsi="宋体"/>
          <w:sz w:val="22"/>
          <w:szCs w:val="22"/>
          <w:highlight w:val="none"/>
        </w:rPr>
      </w:pPr>
      <w:r>
        <w:rPr>
          <w:rFonts w:hint="eastAsia" w:ascii="宋体" w:hAnsi="宋体"/>
          <w:sz w:val="22"/>
          <w:szCs w:val="22"/>
          <w:highlight w:val="none"/>
        </w:rPr>
        <w:t>②</w:t>
      </w:r>
      <w:r>
        <w:rPr>
          <w:rFonts w:ascii="宋体" w:hAnsi="宋体"/>
          <w:sz w:val="22"/>
          <w:szCs w:val="22"/>
          <w:highlight w:val="none"/>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EA9BE2D">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投标费用</w:t>
      </w:r>
    </w:p>
    <w:p w14:paraId="1CA534A2">
      <w:pPr>
        <w:numPr>
          <w:ilvl w:val="1"/>
          <w:numId w:val="3"/>
        </w:numPr>
        <w:spacing w:line="360" w:lineRule="auto"/>
        <w:rPr>
          <w:rFonts w:hint="eastAsia" w:ascii="宋体" w:hAnsi="宋体"/>
          <w:sz w:val="22"/>
          <w:szCs w:val="22"/>
          <w:highlight w:val="none"/>
        </w:rPr>
      </w:pPr>
      <w:bookmarkStart w:id="35" w:name="_Hlk100432752"/>
      <w:r>
        <w:rPr>
          <w:rFonts w:hint="eastAsia" w:ascii="宋体" w:hAnsi="宋体"/>
          <w:sz w:val="22"/>
          <w:szCs w:val="22"/>
          <w:highlight w:val="none"/>
        </w:rPr>
        <w:t>投标人应自行承担所有与准备和参加本次采购活动有关费用</w:t>
      </w:r>
      <w:bookmarkEnd w:id="35"/>
      <w:r>
        <w:rPr>
          <w:rFonts w:hint="eastAsia" w:ascii="宋体" w:hAnsi="宋体"/>
          <w:sz w:val="22"/>
          <w:szCs w:val="22"/>
          <w:highlight w:val="none"/>
        </w:rPr>
        <w:t>，不论投标的结果如何，采购人和采购代理机构（以下统称“招标采购单位”）均无义务和责任承担这些费用。</w:t>
      </w:r>
    </w:p>
    <w:p w14:paraId="6D599BBD">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Courier New"/>
          <w:sz w:val="22"/>
          <w:szCs w:val="22"/>
          <w:highlight w:val="none"/>
        </w:rPr>
        <w:t>现场考察</w:t>
      </w:r>
      <w:r>
        <w:rPr>
          <w:rFonts w:hint="eastAsia" w:ascii="宋体" w:hAnsi="宋体" w:cs="楷体"/>
          <w:kern w:val="0"/>
          <w:sz w:val="22"/>
          <w:szCs w:val="22"/>
          <w:highlight w:val="none"/>
        </w:rPr>
        <w:t>或开标前答疑会</w:t>
      </w:r>
    </w:p>
    <w:p w14:paraId="07676830">
      <w:pPr>
        <w:numPr>
          <w:ilvl w:val="1"/>
          <w:numId w:val="3"/>
        </w:numPr>
        <w:tabs>
          <w:tab w:val="left" w:pos="525"/>
          <w:tab w:val="left" w:pos="635"/>
          <w:tab w:val="left" w:pos="900"/>
        </w:tabs>
        <w:spacing w:line="360" w:lineRule="auto"/>
        <w:rPr>
          <w:rFonts w:hint="eastAsia" w:ascii="宋体" w:hAnsi="宋体" w:cs="楷体"/>
          <w:kern w:val="0"/>
          <w:sz w:val="22"/>
          <w:szCs w:val="22"/>
          <w:highlight w:val="none"/>
        </w:rPr>
      </w:pPr>
      <w:r>
        <w:rPr>
          <w:rFonts w:ascii="宋体" w:hAnsi="宋体" w:cs="楷体"/>
          <w:kern w:val="0"/>
          <w:sz w:val="22"/>
          <w:szCs w:val="22"/>
          <w:highlight w:val="none"/>
        </w:rPr>
        <w:t>是否组织</w:t>
      </w:r>
      <w:r>
        <w:rPr>
          <w:rFonts w:hint="eastAsia" w:ascii="宋体" w:hAnsi="宋体" w:cs="Courier New"/>
          <w:sz w:val="22"/>
          <w:szCs w:val="22"/>
          <w:highlight w:val="none"/>
        </w:rPr>
        <w:t>现场考察</w:t>
      </w:r>
      <w:r>
        <w:rPr>
          <w:rFonts w:hint="eastAsia" w:ascii="宋体" w:hAnsi="宋体" w:cs="楷体"/>
          <w:kern w:val="0"/>
          <w:sz w:val="22"/>
          <w:szCs w:val="22"/>
          <w:highlight w:val="none"/>
        </w:rPr>
        <w:t>或召开开标前答疑会：</w:t>
      </w:r>
      <w:r>
        <w:rPr>
          <w:rFonts w:hint="eastAsia" w:ascii="宋体" w:hAnsi="宋体" w:cs="Courier New"/>
          <w:sz w:val="22"/>
          <w:szCs w:val="22"/>
          <w:highlight w:val="none"/>
        </w:rPr>
        <w:t>见投标人须知前附表。</w:t>
      </w:r>
    </w:p>
    <w:p w14:paraId="21D15657">
      <w:pPr>
        <w:pStyle w:val="6"/>
        <w:spacing w:line="400" w:lineRule="exact"/>
        <w:jc w:val="center"/>
        <w:rPr>
          <w:rFonts w:hint="eastAsia" w:ascii="宋体" w:hAnsi="宋体" w:eastAsia="宋体" w:cs="Courier New"/>
          <w:highlight w:val="none"/>
        </w:rPr>
      </w:pPr>
      <w:bookmarkStart w:id="36" w:name="_Toc209261433"/>
      <w:bookmarkStart w:id="37" w:name="_Toc227056847"/>
      <w:bookmarkStart w:id="38" w:name="_Toc205005287"/>
      <w:bookmarkStart w:id="39" w:name="_Toc223933222"/>
      <w:bookmarkStart w:id="40" w:name="_Toc210879709"/>
      <w:bookmarkStart w:id="41" w:name="_Toc215415531"/>
      <w:bookmarkStart w:id="42" w:name="_Toc217460686"/>
      <w:bookmarkStart w:id="43" w:name="_Toc214365791"/>
      <w:bookmarkStart w:id="44" w:name="_Toc205004969"/>
      <w:bookmarkStart w:id="45" w:name="_Toc218041727"/>
      <w:bookmarkStart w:id="46" w:name="_Toc204578576"/>
      <w:bookmarkStart w:id="47" w:name="_Toc227489888"/>
      <w:bookmarkStart w:id="48" w:name="_Toc219538614"/>
      <w:bookmarkStart w:id="49" w:name="_Toc204491318"/>
      <w:bookmarkStart w:id="50" w:name="_Toc227057034"/>
      <w:bookmarkStart w:id="51" w:name="_Toc209332634"/>
      <w:bookmarkStart w:id="52" w:name="_Toc216667821"/>
      <w:bookmarkStart w:id="53" w:name="_Toc205703103"/>
      <w:bookmarkStart w:id="54" w:name="_Toc209261366"/>
      <w:bookmarkStart w:id="55" w:name="_Toc209250720"/>
      <w:bookmarkStart w:id="56" w:name="_Toc205877453"/>
      <w:bookmarkStart w:id="57" w:name="_Toc223717605"/>
      <w:bookmarkStart w:id="58" w:name="_Toc205877558"/>
      <w:bookmarkStart w:id="59" w:name="_Toc207609182"/>
      <w:bookmarkStart w:id="60" w:name="_Toc209251128"/>
      <w:bookmarkStart w:id="61" w:name="_Toc19900"/>
      <w:r>
        <w:rPr>
          <w:rFonts w:hint="eastAsia" w:ascii="宋体" w:hAnsi="宋体" w:eastAsia="宋体" w:cs="Courier New"/>
          <w:highlight w:val="none"/>
        </w:rPr>
        <w:t>二、 招标</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Courier New"/>
          <w:highlight w:val="none"/>
        </w:rPr>
        <w:t>文件</w:t>
      </w:r>
      <w:bookmarkEnd w:id="61"/>
    </w:p>
    <w:p w14:paraId="5DFD1EFA">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招标文件由招标文件目录所列内容及相关资料组成。</w:t>
      </w:r>
    </w:p>
    <w:p w14:paraId="5061C38E">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招标文件的澄清或修改</w:t>
      </w:r>
    </w:p>
    <w:p w14:paraId="0D3FBBCF">
      <w:pPr>
        <w:numPr>
          <w:ilvl w:val="1"/>
          <w:numId w:val="3"/>
        </w:numPr>
        <w:tabs>
          <w:tab w:val="left" w:pos="525"/>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在投标截止前的任何时候，招标采购单位需要对招标文件进行澄清或修改的，将会</w:t>
      </w:r>
      <w:r>
        <w:rPr>
          <w:rFonts w:ascii="宋体" w:hAnsi="宋体"/>
          <w:sz w:val="22"/>
          <w:szCs w:val="22"/>
          <w:highlight w:val="none"/>
        </w:rPr>
        <w:t>在招标文件载明的指定媒体</w:t>
      </w:r>
      <w:r>
        <w:rPr>
          <w:rFonts w:hint="eastAsia" w:ascii="宋体" w:hAnsi="宋体"/>
          <w:sz w:val="22"/>
          <w:szCs w:val="22"/>
          <w:highlight w:val="none"/>
        </w:rPr>
        <w:t>上发布澄清（更正）公告。如果澄清或修改的内容可能影响投标文件编制的，且澄清或更正公告发布时间距投标截止时间不足15天的，则相应延长投标截止时间。延长后的具体投标截止时间以最后发布的澄清或更正公告中的规定为准。</w:t>
      </w:r>
    </w:p>
    <w:p w14:paraId="7D086930">
      <w:pPr>
        <w:numPr>
          <w:ilvl w:val="1"/>
          <w:numId w:val="3"/>
        </w:numPr>
        <w:tabs>
          <w:tab w:val="left" w:pos="525"/>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澄清或修改的内容作为招标文件的组成部分。当招标文件与澄清或更正公告就同一内容的表述不一致时，以最后发出的文件内容为准。任何口头答复均不属于招标文件的组成部分。</w:t>
      </w:r>
    </w:p>
    <w:p w14:paraId="07B56F04">
      <w:pPr>
        <w:numPr>
          <w:ilvl w:val="1"/>
          <w:numId w:val="3"/>
        </w:numPr>
        <w:tabs>
          <w:tab w:val="left" w:pos="525"/>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澄清（更正）公告作为招标采购单位通知所有潜在供应商的书面形式。潜在供应商或投标人在参与本项目</w:t>
      </w:r>
      <w:r>
        <w:rPr>
          <w:rFonts w:hint="eastAsia" w:ascii="宋体" w:hAnsi="宋体" w:cs="Courier New"/>
          <w:sz w:val="22"/>
          <w:szCs w:val="22"/>
          <w:highlight w:val="none"/>
        </w:rPr>
        <w:t>招标采购活动过程中</w:t>
      </w:r>
      <w:r>
        <w:rPr>
          <w:rFonts w:hint="eastAsia" w:ascii="宋体" w:hAnsi="宋体"/>
          <w:sz w:val="22"/>
          <w:szCs w:val="22"/>
          <w:highlight w:val="none"/>
        </w:rPr>
        <w:t>，应及时关注招标文件载明的指定媒体上的相关信息，否则产生不利由其自行承担。</w:t>
      </w:r>
    </w:p>
    <w:p w14:paraId="6CC71B38">
      <w:pPr>
        <w:pStyle w:val="6"/>
        <w:spacing w:line="400" w:lineRule="exact"/>
        <w:jc w:val="center"/>
        <w:rPr>
          <w:rFonts w:hint="eastAsia" w:ascii="宋体" w:hAnsi="宋体" w:eastAsia="宋体" w:cs="Courier New"/>
          <w:highlight w:val="none"/>
        </w:rPr>
      </w:pPr>
      <w:bookmarkStart w:id="62" w:name="_Toc205877559"/>
      <w:bookmarkStart w:id="63" w:name="_Toc205005288"/>
      <w:bookmarkStart w:id="64" w:name="_Toc207609183"/>
      <w:bookmarkStart w:id="65" w:name="_Toc223933223"/>
      <w:bookmarkStart w:id="66" w:name="_Toc209251129"/>
      <w:bookmarkStart w:id="67" w:name="_Toc216667822"/>
      <w:bookmarkStart w:id="68" w:name="_Toc219538615"/>
      <w:bookmarkStart w:id="69" w:name="_Toc209261367"/>
      <w:bookmarkStart w:id="70" w:name="_Toc218041728"/>
      <w:bookmarkStart w:id="71" w:name="_Toc204578577"/>
      <w:bookmarkStart w:id="72" w:name="_Toc12587"/>
      <w:bookmarkStart w:id="73" w:name="_Toc205004970"/>
      <w:bookmarkStart w:id="74" w:name="_Toc205703104"/>
      <w:bookmarkStart w:id="75" w:name="_Toc209332635"/>
      <w:bookmarkStart w:id="76" w:name="_Toc204491319"/>
      <w:bookmarkStart w:id="77" w:name="_Toc215415532"/>
      <w:bookmarkStart w:id="78" w:name="_Toc214365792"/>
      <w:bookmarkStart w:id="79" w:name="_Toc227056848"/>
      <w:bookmarkStart w:id="80" w:name="_Toc223717606"/>
      <w:bookmarkStart w:id="81" w:name="_Toc227489889"/>
      <w:bookmarkStart w:id="82" w:name="_Toc217460687"/>
      <w:bookmarkStart w:id="83" w:name="_Toc205877454"/>
      <w:bookmarkStart w:id="84" w:name="_Toc209261434"/>
      <w:bookmarkStart w:id="85" w:name="_Toc210879710"/>
      <w:bookmarkStart w:id="86" w:name="_Toc227057035"/>
      <w:bookmarkStart w:id="87" w:name="_Toc209250721"/>
      <w:r>
        <w:rPr>
          <w:rFonts w:hint="eastAsia" w:ascii="宋体" w:hAnsi="宋体" w:eastAsia="宋体" w:cs="Courier New"/>
          <w:highlight w:val="none"/>
        </w:rPr>
        <w:t>三、 投标文件</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50585B7">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投标人应认真阅读招标文件的全部内容。投标人应按照招标文件要求提交投标文件并保证所提供的全部资料的真实性，并对招标文件做出实质性响应，否则投标无效。</w:t>
      </w:r>
    </w:p>
    <w:p w14:paraId="49D410B8">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投标文件</w:t>
      </w:r>
      <w:bookmarkStart w:id="88" w:name="_Hlk38295237"/>
      <w:r>
        <w:rPr>
          <w:rFonts w:hint="eastAsia" w:ascii="宋体" w:hAnsi="宋体" w:cs="楷体"/>
          <w:kern w:val="0"/>
          <w:sz w:val="22"/>
          <w:szCs w:val="22"/>
          <w:highlight w:val="none"/>
        </w:rPr>
        <w:t>的组成</w:t>
      </w:r>
      <w:bookmarkEnd w:id="88"/>
      <w:r>
        <w:rPr>
          <w:rFonts w:hint="eastAsia" w:ascii="宋体" w:hAnsi="宋体" w:cs="楷体"/>
          <w:kern w:val="0"/>
          <w:sz w:val="22"/>
          <w:szCs w:val="22"/>
          <w:highlight w:val="none"/>
        </w:rPr>
        <w:t>：</w:t>
      </w:r>
    </w:p>
    <w:p w14:paraId="5B0B74DB">
      <w:pPr>
        <w:numPr>
          <w:ilvl w:val="1"/>
          <w:numId w:val="3"/>
        </w:numPr>
        <w:tabs>
          <w:tab w:val="left" w:pos="525"/>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上传的</w:t>
      </w:r>
      <w:r>
        <w:rPr>
          <w:rFonts w:hint="eastAsia" w:ascii="宋体" w:hAnsi="宋体"/>
          <w:sz w:val="22"/>
          <w:highlight w:val="none"/>
        </w:rPr>
        <w:t>投标</w:t>
      </w:r>
      <w:r>
        <w:rPr>
          <w:rFonts w:hint="eastAsia" w:ascii="宋体" w:hAnsi="宋体" w:cs="Courier New"/>
          <w:sz w:val="22"/>
          <w:szCs w:val="22"/>
          <w:highlight w:val="none"/>
        </w:rPr>
        <w:t>文件</w:t>
      </w:r>
      <w:r>
        <w:rPr>
          <w:rFonts w:hint="eastAsia" w:ascii="宋体" w:hAnsi="宋体"/>
          <w:sz w:val="22"/>
          <w:highlight w:val="none"/>
        </w:rPr>
        <w:t>应当</w:t>
      </w:r>
      <w:r>
        <w:rPr>
          <w:rFonts w:hint="eastAsia" w:ascii="宋体" w:hAnsi="宋体" w:cs="Courier New"/>
          <w:sz w:val="22"/>
          <w:szCs w:val="22"/>
          <w:highlight w:val="none"/>
        </w:rPr>
        <w:t>包括以下主要内容：资格文件、报价文件、商务技术文件。部分格式详见“第三部分 应提交的有关格式范例”。</w:t>
      </w:r>
    </w:p>
    <w:p w14:paraId="3340A2E0">
      <w:pPr>
        <w:spacing w:line="360" w:lineRule="auto"/>
        <w:ind w:left="187" w:leftChars="85" w:hanging="9" w:hangingChars="4"/>
        <w:jc w:val="left"/>
        <w:rPr>
          <w:rFonts w:hint="eastAsia" w:ascii="宋体" w:hAnsi="宋体"/>
          <w:b/>
          <w:sz w:val="22"/>
          <w:szCs w:val="22"/>
          <w:highlight w:val="none"/>
        </w:rPr>
      </w:pPr>
      <w:r>
        <w:rPr>
          <w:rFonts w:hint="eastAsia" w:ascii="宋体" w:hAnsi="宋体"/>
          <w:b/>
          <w:sz w:val="22"/>
          <w:szCs w:val="22"/>
          <w:highlight w:val="none"/>
        </w:rPr>
        <w:t xml:space="preserve">（1）投标人的资格文件包括以下内容： </w:t>
      </w:r>
    </w:p>
    <w:tbl>
      <w:tblPr>
        <w:tblStyle w:val="3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354"/>
      </w:tblGrid>
      <w:tr w14:paraId="545C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8908FA5">
            <w:pPr>
              <w:jc w:val="center"/>
              <w:rPr>
                <w:rFonts w:hint="eastAsia" w:ascii="宋体" w:hAnsi="宋体"/>
                <w:sz w:val="22"/>
                <w:szCs w:val="22"/>
                <w:highlight w:val="none"/>
              </w:rPr>
            </w:pPr>
            <w:bookmarkStart w:id="89" w:name="_Toc500208478"/>
            <w:r>
              <w:rPr>
                <w:rFonts w:hint="eastAsia" w:ascii="宋体" w:hAnsi="宋体"/>
                <w:sz w:val="22"/>
                <w:szCs w:val="22"/>
                <w:highlight w:val="none"/>
              </w:rPr>
              <w:t>序号</w:t>
            </w:r>
          </w:p>
        </w:tc>
        <w:tc>
          <w:tcPr>
            <w:tcW w:w="7796" w:type="dxa"/>
            <w:vAlign w:val="center"/>
          </w:tcPr>
          <w:p w14:paraId="2C35E4F1">
            <w:pPr>
              <w:jc w:val="center"/>
              <w:rPr>
                <w:rFonts w:hint="eastAsia" w:ascii="宋体" w:hAnsi="宋体"/>
                <w:sz w:val="22"/>
                <w:szCs w:val="22"/>
                <w:highlight w:val="none"/>
              </w:rPr>
            </w:pPr>
            <w:r>
              <w:rPr>
                <w:rFonts w:hint="eastAsia" w:ascii="宋体" w:hAnsi="宋体"/>
                <w:sz w:val="22"/>
                <w:szCs w:val="22"/>
                <w:highlight w:val="none"/>
              </w:rPr>
              <w:t>内容</w:t>
            </w:r>
          </w:p>
        </w:tc>
        <w:tc>
          <w:tcPr>
            <w:tcW w:w="1354" w:type="dxa"/>
            <w:vAlign w:val="center"/>
          </w:tcPr>
          <w:p w14:paraId="4FD825B5">
            <w:pPr>
              <w:spacing w:line="430" w:lineRule="exact"/>
              <w:jc w:val="center"/>
              <w:rPr>
                <w:rFonts w:hint="eastAsia" w:ascii="宋体" w:hAnsi="宋体"/>
                <w:sz w:val="22"/>
                <w:szCs w:val="22"/>
                <w:highlight w:val="none"/>
              </w:rPr>
            </w:pPr>
            <w:r>
              <w:rPr>
                <w:rFonts w:hint="eastAsia" w:ascii="宋体" w:hAnsi="宋体"/>
                <w:sz w:val="22"/>
                <w:szCs w:val="22"/>
                <w:highlight w:val="none"/>
              </w:rPr>
              <w:t>备注</w:t>
            </w:r>
          </w:p>
        </w:tc>
      </w:tr>
      <w:tr w14:paraId="59A76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0C643DD">
            <w:pPr>
              <w:jc w:val="center"/>
              <w:rPr>
                <w:rFonts w:hint="eastAsia" w:ascii="宋体" w:hAnsi="宋体"/>
                <w:sz w:val="22"/>
                <w:szCs w:val="22"/>
                <w:highlight w:val="none"/>
              </w:rPr>
            </w:pPr>
            <w:r>
              <w:rPr>
                <w:rFonts w:ascii="宋体" w:hAnsi="宋体"/>
                <w:sz w:val="22"/>
                <w:szCs w:val="22"/>
                <w:highlight w:val="none"/>
              </w:rPr>
              <w:t>1</w:t>
            </w:r>
          </w:p>
        </w:tc>
        <w:tc>
          <w:tcPr>
            <w:tcW w:w="7796" w:type="dxa"/>
            <w:vAlign w:val="center"/>
          </w:tcPr>
          <w:p w14:paraId="61ECD38C">
            <w:pPr>
              <w:rPr>
                <w:rFonts w:hint="eastAsia" w:ascii="宋体" w:hAnsi="宋体" w:cs="楷体"/>
                <w:kern w:val="0"/>
                <w:sz w:val="22"/>
                <w:szCs w:val="22"/>
                <w:highlight w:val="none"/>
              </w:rPr>
            </w:pPr>
            <w:r>
              <w:rPr>
                <w:rFonts w:hint="eastAsia" w:ascii="宋体" w:hAnsi="宋体" w:cs="楷体"/>
                <w:kern w:val="0"/>
                <w:sz w:val="22"/>
                <w:szCs w:val="22"/>
                <w:highlight w:val="none"/>
              </w:rPr>
              <w:t>资格声明书</w:t>
            </w:r>
          </w:p>
        </w:tc>
        <w:tc>
          <w:tcPr>
            <w:tcW w:w="1354" w:type="dxa"/>
            <w:vAlign w:val="center"/>
          </w:tcPr>
          <w:p w14:paraId="2D949F3C">
            <w:pPr>
              <w:spacing w:line="276" w:lineRule="auto"/>
              <w:jc w:val="center"/>
              <w:rPr>
                <w:rFonts w:hint="eastAsia" w:ascii="宋体" w:hAnsi="宋体"/>
                <w:b/>
                <w:sz w:val="22"/>
                <w:szCs w:val="22"/>
                <w:highlight w:val="none"/>
              </w:rPr>
            </w:pPr>
          </w:p>
        </w:tc>
      </w:tr>
      <w:tr w14:paraId="325E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17754FC1">
            <w:pPr>
              <w:jc w:val="center"/>
              <w:rPr>
                <w:rFonts w:hint="eastAsia" w:ascii="宋体" w:hAnsi="宋体"/>
                <w:sz w:val="22"/>
                <w:szCs w:val="22"/>
                <w:highlight w:val="none"/>
              </w:rPr>
            </w:pPr>
            <w:r>
              <w:rPr>
                <w:rFonts w:ascii="宋体" w:hAnsi="宋体"/>
                <w:sz w:val="22"/>
                <w:szCs w:val="22"/>
                <w:highlight w:val="none"/>
              </w:rPr>
              <w:t>2</w:t>
            </w:r>
          </w:p>
        </w:tc>
        <w:tc>
          <w:tcPr>
            <w:tcW w:w="7796" w:type="dxa"/>
            <w:vAlign w:val="center"/>
          </w:tcPr>
          <w:p w14:paraId="2B4C949C">
            <w:pPr>
              <w:rPr>
                <w:rFonts w:hint="eastAsia"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1354" w:type="dxa"/>
            <w:vAlign w:val="center"/>
          </w:tcPr>
          <w:p w14:paraId="5E2DED89">
            <w:pPr>
              <w:spacing w:line="276" w:lineRule="auto"/>
              <w:jc w:val="center"/>
              <w:rPr>
                <w:rFonts w:hint="eastAsia" w:ascii="宋体" w:hAnsi="宋体"/>
                <w:b/>
                <w:sz w:val="22"/>
                <w:szCs w:val="22"/>
                <w:highlight w:val="none"/>
              </w:rPr>
            </w:pPr>
          </w:p>
        </w:tc>
      </w:tr>
      <w:tr w14:paraId="7E2B3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324CBD9">
            <w:pPr>
              <w:jc w:val="center"/>
              <w:rPr>
                <w:rFonts w:hint="eastAsia" w:ascii="宋体" w:hAnsi="宋体"/>
                <w:sz w:val="22"/>
                <w:szCs w:val="22"/>
                <w:highlight w:val="none"/>
              </w:rPr>
            </w:pPr>
            <w:r>
              <w:rPr>
                <w:rFonts w:hint="eastAsia" w:ascii="宋体" w:hAnsi="宋体"/>
                <w:sz w:val="22"/>
                <w:szCs w:val="22"/>
                <w:highlight w:val="none"/>
              </w:rPr>
              <w:t>3</w:t>
            </w:r>
          </w:p>
        </w:tc>
        <w:tc>
          <w:tcPr>
            <w:tcW w:w="7796" w:type="dxa"/>
            <w:vAlign w:val="center"/>
          </w:tcPr>
          <w:p w14:paraId="0E57C83C">
            <w:pPr>
              <w:rPr>
                <w:rFonts w:hint="eastAsia"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1354" w:type="dxa"/>
            <w:vAlign w:val="center"/>
          </w:tcPr>
          <w:p w14:paraId="0A2BBFD7">
            <w:pPr>
              <w:jc w:val="center"/>
              <w:rPr>
                <w:rFonts w:hint="eastAsia" w:ascii="宋体" w:hAnsi="宋体" w:cs="楷体"/>
                <w:kern w:val="0"/>
                <w:sz w:val="22"/>
                <w:szCs w:val="22"/>
                <w:highlight w:val="none"/>
              </w:rPr>
            </w:pPr>
            <w:r>
              <w:rPr>
                <w:rFonts w:hint="eastAsia" w:ascii="宋体" w:hAnsi="宋体" w:cs="楷体"/>
                <w:kern w:val="0"/>
                <w:sz w:val="22"/>
                <w:szCs w:val="22"/>
                <w:highlight w:val="none"/>
              </w:rPr>
              <w:t>未要求</w:t>
            </w:r>
          </w:p>
        </w:tc>
      </w:tr>
      <w:tr w14:paraId="2065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7B20E58">
            <w:pPr>
              <w:jc w:val="center"/>
              <w:rPr>
                <w:rFonts w:hint="eastAsia" w:ascii="宋体" w:hAnsi="宋体"/>
                <w:sz w:val="22"/>
                <w:szCs w:val="22"/>
                <w:highlight w:val="none"/>
              </w:rPr>
            </w:pPr>
            <w:r>
              <w:rPr>
                <w:rFonts w:hint="eastAsia" w:ascii="宋体" w:hAnsi="宋体"/>
                <w:sz w:val="22"/>
                <w:szCs w:val="22"/>
                <w:highlight w:val="none"/>
              </w:rPr>
              <w:t>4</w:t>
            </w:r>
          </w:p>
        </w:tc>
        <w:tc>
          <w:tcPr>
            <w:tcW w:w="7796" w:type="dxa"/>
            <w:vAlign w:val="center"/>
          </w:tcPr>
          <w:p w14:paraId="09BEE7D6">
            <w:pPr>
              <w:rPr>
                <w:rFonts w:hint="eastAsia"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1354" w:type="dxa"/>
            <w:vAlign w:val="center"/>
          </w:tcPr>
          <w:p w14:paraId="0E79A7A1">
            <w:pPr>
              <w:jc w:val="center"/>
              <w:rPr>
                <w:rFonts w:hint="eastAsia" w:ascii="宋体" w:hAnsi="宋体" w:cs="楷体"/>
                <w:kern w:val="0"/>
                <w:sz w:val="22"/>
                <w:szCs w:val="22"/>
                <w:highlight w:val="none"/>
              </w:rPr>
            </w:pPr>
            <w:r>
              <w:rPr>
                <w:rFonts w:hint="eastAsia" w:ascii="宋体" w:hAnsi="宋体" w:cs="楷体"/>
                <w:kern w:val="0"/>
                <w:sz w:val="22"/>
                <w:szCs w:val="22"/>
                <w:highlight w:val="none"/>
              </w:rPr>
              <w:t>未要求</w:t>
            </w:r>
          </w:p>
        </w:tc>
      </w:tr>
    </w:tbl>
    <w:p w14:paraId="26A8994B">
      <w:pPr>
        <w:spacing w:line="360" w:lineRule="auto"/>
        <w:ind w:left="187" w:leftChars="85" w:hanging="9" w:hangingChars="4"/>
        <w:jc w:val="left"/>
        <w:rPr>
          <w:rFonts w:hint="eastAsia"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2</w:t>
      </w:r>
      <w:r>
        <w:rPr>
          <w:rFonts w:hint="eastAsia" w:ascii="宋体" w:hAnsi="宋体"/>
          <w:b/>
          <w:sz w:val="22"/>
          <w:szCs w:val="22"/>
          <w:highlight w:val="none"/>
        </w:rPr>
        <w:t xml:space="preserve">）投标人的报价文件包括以下内容： </w:t>
      </w:r>
    </w:p>
    <w:tbl>
      <w:tblPr>
        <w:tblStyle w:val="3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354"/>
      </w:tblGrid>
      <w:tr w14:paraId="58D4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E7458C9">
            <w:pPr>
              <w:spacing w:line="430" w:lineRule="exact"/>
              <w:jc w:val="center"/>
              <w:rPr>
                <w:rFonts w:hint="eastAsia" w:ascii="宋体" w:hAnsi="宋体"/>
                <w:sz w:val="22"/>
                <w:szCs w:val="22"/>
                <w:highlight w:val="none"/>
              </w:rPr>
            </w:pPr>
            <w:r>
              <w:rPr>
                <w:rFonts w:hint="eastAsia" w:ascii="宋体" w:hAnsi="宋体"/>
                <w:sz w:val="22"/>
                <w:szCs w:val="22"/>
                <w:highlight w:val="none"/>
              </w:rPr>
              <w:t>序号</w:t>
            </w:r>
          </w:p>
        </w:tc>
        <w:tc>
          <w:tcPr>
            <w:tcW w:w="7796" w:type="dxa"/>
            <w:vAlign w:val="center"/>
          </w:tcPr>
          <w:p w14:paraId="7FBDF0AC">
            <w:pPr>
              <w:spacing w:line="430" w:lineRule="exact"/>
              <w:jc w:val="center"/>
              <w:rPr>
                <w:rFonts w:hint="eastAsia" w:ascii="宋体" w:hAnsi="宋体"/>
                <w:sz w:val="22"/>
                <w:szCs w:val="22"/>
                <w:highlight w:val="none"/>
              </w:rPr>
            </w:pPr>
            <w:r>
              <w:rPr>
                <w:rFonts w:hint="eastAsia" w:ascii="宋体" w:hAnsi="宋体"/>
                <w:sz w:val="22"/>
                <w:szCs w:val="22"/>
                <w:highlight w:val="none"/>
              </w:rPr>
              <w:t>内容</w:t>
            </w:r>
          </w:p>
        </w:tc>
        <w:tc>
          <w:tcPr>
            <w:tcW w:w="1354" w:type="dxa"/>
            <w:vAlign w:val="center"/>
          </w:tcPr>
          <w:p w14:paraId="7CED2B0B">
            <w:pPr>
              <w:spacing w:line="430" w:lineRule="exact"/>
              <w:jc w:val="center"/>
              <w:rPr>
                <w:rFonts w:hint="eastAsia" w:ascii="宋体" w:hAnsi="宋体"/>
                <w:sz w:val="22"/>
                <w:szCs w:val="22"/>
                <w:highlight w:val="none"/>
              </w:rPr>
            </w:pPr>
            <w:r>
              <w:rPr>
                <w:rFonts w:hint="eastAsia" w:ascii="宋体" w:hAnsi="宋体"/>
                <w:sz w:val="22"/>
                <w:szCs w:val="22"/>
                <w:highlight w:val="none"/>
              </w:rPr>
              <w:t>备注</w:t>
            </w:r>
          </w:p>
        </w:tc>
      </w:tr>
      <w:tr w14:paraId="4357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38B2AE7D">
            <w:pPr>
              <w:spacing w:line="430" w:lineRule="exact"/>
              <w:jc w:val="center"/>
              <w:rPr>
                <w:rFonts w:hint="eastAsia" w:ascii="宋体" w:hAnsi="宋体"/>
                <w:sz w:val="22"/>
                <w:szCs w:val="22"/>
                <w:highlight w:val="none"/>
              </w:rPr>
            </w:pPr>
            <w:r>
              <w:rPr>
                <w:rFonts w:hint="eastAsia" w:ascii="宋体" w:hAnsi="宋体"/>
                <w:sz w:val="22"/>
                <w:szCs w:val="22"/>
                <w:highlight w:val="none"/>
              </w:rPr>
              <w:t>1</w:t>
            </w:r>
          </w:p>
        </w:tc>
        <w:tc>
          <w:tcPr>
            <w:tcW w:w="7796" w:type="dxa"/>
            <w:vAlign w:val="center"/>
          </w:tcPr>
          <w:p w14:paraId="5BC4BD58">
            <w:pPr>
              <w:rPr>
                <w:rFonts w:hint="eastAsia" w:ascii="宋体" w:hAnsi="宋体" w:cs="楷体"/>
                <w:b/>
                <w:bCs/>
                <w:kern w:val="0"/>
                <w:sz w:val="22"/>
                <w:szCs w:val="22"/>
                <w:highlight w:val="none"/>
              </w:rPr>
            </w:pPr>
            <w:r>
              <w:rPr>
                <w:rFonts w:hint="eastAsia" w:ascii="宋体" w:hAnsi="宋体" w:cs="楷体"/>
                <w:kern w:val="0"/>
                <w:sz w:val="22"/>
                <w:szCs w:val="22"/>
                <w:highlight w:val="none"/>
              </w:rPr>
              <w:t>开标一览表</w:t>
            </w:r>
          </w:p>
        </w:tc>
        <w:tc>
          <w:tcPr>
            <w:tcW w:w="1354" w:type="dxa"/>
            <w:vAlign w:val="center"/>
          </w:tcPr>
          <w:p w14:paraId="2D8E2DA2">
            <w:pPr>
              <w:spacing w:line="430" w:lineRule="exact"/>
              <w:jc w:val="center"/>
              <w:rPr>
                <w:rFonts w:hint="eastAsia" w:ascii="宋体" w:hAnsi="宋体"/>
                <w:sz w:val="22"/>
                <w:szCs w:val="22"/>
                <w:highlight w:val="none"/>
              </w:rPr>
            </w:pPr>
          </w:p>
        </w:tc>
      </w:tr>
      <w:tr w14:paraId="4DA8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5E2319A">
            <w:pPr>
              <w:spacing w:line="430" w:lineRule="exact"/>
              <w:jc w:val="center"/>
              <w:rPr>
                <w:rFonts w:hint="eastAsia" w:ascii="宋体" w:hAnsi="宋体"/>
                <w:sz w:val="22"/>
                <w:szCs w:val="22"/>
                <w:highlight w:val="none"/>
              </w:rPr>
            </w:pPr>
            <w:r>
              <w:rPr>
                <w:rFonts w:ascii="宋体" w:hAnsi="宋体"/>
                <w:sz w:val="22"/>
                <w:szCs w:val="22"/>
                <w:highlight w:val="none"/>
              </w:rPr>
              <w:t>2</w:t>
            </w:r>
          </w:p>
        </w:tc>
        <w:tc>
          <w:tcPr>
            <w:tcW w:w="7796" w:type="dxa"/>
            <w:vAlign w:val="center"/>
          </w:tcPr>
          <w:p w14:paraId="7B2E8FD8">
            <w:pPr>
              <w:rPr>
                <w:rFonts w:hint="eastAsia" w:ascii="宋体" w:hAnsi="宋体" w:cs="楷体"/>
                <w:kern w:val="0"/>
                <w:sz w:val="22"/>
                <w:szCs w:val="22"/>
                <w:highlight w:val="none"/>
              </w:rPr>
            </w:pPr>
            <w:r>
              <w:rPr>
                <w:rFonts w:hint="eastAsia" w:ascii="宋体" w:hAnsi="宋体" w:cs="楷体"/>
                <w:kern w:val="0"/>
                <w:sz w:val="22"/>
                <w:szCs w:val="22"/>
                <w:highlight w:val="none"/>
              </w:rPr>
              <w:t>投标分项报价表</w:t>
            </w:r>
          </w:p>
        </w:tc>
        <w:tc>
          <w:tcPr>
            <w:tcW w:w="1354" w:type="dxa"/>
            <w:vAlign w:val="center"/>
          </w:tcPr>
          <w:p w14:paraId="3E3DE557">
            <w:pPr>
              <w:spacing w:line="430" w:lineRule="exact"/>
              <w:jc w:val="center"/>
              <w:rPr>
                <w:rFonts w:hint="eastAsia" w:ascii="宋体" w:hAnsi="宋体"/>
                <w:sz w:val="22"/>
                <w:szCs w:val="22"/>
                <w:highlight w:val="none"/>
              </w:rPr>
            </w:pPr>
          </w:p>
        </w:tc>
      </w:tr>
    </w:tbl>
    <w:p w14:paraId="26E84842">
      <w:pPr>
        <w:spacing w:line="360" w:lineRule="auto"/>
        <w:ind w:left="187" w:leftChars="85" w:hanging="9" w:hangingChars="4"/>
        <w:jc w:val="left"/>
        <w:rPr>
          <w:rFonts w:hint="eastAsia"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3</w:t>
      </w:r>
      <w:r>
        <w:rPr>
          <w:rFonts w:hint="eastAsia" w:ascii="宋体" w:hAnsi="宋体"/>
          <w:b/>
          <w:sz w:val="22"/>
          <w:szCs w:val="22"/>
          <w:highlight w:val="none"/>
        </w:rPr>
        <w:t xml:space="preserve">）投标人的商务技术文件包括以下内容： </w:t>
      </w:r>
    </w:p>
    <w:bookmarkEnd w:id="89"/>
    <w:tbl>
      <w:tblPr>
        <w:tblStyle w:val="3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796"/>
        <w:gridCol w:w="1418"/>
      </w:tblGrid>
      <w:tr w14:paraId="1BF41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9A33EFD">
            <w:pPr>
              <w:jc w:val="center"/>
              <w:rPr>
                <w:rFonts w:hint="eastAsia" w:ascii="宋体" w:hAnsi="宋体"/>
                <w:b/>
                <w:sz w:val="22"/>
                <w:szCs w:val="22"/>
                <w:highlight w:val="none"/>
              </w:rPr>
            </w:pPr>
            <w:r>
              <w:rPr>
                <w:rFonts w:hint="eastAsia" w:ascii="宋体" w:hAnsi="宋体"/>
                <w:b/>
                <w:sz w:val="22"/>
                <w:szCs w:val="22"/>
                <w:highlight w:val="none"/>
              </w:rPr>
              <w:t>序号</w:t>
            </w:r>
          </w:p>
        </w:tc>
        <w:tc>
          <w:tcPr>
            <w:tcW w:w="7796" w:type="dxa"/>
            <w:vAlign w:val="center"/>
          </w:tcPr>
          <w:p w14:paraId="023D5FB8">
            <w:pPr>
              <w:jc w:val="center"/>
              <w:rPr>
                <w:rFonts w:hint="eastAsia" w:ascii="宋体" w:hAnsi="宋体"/>
                <w:b/>
                <w:sz w:val="22"/>
                <w:szCs w:val="22"/>
                <w:highlight w:val="none"/>
              </w:rPr>
            </w:pPr>
            <w:r>
              <w:rPr>
                <w:rFonts w:hint="eastAsia" w:ascii="宋体" w:hAnsi="宋体"/>
                <w:b/>
                <w:sz w:val="22"/>
                <w:szCs w:val="22"/>
                <w:highlight w:val="none"/>
              </w:rPr>
              <w:t>内容</w:t>
            </w:r>
          </w:p>
        </w:tc>
        <w:tc>
          <w:tcPr>
            <w:tcW w:w="1418" w:type="dxa"/>
            <w:vAlign w:val="center"/>
          </w:tcPr>
          <w:p w14:paraId="7FBB792C">
            <w:pPr>
              <w:jc w:val="center"/>
              <w:rPr>
                <w:rFonts w:hint="eastAsia" w:ascii="宋体" w:hAnsi="宋体"/>
                <w:sz w:val="22"/>
                <w:szCs w:val="22"/>
                <w:highlight w:val="none"/>
              </w:rPr>
            </w:pPr>
            <w:r>
              <w:rPr>
                <w:rFonts w:hint="eastAsia" w:ascii="宋体" w:hAnsi="宋体"/>
                <w:sz w:val="22"/>
                <w:szCs w:val="22"/>
                <w:highlight w:val="none"/>
              </w:rPr>
              <w:t>备注</w:t>
            </w:r>
          </w:p>
        </w:tc>
      </w:tr>
      <w:tr w14:paraId="1B5B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4" w:type="dxa"/>
            <w:vAlign w:val="center"/>
          </w:tcPr>
          <w:p w14:paraId="0E00588E">
            <w:pPr>
              <w:jc w:val="center"/>
              <w:rPr>
                <w:rFonts w:hint="eastAsia" w:ascii="宋体" w:hAnsi="宋体"/>
                <w:sz w:val="22"/>
                <w:szCs w:val="22"/>
                <w:highlight w:val="none"/>
              </w:rPr>
            </w:pPr>
            <w:r>
              <w:rPr>
                <w:rFonts w:hint="eastAsia" w:ascii="宋体" w:hAnsi="宋体"/>
                <w:sz w:val="22"/>
                <w:szCs w:val="22"/>
                <w:highlight w:val="none"/>
              </w:rPr>
              <w:t>1</w:t>
            </w:r>
          </w:p>
        </w:tc>
        <w:tc>
          <w:tcPr>
            <w:tcW w:w="7796" w:type="dxa"/>
            <w:vAlign w:val="center"/>
          </w:tcPr>
          <w:p w14:paraId="5D72928D">
            <w:pPr>
              <w:rPr>
                <w:rFonts w:hint="eastAsia" w:ascii="宋体" w:hAnsi="宋体" w:cs="楷体"/>
                <w:kern w:val="0"/>
                <w:sz w:val="22"/>
                <w:szCs w:val="22"/>
                <w:highlight w:val="none"/>
              </w:rPr>
            </w:pPr>
            <w:r>
              <w:rPr>
                <w:rFonts w:hint="eastAsia" w:ascii="宋体" w:hAnsi="宋体" w:cs="楷体"/>
                <w:kern w:val="0"/>
                <w:sz w:val="22"/>
                <w:szCs w:val="22"/>
                <w:highlight w:val="none"/>
              </w:rPr>
              <w:t>投标函</w:t>
            </w:r>
          </w:p>
        </w:tc>
        <w:tc>
          <w:tcPr>
            <w:tcW w:w="1418" w:type="dxa"/>
            <w:vAlign w:val="center"/>
          </w:tcPr>
          <w:p w14:paraId="13191BB6">
            <w:pPr>
              <w:spacing w:line="430" w:lineRule="exact"/>
              <w:jc w:val="center"/>
              <w:rPr>
                <w:rFonts w:hint="eastAsia" w:ascii="宋体" w:hAnsi="宋体"/>
                <w:sz w:val="22"/>
                <w:szCs w:val="22"/>
                <w:highlight w:val="none"/>
              </w:rPr>
            </w:pPr>
          </w:p>
        </w:tc>
      </w:tr>
      <w:tr w14:paraId="7920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77E809C8">
            <w:pPr>
              <w:jc w:val="center"/>
              <w:rPr>
                <w:rFonts w:hint="eastAsia" w:ascii="宋体" w:hAnsi="宋体"/>
                <w:sz w:val="22"/>
                <w:szCs w:val="22"/>
                <w:highlight w:val="none"/>
              </w:rPr>
            </w:pPr>
            <w:r>
              <w:rPr>
                <w:rFonts w:ascii="宋体" w:hAnsi="宋体"/>
                <w:sz w:val="22"/>
                <w:szCs w:val="22"/>
                <w:highlight w:val="none"/>
              </w:rPr>
              <w:t>2</w:t>
            </w:r>
          </w:p>
        </w:tc>
        <w:tc>
          <w:tcPr>
            <w:tcW w:w="7796" w:type="dxa"/>
            <w:vAlign w:val="center"/>
          </w:tcPr>
          <w:p w14:paraId="552BF73F">
            <w:pPr>
              <w:rPr>
                <w:rFonts w:hint="eastAsia" w:ascii="宋体" w:hAnsi="宋体" w:cs="楷体"/>
                <w:kern w:val="0"/>
                <w:sz w:val="22"/>
                <w:szCs w:val="22"/>
                <w:highlight w:val="none"/>
              </w:rPr>
            </w:pPr>
            <w:r>
              <w:rPr>
                <w:rFonts w:hint="eastAsia" w:ascii="宋体" w:hAnsi="宋体" w:cs="楷体"/>
                <w:kern w:val="0"/>
                <w:sz w:val="22"/>
                <w:szCs w:val="22"/>
                <w:highlight w:val="none"/>
              </w:rPr>
              <w:t>单位负责人授权书</w:t>
            </w:r>
          </w:p>
        </w:tc>
        <w:tc>
          <w:tcPr>
            <w:tcW w:w="1418" w:type="dxa"/>
            <w:vAlign w:val="center"/>
          </w:tcPr>
          <w:p w14:paraId="2B7B8935">
            <w:pPr>
              <w:pStyle w:val="13"/>
              <w:keepNext/>
              <w:jc w:val="center"/>
              <w:rPr>
                <w:rFonts w:hint="eastAsia" w:ascii="宋体" w:hAnsi="宋体" w:eastAsia="宋体"/>
                <w:sz w:val="22"/>
                <w:szCs w:val="22"/>
                <w:highlight w:val="none"/>
              </w:rPr>
            </w:pPr>
          </w:p>
        </w:tc>
      </w:tr>
      <w:tr w14:paraId="3470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37B8120">
            <w:pPr>
              <w:jc w:val="center"/>
              <w:rPr>
                <w:rFonts w:hint="eastAsia" w:ascii="宋体" w:hAnsi="宋体"/>
                <w:sz w:val="22"/>
                <w:szCs w:val="22"/>
                <w:highlight w:val="none"/>
              </w:rPr>
            </w:pPr>
            <w:r>
              <w:rPr>
                <w:rFonts w:hint="eastAsia" w:ascii="宋体" w:hAnsi="宋体"/>
                <w:sz w:val="22"/>
                <w:szCs w:val="22"/>
                <w:highlight w:val="none"/>
              </w:rPr>
              <w:t>3</w:t>
            </w:r>
          </w:p>
        </w:tc>
        <w:tc>
          <w:tcPr>
            <w:tcW w:w="7796" w:type="dxa"/>
            <w:vAlign w:val="center"/>
          </w:tcPr>
          <w:p w14:paraId="6F6AE421">
            <w:pPr>
              <w:rPr>
                <w:rFonts w:hint="eastAsia" w:ascii="宋体" w:hAnsi="宋体" w:cs="楷体"/>
                <w:kern w:val="0"/>
                <w:sz w:val="22"/>
                <w:szCs w:val="22"/>
                <w:highlight w:val="none"/>
              </w:rPr>
            </w:pPr>
            <w:r>
              <w:rPr>
                <w:rFonts w:hint="eastAsia" w:ascii="宋体" w:hAnsi="宋体" w:cs="楷体"/>
                <w:kern w:val="0"/>
                <w:sz w:val="22"/>
                <w:szCs w:val="22"/>
                <w:highlight w:val="none"/>
              </w:rPr>
              <w:t>投标人联系表</w:t>
            </w:r>
          </w:p>
        </w:tc>
        <w:tc>
          <w:tcPr>
            <w:tcW w:w="1418" w:type="dxa"/>
            <w:vAlign w:val="center"/>
          </w:tcPr>
          <w:p w14:paraId="7A52CD08">
            <w:pPr>
              <w:pStyle w:val="13"/>
              <w:keepNext/>
              <w:jc w:val="center"/>
              <w:rPr>
                <w:rFonts w:hint="eastAsia" w:ascii="宋体" w:hAnsi="宋体" w:eastAsia="宋体"/>
                <w:sz w:val="22"/>
                <w:szCs w:val="22"/>
                <w:highlight w:val="none"/>
              </w:rPr>
            </w:pPr>
          </w:p>
        </w:tc>
      </w:tr>
      <w:tr w14:paraId="403D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2F5C74C3">
            <w:pPr>
              <w:jc w:val="center"/>
              <w:rPr>
                <w:rFonts w:hint="eastAsia" w:ascii="宋体" w:hAnsi="宋体"/>
                <w:sz w:val="22"/>
                <w:szCs w:val="22"/>
                <w:highlight w:val="none"/>
              </w:rPr>
            </w:pPr>
            <w:r>
              <w:rPr>
                <w:rFonts w:ascii="宋体" w:hAnsi="宋体"/>
                <w:sz w:val="22"/>
                <w:szCs w:val="22"/>
                <w:highlight w:val="none"/>
              </w:rPr>
              <w:t>4</w:t>
            </w:r>
          </w:p>
        </w:tc>
        <w:tc>
          <w:tcPr>
            <w:tcW w:w="7796" w:type="dxa"/>
            <w:vAlign w:val="center"/>
          </w:tcPr>
          <w:p w14:paraId="617C57E8">
            <w:pPr>
              <w:rPr>
                <w:rFonts w:hint="eastAsia" w:ascii="宋体" w:hAnsi="宋体" w:cs="楷体"/>
                <w:kern w:val="0"/>
                <w:sz w:val="22"/>
                <w:szCs w:val="22"/>
                <w:highlight w:val="none"/>
              </w:rPr>
            </w:pPr>
            <w:r>
              <w:rPr>
                <w:rFonts w:hint="eastAsia" w:ascii="宋体" w:hAnsi="宋体" w:cs="楷体"/>
                <w:kern w:val="0"/>
                <w:sz w:val="22"/>
                <w:szCs w:val="22"/>
                <w:highlight w:val="none"/>
              </w:rPr>
              <w:t>采购需求偏离表</w:t>
            </w:r>
          </w:p>
        </w:tc>
        <w:tc>
          <w:tcPr>
            <w:tcW w:w="1418" w:type="dxa"/>
            <w:vAlign w:val="center"/>
          </w:tcPr>
          <w:p w14:paraId="419A32CA">
            <w:pPr>
              <w:spacing w:line="430" w:lineRule="exact"/>
              <w:jc w:val="center"/>
              <w:rPr>
                <w:rFonts w:hint="eastAsia" w:ascii="宋体" w:hAnsi="宋体"/>
                <w:sz w:val="22"/>
                <w:szCs w:val="22"/>
                <w:highlight w:val="none"/>
              </w:rPr>
            </w:pPr>
          </w:p>
        </w:tc>
      </w:tr>
      <w:tr w14:paraId="76CA8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60CFABB2">
            <w:pPr>
              <w:jc w:val="center"/>
              <w:rPr>
                <w:rFonts w:hint="eastAsia" w:ascii="宋体" w:hAnsi="宋体"/>
                <w:sz w:val="22"/>
                <w:szCs w:val="22"/>
                <w:highlight w:val="none"/>
              </w:rPr>
            </w:pPr>
            <w:r>
              <w:rPr>
                <w:rFonts w:ascii="宋体" w:hAnsi="宋体"/>
                <w:sz w:val="22"/>
                <w:szCs w:val="22"/>
                <w:highlight w:val="none"/>
              </w:rPr>
              <w:t>5</w:t>
            </w:r>
          </w:p>
        </w:tc>
        <w:tc>
          <w:tcPr>
            <w:tcW w:w="7796" w:type="dxa"/>
            <w:vAlign w:val="center"/>
          </w:tcPr>
          <w:p w14:paraId="36238D99">
            <w:pPr>
              <w:rPr>
                <w:rFonts w:hint="eastAsia" w:ascii="宋体" w:hAnsi="宋体" w:cs="楷体"/>
                <w:kern w:val="0"/>
                <w:sz w:val="22"/>
                <w:szCs w:val="22"/>
                <w:highlight w:val="none"/>
              </w:rPr>
            </w:pPr>
            <w:r>
              <w:rPr>
                <w:rFonts w:hint="eastAsia" w:ascii="宋体" w:hAnsi="宋体" w:cs="楷体"/>
                <w:kern w:val="0"/>
                <w:sz w:val="22"/>
                <w:szCs w:val="22"/>
                <w:highlight w:val="none"/>
              </w:rPr>
              <w:t xml:space="preserve">供货范围详细清单（不含价格） </w:t>
            </w:r>
          </w:p>
        </w:tc>
        <w:tc>
          <w:tcPr>
            <w:tcW w:w="1418" w:type="dxa"/>
            <w:vAlign w:val="center"/>
          </w:tcPr>
          <w:p w14:paraId="2ADBB044">
            <w:pPr>
              <w:spacing w:line="430" w:lineRule="exact"/>
              <w:jc w:val="center"/>
              <w:rPr>
                <w:rFonts w:hint="eastAsia" w:ascii="宋体" w:hAnsi="宋体"/>
                <w:sz w:val="22"/>
                <w:szCs w:val="22"/>
                <w:highlight w:val="none"/>
              </w:rPr>
            </w:pPr>
          </w:p>
        </w:tc>
      </w:tr>
      <w:tr w14:paraId="3394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5B33CE93">
            <w:pPr>
              <w:jc w:val="center"/>
              <w:rPr>
                <w:rFonts w:hint="eastAsia" w:ascii="宋体" w:hAnsi="宋体"/>
                <w:sz w:val="22"/>
                <w:szCs w:val="22"/>
                <w:highlight w:val="none"/>
              </w:rPr>
            </w:pPr>
            <w:r>
              <w:rPr>
                <w:rFonts w:ascii="宋体" w:hAnsi="宋体"/>
                <w:sz w:val="22"/>
                <w:szCs w:val="22"/>
                <w:highlight w:val="none"/>
              </w:rPr>
              <w:t>6</w:t>
            </w:r>
          </w:p>
        </w:tc>
        <w:tc>
          <w:tcPr>
            <w:tcW w:w="7796" w:type="dxa"/>
            <w:vAlign w:val="center"/>
          </w:tcPr>
          <w:p w14:paraId="3FE3486C">
            <w:pPr>
              <w:rPr>
                <w:rFonts w:hint="eastAsia" w:ascii="宋体" w:hAnsi="宋体" w:cs="楷体"/>
                <w:kern w:val="0"/>
                <w:sz w:val="22"/>
                <w:szCs w:val="22"/>
                <w:highlight w:val="none"/>
              </w:rPr>
            </w:pPr>
            <w:r>
              <w:rPr>
                <w:rFonts w:hint="eastAsia" w:ascii="宋体" w:hAnsi="宋体" w:cs="楷体"/>
                <w:kern w:val="0"/>
                <w:sz w:val="22"/>
                <w:szCs w:val="22"/>
                <w:highlight w:val="none"/>
              </w:rPr>
              <w:t>根据本项目采购内容及要求以及商务技术评分项目，需要提供的文件和资料</w:t>
            </w:r>
          </w:p>
        </w:tc>
        <w:tc>
          <w:tcPr>
            <w:tcW w:w="1418" w:type="dxa"/>
            <w:vAlign w:val="center"/>
          </w:tcPr>
          <w:p w14:paraId="18E5A9E1">
            <w:pPr>
              <w:spacing w:line="430" w:lineRule="exact"/>
              <w:jc w:val="center"/>
              <w:rPr>
                <w:rFonts w:hint="eastAsia" w:ascii="宋体" w:hAnsi="宋体"/>
                <w:sz w:val="22"/>
                <w:szCs w:val="22"/>
                <w:highlight w:val="none"/>
              </w:rPr>
            </w:pPr>
          </w:p>
        </w:tc>
      </w:tr>
      <w:tr w14:paraId="0B8F8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14:paraId="44BE1FBC">
            <w:pPr>
              <w:jc w:val="center"/>
              <w:rPr>
                <w:rFonts w:hint="eastAsia" w:ascii="宋体" w:hAnsi="宋体"/>
                <w:sz w:val="22"/>
                <w:szCs w:val="22"/>
                <w:highlight w:val="none"/>
              </w:rPr>
            </w:pPr>
            <w:r>
              <w:rPr>
                <w:rFonts w:hint="eastAsia" w:ascii="宋体" w:hAnsi="宋体"/>
                <w:sz w:val="22"/>
                <w:szCs w:val="22"/>
                <w:highlight w:val="none"/>
              </w:rPr>
              <w:t>7</w:t>
            </w:r>
          </w:p>
        </w:tc>
        <w:tc>
          <w:tcPr>
            <w:tcW w:w="7796" w:type="dxa"/>
            <w:vAlign w:val="center"/>
          </w:tcPr>
          <w:p w14:paraId="619526C1">
            <w:pPr>
              <w:rPr>
                <w:rFonts w:hint="eastAsia" w:ascii="宋体" w:hAnsi="宋体" w:cs="楷体"/>
                <w:kern w:val="0"/>
                <w:sz w:val="22"/>
                <w:szCs w:val="22"/>
                <w:highlight w:val="none"/>
              </w:rPr>
            </w:pPr>
            <w:r>
              <w:rPr>
                <w:rFonts w:hint="eastAsia" w:ascii="宋体" w:hAnsi="宋体" w:cs="楷体"/>
                <w:kern w:val="0"/>
                <w:sz w:val="22"/>
                <w:szCs w:val="22"/>
                <w:highlight w:val="none"/>
              </w:rPr>
              <w:t>投标人需要说明的其他文件和说明</w:t>
            </w:r>
          </w:p>
        </w:tc>
        <w:tc>
          <w:tcPr>
            <w:tcW w:w="1418" w:type="dxa"/>
            <w:vAlign w:val="center"/>
          </w:tcPr>
          <w:p w14:paraId="656D3A8E">
            <w:pPr>
              <w:jc w:val="center"/>
              <w:rPr>
                <w:rFonts w:hint="eastAsia" w:ascii="宋体" w:hAnsi="宋体"/>
                <w:sz w:val="22"/>
                <w:szCs w:val="22"/>
                <w:highlight w:val="none"/>
              </w:rPr>
            </w:pPr>
          </w:p>
        </w:tc>
      </w:tr>
    </w:tbl>
    <w:p w14:paraId="36DE05E8">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投标文件的语言及度量衡单位</w:t>
      </w:r>
    </w:p>
    <w:p w14:paraId="32603D01">
      <w:pPr>
        <w:numPr>
          <w:ilvl w:val="0"/>
          <w:numId w:val="4"/>
        </w:numPr>
        <w:tabs>
          <w:tab w:val="left" w:pos="530"/>
        </w:tabs>
        <w:autoSpaceDE w:val="0"/>
        <w:autoSpaceDN w:val="0"/>
        <w:spacing w:line="360" w:lineRule="auto"/>
        <w:textAlignment w:val="bottom"/>
        <w:rPr>
          <w:rFonts w:hint="eastAsia" w:ascii="宋体" w:hAnsi="宋体" w:cs="Courier New"/>
          <w:sz w:val="22"/>
          <w:szCs w:val="22"/>
          <w:highlight w:val="none"/>
        </w:rPr>
      </w:pPr>
      <w:r>
        <w:rPr>
          <w:rFonts w:ascii="宋体" w:hAnsi="宋体" w:cs="Courier New"/>
          <w:sz w:val="22"/>
          <w:szCs w:val="22"/>
          <w:highlight w:val="none"/>
        </w:rPr>
        <w:t>除招标文件另有规定外，投标文件应使用中文文本，若有不同文本，以中文文本为准。</w:t>
      </w:r>
    </w:p>
    <w:p w14:paraId="437A7876">
      <w:pPr>
        <w:numPr>
          <w:ilvl w:val="0"/>
          <w:numId w:val="4"/>
        </w:numPr>
        <w:tabs>
          <w:tab w:val="left" w:pos="530"/>
        </w:tabs>
        <w:autoSpaceDE w:val="0"/>
        <w:autoSpaceDN w:val="0"/>
        <w:spacing w:line="360" w:lineRule="auto"/>
        <w:textAlignment w:val="bottom"/>
        <w:rPr>
          <w:rFonts w:hint="eastAsia" w:ascii="宋体" w:hAnsi="宋体" w:cs="Courier New"/>
          <w:sz w:val="22"/>
          <w:szCs w:val="22"/>
          <w:highlight w:val="none"/>
        </w:rPr>
      </w:pPr>
      <w:r>
        <w:rPr>
          <w:rFonts w:ascii="宋体" w:hAnsi="宋体" w:cs="Courier New"/>
          <w:sz w:val="22"/>
          <w:szCs w:val="22"/>
          <w:highlight w:val="none"/>
        </w:rPr>
        <w:t>除招标文件另有规定外，投标文件</w:t>
      </w:r>
      <w:r>
        <w:rPr>
          <w:rFonts w:hint="eastAsia" w:ascii="宋体" w:hAnsi="宋体" w:cs="Courier New"/>
          <w:sz w:val="22"/>
          <w:szCs w:val="22"/>
          <w:highlight w:val="none"/>
        </w:rPr>
        <w:t>使用的度量衡单位，均采用中华人民共和国法定计量单位。</w:t>
      </w:r>
    </w:p>
    <w:p w14:paraId="6FAA96C3">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投标报价</w:t>
      </w:r>
    </w:p>
    <w:p w14:paraId="36D1FA9A">
      <w:pPr>
        <w:numPr>
          <w:ilvl w:val="1"/>
          <w:numId w:val="3"/>
        </w:numPr>
        <w:tabs>
          <w:tab w:val="left" w:pos="540"/>
        </w:tabs>
        <w:spacing w:line="360" w:lineRule="auto"/>
        <w:rPr>
          <w:rFonts w:hint="eastAsia" w:ascii="宋体" w:hAnsi="宋体"/>
          <w:sz w:val="22"/>
          <w:highlight w:val="none"/>
        </w:rPr>
      </w:pPr>
      <w:bookmarkStart w:id="90" w:name="_Hlk58529002"/>
      <w:r>
        <w:rPr>
          <w:rFonts w:hint="eastAsia" w:ascii="宋体" w:hAnsi="宋体"/>
          <w:sz w:val="22"/>
          <w:highlight w:val="none"/>
        </w:rPr>
        <w:t>投标人的报价为含税报价</w:t>
      </w:r>
      <w:r>
        <w:rPr>
          <w:rFonts w:hint="eastAsia" w:ascii="宋体" w:hAnsi="宋体" w:cs="Courier New"/>
          <w:sz w:val="22"/>
          <w:szCs w:val="22"/>
          <w:highlight w:val="none"/>
        </w:rPr>
        <w:t>，包含但不仅限于</w:t>
      </w:r>
      <w:r>
        <w:rPr>
          <w:rFonts w:hint="eastAsia" w:ascii="宋体" w:hAnsi="宋体"/>
          <w:sz w:val="22"/>
          <w:highlight w:val="none"/>
        </w:rPr>
        <w:t>以下内容（以下费用未单列的视为包含在报价中）：</w:t>
      </w:r>
    </w:p>
    <w:p w14:paraId="4A8F868B">
      <w:pPr>
        <w:spacing w:line="360" w:lineRule="auto"/>
        <w:ind w:left="878" w:leftChars="261" w:hanging="330" w:hangingChars="150"/>
        <w:rPr>
          <w:rFonts w:hint="eastAsia" w:ascii="宋体" w:hAnsi="宋体"/>
          <w:sz w:val="22"/>
          <w:highlight w:val="none"/>
        </w:rPr>
      </w:pPr>
      <w:r>
        <w:rPr>
          <w:rFonts w:hint="eastAsia" w:ascii="宋体" w:hAnsi="宋体"/>
          <w:sz w:val="22"/>
          <w:highlight w:val="none"/>
        </w:rPr>
        <w:t>1）产品费用(包括货物中所需零配件和原材料已交及未交的产品税、销售税和其它税费等所有相关费用)，以上产品须按照第四部分采购内容及要求。</w:t>
      </w:r>
    </w:p>
    <w:p w14:paraId="1B1B4C3E">
      <w:pPr>
        <w:spacing w:line="360" w:lineRule="auto"/>
        <w:ind w:left="878" w:leftChars="261" w:hanging="330" w:hangingChars="150"/>
        <w:rPr>
          <w:rFonts w:hint="eastAsia" w:ascii="宋体" w:hAnsi="宋体"/>
          <w:sz w:val="22"/>
          <w:highlight w:val="none"/>
        </w:rPr>
      </w:pPr>
      <w:r>
        <w:rPr>
          <w:rFonts w:hint="eastAsia" w:ascii="宋体" w:hAnsi="宋体"/>
          <w:sz w:val="22"/>
          <w:highlight w:val="none"/>
        </w:rPr>
        <w:t>2）产品随机备品备件费、随机工具、运输及保险费、安装、调试、验收（含第三方）、人工费用等其他所有交付采购人可能产生的相关费用。</w:t>
      </w:r>
    </w:p>
    <w:p w14:paraId="64ADF312">
      <w:pPr>
        <w:spacing w:line="360" w:lineRule="auto"/>
        <w:ind w:left="878" w:leftChars="261" w:hanging="330" w:hangingChars="150"/>
        <w:rPr>
          <w:rFonts w:hint="eastAsia" w:ascii="宋体" w:hAnsi="宋体"/>
          <w:sz w:val="22"/>
          <w:highlight w:val="none"/>
        </w:rPr>
      </w:pPr>
      <w:r>
        <w:rPr>
          <w:rFonts w:hint="eastAsia" w:ascii="宋体" w:hAnsi="宋体"/>
          <w:sz w:val="22"/>
          <w:highlight w:val="none"/>
        </w:rPr>
        <w:t>3）产品的售后服务费用及招标文件中规定的其它服务费用。</w:t>
      </w:r>
    </w:p>
    <w:bookmarkEnd w:id="90"/>
    <w:p w14:paraId="30B439BC">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所有报价均以人民币报价。</w:t>
      </w:r>
    </w:p>
    <w:p w14:paraId="1C43F7D9">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采购人要求分类报价是为了方便评审，但在任何情况下不限制采购人以其认为最合适的条款、条件签订合同的权利。</w:t>
      </w:r>
    </w:p>
    <w:p w14:paraId="078FA407">
      <w:pPr>
        <w:numPr>
          <w:ilvl w:val="1"/>
          <w:numId w:val="3"/>
        </w:numPr>
        <w:tabs>
          <w:tab w:val="left" w:pos="525"/>
          <w:tab w:val="left" w:pos="635"/>
          <w:tab w:val="left" w:pos="900"/>
        </w:tabs>
        <w:spacing w:line="360" w:lineRule="auto"/>
        <w:rPr>
          <w:rFonts w:hint="eastAsia" w:ascii="宋体" w:hAnsi="宋体" w:cs="Courier New"/>
          <w:b/>
          <w:sz w:val="22"/>
          <w:szCs w:val="22"/>
          <w:highlight w:val="none"/>
        </w:rPr>
      </w:pPr>
      <w:r>
        <w:rPr>
          <w:rFonts w:hint="eastAsia" w:ascii="宋体" w:hAnsi="宋体" w:cs="Courier New"/>
          <w:sz w:val="22"/>
          <w:szCs w:val="22"/>
          <w:highlight w:val="none"/>
        </w:rPr>
        <w:t>除招标文件另有规定外，投标文件不能出现任何选择性的投标报价，即每一个合同包和品目号的采购标的都只能有一个投标报价，否则</w:t>
      </w:r>
      <w:r>
        <w:rPr>
          <w:rFonts w:hint="eastAsia" w:ascii="宋体" w:hAnsi="宋体" w:cs="Courier New"/>
          <w:b/>
          <w:bCs/>
          <w:sz w:val="22"/>
          <w:szCs w:val="22"/>
          <w:highlight w:val="none"/>
        </w:rPr>
        <w:t>投标无效</w:t>
      </w:r>
      <w:r>
        <w:rPr>
          <w:rFonts w:hint="eastAsia" w:ascii="宋体" w:hAnsi="宋体" w:cs="Courier New"/>
          <w:bCs/>
          <w:sz w:val="22"/>
          <w:szCs w:val="22"/>
          <w:highlight w:val="none"/>
        </w:rPr>
        <w:t>。</w:t>
      </w:r>
    </w:p>
    <w:p w14:paraId="52F044E4">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投标人对在合同执行中，除上述费用及招标文件规定的由中标人负责的工作范围以外需要采购人协调或提供便利的工作应当在投标文件中说明。</w:t>
      </w:r>
    </w:p>
    <w:p w14:paraId="799CF9F0">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楷体"/>
          <w:kern w:val="0"/>
          <w:sz w:val="22"/>
          <w:szCs w:val="22"/>
          <w:highlight w:val="none"/>
        </w:rPr>
        <w:t>投标保证金及赔偿损失金</w:t>
      </w:r>
    </w:p>
    <w:p w14:paraId="616C18BA">
      <w:pPr>
        <w:numPr>
          <w:ilvl w:val="1"/>
          <w:numId w:val="3"/>
        </w:numPr>
        <w:tabs>
          <w:tab w:val="left" w:pos="525"/>
          <w:tab w:val="left" w:pos="635"/>
          <w:tab w:val="left" w:pos="900"/>
        </w:tabs>
        <w:spacing w:line="360" w:lineRule="auto"/>
        <w:rPr>
          <w:rFonts w:hint="eastAsia" w:ascii="宋体" w:hAnsi="宋体" w:cs="楷体"/>
          <w:kern w:val="0"/>
          <w:sz w:val="22"/>
          <w:szCs w:val="22"/>
          <w:highlight w:val="none"/>
        </w:rPr>
      </w:pPr>
      <w:bookmarkStart w:id="91" w:name="_Hlk9965658"/>
      <w:r>
        <w:rPr>
          <w:rFonts w:hint="eastAsia" w:ascii="宋体" w:hAnsi="宋体" w:cs="楷体"/>
          <w:kern w:val="0"/>
          <w:sz w:val="22"/>
          <w:szCs w:val="22"/>
          <w:highlight w:val="none"/>
        </w:rPr>
        <w:t>本项目不收取投标保证金，但不免除投标人相应的赔偿责任。</w:t>
      </w:r>
    </w:p>
    <w:bookmarkEnd w:id="91"/>
    <w:p w14:paraId="0248DC3F">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楷体"/>
          <w:kern w:val="0"/>
          <w:sz w:val="22"/>
          <w:szCs w:val="22"/>
          <w:highlight w:val="none"/>
        </w:rPr>
        <w:t>赔偿损失金为人民币伍万元整</w:t>
      </w:r>
      <w:r>
        <w:rPr>
          <w:rFonts w:hint="eastAsia" w:ascii="宋体" w:hAnsi="宋体" w:cs="Courier New"/>
          <w:sz w:val="22"/>
          <w:szCs w:val="22"/>
          <w:highlight w:val="none"/>
        </w:rPr>
        <w:t>。</w:t>
      </w:r>
    </w:p>
    <w:p w14:paraId="23A1CBA2">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如发生下列情况之一，将有权向其收取赔偿损失金：</w:t>
      </w:r>
    </w:p>
    <w:p w14:paraId="0A5448D8">
      <w:pPr>
        <w:numPr>
          <w:ilvl w:val="0"/>
          <w:numId w:val="5"/>
        </w:numPr>
        <w:tabs>
          <w:tab w:val="left" w:pos="525"/>
          <w:tab w:val="clear" w:pos="780"/>
        </w:tabs>
        <w:spacing w:line="360" w:lineRule="auto"/>
        <w:ind w:left="525" w:firstLine="0"/>
        <w:rPr>
          <w:rFonts w:hint="eastAsia" w:ascii="宋体" w:hAnsi="宋体" w:cs="Courier New"/>
          <w:sz w:val="22"/>
          <w:szCs w:val="22"/>
          <w:highlight w:val="none"/>
        </w:rPr>
      </w:pPr>
      <w:r>
        <w:rPr>
          <w:rFonts w:hint="eastAsia" w:ascii="宋体" w:hAnsi="宋体" w:cs="Courier New"/>
          <w:sz w:val="22"/>
          <w:szCs w:val="22"/>
          <w:highlight w:val="none"/>
        </w:rPr>
        <w:t>投标人在招标文件规定的投标有效期内撤回投标；</w:t>
      </w:r>
    </w:p>
    <w:p w14:paraId="726F0023">
      <w:pPr>
        <w:numPr>
          <w:ilvl w:val="0"/>
          <w:numId w:val="5"/>
        </w:numPr>
        <w:tabs>
          <w:tab w:val="left" w:pos="525"/>
          <w:tab w:val="clear" w:pos="780"/>
        </w:tabs>
        <w:spacing w:line="360" w:lineRule="auto"/>
        <w:ind w:left="525" w:firstLine="0"/>
        <w:rPr>
          <w:rFonts w:hint="eastAsia" w:ascii="宋体" w:hAnsi="宋体" w:cs="Courier New"/>
          <w:sz w:val="22"/>
          <w:szCs w:val="22"/>
          <w:highlight w:val="none"/>
        </w:rPr>
      </w:pPr>
      <w:r>
        <w:rPr>
          <w:rFonts w:hint="eastAsia" w:ascii="宋体" w:hAnsi="宋体" w:cs="Courier New"/>
          <w:sz w:val="22"/>
          <w:szCs w:val="22"/>
          <w:highlight w:val="none"/>
        </w:rPr>
        <w:t>中标人未按中标（成交）通知书中规定的时间与采购人签订合同；</w:t>
      </w:r>
    </w:p>
    <w:p w14:paraId="14756A94">
      <w:pPr>
        <w:numPr>
          <w:ilvl w:val="0"/>
          <w:numId w:val="5"/>
        </w:numPr>
        <w:tabs>
          <w:tab w:val="left" w:pos="525"/>
          <w:tab w:val="clear" w:pos="780"/>
        </w:tabs>
        <w:spacing w:line="360" w:lineRule="auto"/>
        <w:ind w:left="525" w:firstLine="0"/>
        <w:rPr>
          <w:rFonts w:hint="eastAsia" w:ascii="宋体" w:hAnsi="宋体" w:cs="Courier New"/>
          <w:sz w:val="22"/>
          <w:szCs w:val="22"/>
          <w:highlight w:val="none"/>
        </w:rPr>
      </w:pPr>
      <w:r>
        <w:rPr>
          <w:rFonts w:hint="eastAsia" w:ascii="宋体" w:hAnsi="宋体" w:cs="Courier New"/>
          <w:sz w:val="22"/>
          <w:szCs w:val="22"/>
          <w:highlight w:val="none"/>
        </w:rPr>
        <w:t>中标人在规定期限内未能根据招标文件要求提供履约保证金；</w:t>
      </w:r>
    </w:p>
    <w:p w14:paraId="66733CFE">
      <w:pPr>
        <w:numPr>
          <w:ilvl w:val="0"/>
          <w:numId w:val="5"/>
        </w:numPr>
        <w:tabs>
          <w:tab w:val="left" w:pos="525"/>
          <w:tab w:val="clear" w:pos="780"/>
        </w:tabs>
        <w:spacing w:line="360" w:lineRule="auto"/>
        <w:ind w:left="525" w:firstLine="0"/>
        <w:rPr>
          <w:rFonts w:hint="eastAsia" w:ascii="宋体" w:hAnsi="宋体" w:cs="Courier New"/>
          <w:sz w:val="22"/>
          <w:szCs w:val="22"/>
          <w:highlight w:val="none"/>
        </w:rPr>
      </w:pPr>
      <w:bookmarkStart w:id="92" w:name="_Hlk97734131"/>
      <w:r>
        <w:rPr>
          <w:rFonts w:hint="eastAsia" w:ascii="宋体" w:hAnsi="宋体" w:cs="Courier New"/>
          <w:sz w:val="22"/>
          <w:szCs w:val="22"/>
          <w:highlight w:val="none"/>
        </w:rPr>
        <w:t>投标人提供虚假材料</w:t>
      </w:r>
      <w:r>
        <w:rPr>
          <w:rFonts w:ascii="宋体" w:hAnsi="宋体" w:cs="Courier New"/>
          <w:sz w:val="22"/>
          <w:szCs w:val="22"/>
          <w:highlight w:val="none"/>
        </w:rPr>
        <w:t>或通过虚假响应、虚假陈述、虚假承诺谋取中标（成交）资格</w:t>
      </w:r>
      <w:r>
        <w:rPr>
          <w:rFonts w:hint="eastAsia" w:ascii="宋体" w:hAnsi="宋体" w:cs="Courier New"/>
          <w:sz w:val="22"/>
          <w:szCs w:val="22"/>
          <w:highlight w:val="none"/>
        </w:rPr>
        <w:t>的</w:t>
      </w:r>
      <w:bookmarkEnd w:id="92"/>
      <w:r>
        <w:rPr>
          <w:rFonts w:hint="eastAsia" w:ascii="宋体" w:hAnsi="宋体" w:cs="Courier New"/>
          <w:sz w:val="22"/>
          <w:szCs w:val="22"/>
          <w:highlight w:val="none"/>
        </w:rPr>
        <w:t>；</w:t>
      </w:r>
    </w:p>
    <w:p w14:paraId="0881957C">
      <w:pPr>
        <w:numPr>
          <w:ilvl w:val="0"/>
          <w:numId w:val="5"/>
        </w:numPr>
        <w:tabs>
          <w:tab w:val="left" w:pos="525"/>
          <w:tab w:val="clear" w:pos="780"/>
        </w:tabs>
        <w:spacing w:line="360" w:lineRule="auto"/>
        <w:ind w:left="525" w:firstLine="0"/>
        <w:rPr>
          <w:rFonts w:hint="eastAsia" w:ascii="宋体" w:hAnsi="宋体" w:cs="Courier New"/>
          <w:sz w:val="22"/>
          <w:szCs w:val="22"/>
          <w:highlight w:val="none"/>
        </w:rPr>
      </w:pPr>
      <w:r>
        <w:rPr>
          <w:rFonts w:hint="eastAsia" w:ascii="宋体" w:hAnsi="宋体" w:cs="Courier New"/>
          <w:sz w:val="22"/>
          <w:szCs w:val="22"/>
          <w:highlight w:val="none"/>
        </w:rPr>
        <w:t>经监督部门审查认定投标人有违反</w:t>
      </w:r>
      <w:r>
        <w:rPr>
          <w:rFonts w:ascii="宋体" w:hAnsi="宋体"/>
          <w:sz w:val="22"/>
          <w:szCs w:val="22"/>
          <w:highlight w:val="none"/>
        </w:rPr>
        <w:t>《中华人民共和国政府采购法》等有关</w:t>
      </w:r>
      <w:r>
        <w:rPr>
          <w:rFonts w:hint="eastAsia" w:ascii="宋体" w:hAnsi="宋体" w:cs="Courier New"/>
          <w:sz w:val="22"/>
          <w:szCs w:val="22"/>
          <w:highlight w:val="none"/>
        </w:rPr>
        <w:t>法律、法规的行为。</w:t>
      </w:r>
    </w:p>
    <w:p w14:paraId="352AD4C1">
      <w:pPr>
        <w:tabs>
          <w:tab w:val="left" w:pos="525"/>
        </w:tabs>
        <w:spacing w:line="360" w:lineRule="auto"/>
        <w:ind w:firstLine="221" w:firstLineChars="100"/>
        <w:rPr>
          <w:rFonts w:hint="eastAsia" w:ascii="宋体" w:hAnsi="宋体"/>
          <w:b/>
          <w:sz w:val="22"/>
          <w:szCs w:val="22"/>
          <w:highlight w:val="none"/>
        </w:rPr>
      </w:pPr>
      <w:r>
        <w:rPr>
          <w:rFonts w:hint="eastAsia" w:ascii="宋体" w:hAnsi="宋体"/>
          <w:b/>
          <w:sz w:val="22"/>
          <w:szCs w:val="22"/>
          <w:highlight w:val="none"/>
        </w:rPr>
        <w:t>※</w:t>
      </w:r>
      <w:r>
        <w:rPr>
          <w:rFonts w:ascii="宋体" w:hAnsi="宋体"/>
          <w:b/>
          <w:sz w:val="22"/>
          <w:szCs w:val="22"/>
          <w:highlight w:val="none"/>
        </w:rPr>
        <w:t>上述</w:t>
      </w:r>
      <w:r>
        <w:rPr>
          <w:rFonts w:hint="eastAsia" w:ascii="宋体" w:hAnsi="宋体"/>
          <w:b/>
          <w:sz w:val="22"/>
          <w:szCs w:val="22"/>
          <w:highlight w:val="none"/>
        </w:rPr>
        <w:t>赔偿损失金</w:t>
      </w:r>
      <w:r>
        <w:rPr>
          <w:rFonts w:ascii="宋体" w:hAnsi="宋体"/>
          <w:b/>
          <w:sz w:val="22"/>
          <w:szCs w:val="22"/>
          <w:highlight w:val="none"/>
        </w:rPr>
        <w:t>不能抵偿给采购人或采购代理机构造成损失的，</w:t>
      </w:r>
      <w:r>
        <w:rPr>
          <w:rFonts w:hint="eastAsia" w:ascii="宋体" w:hAnsi="宋体"/>
          <w:b/>
          <w:sz w:val="22"/>
          <w:szCs w:val="22"/>
          <w:highlight w:val="none"/>
        </w:rPr>
        <w:t>投标人</w:t>
      </w:r>
      <w:r>
        <w:rPr>
          <w:rFonts w:ascii="宋体" w:hAnsi="宋体"/>
          <w:b/>
          <w:sz w:val="22"/>
          <w:szCs w:val="22"/>
          <w:highlight w:val="none"/>
        </w:rPr>
        <w:t>还要承担赔偿责任。</w:t>
      </w:r>
    </w:p>
    <w:p w14:paraId="12E86D54">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w:t>
      </w:r>
      <w:r>
        <w:rPr>
          <w:rFonts w:hint="eastAsia" w:ascii="宋体" w:hAnsi="宋体" w:cs="楷体"/>
          <w:kern w:val="0"/>
          <w:sz w:val="22"/>
          <w:szCs w:val="22"/>
          <w:highlight w:val="none"/>
        </w:rPr>
        <w:t>有效期</w:t>
      </w:r>
    </w:p>
    <w:p w14:paraId="677E5387">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投标有效期见投标人</w:t>
      </w:r>
      <w:r>
        <w:rPr>
          <w:rFonts w:ascii="宋体" w:hAnsi="宋体" w:cs="Courier New"/>
          <w:sz w:val="22"/>
          <w:szCs w:val="22"/>
          <w:highlight w:val="none"/>
        </w:rPr>
        <w:t>须知前附表</w:t>
      </w:r>
      <w:r>
        <w:rPr>
          <w:rFonts w:hint="eastAsia" w:ascii="宋体" w:hAnsi="宋体" w:cs="Courier New"/>
          <w:sz w:val="22"/>
          <w:szCs w:val="22"/>
          <w:highlight w:val="none"/>
        </w:rPr>
        <w:t>，投标文件有效期短于这个规定期限的将被拒绝，其</w:t>
      </w:r>
      <w:r>
        <w:rPr>
          <w:rFonts w:hint="eastAsia" w:ascii="宋体" w:hAnsi="宋体" w:cs="Courier New"/>
          <w:b/>
          <w:bCs/>
          <w:sz w:val="22"/>
          <w:szCs w:val="22"/>
          <w:highlight w:val="none"/>
        </w:rPr>
        <w:t>投标无效</w:t>
      </w:r>
      <w:r>
        <w:rPr>
          <w:rFonts w:hint="eastAsia" w:ascii="宋体" w:hAnsi="宋体" w:cs="Courier New"/>
          <w:sz w:val="22"/>
          <w:szCs w:val="22"/>
          <w:highlight w:val="none"/>
        </w:rPr>
        <w:t>。</w:t>
      </w:r>
    </w:p>
    <w:p w14:paraId="0616A838">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在投标人须知前附表规定的投标有效期内，投标人不得要求撤销或修改其投标文件。</w:t>
      </w:r>
    </w:p>
    <w:p w14:paraId="564752BF">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特殊情况下，在原投标有效期截止前，采购人可与投标人协商延长投标有效期，这种要求和答复均以书面形式进行。同意延长投标有效期的投标人不得修改投标文件。</w:t>
      </w:r>
    </w:p>
    <w:p w14:paraId="0E1F362B">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投标文件的编制</w:t>
      </w:r>
    </w:p>
    <w:p w14:paraId="27773745">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本项目通过“</w:t>
      </w:r>
      <w:r>
        <w:rPr>
          <w:rFonts w:hint="eastAsia" w:ascii="宋体" w:hAnsi="宋体" w:cs="Courier New"/>
          <w:sz w:val="22"/>
          <w:szCs w:val="22"/>
          <w:highlight w:val="none"/>
          <w:lang w:eastAsia="zh-CN"/>
        </w:rPr>
        <w:t>乐采云平台（https://www.lecaiyun.com/</w:t>
      </w:r>
      <w:r>
        <w:rPr>
          <w:rFonts w:hint="eastAsia" w:ascii="宋体" w:hAnsi="宋体" w:cs="Courier New"/>
          <w:sz w:val="22"/>
          <w:szCs w:val="22"/>
          <w:highlight w:val="none"/>
        </w:rPr>
        <w:t>”实行在线投标响应（电子投标）。</w:t>
      </w:r>
    </w:p>
    <w:p w14:paraId="39458849">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投标人应先安装“政采云电子交易客户端”，并按照本招标文件和“</w:t>
      </w:r>
      <w:r>
        <w:rPr>
          <w:rFonts w:hint="eastAsia" w:ascii="宋体" w:hAnsi="宋体" w:cs="Courier New"/>
          <w:sz w:val="22"/>
          <w:szCs w:val="22"/>
          <w:highlight w:val="none"/>
          <w:lang w:eastAsia="zh-CN"/>
        </w:rPr>
        <w:t>乐采云平台</w:t>
      </w:r>
      <w:r>
        <w:rPr>
          <w:rFonts w:hint="eastAsia" w:ascii="宋体" w:hAnsi="宋体" w:cs="Courier New"/>
          <w:sz w:val="22"/>
          <w:szCs w:val="22"/>
          <w:highlight w:val="none"/>
        </w:rPr>
        <w:t>”的要求，通过“政采云电子交易客户端”编制并加密投标文件。</w:t>
      </w:r>
      <w:r>
        <w:rPr>
          <w:rFonts w:hint="eastAsia" w:ascii="宋体" w:hAnsi="宋体" w:cs="Courier New"/>
          <w:b/>
          <w:bCs/>
          <w:sz w:val="22"/>
          <w:szCs w:val="22"/>
          <w:highlight w:val="none"/>
        </w:rPr>
        <w:t>投标人未按规定加密的投标文件，“</w:t>
      </w:r>
      <w:r>
        <w:rPr>
          <w:rFonts w:hint="eastAsia" w:ascii="宋体" w:hAnsi="宋体" w:cs="Courier New"/>
          <w:b/>
          <w:bCs/>
          <w:sz w:val="22"/>
          <w:szCs w:val="22"/>
          <w:highlight w:val="none"/>
          <w:lang w:eastAsia="zh-CN"/>
        </w:rPr>
        <w:t>乐采云平台</w:t>
      </w:r>
      <w:r>
        <w:rPr>
          <w:rFonts w:hint="eastAsia" w:ascii="宋体" w:hAnsi="宋体" w:cs="Courier New"/>
          <w:b/>
          <w:bCs/>
          <w:sz w:val="22"/>
          <w:szCs w:val="22"/>
          <w:highlight w:val="none"/>
        </w:rPr>
        <w:t>”将予以拒收。</w:t>
      </w:r>
    </w:p>
    <w:p w14:paraId="78467F4E">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本文件《第三部分 应提交的有关格式范例》中有提供格式的，投标人须参照格式进行编制（格式中要求提供相关证明材料的还需后附相关证明材料），</w:t>
      </w:r>
      <w:r>
        <w:rPr>
          <w:rFonts w:hint="eastAsia" w:ascii="宋体" w:hAnsi="宋体" w:cs="Courier New"/>
          <w:b/>
          <w:sz w:val="22"/>
          <w:szCs w:val="22"/>
          <w:highlight w:val="none"/>
        </w:rPr>
        <w:t>并按格式要求在指定位置根据要求进行签署、盖章，否则视为未提供；</w:t>
      </w:r>
      <w:r>
        <w:rPr>
          <w:rFonts w:hint="eastAsia" w:ascii="宋体" w:hAnsi="宋体" w:cs="Courier New"/>
          <w:sz w:val="22"/>
          <w:szCs w:val="22"/>
          <w:highlight w:val="none"/>
        </w:rPr>
        <w:t>招标文件未提供格式的，请各投标人自行编写。</w:t>
      </w:r>
    </w:p>
    <w:p w14:paraId="60A0D5EB">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投标文件的签章</w:t>
      </w:r>
    </w:p>
    <w:p w14:paraId="4418DD87">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投标文件签章：见投标人须知前附表。</w:t>
      </w:r>
    </w:p>
    <w:p w14:paraId="635451A1">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电子签章操作指南详见</w:t>
      </w:r>
      <w:r>
        <w:rPr>
          <w:rFonts w:hint="eastAsia" w:ascii="宋体" w:hAnsi="宋体"/>
          <w:sz w:val="22"/>
          <w:szCs w:val="22"/>
          <w:highlight w:val="none"/>
        </w:rPr>
        <w:t>“</w:t>
      </w:r>
      <w:r>
        <w:rPr>
          <w:rFonts w:hint="eastAsia" w:ascii="宋体" w:hAnsi="宋体"/>
          <w:sz w:val="22"/>
          <w:szCs w:val="22"/>
          <w:highlight w:val="none"/>
          <w:lang w:eastAsia="zh-CN"/>
        </w:rPr>
        <w:t>乐采云平台（https://www.lecaiyun.com/</w:t>
      </w:r>
      <w:r>
        <w:rPr>
          <w:rFonts w:hint="eastAsia" w:ascii="宋体" w:hAnsi="宋体"/>
          <w:sz w:val="22"/>
          <w:szCs w:val="22"/>
          <w:highlight w:val="none"/>
        </w:rPr>
        <w:t>”中供应商项目采购-电子招投标操作指南。</w:t>
      </w:r>
    </w:p>
    <w:p w14:paraId="686C2765">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投标文件如有修改和增删必须由投标人代表在修改和增删处旁签署或加盖投标人的单位公章，方才有效。</w:t>
      </w:r>
    </w:p>
    <w:p w14:paraId="3F747C0D">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投标文件的形式</w:t>
      </w:r>
      <w:r>
        <w:rPr>
          <w:rFonts w:hint="eastAsia" w:ascii="宋体" w:hAnsi="宋体" w:cs="Courier New"/>
          <w:sz w:val="22"/>
          <w:szCs w:val="22"/>
          <w:highlight w:val="none"/>
        </w:rPr>
        <w:t>：见投标人须知前附表。</w:t>
      </w:r>
    </w:p>
    <w:p w14:paraId="6F587BF2">
      <w:pPr>
        <w:numPr>
          <w:ilvl w:val="0"/>
          <w:numId w:val="3"/>
        </w:numPr>
        <w:tabs>
          <w:tab w:val="left" w:pos="52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投标文件的份数</w:t>
      </w:r>
      <w:r>
        <w:rPr>
          <w:rFonts w:hint="eastAsia" w:ascii="宋体" w:hAnsi="宋体" w:cs="Courier New"/>
          <w:sz w:val="22"/>
          <w:szCs w:val="22"/>
          <w:highlight w:val="none"/>
        </w:rPr>
        <w:t>：见投标人须知前附表。</w:t>
      </w:r>
    </w:p>
    <w:p w14:paraId="1AA2CD31">
      <w:pPr>
        <w:pStyle w:val="6"/>
        <w:spacing w:line="400" w:lineRule="exact"/>
        <w:jc w:val="center"/>
        <w:rPr>
          <w:rFonts w:hint="eastAsia" w:ascii="宋体" w:hAnsi="宋体" w:eastAsia="宋体" w:cs="Courier New"/>
          <w:highlight w:val="none"/>
        </w:rPr>
      </w:pPr>
      <w:bookmarkStart w:id="93" w:name="_Toc205005289"/>
      <w:bookmarkStart w:id="94" w:name="_Toc204578578"/>
      <w:bookmarkStart w:id="95" w:name="_Toc205004971"/>
      <w:bookmarkStart w:id="96" w:name="_Toc14010"/>
      <w:bookmarkStart w:id="97" w:name="_Toc214365793"/>
      <w:bookmarkStart w:id="98" w:name="_Toc227056849"/>
      <w:bookmarkStart w:id="99" w:name="_Toc207609184"/>
      <w:bookmarkStart w:id="100" w:name="_Toc209261368"/>
      <w:bookmarkStart w:id="101" w:name="_Toc205877560"/>
      <w:bookmarkStart w:id="102" w:name="_Toc205877455"/>
      <w:bookmarkStart w:id="103" w:name="_Toc209261435"/>
      <w:bookmarkStart w:id="104" w:name="_Toc219538616"/>
      <w:bookmarkStart w:id="105" w:name="_Toc216667823"/>
      <w:bookmarkStart w:id="106" w:name="_Toc217460688"/>
      <w:bookmarkStart w:id="107" w:name="_Toc223933224"/>
      <w:bookmarkStart w:id="108" w:name="_Toc227057036"/>
      <w:bookmarkStart w:id="109" w:name="_Toc204491320"/>
      <w:bookmarkStart w:id="110" w:name="_Toc209332636"/>
      <w:bookmarkStart w:id="111" w:name="_Toc209250722"/>
      <w:bookmarkStart w:id="112" w:name="_Toc218041729"/>
      <w:bookmarkStart w:id="113" w:name="_Toc223717607"/>
      <w:bookmarkStart w:id="114" w:name="_Toc227489890"/>
      <w:bookmarkStart w:id="115" w:name="_Toc210879711"/>
      <w:bookmarkStart w:id="116" w:name="_Toc205703105"/>
      <w:bookmarkStart w:id="117" w:name="_Toc209251130"/>
      <w:bookmarkStart w:id="118" w:name="_Toc215415533"/>
      <w:r>
        <w:rPr>
          <w:rFonts w:hint="eastAsia" w:ascii="宋体" w:hAnsi="宋体" w:eastAsia="宋体" w:cs="Courier New"/>
          <w:highlight w:val="none"/>
        </w:rPr>
        <w:t>四、 投标</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7F92AE6">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投标文件的上传、递交：见投标人须知前附表。</w:t>
      </w:r>
    </w:p>
    <w:p w14:paraId="3941D722">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电子加密投标文件解密</w:t>
      </w:r>
      <w:bookmarkStart w:id="119" w:name="_Hlk100433652"/>
      <w:r>
        <w:rPr>
          <w:rFonts w:hint="eastAsia" w:ascii="宋体" w:hAnsi="宋体" w:cs="Courier New"/>
          <w:sz w:val="22"/>
          <w:szCs w:val="22"/>
          <w:highlight w:val="none"/>
        </w:rPr>
        <w:t>和异常情况处理</w:t>
      </w:r>
      <w:bookmarkEnd w:id="119"/>
      <w:r>
        <w:rPr>
          <w:rFonts w:hint="eastAsia" w:ascii="宋体" w:hAnsi="宋体" w:cs="Courier New"/>
          <w:sz w:val="22"/>
          <w:szCs w:val="22"/>
          <w:highlight w:val="none"/>
        </w:rPr>
        <w:t>：见投标人须知前附表。</w:t>
      </w:r>
    </w:p>
    <w:p w14:paraId="16C97A65">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投标文件的补充、修改或撤回</w:t>
      </w:r>
    </w:p>
    <w:p w14:paraId="3B0BEA34">
      <w:pPr>
        <w:numPr>
          <w:ilvl w:val="1"/>
          <w:numId w:val="3"/>
        </w:numPr>
        <w:tabs>
          <w:tab w:val="left" w:pos="525"/>
          <w:tab w:val="left" w:pos="635"/>
          <w:tab w:val="left" w:pos="900"/>
        </w:tabs>
        <w:spacing w:line="360" w:lineRule="auto"/>
        <w:rPr>
          <w:rFonts w:hint="eastAsia" w:ascii="宋体" w:hAnsi="宋体" w:cs="Courier New"/>
          <w:b/>
          <w:bCs/>
          <w:sz w:val="22"/>
          <w:szCs w:val="22"/>
          <w:highlight w:val="none"/>
        </w:rPr>
      </w:pPr>
      <w:r>
        <w:rPr>
          <w:rFonts w:hint="eastAsia" w:ascii="宋体" w:hAnsi="宋体" w:cs="Courier New"/>
          <w:sz w:val="22"/>
          <w:szCs w:val="22"/>
          <w:highlight w:val="none"/>
        </w:rPr>
        <w:t>供应商应当在投标截止时间前完成投标文件的上传、递交，并可以补充、修改或者撤回投标文件。补充或者修改投标文件的，应当先行撤回原文件，补充、修改后重新上传、递交。投标截止时间前未完成上传、递交的，视为撤回投标文件。</w:t>
      </w:r>
    </w:p>
    <w:p w14:paraId="295A2C40">
      <w:pPr>
        <w:numPr>
          <w:ilvl w:val="1"/>
          <w:numId w:val="3"/>
        </w:numPr>
        <w:tabs>
          <w:tab w:val="left" w:pos="525"/>
          <w:tab w:val="left" w:pos="635"/>
          <w:tab w:val="left" w:pos="900"/>
        </w:tabs>
        <w:spacing w:line="360" w:lineRule="auto"/>
        <w:rPr>
          <w:rFonts w:hint="eastAsia" w:ascii="宋体" w:hAnsi="宋体" w:cs="Courier New"/>
          <w:b/>
          <w:bCs/>
          <w:sz w:val="22"/>
          <w:szCs w:val="22"/>
          <w:highlight w:val="none"/>
        </w:rPr>
      </w:pPr>
      <w:r>
        <w:rPr>
          <w:rFonts w:hint="eastAsia" w:ascii="宋体" w:hAnsi="宋体" w:cs="Courier New"/>
          <w:b/>
          <w:bCs/>
          <w:sz w:val="22"/>
          <w:szCs w:val="22"/>
          <w:highlight w:val="none"/>
        </w:rPr>
        <w:t>投标截止时间后递交的投标文件，“</w:t>
      </w:r>
      <w:r>
        <w:rPr>
          <w:rFonts w:hint="eastAsia" w:ascii="宋体" w:hAnsi="宋体" w:cs="Courier New"/>
          <w:b/>
          <w:bCs/>
          <w:sz w:val="22"/>
          <w:szCs w:val="22"/>
          <w:highlight w:val="none"/>
          <w:lang w:eastAsia="zh-CN"/>
        </w:rPr>
        <w:t>乐采云平台</w:t>
      </w:r>
      <w:r>
        <w:rPr>
          <w:rFonts w:hint="eastAsia" w:ascii="宋体" w:hAnsi="宋体" w:cs="Courier New"/>
          <w:b/>
          <w:bCs/>
          <w:sz w:val="22"/>
          <w:szCs w:val="22"/>
          <w:highlight w:val="none"/>
        </w:rPr>
        <w:t>”将予以拒收。</w:t>
      </w:r>
    </w:p>
    <w:p w14:paraId="678D674B">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投标截止时间后，投标人不得撤回、修改投标文件。</w:t>
      </w:r>
    </w:p>
    <w:p w14:paraId="08CBC8F1">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投标文件的备选方案</w:t>
      </w:r>
    </w:p>
    <w:p w14:paraId="2ADC4DF0">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投标人不得递交任何的投标备选（替代）方案，否则其投标文件将作无效标处理。与“电子加密投标文件”同时生成的“备份投标文件”不是投标备选（替代）方案。</w:t>
      </w:r>
    </w:p>
    <w:p w14:paraId="4CB539CF">
      <w:pPr>
        <w:pStyle w:val="6"/>
        <w:spacing w:line="400" w:lineRule="exact"/>
        <w:jc w:val="center"/>
        <w:rPr>
          <w:rFonts w:hint="eastAsia" w:ascii="宋体" w:hAnsi="宋体" w:eastAsia="宋体" w:cs="Courier New"/>
          <w:highlight w:val="none"/>
        </w:rPr>
      </w:pPr>
      <w:bookmarkStart w:id="120" w:name="_Toc205877456"/>
      <w:bookmarkStart w:id="121" w:name="_Toc227056850"/>
      <w:bookmarkStart w:id="122" w:name="_Toc204491321"/>
      <w:bookmarkStart w:id="123" w:name="_Toc210879712"/>
      <w:bookmarkStart w:id="124" w:name="_Toc219538617"/>
      <w:bookmarkStart w:id="125" w:name="_Toc215415534"/>
      <w:bookmarkStart w:id="126" w:name="_Toc205877561"/>
      <w:bookmarkStart w:id="127" w:name="_Toc227489891"/>
      <w:bookmarkStart w:id="128" w:name="_Toc209250723"/>
      <w:bookmarkStart w:id="129" w:name="_Toc205005290"/>
      <w:bookmarkStart w:id="130" w:name="_Toc216667824"/>
      <w:bookmarkStart w:id="131" w:name="_Toc209261369"/>
      <w:bookmarkStart w:id="132" w:name="_Toc227057037"/>
      <w:bookmarkStart w:id="133" w:name="_Toc205703106"/>
      <w:bookmarkStart w:id="134" w:name="_Toc209261436"/>
      <w:bookmarkStart w:id="135" w:name="_Toc223717608"/>
      <w:bookmarkStart w:id="136" w:name="_Toc204578579"/>
      <w:bookmarkStart w:id="137" w:name="_Toc223933225"/>
      <w:bookmarkStart w:id="138" w:name="_Toc205004972"/>
      <w:bookmarkStart w:id="139" w:name="_Toc218041730"/>
      <w:bookmarkStart w:id="140" w:name="_Toc214365794"/>
      <w:bookmarkStart w:id="141" w:name="_Toc207609185"/>
      <w:bookmarkStart w:id="142" w:name="_Toc209251131"/>
      <w:bookmarkStart w:id="143" w:name="_Toc209332637"/>
      <w:bookmarkStart w:id="144" w:name="_Toc217460689"/>
      <w:bookmarkStart w:id="145" w:name="_Toc22379"/>
      <w:r>
        <w:rPr>
          <w:rFonts w:hint="eastAsia" w:ascii="宋体" w:hAnsi="宋体" w:eastAsia="宋体" w:cs="Courier New"/>
          <w:highlight w:val="none"/>
        </w:rPr>
        <w:t xml:space="preserve">五、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宋体" w:hAnsi="宋体" w:eastAsia="宋体" w:cs="Courier New"/>
          <w:highlight w:val="none"/>
        </w:rPr>
        <w:t>电子化开标</w:t>
      </w:r>
      <w:bookmarkEnd w:id="145"/>
    </w:p>
    <w:p w14:paraId="08E3C98E">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开标</w:t>
      </w:r>
    </w:p>
    <w:p w14:paraId="11E28CD6">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ascii="宋体" w:hAnsi="宋体" w:cs="Courier New"/>
          <w:sz w:val="22"/>
          <w:szCs w:val="22"/>
          <w:highlight w:val="none"/>
        </w:rPr>
        <w:t>投标人不足3家的，不</w:t>
      </w:r>
      <w:r>
        <w:rPr>
          <w:rFonts w:hint="eastAsia" w:ascii="宋体" w:hAnsi="宋体" w:cs="Courier New"/>
          <w:sz w:val="22"/>
          <w:szCs w:val="22"/>
          <w:highlight w:val="none"/>
        </w:rPr>
        <w:t>进行</w:t>
      </w:r>
      <w:r>
        <w:rPr>
          <w:rFonts w:ascii="宋体" w:hAnsi="宋体" w:cs="Courier New"/>
          <w:sz w:val="22"/>
          <w:szCs w:val="22"/>
          <w:highlight w:val="none"/>
        </w:rPr>
        <w:t>开标。</w:t>
      </w:r>
    </w:p>
    <w:p w14:paraId="3B0408E3">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电子招投标开标及评审程序</w:t>
      </w:r>
    </w:p>
    <w:p w14:paraId="79B3494C">
      <w:pPr>
        <w:numPr>
          <w:ilvl w:val="0"/>
          <w:numId w:val="6"/>
        </w:numPr>
        <w:tabs>
          <w:tab w:val="left" w:pos="735"/>
          <w:tab w:val="clear" w:pos="420"/>
        </w:tabs>
        <w:spacing w:line="360" w:lineRule="auto"/>
        <w:ind w:left="734" w:leftChars="200" w:hanging="314" w:hangingChars="143"/>
        <w:rPr>
          <w:rFonts w:hint="eastAsia" w:ascii="宋体" w:hAnsi="宋体"/>
          <w:sz w:val="22"/>
          <w:szCs w:val="22"/>
          <w:highlight w:val="none"/>
        </w:rPr>
      </w:pPr>
      <w:r>
        <w:rPr>
          <w:rFonts w:hint="eastAsia" w:ascii="宋体" w:hAnsi="宋体"/>
          <w:sz w:val="22"/>
          <w:szCs w:val="22"/>
          <w:highlight w:val="none"/>
        </w:rPr>
        <w:t>招标采购单位将按照招标文件规定的时间通过“</w:t>
      </w:r>
      <w:r>
        <w:rPr>
          <w:rFonts w:hint="eastAsia" w:ascii="宋体" w:hAnsi="宋体"/>
          <w:sz w:val="22"/>
          <w:szCs w:val="22"/>
          <w:highlight w:val="none"/>
          <w:lang w:eastAsia="zh-CN"/>
        </w:rPr>
        <w:t>乐采云平台</w:t>
      </w:r>
      <w:r>
        <w:rPr>
          <w:rFonts w:hint="eastAsia" w:ascii="宋体" w:hAnsi="宋体"/>
          <w:sz w:val="22"/>
          <w:szCs w:val="22"/>
          <w:highlight w:val="none"/>
        </w:rPr>
        <w:t>”组织开标、开启投标文件，投标人应准时在线参加。投标人如不参加开标的，视同认可开标结果，事后不得对采购相关人员、开标过程和开标结果提出异议，同时投标人因未在线参加开标而导致投标文件无法按时解密等一切后果由投标人自己承担。</w:t>
      </w:r>
    </w:p>
    <w:p w14:paraId="138ED3F6">
      <w:pPr>
        <w:numPr>
          <w:ilvl w:val="0"/>
          <w:numId w:val="6"/>
        </w:numPr>
        <w:tabs>
          <w:tab w:val="left" w:pos="735"/>
          <w:tab w:val="clear" w:pos="420"/>
        </w:tabs>
        <w:spacing w:line="360" w:lineRule="auto"/>
        <w:ind w:left="734" w:leftChars="200" w:hanging="314" w:hangingChars="143"/>
        <w:rPr>
          <w:rFonts w:hint="eastAsia" w:ascii="宋体" w:hAnsi="宋体"/>
          <w:sz w:val="22"/>
          <w:szCs w:val="22"/>
          <w:highlight w:val="none"/>
        </w:rPr>
      </w:pPr>
      <w:r>
        <w:rPr>
          <w:rFonts w:hint="eastAsia" w:ascii="宋体" w:hAnsi="宋体"/>
          <w:sz w:val="22"/>
          <w:szCs w:val="22"/>
          <w:highlight w:val="none"/>
        </w:rPr>
        <w:t>投标截止时间后，向各投标人发出电子加密投标文件【开始解密】通知，由投标人按招标文件规定的时间内自行进行投标文件解密。投标人在规定的时间内无法完成已递交的“电子加密投标文件”解密的，如已按规定递交了备份投标文件的，将由采购代理机构按“</w:t>
      </w:r>
      <w:r>
        <w:rPr>
          <w:rFonts w:hint="eastAsia" w:ascii="宋体" w:hAnsi="宋体"/>
          <w:sz w:val="22"/>
          <w:szCs w:val="22"/>
          <w:highlight w:val="none"/>
          <w:lang w:eastAsia="zh-CN"/>
        </w:rPr>
        <w:t>乐采云平台</w:t>
      </w:r>
      <w:r>
        <w:rPr>
          <w:rFonts w:hint="eastAsia" w:ascii="宋体" w:hAnsi="宋体"/>
          <w:sz w:val="22"/>
          <w:szCs w:val="22"/>
          <w:highlight w:val="none"/>
        </w:rPr>
        <w:t>”操作规范将备份投标文件上传至“</w:t>
      </w:r>
      <w:r>
        <w:rPr>
          <w:rFonts w:hint="eastAsia" w:ascii="宋体" w:hAnsi="宋体"/>
          <w:sz w:val="22"/>
          <w:szCs w:val="22"/>
          <w:highlight w:val="none"/>
          <w:lang w:eastAsia="zh-CN"/>
        </w:rPr>
        <w:t>乐采云平台</w:t>
      </w:r>
      <w:r>
        <w:rPr>
          <w:rFonts w:hint="eastAsia" w:ascii="宋体" w:hAnsi="宋体"/>
          <w:sz w:val="22"/>
          <w:szCs w:val="22"/>
          <w:highlight w:val="none"/>
        </w:rPr>
        <w:t>”，上传成功后，“电子加密投标文件”自动失效。</w:t>
      </w:r>
      <w:r>
        <w:rPr>
          <w:rFonts w:ascii="宋体" w:hAnsi="宋体"/>
          <w:sz w:val="22"/>
          <w:szCs w:val="22"/>
          <w:highlight w:val="none"/>
        </w:rPr>
        <w:t xml:space="preserve"> </w:t>
      </w:r>
    </w:p>
    <w:p w14:paraId="7520320D">
      <w:pPr>
        <w:numPr>
          <w:ilvl w:val="0"/>
          <w:numId w:val="6"/>
        </w:numPr>
        <w:tabs>
          <w:tab w:val="left" w:pos="735"/>
          <w:tab w:val="clear" w:pos="420"/>
        </w:tabs>
        <w:spacing w:line="360" w:lineRule="auto"/>
        <w:ind w:left="734" w:leftChars="200" w:hanging="314" w:hangingChars="143"/>
        <w:rPr>
          <w:rFonts w:hint="eastAsia" w:ascii="宋体" w:hAnsi="宋体"/>
          <w:sz w:val="22"/>
          <w:szCs w:val="22"/>
          <w:highlight w:val="none"/>
        </w:rPr>
      </w:pPr>
      <w:r>
        <w:rPr>
          <w:rFonts w:hint="eastAsia" w:ascii="宋体" w:hAnsi="宋体" w:cs="Courier New"/>
          <w:sz w:val="22"/>
          <w:szCs w:val="22"/>
          <w:highlight w:val="none"/>
        </w:rPr>
        <w:t>对投标人的资格进行审查</w:t>
      </w:r>
      <w:r>
        <w:rPr>
          <w:rFonts w:hint="eastAsia" w:ascii="宋体" w:hAnsi="宋体"/>
          <w:sz w:val="22"/>
          <w:szCs w:val="22"/>
          <w:highlight w:val="none"/>
        </w:rPr>
        <w:t>。</w:t>
      </w:r>
    </w:p>
    <w:p w14:paraId="718DA418">
      <w:pPr>
        <w:numPr>
          <w:ilvl w:val="0"/>
          <w:numId w:val="6"/>
        </w:numPr>
        <w:tabs>
          <w:tab w:val="left" w:pos="735"/>
          <w:tab w:val="clear" w:pos="420"/>
        </w:tabs>
        <w:spacing w:line="360" w:lineRule="auto"/>
        <w:ind w:left="734" w:leftChars="200" w:hanging="314" w:hangingChars="143"/>
        <w:rPr>
          <w:rFonts w:hint="eastAsia" w:ascii="宋体" w:hAnsi="宋体"/>
          <w:sz w:val="22"/>
          <w:szCs w:val="22"/>
          <w:highlight w:val="none"/>
        </w:rPr>
      </w:pPr>
      <w:r>
        <w:rPr>
          <w:rFonts w:hint="eastAsia" w:ascii="宋体" w:hAnsi="宋体"/>
          <w:sz w:val="22"/>
          <w:szCs w:val="22"/>
          <w:highlight w:val="none"/>
        </w:rPr>
        <w:t>评标委员会对商务技术文件进行评审。</w:t>
      </w:r>
    </w:p>
    <w:p w14:paraId="2830E064">
      <w:pPr>
        <w:numPr>
          <w:ilvl w:val="0"/>
          <w:numId w:val="6"/>
        </w:numPr>
        <w:tabs>
          <w:tab w:val="left" w:pos="735"/>
          <w:tab w:val="clear" w:pos="420"/>
        </w:tabs>
        <w:spacing w:line="360" w:lineRule="auto"/>
        <w:ind w:left="734" w:leftChars="200" w:hanging="314" w:hangingChars="143"/>
        <w:rPr>
          <w:rFonts w:hint="eastAsia" w:ascii="宋体" w:hAnsi="宋体"/>
          <w:sz w:val="22"/>
          <w:szCs w:val="22"/>
          <w:highlight w:val="none"/>
        </w:rPr>
      </w:pPr>
      <w:r>
        <w:rPr>
          <w:rFonts w:hint="eastAsia" w:ascii="宋体" w:hAnsi="宋体"/>
          <w:sz w:val="22"/>
          <w:szCs w:val="22"/>
          <w:highlight w:val="none"/>
        </w:rPr>
        <w:t>评标委员会对报价情况进行评审。</w:t>
      </w:r>
    </w:p>
    <w:p w14:paraId="4CAF7320">
      <w:pPr>
        <w:numPr>
          <w:ilvl w:val="0"/>
          <w:numId w:val="6"/>
        </w:numPr>
        <w:tabs>
          <w:tab w:val="left" w:pos="735"/>
          <w:tab w:val="clear" w:pos="420"/>
        </w:tabs>
        <w:spacing w:line="360" w:lineRule="auto"/>
        <w:ind w:left="734" w:leftChars="200" w:hanging="314" w:hangingChars="143"/>
        <w:rPr>
          <w:rFonts w:hint="eastAsia" w:ascii="宋体" w:hAnsi="宋体"/>
          <w:sz w:val="22"/>
          <w:szCs w:val="22"/>
          <w:highlight w:val="none"/>
        </w:rPr>
      </w:pPr>
      <w:r>
        <w:rPr>
          <w:rFonts w:hint="eastAsia" w:ascii="宋体" w:hAnsi="宋体"/>
          <w:sz w:val="22"/>
          <w:szCs w:val="22"/>
          <w:highlight w:val="none"/>
        </w:rPr>
        <w:t>在系统上公布评标结果。</w:t>
      </w:r>
    </w:p>
    <w:p w14:paraId="3083E1D0">
      <w:pPr>
        <w:tabs>
          <w:tab w:val="left" w:pos="525"/>
        </w:tabs>
        <w:spacing w:line="360" w:lineRule="auto"/>
        <w:rPr>
          <w:rFonts w:hint="eastAsia" w:ascii="宋体" w:hAnsi="宋体"/>
          <w:b/>
          <w:sz w:val="22"/>
          <w:szCs w:val="22"/>
          <w:highlight w:val="none"/>
        </w:rPr>
      </w:pPr>
      <w:r>
        <w:rPr>
          <w:rFonts w:hint="eastAsia" w:ascii="宋体" w:hAnsi="宋体"/>
          <w:b/>
          <w:sz w:val="22"/>
          <w:szCs w:val="22"/>
          <w:highlight w:val="none"/>
        </w:rPr>
        <w:t>※政采云公司如对电子化开标或评审程序有调整的，按调整后的程序操作。</w:t>
      </w:r>
    </w:p>
    <w:p w14:paraId="39299C23">
      <w:pPr>
        <w:pStyle w:val="6"/>
        <w:spacing w:line="400" w:lineRule="exact"/>
        <w:jc w:val="center"/>
        <w:rPr>
          <w:rFonts w:hint="eastAsia" w:ascii="宋体" w:hAnsi="宋体" w:eastAsia="宋体"/>
          <w:highlight w:val="none"/>
        </w:rPr>
      </w:pPr>
      <w:bookmarkStart w:id="146" w:name="_Toc24174"/>
      <w:r>
        <w:rPr>
          <w:rFonts w:ascii="宋体" w:hAnsi="宋体" w:eastAsia="宋体"/>
          <w:highlight w:val="none"/>
        </w:rPr>
        <w:t>六</w:t>
      </w:r>
      <w:r>
        <w:rPr>
          <w:rFonts w:hint="eastAsia" w:ascii="宋体" w:hAnsi="宋体" w:eastAsia="宋体"/>
          <w:highlight w:val="none"/>
        </w:rPr>
        <w:t>、 资格审查及评标</w:t>
      </w:r>
      <w:bookmarkEnd w:id="146"/>
    </w:p>
    <w:p w14:paraId="2BF069FF">
      <w:pPr>
        <w:numPr>
          <w:ilvl w:val="0"/>
          <w:numId w:val="3"/>
        </w:numPr>
        <w:tabs>
          <w:tab w:val="left" w:pos="525"/>
          <w:tab w:val="left" w:pos="900"/>
        </w:tabs>
        <w:spacing w:line="360" w:lineRule="auto"/>
        <w:rPr>
          <w:rFonts w:hint="eastAsia" w:ascii="宋体" w:hAnsi="宋体"/>
          <w:highlight w:val="none"/>
          <w:lang w:val="zh-CN"/>
        </w:rPr>
      </w:pPr>
      <w:r>
        <w:rPr>
          <w:rFonts w:ascii="宋体" w:hAnsi="宋体" w:cs="Courier New"/>
          <w:sz w:val="22"/>
          <w:szCs w:val="22"/>
          <w:highlight w:val="none"/>
        </w:rPr>
        <w:t>资格审查</w:t>
      </w:r>
    </w:p>
    <w:p w14:paraId="57D67265">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采购人或者采购代理机构依法对投标人的资格进行审查。</w:t>
      </w:r>
    </w:p>
    <w:p w14:paraId="1720211F">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资格审查的依据是招标文件和投标文件。</w:t>
      </w:r>
    </w:p>
    <w:p w14:paraId="7AABC2E0">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资格审查内容：</w:t>
      </w:r>
    </w:p>
    <w:tbl>
      <w:tblPr>
        <w:tblStyle w:val="3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3638"/>
        <w:gridCol w:w="5670"/>
      </w:tblGrid>
      <w:tr w14:paraId="3A4D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05B0CD37">
            <w:pPr>
              <w:jc w:val="center"/>
              <w:rPr>
                <w:rFonts w:hint="eastAsia" w:ascii="宋体" w:hAnsi="宋体"/>
                <w:sz w:val="22"/>
                <w:szCs w:val="22"/>
                <w:highlight w:val="none"/>
              </w:rPr>
            </w:pPr>
            <w:r>
              <w:rPr>
                <w:rFonts w:ascii="宋体" w:hAnsi="宋体"/>
                <w:sz w:val="22"/>
                <w:szCs w:val="22"/>
                <w:highlight w:val="none"/>
              </w:rPr>
              <w:t>序号</w:t>
            </w:r>
          </w:p>
        </w:tc>
        <w:tc>
          <w:tcPr>
            <w:tcW w:w="3638" w:type="dxa"/>
            <w:shd w:val="clear" w:color="auto" w:fill="auto"/>
            <w:vAlign w:val="center"/>
          </w:tcPr>
          <w:p w14:paraId="4CF01B85">
            <w:pPr>
              <w:jc w:val="center"/>
              <w:rPr>
                <w:rFonts w:hint="eastAsia" w:ascii="宋体" w:hAnsi="宋体"/>
                <w:sz w:val="22"/>
                <w:szCs w:val="22"/>
                <w:highlight w:val="none"/>
              </w:rPr>
            </w:pPr>
            <w:r>
              <w:rPr>
                <w:rFonts w:hint="eastAsia" w:ascii="宋体" w:hAnsi="宋体"/>
                <w:sz w:val="22"/>
                <w:szCs w:val="22"/>
                <w:highlight w:val="none"/>
              </w:rPr>
              <w:t>明细</w:t>
            </w:r>
          </w:p>
        </w:tc>
        <w:tc>
          <w:tcPr>
            <w:tcW w:w="5670" w:type="dxa"/>
            <w:shd w:val="clear" w:color="auto" w:fill="auto"/>
            <w:vAlign w:val="center"/>
          </w:tcPr>
          <w:p w14:paraId="3D484484">
            <w:pPr>
              <w:jc w:val="center"/>
              <w:rPr>
                <w:rFonts w:hint="eastAsia" w:ascii="宋体" w:hAnsi="宋体"/>
                <w:sz w:val="22"/>
                <w:szCs w:val="22"/>
                <w:highlight w:val="none"/>
              </w:rPr>
            </w:pPr>
            <w:r>
              <w:rPr>
                <w:rFonts w:hint="eastAsia" w:ascii="宋体" w:hAnsi="宋体"/>
                <w:sz w:val="22"/>
                <w:szCs w:val="22"/>
                <w:highlight w:val="none"/>
              </w:rPr>
              <w:t>说明</w:t>
            </w:r>
          </w:p>
        </w:tc>
      </w:tr>
      <w:tr w14:paraId="310C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0EF507EC">
            <w:pPr>
              <w:numPr>
                <w:ilvl w:val="0"/>
                <w:numId w:val="7"/>
              </w:numPr>
              <w:rPr>
                <w:rFonts w:hint="eastAsia" w:ascii="宋体" w:hAnsi="宋体"/>
                <w:sz w:val="22"/>
                <w:szCs w:val="22"/>
                <w:highlight w:val="none"/>
              </w:rPr>
            </w:pPr>
          </w:p>
        </w:tc>
        <w:tc>
          <w:tcPr>
            <w:tcW w:w="3638" w:type="dxa"/>
            <w:shd w:val="clear" w:color="auto" w:fill="auto"/>
            <w:vAlign w:val="center"/>
          </w:tcPr>
          <w:p w14:paraId="46C995C9">
            <w:pPr>
              <w:rPr>
                <w:rFonts w:hint="eastAsia" w:ascii="宋体" w:hAnsi="宋体"/>
                <w:sz w:val="22"/>
                <w:szCs w:val="22"/>
                <w:highlight w:val="none"/>
              </w:rPr>
            </w:pPr>
            <w:r>
              <w:rPr>
                <w:rFonts w:hint="eastAsia" w:ascii="宋体" w:hAnsi="宋体" w:cs="楷体"/>
                <w:kern w:val="0"/>
                <w:sz w:val="22"/>
                <w:szCs w:val="22"/>
                <w:highlight w:val="none"/>
              </w:rPr>
              <w:t>资格声明书</w:t>
            </w:r>
          </w:p>
        </w:tc>
        <w:tc>
          <w:tcPr>
            <w:tcW w:w="5670" w:type="dxa"/>
            <w:shd w:val="clear" w:color="auto" w:fill="auto"/>
            <w:vAlign w:val="center"/>
          </w:tcPr>
          <w:p w14:paraId="72683B25">
            <w:pPr>
              <w:rPr>
                <w:rFonts w:hint="eastAsia" w:ascii="宋体" w:hAnsi="宋体"/>
                <w:highlight w:val="none"/>
              </w:rPr>
            </w:pPr>
            <w:r>
              <w:rPr>
                <w:rFonts w:ascii="宋体" w:hAnsi="宋体"/>
                <w:sz w:val="22"/>
                <w:szCs w:val="22"/>
                <w:highlight w:val="none"/>
              </w:rPr>
              <w:t>投标人应按照招标文件规定格式及内容提供。</w:t>
            </w:r>
          </w:p>
        </w:tc>
      </w:tr>
      <w:tr w14:paraId="6547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5630D74B">
            <w:pPr>
              <w:numPr>
                <w:ilvl w:val="0"/>
                <w:numId w:val="7"/>
              </w:numPr>
              <w:rPr>
                <w:rFonts w:hint="eastAsia" w:ascii="宋体" w:hAnsi="宋体"/>
                <w:sz w:val="22"/>
                <w:szCs w:val="22"/>
                <w:highlight w:val="none"/>
              </w:rPr>
            </w:pPr>
          </w:p>
        </w:tc>
        <w:tc>
          <w:tcPr>
            <w:tcW w:w="3638" w:type="dxa"/>
            <w:shd w:val="clear" w:color="auto" w:fill="auto"/>
            <w:vAlign w:val="center"/>
          </w:tcPr>
          <w:p w14:paraId="20F16155">
            <w:pPr>
              <w:rPr>
                <w:rFonts w:hint="eastAsia" w:ascii="宋体" w:hAnsi="宋体" w:cs="楷体"/>
                <w:kern w:val="0"/>
                <w:sz w:val="22"/>
                <w:szCs w:val="22"/>
                <w:highlight w:val="none"/>
              </w:rPr>
            </w:pPr>
            <w:r>
              <w:rPr>
                <w:rFonts w:hint="eastAsia" w:ascii="宋体" w:hAnsi="宋体" w:cs="楷体"/>
                <w:kern w:val="0"/>
                <w:sz w:val="22"/>
                <w:szCs w:val="22"/>
                <w:highlight w:val="none"/>
              </w:rPr>
              <w:t>投标人有效的</w:t>
            </w:r>
            <w:r>
              <w:rPr>
                <w:rFonts w:ascii="宋体" w:hAnsi="宋体" w:cs="楷体"/>
                <w:kern w:val="0"/>
                <w:sz w:val="22"/>
                <w:szCs w:val="22"/>
                <w:highlight w:val="none"/>
              </w:rPr>
              <w:t>营业执照等证明文件</w:t>
            </w:r>
          </w:p>
        </w:tc>
        <w:tc>
          <w:tcPr>
            <w:tcW w:w="5670" w:type="dxa"/>
            <w:shd w:val="clear" w:color="auto" w:fill="auto"/>
            <w:vAlign w:val="center"/>
          </w:tcPr>
          <w:p w14:paraId="56F1C339">
            <w:pPr>
              <w:rPr>
                <w:rFonts w:hint="eastAsia" w:ascii="宋体" w:hAnsi="宋体"/>
                <w:sz w:val="22"/>
                <w:szCs w:val="22"/>
                <w:highlight w:val="none"/>
              </w:rPr>
            </w:pPr>
            <w:r>
              <w:rPr>
                <w:rFonts w:ascii="宋体" w:hAnsi="宋体"/>
                <w:sz w:val="22"/>
                <w:szCs w:val="22"/>
                <w:highlight w:val="none"/>
              </w:rPr>
              <w:t>投标人应按照招标文件规定及</w:t>
            </w:r>
            <w:r>
              <w:rPr>
                <w:rFonts w:hint="eastAsia" w:ascii="宋体" w:hAnsi="宋体"/>
                <w:sz w:val="22"/>
                <w:szCs w:val="22"/>
                <w:highlight w:val="none"/>
              </w:rPr>
              <w:t>要求</w:t>
            </w:r>
            <w:r>
              <w:rPr>
                <w:rFonts w:ascii="宋体" w:hAnsi="宋体"/>
                <w:sz w:val="22"/>
                <w:szCs w:val="22"/>
                <w:highlight w:val="none"/>
              </w:rPr>
              <w:t>提供。</w:t>
            </w:r>
          </w:p>
        </w:tc>
      </w:tr>
      <w:tr w14:paraId="51B6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664843E9">
            <w:pPr>
              <w:numPr>
                <w:ilvl w:val="0"/>
                <w:numId w:val="7"/>
              </w:numPr>
              <w:rPr>
                <w:rFonts w:hint="eastAsia" w:ascii="宋体" w:hAnsi="宋体"/>
                <w:sz w:val="22"/>
                <w:szCs w:val="22"/>
                <w:highlight w:val="none"/>
              </w:rPr>
            </w:pPr>
          </w:p>
        </w:tc>
        <w:tc>
          <w:tcPr>
            <w:tcW w:w="3638" w:type="dxa"/>
            <w:shd w:val="clear" w:color="auto" w:fill="auto"/>
            <w:vAlign w:val="center"/>
          </w:tcPr>
          <w:p w14:paraId="06665EA0">
            <w:pPr>
              <w:rPr>
                <w:rFonts w:hint="eastAsia" w:ascii="宋体" w:hAnsi="宋体" w:cs="楷体"/>
                <w:kern w:val="0"/>
                <w:sz w:val="22"/>
                <w:szCs w:val="22"/>
                <w:highlight w:val="none"/>
              </w:rPr>
            </w:pPr>
            <w:r>
              <w:rPr>
                <w:rFonts w:hint="eastAsia" w:ascii="宋体" w:hAnsi="宋体" w:cs="楷体"/>
                <w:kern w:val="0"/>
                <w:sz w:val="22"/>
                <w:szCs w:val="22"/>
                <w:highlight w:val="none"/>
              </w:rPr>
              <w:t>落实政府采购政策需满足的资格要求</w:t>
            </w:r>
          </w:p>
        </w:tc>
        <w:tc>
          <w:tcPr>
            <w:tcW w:w="5670" w:type="dxa"/>
            <w:shd w:val="clear" w:color="auto" w:fill="auto"/>
            <w:vAlign w:val="center"/>
          </w:tcPr>
          <w:p w14:paraId="0182E7E9">
            <w:pPr>
              <w:widowControl/>
              <w:wordWrap w:val="0"/>
              <w:rPr>
                <w:rFonts w:hint="eastAsia" w:ascii="宋体" w:hAnsi="宋体" w:cs="宋体"/>
                <w:spacing w:val="6"/>
                <w:sz w:val="22"/>
                <w:szCs w:val="22"/>
                <w:highlight w:val="none"/>
              </w:rPr>
            </w:pPr>
            <w:r>
              <w:rPr>
                <w:rFonts w:hint="eastAsia" w:ascii="宋体" w:hAnsi="宋体" w:cs="宋体"/>
                <w:spacing w:val="6"/>
                <w:sz w:val="22"/>
                <w:szCs w:val="22"/>
                <w:highlight w:val="none"/>
              </w:rPr>
              <w:t>无。</w:t>
            </w:r>
          </w:p>
        </w:tc>
      </w:tr>
      <w:tr w14:paraId="1233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79346C58">
            <w:pPr>
              <w:numPr>
                <w:ilvl w:val="0"/>
                <w:numId w:val="7"/>
              </w:numPr>
              <w:rPr>
                <w:rFonts w:hint="eastAsia" w:ascii="宋体" w:hAnsi="宋体"/>
                <w:sz w:val="22"/>
                <w:szCs w:val="22"/>
                <w:highlight w:val="none"/>
              </w:rPr>
            </w:pPr>
          </w:p>
        </w:tc>
        <w:tc>
          <w:tcPr>
            <w:tcW w:w="3638" w:type="dxa"/>
            <w:shd w:val="clear" w:color="auto" w:fill="auto"/>
            <w:vAlign w:val="center"/>
          </w:tcPr>
          <w:p w14:paraId="2E33BDF7">
            <w:pPr>
              <w:rPr>
                <w:rFonts w:hint="eastAsia" w:ascii="宋体" w:hAnsi="宋体" w:cs="楷体"/>
                <w:kern w:val="0"/>
                <w:sz w:val="22"/>
                <w:szCs w:val="22"/>
                <w:highlight w:val="none"/>
              </w:rPr>
            </w:pPr>
            <w:r>
              <w:rPr>
                <w:rFonts w:hint="eastAsia" w:ascii="宋体" w:hAnsi="宋体" w:cs="楷体"/>
                <w:kern w:val="0"/>
                <w:sz w:val="22"/>
                <w:szCs w:val="22"/>
                <w:highlight w:val="none"/>
              </w:rPr>
              <w:t>本项目的特定资格要求</w:t>
            </w:r>
          </w:p>
        </w:tc>
        <w:tc>
          <w:tcPr>
            <w:tcW w:w="5670" w:type="dxa"/>
            <w:shd w:val="clear" w:color="auto" w:fill="auto"/>
            <w:vAlign w:val="center"/>
          </w:tcPr>
          <w:p w14:paraId="28F59176">
            <w:pPr>
              <w:widowControl/>
              <w:wordWrap w:val="0"/>
              <w:rPr>
                <w:rFonts w:hint="eastAsia" w:ascii="宋体" w:hAnsi="宋体" w:cs="宋体"/>
                <w:spacing w:val="6"/>
                <w:sz w:val="22"/>
                <w:szCs w:val="22"/>
                <w:highlight w:val="none"/>
              </w:rPr>
            </w:pPr>
            <w:r>
              <w:rPr>
                <w:rFonts w:hint="eastAsia" w:ascii="宋体" w:hAnsi="宋体" w:cs="宋体"/>
                <w:spacing w:val="6"/>
                <w:sz w:val="22"/>
                <w:szCs w:val="22"/>
                <w:highlight w:val="none"/>
              </w:rPr>
              <w:t>无。</w:t>
            </w:r>
          </w:p>
        </w:tc>
      </w:tr>
      <w:tr w14:paraId="3C4D9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0" w:type="dxa"/>
            <w:shd w:val="clear" w:color="auto" w:fill="auto"/>
            <w:vAlign w:val="center"/>
          </w:tcPr>
          <w:p w14:paraId="1A283AAF">
            <w:pPr>
              <w:numPr>
                <w:ilvl w:val="0"/>
                <w:numId w:val="7"/>
              </w:numPr>
              <w:rPr>
                <w:rFonts w:hint="eastAsia" w:ascii="宋体" w:hAnsi="宋体"/>
                <w:sz w:val="22"/>
                <w:szCs w:val="22"/>
                <w:highlight w:val="none"/>
              </w:rPr>
            </w:pPr>
          </w:p>
        </w:tc>
        <w:tc>
          <w:tcPr>
            <w:tcW w:w="3638" w:type="dxa"/>
            <w:shd w:val="clear" w:color="auto" w:fill="auto"/>
            <w:vAlign w:val="center"/>
          </w:tcPr>
          <w:p w14:paraId="62EDE326">
            <w:pPr>
              <w:rPr>
                <w:rFonts w:hint="eastAsia" w:ascii="宋体" w:hAnsi="宋体" w:cs="楷体"/>
                <w:kern w:val="0"/>
                <w:sz w:val="22"/>
                <w:szCs w:val="22"/>
                <w:highlight w:val="none"/>
              </w:rPr>
            </w:pPr>
            <w:r>
              <w:rPr>
                <w:rFonts w:hint="eastAsia" w:ascii="宋体" w:hAnsi="宋体" w:cs="楷体"/>
                <w:kern w:val="0"/>
                <w:sz w:val="22"/>
                <w:szCs w:val="22"/>
                <w:highlight w:val="none"/>
              </w:rPr>
              <w:t>投标人信用记录</w:t>
            </w:r>
          </w:p>
        </w:tc>
        <w:tc>
          <w:tcPr>
            <w:tcW w:w="5670" w:type="dxa"/>
            <w:shd w:val="clear" w:color="auto" w:fill="auto"/>
            <w:vAlign w:val="center"/>
          </w:tcPr>
          <w:p w14:paraId="34EFE372">
            <w:pPr>
              <w:rPr>
                <w:szCs w:val="21"/>
                <w:highlight w:val="none"/>
              </w:rPr>
            </w:pPr>
            <w:r>
              <w:rPr>
                <w:rFonts w:hint="eastAsia" w:ascii="宋体" w:hAnsi="宋体" w:cs="宋体"/>
                <w:b/>
                <w:bCs/>
                <w:spacing w:val="6"/>
                <w:sz w:val="22"/>
                <w:szCs w:val="22"/>
                <w:highlight w:val="none"/>
              </w:rPr>
              <w:t>根据财库[2016]125号《</w:t>
            </w:r>
            <w:r>
              <w:rPr>
                <w:rFonts w:hint="eastAsia" w:ascii="宋体" w:hAnsi="宋体" w:cs="宋体"/>
                <w:b/>
                <w:bCs/>
                <w:spacing w:val="6"/>
                <w:sz w:val="22"/>
                <w:highlight w:val="none"/>
              </w:rPr>
              <w:t>关于在政府采购活动中查询及使用信用记录有关问题的通知》要求，在资格审查时对投标人信用记录进行查询并甄别。</w:t>
            </w:r>
          </w:p>
          <w:p w14:paraId="3CB3F5DA">
            <w:pPr>
              <w:widowControl/>
              <w:wordWrap w:val="0"/>
              <w:rPr>
                <w:rFonts w:hint="eastAsia" w:ascii="宋体" w:hAnsi="宋体"/>
                <w:sz w:val="22"/>
                <w:szCs w:val="22"/>
                <w:highlight w:val="none"/>
              </w:rPr>
            </w:pPr>
            <w:r>
              <w:rPr>
                <w:rFonts w:hint="eastAsia" w:ascii="宋体" w:hAnsi="宋体"/>
                <w:sz w:val="22"/>
                <w:szCs w:val="22"/>
                <w:highlight w:val="none"/>
              </w:rPr>
              <w:t>1、投标人信用信息查询的查询渠道：“信用中国”(www.creditchina.gov.cn)；“中国政府采购网”（www.ccgp.gov.cn）。</w:t>
            </w:r>
          </w:p>
          <w:p w14:paraId="2817E22C">
            <w:pPr>
              <w:widowControl/>
              <w:wordWrap w:val="0"/>
              <w:rPr>
                <w:rFonts w:hint="eastAsia" w:ascii="宋体" w:hAnsi="宋体" w:cs="宋体"/>
                <w:kern w:val="0"/>
                <w:sz w:val="22"/>
                <w:szCs w:val="22"/>
                <w:highlight w:val="none"/>
              </w:rPr>
            </w:pPr>
            <w:r>
              <w:rPr>
                <w:rFonts w:hint="eastAsia" w:ascii="宋体" w:hAnsi="宋体"/>
                <w:sz w:val="22"/>
                <w:szCs w:val="22"/>
                <w:highlight w:val="none"/>
              </w:rPr>
              <w:t>2、投标人信用信息查询</w:t>
            </w:r>
            <w:r>
              <w:rPr>
                <w:rFonts w:ascii="宋体" w:hAnsi="宋体"/>
                <w:sz w:val="22"/>
                <w:szCs w:val="22"/>
                <w:highlight w:val="none"/>
              </w:rPr>
              <w:t>截止时点</w:t>
            </w:r>
            <w:r>
              <w:rPr>
                <w:rFonts w:hint="eastAsia" w:ascii="宋体" w:hAnsi="宋体"/>
                <w:sz w:val="22"/>
                <w:szCs w:val="22"/>
                <w:highlight w:val="none"/>
              </w:rPr>
              <w:t>：投标截止时间。</w:t>
            </w:r>
          </w:p>
          <w:p w14:paraId="36B2BF12">
            <w:pPr>
              <w:widowControl/>
              <w:wordWrap w:val="0"/>
              <w:rPr>
                <w:rFonts w:hint="eastAsia" w:ascii="宋体" w:hAnsi="宋体"/>
                <w:sz w:val="22"/>
                <w:szCs w:val="22"/>
                <w:highlight w:val="none"/>
              </w:rPr>
            </w:pPr>
            <w:r>
              <w:rPr>
                <w:rFonts w:hint="eastAsia" w:ascii="宋体" w:hAnsi="宋体"/>
                <w:sz w:val="22"/>
                <w:szCs w:val="22"/>
                <w:highlight w:val="none"/>
              </w:rPr>
              <w:t>3、投标人信用信息查询记录和证据留存的具体方式：</w:t>
            </w:r>
            <w:r>
              <w:rPr>
                <w:rFonts w:hint="eastAsia" w:ascii="宋体" w:hAnsi="宋体"/>
                <w:b/>
                <w:sz w:val="22"/>
                <w:szCs w:val="22"/>
                <w:highlight w:val="none"/>
              </w:rPr>
              <w:t>网页截图打印</w:t>
            </w:r>
            <w:r>
              <w:rPr>
                <w:rFonts w:hint="eastAsia" w:ascii="宋体" w:hAnsi="宋体"/>
                <w:sz w:val="22"/>
                <w:szCs w:val="22"/>
                <w:highlight w:val="none"/>
              </w:rPr>
              <w:t>；</w:t>
            </w:r>
          </w:p>
          <w:p w14:paraId="5B1A73A1">
            <w:pPr>
              <w:widowControl/>
              <w:wordWrap w:val="0"/>
              <w:rPr>
                <w:rFonts w:hint="eastAsia" w:ascii="宋体" w:hAnsi="宋体" w:cs="楷体"/>
                <w:b/>
                <w:kern w:val="0"/>
                <w:sz w:val="22"/>
                <w:szCs w:val="22"/>
                <w:highlight w:val="none"/>
              </w:rPr>
            </w:pPr>
            <w:r>
              <w:rPr>
                <w:rFonts w:hint="eastAsia" w:ascii="宋体" w:hAnsi="宋体"/>
                <w:sz w:val="22"/>
                <w:szCs w:val="22"/>
                <w:highlight w:val="none"/>
              </w:rPr>
              <w:t>4、信用信息的使用规则：</w:t>
            </w:r>
            <w:r>
              <w:rPr>
                <w:rFonts w:hint="eastAsia" w:ascii="宋体" w:hAnsi="宋体" w:cs="Courier New"/>
                <w:sz w:val="22"/>
                <w:szCs w:val="22"/>
                <w:highlight w:val="none"/>
              </w:rPr>
              <w:t>被“信用中国”网站列入失信被执行人、重大税收违法案件当事人名单，或被“中国政府采购网”列入政府采购严重违法失信行为记录名单中</w:t>
            </w:r>
            <w:r>
              <w:rPr>
                <w:rFonts w:hint="eastAsia" w:ascii="宋体" w:hAnsi="宋体" w:cs="宋体"/>
                <w:kern w:val="0"/>
                <w:sz w:val="22"/>
                <w:szCs w:val="22"/>
                <w:highlight w:val="none"/>
              </w:rPr>
              <w:t>禁止参加政府采购活动期间的</w:t>
            </w:r>
            <w:r>
              <w:rPr>
                <w:rFonts w:hint="eastAsia" w:ascii="宋体" w:hAnsi="宋体" w:cs="Courier New"/>
                <w:sz w:val="22"/>
                <w:szCs w:val="22"/>
                <w:highlight w:val="none"/>
              </w:rPr>
              <w:t>，</w:t>
            </w:r>
            <w:r>
              <w:rPr>
                <w:rFonts w:hint="eastAsia" w:ascii="宋体" w:hAnsi="宋体" w:cs="Courier New"/>
                <w:b/>
                <w:sz w:val="22"/>
                <w:szCs w:val="22"/>
                <w:highlight w:val="none"/>
              </w:rPr>
              <w:t>其资格审查不合格。</w:t>
            </w:r>
            <w:r>
              <w:rPr>
                <w:rFonts w:hint="eastAsia" w:ascii="宋体" w:hAnsi="宋体" w:cs="楷体"/>
                <w:b/>
                <w:kern w:val="0"/>
                <w:sz w:val="22"/>
                <w:szCs w:val="22"/>
                <w:highlight w:val="none"/>
              </w:rPr>
              <w:t>如相关失信记录已失效，投标人须提供相关证明资料。</w:t>
            </w:r>
          </w:p>
        </w:tc>
      </w:tr>
    </w:tbl>
    <w:p w14:paraId="6CE58ABC">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ascii="宋体" w:hAnsi="宋体" w:cs="Courier New"/>
          <w:sz w:val="22"/>
          <w:szCs w:val="22"/>
          <w:highlight w:val="none"/>
        </w:rPr>
        <w:t>有下列情形之一的，资格审查不合格</w:t>
      </w:r>
      <w:r>
        <w:rPr>
          <w:rFonts w:hint="eastAsia" w:ascii="宋体" w:hAnsi="宋体" w:cs="Courier New"/>
          <w:sz w:val="22"/>
          <w:szCs w:val="22"/>
          <w:highlight w:val="none"/>
        </w:rPr>
        <w:t>，其</w:t>
      </w:r>
      <w:r>
        <w:rPr>
          <w:rFonts w:hint="eastAsia" w:ascii="宋体" w:hAnsi="宋体" w:cs="Courier New"/>
          <w:b/>
          <w:bCs/>
          <w:sz w:val="22"/>
          <w:szCs w:val="22"/>
          <w:highlight w:val="none"/>
        </w:rPr>
        <w:t>投标无效</w:t>
      </w:r>
      <w:r>
        <w:rPr>
          <w:rFonts w:hint="eastAsia" w:ascii="宋体" w:hAnsi="宋体" w:cs="Courier New"/>
          <w:sz w:val="22"/>
          <w:szCs w:val="22"/>
          <w:highlight w:val="none"/>
        </w:rPr>
        <w:t>不再进入评审</w:t>
      </w:r>
      <w:r>
        <w:rPr>
          <w:rFonts w:ascii="宋体" w:hAnsi="宋体" w:cs="Courier New"/>
          <w:sz w:val="22"/>
          <w:szCs w:val="22"/>
          <w:highlight w:val="none"/>
        </w:rPr>
        <w:t>：</w:t>
      </w:r>
    </w:p>
    <w:p w14:paraId="251BD833">
      <w:pPr>
        <w:numPr>
          <w:ilvl w:val="0"/>
          <w:numId w:val="8"/>
        </w:numPr>
        <w:tabs>
          <w:tab w:val="left" w:pos="735"/>
          <w:tab w:val="clear" w:pos="420"/>
        </w:tabs>
        <w:spacing w:line="360" w:lineRule="auto"/>
        <w:ind w:left="734" w:leftChars="200" w:hanging="314" w:hangingChars="143"/>
        <w:rPr>
          <w:rFonts w:hint="eastAsia" w:ascii="宋体" w:hAnsi="宋体"/>
          <w:sz w:val="22"/>
          <w:szCs w:val="22"/>
          <w:highlight w:val="none"/>
        </w:rPr>
      </w:pPr>
      <w:r>
        <w:rPr>
          <w:rFonts w:ascii="宋体" w:hAnsi="宋体"/>
          <w:sz w:val="22"/>
          <w:szCs w:val="22"/>
          <w:highlight w:val="none"/>
        </w:rPr>
        <w:t>不具备招标文件中规定的资格要求；</w:t>
      </w:r>
    </w:p>
    <w:p w14:paraId="5D9EA6D9">
      <w:pPr>
        <w:numPr>
          <w:ilvl w:val="0"/>
          <w:numId w:val="8"/>
        </w:numPr>
        <w:tabs>
          <w:tab w:val="left" w:pos="735"/>
          <w:tab w:val="clear" w:pos="420"/>
        </w:tabs>
        <w:spacing w:line="360" w:lineRule="auto"/>
        <w:ind w:left="734" w:leftChars="200" w:hanging="314" w:hangingChars="143"/>
        <w:rPr>
          <w:rFonts w:hint="eastAsia" w:ascii="宋体" w:hAnsi="宋体"/>
          <w:sz w:val="22"/>
          <w:szCs w:val="22"/>
          <w:highlight w:val="none"/>
        </w:rPr>
      </w:pPr>
      <w:bookmarkStart w:id="147" w:name="_Hlk533611759"/>
      <w:r>
        <w:rPr>
          <w:rFonts w:hint="eastAsia" w:ascii="宋体" w:hAnsi="宋体"/>
          <w:sz w:val="22"/>
          <w:szCs w:val="22"/>
          <w:highlight w:val="none"/>
        </w:rPr>
        <w:t>未按照招标文件规定提交投标人的资格文件或提供的资格文件不全的</w:t>
      </w:r>
      <w:bookmarkEnd w:id="147"/>
      <w:r>
        <w:rPr>
          <w:rFonts w:hint="eastAsia" w:ascii="宋体" w:hAnsi="宋体"/>
          <w:sz w:val="22"/>
          <w:szCs w:val="22"/>
          <w:highlight w:val="none"/>
        </w:rPr>
        <w:t>。</w:t>
      </w:r>
    </w:p>
    <w:p w14:paraId="4D1C9C38">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ascii="宋体" w:hAnsi="宋体" w:cs="Courier New"/>
          <w:sz w:val="22"/>
          <w:szCs w:val="22"/>
          <w:highlight w:val="none"/>
        </w:rPr>
        <w:t>资格审查合格的投标人不足三家的，不进行评标。</w:t>
      </w:r>
    </w:p>
    <w:p w14:paraId="704D9B2B">
      <w:pPr>
        <w:numPr>
          <w:ilvl w:val="0"/>
          <w:numId w:val="3"/>
        </w:numPr>
        <w:tabs>
          <w:tab w:val="left" w:pos="525"/>
          <w:tab w:val="left" w:pos="900"/>
        </w:tabs>
        <w:spacing w:line="360" w:lineRule="auto"/>
        <w:rPr>
          <w:rFonts w:hint="eastAsia" w:ascii="宋体" w:hAnsi="宋体" w:cs="Courier New"/>
          <w:sz w:val="22"/>
          <w:szCs w:val="22"/>
          <w:highlight w:val="none"/>
        </w:rPr>
      </w:pPr>
      <w:bookmarkStart w:id="148" w:name="_Toc204491322"/>
      <w:bookmarkStart w:id="149" w:name="_Toc214365795"/>
      <w:bookmarkStart w:id="150" w:name="_Toc223717609"/>
      <w:bookmarkStart w:id="151" w:name="_Toc205005291"/>
      <w:bookmarkStart w:id="152" w:name="_Toc207609186"/>
      <w:bookmarkStart w:id="153" w:name="_Toc218041731"/>
      <w:bookmarkStart w:id="154" w:name="_Toc204578580"/>
      <w:bookmarkStart w:id="155" w:name="_Toc209332638"/>
      <w:bookmarkStart w:id="156" w:name="_Toc205004973"/>
      <w:bookmarkStart w:id="157" w:name="_Toc205877562"/>
      <w:bookmarkStart w:id="158" w:name="_Toc209251132"/>
      <w:bookmarkStart w:id="159" w:name="_Toc216667825"/>
      <w:bookmarkStart w:id="160" w:name="_Toc210879713"/>
      <w:bookmarkStart w:id="161" w:name="_Toc217460690"/>
      <w:bookmarkStart w:id="162" w:name="_Toc227489892"/>
      <w:bookmarkStart w:id="163" w:name="_Toc223933226"/>
      <w:bookmarkStart w:id="164" w:name="_Toc227057038"/>
      <w:bookmarkStart w:id="165" w:name="_Toc219538618"/>
      <w:bookmarkStart w:id="166" w:name="_Toc215415535"/>
      <w:bookmarkStart w:id="167" w:name="_Toc205703107"/>
      <w:bookmarkStart w:id="168" w:name="_Toc209250724"/>
      <w:bookmarkStart w:id="169" w:name="_Toc205877457"/>
      <w:bookmarkStart w:id="170" w:name="_Toc209261370"/>
      <w:bookmarkStart w:id="171" w:name="_Toc209261437"/>
      <w:bookmarkStart w:id="172" w:name="_Toc227056851"/>
      <w:r>
        <w:rPr>
          <w:rFonts w:ascii="宋体" w:hAnsi="宋体" w:cs="Courier New"/>
          <w:sz w:val="22"/>
          <w:szCs w:val="22"/>
          <w:highlight w:val="none"/>
        </w:rPr>
        <w:t>评标</w:t>
      </w:r>
    </w:p>
    <w:p w14:paraId="5927DF61">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评标委员会</w:t>
      </w:r>
    </w:p>
    <w:p w14:paraId="54451B3C">
      <w:pPr>
        <w:pStyle w:val="221"/>
        <w:numPr>
          <w:ilvl w:val="0"/>
          <w:numId w:val="9"/>
        </w:numPr>
        <w:tabs>
          <w:tab w:val="left" w:pos="525"/>
        </w:tabs>
        <w:spacing w:line="360" w:lineRule="auto"/>
        <w:ind w:firstLineChars="0"/>
        <w:rPr>
          <w:rFonts w:hint="eastAsia" w:ascii="宋体" w:hAnsi="宋体"/>
          <w:bCs/>
          <w:sz w:val="22"/>
          <w:szCs w:val="22"/>
          <w:highlight w:val="none"/>
        </w:rPr>
      </w:pPr>
      <w:r>
        <w:rPr>
          <w:rFonts w:hint="eastAsia" w:ascii="宋体" w:hAnsi="宋体"/>
          <w:bCs/>
          <w:sz w:val="22"/>
          <w:szCs w:val="22"/>
          <w:highlight w:val="none"/>
        </w:rPr>
        <w:t>采购人依法组建评标委员会，评标委员会的成员在评标过程中必须严格遵守</w:t>
      </w:r>
      <w:r>
        <w:rPr>
          <w:rFonts w:ascii="宋体" w:hAnsi="宋体"/>
          <w:bCs/>
          <w:sz w:val="22"/>
          <w:szCs w:val="22"/>
          <w:highlight w:val="none"/>
        </w:rPr>
        <w:t>《政府采购法》</w:t>
      </w:r>
      <w:r>
        <w:rPr>
          <w:rFonts w:hint="eastAsia" w:ascii="宋体" w:hAnsi="宋体"/>
          <w:bCs/>
          <w:sz w:val="22"/>
          <w:szCs w:val="22"/>
          <w:highlight w:val="none"/>
        </w:rPr>
        <w:t>等有关法律、法规的规定。</w:t>
      </w:r>
    </w:p>
    <w:p w14:paraId="51B58510">
      <w:pPr>
        <w:pStyle w:val="221"/>
        <w:numPr>
          <w:ilvl w:val="0"/>
          <w:numId w:val="9"/>
        </w:numPr>
        <w:tabs>
          <w:tab w:val="left" w:pos="525"/>
        </w:tabs>
        <w:spacing w:line="360" w:lineRule="auto"/>
        <w:ind w:firstLineChars="0"/>
        <w:rPr>
          <w:rFonts w:hint="eastAsia" w:ascii="宋体" w:hAnsi="宋体" w:cs="Courier New"/>
          <w:bCs/>
          <w:sz w:val="22"/>
          <w:szCs w:val="22"/>
          <w:highlight w:val="none"/>
        </w:rPr>
      </w:pPr>
      <w:r>
        <w:rPr>
          <w:rFonts w:hint="eastAsia" w:ascii="宋体" w:hAnsi="宋体" w:cs="Courier New"/>
          <w:bCs/>
          <w:sz w:val="22"/>
          <w:szCs w:val="22"/>
          <w:highlight w:val="none"/>
        </w:rPr>
        <w:t>评标委员会负责具体评标事务，评标应遵守下列评标纪律：</w:t>
      </w:r>
    </w:p>
    <w:p w14:paraId="4D04B337">
      <w:pPr>
        <w:tabs>
          <w:tab w:val="left" w:pos="525"/>
        </w:tabs>
        <w:spacing w:line="360" w:lineRule="auto"/>
        <w:ind w:left="527"/>
        <w:rPr>
          <w:rFonts w:hint="eastAsia" w:ascii="宋体" w:hAnsi="宋体" w:cs="Courier New"/>
          <w:bCs/>
          <w:sz w:val="22"/>
          <w:szCs w:val="22"/>
          <w:highlight w:val="none"/>
        </w:rPr>
      </w:pPr>
      <w:r>
        <w:rPr>
          <w:rFonts w:hint="eastAsia" w:ascii="宋体" w:hAnsi="宋体" w:cs="Courier New"/>
          <w:bCs/>
          <w:sz w:val="22"/>
          <w:szCs w:val="22"/>
          <w:highlight w:val="none"/>
        </w:rPr>
        <w:t>①评标情况不得私自外泄，有关信息由招标采购单位统一对外发布。</w:t>
      </w:r>
    </w:p>
    <w:p w14:paraId="5932643C">
      <w:pPr>
        <w:tabs>
          <w:tab w:val="left" w:pos="525"/>
        </w:tabs>
        <w:spacing w:line="360" w:lineRule="auto"/>
        <w:ind w:left="527"/>
        <w:rPr>
          <w:rFonts w:hint="eastAsia" w:ascii="宋体" w:hAnsi="宋体" w:cs="Courier New"/>
          <w:bCs/>
          <w:sz w:val="22"/>
          <w:szCs w:val="22"/>
          <w:highlight w:val="none"/>
        </w:rPr>
      </w:pPr>
      <w:r>
        <w:rPr>
          <w:rFonts w:hint="eastAsia" w:ascii="宋体" w:hAnsi="宋体" w:cs="Courier New"/>
          <w:bCs/>
          <w:sz w:val="22"/>
          <w:szCs w:val="22"/>
          <w:highlight w:val="none"/>
        </w:rPr>
        <w:t>②对招标采购单位或投标人提供的要求保密的资料，不得摘记翻印和外传。</w:t>
      </w:r>
    </w:p>
    <w:p w14:paraId="1F9A2DF6">
      <w:pPr>
        <w:tabs>
          <w:tab w:val="left" w:pos="525"/>
        </w:tabs>
        <w:spacing w:line="360" w:lineRule="auto"/>
        <w:ind w:left="527"/>
        <w:rPr>
          <w:rFonts w:hint="eastAsia" w:ascii="宋体" w:hAnsi="宋体" w:cs="Courier New"/>
          <w:bCs/>
          <w:sz w:val="22"/>
          <w:szCs w:val="22"/>
          <w:highlight w:val="none"/>
        </w:rPr>
      </w:pPr>
      <w:r>
        <w:rPr>
          <w:rFonts w:hint="eastAsia" w:ascii="宋体" w:hAnsi="宋体" w:cs="Courier New"/>
          <w:bCs/>
          <w:sz w:val="22"/>
          <w:szCs w:val="22"/>
          <w:highlight w:val="none"/>
        </w:rPr>
        <w:t>③不得收受投标人或有关人员的任何礼物，不得串联鼓动其他人袒护某投标人。若与投标人存在利害关系，则应主动声明并回避。</w:t>
      </w:r>
    </w:p>
    <w:p w14:paraId="0E4F8609">
      <w:pPr>
        <w:tabs>
          <w:tab w:val="left" w:pos="525"/>
        </w:tabs>
        <w:spacing w:line="360" w:lineRule="auto"/>
        <w:ind w:left="527"/>
        <w:rPr>
          <w:rFonts w:hint="eastAsia" w:ascii="宋体" w:hAnsi="宋体" w:cs="Courier New"/>
          <w:bCs/>
          <w:sz w:val="22"/>
          <w:szCs w:val="22"/>
          <w:highlight w:val="none"/>
        </w:rPr>
      </w:pPr>
      <w:r>
        <w:rPr>
          <w:rFonts w:hint="eastAsia" w:ascii="宋体" w:hAnsi="宋体" w:cs="Courier New"/>
          <w:bCs/>
          <w:sz w:val="22"/>
          <w:szCs w:val="22"/>
          <w:highlight w:val="none"/>
        </w:rPr>
        <w:t>④全体评委应按照招标文件规定进行评标，一切认定事项应查有实据且不得弄虚作假。</w:t>
      </w:r>
    </w:p>
    <w:p w14:paraId="0C9E17AF">
      <w:pPr>
        <w:tabs>
          <w:tab w:val="left" w:pos="525"/>
        </w:tabs>
        <w:spacing w:line="360" w:lineRule="auto"/>
        <w:ind w:left="527"/>
        <w:rPr>
          <w:rFonts w:hint="eastAsia" w:ascii="宋体" w:hAnsi="宋体" w:cs="Courier New"/>
          <w:bCs/>
          <w:sz w:val="22"/>
          <w:szCs w:val="22"/>
          <w:highlight w:val="none"/>
        </w:rPr>
      </w:pPr>
      <w:r>
        <w:rPr>
          <w:rFonts w:hint="eastAsia" w:ascii="宋体" w:hAnsi="宋体" w:cs="Courier New"/>
          <w:bCs/>
          <w:sz w:val="22"/>
          <w:szCs w:val="22"/>
          <w:highlight w:val="none"/>
        </w:rPr>
        <w:t>⑤评标中应充分发扬民主，推荐中标候选人或确定中标人后要服从评标报告。</w:t>
      </w:r>
    </w:p>
    <w:p w14:paraId="1DCFEC19">
      <w:pPr>
        <w:tabs>
          <w:tab w:val="left" w:pos="525"/>
        </w:tabs>
        <w:spacing w:line="360" w:lineRule="auto"/>
        <w:ind w:firstLine="221" w:firstLineChars="100"/>
        <w:rPr>
          <w:rFonts w:hint="eastAsia" w:ascii="宋体" w:hAnsi="宋体"/>
          <w:b/>
          <w:sz w:val="22"/>
          <w:szCs w:val="22"/>
          <w:highlight w:val="none"/>
        </w:rPr>
      </w:pPr>
      <w:r>
        <w:rPr>
          <w:rFonts w:hint="eastAsia" w:ascii="宋体" w:hAnsi="宋体"/>
          <w:b/>
          <w:sz w:val="22"/>
          <w:szCs w:val="22"/>
          <w:highlight w:val="none"/>
        </w:rPr>
        <w:t>※对违反评标纪律的评委，将上报监督部门，情节严重的将取消其评委资格，对评标工作造成严重损失者将予以通报批评乃至追究法律责任。</w:t>
      </w:r>
    </w:p>
    <w:p w14:paraId="46A2385A">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评标过程的保密性</w:t>
      </w:r>
    </w:p>
    <w:p w14:paraId="4697DF31">
      <w:pPr>
        <w:tabs>
          <w:tab w:val="left" w:pos="525"/>
        </w:tabs>
        <w:spacing w:line="360" w:lineRule="auto"/>
        <w:ind w:left="527"/>
        <w:rPr>
          <w:rFonts w:hint="eastAsia" w:ascii="宋体" w:hAnsi="宋体" w:cs="Courier New"/>
          <w:bCs/>
          <w:sz w:val="22"/>
          <w:szCs w:val="22"/>
          <w:highlight w:val="none"/>
        </w:rPr>
      </w:pPr>
      <w:r>
        <w:rPr>
          <w:rFonts w:hint="eastAsia" w:ascii="宋体" w:hAnsi="宋体"/>
          <w:bCs/>
          <w:sz w:val="22"/>
          <w:szCs w:val="22"/>
          <w:highlight w:val="none"/>
        </w:rPr>
        <w:t>开标后直至向中标人授予合同时止，凡与评审有关的资料均不得向投标人及与评标无关人员透露。如果投标人在评标过程中试图向</w:t>
      </w:r>
      <w:bookmarkStart w:id="173" w:name="_Hlk36488786"/>
      <w:r>
        <w:rPr>
          <w:rFonts w:hint="eastAsia" w:ascii="宋体" w:hAnsi="宋体"/>
          <w:bCs/>
          <w:sz w:val="22"/>
          <w:szCs w:val="22"/>
          <w:highlight w:val="none"/>
        </w:rPr>
        <w:t>采购人、采购代理机构或</w:t>
      </w:r>
      <w:bookmarkEnd w:id="173"/>
      <w:bookmarkStart w:id="174" w:name="_Hlk36488792"/>
      <w:r>
        <w:rPr>
          <w:rFonts w:hint="eastAsia" w:ascii="宋体" w:hAnsi="宋体"/>
          <w:sz w:val="22"/>
          <w:szCs w:val="22"/>
          <w:highlight w:val="none"/>
        </w:rPr>
        <w:t>评标委员会</w:t>
      </w:r>
      <w:bookmarkEnd w:id="174"/>
      <w:r>
        <w:rPr>
          <w:rFonts w:hint="eastAsia" w:ascii="宋体" w:hAnsi="宋体"/>
          <w:bCs/>
          <w:sz w:val="22"/>
          <w:szCs w:val="22"/>
          <w:highlight w:val="none"/>
        </w:rPr>
        <w:t>施加影响，其投标将被拒绝。</w:t>
      </w:r>
    </w:p>
    <w:p w14:paraId="11816530">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符合性审查</w:t>
      </w:r>
    </w:p>
    <w:p w14:paraId="059C18B9">
      <w:pPr>
        <w:numPr>
          <w:ilvl w:val="0"/>
          <w:numId w:val="10"/>
        </w:numPr>
        <w:spacing w:line="360" w:lineRule="auto"/>
        <w:ind w:firstLine="0"/>
        <w:rPr>
          <w:rFonts w:hint="eastAsia" w:ascii="宋体" w:hAnsi="宋体"/>
          <w:sz w:val="22"/>
          <w:szCs w:val="22"/>
          <w:highlight w:val="none"/>
        </w:rPr>
      </w:pPr>
      <w:r>
        <w:rPr>
          <w:rFonts w:hint="eastAsia" w:ascii="宋体" w:hAnsi="宋体"/>
          <w:sz w:val="22"/>
          <w:szCs w:val="22"/>
          <w:highlight w:val="none"/>
        </w:rPr>
        <w:t>评标委员会依据招标文件的实质性要求，对通过资格审查的投标文件进行符合性审查，以确定其是否满足招标文件的实质性要求。</w:t>
      </w:r>
    </w:p>
    <w:p w14:paraId="675A43FB">
      <w:pPr>
        <w:numPr>
          <w:ilvl w:val="0"/>
          <w:numId w:val="10"/>
        </w:numPr>
        <w:spacing w:line="360" w:lineRule="auto"/>
        <w:ind w:firstLine="0"/>
        <w:rPr>
          <w:rFonts w:hint="eastAsia" w:ascii="宋体" w:hAnsi="宋体"/>
          <w:sz w:val="22"/>
          <w:szCs w:val="22"/>
          <w:highlight w:val="none"/>
        </w:rPr>
      </w:pPr>
      <w:r>
        <w:rPr>
          <w:rFonts w:hint="eastAsia" w:ascii="宋体" w:hAnsi="宋体"/>
          <w:sz w:val="22"/>
          <w:szCs w:val="22"/>
          <w:highlight w:val="none"/>
        </w:rPr>
        <w:t>满足招标文件的实质性要求指投标文件对招标文件实质性要求的响应不存在重大偏差或保留。</w:t>
      </w:r>
      <w:r>
        <w:rPr>
          <w:rFonts w:ascii="宋体" w:hAnsi="宋体"/>
          <w:sz w:val="22"/>
          <w:szCs w:val="22"/>
          <w:highlight w:val="none"/>
        </w:rPr>
        <w:t>重大偏差或保留指影响到招标文件规定的合同范围、合同履行及影响关键质量和性能，或限制了</w:t>
      </w:r>
      <w:r>
        <w:rPr>
          <w:rFonts w:hint="eastAsia" w:ascii="宋体" w:hAnsi="宋体"/>
          <w:sz w:val="22"/>
          <w:szCs w:val="22"/>
          <w:highlight w:val="none"/>
        </w:rPr>
        <w:t>采购人</w:t>
      </w:r>
      <w:r>
        <w:rPr>
          <w:rFonts w:ascii="宋体" w:hAnsi="宋体"/>
          <w:sz w:val="22"/>
          <w:szCs w:val="22"/>
          <w:highlight w:val="none"/>
        </w:rPr>
        <w:t>的权利，或反对、减少投标人的义务，而纠正这些重大偏差或保留将影响到其他提交实质性响应投标的投标人的公平竞争地位。</w:t>
      </w:r>
    </w:p>
    <w:p w14:paraId="108D9FB4">
      <w:pPr>
        <w:numPr>
          <w:ilvl w:val="0"/>
          <w:numId w:val="10"/>
        </w:numPr>
        <w:spacing w:line="360" w:lineRule="auto"/>
        <w:ind w:firstLine="0"/>
        <w:rPr>
          <w:rFonts w:hint="eastAsia" w:ascii="宋体" w:hAnsi="宋体"/>
          <w:sz w:val="22"/>
          <w:szCs w:val="22"/>
          <w:highlight w:val="none"/>
        </w:rPr>
      </w:pPr>
      <w:r>
        <w:rPr>
          <w:rFonts w:hint="eastAsia" w:ascii="宋体" w:hAnsi="宋体"/>
          <w:b/>
          <w:sz w:val="22"/>
          <w:szCs w:val="22"/>
          <w:highlight w:val="none"/>
        </w:rPr>
        <w:t>评标委员会审查判断投标文件是否满足招标文件的实质性要求仅基于投标文件本身（通过“</w:t>
      </w:r>
      <w:r>
        <w:rPr>
          <w:rFonts w:hint="eastAsia" w:ascii="宋体" w:hAnsi="宋体"/>
          <w:b/>
          <w:sz w:val="22"/>
          <w:szCs w:val="22"/>
          <w:highlight w:val="none"/>
          <w:lang w:eastAsia="zh-CN"/>
        </w:rPr>
        <w:t>乐采云平台</w:t>
      </w:r>
      <w:r>
        <w:rPr>
          <w:rFonts w:hint="eastAsia" w:ascii="宋体" w:hAnsi="宋体"/>
          <w:b/>
          <w:sz w:val="22"/>
          <w:szCs w:val="22"/>
          <w:highlight w:val="none"/>
        </w:rPr>
        <w:t>”下载的投标文件）而不寻求其他的外部证据。</w:t>
      </w:r>
      <w:r>
        <w:rPr>
          <w:rFonts w:hint="eastAsia" w:ascii="宋体" w:hAnsi="宋体"/>
          <w:sz w:val="22"/>
          <w:szCs w:val="22"/>
          <w:highlight w:val="none"/>
        </w:rPr>
        <w:t>未满足招标文件实质性要求的投标文件将被评标委员会否决（即符合性审查不合格），被否决的投标文件不能通过补充、修改（澄清、说明或补正）等方式重新成为满足招标文件实质性要求的投标文件。</w:t>
      </w:r>
    </w:p>
    <w:p w14:paraId="742D948B">
      <w:pPr>
        <w:numPr>
          <w:ilvl w:val="0"/>
          <w:numId w:val="10"/>
        </w:numPr>
        <w:spacing w:line="360" w:lineRule="auto"/>
        <w:ind w:firstLine="0"/>
        <w:rPr>
          <w:rFonts w:hint="eastAsia" w:ascii="宋体" w:hAnsi="宋体"/>
          <w:sz w:val="22"/>
          <w:szCs w:val="22"/>
          <w:highlight w:val="none"/>
        </w:rPr>
      </w:pPr>
      <w:r>
        <w:rPr>
          <w:rFonts w:hint="eastAsia" w:ascii="宋体" w:hAnsi="宋体"/>
          <w:sz w:val="22"/>
          <w:szCs w:val="22"/>
          <w:highlight w:val="none"/>
        </w:rPr>
        <w:t>评标委员会对所有投标人都执行相同的程序和标准。</w:t>
      </w:r>
    </w:p>
    <w:p w14:paraId="66C211AD">
      <w:pPr>
        <w:numPr>
          <w:ilvl w:val="0"/>
          <w:numId w:val="10"/>
        </w:numPr>
        <w:spacing w:line="360" w:lineRule="auto"/>
        <w:ind w:firstLine="0"/>
        <w:rPr>
          <w:rFonts w:hint="eastAsia" w:ascii="宋体" w:hAnsi="宋体"/>
          <w:b/>
          <w:sz w:val="22"/>
          <w:szCs w:val="22"/>
          <w:highlight w:val="none"/>
        </w:rPr>
      </w:pPr>
      <w:r>
        <w:rPr>
          <w:rFonts w:hint="eastAsia" w:ascii="宋体" w:hAnsi="宋体"/>
          <w:b/>
          <w:sz w:val="22"/>
          <w:szCs w:val="22"/>
          <w:highlight w:val="none"/>
        </w:rPr>
        <w:t>有下列情形之一的，符合性审查不合格，对其作无效标处理：</w:t>
      </w:r>
      <w:r>
        <w:rPr>
          <w:rFonts w:ascii="宋体" w:hAnsi="宋体"/>
          <w:b/>
          <w:sz w:val="22"/>
          <w:szCs w:val="22"/>
          <w:highlight w:val="none"/>
        </w:rPr>
        <w:t xml:space="preserve"> </w:t>
      </w:r>
    </w:p>
    <w:p w14:paraId="3688FF69">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违反招标文件中载明“</w:t>
      </w:r>
      <w:r>
        <w:rPr>
          <w:rFonts w:hint="eastAsia" w:ascii="宋体" w:hAnsi="宋体"/>
          <w:b/>
          <w:bCs/>
          <w:sz w:val="22"/>
          <w:szCs w:val="22"/>
          <w:highlight w:val="none"/>
        </w:rPr>
        <w:t>投标无效</w:t>
      </w:r>
      <w:r>
        <w:rPr>
          <w:rFonts w:hint="eastAsia" w:ascii="宋体" w:hAnsi="宋体"/>
          <w:bCs/>
          <w:sz w:val="22"/>
          <w:szCs w:val="22"/>
          <w:highlight w:val="none"/>
        </w:rPr>
        <w:t>”条款的规定；</w:t>
      </w:r>
    </w:p>
    <w:p w14:paraId="52599285">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投标文件</w:t>
      </w:r>
      <w:r>
        <w:rPr>
          <w:rFonts w:ascii="宋体" w:hAnsi="宋体"/>
          <w:sz w:val="22"/>
          <w:szCs w:val="22"/>
          <w:highlight w:val="none"/>
        </w:rPr>
        <w:t>未按招标文件要求签署、盖章的</w:t>
      </w:r>
      <w:r>
        <w:rPr>
          <w:rFonts w:hint="eastAsia" w:ascii="宋体" w:hAnsi="宋体"/>
          <w:sz w:val="22"/>
          <w:szCs w:val="22"/>
          <w:highlight w:val="none"/>
        </w:rPr>
        <w:t>；</w:t>
      </w:r>
    </w:p>
    <w:p w14:paraId="1A19D8FF">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明显不符合招标文件中主要采购内容、采购标准、采购要求的；</w:t>
      </w:r>
    </w:p>
    <w:p w14:paraId="69CD6445">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投标文件内容不全或关键字迹模糊无法辨认的；</w:t>
      </w:r>
    </w:p>
    <w:p w14:paraId="30C9BF96">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在资格文件或商务技术文件中出现投标报价的；</w:t>
      </w:r>
    </w:p>
    <w:p w14:paraId="40E074F5">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投标报价超过采购预算或最高限价的；</w:t>
      </w:r>
    </w:p>
    <w:p w14:paraId="66B2851E">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投标文件附有采购人不能接受的条件；</w:t>
      </w:r>
    </w:p>
    <w:p w14:paraId="4B253A57">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授权代表没有单位负责人合法、有效委托的；</w:t>
      </w:r>
    </w:p>
    <w:p w14:paraId="26EB8118">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电子投标文件解密失败或未按时解密的，且未在规定时间内提交备份投标文件的；</w:t>
      </w:r>
    </w:p>
    <w:p w14:paraId="0640F838">
      <w:pPr>
        <w:numPr>
          <w:ilvl w:val="0"/>
          <w:numId w:val="11"/>
        </w:numPr>
        <w:tabs>
          <w:tab w:val="left" w:pos="525"/>
        </w:tabs>
        <w:spacing w:line="360" w:lineRule="auto"/>
        <w:rPr>
          <w:rFonts w:hint="eastAsia" w:ascii="宋体" w:hAnsi="宋体"/>
          <w:bCs/>
          <w:sz w:val="22"/>
          <w:szCs w:val="22"/>
          <w:highlight w:val="none"/>
        </w:rPr>
      </w:pPr>
      <w:bookmarkStart w:id="175" w:name="_Hlk100427349"/>
      <w:r>
        <w:rPr>
          <w:rFonts w:hint="eastAsia" w:ascii="宋体" w:hAnsi="宋体"/>
          <w:bCs/>
          <w:sz w:val="22"/>
          <w:szCs w:val="22"/>
          <w:highlight w:val="none"/>
        </w:rPr>
        <w:t>投标人提供虚假材料投标的；</w:t>
      </w:r>
    </w:p>
    <w:p w14:paraId="018E0E27">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投标人有恶意串通、妨碍其他投标人的竞争行为、损害采购人或者其他投标人的合法权益情形的；</w:t>
      </w:r>
    </w:p>
    <w:bookmarkEnd w:id="175"/>
    <w:p w14:paraId="12DEB65F">
      <w:pPr>
        <w:numPr>
          <w:ilvl w:val="0"/>
          <w:numId w:val="11"/>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评标委员会认定不符合法律、法规和招标文件中规定的其他实质性要求的。</w:t>
      </w:r>
    </w:p>
    <w:p w14:paraId="25D11681">
      <w:pPr>
        <w:numPr>
          <w:ilvl w:val="1"/>
          <w:numId w:val="3"/>
        </w:numPr>
        <w:tabs>
          <w:tab w:val="left" w:pos="525"/>
          <w:tab w:val="left" w:pos="635"/>
          <w:tab w:val="left" w:pos="900"/>
        </w:tabs>
        <w:spacing w:line="360" w:lineRule="auto"/>
        <w:rPr>
          <w:rFonts w:hint="eastAsia" w:ascii="宋体" w:hAnsi="宋体" w:cs="Courier New"/>
          <w:b/>
          <w:sz w:val="22"/>
          <w:szCs w:val="22"/>
          <w:highlight w:val="none"/>
        </w:rPr>
      </w:pPr>
      <w:r>
        <w:rPr>
          <w:rFonts w:hint="eastAsia" w:ascii="宋体" w:hAnsi="宋体" w:cs="Courier New"/>
          <w:b/>
          <w:sz w:val="22"/>
          <w:szCs w:val="22"/>
          <w:highlight w:val="none"/>
        </w:rPr>
        <w:t>有下列情形之一的，视为投标人串通投标，其</w:t>
      </w:r>
      <w:r>
        <w:rPr>
          <w:rFonts w:hint="eastAsia" w:ascii="宋体" w:hAnsi="宋体" w:cs="Courier New"/>
          <w:b/>
          <w:bCs/>
          <w:sz w:val="22"/>
          <w:szCs w:val="22"/>
          <w:highlight w:val="none"/>
        </w:rPr>
        <w:t>投标无效</w:t>
      </w:r>
      <w:r>
        <w:rPr>
          <w:rFonts w:hint="eastAsia" w:ascii="宋体" w:hAnsi="宋体" w:cs="Courier New"/>
          <w:b/>
          <w:sz w:val="22"/>
          <w:szCs w:val="22"/>
          <w:highlight w:val="none"/>
        </w:rPr>
        <w:t>：</w:t>
      </w:r>
    </w:p>
    <w:p w14:paraId="1238FAC3">
      <w:pPr>
        <w:numPr>
          <w:ilvl w:val="0"/>
          <w:numId w:val="12"/>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不同投标人的投标文件由同一单位或个人编制；</w:t>
      </w:r>
    </w:p>
    <w:p w14:paraId="6AEEA56A">
      <w:pPr>
        <w:numPr>
          <w:ilvl w:val="0"/>
          <w:numId w:val="12"/>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不同投标人委托同一单位或个人办理投标事宜；</w:t>
      </w:r>
    </w:p>
    <w:p w14:paraId="2E62E53F">
      <w:pPr>
        <w:numPr>
          <w:ilvl w:val="0"/>
          <w:numId w:val="12"/>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不同投标人的投标文件载明的项目管理成员或联系人员为同一人；</w:t>
      </w:r>
    </w:p>
    <w:p w14:paraId="3EAA8BC6">
      <w:pPr>
        <w:numPr>
          <w:ilvl w:val="0"/>
          <w:numId w:val="12"/>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不同投标人的投标文件异常一致或投标报价呈规律性差异；</w:t>
      </w:r>
    </w:p>
    <w:p w14:paraId="047E7D6F">
      <w:pPr>
        <w:numPr>
          <w:ilvl w:val="0"/>
          <w:numId w:val="12"/>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不同投标人的投标文件相互混装；</w:t>
      </w:r>
    </w:p>
    <w:p w14:paraId="2BEECF9A">
      <w:pPr>
        <w:numPr>
          <w:ilvl w:val="0"/>
          <w:numId w:val="12"/>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有关法律、法规和规章及招标文件规定的其他串通投标情形。</w:t>
      </w:r>
    </w:p>
    <w:p w14:paraId="1ADEAF5C">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澄清有关问题</w:t>
      </w:r>
    </w:p>
    <w:p w14:paraId="7DFB6563">
      <w:pPr>
        <w:numPr>
          <w:ilvl w:val="0"/>
          <w:numId w:val="13"/>
        </w:numPr>
        <w:spacing w:line="360" w:lineRule="auto"/>
        <w:ind w:firstLine="0"/>
        <w:rPr>
          <w:rFonts w:hint="eastAsia" w:ascii="宋体" w:hAnsi="宋体"/>
          <w:sz w:val="22"/>
          <w:szCs w:val="22"/>
          <w:highlight w:val="none"/>
        </w:rPr>
      </w:pPr>
      <w:r>
        <w:rPr>
          <w:rFonts w:hint="eastAsia" w:ascii="宋体" w:hAnsi="宋体"/>
          <w:sz w:val="22"/>
          <w:szCs w:val="22"/>
          <w:highlight w:val="none"/>
        </w:rPr>
        <w:t>投标文件中有含义不明确、同类问题表述不一致或有明显文字和计算错误的内容，评标委员会将以书面形式（或通过“</w:t>
      </w:r>
      <w:r>
        <w:rPr>
          <w:rFonts w:hint="eastAsia" w:ascii="宋体" w:hAnsi="宋体"/>
          <w:sz w:val="22"/>
          <w:szCs w:val="22"/>
          <w:highlight w:val="none"/>
          <w:lang w:eastAsia="zh-CN"/>
        </w:rPr>
        <w:t>乐采云平台</w:t>
      </w:r>
      <w:r>
        <w:rPr>
          <w:rFonts w:hint="eastAsia" w:ascii="宋体" w:hAnsi="宋体"/>
          <w:sz w:val="22"/>
          <w:szCs w:val="22"/>
          <w:highlight w:val="none"/>
        </w:rPr>
        <w:t>”在线询标）要求投标人作出必要的澄清、说明或补正。</w:t>
      </w:r>
    </w:p>
    <w:p w14:paraId="4D963A38">
      <w:pPr>
        <w:numPr>
          <w:ilvl w:val="0"/>
          <w:numId w:val="13"/>
        </w:numPr>
        <w:spacing w:line="360" w:lineRule="auto"/>
        <w:ind w:firstLine="0"/>
        <w:rPr>
          <w:rFonts w:hint="eastAsia" w:ascii="宋体" w:hAnsi="宋体"/>
          <w:sz w:val="22"/>
          <w:szCs w:val="22"/>
          <w:highlight w:val="none"/>
        </w:rPr>
      </w:pPr>
      <w:r>
        <w:rPr>
          <w:rFonts w:hint="eastAsia" w:ascii="宋体" w:hAnsi="宋体"/>
          <w:sz w:val="22"/>
          <w:szCs w:val="22"/>
          <w:highlight w:val="none"/>
        </w:rPr>
        <w:t>投标人的澄清、说明或补正应由投标人代表在评标委员会规定的时间内（一般在半个小时左右，具体要求将根据实际情况约定）以书面形式（或通过“</w:t>
      </w:r>
      <w:r>
        <w:rPr>
          <w:rFonts w:hint="eastAsia" w:ascii="宋体" w:hAnsi="宋体"/>
          <w:sz w:val="22"/>
          <w:szCs w:val="22"/>
          <w:highlight w:val="none"/>
          <w:lang w:eastAsia="zh-CN"/>
        </w:rPr>
        <w:t>乐采云平台</w:t>
      </w:r>
      <w:r>
        <w:rPr>
          <w:rFonts w:hint="eastAsia" w:ascii="宋体" w:hAnsi="宋体"/>
          <w:sz w:val="22"/>
          <w:szCs w:val="22"/>
          <w:highlight w:val="none"/>
        </w:rPr>
        <w:t>”在线答复）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14:paraId="0B242CC4">
      <w:pPr>
        <w:numPr>
          <w:ilvl w:val="0"/>
          <w:numId w:val="13"/>
        </w:numPr>
        <w:spacing w:line="360" w:lineRule="auto"/>
        <w:ind w:firstLine="0"/>
        <w:rPr>
          <w:rFonts w:hint="eastAsia" w:ascii="宋体" w:hAnsi="宋体"/>
          <w:sz w:val="22"/>
          <w:szCs w:val="22"/>
          <w:highlight w:val="none"/>
        </w:rPr>
      </w:pPr>
      <w:r>
        <w:rPr>
          <w:rFonts w:hint="eastAsia" w:ascii="宋体" w:hAnsi="宋体"/>
          <w:sz w:val="22"/>
          <w:szCs w:val="22"/>
          <w:highlight w:val="none"/>
        </w:rPr>
        <w:t>投标文件报价出现前后不一致的，按照下列规定修正：</w:t>
      </w:r>
    </w:p>
    <w:p w14:paraId="79B68C56">
      <w:pPr>
        <w:numPr>
          <w:ilvl w:val="0"/>
          <w:numId w:val="14"/>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开标一览表内容与投标文件中相应内容不一致的，以开标一览表为准；</w:t>
      </w:r>
    </w:p>
    <w:p w14:paraId="2783C7BF">
      <w:pPr>
        <w:numPr>
          <w:ilvl w:val="0"/>
          <w:numId w:val="14"/>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大写金额和小写金额不一致的，以大写金额为准；</w:t>
      </w:r>
    </w:p>
    <w:p w14:paraId="75A3BEBE">
      <w:pPr>
        <w:numPr>
          <w:ilvl w:val="0"/>
          <w:numId w:val="14"/>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单价金额小数点或百分比有明显错位的，以开标一览表的总价为准，并修改单价；</w:t>
      </w:r>
    </w:p>
    <w:p w14:paraId="3DD0596E">
      <w:pPr>
        <w:numPr>
          <w:ilvl w:val="0"/>
          <w:numId w:val="14"/>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总价金额与按照单价汇总金额不一致的，以单价金额计算结果为准。</w:t>
      </w:r>
    </w:p>
    <w:p w14:paraId="7023DFA5">
      <w:pPr>
        <w:tabs>
          <w:tab w:val="left" w:pos="525"/>
        </w:tabs>
        <w:spacing w:line="360" w:lineRule="auto"/>
        <w:ind w:firstLine="442" w:firstLineChars="200"/>
        <w:rPr>
          <w:rFonts w:hint="eastAsia" w:ascii="宋体" w:hAnsi="宋体"/>
          <w:b/>
          <w:bCs/>
          <w:sz w:val="22"/>
          <w:szCs w:val="22"/>
          <w:highlight w:val="none"/>
        </w:rPr>
      </w:pPr>
      <w:r>
        <w:rPr>
          <w:rFonts w:hint="eastAsia" w:ascii="宋体" w:hAnsi="宋体"/>
          <w:b/>
          <w:bCs/>
          <w:sz w:val="22"/>
          <w:szCs w:val="22"/>
          <w:highlight w:val="none"/>
        </w:rPr>
        <w:t>※同时出现两种以上不一致的，按照本款规定的顺序修正。修正后的报价应按照本条中第1）、2）款规定经投标人确认后产生约束力，投标人不确认的，其投标无效。</w:t>
      </w:r>
    </w:p>
    <w:p w14:paraId="569F590D">
      <w:pPr>
        <w:numPr>
          <w:ilvl w:val="0"/>
          <w:numId w:val="13"/>
        </w:numPr>
        <w:spacing w:line="360" w:lineRule="auto"/>
        <w:ind w:firstLine="0"/>
        <w:rPr>
          <w:rFonts w:hint="eastAsia" w:ascii="宋体" w:hAnsi="宋体"/>
          <w:b/>
          <w:bCs/>
          <w:sz w:val="22"/>
          <w:szCs w:val="22"/>
          <w:highlight w:val="none"/>
        </w:rPr>
      </w:pPr>
      <w:r>
        <w:rPr>
          <w:rFonts w:hint="eastAsia" w:ascii="宋体" w:hAnsi="宋体"/>
          <w:b/>
          <w:bCs/>
          <w:sz w:val="22"/>
          <w:szCs w:val="22"/>
          <w:highlight w:val="none"/>
        </w:rPr>
        <w:t>投标人在“</w:t>
      </w:r>
      <w:r>
        <w:rPr>
          <w:rFonts w:hint="eastAsia" w:ascii="宋体" w:hAnsi="宋体"/>
          <w:b/>
          <w:bCs/>
          <w:sz w:val="22"/>
          <w:szCs w:val="22"/>
          <w:highlight w:val="none"/>
          <w:lang w:eastAsia="zh-CN"/>
        </w:rPr>
        <w:t>乐采云平台</w:t>
      </w:r>
      <w:r>
        <w:rPr>
          <w:rFonts w:hint="eastAsia" w:ascii="宋体" w:hAnsi="宋体"/>
          <w:b/>
          <w:bCs/>
          <w:sz w:val="22"/>
          <w:szCs w:val="22"/>
          <w:highlight w:val="none"/>
        </w:rPr>
        <w:t>”进行标书关联时单独填报的投标报价与加密的报价文件中所列的投标报价不一致时以加密的报价文件中的金额为准进行修正。</w:t>
      </w:r>
    </w:p>
    <w:p w14:paraId="04A6E868">
      <w:pPr>
        <w:numPr>
          <w:ilvl w:val="0"/>
          <w:numId w:val="13"/>
        </w:numPr>
        <w:spacing w:line="360" w:lineRule="auto"/>
        <w:ind w:firstLine="0"/>
        <w:rPr>
          <w:rFonts w:hint="eastAsia" w:ascii="宋体" w:hAnsi="宋体"/>
          <w:bCs/>
          <w:sz w:val="22"/>
          <w:szCs w:val="22"/>
          <w:highlight w:val="none"/>
        </w:rPr>
      </w:pPr>
      <w:r>
        <w:rPr>
          <w:rFonts w:ascii="宋体" w:hAnsi="宋体"/>
          <w:bCs/>
          <w:sz w:val="22"/>
          <w:szCs w:val="22"/>
          <w:highlight w:val="none"/>
        </w:rPr>
        <w:t>若中标人的投标描述</w:t>
      </w:r>
      <w:r>
        <w:rPr>
          <w:rFonts w:ascii="宋体" w:hAnsi="宋体"/>
          <w:sz w:val="22"/>
          <w:szCs w:val="22"/>
          <w:highlight w:val="none"/>
        </w:rPr>
        <w:t>（即投标文件中描述的内容）</w:t>
      </w:r>
      <w:r>
        <w:rPr>
          <w:rFonts w:ascii="宋体" w:hAnsi="宋体"/>
          <w:bCs/>
          <w:sz w:val="22"/>
          <w:szCs w:val="22"/>
          <w:highlight w:val="none"/>
        </w:rPr>
        <w:t>存在前后不一致、与证明材料不一致或多份证明材料之间不一致情形之一</w:t>
      </w:r>
      <w:r>
        <w:rPr>
          <w:rFonts w:hint="eastAsia" w:ascii="宋体" w:hAnsi="宋体"/>
          <w:bCs/>
          <w:sz w:val="22"/>
          <w:szCs w:val="22"/>
          <w:highlight w:val="none"/>
        </w:rPr>
        <w:t>，</w:t>
      </w:r>
      <w:r>
        <w:rPr>
          <w:rFonts w:ascii="宋体" w:hAnsi="宋体"/>
          <w:bCs/>
          <w:sz w:val="22"/>
          <w:szCs w:val="22"/>
          <w:highlight w:val="none"/>
        </w:rPr>
        <w:t>但在评标中未能发现，则采购人将以投标描述或证明材料中有利于采购人的内容进行验收，中标人应自行承担由此产生的风险及费用。</w:t>
      </w:r>
    </w:p>
    <w:p w14:paraId="172062D3">
      <w:pPr>
        <w:numPr>
          <w:ilvl w:val="1"/>
          <w:numId w:val="3"/>
        </w:numPr>
        <w:tabs>
          <w:tab w:val="left" w:pos="525"/>
          <w:tab w:val="left" w:pos="63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比较与评价</w:t>
      </w:r>
    </w:p>
    <w:p w14:paraId="2EBF885C">
      <w:pPr>
        <w:numPr>
          <w:ilvl w:val="0"/>
          <w:numId w:val="15"/>
        </w:numPr>
        <w:spacing w:line="360" w:lineRule="auto"/>
        <w:ind w:firstLine="0"/>
        <w:rPr>
          <w:rFonts w:hint="eastAsia" w:ascii="宋体" w:hAnsi="宋体"/>
          <w:bCs/>
          <w:sz w:val="22"/>
          <w:szCs w:val="22"/>
          <w:highlight w:val="none"/>
        </w:rPr>
      </w:pPr>
      <w:r>
        <w:rPr>
          <w:rFonts w:hint="eastAsia" w:ascii="宋体" w:hAnsi="宋体"/>
          <w:bCs/>
          <w:sz w:val="22"/>
          <w:szCs w:val="22"/>
          <w:highlight w:val="none"/>
        </w:rPr>
        <w:t>评标委员会按照招标文件中规定的</w:t>
      </w:r>
      <w:r>
        <w:rPr>
          <w:rFonts w:hint="eastAsia" w:ascii="宋体" w:hAnsi="宋体"/>
          <w:sz w:val="22"/>
          <w:szCs w:val="22"/>
          <w:highlight w:val="none"/>
        </w:rPr>
        <w:t>评标原则及办法</w:t>
      </w:r>
      <w:r>
        <w:rPr>
          <w:rFonts w:hint="eastAsia" w:ascii="宋体" w:hAnsi="宋体"/>
          <w:bCs/>
          <w:sz w:val="22"/>
          <w:szCs w:val="22"/>
          <w:highlight w:val="none"/>
        </w:rPr>
        <w:t>进行综合评定打分。</w:t>
      </w:r>
    </w:p>
    <w:p w14:paraId="79A3D5A7">
      <w:pPr>
        <w:numPr>
          <w:ilvl w:val="0"/>
          <w:numId w:val="15"/>
        </w:numPr>
        <w:spacing w:line="360" w:lineRule="auto"/>
        <w:ind w:firstLine="0"/>
        <w:rPr>
          <w:rFonts w:hint="eastAsia" w:ascii="宋体" w:hAnsi="宋体"/>
          <w:bCs/>
          <w:sz w:val="22"/>
          <w:szCs w:val="22"/>
          <w:highlight w:val="none"/>
        </w:rPr>
      </w:pPr>
      <w:r>
        <w:rPr>
          <w:rFonts w:hint="eastAsia" w:ascii="宋体" w:hAnsi="宋体"/>
          <w:bCs/>
          <w:sz w:val="22"/>
          <w:szCs w:val="22"/>
          <w:highlight w:val="none"/>
        </w:rPr>
        <w:t>漏（缺）项</w:t>
      </w:r>
    </w:p>
    <w:p w14:paraId="567ADEEA">
      <w:pPr>
        <w:numPr>
          <w:ilvl w:val="0"/>
          <w:numId w:val="16"/>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招标文件中要求列入报价的费用（含配置、功能），漏（缺）项的报价视为已经包括在投标报价中。</w:t>
      </w:r>
    </w:p>
    <w:p w14:paraId="18EF5BFB">
      <w:pPr>
        <w:numPr>
          <w:ilvl w:val="0"/>
          <w:numId w:val="16"/>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对多报项及赠送项的价格评标时不予核减，全部进入投标报价评议。</w:t>
      </w:r>
    </w:p>
    <w:p w14:paraId="6587AAF1">
      <w:pPr>
        <w:numPr>
          <w:ilvl w:val="1"/>
          <w:numId w:val="3"/>
        </w:numPr>
        <w:tabs>
          <w:tab w:val="left" w:pos="525"/>
          <w:tab w:val="left" w:pos="635"/>
          <w:tab w:val="left" w:pos="900"/>
        </w:tabs>
        <w:spacing w:line="360" w:lineRule="auto"/>
        <w:rPr>
          <w:rFonts w:hint="eastAsia" w:ascii="宋体" w:hAnsi="宋体"/>
          <w:bCs/>
          <w:sz w:val="22"/>
          <w:szCs w:val="22"/>
          <w:highlight w:val="none"/>
        </w:rPr>
      </w:pPr>
      <w:bookmarkStart w:id="176" w:name="_Hlk36726155"/>
      <w:r>
        <w:rPr>
          <w:rFonts w:hint="eastAsia" w:ascii="宋体" w:hAnsi="宋体" w:cs="Courier New"/>
          <w:sz w:val="22"/>
          <w:szCs w:val="22"/>
          <w:highlight w:val="none"/>
        </w:rPr>
        <w:t>评标</w:t>
      </w:r>
      <w:r>
        <w:rPr>
          <w:rFonts w:hint="eastAsia" w:ascii="宋体" w:hAnsi="宋体"/>
          <w:bCs/>
          <w:sz w:val="22"/>
          <w:szCs w:val="22"/>
          <w:highlight w:val="none"/>
        </w:rPr>
        <w:t>委员会认为投标人的报价明显低于其他有效投标人的报价，有可能影响产品质量或不能诚信履约的，应要求其在评标现场合理的时间内提供书面说明</w:t>
      </w:r>
      <w:r>
        <w:rPr>
          <w:rFonts w:hint="eastAsia" w:ascii="宋体" w:hAnsi="宋体"/>
          <w:sz w:val="22"/>
          <w:szCs w:val="22"/>
          <w:highlight w:val="none"/>
        </w:rPr>
        <w:t>（或通过“</w:t>
      </w:r>
      <w:r>
        <w:rPr>
          <w:rFonts w:hint="eastAsia" w:ascii="宋体" w:hAnsi="宋体"/>
          <w:sz w:val="22"/>
          <w:szCs w:val="22"/>
          <w:highlight w:val="none"/>
          <w:lang w:eastAsia="zh-CN"/>
        </w:rPr>
        <w:t>乐采云平台</w:t>
      </w:r>
      <w:r>
        <w:rPr>
          <w:rFonts w:hint="eastAsia" w:ascii="宋体" w:hAnsi="宋体"/>
          <w:sz w:val="22"/>
          <w:szCs w:val="22"/>
          <w:highlight w:val="none"/>
        </w:rPr>
        <w:t>”提供线上说明）</w:t>
      </w:r>
      <w:r>
        <w:rPr>
          <w:rFonts w:hint="eastAsia" w:ascii="宋体" w:hAnsi="宋体"/>
          <w:bCs/>
          <w:sz w:val="22"/>
          <w:szCs w:val="22"/>
          <w:highlight w:val="none"/>
        </w:rPr>
        <w:t>，必要时还应要求其一并提交有关证明材料；投标人代表不能在规定的合理时间内证明其报价合理性的，评标委员会将其作为</w:t>
      </w:r>
      <w:r>
        <w:rPr>
          <w:rFonts w:hint="eastAsia" w:ascii="宋体" w:hAnsi="宋体"/>
          <w:b/>
          <w:bCs/>
          <w:sz w:val="22"/>
          <w:szCs w:val="22"/>
          <w:highlight w:val="none"/>
        </w:rPr>
        <w:t>投标无效</w:t>
      </w:r>
      <w:r>
        <w:rPr>
          <w:rFonts w:hint="eastAsia" w:ascii="宋体" w:hAnsi="宋体"/>
          <w:bCs/>
          <w:sz w:val="22"/>
          <w:szCs w:val="22"/>
          <w:highlight w:val="none"/>
        </w:rPr>
        <w:t>处理。</w:t>
      </w:r>
    </w:p>
    <w:bookmarkEnd w:id="176"/>
    <w:p w14:paraId="11EB06BC">
      <w:pPr>
        <w:numPr>
          <w:ilvl w:val="1"/>
          <w:numId w:val="3"/>
        </w:numPr>
        <w:tabs>
          <w:tab w:val="left" w:pos="525"/>
          <w:tab w:val="left" w:pos="635"/>
          <w:tab w:val="left" w:pos="900"/>
        </w:tabs>
        <w:spacing w:line="360" w:lineRule="auto"/>
        <w:rPr>
          <w:rFonts w:hint="eastAsia" w:ascii="宋体" w:hAnsi="宋体"/>
          <w:bCs/>
          <w:sz w:val="22"/>
          <w:szCs w:val="22"/>
          <w:highlight w:val="none"/>
        </w:rPr>
      </w:pPr>
      <w:r>
        <w:rPr>
          <w:rFonts w:hint="eastAsia" w:ascii="宋体" w:hAnsi="宋体"/>
          <w:bCs/>
          <w:sz w:val="22"/>
          <w:szCs w:val="22"/>
          <w:highlight w:val="none"/>
        </w:rPr>
        <w:t>评委对需要共同认定的事项存在争议的，应按照少数服从多数的原则进行认定。持不同意见的评委应在评标报告上签署不同意见及理由，否则视为同意评标报告。</w:t>
      </w:r>
    </w:p>
    <w:p w14:paraId="21178D90">
      <w:pPr>
        <w:numPr>
          <w:ilvl w:val="1"/>
          <w:numId w:val="3"/>
        </w:numPr>
        <w:tabs>
          <w:tab w:val="left" w:pos="525"/>
          <w:tab w:val="left" w:pos="635"/>
          <w:tab w:val="left" w:pos="900"/>
        </w:tabs>
        <w:spacing w:line="360" w:lineRule="auto"/>
        <w:rPr>
          <w:rFonts w:hint="eastAsia" w:ascii="宋体" w:hAnsi="宋体"/>
          <w:bCs/>
          <w:sz w:val="22"/>
          <w:szCs w:val="22"/>
          <w:highlight w:val="none"/>
        </w:rPr>
      </w:pPr>
      <w:r>
        <w:rPr>
          <w:rFonts w:hint="eastAsia" w:ascii="宋体" w:hAnsi="宋体"/>
          <w:bCs/>
          <w:sz w:val="22"/>
          <w:szCs w:val="22"/>
          <w:highlight w:val="none"/>
        </w:rPr>
        <w:t>评标原则和评标办法详见本招标文件《评标原则及办法》。</w:t>
      </w:r>
    </w:p>
    <w:p w14:paraId="03ACF960">
      <w:pPr>
        <w:numPr>
          <w:ilvl w:val="1"/>
          <w:numId w:val="3"/>
        </w:numPr>
        <w:tabs>
          <w:tab w:val="left" w:pos="525"/>
          <w:tab w:val="left" w:pos="635"/>
          <w:tab w:val="left" w:pos="900"/>
        </w:tabs>
        <w:spacing w:line="360" w:lineRule="auto"/>
        <w:rPr>
          <w:rFonts w:hint="eastAsia" w:ascii="宋体" w:hAnsi="宋体"/>
          <w:bCs/>
          <w:sz w:val="22"/>
          <w:szCs w:val="22"/>
          <w:highlight w:val="none"/>
        </w:rPr>
      </w:pPr>
      <w:r>
        <w:rPr>
          <w:rFonts w:ascii="宋体" w:hAnsi="宋体"/>
          <w:bCs/>
          <w:sz w:val="22"/>
          <w:szCs w:val="22"/>
          <w:highlight w:val="none"/>
        </w:rPr>
        <w:t>评标</w:t>
      </w:r>
      <w:r>
        <w:rPr>
          <w:rFonts w:ascii="宋体" w:hAnsi="宋体" w:cs="Courier New"/>
          <w:sz w:val="22"/>
          <w:szCs w:val="22"/>
          <w:highlight w:val="none"/>
        </w:rPr>
        <w:t>过程</w:t>
      </w:r>
      <w:r>
        <w:rPr>
          <w:rFonts w:ascii="宋体" w:hAnsi="宋体"/>
          <w:bCs/>
          <w:sz w:val="22"/>
          <w:szCs w:val="22"/>
          <w:highlight w:val="none"/>
        </w:rPr>
        <w:t>中，有下列情形之一的，应予废标：</w:t>
      </w:r>
    </w:p>
    <w:p w14:paraId="02516EAA">
      <w:pPr>
        <w:numPr>
          <w:ilvl w:val="0"/>
          <w:numId w:val="17"/>
        </w:numPr>
        <w:tabs>
          <w:tab w:val="left" w:pos="525"/>
        </w:tabs>
        <w:spacing w:line="360" w:lineRule="auto"/>
        <w:rPr>
          <w:rFonts w:hint="eastAsia" w:ascii="宋体" w:hAnsi="宋体"/>
          <w:bCs/>
          <w:sz w:val="22"/>
          <w:szCs w:val="22"/>
          <w:highlight w:val="none"/>
        </w:rPr>
      </w:pPr>
      <w:r>
        <w:rPr>
          <w:rFonts w:ascii="宋体" w:hAnsi="宋体"/>
          <w:bCs/>
          <w:sz w:val="22"/>
          <w:szCs w:val="22"/>
          <w:highlight w:val="none"/>
        </w:rPr>
        <w:t>符合性审查合格的投标人不足三家的；</w:t>
      </w:r>
    </w:p>
    <w:p w14:paraId="38C1223B">
      <w:pPr>
        <w:numPr>
          <w:ilvl w:val="0"/>
          <w:numId w:val="17"/>
        </w:numPr>
        <w:tabs>
          <w:tab w:val="left" w:pos="525"/>
        </w:tabs>
        <w:spacing w:line="360" w:lineRule="auto"/>
        <w:rPr>
          <w:rFonts w:hint="eastAsia" w:ascii="宋体" w:hAnsi="宋体"/>
          <w:bCs/>
          <w:sz w:val="22"/>
          <w:szCs w:val="22"/>
          <w:highlight w:val="none"/>
        </w:rPr>
      </w:pPr>
      <w:r>
        <w:rPr>
          <w:rFonts w:ascii="宋体" w:hAnsi="宋体"/>
          <w:bCs/>
          <w:sz w:val="22"/>
          <w:szCs w:val="22"/>
          <w:highlight w:val="none"/>
        </w:rPr>
        <w:t>对招标文件作实质响应的</w:t>
      </w:r>
      <w:r>
        <w:rPr>
          <w:rFonts w:hint="eastAsia" w:ascii="宋体" w:hAnsi="宋体"/>
          <w:bCs/>
          <w:sz w:val="22"/>
          <w:szCs w:val="22"/>
          <w:highlight w:val="none"/>
        </w:rPr>
        <w:t>投标人</w:t>
      </w:r>
      <w:r>
        <w:rPr>
          <w:rFonts w:ascii="宋体" w:hAnsi="宋体"/>
          <w:bCs/>
          <w:sz w:val="22"/>
          <w:szCs w:val="22"/>
          <w:highlight w:val="none"/>
        </w:rPr>
        <w:t>不足三家的；</w:t>
      </w:r>
    </w:p>
    <w:p w14:paraId="1FFC6738">
      <w:pPr>
        <w:numPr>
          <w:ilvl w:val="0"/>
          <w:numId w:val="17"/>
        </w:numPr>
        <w:tabs>
          <w:tab w:val="left" w:pos="525"/>
        </w:tabs>
        <w:spacing w:line="360" w:lineRule="auto"/>
        <w:rPr>
          <w:rFonts w:hint="eastAsia" w:ascii="宋体" w:hAnsi="宋体"/>
          <w:bCs/>
          <w:sz w:val="22"/>
          <w:szCs w:val="22"/>
          <w:highlight w:val="none"/>
        </w:rPr>
      </w:pPr>
      <w:r>
        <w:rPr>
          <w:rFonts w:ascii="宋体" w:hAnsi="宋体"/>
          <w:bCs/>
          <w:sz w:val="22"/>
          <w:szCs w:val="22"/>
          <w:highlight w:val="none"/>
        </w:rPr>
        <w:t>有关法律、法规和规章规定废标的情形。</w:t>
      </w:r>
    </w:p>
    <w:p w14:paraId="572492CB">
      <w:pPr>
        <w:numPr>
          <w:ilvl w:val="1"/>
          <w:numId w:val="3"/>
        </w:numPr>
        <w:tabs>
          <w:tab w:val="left" w:pos="525"/>
          <w:tab w:val="left" w:pos="635"/>
          <w:tab w:val="left" w:pos="900"/>
        </w:tabs>
        <w:spacing w:line="360" w:lineRule="auto"/>
        <w:rPr>
          <w:rFonts w:hint="eastAsia" w:ascii="宋体" w:hAnsi="宋体"/>
          <w:bCs/>
          <w:sz w:val="22"/>
          <w:szCs w:val="22"/>
          <w:highlight w:val="none"/>
        </w:rPr>
      </w:pPr>
      <w:r>
        <w:rPr>
          <w:rFonts w:hint="eastAsia" w:ascii="宋体" w:hAnsi="宋体"/>
          <w:bCs/>
          <w:sz w:val="22"/>
          <w:szCs w:val="22"/>
          <w:highlight w:val="none"/>
        </w:rPr>
        <w:t>采购过程中出现以下情形，导致电子交易平台无法正常运行，或者无法保证电子交易的公平、公正和安全时，招标采购单位可中止电子交易活动：</w:t>
      </w:r>
    </w:p>
    <w:p w14:paraId="75A6603B">
      <w:pPr>
        <w:numPr>
          <w:ilvl w:val="0"/>
          <w:numId w:val="18"/>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电子交易平台发生故障而无法登录访问的；</w:t>
      </w:r>
    </w:p>
    <w:p w14:paraId="46D5E85A">
      <w:pPr>
        <w:numPr>
          <w:ilvl w:val="0"/>
          <w:numId w:val="18"/>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电子交易平台应用或数据库出现错误，不能进行正常操作的；</w:t>
      </w:r>
    </w:p>
    <w:p w14:paraId="4AB2B149">
      <w:pPr>
        <w:numPr>
          <w:ilvl w:val="0"/>
          <w:numId w:val="18"/>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电子交易平台发现严重安全漏洞，有潜在泄密危险的；</w:t>
      </w:r>
    </w:p>
    <w:p w14:paraId="335CC67C">
      <w:pPr>
        <w:numPr>
          <w:ilvl w:val="0"/>
          <w:numId w:val="18"/>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病毒发作导致不能进行正常操作的；</w:t>
      </w:r>
    </w:p>
    <w:p w14:paraId="470EAC3B">
      <w:pPr>
        <w:numPr>
          <w:ilvl w:val="0"/>
          <w:numId w:val="18"/>
        </w:numPr>
        <w:tabs>
          <w:tab w:val="left" w:pos="525"/>
        </w:tabs>
        <w:spacing w:line="360" w:lineRule="auto"/>
        <w:rPr>
          <w:rFonts w:hint="eastAsia" w:ascii="宋体" w:hAnsi="宋体"/>
          <w:bCs/>
          <w:sz w:val="22"/>
          <w:szCs w:val="22"/>
          <w:highlight w:val="none"/>
        </w:rPr>
      </w:pPr>
      <w:r>
        <w:rPr>
          <w:rFonts w:hint="eastAsia" w:ascii="宋体" w:hAnsi="宋体"/>
          <w:bCs/>
          <w:sz w:val="22"/>
          <w:szCs w:val="22"/>
          <w:highlight w:val="none"/>
        </w:rPr>
        <w:t>其他无法保证电子交易的公平、公正和安全的情况。</w:t>
      </w:r>
    </w:p>
    <w:p w14:paraId="35B0A442">
      <w:pPr>
        <w:tabs>
          <w:tab w:val="left" w:pos="525"/>
        </w:tabs>
        <w:spacing w:line="360" w:lineRule="auto"/>
        <w:ind w:firstLine="442" w:firstLineChars="200"/>
        <w:rPr>
          <w:rFonts w:hint="eastAsia" w:ascii="宋体" w:hAnsi="宋体"/>
          <w:b/>
          <w:bCs/>
          <w:sz w:val="22"/>
          <w:szCs w:val="22"/>
          <w:highlight w:val="none"/>
        </w:rPr>
      </w:pPr>
      <w:r>
        <w:rPr>
          <w:rFonts w:hint="eastAsia" w:ascii="宋体" w:hAnsi="宋体"/>
          <w:b/>
          <w:bCs/>
          <w:sz w:val="22"/>
          <w:szCs w:val="22"/>
          <w:highlight w:val="none"/>
        </w:rPr>
        <w:t>※出现前款规定情形，不影响采购公平、公正性的，招标采购单位可以待上述情形消除后继续组织电子交易活动；影响或可能影响采购公平、公正性的，应当重新采购。</w:t>
      </w:r>
    </w:p>
    <w:p w14:paraId="3757F6DC">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确定中标</w:t>
      </w:r>
      <w:r>
        <w:rPr>
          <w:rFonts w:hint="eastAsia" w:ascii="宋体" w:hAnsi="宋体"/>
          <w:sz w:val="22"/>
          <w:szCs w:val="22"/>
          <w:highlight w:val="none"/>
        </w:rPr>
        <w:t>候选</w:t>
      </w:r>
      <w:r>
        <w:rPr>
          <w:rFonts w:hint="eastAsia" w:ascii="宋体" w:hAnsi="宋体" w:cs="Courier New"/>
          <w:sz w:val="22"/>
          <w:szCs w:val="22"/>
          <w:highlight w:val="none"/>
        </w:rPr>
        <w:t>人</w:t>
      </w:r>
    </w:p>
    <w:p w14:paraId="49C91C56">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本次采购由评标委员会推荐中标候选人，采购人根据评标委员会的推荐结果进行最终确认。</w:t>
      </w:r>
    </w:p>
    <w:p w14:paraId="2E35216C">
      <w:pPr>
        <w:numPr>
          <w:ilvl w:val="1"/>
          <w:numId w:val="3"/>
        </w:numPr>
        <w:tabs>
          <w:tab w:val="left" w:pos="540"/>
          <w:tab w:val="left" w:pos="635"/>
          <w:tab w:val="left" w:pos="900"/>
        </w:tabs>
        <w:spacing w:line="360" w:lineRule="auto"/>
        <w:rPr>
          <w:rFonts w:hint="eastAsia" w:ascii="宋体" w:hAnsi="宋体"/>
          <w:sz w:val="22"/>
          <w:szCs w:val="22"/>
          <w:highlight w:val="none"/>
        </w:rPr>
      </w:pPr>
      <w:r>
        <w:rPr>
          <w:rFonts w:ascii="宋体" w:hAnsi="宋体"/>
          <w:bCs/>
          <w:sz w:val="22"/>
          <w:szCs w:val="22"/>
          <w:highlight w:val="none"/>
        </w:rPr>
        <w:t>中标公告同时作为</w:t>
      </w:r>
      <w:r>
        <w:rPr>
          <w:rFonts w:hint="eastAsia" w:ascii="宋体" w:hAnsi="宋体"/>
          <w:bCs/>
          <w:sz w:val="22"/>
          <w:szCs w:val="22"/>
          <w:highlight w:val="none"/>
        </w:rPr>
        <w:t>招标采购单位</w:t>
      </w:r>
      <w:r>
        <w:rPr>
          <w:rFonts w:ascii="宋体" w:hAnsi="宋体"/>
          <w:bCs/>
          <w:sz w:val="22"/>
          <w:szCs w:val="22"/>
          <w:highlight w:val="none"/>
        </w:rPr>
        <w:t>通知除中标人外的其他投标人没有中标的书面形式。</w:t>
      </w:r>
    </w:p>
    <w:p w14:paraId="3FB167AE">
      <w:pPr>
        <w:numPr>
          <w:ilvl w:val="0"/>
          <w:numId w:val="3"/>
        </w:numPr>
        <w:tabs>
          <w:tab w:val="left" w:pos="540"/>
          <w:tab w:val="left" w:pos="900"/>
        </w:tabs>
        <w:spacing w:line="360" w:lineRule="auto"/>
        <w:rPr>
          <w:rFonts w:hint="eastAsia" w:ascii="宋体" w:hAnsi="宋体"/>
          <w:sz w:val="22"/>
          <w:szCs w:val="22"/>
          <w:highlight w:val="none"/>
        </w:rPr>
      </w:pPr>
      <w:r>
        <w:rPr>
          <w:rFonts w:hint="eastAsia" w:ascii="宋体" w:hAnsi="宋体"/>
          <w:sz w:val="22"/>
          <w:szCs w:val="22"/>
          <w:highlight w:val="none"/>
        </w:rPr>
        <w:t>采购人或采购代理机构对决标结果不做任何解释。</w:t>
      </w:r>
    </w:p>
    <w:p w14:paraId="73F3BBA1">
      <w:pPr>
        <w:numPr>
          <w:ilvl w:val="0"/>
          <w:numId w:val="3"/>
        </w:numPr>
        <w:tabs>
          <w:tab w:val="left" w:pos="525"/>
          <w:tab w:val="left" w:pos="900"/>
        </w:tabs>
        <w:spacing w:line="360" w:lineRule="auto"/>
        <w:rPr>
          <w:rFonts w:hint="eastAsia" w:ascii="宋体" w:hAnsi="宋体"/>
          <w:sz w:val="22"/>
          <w:szCs w:val="22"/>
          <w:highlight w:val="none"/>
        </w:rPr>
      </w:pPr>
      <w:r>
        <w:rPr>
          <w:rFonts w:hint="eastAsia" w:ascii="宋体" w:hAnsi="宋体"/>
          <w:sz w:val="22"/>
          <w:szCs w:val="22"/>
          <w:highlight w:val="none"/>
        </w:rPr>
        <w:t>未尽事宜遵循相关法律法规及规范性文件执行。</w:t>
      </w:r>
    </w:p>
    <w:p w14:paraId="4648DAC7">
      <w:pPr>
        <w:pStyle w:val="6"/>
        <w:spacing w:line="400" w:lineRule="exact"/>
        <w:jc w:val="center"/>
        <w:rPr>
          <w:rFonts w:hint="eastAsia" w:ascii="宋体" w:hAnsi="宋体" w:eastAsia="宋体" w:cs="Courier New"/>
          <w:highlight w:val="none"/>
        </w:rPr>
      </w:pPr>
      <w:bookmarkStart w:id="177" w:name="_Toc22158"/>
      <w:r>
        <w:rPr>
          <w:rFonts w:hint="eastAsia" w:ascii="宋体" w:hAnsi="宋体" w:eastAsia="宋体" w:cs="Courier New"/>
          <w:highlight w:val="none"/>
        </w:rPr>
        <w:t xml:space="preserve">七、 </w:t>
      </w:r>
      <w:r>
        <w:rPr>
          <w:rFonts w:ascii="宋体" w:hAnsi="宋体" w:eastAsia="宋体" w:cs="Courier New"/>
          <w:highlight w:val="none"/>
        </w:rPr>
        <w:t>定标及</w:t>
      </w:r>
      <w:r>
        <w:rPr>
          <w:rFonts w:hint="eastAsia" w:ascii="宋体" w:hAnsi="宋体" w:eastAsia="宋体" w:cs="Courier New"/>
          <w:highlight w:val="none"/>
        </w:rPr>
        <w:t>合同</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Pr>
          <w:rFonts w:hint="eastAsia" w:ascii="宋体" w:hAnsi="宋体" w:eastAsia="宋体" w:cs="Courier New"/>
          <w:highlight w:val="none"/>
        </w:rPr>
        <w:t>授予</w:t>
      </w:r>
      <w:bookmarkEnd w:id="177"/>
    </w:p>
    <w:p w14:paraId="1F481F20">
      <w:pPr>
        <w:numPr>
          <w:ilvl w:val="0"/>
          <w:numId w:val="3"/>
        </w:numPr>
        <w:tabs>
          <w:tab w:val="left" w:pos="540"/>
          <w:tab w:val="left" w:pos="900"/>
        </w:tabs>
        <w:spacing w:line="360" w:lineRule="auto"/>
        <w:rPr>
          <w:rFonts w:hint="eastAsia" w:ascii="宋体" w:hAnsi="宋体"/>
          <w:bCs/>
          <w:sz w:val="22"/>
          <w:szCs w:val="22"/>
          <w:highlight w:val="none"/>
        </w:rPr>
      </w:pPr>
      <w:r>
        <w:rPr>
          <w:rFonts w:hint="eastAsia" w:ascii="宋体" w:hAnsi="宋体"/>
          <w:bCs/>
          <w:sz w:val="22"/>
          <w:szCs w:val="22"/>
          <w:highlight w:val="none"/>
        </w:rPr>
        <w:t>确认中标人</w:t>
      </w:r>
    </w:p>
    <w:p w14:paraId="742169BB">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采购人自收到评标报告之日起5个工作日内</w:t>
      </w:r>
      <w:bookmarkStart w:id="178" w:name="_Hlk97734346"/>
      <w:r>
        <w:rPr>
          <w:rFonts w:hint="eastAsia" w:ascii="宋体" w:hAnsi="宋体"/>
          <w:sz w:val="22"/>
          <w:szCs w:val="22"/>
          <w:highlight w:val="none"/>
        </w:rPr>
        <w:t>，从评标报告提出的中标候选人名单中，按照排序由高到低的原则确定中标人。</w:t>
      </w:r>
      <w:bookmarkStart w:id="179" w:name="_Hlk97734332"/>
      <w:r>
        <w:rPr>
          <w:rFonts w:hint="eastAsia" w:ascii="宋体" w:hAnsi="宋体"/>
          <w:sz w:val="22"/>
          <w:szCs w:val="22"/>
          <w:highlight w:val="none"/>
        </w:rPr>
        <w:t>采购人逾期未确定中标人且不提出异议的，视为确定评标报告提出的排序第一的投标人为中标人。</w:t>
      </w:r>
      <w:bookmarkEnd w:id="178"/>
      <w:bookmarkEnd w:id="179"/>
    </w:p>
    <w:p w14:paraId="519E75D0">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中标人确定之日起2个工作日内，在招标文件载明的指定媒体上公示中标结果，中标公告期限为1个工作日。</w:t>
      </w:r>
    </w:p>
    <w:p w14:paraId="753B98D5">
      <w:pPr>
        <w:numPr>
          <w:ilvl w:val="0"/>
          <w:numId w:val="3"/>
        </w:numPr>
        <w:tabs>
          <w:tab w:val="left" w:pos="525"/>
          <w:tab w:val="left" w:pos="900"/>
        </w:tabs>
        <w:spacing w:line="360" w:lineRule="auto"/>
        <w:rPr>
          <w:rFonts w:hint="eastAsia" w:ascii="宋体" w:hAnsi="宋体"/>
          <w:sz w:val="22"/>
          <w:szCs w:val="22"/>
          <w:highlight w:val="none"/>
        </w:rPr>
      </w:pPr>
      <w:r>
        <w:rPr>
          <w:rFonts w:hint="eastAsia" w:ascii="宋体" w:hAnsi="宋体" w:cs="Courier New"/>
          <w:sz w:val="22"/>
          <w:szCs w:val="22"/>
          <w:highlight w:val="none"/>
        </w:rPr>
        <w:t xml:space="preserve"> </w:t>
      </w:r>
      <w:r>
        <w:rPr>
          <w:rFonts w:hint="eastAsia" w:ascii="宋体" w:hAnsi="宋体"/>
          <w:sz w:val="22"/>
          <w:szCs w:val="22"/>
          <w:highlight w:val="none"/>
        </w:rPr>
        <w:t>中标（成交）通知书</w:t>
      </w:r>
      <w:bookmarkStart w:id="180" w:name="_Hlk100427390"/>
      <w:r>
        <w:rPr>
          <w:rFonts w:hint="eastAsia" w:ascii="宋体" w:hAnsi="宋体"/>
          <w:sz w:val="22"/>
          <w:szCs w:val="22"/>
          <w:highlight w:val="none"/>
        </w:rPr>
        <w:t>（以纸质形式进行）</w:t>
      </w:r>
      <w:bookmarkEnd w:id="180"/>
    </w:p>
    <w:p w14:paraId="0242BD06">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 xml:space="preserve">中标人确定后，采购人将向中标人发出中标（成交）通知书。 </w:t>
      </w:r>
    </w:p>
    <w:p w14:paraId="0471648E">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中标（成交）通知书是合同的一个组成部分,对采购人和中标人均具有同等法律效力。</w:t>
      </w:r>
    </w:p>
    <w:p w14:paraId="5946D84E">
      <w:pPr>
        <w:numPr>
          <w:ilvl w:val="0"/>
          <w:numId w:val="3"/>
        </w:numPr>
        <w:tabs>
          <w:tab w:val="left" w:pos="525"/>
          <w:tab w:val="left" w:pos="900"/>
        </w:tabs>
        <w:spacing w:line="360" w:lineRule="auto"/>
        <w:rPr>
          <w:rFonts w:hint="eastAsia" w:ascii="宋体" w:hAnsi="宋体" w:cs="Courier New"/>
          <w:b/>
          <w:sz w:val="22"/>
          <w:szCs w:val="22"/>
          <w:highlight w:val="none"/>
        </w:rPr>
      </w:pPr>
      <w:r>
        <w:rPr>
          <w:rFonts w:hint="eastAsia" w:ascii="宋体" w:hAnsi="宋体" w:cs="Courier New"/>
          <w:sz w:val="22"/>
          <w:szCs w:val="22"/>
          <w:highlight w:val="none"/>
        </w:rPr>
        <w:t xml:space="preserve"> </w:t>
      </w:r>
      <w:r>
        <w:rPr>
          <w:rFonts w:hint="eastAsia" w:ascii="宋体" w:hAnsi="宋体" w:cs="Courier New"/>
          <w:b/>
          <w:sz w:val="22"/>
          <w:szCs w:val="22"/>
          <w:highlight w:val="none"/>
        </w:rPr>
        <w:t>授标时更改采购内容数量的权力</w:t>
      </w:r>
    </w:p>
    <w:p w14:paraId="17E81386">
      <w:pPr>
        <w:numPr>
          <w:ilvl w:val="1"/>
          <w:numId w:val="3"/>
        </w:numPr>
        <w:tabs>
          <w:tab w:val="left" w:pos="525"/>
          <w:tab w:val="left" w:pos="635"/>
          <w:tab w:val="left" w:pos="900"/>
        </w:tabs>
        <w:spacing w:line="360" w:lineRule="auto"/>
        <w:rPr>
          <w:rFonts w:hint="eastAsia" w:ascii="宋体" w:hAnsi="宋体"/>
          <w:b/>
          <w:sz w:val="22"/>
          <w:szCs w:val="22"/>
          <w:highlight w:val="none"/>
        </w:rPr>
      </w:pPr>
      <w:r>
        <w:rPr>
          <w:rFonts w:hint="eastAsia" w:ascii="宋体" w:hAnsi="宋体"/>
          <w:b/>
          <w:sz w:val="22"/>
          <w:szCs w:val="22"/>
          <w:highlight w:val="none"/>
        </w:rPr>
        <w:t>采购人在授予合同时有权对采购内容的数量和服务在一定幅度范围内予以增加或减少,但不得对单价和其他实质性内容的条款作任何改变。</w:t>
      </w:r>
    </w:p>
    <w:p w14:paraId="455ADEB7">
      <w:pPr>
        <w:numPr>
          <w:ilvl w:val="0"/>
          <w:numId w:val="3"/>
        </w:numPr>
        <w:tabs>
          <w:tab w:val="left" w:pos="525"/>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 xml:space="preserve"> 签订</w:t>
      </w:r>
      <w:r>
        <w:rPr>
          <w:rFonts w:hint="eastAsia" w:ascii="宋体" w:hAnsi="宋体"/>
          <w:sz w:val="22"/>
          <w:szCs w:val="22"/>
          <w:highlight w:val="none"/>
        </w:rPr>
        <w:t>合同（以纸质形式进行）</w:t>
      </w:r>
    </w:p>
    <w:p w14:paraId="2B197444">
      <w:pPr>
        <w:numPr>
          <w:ilvl w:val="1"/>
          <w:numId w:val="3"/>
        </w:numPr>
        <w:tabs>
          <w:tab w:val="left" w:pos="540"/>
          <w:tab w:val="left" w:pos="635"/>
          <w:tab w:val="left" w:pos="900"/>
        </w:tabs>
        <w:spacing w:line="360" w:lineRule="auto"/>
        <w:rPr>
          <w:rFonts w:hint="eastAsia" w:ascii="宋体" w:hAnsi="宋体"/>
          <w:sz w:val="22"/>
          <w:szCs w:val="22"/>
          <w:highlight w:val="none"/>
        </w:rPr>
      </w:pPr>
      <w:bookmarkStart w:id="181" w:name="_Hlk6999962"/>
      <w:r>
        <w:rPr>
          <w:rFonts w:ascii="宋体" w:hAnsi="宋体"/>
          <w:sz w:val="22"/>
          <w:szCs w:val="22"/>
          <w:highlight w:val="none"/>
        </w:rPr>
        <w:t>签订政府采购合同应遵守政府采购法及实施条例的规定，不得对招标文件确定的事项和中标人的投标文件作实质性修改。</w:t>
      </w:r>
    </w:p>
    <w:p w14:paraId="48311198">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签订时限：自中标（成交）通知书发出之日起30个日历天内。</w:t>
      </w:r>
    </w:p>
    <w:bookmarkEnd w:id="181"/>
    <w:p w14:paraId="67670985">
      <w:pPr>
        <w:numPr>
          <w:ilvl w:val="1"/>
          <w:numId w:val="3"/>
        </w:numPr>
        <w:tabs>
          <w:tab w:val="left" w:pos="540"/>
          <w:tab w:val="left" w:pos="635"/>
          <w:tab w:val="left" w:pos="900"/>
        </w:tabs>
        <w:spacing w:line="360" w:lineRule="auto"/>
        <w:rPr>
          <w:rFonts w:hint="eastAsia" w:ascii="宋体" w:hAnsi="宋体"/>
          <w:sz w:val="22"/>
          <w:szCs w:val="22"/>
          <w:highlight w:val="none"/>
        </w:rPr>
      </w:pPr>
      <w:bookmarkStart w:id="182" w:name="_Hlk100427442"/>
      <w:r>
        <w:rPr>
          <w:rFonts w:hint="eastAsia" w:ascii="宋体" w:hAnsi="宋体"/>
          <w:spacing w:val="6"/>
          <w:sz w:val="22"/>
          <w:szCs w:val="22"/>
          <w:highlight w:val="none"/>
        </w:rPr>
        <w:t>中标人拒绝与采购人签订合同的，</w:t>
      </w:r>
      <w:bookmarkStart w:id="183" w:name="_Hlk100427425"/>
      <w:r>
        <w:rPr>
          <w:rFonts w:hint="eastAsia" w:ascii="宋体" w:hAnsi="宋体"/>
          <w:spacing w:val="6"/>
          <w:sz w:val="22"/>
          <w:szCs w:val="22"/>
          <w:highlight w:val="none"/>
        </w:rPr>
        <w:t>采购人可以按照评标报告推荐的中标候选人名单排序，确定下一候选人为中标人，也可以重新开展政府采购活动。</w:t>
      </w:r>
      <w:bookmarkEnd w:id="183"/>
    </w:p>
    <w:bookmarkEnd w:id="182"/>
    <w:p w14:paraId="3FB6BA0B">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招标文件、中标人的投标文件、修改文件、评标过程中有关澄清文件及经投标人和评委双方签字的询标纪要和中标（成交）通知书均作为合同附件。</w:t>
      </w:r>
    </w:p>
    <w:p w14:paraId="25B5DBD3">
      <w:pPr>
        <w:numPr>
          <w:ilvl w:val="1"/>
          <w:numId w:val="3"/>
        </w:numPr>
        <w:tabs>
          <w:tab w:val="left" w:pos="540"/>
          <w:tab w:val="left" w:pos="635"/>
          <w:tab w:val="left" w:pos="900"/>
        </w:tabs>
        <w:spacing w:line="360" w:lineRule="auto"/>
        <w:rPr>
          <w:rFonts w:hint="eastAsia" w:ascii="宋体" w:hAnsi="宋体"/>
          <w:sz w:val="22"/>
          <w:szCs w:val="22"/>
          <w:highlight w:val="none"/>
        </w:rPr>
      </w:pPr>
      <w:bookmarkStart w:id="184" w:name="_Hlk6999944"/>
      <w:r>
        <w:rPr>
          <w:rFonts w:ascii="宋体" w:hAnsi="宋体"/>
          <w:sz w:val="22"/>
          <w:szCs w:val="22"/>
          <w:highlight w:val="none"/>
        </w:rPr>
        <w:t>政府采购合同履行过程中，</w:t>
      </w:r>
      <w:r>
        <w:rPr>
          <w:rFonts w:hint="eastAsia" w:ascii="宋体" w:hAnsi="宋体"/>
          <w:sz w:val="22"/>
          <w:szCs w:val="22"/>
          <w:highlight w:val="none"/>
          <w:lang w:val="en-US" w:eastAsia="zh-CN"/>
        </w:rPr>
        <w:t>采购人</w:t>
      </w:r>
      <w:r>
        <w:rPr>
          <w:rFonts w:ascii="宋体" w:hAnsi="宋体"/>
          <w:sz w:val="22"/>
          <w:szCs w:val="22"/>
          <w:highlight w:val="none"/>
        </w:rPr>
        <w:t>若需追加与合同标的相同的货物或服务，则追加采购金额不得超过原合同采购金额的10%。</w:t>
      </w:r>
    </w:p>
    <w:bookmarkEnd w:id="184"/>
    <w:p w14:paraId="258B5CBF">
      <w:pPr>
        <w:numPr>
          <w:ilvl w:val="0"/>
          <w:numId w:val="3"/>
        </w:numPr>
        <w:tabs>
          <w:tab w:val="left" w:pos="540"/>
          <w:tab w:val="left" w:pos="900"/>
        </w:tabs>
        <w:spacing w:line="360" w:lineRule="auto"/>
        <w:rPr>
          <w:rFonts w:hint="eastAsia" w:ascii="宋体" w:hAnsi="宋体" w:cs="Courier New"/>
          <w:sz w:val="22"/>
          <w:szCs w:val="22"/>
          <w:highlight w:val="none"/>
        </w:rPr>
      </w:pPr>
      <w:r>
        <w:rPr>
          <w:rFonts w:ascii="宋体" w:hAnsi="宋体" w:cs="Courier New"/>
          <w:sz w:val="22"/>
          <w:szCs w:val="22"/>
          <w:highlight w:val="none"/>
        </w:rPr>
        <w:t>履约保证金</w:t>
      </w:r>
    </w:p>
    <w:p w14:paraId="5046B7A6">
      <w:pPr>
        <w:pStyle w:val="6"/>
        <w:spacing w:before="0" w:after="0" w:line="360" w:lineRule="auto"/>
        <w:jc w:val="left"/>
        <w:rPr>
          <w:rFonts w:hint="eastAsia" w:ascii="宋体" w:hAnsi="宋体" w:eastAsia="宋体" w:cs="宋体"/>
          <w:b w:val="0"/>
          <w:bCs w:val="0"/>
          <w:sz w:val="22"/>
          <w:szCs w:val="22"/>
          <w:highlight w:val="none"/>
        </w:rPr>
      </w:pPr>
      <w:bookmarkStart w:id="185" w:name="_Toc11618"/>
      <w:r>
        <w:rPr>
          <w:rFonts w:hint="eastAsia" w:ascii="宋体" w:hAnsi="宋体" w:eastAsia="宋体" w:cs="宋体"/>
          <w:b w:val="0"/>
          <w:bCs w:val="0"/>
          <w:sz w:val="22"/>
          <w:szCs w:val="22"/>
          <w:highlight w:val="none"/>
        </w:rPr>
        <w:t>3</w:t>
      </w:r>
      <w:r>
        <w:rPr>
          <w:rFonts w:hint="eastAsia" w:ascii="宋体" w:hAnsi="宋体" w:eastAsia="宋体" w:cs="宋体"/>
          <w:b w:val="0"/>
          <w:bCs w:val="0"/>
          <w:sz w:val="22"/>
          <w:szCs w:val="22"/>
          <w:highlight w:val="none"/>
          <w:lang w:val="en-US"/>
        </w:rPr>
        <w:t>4</w:t>
      </w:r>
      <w:r>
        <w:rPr>
          <w:rFonts w:hint="eastAsia" w:ascii="宋体" w:hAnsi="宋体" w:eastAsia="宋体" w:cs="宋体"/>
          <w:b w:val="0"/>
          <w:bCs w:val="0"/>
          <w:sz w:val="22"/>
          <w:szCs w:val="22"/>
          <w:highlight w:val="none"/>
        </w:rPr>
        <w:t>.1  签订合同后七个工作日内，中标人向采购人提交合同金额1%的履约保证金（提交方式：现金、转账、支票、汇票、本票或者金融机构、担保机构出具的保函等形式）。</w:t>
      </w:r>
    </w:p>
    <w:p w14:paraId="3D6ADB58">
      <w:pPr>
        <w:pStyle w:val="6"/>
        <w:spacing w:before="0" w:after="0" w:line="360" w:lineRule="auto"/>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w:t>
      </w:r>
      <w:r>
        <w:rPr>
          <w:rFonts w:hint="eastAsia" w:ascii="宋体" w:hAnsi="宋体" w:eastAsia="宋体" w:cs="宋体"/>
          <w:b w:val="0"/>
          <w:bCs w:val="0"/>
          <w:sz w:val="22"/>
          <w:szCs w:val="22"/>
          <w:highlight w:val="none"/>
          <w:lang w:val="en-US"/>
        </w:rPr>
        <w:t>4</w:t>
      </w:r>
      <w:r>
        <w:rPr>
          <w:rFonts w:hint="eastAsia" w:ascii="宋体" w:hAnsi="宋体" w:eastAsia="宋体" w:cs="宋体"/>
          <w:b w:val="0"/>
          <w:bCs w:val="0"/>
          <w:sz w:val="22"/>
          <w:szCs w:val="22"/>
          <w:highlight w:val="none"/>
        </w:rPr>
        <w:t>.2  合同服务期满后，无息退还履约保证金。</w:t>
      </w:r>
    </w:p>
    <w:p w14:paraId="135ACC4C">
      <w:pPr>
        <w:pStyle w:val="6"/>
        <w:spacing w:before="0" w:after="0" w:line="360" w:lineRule="auto"/>
        <w:jc w:val="left"/>
        <w:rPr>
          <w:rFonts w:hint="eastAsia" w:ascii="宋体" w:hAnsi="宋体" w:eastAsia="宋体" w:cs="宋体"/>
          <w:b w:val="0"/>
          <w:bCs w:val="0"/>
          <w:sz w:val="22"/>
          <w:szCs w:val="22"/>
          <w:highlight w:val="none"/>
        </w:rPr>
      </w:pPr>
      <w:r>
        <w:rPr>
          <w:rFonts w:hint="eastAsia" w:ascii="宋体" w:hAnsi="宋体" w:eastAsia="宋体" w:cs="宋体"/>
          <w:b w:val="0"/>
          <w:bCs w:val="0"/>
          <w:sz w:val="22"/>
          <w:szCs w:val="22"/>
          <w:highlight w:val="none"/>
        </w:rPr>
        <w:t>3</w:t>
      </w:r>
      <w:r>
        <w:rPr>
          <w:rFonts w:hint="eastAsia" w:ascii="宋体" w:hAnsi="宋体" w:eastAsia="宋体" w:cs="宋体"/>
          <w:b w:val="0"/>
          <w:bCs w:val="0"/>
          <w:sz w:val="22"/>
          <w:szCs w:val="22"/>
          <w:highlight w:val="none"/>
          <w:lang w:val="en-US"/>
        </w:rPr>
        <w:t>4</w:t>
      </w:r>
      <w:r>
        <w:rPr>
          <w:rFonts w:hint="eastAsia" w:ascii="宋体" w:hAnsi="宋体" w:eastAsia="宋体" w:cs="宋体"/>
          <w:b w:val="0"/>
          <w:bCs w:val="0"/>
          <w:sz w:val="22"/>
          <w:szCs w:val="22"/>
          <w:highlight w:val="none"/>
        </w:rPr>
        <w:t>.3  中标人若不能保质保量完成合同约定业务，除承担相关责任外，采购人可相应扣减合同履约保证金。如中标人违约造成合同终止的，履约保证金不予退还，采购人还有权视损失情况向中标人追偿。</w:t>
      </w:r>
    </w:p>
    <w:p w14:paraId="2B9975F5">
      <w:pPr>
        <w:pStyle w:val="6"/>
        <w:spacing w:line="400" w:lineRule="exact"/>
        <w:jc w:val="center"/>
        <w:rPr>
          <w:rFonts w:hint="eastAsia" w:ascii="宋体" w:hAnsi="宋体" w:eastAsia="宋体" w:cs="Courier New"/>
          <w:highlight w:val="none"/>
        </w:rPr>
      </w:pPr>
      <w:r>
        <w:rPr>
          <w:rFonts w:hint="eastAsia" w:ascii="宋体" w:hAnsi="宋体" w:eastAsia="宋体" w:cs="Courier New"/>
          <w:highlight w:val="none"/>
        </w:rPr>
        <w:t xml:space="preserve">八、 </w:t>
      </w:r>
      <w:r>
        <w:rPr>
          <w:rFonts w:ascii="宋体" w:hAnsi="宋体" w:eastAsia="宋体" w:cs="Courier New"/>
          <w:highlight w:val="none"/>
        </w:rPr>
        <w:t>政府采购政策</w:t>
      </w:r>
      <w:bookmarkEnd w:id="185"/>
    </w:p>
    <w:p w14:paraId="685F3B6C">
      <w:pPr>
        <w:numPr>
          <w:ilvl w:val="0"/>
          <w:numId w:val="3"/>
        </w:numPr>
        <w:tabs>
          <w:tab w:val="left" w:pos="540"/>
          <w:tab w:val="left" w:pos="900"/>
        </w:tabs>
        <w:spacing w:line="360" w:lineRule="auto"/>
        <w:rPr>
          <w:rFonts w:hint="eastAsia" w:ascii="宋体" w:hAnsi="宋体" w:cs="Courier New"/>
          <w:sz w:val="22"/>
          <w:szCs w:val="22"/>
          <w:highlight w:val="none"/>
        </w:rPr>
      </w:pPr>
      <w:r>
        <w:rPr>
          <w:rFonts w:ascii="宋体" w:hAnsi="宋体" w:cs="Courier New"/>
          <w:sz w:val="22"/>
          <w:szCs w:val="22"/>
          <w:highlight w:val="none"/>
        </w:rPr>
        <w:t>政府采购政策由财政部根据国家的经济和社会发展政策并会同国家有关部委制定，包括但不限于下列具体政策要求：</w:t>
      </w:r>
    </w:p>
    <w:p w14:paraId="06E5EFE4">
      <w:pPr>
        <w:numPr>
          <w:ilvl w:val="1"/>
          <w:numId w:val="3"/>
        </w:numPr>
        <w:tabs>
          <w:tab w:val="left" w:pos="540"/>
          <w:tab w:val="left" w:pos="635"/>
          <w:tab w:val="left" w:pos="900"/>
        </w:tabs>
        <w:spacing w:line="360" w:lineRule="auto"/>
        <w:rPr>
          <w:rFonts w:hint="eastAsia" w:ascii="宋体" w:hAnsi="宋体"/>
          <w:sz w:val="22"/>
          <w:szCs w:val="22"/>
          <w:highlight w:val="none"/>
        </w:rPr>
      </w:pPr>
      <w:bookmarkStart w:id="186" w:name="_Hlk100427804"/>
      <w:r>
        <w:rPr>
          <w:rFonts w:hint="eastAsia" w:ascii="宋体" w:hAnsi="宋体"/>
          <w:sz w:val="22"/>
          <w:szCs w:val="22"/>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634A143">
      <w:pPr>
        <w:numPr>
          <w:ilvl w:val="1"/>
          <w:numId w:val="3"/>
        </w:numPr>
        <w:tabs>
          <w:tab w:val="left" w:pos="540"/>
          <w:tab w:val="left" w:pos="635"/>
          <w:tab w:val="left" w:pos="900"/>
        </w:tabs>
        <w:spacing w:line="360" w:lineRule="auto"/>
        <w:rPr>
          <w:highlight w:val="none"/>
        </w:rPr>
      </w:pPr>
      <w:r>
        <w:rPr>
          <w:rFonts w:hint="eastAsia" w:ascii="宋体" w:hAnsi="宋体"/>
          <w:sz w:val="22"/>
          <w:szCs w:val="22"/>
          <w:highlight w:val="none"/>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bookmarkEnd w:id="186"/>
    </w:p>
    <w:p w14:paraId="7C90E018">
      <w:pPr>
        <w:numPr>
          <w:ilvl w:val="1"/>
          <w:numId w:val="3"/>
        </w:numPr>
        <w:tabs>
          <w:tab w:val="left" w:pos="540"/>
          <w:tab w:val="left" w:pos="635"/>
          <w:tab w:val="left" w:pos="900"/>
        </w:tabs>
        <w:spacing w:line="360" w:lineRule="auto"/>
        <w:rPr>
          <w:highlight w:val="none"/>
        </w:rPr>
      </w:pPr>
      <w:r>
        <w:rPr>
          <w:rFonts w:hAnsi="宋体"/>
          <w:sz w:val="22"/>
          <w:szCs w:val="22"/>
          <w:highlight w:val="none"/>
        </w:rPr>
        <w:t>首台套产品被纳入《首台套产品推广应用指导目录》之日起</w:t>
      </w:r>
      <w:r>
        <w:rPr>
          <w:sz w:val="22"/>
          <w:szCs w:val="22"/>
          <w:highlight w:val="none"/>
        </w:rPr>
        <w:t>3</w:t>
      </w:r>
      <w:r>
        <w:rPr>
          <w:rFonts w:hAnsi="宋体"/>
          <w:sz w:val="22"/>
          <w:szCs w:val="22"/>
          <w:highlight w:val="none"/>
        </w:rPr>
        <w:t>年内，以及产品核心技术高于国内领先水平，并具有明晰自主知识产权的</w:t>
      </w:r>
      <w:r>
        <w:rPr>
          <w:sz w:val="22"/>
          <w:szCs w:val="22"/>
          <w:highlight w:val="none"/>
        </w:rPr>
        <w:t>“</w:t>
      </w:r>
      <w:r>
        <w:rPr>
          <w:rFonts w:hAnsi="宋体"/>
          <w:sz w:val="22"/>
          <w:szCs w:val="22"/>
          <w:highlight w:val="none"/>
        </w:rPr>
        <w:t>制造精品</w:t>
      </w:r>
      <w:r>
        <w:rPr>
          <w:sz w:val="22"/>
          <w:szCs w:val="22"/>
          <w:highlight w:val="none"/>
        </w:rPr>
        <w:t>”</w:t>
      </w:r>
      <w:r>
        <w:rPr>
          <w:rFonts w:hAnsi="宋体"/>
          <w:sz w:val="22"/>
          <w:szCs w:val="22"/>
          <w:highlight w:val="none"/>
        </w:rPr>
        <w:t>产品，自认定之日起</w:t>
      </w:r>
      <w:r>
        <w:rPr>
          <w:sz w:val="22"/>
          <w:szCs w:val="22"/>
          <w:highlight w:val="none"/>
        </w:rPr>
        <w:t>2</w:t>
      </w:r>
      <w:r>
        <w:rPr>
          <w:rFonts w:hAnsi="宋体"/>
          <w:sz w:val="22"/>
          <w:szCs w:val="22"/>
          <w:highlight w:val="none"/>
        </w:rPr>
        <w:t>年内视同已具备相应销售业绩，参加政府采购活动时业绩分值为满分。</w:t>
      </w:r>
    </w:p>
    <w:p w14:paraId="33B24898">
      <w:pPr>
        <w:pStyle w:val="6"/>
        <w:spacing w:line="400" w:lineRule="exact"/>
        <w:jc w:val="center"/>
        <w:rPr>
          <w:rFonts w:hint="eastAsia" w:ascii="宋体" w:hAnsi="宋体" w:eastAsia="宋体" w:cs="Courier New"/>
          <w:highlight w:val="none"/>
        </w:rPr>
      </w:pPr>
      <w:bookmarkStart w:id="187" w:name="_Toc30526"/>
      <w:r>
        <w:rPr>
          <w:rFonts w:hint="eastAsia" w:ascii="宋体" w:hAnsi="宋体" w:eastAsia="宋体" w:cs="Courier New"/>
          <w:highlight w:val="none"/>
        </w:rPr>
        <w:t xml:space="preserve">九、 </w:t>
      </w:r>
      <w:bookmarkStart w:id="188" w:name="_Hlk100427598"/>
      <w:r>
        <w:rPr>
          <w:rFonts w:hint="eastAsia" w:ascii="宋体" w:hAnsi="宋体" w:eastAsia="宋体" w:cs="Courier New"/>
          <w:highlight w:val="none"/>
        </w:rPr>
        <w:t>询问、质疑、投诉</w:t>
      </w:r>
      <w:bookmarkEnd w:id="187"/>
      <w:bookmarkEnd w:id="188"/>
    </w:p>
    <w:p w14:paraId="38B517F3">
      <w:pPr>
        <w:numPr>
          <w:ilvl w:val="0"/>
          <w:numId w:val="3"/>
        </w:numPr>
        <w:tabs>
          <w:tab w:val="left" w:pos="525"/>
          <w:tab w:val="left" w:pos="900"/>
        </w:tabs>
        <w:spacing w:line="360" w:lineRule="auto"/>
        <w:rPr>
          <w:rFonts w:hint="eastAsia" w:ascii="宋体" w:hAnsi="宋体" w:cs="楷体"/>
          <w:kern w:val="0"/>
          <w:sz w:val="22"/>
          <w:szCs w:val="22"/>
          <w:highlight w:val="none"/>
        </w:rPr>
      </w:pPr>
      <w:r>
        <w:rPr>
          <w:rFonts w:ascii="宋体" w:hAnsi="宋体" w:cs="楷体"/>
          <w:kern w:val="0"/>
          <w:sz w:val="22"/>
          <w:szCs w:val="22"/>
          <w:highlight w:val="none"/>
        </w:rPr>
        <w:t>询问</w:t>
      </w:r>
    </w:p>
    <w:p w14:paraId="3A0BE21C">
      <w:pPr>
        <w:numPr>
          <w:ilvl w:val="1"/>
          <w:numId w:val="3"/>
        </w:numPr>
        <w:tabs>
          <w:tab w:val="left" w:pos="525"/>
          <w:tab w:val="left" w:pos="63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潜在供应商或投标人对本次采购活动的有关事项若有疑问，可以书面方式向采购代理机构提出询问，采购代理机构将按照政府采购法及实施条例的有关规定进行答复。</w:t>
      </w:r>
    </w:p>
    <w:p w14:paraId="6D960944">
      <w:pPr>
        <w:numPr>
          <w:ilvl w:val="1"/>
          <w:numId w:val="3"/>
        </w:numPr>
        <w:tabs>
          <w:tab w:val="left" w:pos="540"/>
          <w:tab w:val="left" w:pos="635"/>
          <w:tab w:val="left" w:pos="900"/>
        </w:tabs>
        <w:spacing w:line="360" w:lineRule="auto"/>
        <w:rPr>
          <w:rFonts w:hint="eastAsia" w:ascii="宋体" w:hAnsi="宋体" w:cs="楷体"/>
          <w:kern w:val="0"/>
          <w:sz w:val="22"/>
          <w:szCs w:val="22"/>
          <w:highlight w:val="none"/>
        </w:rPr>
      </w:pPr>
      <w:r>
        <w:rPr>
          <w:rFonts w:hint="eastAsia" w:ascii="宋体" w:hAnsi="宋体" w:cs="楷体"/>
          <w:kern w:val="0"/>
          <w:sz w:val="22"/>
          <w:szCs w:val="22"/>
          <w:highlight w:val="none"/>
        </w:rPr>
        <w:t>供应商一旦参与本次采购活动，即被视为接受了本招标文件的所有内容，如有任何异议，均已在</w:t>
      </w:r>
      <w:r>
        <w:rPr>
          <w:rFonts w:hint="eastAsia" w:ascii="宋体" w:hAnsi="宋体"/>
          <w:sz w:val="22"/>
          <w:szCs w:val="22"/>
          <w:highlight w:val="none"/>
        </w:rPr>
        <w:t>投标截止时间</w:t>
      </w:r>
      <w:r>
        <w:rPr>
          <w:rFonts w:hint="eastAsia" w:ascii="宋体" w:hAnsi="宋体" w:cs="楷体"/>
          <w:kern w:val="0"/>
          <w:sz w:val="22"/>
          <w:szCs w:val="22"/>
          <w:highlight w:val="none"/>
        </w:rPr>
        <w:t>前提出。</w:t>
      </w:r>
    </w:p>
    <w:p w14:paraId="3AB976E8">
      <w:pPr>
        <w:numPr>
          <w:ilvl w:val="0"/>
          <w:numId w:val="3"/>
        </w:numPr>
        <w:tabs>
          <w:tab w:val="left" w:pos="540"/>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质疑与投诉</w:t>
      </w:r>
    </w:p>
    <w:p w14:paraId="7F414DED">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投标人认为招标文件、采购过程、中标（成交）结果使自己的合法权益受到损害的，可以在知道或应知道其权益受到损害之日起七个工作日内以书面形式向采购人或采购代理机构提出质疑。</w:t>
      </w:r>
    </w:p>
    <w:p w14:paraId="254D61E9">
      <w:pPr>
        <w:tabs>
          <w:tab w:val="left" w:pos="540"/>
        </w:tabs>
        <w:spacing w:line="360" w:lineRule="auto"/>
        <w:ind w:firstLine="442" w:firstLineChars="200"/>
        <w:rPr>
          <w:rFonts w:hint="eastAsia" w:ascii="宋体" w:hAnsi="宋体"/>
          <w:b/>
          <w:bCs/>
          <w:sz w:val="22"/>
          <w:szCs w:val="22"/>
          <w:highlight w:val="none"/>
        </w:rPr>
      </w:pPr>
      <w:r>
        <w:rPr>
          <w:rFonts w:hint="eastAsia" w:ascii="宋体" w:hAnsi="宋体"/>
          <w:b/>
          <w:bCs/>
          <w:sz w:val="22"/>
          <w:szCs w:val="22"/>
          <w:highlight w:val="none"/>
        </w:rPr>
        <w:t>※质疑供应商必须在法定质疑期内一次性提出针对同一采购程序环节的质疑。</w:t>
      </w:r>
      <w:bookmarkStart w:id="189" w:name="_Hlk100427619"/>
      <w:r>
        <w:rPr>
          <w:rFonts w:hint="eastAsia" w:ascii="宋体" w:hAnsi="宋体"/>
          <w:b/>
          <w:bCs/>
          <w:sz w:val="22"/>
          <w:szCs w:val="22"/>
          <w:highlight w:val="none"/>
        </w:rPr>
        <w:t>法定质疑期内针对同一采购程序环节再次提出的质疑，采购人、采购代理机构有权不予答复。</w:t>
      </w:r>
    </w:p>
    <w:bookmarkEnd w:id="189"/>
    <w:p w14:paraId="71A1B7CB">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采购人或采购代理机构在收到投标人的书面质疑后七个工作日内作出答复，但答复的内容不得涉及商业秘密。质疑供应商对采购人或采购代理机构的答复不满意，可以在答复期满后十五个工作日内向同级采购监督管理部门投诉。</w:t>
      </w:r>
    </w:p>
    <w:p w14:paraId="671B8FAC">
      <w:pPr>
        <w:numPr>
          <w:ilvl w:val="1"/>
          <w:numId w:val="3"/>
        </w:numPr>
        <w:tabs>
          <w:tab w:val="left" w:pos="540"/>
          <w:tab w:val="left" w:pos="635"/>
          <w:tab w:val="left" w:pos="900"/>
        </w:tabs>
        <w:spacing w:line="360" w:lineRule="auto"/>
        <w:rPr>
          <w:rFonts w:hint="eastAsia" w:ascii="宋体" w:hAnsi="宋体"/>
          <w:b/>
          <w:bCs/>
          <w:spacing w:val="6"/>
          <w:sz w:val="22"/>
          <w:szCs w:val="22"/>
          <w:highlight w:val="none"/>
        </w:rPr>
      </w:pPr>
      <w:r>
        <w:rPr>
          <w:rFonts w:hint="eastAsia" w:ascii="宋体" w:hAnsi="宋体"/>
          <w:b/>
          <w:bCs/>
          <w:spacing w:val="6"/>
          <w:sz w:val="22"/>
          <w:szCs w:val="22"/>
          <w:highlight w:val="none"/>
        </w:rPr>
        <w:t>质疑函</w:t>
      </w:r>
      <w:r>
        <w:rPr>
          <w:rFonts w:hint="eastAsia" w:ascii="宋体" w:hAnsi="宋体"/>
          <w:b/>
          <w:bCs/>
          <w:sz w:val="22"/>
          <w:szCs w:val="22"/>
          <w:highlight w:val="none"/>
        </w:rPr>
        <w:t>范本</w:t>
      </w:r>
      <w:r>
        <w:rPr>
          <w:rFonts w:hint="eastAsia" w:ascii="宋体" w:hAnsi="宋体"/>
          <w:b/>
          <w:bCs/>
          <w:spacing w:val="6"/>
          <w:sz w:val="22"/>
          <w:szCs w:val="22"/>
          <w:highlight w:val="none"/>
        </w:rPr>
        <w:t>、投诉书范本请到浙江政府采购网下载专区下载。</w:t>
      </w:r>
    </w:p>
    <w:p w14:paraId="07ECA69D">
      <w:pPr>
        <w:numPr>
          <w:ilvl w:val="1"/>
          <w:numId w:val="3"/>
        </w:num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5CC43">
      <w:pPr>
        <w:pStyle w:val="6"/>
        <w:spacing w:line="400" w:lineRule="exact"/>
        <w:jc w:val="center"/>
        <w:rPr>
          <w:rFonts w:hint="eastAsia" w:ascii="宋体" w:hAnsi="宋体" w:eastAsia="宋体" w:cs="Courier New"/>
          <w:highlight w:val="none"/>
        </w:rPr>
      </w:pPr>
      <w:bookmarkStart w:id="190" w:name="_Toc19149"/>
      <w:r>
        <w:rPr>
          <w:rFonts w:hint="eastAsia" w:ascii="宋体" w:hAnsi="宋体" w:eastAsia="宋体" w:cs="Courier New"/>
          <w:highlight w:val="none"/>
        </w:rPr>
        <w:t>十、 其他</w:t>
      </w:r>
      <w:bookmarkEnd w:id="190"/>
    </w:p>
    <w:p w14:paraId="30A6FDA3">
      <w:pPr>
        <w:numPr>
          <w:ilvl w:val="0"/>
          <w:numId w:val="3"/>
        </w:numPr>
        <w:tabs>
          <w:tab w:val="left" w:pos="540"/>
          <w:tab w:val="left" w:pos="900"/>
        </w:tabs>
        <w:spacing w:line="360" w:lineRule="auto"/>
        <w:rPr>
          <w:rFonts w:hint="eastAsia" w:ascii="宋体" w:hAnsi="宋体" w:cs="Courier New"/>
          <w:sz w:val="22"/>
          <w:szCs w:val="22"/>
          <w:highlight w:val="none"/>
        </w:rPr>
      </w:pPr>
      <w:r>
        <w:rPr>
          <w:rFonts w:hint="eastAsia" w:ascii="宋体" w:hAnsi="宋体" w:cs="Courier New"/>
          <w:sz w:val="22"/>
          <w:szCs w:val="22"/>
          <w:highlight w:val="none"/>
        </w:rPr>
        <w:t>采购代理服务费</w:t>
      </w:r>
    </w:p>
    <w:p w14:paraId="0C2AB379">
      <w:pPr>
        <w:spacing w:line="440" w:lineRule="exact"/>
        <w:rPr>
          <w:rFonts w:hint="eastAsia" w:ascii="宋体" w:hAnsi="宋体"/>
          <w:sz w:val="22"/>
          <w:szCs w:val="22"/>
          <w:highlight w:val="none"/>
        </w:rPr>
      </w:pPr>
      <w:bookmarkStart w:id="191" w:name="_Hlk36489029"/>
      <w:bookmarkStart w:id="192" w:name="_Toc227489893"/>
      <w:bookmarkStart w:id="193" w:name="_Toc217460691"/>
      <w:bookmarkStart w:id="194" w:name="_Toc223717610"/>
      <w:bookmarkStart w:id="195" w:name="_Toc223933227"/>
      <w:bookmarkStart w:id="196" w:name="_Toc218041732"/>
      <w:bookmarkStart w:id="197" w:name="_Toc215415536"/>
      <w:bookmarkStart w:id="198" w:name="_Toc227057039"/>
      <w:bookmarkStart w:id="199" w:name="_Toc216667826"/>
      <w:bookmarkStart w:id="200" w:name="_Toc227056852"/>
      <w:bookmarkStart w:id="201" w:name="_Toc219538619"/>
      <w:r>
        <w:rPr>
          <w:rFonts w:hint="eastAsia" w:ascii="宋体" w:hAnsi="宋体"/>
          <w:sz w:val="22"/>
          <w:szCs w:val="22"/>
          <w:highlight w:val="none"/>
        </w:rPr>
        <w:t>38.1本次</w:t>
      </w:r>
      <w:r>
        <w:rPr>
          <w:rFonts w:hint="eastAsia" w:ascii="宋体" w:hAnsi="宋体"/>
          <w:bCs/>
          <w:sz w:val="22"/>
          <w:szCs w:val="22"/>
          <w:highlight w:val="none"/>
        </w:rPr>
        <w:t>采购代理服务费及招标公告费</w:t>
      </w:r>
      <w:r>
        <w:rPr>
          <w:rFonts w:hint="eastAsia" w:ascii="宋体" w:hAnsi="宋体"/>
          <w:sz w:val="22"/>
          <w:szCs w:val="22"/>
          <w:highlight w:val="none"/>
        </w:rPr>
        <w:t>由中标（成交）供应商在领取中标（成交）通知书之前将代理服务费用支付给浙江立创项目管理有限公司。采购代理服务费</w:t>
      </w:r>
      <w:r>
        <w:rPr>
          <w:rFonts w:hint="eastAsia" w:ascii="宋体" w:hAnsi="宋体"/>
          <w:sz w:val="22"/>
          <w:szCs w:val="22"/>
          <w:highlight w:val="none"/>
          <w:lang w:val="en-US" w:eastAsia="zh-CN"/>
        </w:rPr>
        <w:t>玖仟</w:t>
      </w:r>
      <w:r>
        <w:rPr>
          <w:rFonts w:hint="eastAsia" w:ascii="宋体" w:hAnsi="宋体"/>
          <w:sz w:val="22"/>
          <w:szCs w:val="22"/>
          <w:highlight w:val="none"/>
        </w:rPr>
        <w:t>元计取</w:t>
      </w:r>
      <w:r>
        <w:rPr>
          <w:rFonts w:hint="eastAsia" w:ascii="宋体" w:hAnsi="宋体"/>
          <w:bCs/>
          <w:sz w:val="22"/>
          <w:szCs w:val="22"/>
          <w:highlight w:val="none"/>
        </w:rPr>
        <w:t>，招标公告费按实际产生费用计取。</w:t>
      </w:r>
    </w:p>
    <w:p w14:paraId="6BC6B232">
      <w:p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38.2采购代理服务费可以是现金、转账。</w:t>
      </w:r>
    </w:p>
    <w:bookmarkEnd w:id="191"/>
    <w:p w14:paraId="7BE01C4E">
      <w:pPr>
        <w:tabs>
          <w:tab w:val="left" w:pos="540"/>
          <w:tab w:val="left" w:pos="635"/>
          <w:tab w:val="left" w:pos="900"/>
        </w:tabs>
        <w:spacing w:line="360" w:lineRule="auto"/>
        <w:rPr>
          <w:rFonts w:hint="eastAsia" w:ascii="宋体" w:hAnsi="宋体"/>
          <w:sz w:val="22"/>
          <w:szCs w:val="22"/>
          <w:highlight w:val="none"/>
        </w:rPr>
      </w:pPr>
      <w:r>
        <w:rPr>
          <w:rFonts w:hint="eastAsia" w:ascii="宋体" w:hAnsi="宋体"/>
          <w:sz w:val="22"/>
          <w:szCs w:val="22"/>
          <w:highlight w:val="none"/>
        </w:rPr>
        <w:t>38.3账号信息</w:t>
      </w:r>
    </w:p>
    <w:p w14:paraId="6E64E5F4">
      <w:pPr>
        <w:tabs>
          <w:tab w:val="left" w:pos="540"/>
        </w:tabs>
        <w:spacing w:line="440" w:lineRule="exact"/>
        <w:ind w:left="540"/>
        <w:rPr>
          <w:rFonts w:hint="eastAsia" w:ascii="宋体" w:hAnsi="宋体"/>
          <w:sz w:val="22"/>
          <w:szCs w:val="22"/>
          <w:highlight w:val="none"/>
        </w:rPr>
      </w:pPr>
      <w:r>
        <w:rPr>
          <w:rFonts w:hint="eastAsia" w:ascii="宋体" w:hAnsi="宋体"/>
          <w:sz w:val="22"/>
          <w:szCs w:val="22"/>
          <w:highlight w:val="none"/>
        </w:rPr>
        <w:t>户名：浙江立创项目管理有限公司</w:t>
      </w:r>
    </w:p>
    <w:p w14:paraId="0059904F">
      <w:pPr>
        <w:tabs>
          <w:tab w:val="left" w:pos="540"/>
        </w:tabs>
        <w:spacing w:line="440" w:lineRule="exact"/>
        <w:ind w:left="540"/>
        <w:rPr>
          <w:rFonts w:hint="eastAsia" w:ascii="宋体" w:hAnsi="宋体"/>
          <w:sz w:val="22"/>
          <w:szCs w:val="22"/>
          <w:highlight w:val="none"/>
        </w:rPr>
      </w:pPr>
      <w:r>
        <w:rPr>
          <w:rFonts w:hint="eastAsia" w:ascii="宋体" w:hAnsi="宋体"/>
          <w:sz w:val="22"/>
          <w:szCs w:val="22"/>
          <w:highlight w:val="none"/>
        </w:rPr>
        <w:t>帐号：201000184403091</w:t>
      </w:r>
    </w:p>
    <w:p w14:paraId="00044711">
      <w:pPr>
        <w:tabs>
          <w:tab w:val="left" w:pos="540"/>
        </w:tabs>
        <w:spacing w:line="440" w:lineRule="exact"/>
        <w:ind w:left="540"/>
        <w:rPr>
          <w:rFonts w:hint="eastAsia" w:ascii="宋体" w:hAnsi="宋体"/>
          <w:sz w:val="22"/>
          <w:szCs w:val="22"/>
          <w:highlight w:val="none"/>
        </w:rPr>
      </w:pPr>
      <w:r>
        <w:rPr>
          <w:rFonts w:hint="eastAsia" w:ascii="宋体" w:hAnsi="宋体"/>
          <w:sz w:val="22"/>
          <w:szCs w:val="22"/>
          <w:highlight w:val="none"/>
        </w:rPr>
        <w:t>开户银行：浙江温州瓯海农村商业银行股份有限公司区府支行</w:t>
      </w:r>
    </w:p>
    <w:p w14:paraId="7D1F58C2">
      <w:pPr>
        <w:tabs>
          <w:tab w:val="left" w:pos="540"/>
        </w:tabs>
        <w:spacing w:line="440" w:lineRule="exact"/>
        <w:ind w:left="540"/>
        <w:rPr>
          <w:rFonts w:hint="eastAsia" w:ascii="宋体" w:hAnsi="宋体"/>
          <w:sz w:val="22"/>
          <w:szCs w:val="22"/>
          <w:highlight w:val="none"/>
        </w:rPr>
      </w:pPr>
      <w:r>
        <w:rPr>
          <w:rFonts w:hint="eastAsia" w:ascii="宋体" w:hAnsi="宋体"/>
          <w:sz w:val="22"/>
          <w:szCs w:val="22"/>
          <w:highlight w:val="none"/>
        </w:rPr>
        <w:t>财务电话：0577-88412221 徐女士</w:t>
      </w:r>
    </w:p>
    <w:p w14:paraId="3E51C7A4">
      <w:pPr>
        <w:pStyle w:val="5"/>
        <w:spacing w:before="240" w:beforeLines="100"/>
        <w:rPr>
          <w:rFonts w:hint="eastAsia" w:ascii="宋体" w:hAnsi="宋体" w:eastAsia="宋体" w:cs="Courier New"/>
          <w:sz w:val="36"/>
          <w:szCs w:val="36"/>
          <w:highlight w:val="none"/>
        </w:rPr>
      </w:pPr>
      <w:r>
        <w:rPr>
          <w:rFonts w:ascii="宋体" w:hAnsi="宋体" w:eastAsia="宋体" w:cs="Courier New"/>
          <w:sz w:val="36"/>
          <w:szCs w:val="36"/>
          <w:highlight w:val="none"/>
        </w:rPr>
        <w:br w:type="page"/>
      </w:r>
      <w:bookmarkEnd w:id="192"/>
      <w:bookmarkEnd w:id="193"/>
      <w:bookmarkEnd w:id="194"/>
      <w:bookmarkEnd w:id="195"/>
      <w:bookmarkEnd w:id="196"/>
      <w:bookmarkEnd w:id="197"/>
      <w:bookmarkEnd w:id="198"/>
      <w:bookmarkEnd w:id="199"/>
      <w:bookmarkEnd w:id="200"/>
      <w:bookmarkEnd w:id="201"/>
      <w:bookmarkStart w:id="202" w:name="_Toc10276"/>
      <w:bookmarkStart w:id="203" w:name="_Toc219538621"/>
      <w:bookmarkStart w:id="204" w:name="_Toc227489895"/>
      <w:bookmarkStart w:id="205" w:name="_Toc218041734"/>
      <w:bookmarkStart w:id="206" w:name="_Toc223933229"/>
      <w:bookmarkStart w:id="207" w:name="_Toc227057041"/>
      <w:bookmarkStart w:id="208" w:name="_Toc227056854"/>
      <w:bookmarkStart w:id="209" w:name="_Toc216667828"/>
      <w:bookmarkStart w:id="210" w:name="_Toc223717612"/>
      <w:bookmarkStart w:id="211" w:name="_Toc217460693"/>
      <w:bookmarkStart w:id="212" w:name="_Toc215415538"/>
      <w:r>
        <w:rPr>
          <w:rFonts w:hint="eastAsia" w:ascii="宋体" w:hAnsi="宋体" w:eastAsia="宋体" w:cs="Courier New"/>
          <w:sz w:val="36"/>
          <w:szCs w:val="36"/>
          <w:highlight w:val="none"/>
        </w:rPr>
        <w:t>第二部分   合同条款</w:t>
      </w:r>
      <w:bookmarkEnd w:id="202"/>
    </w:p>
    <w:p w14:paraId="75673F86">
      <w:pPr>
        <w:spacing w:line="400" w:lineRule="exact"/>
        <w:ind w:firstLine="442" w:firstLineChars="200"/>
        <w:rPr>
          <w:rFonts w:hint="eastAsia" w:ascii="宋体" w:hAnsi="宋体"/>
          <w:b/>
          <w:sz w:val="22"/>
          <w:szCs w:val="22"/>
          <w:highlight w:val="none"/>
        </w:rPr>
      </w:pPr>
      <w:r>
        <w:rPr>
          <w:rFonts w:hint="eastAsia" w:ascii="宋体" w:hAnsi="宋体"/>
          <w:b/>
          <w:sz w:val="22"/>
          <w:szCs w:val="22"/>
          <w:highlight w:val="none"/>
        </w:rPr>
        <w:t>注：</w:t>
      </w:r>
      <w:r>
        <w:rPr>
          <w:rFonts w:hint="eastAsia" w:ascii="宋体" w:hAnsi="宋体"/>
          <w:b/>
          <w:sz w:val="22"/>
          <w:szCs w:val="22"/>
          <w:highlight w:val="none"/>
          <w:lang w:val="en-US" w:eastAsia="zh-CN"/>
        </w:rPr>
        <w:t>1、</w:t>
      </w:r>
      <w:r>
        <w:rPr>
          <w:rFonts w:hint="eastAsia" w:ascii="宋体" w:hAnsi="宋体"/>
          <w:b/>
          <w:sz w:val="22"/>
          <w:szCs w:val="22"/>
          <w:highlight w:val="none"/>
        </w:rPr>
        <w:t>如买、卖双方同意，合同格式也可以按照其他形式, 具体条款以买方为主协商确定。但合同条款的基本内容应与以下要求的内容相一致。</w:t>
      </w:r>
    </w:p>
    <w:p w14:paraId="344BC6C5">
      <w:pPr>
        <w:pStyle w:val="2"/>
        <w:rPr>
          <w:rFonts w:hint="eastAsia" w:ascii="宋体" w:hAnsi="宋体"/>
          <w:b/>
          <w:sz w:val="22"/>
          <w:szCs w:val="22"/>
          <w:highlight w:val="none"/>
          <w:lang w:val="en-US" w:eastAsia="zh-CN"/>
        </w:rPr>
      </w:pPr>
      <w:r>
        <w:rPr>
          <w:rFonts w:hint="eastAsia" w:ascii="宋体" w:hAnsi="宋体"/>
          <w:b/>
          <w:sz w:val="22"/>
          <w:szCs w:val="22"/>
          <w:highlight w:val="none"/>
          <w:lang w:val="en-US" w:eastAsia="zh-CN"/>
        </w:rPr>
        <w:t xml:space="preserve">      2、本合同作为示范文本，具体以中标人与买方所签定正式合同为准。</w:t>
      </w:r>
    </w:p>
    <w:p w14:paraId="762F3A62">
      <w:pPr>
        <w:pStyle w:val="4"/>
        <w:rPr>
          <w:rFonts w:hint="default"/>
          <w:lang w:val="en-US" w:eastAsia="zh-CN"/>
        </w:rPr>
      </w:pPr>
    </w:p>
    <w:p w14:paraId="0EED4B8C">
      <w:pPr>
        <w:pStyle w:val="4"/>
        <w:rPr>
          <w:rFonts w:hint="default"/>
          <w:lang w:val="en-US" w:eastAsia="zh-CN"/>
        </w:rPr>
      </w:pPr>
    </w:p>
    <w:p w14:paraId="775C26E6">
      <w:pPr>
        <w:spacing w:before="240" w:beforeLines="100" w:line="460" w:lineRule="exact"/>
        <w:ind w:firstLine="437"/>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（项目名称）</w:t>
      </w:r>
      <w:r>
        <w:rPr>
          <w:rFonts w:hint="eastAsia" w:ascii="宋体" w:hAnsi="宋体" w:eastAsia="宋体"/>
          <w:b w:val="0"/>
          <w:color w:val="auto"/>
          <w:sz w:val="22"/>
          <w:szCs w:val="22"/>
          <w:highlight w:val="none"/>
          <w:lang w:val="en-US" w:eastAsia="zh-CN"/>
        </w:rPr>
        <w:t>已完成</w:t>
      </w:r>
      <w:r>
        <w:rPr>
          <w:rFonts w:hint="eastAsia" w:ascii="宋体" w:hAnsi="宋体" w:eastAsia="宋体"/>
          <w:b w:val="0"/>
          <w:color w:val="auto"/>
          <w:sz w:val="22"/>
          <w:szCs w:val="22"/>
          <w:highlight w:val="none"/>
        </w:rPr>
        <w:t>公开招标，经评审确定</w:t>
      </w: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为中标供应商。甲、乙双方同意按照下面条款和条件，签署本合同。</w:t>
      </w:r>
    </w:p>
    <w:p w14:paraId="2A69D13C">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合同文件</w:t>
      </w:r>
    </w:p>
    <w:p w14:paraId="1E45951A">
      <w:pPr>
        <w:spacing w:line="460" w:lineRule="exact"/>
        <w:ind w:left="899" w:leftChars="428"/>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下列文件构成本合同的组成部分：</w:t>
      </w:r>
    </w:p>
    <w:p w14:paraId="1E64A528">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 xml:space="preserve">合同条款 </w:t>
      </w:r>
    </w:p>
    <w:p w14:paraId="5C21A520">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中标通知书</w:t>
      </w:r>
    </w:p>
    <w:p w14:paraId="352F43A3">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 xml:space="preserve">投标分项报价表 </w:t>
      </w:r>
    </w:p>
    <w:p w14:paraId="2FB37DB8">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 xml:space="preserve">技术规格、商务条款偏离表 </w:t>
      </w:r>
    </w:p>
    <w:p w14:paraId="35CB1D1E">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招标内容及要求</w:t>
      </w:r>
    </w:p>
    <w:p w14:paraId="780BF7D5">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 xml:space="preserve">合同补充条款或说明（如有） </w:t>
      </w:r>
    </w:p>
    <w:p w14:paraId="1E3DE124">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履约保证金</w:t>
      </w:r>
    </w:p>
    <w:p w14:paraId="5FEA7A17">
      <w:pPr>
        <w:numPr>
          <w:ilvl w:val="0"/>
          <w:numId w:val="20"/>
        </w:numPr>
        <w:tabs>
          <w:tab w:val="left" w:pos="1620"/>
          <w:tab w:val="clear" w:pos="1287"/>
        </w:tabs>
        <w:spacing w:line="460" w:lineRule="exact"/>
        <w:ind w:left="900" w:firstLine="0"/>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承诺书（含询标记录和优惠条件）</w:t>
      </w:r>
    </w:p>
    <w:p w14:paraId="6D88E341">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合同范围和条件</w:t>
      </w:r>
    </w:p>
    <w:p w14:paraId="6F4A257F">
      <w:pPr>
        <w:spacing w:line="460" w:lineRule="exact"/>
        <w:ind w:left="899" w:leftChars="428"/>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本合同范围和条件应与上述合同文件规定的内容相一致。</w:t>
      </w:r>
    </w:p>
    <w:p w14:paraId="349948E1">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货物和数量及其他服务</w:t>
      </w:r>
    </w:p>
    <w:p w14:paraId="410010AF">
      <w:pPr>
        <w:spacing w:line="460" w:lineRule="exact"/>
        <w:ind w:left="899" w:leftChars="428"/>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本合同提供的货物及数量及其他服务（详见招标文件第二部分招标内容及要求）。</w:t>
      </w:r>
    </w:p>
    <w:p w14:paraId="47D61FE6">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合同总价</w:t>
      </w:r>
    </w:p>
    <w:p w14:paraId="7B0B3AF1">
      <w:pPr>
        <w:spacing w:line="460" w:lineRule="exact"/>
        <w:ind w:left="899" w:leftChars="428"/>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本合同总价为</w:t>
      </w: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人民币，（分项价格详见投标分项报价表）。</w:t>
      </w:r>
    </w:p>
    <w:p w14:paraId="0602F452">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付款方式</w:t>
      </w:r>
    </w:p>
    <w:p w14:paraId="347F682B">
      <w:pPr>
        <w:spacing w:line="460" w:lineRule="exact"/>
        <w:ind w:left="899" w:leftChars="428"/>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在合同主要条款中已规定。</w:t>
      </w:r>
    </w:p>
    <w:p w14:paraId="4A6195C1">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交货时间及地点。</w:t>
      </w:r>
    </w:p>
    <w:p w14:paraId="0775571F">
      <w:pPr>
        <w:spacing w:line="460" w:lineRule="exact"/>
        <w:ind w:left="900"/>
        <w:rPr>
          <w:rFonts w:hint="eastAsia" w:ascii="宋体" w:hAnsi="宋体" w:eastAsia="宋体"/>
          <w:b w:val="0"/>
          <w:bCs/>
          <w:color w:val="auto"/>
          <w:sz w:val="22"/>
          <w:szCs w:val="22"/>
          <w:highlight w:val="none"/>
        </w:rPr>
      </w:pPr>
      <w:r>
        <w:rPr>
          <w:rFonts w:hint="eastAsia" w:ascii="宋体" w:hAnsi="宋体" w:eastAsia="宋体"/>
          <w:b w:val="0"/>
          <w:color w:val="auto"/>
          <w:sz w:val="22"/>
          <w:szCs w:val="22"/>
          <w:highlight w:val="none"/>
        </w:rPr>
        <w:t>在合同主要条款中已规定。</w:t>
      </w:r>
    </w:p>
    <w:p w14:paraId="4EBC76EA">
      <w:pPr>
        <w:numPr>
          <w:ilvl w:val="1"/>
          <w:numId w:val="19"/>
        </w:numPr>
        <w:tabs>
          <w:tab w:val="left" w:pos="900"/>
          <w:tab w:val="clear" w:pos="840"/>
        </w:tabs>
        <w:spacing w:line="460" w:lineRule="exact"/>
        <w:ind w:left="900" w:hanging="480"/>
        <w:rPr>
          <w:rFonts w:hint="eastAsia" w:ascii="宋体" w:hAnsi="宋体" w:eastAsia="宋体"/>
          <w:b w:val="0"/>
          <w:bCs/>
          <w:color w:val="auto"/>
          <w:sz w:val="22"/>
          <w:szCs w:val="22"/>
          <w:highlight w:val="none"/>
        </w:rPr>
      </w:pPr>
      <w:r>
        <w:rPr>
          <w:rFonts w:hint="eastAsia" w:ascii="宋体" w:hAnsi="宋体" w:eastAsia="宋体"/>
          <w:b w:val="0"/>
          <w:bCs/>
          <w:color w:val="auto"/>
          <w:sz w:val="22"/>
          <w:szCs w:val="22"/>
          <w:highlight w:val="none"/>
        </w:rPr>
        <w:t>合同生效</w:t>
      </w:r>
    </w:p>
    <w:p w14:paraId="471C4511">
      <w:pPr>
        <w:spacing w:line="460" w:lineRule="exact"/>
        <w:ind w:left="899" w:leftChars="428"/>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本合同经双方授权代表签署，甲、乙双方加盖公章后生效。</w:t>
      </w:r>
    </w:p>
    <w:p w14:paraId="20777E1E">
      <w:pPr>
        <w:spacing w:line="460" w:lineRule="exact"/>
        <w:ind w:firstLine="330" w:firstLineChars="150"/>
        <w:rPr>
          <w:rFonts w:hint="eastAsia" w:ascii="宋体" w:hAnsi="宋体" w:eastAsia="宋体"/>
          <w:b w:val="0"/>
          <w:sz w:val="22"/>
          <w:szCs w:val="22"/>
          <w:highlight w:val="none"/>
        </w:rPr>
      </w:pPr>
      <w:bookmarkStart w:id="213" w:name="_Toc351203494"/>
    </w:p>
    <w:p w14:paraId="317B70AF">
      <w:pPr>
        <w:spacing w:line="460" w:lineRule="exact"/>
        <w:ind w:firstLine="330" w:firstLineChars="150"/>
        <w:rPr>
          <w:rFonts w:hint="eastAsia" w:ascii="宋体" w:hAnsi="宋体" w:eastAsia="宋体"/>
          <w:b w:val="0"/>
          <w:sz w:val="22"/>
          <w:szCs w:val="22"/>
          <w:highlight w:val="none"/>
        </w:rPr>
      </w:pPr>
    </w:p>
    <w:p w14:paraId="5AFADDA8">
      <w:pPr>
        <w:spacing w:line="460" w:lineRule="exact"/>
        <w:ind w:firstLine="330" w:firstLineChars="150"/>
        <w:rPr>
          <w:rFonts w:ascii="宋体" w:hAnsi="宋体" w:eastAsia="宋体"/>
          <w:b w:val="0"/>
          <w:sz w:val="22"/>
          <w:szCs w:val="22"/>
          <w:highlight w:val="none"/>
        </w:rPr>
      </w:pPr>
      <w:r>
        <w:rPr>
          <w:rFonts w:hint="eastAsia" w:ascii="宋体" w:hAnsi="宋体" w:eastAsia="宋体"/>
          <w:b w:val="0"/>
          <w:sz w:val="22"/>
          <w:szCs w:val="22"/>
          <w:highlight w:val="none"/>
          <w:lang w:val="en-US" w:eastAsia="zh-CN"/>
        </w:rPr>
        <w:t>甲方</w:t>
      </w:r>
      <w:r>
        <w:rPr>
          <w:rFonts w:hint="eastAsia" w:ascii="宋体" w:hAnsi="宋体" w:eastAsia="宋体"/>
          <w:b w:val="0"/>
          <w:sz w:val="22"/>
          <w:szCs w:val="22"/>
          <w:highlight w:val="none"/>
        </w:rPr>
        <w:t xml:space="preserve">名称：（盖章）                </w:t>
      </w:r>
      <w:r>
        <w:rPr>
          <w:rFonts w:ascii="宋体" w:hAnsi="宋体" w:eastAsia="宋体"/>
          <w:b w:val="0"/>
          <w:sz w:val="22"/>
          <w:szCs w:val="22"/>
          <w:highlight w:val="none"/>
        </w:rPr>
        <w:t xml:space="preserve">   </w:t>
      </w:r>
      <w:r>
        <w:rPr>
          <w:rFonts w:hint="eastAsia" w:ascii="宋体" w:hAnsi="宋体" w:eastAsia="宋体"/>
          <w:b w:val="0"/>
          <w:sz w:val="22"/>
          <w:szCs w:val="22"/>
          <w:highlight w:val="none"/>
          <w:lang w:val="en-US" w:eastAsia="zh-CN"/>
        </w:rPr>
        <w:t>乙方</w:t>
      </w:r>
      <w:r>
        <w:rPr>
          <w:rFonts w:hint="eastAsia" w:ascii="宋体" w:hAnsi="宋体" w:eastAsia="宋体"/>
          <w:b w:val="0"/>
          <w:sz w:val="22"/>
          <w:szCs w:val="22"/>
          <w:highlight w:val="none"/>
        </w:rPr>
        <w:t>名称：（盖章）</w:t>
      </w:r>
    </w:p>
    <w:p w14:paraId="5FE1109B">
      <w:pPr>
        <w:spacing w:line="460" w:lineRule="exact"/>
        <w:ind w:firstLine="330" w:firstLineChars="150"/>
        <w:rPr>
          <w:rFonts w:ascii="宋体" w:hAnsi="宋体" w:eastAsia="宋体"/>
          <w:b w:val="0"/>
          <w:sz w:val="22"/>
          <w:szCs w:val="22"/>
          <w:highlight w:val="none"/>
        </w:rPr>
      </w:pPr>
      <w:r>
        <w:rPr>
          <w:rFonts w:hint="eastAsia" w:ascii="宋体" w:hAnsi="宋体" w:eastAsia="宋体"/>
          <w:b w:val="0"/>
          <w:sz w:val="22"/>
          <w:szCs w:val="22"/>
          <w:highlight w:val="none"/>
        </w:rPr>
        <w:t xml:space="preserve">法定代表人：                  </w:t>
      </w:r>
      <w:r>
        <w:rPr>
          <w:rFonts w:hint="eastAsia" w:ascii="宋体" w:hAnsi="宋体" w:eastAsia="宋体"/>
          <w:b w:val="0"/>
          <w:sz w:val="22"/>
          <w:szCs w:val="22"/>
          <w:highlight w:val="none"/>
          <w:lang w:val="en-US" w:eastAsia="zh-CN"/>
        </w:rPr>
        <w:t xml:space="preserve">   </w:t>
      </w:r>
      <w:r>
        <w:rPr>
          <w:rFonts w:hint="eastAsia" w:ascii="宋体" w:hAnsi="宋体" w:eastAsia="宋体"/>
          <w:b w:val="0"/>
          <w:sz w:val="22"/>
          <w:szCs w:val="22"/>
          <w:highlight w:val="none"/>
        </w:rPr>
        <w:t xml:space="preserve">   法定代表人：</w:t>
      </w:r>
    </w:p>
    <w:p w14:paraId="5A0B711C">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lang w:val="en-US" w:eastAsia="zh-CN"/>
        </w:rPr>
        <w:t>或</w:t>
      </w:r>
      <w:r>
        <w:rPr>
          <w:rFonts w:hint="eastAsia" w:ascii="宋体" w:hAnsi="宋体" w:eastAsia="宋体"/>
          <w:b w:val="0"/>
          <w:sz w:val="22"/>
          <w:szCs w:val="22"/>
          <w:highlight w:val="none"/>
        </w:rPr>
        <w:t xml:space="preserve">委托代理人：                </w:t>
      </w:r>
      <w:r>
        <w:rPr>
          <w:rFonts w:hint="eastAsia" w:ascii="宋体" w:hAnsi="宋体" w:eastAsia="宋体"/>
          <w:b w:val="0"/>
          <w:sz w:val="22"/>
          <w:szCs w:val="22"/>
          <w:highlight w:val="none"/>
          <w:lang w:val="en-US" w:eastAsia="zh-CN"/>
        </w:rPr>
        <w:t xml:space="preserve">    </w:t>
      </w:r>
      <w:r>
        <w:rPr>
          <w:rFonts w:hint="eastAsia" w:ascii="宋体" w:hAnsi="宋体" w:eastAsia="宋体"/>
          <w:b w:val="0"/>
          <w:sz w:val="22"/>
          <w:szCs w:val="22"/>
          <w:highlight w:val="none"/>
        </w:rPr>
        <w:t xml:space="preserve">  </w:t>
      </w:r>
      <w:r>
        <w:rPr>
          <w:rFonts w:hint="eastAsia" w:ascii="宋体" w:hAnsi="宋体" w:eastAsia="宋体"/>
          <w:b w:val="0"/>
          <w:sz w:val="22"/>
          <w:szCs w:val="22"/>
          <w:highlight w:val="none"/>
          <w:lang w:val="en-US" w:eastAsia="zh-CN"/>
        </w:rPr>
        <w:t>或</w:t>
      </w:r>
      <w:r>
        <w:rPr>
          <w:rFonts w:hint="eastAsia" w:ascii="宋体" w:hAnsi="宋体" w:eastAsia="宋体"/>
          <w:b w:val="0"/>
          <w:sz w:val="22"/>
          <w:szCs w:val="22"/>
          <w:highlight w:val="none"/>
        </w:rPr>
        <w:t>委托代理人：</w:t>
      </w:r>
    </w:p>
    <w:p w14:paraId="703971B1">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rPr>
        <w:t>开户银行：                          开户银行：</w:t>
      </w:r>
    </w:p>
    <w:p w14:paraId="186F1D4E">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rPr>
        <w:t>开户名称：                          开户名称：</w:t>
      </w:r>
    </w:p>
    <w:p w14:paraId="1A542D42">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rPr>
        <w:t>账号：                              账号：</w:t>
      </w:r>
    </w:p>
    <w:p w14:paraId="209CBC6E">
      <w:pPr>
        <w:autoSpaceDE w:val="0"/>
        <w:autoSpaceDN w:val="0"/>
        <w:adjustRightInd w:val="0"/>
        <w:spacing w:line="460" w:lineRule="atLeast"/>
        <w:jc w:val="center"/>
        <w:rPr>
          <w:rFonts w:hint="eastAsia" w:ascii="宋体" w:hAnsi="宋体" w:eastAsia="宋体"/>
          <w:b w:val="0"/>
          <w:kern w:val="2"/>
          <w:sz w:val="22"/>
          <w:szCs w:val="22"/>
          <w:highlight w:val="none"/>
          <w:lang w:bidi="ar"/>
        </w:rPr>
      </w:pPr>
    </w:p>
    <w:p w14:paraId="56292F85">
      <w:pPr>
        <w:autoSpaceDE w:val="0"/>
        <w:autoSpaceDN w:val="0"/>
        <w:adjustRightInd w:val="0"/>
        <w:spacing w:line="460" w:lineRule="atLeast"/>
        <w:jc w:val="center"/>
        <w:rPr>
          <w:rFonts w:hint="eastAsia" w:ascii="宋体" w:hAnsi="宋体" w:eastAsia="宋体"/>
          <w:b w:val="0"/>
          <w:kern w:val="2"/>
          <w:sz w:val="22"/>
          <w:szCs w:val="22"/>
          <w:highlight w:val="none"/>
          <w:lang w:bidi="ar"/>
        </w:rPr>
      </w:pPr>
    </w:p>
    <w:p w14:paraId="26673E2E">
      <w:pPr>
        <w:snapToGrid w:val="0"/>
        <w:spacing w:line="420" w:lineRule="exact"/>
        <w:ind w:firstLine="220" w:firstLineChars="100"/>
        <w:rPr>
          <w:rFonts w:hint="eastAsia" w:ascii="宋体" w:hAnsi="宋体" w:eastAsia="宋体"/>
          <w:b w:val="0"/>
          <w:highlight w:val="none"/>
        </w:rPr>
      </w:pPr>
      <w:r>
        <w:rPr>
          <w:rFonts w:hint="eastAsia" w:ascii="宋体" w:hAnsi="宋体" w:eastAsia="宋体"/>
          <w:b w:val="0"/>
          <w:kern w:val="2"/>
          <w:sz w:val="22"/>
          <w:szCs w:val="22"/>
          <w:highlight w:val="none"/>
          <w:lang w:bidi="ar"/>
        </w:rPr>
        <w:t>签约日期：                                     签约地点：</w:t>
      </w:r>
    </w:p>
    <w:p w14:paraId="45D4B86E">
      <w:pPr>
        <w:spacing w:line="460" w:lineRule="exact"/>
        <w:jc w:val="center"/>
        <w:rPr>
          <w:rFonts w:hint="eastAsia" w:ascii="宋体" w:hAnsi="宋体" w:eastAsia="宋体"/>
          <w:b w:val="0"/>
          <w:color w:val="auto"/>
          <w:sz w:val="28"/>
          <w:szCs w:val="28"/>
          <w:highlight w:val="none"/>
        </w:rPr>
      </w:pPr>
      <w:r>
        <w:rPr>
          <w:rFonts w:hint="eastAsia" w:ascii="宋体" w:hAnsi="宋体" w:eastAsia="宋体"/>
          <w:b w:val="0"/>
          <w:color w:val="auto"/>
          <w:sz w:val="22"/>
          <w:szCs w:val="22"/>
          <w:highlight w:val="none"/>
        </w:rPr>
        <w:br w:type="page"/>
      </w:r>
      <w:bookmarkEnd w:id="213"/>
      <w:r>
        <w:rPr>
          <w:rFonts w:ascii="宋体" w:hAnsi="宋体" w:eastAsia="宋体"/>
          <w:b w:val="0"/>
          <w:color w:val="auto"/>
          <w:sz w:val="28"/>
          <w:szCs w:val="28"/>
          <w:highlight w:val="none"/>
        </w:rPr>
        <w:t>合同</w:t>
      </w:r>
      <w:r>
        <w:rPr>
          <w:rFonts w:hint="eastAsia" w:ascii="宋体" w:hAnsi="宋体" w:eastAsia="宋体"/>
          <w:b w:val="0"/>
          <w:color w:val="auto"/>
          <w:sz w:val="28"/>
          <w:szCs w:val="28"/>
          <w:highlight w:val="none"/>
        </w:rPr>
        <w:t>主要条款</w:t>
      </w:r>
    </w:p>
    <w:p w14:paraId="11BB5BBF">
      <w:pPr>
        <w:adjustRightInd w:val="0"/>
        <w:snapToGrid w:val="0"/>
        <w:spacing w:line="460" w:lineRule="exact"/>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买方：</w:t>
      </w:r>
    </w:p>
    <w:p w14:paraId="0A1E9C00">
      <w:pPr>
        <w:adjustRightInd w:val="0"/>
        <w:snapToGrid w:val="0"/>
        <w:spacing w:line="460" w:lineRule="exact"/>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卖方：</w:t>
      </w:r>
    </w:p>
    <w:p w14:paraId="636EFC5C">
      <w:pPr>
        <w:adjustRightInd w:val="0"/>
        <w:snapToGrid w:val="0"/>
        <w:spacing w:line="460" w:lineRule="exact"/>
        <w:ind w:firstLine="660" w:firstLineChars="3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所需电梯由</w:t>
      </w:r>
      <w:r>
        <w:rPr>
          <w:rFonts w:hint="eastAsia" w:ascii="宋体" w:hAnsi="宋体" w:eastAsia="宋体"/>
          <w:b w:val="0"/>
          <w:color w:val="auto"/>
          <w:sz w:val="22"/>
          <w:szCs w:val="22"/>
          <w:highlight w:val="none"/>
          <w:lang w:val="en-US" w:eastAsia="zh-CN"/>
        </w:rPr>
        <w:t>已</w:t>
      </w:r>
      <w:r>
        <w:rPr>
          <w:rFonts w:hint="eastAsia" w:ascii="宋体" w:hAnsi="宋体" w:eastAsia="宋体" w:cs="Arial"/>
          <w:b w:val="0"/>
          <w:color w:val="auto"/>
          <w:sz w:val="22"/>
          <w:szCs w:val="22"/>
          <w:highlight w:val="none"/>
        </w:rPr>
        <w:t xml:space="preserve">进行公开招标（项目编号：       ）。经评审确定 </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为中标供应商。</w:t>
      </w:r>
    </w:p>
    <w:p w14:paraId="6A59ADB4">
      <w:pPr>
        <w:adjustRightInd w:val="0"/>
        <w:snapToGrid w:val="0"/>
        <w:spacing w:line="460" w:lineRule="exact"/>
        <w:ind w:firstLine="660" w:firstLineChars="3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买方与卖方就</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项目，所需共</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台电梯设备供货（包括运输、装卸等，具体以招标文件为准）</w:t>
      </w:r>
      <w:r>
        <w:rPr>
          <w:rFonts w:hint="eastAsia" w:ascii="宋体" w:hAnsi="宋体" w:eastAsia="宋体" w:cs="Arial"/>
          <w:b w:val="0"/>
          <w:color w:val="auto"/>
          <w:sz w:val="22"/>
          <w:szCs w:val="22"/>
          <w:highlight w:val="none"/>
          <w:lang w:eastAsia="zh-CN"/>
        </w:rPr>
        <w:t>、</w:t>
      </w:r>
      <w:r>
        <w:rPr>
          <w:rFonts w:hint="eastAsia" w:ascii="宋体" w:hAnsi="宋体" w:eastAsia="宋体" w:cs="Arial"/>
          <w:b w:val="0"/>
          <w:color w:val="auto"/>
          <w:sz w:val="22"/>
          <w:szCs w:val="22"/>
          <w:highlight w:val="none"/>
        </w:rPr>
        <w:t>装卸、吊装就位、安装、调试、验收等工作，经双方协商一致同意按照下面的条款和条件，签署本合同；</w:t>
      </w:r>
    </w:p>
    <w:p w14:paraId="4B5537CE">
      <w:pPr>
        <w:adjustRightInd w:val="0"/>
        <w:snapToGrid w:val="0"/>
        <w:spacing w:line="460" w:lineRule="exact"/>
        <w:ind w:firstLine="660" w:firstLineChars="3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1、合同产品</w:t>
      </w:r>
    </w:p>
    <w:p w14:paraId="54B9A87D">
      <w:pPr>
        <w:adjustRightInd w:val="0"/>
        <w:snapToGrid w:val="0"/>
        <w:spacing w:line="460" w:lineRule="exact"/>
        <w:ind w:left="504" w:leftChars="240"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 xml:space="preserve">名称： </w:t>
      </w:r>
    </w:p>
    <w:p w14:paraId="5F7B8567">
      <w:pPr>
        <w:adjustRightInd w:val="0"/>
        <w:snapToGrid w:val="0"/>
        <w:spacing w:line="460" w:lineRule="exact"/>
        <w:ind w:left="504" w:leftChars="240"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 xml:space="preserve">品牌： </w:t>
      </w:r>
    </w:p>
    <w:p w14:paraId="02B7F1FA">
      <w:pPr>
        <w:adjustRightInd w:val="0"/>
        <w:snapToGrid w:val="0"/>
        <w:spacing w:line="460" w:lineRule="exact"/>
        <w:ind w:left="504" w:leftChars="240"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 xml:space="preserve">型号、规格： </w:t>
      </w:r>
    </w:p>
    <w:p w14:paraId="596D92B0">
      <w:pPr>
        <w:adjustRightInd w:val="0"/>
        <w:snapToGrid w:val="0"/>
        <w:spacing w:line="460" w:lineRule="exact"/>
        <w:ind w:left="504" w:leftChars="240"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数量：台</w:t>
      </w:r>
    </w:p>
    <w:p w14:paraId="384CD530">
      <w:pPr>
        <w:adjustRightInd w:val="0"/>
        <w:snapToGrid w:val="0"/>
        <w:spacing w:line="460" w:lineRule="exact"/>
        <w:ind w:left="504" w:leftChars="240" w:firstLine="220" w:firstLineChars="1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 xml:space="preserve">制造商/生产地：  </w:t>
      </w:r>
    </w:p>
    <w:p w14:paraId="0C27DC8B">
      <w:pPr>
        <w:adjustRightInd w:val="0"/>
        <w:snapToGrid w:val="0"/>
        <w:spacing w:line="460" w:lineRule="exact"/>
        <w:ind w:firstLine="48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2、合同价</w:t>
      </w:r>
    </w:p>
    <w:tbl>
      <w:tblPr>
        <w:tblStyle w:val="35"/>
        <w:tblW w:w="0" w:type="auto"/>
        <w:tblInd w:w="-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095"/>
        <w:gridCol w:w="1327"/>
        <w:gridCol w:w="1823"/>
        <w:gridCol w:w="1843"/>
      </w:tblGrid>
      <w:tr w14:paraId="1DBA4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1701" w:type="dxa"/>
            <w:noWrap w:val="0"/>
            <w:vAlign w:val="center"/>
          </w:tcPr>
          <w:p w14:paraId="306272CB">
            <w:pPr>
              <w:adjustRightInd w:val="0"/>
              <w:snapToGrid w:val="0"/>
              <w:spacing w:line="460" w:lineRule="exact"/>
              <w:jc w:val="center"/>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项目名称</w:t>
            </w:r>
          </w:p>
        </w:tc>
        <w:tc>
          <w:tcPr>
            <w:tcW w:w="2095" w:type="dxa"/>
            <w:noWrap w:val="0"/>
            <w:vAlign w:val="center"/>
          </w:tcPr>
          <w:p w14:paraId="7A5FE1E3">
            <w:pPr>
              <w:adjustRightInd w:val="0"/>
              <w:snapToGrid w:val="0"/>
              <w:spacing w:line="460" w:lineRule="exact"/>
              <w:jc w:val="center"/>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梯形或梯号</w:t>
            </w:r>
          </w:p>
        </w:tc>
        <w:tc>
          <w:tcPr>
            <w:tcW w:w="1327" w:type="dxa"/>
            <w:noWrap w:val="0"/>
            <w:vAlign w:val="center"/>
          </w:tcPr>
          <w:p w14:paraId="2527F785">
            <w:pPr>
              <w:adjustRightInd w:val="0"/>
              <w:snapToGrid w:val="0"/>
              <w:spacing w:line="460" w:lineRule="exact"/>
              <w:jc w:val="cente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数量(台)</w:t>
            </w:r>
          </w:p>
        </w:tc>
        <w:tc>
          <w:tcPr>
            <w:tcW w:w="1823" w:type="dxa"/>
            <w:noWrap w:val="0"/>
            <w:vAlign w:val="center"/>
          </w:tcPr>
          <w:p w14:paraId="6375998B">
            <w:pPr>
              <w:adjustRightInd w:val="0"/>
              <w:snapToGrid w:val="0"/>
              <w:spacing w:line="460" w:lineRule="exact"/>
              <w:jc w:val="cente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单   价</w:t>
            </w:r>
          </w:p>
        </w:tc>
        <w:tc>
          <w:tcPr>
            <w:tcW w:w="1843" w:type="dxa"/>
            <w:noWrap w:val="0"/>
            <w:vAlign w:val="center"/>
          </w:tcPr>
          <w:p w14:paraId="531DEAC3">
            <w:pPr>
              <w:adjustRightInd w:val="0"/>
              <w:snapToGrid w:val="0"/>
              <w:spacing w:line="460" w:lineRule="exact"/>
              <w:jc w:val="center"/>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合   价</w:t>
            </w:r>
          </w:p>
        </w:tc>
      </w:tr>
      <w:tr w14:paraId="28476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1701" w:type="dxa"/>
            <w:noWrap w:val="0"/>
            <w:vAlign w:val="center"/>
          </w:tcPr>
          <w:p w14:paraId="7B435982">
            <w:pPr>
              <w:adjustRightInd w:val="0"/>
              <w:snapToGrid w:val="0"/>
              <w:spacing w:line="460" w:lineRule="exact"/>
              <w:jc w:val="center"/>
              <w:rPr>
                <w:rFonts w:hint="eastAsia" w:ascii="宋体" w:hAnsi="宋体" w:eastAsia="宋体" w:cs="Arial"/>
                <w:b w:val="0"/>
                <w:color w:val="auto"/>
                <w:sz w:val="22"/>
                <w:szCs w:val="22"/>
                <w:highlight w:val="none"/>
              </w:rPr>
            </w:pPr>
          </w:p>
        </w:tc>
        <w:tc>
          <w:tcPr>
            <w:tcW w:w="2095" w:type="dxa"/>
            <w:noWrap w:val="0"/>
            <w:vAlign w:val="center"/>
          </w:tcPr>
          <w:p w14:paraId="3FB5090B">
            <w:pPr>
              <w:adjustRightInd w:val="0"/>
              <w:snapToGrid w:val="0"/>
              <w:spacing w:line="460" w:lineRule="exact"/>
              <w:jc w:val="center"/>
              <w:rPr>
                <w:rFonts w:hint="eastAsia" w:ascii="宋体" w:hAnsi="宋体" w:eastAsia="宋体" w:cs="Arial"/>
                <w:b w:val="0"/>
                <w:color w:val="auto"/>
                <w:sz w:val="22"/>
                <w:szCs w:val="22"/>
                <w:highlight w:val="none"/>
              </w:rPr>
            </w:pPr>
          </w:p>
        </w:tc>
        <w:tc>
          <w:tcPr>
            <w:tcW w:w="1327" w:type="dxa"/>
            <w:noWrap w:val="0"/>
            <w:vAlign w:val="center"/>
          </w:tcPr>
          <w:p w14:paraId="236F373E">
            <w:pPr>
              <w:adjustRightInd w:val="0"/>
              <w:snapToGrid w:val="0"/>
              <w:spacing w:line="460" w:lineRule="exact"/>
              <w:jc w:val="center"/>
              <w:rPr>
                <w:rFonts w:hint="eastAsia" w:ascii="宋体" w:hAnsi="宋体" w:eastAsia="宋体" w:cs="Arial"/>
                <w:b w:val="0"/>
                <w:color w:val="auto"/>
                <w:sz w:val="22"/>
                <w:szCs w:val="22"/>
                <w:highlight w:val="none"/>
              </w:rPr>
            </w:pPr>
          </w:p>
        </w:tc>
        <w:tc>
          <w:tcPr>
            <w:tcW w:w="1823" w:type="dxa"/>
            <w:noWrap w:val="0"/>
            <w:vAlign w:val="center"/>
          </w:tcPr>
          <w:p w14:paraId="71FE6E66">
            <w:pPr>
              <w:adjustRightInd w:val="0"/>
              <w:snapToGrid w:val="0"/>
              <w:spacing w:line="460" w:lineRule="exact"/>
              <w:jc w:val="center"/>
              <w:rPr>
                <w:rFonts w:hint="eastAsia" w:ascii="宋体" w:hAnsi="宋体" w:eastAsia="宋体" w:cs="Arial"/>
                <w:b w:val="0"/>
                <w:color w:val="auto"/>
                <w:sz w:val="22"/>
                <w:szCs w:val="22"/>
                <w:highlight w:val="none"/>
              </w:rPr>
            </w:pPr>
          </w:p>
        </w:tc>
        <w:tc>
          <w:tcPr>
            <w:tcW w:w="1843" w:type="dxa"/>
            <w:noWrap w:val="0"/>
            <w:vAlign w:val="center"/>
          </w:tcPr>
          <w:p w14:paraId="267BD81E">
            <w:pPr>
              <w:adjustRightInd w:val="0"/>
              <w:snapToGrid w:val="0"/>
              <w:spacing w:line="460" w:lineRule="exact"/>
              <w:jc w:val="center"/>
              <w:rPr>
                <w:rFonts w:hint="eastAsia" w:ascii="宋体" w:hAnsi="宋体" w:eastAsia="宋体" w:cs="Arial"/>
                <w:b w:val="0"/>
                <w:color w:val="auto"/>
                <w:sz w:val="22"/>
                <w:szCs w:val="22"/>
                <w:highlight w:val="none"/>
              </w:rPr>
            </w:pPr>
          </w:p>
        </w:tc>
      </w:tr>
      <w:tr w14:paraId="2D4E1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1701" w:type="dxa"/>
            <w:noWrap w:val="0"/>
            <w:vAlign w:val="center"/>
          </w:tcPr>
          <w:p w14:paraId="0EAE4604">
            <w:pPr>
              <w:adjustRightInd w:val="0"/>
              <w:snapToGrid w:val="0"/>
              <w:spacing w:line="460" w:lineRule="exact"/>
              <w:jc w:val="center"/>
              <w:rPr>
                <w:rFonts w:hint="eastAsia" w:ascii="宋体" w:hAnsi="宋体" w:eastAsia="宋体" w:cs="Arial"/>
                <w:b w:val="0"/>
                <w:color w:val="auto"/>
                <w:sz w:val="22"/>
                <w:szCs w:val="22"/>
                <w:highlight w:val="none"/>
              </w:rPr>
            </w:pPr>
          </w:p>
        </w:tc>
        <w:tc>
          <w:tcPr>
            <w:tcW w:w="2095" w:type="dxa"/>
            <w:noWrap w:val="0"/>
            <w:vAlign w:val="center"/>
          </w:tcPr>
          <w:p w14:paraId="5A39BD5B">
            <w:pPr>
              <w:adjustRightInd w:val="0"/>
              <w:snapToGrid w:val="0"/>
              <w:spacing w:line="460" w:lineRule="exact"/>
              <w:jc w:val="center"/>
              <w:rPr>
                <w:rFonts w:hint="eastAsia" w:ascii="宋体" w:hAnsi="宋体" w:eastAsia="宋体" w:cs="Arial"/>
                <w:b w:val="0"/>
                <w:color w:val="auto"/>
                <w:sz w:val="22"/>
                <w:szCs w:val="22"/>
                <w:highlight w:val="none"/>
              </w:rPr>
            </w:pPr>
          </w:p>
        </w:tc>
        <w:tc>
          <w:tcPr>
            <w:tcW w:w="1327" w:type="dxa"/>
            <w:noWrap w:val="0"/>
            <w:vAlign w:val="center"/>
          </w:tcPr>
          <w:p w14:paraId="11D55DE7">
            <w:pPr>
              <w:adjustRightInd w:val="0"/>
              <w:snapToGrid w:val="0"/>
              <w:spacing w:line="460" w:lineRule="exact"/>
              <w:jc w:val="center"/>
              <w:rPr>
                <w:rFonts w:hint="eastAsia" w:ascii="宋体" w:hAnsi="宋体" w:eastAsia="宋体" w:cs="Arial"/>
                <w:b w:val="0"/>
                <w:color w:val="auto"/>
                <w:sz w:val="22"/>
                <w:szCs w:val="22"/>
                <w:highlight w:val="none"/>
              </w:rPr>
            </w:pPr>
          </w:p>
        </w:tc>
        <w:tc>
          <w:tcPr>
            <w:tcW w:w="1823" w:type="dxa"/>
            <w:noWrap w:val="0"/>
            <w:vAlign w:val="center"/>
          </w:tcPr>
          <w:p w14:paraId="53D452DB">
            <w:pPr>
              <w:adjustRightInd w:val="0"/>
              <w:snapToGrid w:val="0"/>
              <w:spacing w:line="460" w:lineRule="exact"/>
              <w:jc w:val="center"/>
              <w:rPr>
                <w:rFonts w:hint="eastAsia" w:ascii="宋体" w:hAnsi="宋体" w:eastAsia="宋体" w:cs="Arial"/>
                <w:b w:val="0"/>
                <w:color w:val="auto"/>
                <w:sz w:val="22"/>
                <w:szCs w:val="22"/>
                <w:highlight w:val="none"/>
              </w:rPr>
            </w:pPr>
          </w:p>
        </w:tc>
        <w:tc>
          <w:tcPr>
            <w:tcW w:w="1843" w:type="dxa"/>
            <w:noWrap w:val="0"/>
            <w:vAlign w:val="center"/>
          </w:tcPr>
          <w:p w14:paraId="372BFE72">
            <w:pPr>
              <w:adjustRightInd w:val="0"/>
              <w:snapToGrid w:val="0"/>
              <w:spacing w:line="460" w:lineRule="exact"/>
              <w:jc w:val="center"/>
              <w:rPr>
                <w:rFonts w:hint="eastAsia" w:ascii="宋体" w:hAnsi="宋体" w:eastAsia="宋体" w:cs="Arial"/>
                <w:b w:val="0"/>
                <w:color w:val="auto"/>
                <w:sz w:val="22"/>
                <w:szCs w:val="22"/>
                <w:highlight w:val="none"/>
              </w:rPr>
            </w:pPr>
          </w:p>
        </w:tc>
      </w:tr>
      <w:tr w14:paraId="1EF502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1701" w:type="dxa"/>
            <w:noWrap w:val="0"/>
            <w:vAlign w:val="center"/>
          </w:tcPr>
          <w:p w14:paraId="5E3A5879">
            <w:pPr>
              <w:adjustRightInd w:val="0"/>
              <w:snapToGrid w:val="0"/>
              <w:spacing w:line="460" w:lineRule="exact"/>
              <w:jc w:val="center"/>
              <w:rPr>
                <w:rFonts w:hint="eastAsia" w:ascii="宋体" w:hAnsi="宋体" w:eastAsia="宋体" w:cs="Arial"/>
                <w:b w:val="0"/>
                <w:color w:val="auto"/>
                <w:sz w:val="22"/>
                <w:szCs w:val="22"/>
                <w:highlight w:val="none"/>
              </w:rPr>
            </w:pPr>
          </w:p>
        </w:tc>
        <w:tc>
          <w:tcPr>
            <w:tcW w:w="2095" w:type="dxa"/>
            <w:noWrap w:val="0"/>
            <w:vAlign w:val="center"/>
          </w:tcPr>
          <w:p w14:paraId="6D2B1F3E">
            <w:pPr>
              <w:adjustRightInd w:val="0"/>
              <w:snapToGrid w:val="0"/>
              <w:spacing w:line="460" w:lineRule="exact"/>
              <w:jc w:val="center"/>
              <w:rPr>
                <w:rFonts w:hint="eastAsia" w:ascii="宋体" w:hAnsi="宋体" w:eastAsia="宋体" w:cs="Arial"/>
                <w:b w:val="0"/>
                <w:color w:val="auto"/>
                <w:sz w:val="22"/>
                <w:szCs w:val="22"/>
                <w:highlight w:val="none"/>
              </w:rPr>
            </w:pPr>
          </w:p>
        </w:tc>
        <w:tc>
          <w:tcPr>
            <w:tcW w:w="1327" w:type="dxa"/>
            <w:noWrap w:val="0"/>
            <w:vAlign w:val="center"/>
          </w:tcPr>
          <w:p w14:paraId="59EEAA46">
            <w:pPr>
              <w:adjustRightInd w:val="0"/>
              <w:snapToGrid w:val="0"/>
              <w:spacing w:line="460" w:lineRule="exact"/>
              <w:jc w:val="center"/>
              <w:rPr>
                <w:rFonts w:hint="eastAsia" w:ascii="宋体" w:hAnsi="宋体" w:eastAsia="宋体" w:cs="Arial"/>
                <w:b w:val="0"/>
                <w:color w:val="auto"/>
                <w:sz w:val="22"/>
                <w:szCs w:val="22"/>
                <w:highlight w:val="none"/>
              </w:rPr>
            </w:pPr>
          </w:p>
        </w:tc>
        <w:tc>
          <w:tcPr>
            <w:tcW w:w="1823" w:type="dxa"/>
            <w:noWrap w:val="0"/>
            <w:vAlign w:val="center"/>
          </w:tcPr>
          <w:p w14:paraId="300D95E0">
            <w:pPr>
              <w:adjustRightInd w:val="0"/>
              <w:snapToGrid w:val="0"/>
              <w:spacing w:line="460" w:lineRule="exact"/>
              <w:jc w:val="center"/>
              <w:rPr>
                <w:rFonts w:hint="eastAsia" w:ascii="宋体" w:hAnsi="宋体" w:eastAsia="宋体" w:cs="Arial"/>
                <w:b w:val="0"/>
                <w:color w:val="auto"/>
                <w:sz w:val="22"/>
                <w:szCs w:val="22"/>
                <w:highlight w:val="none"/>
              </w:rPr>
            </w:pPr>
          </w:p>
        </w:tc>
        <w:tc>
          <w:tcPr>
            <w:tcW w:w="1843" w:type="dxa"/>
            <w:noWrap w:val="0"/>
            <w:vAlign w:val="center"/>
          </w:tcPr>
          <w:p w14:paraId="5A369CFB">
            <w:pPr>
              <w:adjustRightInd w:val="0"/>
              <w:snapToGrid w:val="0"/>
              <w:spacing w:line="460" w:lineRule="exact"/>
              <w:jc w:val="center"/>
              <w:rPr>
                <w:rFonts w:hint="eastAsia" w:ascii="宋体" w:hAnsi="宋体" w:eastAsia="宋体" w:cs="Arial"/>
                <w:b w:val="0"/>
                <w:color w:val="auto"/>
                <w:sz w:val="22"/>
                <w:szCs w:val="22"/>
                <w:highlight w:val="none"/>
              </w:rPr>
            </w:pPr>
          </w:p>
        </w:tc>
      </w:tr>
      <w:tr w14:paraId="14D5B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5123" w:type="dxa"/>
            <w:gridSpan w:val="3"/>
            <w:noWrap w:val="0"/>
            <w:vAlign w:val="center"/>
          </w:tcPr>
          <w:p w14:paraId="484C7DC6">
            <w:pPr>
              <w:adjustRightInd w:val="0"/>
              <w:snapToGrid w:val="0"/>
              <w:spacing w:line="460" w:lineRule="exact"/>
              <w:jc w:val="center"/>
              <w:rPr>
                <w:rFonts w:hint="default" w:ascii="宋体" w:hAnsi="宋体" w:eastAsia="宋体" w:cs="Arial"/>
                <w:b w:val="0"/>
                <w:color w:val="auto"/>
                <w:sz w:val="22"/>
                <w:szCs w:val="22"/>
                <w:highlight w:val="none"/>
                <w:lang w:val="en-US" w:eastAsia="zh-CN"/>
              </w:rPr>
            </w:pPr>
            <w:r>
              <w:rPr>
                <w:rFonts w:hint="eastAsia" w:ascii="宋体" w:hAnsi="宋体" w:eastAsia="宋体" w:cs="Arial"/>
                <w:b w:val="0"/>
                <w:color w:val="auto"/>
                <w:sz w:val="22"/>
                <w:szCs w:val="22"/>
                <w:highlight w:val="none"/>
                <w:lang w:val="en-US" w:eastAsia="zh-CN"/>
              </w:rPr>
              <w:t>设备费用小计</w:t>
            </w:r>
          </w:p>
        </w:tc>
        <w:tc>
          <w:tcPr>
            <w:tcW w:w="3666" w:type="dxa"/>
            <w:gridSpan w:val="2"/>
            <w:noWrap w:val="0"/>
            <w:vAlign w:val="center"/>
          </w:tcPr>
          <w:p w14:paraId="287CB577">
            <w:pPr>
              <w:adjustRightInd w:val="0"/>
              <w:snapToGrid w:val="0"/>
              <w:spacing w:line="460" w:lineRule="exact"/>
              <w:jc w:val="center"/>
              <w:rPr>
                <w:rFonts w:hint="eastAsia" w:ascii="宋体" w:hAnsi="宋体" w:eastAsia="宋体" w:cs="Arial"/>
                <w:b w:val="0"/>
                <w:color w:val="auto"/>
                <w:sz w:val="22"/>
                <w:szCs w:val="22"/>
                <w:highlight w:val="none"/>
              </w:rPr>
            </w:pPr>
          </w:p>
        </w:tc>
      </w:tr>
      <w:tr w14:paraId="73588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5123" w:type="dxa"/>
            <w:gridSpan w:val="3"/>
            <w:noWrap w:val="0"/>
            <w:vAlign w:val="center"/>
          </w:tcPr>
          <w:p w14:paraId="2D75C2E1">
            <w:pPr>
              <w:adjustRightInd w:val="0"/>
              <w:snapToGrid w:val="0"/>
              <w:spacing w:line="460" w:lineRule="exact"/>
              <w:jc w:val="center"/>
              <w:rPr>
                <w:rFonts w:hint="default" w:ascii="宋体" w:hAnsi="宋体" w:eastAsia="宋体" w:cs="Arial"/>
                <w:b w:val="0"/>
                <w:color w:val="auto"/>
                <w:sz w:val="22"/>
                <w:szCs w:val="22"/>
                <w:highlight w:val="none"/>
                <w:lang w:val="en-US" w:eastAsia="zh-CN"/>
              </w:rPr>
            </w:pPr>
            <w:r>
              <w:rPr>
                <w:rFonts w:hint="eastAsia" w:ascii="宋体" w:hAnsi="宋体" w:eastAsia="宋体" w:cs="Arial"/>
                <w:b w:val="0"/>
                <w:color w:val="auto"/>
                <w:sz w:val="22"/>
                <w:szCs w:val="22"/>
                <w:highlight w:val="none"/>
                <w:lang w:val="en-US" w:eastAsia="zh-CN"/>
              </w:rPr>
              <w:t>安装费用</w:t>
            </w:r>
          </w:p>
        </w:tc>
        <w:tc>
          <w:tcPr>
            <w:tcW w:w="3666" w:type="dxa"/>
            <w:gridSpan w:val="2"/>
            <w:noWrap w:val="0"/>
            <w:vAlign w:val="center"/>
          </w:tcPr>
          <w:p w14:paraId="2E8C9D6F">
            <w:pPr>
              <w:adjustRightInd w:val="0"/>
              <w:snapToGrid w:val="0"/>
              <w:spacing w:line="460" w:lineRule="exact"/>
              <w:jc w:val="center"/>
              <w:rPr>
                <w:rFonts w:hint="eastAsia" w:ascii="宋体" w:hAnsi="宋体" w:eastAsia="宋体" w:cs="Arial"/>
                <w:b w:val="0"/>
                <w:color w:val="auto"/>
                <w:sz w:val="22"/>
                <w:szCs w:val="22"/>
                <w:highlight w:val="none"/>
              </w:rPr>
            </w:pPr>
          </w:p>
        </w:tc>
      </w:tr>
      <w:tr w14:paraId="4F0DF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98" w:hRule="atLeast"/>
        </w:trPr>
        <w:tc>
          <w:tcPr>
            <w:tcW w:w="5123" w:type="dxa"/>
            <w:gridSpan w:val="3"/>
            <w:noWrap w:val="0"/>
            <w:vAlign w:val="center"/>
          </w:tcPr>
          <w:p w14:paraId="21F704D6">
            <w:pPr>
              <w:adjustRightInd w:val="0"/>
              <w:snapToGrid w:val="0"/>
              <w:spacing w:line="460" w:lineRule="exact"/>
              <w:jc w:val="center"/>
              <w:rPr>
                <w:rFonts w:hint="default" w:ascii="宋体" w:hAnsi="宋体" w:eastAsia="宋体" w:cs="Arial"/>
                <w:b w:val="0"/>
                <w:color w:val="auto"/>
                <w:sz w:val="22"/>
                <w:szCs w:val="22"/>
                <w:highlight w:val="none"/>
                <w:lang w:val="en-US" w:eastAsia="zh-CN"/>
              </w:rPr>
            </w:pPr>
            <w:r>
              <w:rPr>
                <w:rFonts w:hint="eastAsia" w:ascii="宋体" w:hAnsi="宋体" w:eastAsia="宋体" w:cs="Arial"/>
                <w:b w:val="0"/>
                <w:color w:val="auto"/>
                <w:sz w:val="22"/>
                <w:szCs w:val="22"/>
                <w:highlight w:val="none"/>
                <w:lang w:val="en-US" w:eastAsia="zh-CN"/>
              </w:rPr>
              <w:t xml:space="preserve"> 合 计</w:t>
            </w:r>
          </w:p>
        </w:tc>
        <w:tc>
          <w:tcPr>
            <w:tcW w:w="3666" w:type="dxa"/>
            <w:gridSpan w:val="2"/>
            <w:noWrap w:val="0"/>
            <w:vAlign w:val="center"/>
          </w:tcPr>
          <w:p w14:paraId="0BC5BD30">
            <w:pPr>
              <w:adjustRightInd w:val="0"/>
              <w:snapToGrid w:val="0"/>
              <w:spacing w:line="460" w:lineRule="exact"/>
              <w:jc w:val="center"/>
              <w:rPr>
                <w:rFonts w:hint="eastAsia" w:ascii="宋体" w:hAnsi="宋体" w:eastAsia="宋体" w:cs="Arial"/>
                <w:b w:val="0"/>
                <w:color w:val="auto"/>
                <w:sz w:val="22"/>
                <w:szCs w:val="22"/>
                <w:highlight w:val="none"/>
              </w:rPr>
            </w:pPr>
          </w:p>
        </w:tc>
      </w:tr>
    </w:tbl>
    <w:p w14:paraId="6FE91ED0">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设备合同总价为</w:t>
      </w:r>
      <w:r>
        <w:rPr>
          <w:rFonts w:hint="eastAsia" w:ascii="宋体" w:hAnsi="宋体" w:eastAsia="宋体" w:cs="Arial"/>
          <w:b w:val="0"/>
          <w:color w:val="auto"/>
          <w:sz w:val="22"/>
          <w:szCs w:val="22"/>
          <w:highlight w:val="none"/>
        </w:rPr>
        <w:t>：</w:t>
      </w:r>
      <w:r>
        <w:rPr>
          <w:rFonts w:hint="cs" w:ascii="宋体" w:hAnsi="宋体" w:eastAsia="宋体" w:cs="Arial"/>
          <w:b w:val="0"/>
          <w:color w:val="auto"/>
          <w:sz w:val="22"/>
          <w:szCs w:val="22"/>
          <w:highlight w:val="none"/>
          <w:cs/>
        </w:rPr>
        <w:t>¥</w:t>
      </w:r>
      <w:r>
        <w:rPr>
          <w:rFonts w:hint="eastAsia" w:ascii="宋体" w:hAnsi="宋体" w:eastAsia="宋体" w:cs="Arial"/>
          <w:b w:val="0"/>
          <w:color w:val="auto"/>
          <w:sz w:val="22"/>
          <w:szCs w:val="22"/>
          <w:highlight w:val="none"/>
        </w:rPr>
        <w:t xml:space="preserve"> </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 xml:space="preserve">元，大写：人民币 </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元整；</w:t>
      </w:r>
    </w:p>
    <w:p w14:paraId="225E324B">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设备合同总价</w:t>
      </w:r>
      <w:r>
        <w:rPr>
          <w:rFonts w:hint="eastAsia" w:ascii="宋体" w:hAnsi="宋体" w:eastAsia="宋体" w:cs="Arial"/>
          <w:b w:val="0"/>
          <w:color w:val="auto"/>
          <w:sz w:val="22"/>
          <w:szCs w:val="22"/>
          <w:highlight w:val="none"/>
        </w:rPr>
        <w:t>为完税闭口价,以上合同总价为</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台电梯供货到工地的所有费用（包括国内外运杂费、保险费、关税、增值税、商检费、海关费、</w:t>
      </w:r>
      <w:r>
        <w:rPr>
          <w:rFonts w:ascii="宋体" w:hAnsi="宋体" w:eastAsia="宋体" w:cs="Arial"/>
          <w:b w:val="0"/>
          <w:color w:val="auto"/>
          <w:sz w:val="22"/>
          <w:szCs w:val="22"/>
          <w:highlight w:val="none"/>
        </w:rPr>
        <w:t>进口手续费、</w:t>
      </w:r>
      <w:r>
        <w:rPr>
          <w:rFonts w:hint="eastAsia" w:ascii="宋体" w:hAnsi="宋体" w:eastAsia="宋体" w:cs="Arial"/>
          <w:b w:val="0"/>
          <w:color w:val="auto"/>
          <w:sz w:val="22"/>
          <w:szCs w:val="22"/>
          <w:highlight w:val="none"/>
        </w:rPr>
        <w:t>运输、</w:t>
      </w:r>
      <w:r>
        <w:rPr>
          <w:rFonts w:ascii="宋体" w:hAnsi="宋体" w:eastAsia="宋体" w:cs="Arial"/>
          <w:b w:val="0"/>
          <w:color w:val="auto"/>
          <w:sz w:val="22"/>
          <w:szCs w:val="22"/>
          <w:highlight w:val="none"/>
        </w:rPr>
        <w:t>装卸</w:t>
      </w:r>
      <w:r>
        <w:rPr>
          <w:rFonts w:hint="eastAsia" w:ascii="宋体" w:hAnsi="宋体" w:eastAsia="宋体" w:cs="Arial"/>
          <w:b w:val="0"/>
          <w:color w:val="auto"/>
          <w:sz w:val="22"/>
          <w:szCs w:val="22"/>
          <w:highlight w:val="none"/>
          <w:lang w:eastAsia="zh-CN"/>
        </w:rPr>
        <w:t>、</w:t>
      </w:r>
      <w:r>
        <w:rPr>
          <w:rFonts w:hint="eastAsia" w:ascii="宋体" w:hAnsi="宋体" w:eastAsia="宋体" w:cs="Arial"/>
          <w:b w:val="0"/>
          <w:color w:val="auto"/>
          <w:sz w:val="22"/>
          <w:szCs w:val="22"/>
          <w:highlight w:val="none"/>
        </w:rPr>
        <w:t>吊装就位、安装（包括</w:t>
      </w:r>
      <w:r>
        <w:rPr>
          <w:rFonts w:hint="eastAsia" w:ascii="宋体" w:hAnsi="宋体" w:eastAsia="宋体" w:cs="Arial"/>
          <w:b w:val="0"/>
          <w:bCs/>
          <w:color w:val="auto"/>
          <w:sz w:val="22"/>
          <w:szCs w:val="22"/>
          <w:highlight w:val="none"/>
        </w:rPr>
        <w:t>脚手架、</w:t>
      </w:r>
      <w:r>
        <w:rPr>
          <w:rFonts w:hint="eastAsia" w:ascii="宋体" w:hAnsi="宋体" w:eastAsia="宋体" w:cs="Arial"/>
          <w:b w:val="0"/>
          <w:color w:val="auto"/>
          <w:sz w:val="22"/>
          <w:szCs w:val="22"/>
          <w:highlight w:val="none"/>
        </w:rPr>
        <w:t>电梯预留预埋件、主机搁梁、负责预留预埋、井道照明及爬梯、分层、就位、人员食宿、交通、保险等）、设备保管、调试、检测、特种设备检验部门验收、培训费、质保期内年检、维修保养等所有费用），不论是否明列在合同文本中，买方除提供现场安装所需水、电接口（费用由卖方承担）和设备到场后存放场地外，其他费用概由卖方负责。</w:t>
      </w:r>
    </w:p>
    <w:p w14:paraId="5B3C9D42">
      <w:pPr>
        <w:adjustRightInd w:val="0"/>
        <w:snapToGrid w:val="0"/>
        <w:spacing w:line="460" w:lineRule="exact"/>
        <w:ind w:firstLine="48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卖方自合同签订之日起15天内派驻至少1名现场代表，现场代表须驻工地现场直至电梯</w:t>
      </w:r>
      <w:r>
        <w:rPr>
          <w:rFonts w:hint="eastAsia" w:ascii="宋体" w:hAnsi="宋体" w:eastAsia="宋体" w:cs="Arial"/>
          <w:b w:val="0"/>
          <w:color w:val="auto"/>
          <w:sz w:val="22"/>
          <w:szCs w:val="22"/>
          <w:highlight w:val="none"/>
        </w:rPr>
        <w:t>验收合格</w:t>
      </w:r>
      <w:r>
        <w:rPr>
          <w:rFonts w:ascii="宋体" w:hAnsi="宋体" w:eastAsia="宋体" w:cs="Arial"/>
          <w:b w:val="0"/>
          <w:color w:val="auto"/>
          <w:sz w:val="22"/>
          <w:szCs w:val="22"/>
          <w:highlight w:val="none"/>
        </w:rPr>
        <w:t>移交买方为止。</w:t>
      </w:r>
    </w:p>
    <w:p w14:paraId="3E50E43B">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3、图纸的确认及井道的确认</w:t>
      </w:r>
    </w:p>
    <w:p w14:paraId="100531AC">
      <w:pPr>
        <w:adjustRightInd w:val="0"/>
        <w:snapToGrid w:val="0"/>
        <w:spacing w:line="460" w:lineRule="exact"/>
        <w:ind w:firstLine="480"/>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合同签订时，买方提供给卖方电梯位置图，卖方根据位置图在</w:t>
      </w:r>
      <w:r>
        <w:rPr>
          <w:rFonts w:hint="eastAsia" w:ascii="宋体" w:hAnsi="宋体" w:eastAsia="宋体" w:cs="Arial"/>
          <w:b w:val="0"/>
          <w:color w:val="auto"/>
          <w:sz w:val="22"/>
          <w:szCs w:val="22"/>
          <w:highlight w:val="none"/>
          <w:u w:val="single"/>
        </w:rPr>
        <w:t>5个工作日</w:t>
      </w:r>
      <w:r>
        <w:rPr>
          <w:rFonts w:hint="eastAsia" w:ascii="宋体" w:hAnsi="宋体" w:eastAsia="宋体" w:cs="Arial"/>
          <w:b w:val="0"/>
          <w:color w:val="auto"/>
          <w:sz w:val="22"/>
          <w:szCs w:val="22"/>
          <w:highlight w:val="none"/>
        </w:rPr>
        <w:t>内进行现场踏勘以确保所提供的电梯能满足现有的土建实际情况并符合国家有关规定的要求，并提供电梯井道等土建施工图纸一式陆份，买方应在7日内将其中一份确认并签字，卖方负责旧梯拆除及处理，并清理井道。买方如对设备布置有所改动，必须在发货前</w:t>
      </w:r>
      <w:r>
        <w:rPr>
          <w:rFonts w:ascii="宋体" w:hAnsi="宋体" w:eastAsia="宋体" w:cs="Arial"/>
          <w:b w:val="0"/>
          <w:color w:val="auto"/>
          <w:sz w:val="22"/>
          <w:szCs w:val="22"/>
          <w:highlight w:val="none"/>
        </w:rPr>
        <w:t>6</w:t>
      </w:r>
      <w:r>
        <w:rPr>
          <w:rFonts w:hint="eastAsia" w:ascii="宋体" w:hAnsi="宋体" w:eastAsia="宋体" w:cs="Arial"/>
          <w:b w:val="0"/>
          <w:color w:val="auto"/>
          <w:sz w:val="22"/>
          <w:szCs w:val="22"/>
          <w:highlight w:val="none"/>
        </w:rPr>
        <w:t>0日历天以书面形式通知卖方。</w:t>
      </w:r>
      <w:r>
        <w:rPr>
          <w:rFonts w:ascii="宋体" w:hAnsi="宋体" w:eastAsia="宋体" w:cs="Arial"/>
          <w:b w:val="0"/>
          <w:color w:val="auto"/>
          <w:sz w:val="22"/>
          <w:szCs w:val="22"/>
          <w:highlight w:val="none"/>
        </w:rPr>
        <w:t>如果</w:t>
      </w:r>
      <w:r>
        <w:rPr>
          <w:rFonts w:hint="eastAsia" w:ascii="宋体" w:hAnsi="宋体" w:eastAsia="宋体" w:cs="Arial"/>
          <w:b w:val="0"/>
          <w:color w:val="auto"/>
          <w:sz w:val="22"/>
          <w:szCs w:val="22"/>
          <w:highlight w:val="none"/>
        </w:rPr>
        <w:t>卖方</w:t>
      </w:r>
      <w:r>
        <w:rPr>
          <w:rFonts w:ascii="宋体" w:hAnsi="宋体" w:eastAsia="宋体" w:cs="Arial"/>
          <w:b w:val="0"/>
          <w:color w:val="auto"/>
          <w:sz w:val="22"/>
          <w:szCs w:val="22"/>
          <w:highlight w:val="none"/>
        </w:rPr>
        <w:t>提供的电梯与</w:t>
      </w:r>
      <w:r>
        <w:rPr>
          <w:rFonts w:hint="eastAsia" w:ascii="宋体" w:hAnsi="宋体" w:eastAsia="宋体" w:cs="Arial"/>
          <w:b w:val="0"/>
          <w:color w:val="auto"/>
          <w:sz w:val="22"/>
          <w:szCs w:val="22"/>
          <w:highlight w:val="none"/>
        </w:rPr>
        <w:t>施工图纸</w:t>
      </w:r>
      <w:r>
        <w:rPr>
          <w:rFonts w:ascii="宋体" w:hAnsi="宋体" w:eastAsia="宋体" w:cs="Arial"/>
          <w:b w:val="0"/>
          <w:color w:val="auto"/>
          <w:sz w:val="22"/>
          <w:szCs w:val="22"/>
          <w:highlight w:val="none"/>
        </w:rPr>
        <w:t>尺寸有出入，整改</w:t>
      </w:r>
      <w:r>
        <w:rPr>
          <w:rFonts w:hint="eastAsia" w:ascii="宋体" w:hAnsi="宋体" w:eastAsia="宋体" w:cs="Arial"/>
          <w:b w:val="0"/>
          <w:color w:val="auto"/>
          <w:sz w:val="22"/>
          <w:szCs w:val="22"/>
          <w:highlight w:val="none"/>
        </w:rPr>
        <w:t>所产生的一切责任</w:t>
      </w:r>
      <w:r>
        <w:rPr>
          <w:rFonts w:ascii="宋体" w:hAnsi="宋体" w:eastAsia="宋体" w:cs="Arial"/>
          <w:b w:val="0"/>
          <w:color w:val="auto"/>
          <w:sz w:val="22"/>
          <w:szCs w:val="22"/>
          <w:highlight w:val="none"/>
        </w:rPr>
        <w:t>均由</w:t>
      </w:r>
      <w:r>
        <w:rPr>
          <w:rFonts w:hint="eastAsia" w:ascii="宋体" w:hAnsi="宋体" w:eastAsia="宋体" w:cs="Arial"/>
          <w:b w:val="0"/>
          <w:color w:val="auto"/>
          <w:sz w:val="22"/>
          <w:szCs w:val="22"/>
          <w:highlight w:val="none"/>
        </w:rPr>
        <w:t>卖方承担</w:t>
      </w:r>
      <w:r>
        <w:rPr>
          <w:rFonts w:ascii="宋体" w:hAnsi="宋体" w:eastAsia="宋体" w:cs="Arial"/>
          <w:b w:val="0"/>
          <w:color w:val="auto"/>
          <w:sz w:val="22"/>
          <w:szCs w:val="22"/>
          <w:highlight w:val="none"/>
        </w:rPr>
        <w:t>，但不得损坏主体结构。</w:t>
      </w:r>
    </w:p>
    <w:p w14:paraId="6D1007ED">
      <w:pPr>
        <w:autoSpaceDE w:val="0"/>
        <w:autoSpaceDN w:val="0"/>
        <w:adjustRightInd w:val="0"/>
        <w:snapToGrid w:val="0"/>
        <w:spacing w:line="360" w:lineRule="auto"/>
        <w:ind w:firstLine="440" w:firstLineChars="200"/>
        <w:textAlignment w:val="bottom"/>
        <w:rPr>
          <w:rFonts w:hint="eastAsia" w:ascii="宋体" w:hAnsi="宋体" w:eastAsia="宋体"/>
          <w:b w:val="0"/>
          <w:color w:val="auto"/>
          <w:sz w:val="22"/>
          <w:szCs w:val="22"/>
          <w:highlight w:val="none"/>
        </w:rPr>
      </w:pPr>
      <w:r>
        <w:rPr>
          <w:rFonts w:hint="eastAsia" w:ascii="宋体" w:hAnsi="宋体" w:eastAsia="宋体"/>
          <w:b w:val="0"/>
          <w:color w:val="auto"/>
          <w:sz w:val="22"/>
          <w:szCs w:val="22"/>
          <w:highlight w:val="none"/>
        </w:rPr>
        <w:t>甲方联系人：</w:t>
      </w: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，联系电话：</w:t>
      </w: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w:t>
      </w:r>
    </w:p>
    <w:p w14:paraId="56EBB64E">
      <w:pPr>
        <w:autoSpaceDE w:val="0"/>
        <w:autoSpaceDN w:val="0"/>
        <w:adjustRightInd w:val="0"/>
        <w:snapToGrid w:val="0"/>
        <w:spacing w:line="360" w:lineRule="auto"/>
        <w:ind w:firstLine="440" w:firstLineChars="200"/>
        <w:textAlignment w:val="bottom"/>
        <w:rPr>
          <w:rFonts w:hint="eastAsia" w:ascii="宋体" w:hAnsi="宋体" w:eastAsia="宋体" w:cs="Arial"/>
          <w:b w:val="0"/>
          <w:color w:val="auto"/>
          <w:sz w:val="22"/>
          <w:szCs w:val="22"/>
          <w:highlight w:val="none"/>
        </w:rPr>
      </w:pPr>
      <w:r>
        <w:rPr>
          <w:rFonts w:hint="eastAsia" w:ascii="宋体" w:hAnsi="宋体" w:eastAsia="宋体"/>
          <w:b w:val="0"/>
          <w:color w:val="auto"/>
          <w:sz w:val="22"/>
          <w:szCs w:val="22"/>
          <w:highlight w:val="none"/>
        </w:rPr>
        <w:t>乙方联系人：</w:t>
      </w: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，联系电话：</w:t>
      </w:r>
      <w:r>
        <w:rPr>
          <w:rFonts w:hint="eastAsia" w:ascii="宋体" w:hAnsi="宋体" w:eastAsia="宋体"/>
          <w:b w:val="0"/>
          <w:color w:val="auto"/>
          <w:sz w:val="22"/>
          <w:szCs w:val="22"/>
          <w:highlight w:val="none"/>
          <w:u w:val="single"/>
        </w:rPr>
        <w:t xml:space="preserve">             </w:t>
      </w:r>
      <w:r>
        <w:rPr>
          <w:rFonts w:hint="eastAsia" w:ascii="宋体" w:hAnsi="宋体" w:eastAsia="宋体"/>
          <w:b w:val="0"/>
          <w:color w:val="auto"/>
          <w:sz w:val="22"/>
          <w:szCs w:val="22"/>
          <w:highlight w:val="none"/>
        </w:rPr>
        <w:t>；</w:t>
      </w:r>
    </w:p>
    <w:p w14:paraId="5A907442">
      <w:pPr>
        <w:adjustRightInd w:val="0"/>
        <w:snapToGrid w:val="0"/>
        <w:spacing w:line="460" w:lineRule="exact"/>
        <w:ind w:left="504" w:leftChars="24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4、工期</w:t>
      </w:r>
    </w:p>
    <w:p w14:paraId="2E441459">
      <w:pPr>
        <w:autoSpaceDE w:val="0"/>
        <w:autoSpaceDN w:val="0"/>
        <w:adjustRightInd w:val="0"/>
        <w:snapToGrid w:val="0"/>
        <w:spacing w:line="480" w:lineRule="atLeast"/>
        <w:ind w:firstLine="440" w:firstLineChars="200"/>
        <w:textAlignment w:val="bottom"/>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根据项目实际情况，买方要求电梯分项目或分期分批交货、安装、调试、验收。卖方根据买方要求分批完成旧梯拆除、井道清理等安装前期工作，拆除清理等安装前期工作须在设备到货前完成；</w:t>
      </w:r>
      <w:r>
        <w:rPr>
          <w:rFonts w:hint="eastAsia" w:ascii="宋体" w:hAnsi="宋体" w:eastAsia="宋体" w:cs="Arial"/>
          <w:b w:val="0"/>
          <w:bCs/>
          <w:color w:val="auto"/>
          <w:sz w:val="22"/>
          <w:szCs w:val="22"/>
          <w:highlight w:val="none"/>
          <w:lang w:val="en-US" w:eastAsia="zh-CN"/>
        </w:rPr>
        <w:t>合同签订后60日历天内完成</w:t>
      </w:r>
      <w:r>
        <w:rPr>
          <w:rFonts w:hint="eastAsia" w:ascii="宋体" w:hAnsi="宋体" w:eastAsia="宋体" w:cs="Arial"/>
          <w:b w:val="0"/>
          <w:bCs/>
          <w:color w:val="auto"/>
          <w:sz w:val="22"/>
          <w:szCs w:val="22"/>
          <w:highlight w:val="none"/>
        </w:rPr>
        <w:t>设备</w:t>
      </w:r>
      <w:r>
        <w:rPr>
          <w:rFonts w:hint="eastAsia" w:ascii="宋体" w:hAnsi="宋体" w:eastAsia="宋体" w:cs="Arial"/>
          <w:b w:val="0"/>
          <w:bCs/>
          <w:color w:val="auto"/>
          <w:sz w:val="22"/>
          <w:szCs w:val="22"/>
          <w:highlight w:val="none"/>
          <w:lang w:val="en-US" w:eastAsia="zh-CN"/>
        </w:rPr>
        <w:t>交货、</w:t>
      </w:r>
      <w:r>
        <w:rPr>
          <w:rFonts w:hint="eastAsia" w:ascii="宋体" w:hAnsi="宋体" w:eastAsia="宋体" w:cs="Arial"/>
          <w:b w:val="0"/>
          <w:bCs/>
          <w:color w:val="auto"/>
          <w:sz w:val="22"/>
          <w:szCs w:val="22"/>
          <w:highlight w:val="none"/>
        </w:rPr>
        <w:t>安装、调试、试运作、验收等工作，并移交</w:t>
      </w:r>
      <w:r>
        <w:rPr>
          <w:rFonts w:hint="eastAsia" w:ascii="宋体" w:hAnsi="宋体" w:eastAsia="宋体" w:cs="Arial"/>
          <w:b w:val="0"/>
          <w:bCs/>
          <w:color w:val="auto"/>
          <w:sz w:val="22"/>
          <w:szCs w:val="22"/>
          <w:highlight w:val="none"/>
          <w:lang w:val="en-US" w:eastAsia="zh-CN"/>
        </w:rPr>
        <w:t>买方</w:t>
      </w:r>
      <w:r>
        <w:rPr>
          <w:rFonts w:hint="eastAsia" w:ascii="宋体" w:hAnsi="宋体" w:eastAsia="宋体" w:cs="Arial"/>
          <w:b w:val="0"/>
          <w:bCs/>
          <w:color w:val="auto"/>
          <w:sz w:val="22"/>
          <w:szCs w:val="22"/>
          <w:highlight w:val="none"/>
        </w:rPr>
        <w:t>。（暂定</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年</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月前</w:t>
      </w:r>
      <w:r>
        <w:rPr>
          <w:rFonts w:hint="eastAsia" w:ascii="宋体" w:hAnsi="宋体" w:eastAsia="宋体" w:cs="Arial"/>
          <w:b w:val="0"/>
          <w:color w:val="auto"/>
          <w:sz w:val="22"/>
          <w:szCs w:val="22"/>
          <w:highlight w:val="none"/>
          <w:lang w:val="en-US" w:eastAsia="zh-CN"/>
        </w:rPr>
        <w:t>完工</w:t>
      </w:r>
      <w:r>
        <w:rPr>
          <w:rFonts w:hint="eastAsia" w:ascii="宋体" w:hAnsi="宋体" w:eastAsia="宋体" w:cs="Arial"/>
          <w:b w:val="0"/>
          <w:bCs/>
          <w:color w:val="auto"/>
          <w:sz w:val="22"/>
          <w:szCs w:val="22"/>
          <w:highlight w:val="none"/>
        </w:rPr>
        <w:t>）。</w:t>
      </w:r>
    </w:p>
    <w:p w14:paraId="44F18DF2">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买方如遇特殊情况，需将交货期推迟，应提前2个月书面通知卖方，卖方应认可。</w:t>
      </w:r>
    </w:p>
    <w:p w14:paraId="13D6ECAB">
      <w:pPr>
        <w:adjustRightInd w:val="0"/>
        <w:snapToGrid w:val="0"/>
        <w:spacing w:line="460" w:lineRule="exact"/>
        <w:ind w:left="480" w:hanging="54"/>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5、交货地点</w:t>
      </w:r>
    </w:p>
    <w:p w14:paraId="7AEC0AB1">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采购人指定地点</w:t>
      </w:r>
      <w:r>
        <w:rPr>
          <w:rFonts w:hint="eastAsia" w:ascii="宋体" w:hAnsi="宋体" w:eastAsia="宋体" w:cs="Arial"/>
          <w:b w:val="0"/>
          <w:color w:val="auto"/>
          <w:sz w:val="22"/>
          <w:szCs w:val="22"/>
          <w:highlight w:val="none"/>
        </w:rPr>
        <w:t>。</w:t>
      </w:r>
    </w:p>
    <w:p w14:paraId="5AC03CD8">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6、接货通知</w:t>
      </w:r>
    </w:p>
    <w:p w14:paraId="3B2233F0">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卖方应在设备运达工地前15天将准备发运的设备名称、规格、数量、包装箱件数、每件包装箱的尺码、毛重及对货物的卸车、贮存的特殊要求通知买方，以便接货。卸货工作及费用由卖方负责。</w:t>
      </w:r>
    </w:p>
    <w:p w14:paraId="55A41455">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7、运输及装卸保险</w:t>
      </w:r>
    </w:p>
    <w:p w14:paraId="015819EC">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7.1货物在装运前由卖方投保，一旦货物在装卸、运输过程中发生损坏或短缺，由卖方负责索赔。</w:t>
      </w:r>
    </w:p>
    <w:p w14:paraId="75E90188">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7.2卖方保证在确认货物因装卸、运输中发生损坏或短缺后，尽快给予调换、修复和补齐缺件，不管其造成的原因如何，均不得拖延交货。</w:t>
      </w:r>
    </w:p>
    <w:p w14:paraId="45D4F705">
      <w:pPr>
        <w:adjustRightInd w:val="0"/>
        <w:snapToGrid w:val="0"/>
        <w:spacing w:line="460" w:lineRule="exact"/>
        <w:ind w:firstLine="440" w:firstLineChars="200"/>
        <w:rPr>
          <w:rFonts w:hint="eastAsia" w:ascii="宋体" w:hAnsi="宋体" w:eastAsia="宋体" w:cs="Arial"/>
          <w:b w:val="0"/>
          <w:color w:val="auto"/>
          <w:sz w:val="22"/>
          <w:szCs w:val="22"/>
          <w:highlight w:val="none"/>
          <w:lang w:val="en-US" w:eastAsia="zh-CN"/>
        </w:rPr>
      </w:pPr>
      <w:r>
        <w:rPr>
          <w:rFonts w:hint="eastAsia" w:ascii="宋体" w:hAnsi="宋体" w:eastAsia="宋体" w:cs="Arial"/>
          <w:b w:val="0"/>
          <w:color w:val="auto"/>
          <w:sz w:val="22"/>
          <w:szCs w:val="22"/>
          <w:highlight w:val="none"/>
          <w:lang w:val="en-US" w:eastAsia="zh-CN"/>
        </w:rPr>
        <w:t>7.3</w:t>
      </w:r>
      <w:r>
        <w:rPr>
          <w:rFonts w:hint="eastAsia" w:ascii="宋体" w:hAnsi="宋体" w:eastAsia="宋体" w:cs="Arial"/>
          <w:b w:val="0"/>
          <w:color w:val="auto"/>
          <w:sz w:val="22"/>
          <w:szCs w:val="22"/>
          <w:highlight w:val="none"/>
        </w:rPr>
        <w:t>卖方负责安装中需要的起重、运输、装卸所需辅助设备，费用已含在合同总价中，所有这些设备都须符合安全作业要求</w:t>
      </w:r>
      <w:r>
        <w:rPr>
          <w:rFonts w:hint="eastAsia" w:ascii="宋体" w:hAnsi="宋体" w:eastAsia="宋体" w:cs="Arial"/>
          <w:b w:val="0"/>
          <w:color w:val="auto"/>
          <w:sz w:val="22"/>
          <w:szCs w:val="22"/>
          <w:highlight w:val="none"/>
          <w:lang w:eastAsia="zh-CN"/>
        </w:rPr>
        <w:t>。</w:t>
      </w:r>
    </w:p>
    <w:p w14:paraId="3D8EFCCB">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8、设备检验及到货验收</w:t>
      </w:r>
    </w:p>
    <w:p w14:paraId="65348041">
      <w:pPr>
        <w:tabs>
          <w:tab w:val="left" w:pos="0"/>
        </w:tabs>
        <w:adjustRightInd w:val="0"/>
        <w:snapToGrid w:val="0"/>
        <w:spacing w:line="460" w:lineRule="exact"/>
        <w:ind w:firstLine="450" w:firstLineChars="205"/>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8.1买方认为如有必要在设备制造过程中派人到生产厂进行监制，或在设备发货前派人赴生产厂进行预验收，卖方应予以积极配合并对监制或预验收工作提供方便，但买方监制并不免除或减轻制造商及卖方对所有产品在制造质量、销售上应负的全部责任，也不作为买方的最终验收。</w:t>
      </w:r>
    </w:p>
    <w:p w14:paraId="4026A653">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8.2货到现场，买方需立即和卖方共同清点箱件验收。如不具备开箱验收的条件，在货到现场后买方需配合卖方妥善保管，但货物的损毁、灭失风险仍由卖方负责。未经卖方同意不得擅自拆箱，否则，零件遗失、损坏由买方负责。卖方在接到买方开箱安装通知后，派员</w:t>
      </w:r>
      <w:r>
        <w:rPr>
          <w:rFonts w:hint="eastAsia" w:ascii="宋体" w:hAnsi="宋体" w:eastAsia="宋体" w:cs="Arial"/>
          <w:b w:val="0"/>
          <w:color w:val="auto"/>
          <w:sz w:val="22"/>
          <w:szCs w:val="22"/>
          <w:highlight w:val="none"/>
          <w:lang w:val="en-US" w:eastAsia="zh-CN"/>
        </w:rPr>
        <w:t>3</w:t>
      </w:r>
      <w:r>
        <w:rPr>
          <w:rFonts w:hint="eastAsia" w:ascii="宋体" w:hAnsi="宋体" w:eastAsia="宋体" w:cs="Arial"/>
          <w:b w:val="0"/>
          <w:color w:val="auto"/>
          <w:sz w:val="22"/>
          <w:szCs w:val="22"/>
          <w:highlight w:val="none"/>
        </w:rPr>
        <w:t>天内会同买方进行货物清点验收（具体时间双方在安装前另行约定），并签字确认，在箱件完好无损的情况下，若发现货物与装箱单数目不符，由卖方负责补齐或收回，如对产品明显的外表质量有异议，应在验收时提出。</w:t>
      </w:r>
    </w:p>
    <w:p w14:paraId="2FFC998B">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color w:val="auto"/>
          <w:sz w:val="22"/>
          <w:szCs w:val="22"/>
          <w:highlight w:val="none"/>
        </w:rPr>
        <w:t>8.3如卖方提供的是进口产品，须在产品进口7天前通知买方，买方有权在进口口岸检查其进口产品及其进口手续凭证，卖方须无条件配合，否则买方不予承认其进口产品并拒绝</w:t>
      </w:r>
      <w:r>
        <w:rPr>
          <w:rFonts w:hint="eastAsia" w:ascii="宋体" w:hAnsi="宋体" w:eastAsia="宋体" w:cs="Arial"/>
          <w:b w:val="0"/>
          <w:bCs/>
          <w:color w:val="auto"/>
          <w:sz w:val="22"/>
          <w:szCs w:val="22"/>
          <w:highlight w:val="none"/>
        </w:rPr>
        <w:t>到货验收，因此引起的一切损失均由卖方负责。</w:t>
      </w:r>
    </w:p>
    <w:p w14:paraId="766F2DB4">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b w:val="0"/>
          <w:color w:val="auto"/>
          <w:sz w:val="22"/>
          <w:szCs w:val="22"/>
          <w:highlight w:val="none"/>
        </w:rPr>
        <w:t>★</w:t>
      </w:r>
      <w:r>
        <w:rPr>
          <w:rFonts w:hint="eastAsia" w:ascii="宋体" w:hAnsi="宋体" w:eastAsia="宋体" w:cs="Arial"/>
          <w:b w:val="0"/>
          <w:bCs/>
          <w:color w:val="auto"/>
          <w:sz w:val="22"/>
          <w:szCs w:val="22"/>
          <w:highlight w:val="none"/>
        </w:rPr>
        <w:t>9</w:t>
      </w:r>
      <w:r>
        <w:rPr>
          <w:rFonts w:hint="eastAsia" w:ascii="宋体" w:hAnsi="宋体" w:eastAsia="宋体" w:cs="Arial"/>
          <w:bCs/>
          <w:color w:val="auto"/>
          <w:sz w:val="22"/>
          <w:szCs w:val="22"/>
          <w:highlight w:val="none"/>
        </w:rPr>
        <w:t>、付款方式</w:t>
      </w:r>
    </w:p>
    <w:p w14:paraId="73E9E797">
      <w:pPr>
        <w:adjustRightInd w:val="0"/>
        <w:snapToGrid w:val="0"/>
        <w:spacing w:line="460" w:lineRule="exact"/>
        <w:ind w:firstLine="440" w:firstLineChars="200"/>
        <w:rPr>
          <w:rFonts w:hint="eastAsia" w:ascii="宋体" w:hAnsi="宋体" w:cs="Arial"/>
          <w:b w:val="0"/>
          <w:color w:val="auto"/>
          <w:sz w:val="22"/>
          <w:szCs w:val="22"/>
          <w:highlight w:val="none"/>
          <w:lang w:eastAsia="zh-CN"/>
        </w:rPr>
      </w:pPr>
      <w:r>
        <w:rPr>
          <w:rFonts w:hint="eastAsia" w:ascii="宋体" w:hAnsi="宋体" w:eastAsia="宋体" w:cs="Arial"/>
          <w:b w:val="0"/>
          <w:color w:val="auto"/>
          <w:sz w:val="22"/>
          <w:szCs w:val="22"/>
          <w:highlight w:val="none"/>
        </w:rPr>
        <w:t>合同签订后</w:t>
      </w:r>
      <w:r>
        <w:rPr>
          <w:rFonts w:ascii="宋体" w:hAnsi="宋体" w:eastAsia="宋体" w:cs="Arial"/>
          <w:b w:val="0"/>
          <w:color w:val="auto"/>
          <w:sz w:val="22"/>
          <w:szCs w:val="22"/>
          <w:highlight w:val="none"/>
        </w:rPr>
        <w:t>7</w:t>
      </w:r>
      <w:r>
        <w:rPr>
          <w:rFonts w:hint="eastAsia" w:ascii="宋体" w:hAnsi="宋体" w:eastAsia="宋体" w:cs="Arial"/>
          <w:b w:val="0"/>
          <w:color w:val="auto"/>
          <w:sz w:val="22"/>
          <w:szCs w:val="22"/>
          <w:highlight w:val="none"/>
        </w:rPr>
        <w:t>个工作日内买方支付卖方设备合同总价的</w:t>
      </w:r>
      <w:r>
        <w:rPr>
          <w:rFonts w:ascii="宋体" w:hAnsi="宋体" w:eastAsia="宋体" w:cs="Arial"/>
          <w:b w:val="0"/>
          <w:color w:val="auto"/>
          <w:sz w:val="22"/>
          <w:szCs w:val="22"/>
          <w:highlight w:val="none"/>
        </w:rPr>
        <w:t>4</w:t>
      </w:r>
      <w:r>
        <w:rPr>
          <w:rFonts w:hint="eastAsia" w:ascii="宋体" w:hAnsi="宋体" w:eastAsia="宋体" w:cs="Arial"/>
          <w:b w:val="0"/>
          <w:color w:val="auto"/>
          <w:sz w:val="22"/>
          <w:szCs w:val="22"/>
          <w:highlight w:val="none"/>
        </w:rPr>
        <w:t>0%作为预付款；货到现场经采购人点箱点件初步验收合格后10个工作日内买方支付卖方至到货设备合同总价的70%（含预付款）；项目验收通过后，10个工作日内买方支付卖方至设备合同总价的</w:t>
      </w:r>
      <w:r>
        <w:rPr>
          <w:rFonts w:hint="eastAsia" w:ascii="宋体" w:hAnsi="宋体" w:cs="Arial"/>
          <w:b w:val="0"/>
          <w:color w:val="auto"/>
          <w:sz w:val="22"/>
          <w:szCs w:val="22"/>
          <w:highlight w:val="none"/>
          <w:lang w:val="en-US" w:eastAsia="zh-CN"/>
        </w:rPr>
        <w:t>100</w:t>
      </w:r>
      <w:r>
        <w:rPr>
          <w:rFonts w:hint="eastAsia" w:ascii="宋体" w:hAnsi="宋体" w:eastAsia="宋体" w:cs="Arial"/>
          <w:b w:val="0"/>
          <w:color w:val="auto"/>
          <w:sz w:val="22"/>
          <w:szCs w:val="22"/>
          <w:highlight w:val="none"/>
        </w:rPr>
        <w:t>%</w:t>
      </w:r>
      <w:r>
        <w:rPr>
          <w:rFonts w:hint="eastAsia" w:ascii="宋体" w:hAnsi="宋体" w:cs="Arial"/>
          <w:b w:val="0"/>
          <w:color w:val="auto"/>
          <w:sz w:val="22"/>
          <w:szCs w:val="22"/>
          <w:highlight w:val="none"/>
          <w:lang w:eastAsia="zh-CN"/>
        </w:rPr>
        <w:t>。</w:t>
      </w:r>
    </w:p>
    <w:p w14:paraId="290B46C7">
      <w:pPr>
        <w:adjustRightInd w:val="0"/>
        <w:snapToGrid w:val="0"/>
        <w:spacing w:line="460" w:lineRule="exact"/>
        <w:ind w:firstLine="440" w:firstLineChars="200"/>
        <w:rPr>
          <w:rFonts w:hint="eastAsia" w:ascii="宋体" w:hAnsi="宋体" w:eastAsia="宋体" w:cs="Arial"/>
          <w:color w:val="auto"/>
          <w:sz w:val="22"/>
          <w:szCs w:val="22"/>
          <w:highlight w:val="none"/>
          <w:lang w:eastAsia="zh-CN"/>
        </w:rPr>
      </w:pPr>
      <w:r>
        <w:rPr>
          <w:rFonts w:hint="eastAsia" w:ascii="宋体" w:hAnsi="宋体" w:eastAsia="宋体" w:cs="Arial"/>
          <w:color w:val="auto"/>
          <w:sz w:val="22"/>
          <w:szCs w:val="22"/>
          <w:highlight w:val="none"/>
        </w:rPr>
        <w:t>注：1、在每次付款前卖方应提供相应的完税发票，否则买方可迟延支付。质保期的最低期限为24个月</w:t>
      </w: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rPr>
        <w:t>所有电梯质保期自电梯专项验收合格并取得温州市特种设备检测研究院的报告之日起</w:t>
      </w:r>
      <w:r>
        <w:rPr>
          <w:rFonts w:hint="eastAsia" w:ascii="宋体" w:hAnsi="宋体" w:eastAsia="宋体" w:cs="Arial"/>
          <w:color w:val="auto"/>
          <w:sz w:val="22"/>
          <w:szCs w:val="22"/>
          <w:highlight w:val="none"/>
          <w:lang w:eastAsia="zh-CN"/>
        </w:rPr>
        <w:t>）</w:t>
      </w:r>
      <w:r>
        <w:rPr>
          <w:rFonts w:hint="eastAsia" w:ascii="宋体" w:hAnsi="宋体" w:eastAsia="宋体" w:cs="Arial"/>
          <w:color w:val="auto"/>
          <w:sz w:val="22"/>
          <w:szCs w:val="22"/>
          <w:highlight w:val="none"/>
        </w:rPr>
        <w:t>，实际以卖方在投标时承诺的质保期为准；2、如买方要求分批供货，则9</w:t>
      </w:r>
      <w:r>
        <w:rPr>
          <w:rFonts w:ascii="宋体" w:hAnsi="宋体" w:eastAsia="宋体" w:cs="Arial"/>
          <w:color w:val="auto"/>
          <w:sz w:val="22"/>
          <w:szCs w:val="22"/>
          <w:highlight w:val="none"/>
        </w:rPr>
        <w:t>.</w:t>
      </w:r>
      <w:r>
        <w:rPr>
          <w:rFonts w:hint="eastAsia" w:ascii="宋体" w:hAnsi="宋体" w:eastAsia="宋体" w:cs="Arial"/>
          <w:color w:val="auto"/>
          <w:sz w:val="22"/>
          <w:szCs w:val="22"/>
          <w:highlight w:val="none"/>
          <w:lang w:val="en-US" w:eastAsia="zh-CN"/>
        </w:rPr>
        <w:t>2</w:t>
      </w:r>
      <w:r>
        <w:rPr>
          <w:rFonts w:hint="eastAsia" w:ascii="宋体" w:hAnsi="宋体" w:eastAsia="宋体" w:cs="Arial"/>
          <w:color w:val="auto"/>
          <w:sz w:val="22"/>
          <w:szCs w:val="22"/>
          <w:highlight w:val="none"/>
        </w:rPr>
        <w:t>、9</w:t>
      </w:r>
      <w:r>
        <w:rPr>
          <w:rFonts w:ascii="宋体" w:hAnsi="宋体" w:eastAsia="宋体" w:cs="Arial"/>
          <w:color w:val="auto"/>
          <w:sz w:val="22"/>
          <w:szCs w:val="22"/>
          <w:highlight w:val="none"/>
        </w:rPr>
        <w:t>.</w:t>
      </w:r>
      <w:r>
        <w:rPr>
          <w:rFonts w:hint="eastAsia" w:ascii="宋体" w:hAnsi="宋体" w:eastAsia="宋体" w:cs="Arial"/>
          <w:color w:val="auto"/>
          <w:sz w:val="22"/>
          <w:szCs w:val="22"/>
          <w:highlight w:val="none"/>
          <w:lang w:val="en-US" w:eastAsia="zh-CN"/>
        </w:rPr>
        <w:t>3</w:t>
      </w:r>
      <w:r>
        <w:rPr>
          <w:rFonts w:hint="eastAsia" w:ascii="宋体" w:hAnsi="宋体" w:eastAsia="宋体" w:cs="Arial"/>
          <w:color w:val="auto"/>
          <w:sz w:val="22"/>
          <w:szCs w:val="22"/>
          <w:highlight w:val="none"/>
        </w:rPr>
        <w:t>款项分批支付</w:t>
      </w:r>
      <w:r>
        <w:rPr>
          <w:rFonts w:hint="eastAsia" w:ascii="宋体" w:hAnsi="宋体" w:eastAsia="宋体" w:cs="Arial"/>
          <w:color w:val="auto"/>
          <w:sz w:val="22"/>
          <w:szCs w:val="22"/>
          <w:highlight w:val="none"/>
          <w:lang w:eastAsia="zh-CN"/>
        </w:rPr>
        <w:t>。</w:t>
      </w:r>
    </w:p>
    <w:p w14:paraId="740136C8">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10、技术服务</w:t>
      </w:r>
    </w:p>
    <w:p w14:paraId="51EE1A9C">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卖方负责免费对买方</w:t>
      </w:r>
      <w:r>
        <w:rPr>
          <w:rFonts w:hint="eastAsia" w:ascii="宋体" w:hAnsi="宋体" w:eastAsia="宋体" w:cs="Arial"/>
          <w:b w:val="0"/>
          <w:color w:val="auto"/>
          <w:sz w:val="22"/>
          <w:szCs w:val="22"/>
          <w:highlight w:val="none"/>
          <w:u w:val="single"/>
        </w:rPr>
        <w:t xml:space="preserve"> 2 </w:t>
      </w:r>
      <w:r>
        <w:rPr>
          <w:rFonts w:hint="eastAsia" w:ascii="宋体" w:hAnsi="宋体" w:eastAsia="宋体" w:cs="Arial"/>
          <w:b w:val="0"/>
          <w:color w:val="auto"/>
          <w:sz w:val="22"/>
          <w:szCs w:val="22"/>
          <w:highlight w:val="none"/>
        </w:rPr>
        <w:t>名电梯技术人员进行现场的技术培训。如需到工厂进行培训，卖方承担来往车费</w:t>
      </w:r>
      <w:r>
        <w:rPr>
          <w:rStyle w:val="43"/>
          <w:rFonts w:hint="eastAsia"/>
          <w:highlight w:val="none"/>
          <w:lang w:eastAsia="zh-CN"/>
        </w:rPr>
        <w:t>、</w:t>
      </w:r>
      <w:r>
        <w:rPr>
          <w:rFonts w:hint="eastAsia" w:ascii="宋体" w:hAnsi="宋体" w:eastAsia="宋体" w:cs="Arial"/>
          <w:b w:val="0"/>
          <w:color w:val="auto"/>
          <w:sz w:val="22"/>
          <w:szCs w:val="22"/>
          <w:highlight w:val="none"/>
        </w:rPr>
        <w:t>培训费及食宿费用。卖方对买方的技术人员培训直至合格。</w:t>
      </w:r>
    </w:p>
    <w:p w14:paraId="5A653D23">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11、关于制造、安装验收的标准和要求及相关承诺</w:t>
      </w:r>
    </w:p>
    <w:p w14:paraId="4B7E3237">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 7588.1-2020《电梯制造与安装安全规范 第1部分：乘客电梯和载货电梯》</w:t>
      </w:r>
    </w:p>
    <w:p w14:paraId="66AAB4A3">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 7588.2-2020《电梯制造与安装安全规范 第2部分：电梯部件的设计原则、计算和检验》</w:t>
      </w:r>
    </w:p>
    <w:p w14:paraId="4E5B5696">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w:t>
      </w:r>
      <w:r>
        <w:rPr>
          <w:rFonts w:ascii="宋体" w:eastAsia="宋体"/>
          <w:b w:val="0"/>
          <w:bCs/>
          <w:color w:val="auto"/>
          <w:sz w:val="22"/>
          <w:szCs w:val="22"/>
          <w:highlight w:val="none"/>
        </w:rPr>
        <w:t>B/T 10058-2023</w:t>
      </w:r>
      <w:r>
        <w:rPr>
          <w:rFonts w:hint="eastAsia" w:ascii="宋体" w:eastAsia="宋体"/>
          <w:b w:val="0"/>
          <w:bCs/>
          <w:color w:val="auto"/>
          <w:sz w:val="22"/>
          <w:szCs w:val="22"/>
          <w:highlight w:val="none"/>
        </w:rPr>
        <w:t xml:space="preserve"> 《电梯技术条件》</w:t>
      </w:r>
    </w:p>
    <w:p w14:paraId="136E4061">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GB/Tl0059-2023  《电梯试验方法》</w:t>
      </w:r>
    </w:p>
    <w:p w14:paraId="72BC1CF0">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 10060-2023 《电梯安装验收规范》</w:t>
      </w:r>
    </w:p>
    <w:p w14:paraId="70A87031">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GB50310-2002《电梯工程施工质量验收规范》</w:t>
      </w:r>
    </w:p>
    <w:p w14:paraId="154964F9">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GB50182-1993《电气安装工程  电梯电气装置施工及验收规范》</w:t>
      </w:r>
    </w:p>
    <w:p w14:paraId="1B4138CE">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GB8903-2024《电梯用钢丝绳》</w:t>
      </w:r>
    </w:p>
    <w:p w14:paraId="13D1D254">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GBJ310-1988《电梯安装工程质量检验评定标准》</w:t>
      </w:r>
    </w:p>
    <w:p w14:paraId="4A184BA2">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 12974.1-2023《交流电梯电动机通用技术条件 第1部分：三相异步电动机》</w:t>
      </w:r>
    </w:p>
    <w:p w14:paraId="64E0BD90">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 7025.1-2023《电梯主参数及轿厢、井道、机房的型式与尺寸 第1部分：Ⅰ、Ⅱ、Ⅲ、Ⅵ类电梯》</w:t>
      </w:r>
    </w:p>
    <w:p w14:paraId="53924A89">
      <w:pPr>
        <w:snapToGrid w:val="0"/>
        <w:spacing w:line="480" w:lineRule="atLeast"/>
        <w:ind w:firstLine="440" w:firstLineChars="200"/>
        <w:rPr>
          <w:rFonts w:hint="eastAsia" w:ascii="宋体" w:eastAsia="宋体"/>
          <w:b w:val="0"/>
          <w:bCs/>
          <w:color w:val="auto"/>
          <w:sz w:val="22"/>
          <w:szCs w:val="22"/>
          <w:highlight w:val="none"/>
        </w:rPr>
      </w:pPr>
      <w:r>
        <w:rPr>
          <w:rFonts w:hint="eastAsia" w:ascii="宋体" w:eastAsia="宋体"/>
          <w:b w:val="0"/>
          <w:bCs/>
          <w:color w:val="auto"/>
          <w:sz w:val="22"/>
          <w:szCs w:val="22"/>
          <w:highlight w:val="none"/>
        </w:rPr>
        <w:t>GB/T 24478-2023《电梯曳引机》</w:t>
      </w:r>
    </w:p>
    <w:p w14:paraId="72FFEAB6">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·其他有关的中国标准和规定</w:t>
      </w:r>
    </w:p>
    <w:p w14:paraId="6990DE6B">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如在合同执行期间有国家新标准颁布，卖方提供的产品需符合相关新标准要求。</w:t>
      </w:r>
    </w:p>
    <w:p w14:paraId="34BB2DD3">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在噪音、振动、设备可靠性、性能等方面需符合以上所列标准中的优等品标准。并达到以下要求：</w:t>
      </w:r>
    </w:p>
    <w:p w14:paraId="375A8D1E">
      <w:pPr>
        <w:adjustRightInd w:val="0"/>
        <w:snapToGrid w:val="0"/>
        <w:spacing w:line="460" w:lineRule="exact"/>
        <w:ind w:firstLine="480"/>
        <w:rPr>
          <w:rFonts w:hint="eastAsia" w:ascii="宋体" w:hAnsi="宋体" w:eastAsia="宋体" w:cs="Arial"/>
          <w:b w:val="0"/>
          <w:color w:val="auto"/>
          <w:sz w:val="22"/>
          <w:szCs w:val="22"/>
          <w:highlight w:val="none"/>
          <w:shd w:val="pct10" w:color="auto" w:fill="FFFFFF"/>
          <w:vertAlign w:val="superscript"/>
        </w:rPr>
      </w:pPr>
      <w:r>
        <w:rPr>
          <w:rFonts w:hint="eastAsia" w:ascii="宋体" w:hAnsi="宋体" w:eastAsia="宋体" w:cs="Arial"/>
          <w:b w:val="0"/>
          <w:color w:val="auto"/>
          <w:sz w:val="22"/>
          <w:szCs w:val="22"/>
          <w:highlight w:val="none"/>
        </w:rPr>
        <w:t>水平振动加速度：≤10mm/s</w:t>
      </w:r>
      <w:r>
        <w:rPr>
          <w:rFonts w:hint="eastAsia" w:ascii="宋体" w:hAnsi="宋体" w:eastAsia="宋体" w:cs="Arial"/>
          <w:b w:val="0"/>
          <w:color w:val="auto"/>
          <w:sz w:val="22"/>
          <w:szCs w:val="22"/>
          <w:highlight w:val="none"/>
          <w:vertAlign w:val="superscript"/>
        </w:rPr>
        <w:t>2</w:t>
      </w:r>
    </w:p>
    <w:p w14:paraId="289C4211">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垂直振动加速度：≤25mm/s</w:t>
      </w:r>
      <w:r>
        <w:rPr>
          <w:rFonts w:hint="eastAsia" w:ascii="宋体" w:hAnsi="宋体" w:eastAsia="宋体" w:cs="Arial"/>
          <w:b w:val="0"/>
          <w:color w:val="auto"/>
          <w:sz w:val="22"/>
          <w:szCs w:val="22"/>
          <w:highlight w:val="none"/>
          <w:vertAlign w:val="superscript"/>
        </w:rPr>
        <w:t>2</w:t>
      </w:r>
    </w:p>
    <w:p w14:paraId="743ECE63">
      <w:pPr>
        <w:adjustRightInd w:val="0"/>
        <w:snapToGrid w:val="0"/>
        <w:spacing w:line="460" w:lineRule="exact"/>
        <w:ind w:firstLine="480"/>
        <w:rPr>
          <w:rFonts w:hint="eastAsia" w:ascii="宋体" w:hAnsi="宋体" w:eastAsia="宋体" w:cs="Arial"/>
          <w:b w:val="0"/>
          <w:color w:val="auto"/>
          <w:sz w:val="22"/>
          <w:szCs w:val="22"/>
          <w:highlight w:val="none"/>
          <w:shd w:val="pct10" w:color="auto" w:fill="FFFFFF"/>
        </w:rPr>
      </w:pPr>
      <w:r>
        <w:rPr>
          <w:rFonts w:hint="eastAsia" w:ascii="宋体" w:hAnsi="宋体" w:eastAsia="宋体" w:cs="Arial"/>
          <w:b w:val="0"/>
          <w:color w:val="auto"/>
          <w:sz w:val="22"/>
          <w:szCs w:val="22"/>
          <w:highlight w:val="none"/>
        </w:rPr>
        <w:t>起制动平均加速度：</w:t>
      </w:r>
      <w:r>
        <w:rPr>
          <w:rFonts w:hint="eastAsia" w:ascii="宋体" w:hAnsi="宋体" w:eastAsia="宋体"/>
          <w:b w:val="0"/>
          <w:bCs/>
          <w:color w:val="auto"/>
          <w:sz w:val="22"/>
          <w:szCs w:val="22"/>
          <w:highlight w:val="none"/>
        </w:rPr>
        <w:t>平均≥0.48m/s²,且在0.48~1m/s²之间可调，最大≤1.75m/s²</w:t>
      </w:r>
    </w:p>
    <w:p w14:paraId="0E38EF00">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运行时轿内噪音：≤55dB（A）</w:t>
      </w:r>
    </w:p>
    <w:p w14:paraId="317B6975">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开关门噪音：≤65dB（A）</w:t>
      </w:r>
    </w:p>
    <w:p w14:paraId="5B9C1625">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机房内噪音：≤75dB（A）</w:t>
      </w:r>
    </w:p>
    <w:p w14:paraId="1488AA74">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平层精度：≤±5mm</w:t>
      </w:r>
    </w:p>
    <w:p w14:paraId="77BE446F">
      <w:pPr>
        <w:adjustRightInd w:val="0"/>
        <w:snapToGrid w:val="0"/>
        <w:spacing w:line="460" w:lineRule="exact"/>
        <w:ind w:firstLine="480"/>
        <w:rPr>
          <w:rFonts w:ascii="宋体" w:hAnsi="宋体" w:eastAsia="宋体" w:cs="Arial"/>
          <w:b w:val="0"/>
          <w:color w:val="auto"/>
          <w:sz w:val="22"/>
          <w:szCs w:val="22"/>
          <w:highlight w:val="none"/>
        </w:rPr>
      </w:pPr>
      <w:r>
        <w:rPr>
          <w:rFonts w:ascii="宋体" w:hAnsi="宋体" w:eastAsia="宋体" w:cs="Arial"/>
          <w:b w:val="0"/>
          <w:color w:val="auto"/>
          <w:sz w:val="22"/>
          <w:szCs w:val="22"/>
          <w:highlight w:val="none"/>
        </w:rPr>
        <w:t>在最终验收时，卖方要对以上性能数据作专门的检测，并提交测试报告给买方。</w:t>
      </w:r>
    </w:p>
    <w:p w14:paraId="7A1724D8">
      <w:pPr>
        <w:adjustRightInd w:val="0"/>
        <w:snapToGrid w:val="0"/>
        <w:spacing w:line="460" w:lineRule="exact"/>
        <w:ind w:firstLine="480"/>
        <w:rPr>
          <w:rFonts w:ascii="宋体" w:hAnsi="宋体" w:eastAsia="宋体" w:cs="Arial"/>
          <w:b w:val="0"/>
          <w:color w:val="auto"/>
          <w:sz w:val="22"/>
          <w:szCs w:val="22"/>
          <w:highlight w:val="none"/>
        </w:rPr>
      </w:pPr>
      <w:r>
        <w:rPr>
          <w:rFonts w:ascii="宋体" w:hAnsi="宋体" w:eastAsia="宋体" w:cs="Arial"/>
          <w:b w:val="0"/>
          <w:color w:val="auto"/>
          <w:sz w:val="22"/>
          <w:szCs w:val="22"/>
          <w:highlight w:val="none"/>
        </w:rPr>
        <w:t>部分或全部测试需根据实际情况在安装期内或后进行，卖方在调试测试后5个工作日内提交测试报告给买方。如买方对测试报告有疑问，买方有权指定有关部门进行测试，如所疑属实，测试费用由卖方负责，卖方负责处理问题，直至合格。如所疑不实，测试费用由买方自负。</w:t>
      </w:r>
    </w:p>
    <w:p w14:paraId="445A87AE">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12、安装调试</w:t>
      </w:r>
    </w:p>
    <w:p w14:paraId="448E060E">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rPr>
        <w:t>.1卖方必须确保其在投标文件中注明的安装单位具备相应安装资质、劳务资格等，卖方与其委托的安装单位间的纠纷由卖方自行处理。</w:t>
      </w:r>
    </w:p>
    <w:p w14:paraId="70BA90B3">
      <w:pPr>
        <w:adjustRightInd w:val="0"/>
        <w:snapToGrid w:val="0"/>
        <w:spacing w:line="460" w:lineRule="exact"/>
        <w:ind w:firstLine="480"/>
        <w:rPr>
          <w:rFonts w:hint="eastAsia" w:ascii="宋体" w:hAnsi="宋体" w:eastAsia="宋体" w:cs="Arial"/>
          <w:b w:val="0"/>
          <w:bCs/>
          <w:color w:val="auto"/>
          <w:sz w:val="22"/>
          <w:szCs w:val="22"/>
          <w:highlight w:val="none"/>
        </w:rPr>
      </w:pPr>
      <w:r>
        <w:rPr>
          <w:rFonts w:hint="eastAsia" w:ascii="宋体" w:hAnsi="宋体" w:eastAsia="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rPr>
        <w:t>.2卖方须提供</w:t>
      </w:r>
      <w:r>
        <w:rPr>
          <w:rFonts w:hint="eastAsia" w:ascii="宋体" w:hAnsi="宋体" w:eastAsia="宋体" w:cs="Arial"/>
          <w:b w:val="0"/>
          <w:color w:val="auto"/>
          <w:sz w:val="22"/>
          <w:szCs w:val="22"/>
          <w:highlight w:val="none"/>
          <w:lang w:val="en-US" w:eastAsia="zh-CN"/>
        </w:rPr>
        <w:t>分批进行</w:t>
      </w:r>
      <w:r>
        <w:rPr>
          <w:rFonts w:hint="eastAsia" w:ascii="宋体" w:hAnsi="宋体" w:eastAsia="宋体" w:cs="Arial"/>
          <w:b w:val="0"/>
          <w:color w:val="auto"/>
          <w:sz w:val="22"/>
          <w:szCs w:val="22"/>
          <w:highlight w:val="none"/>
        </w:rPr>
        <w:t>的安装计划，并须由买方认可。卖方需在本工程实施中派员负责对预埋件（预埋件由卖方负责提供，费用已含在合同总价中）进行施工预埋，有责任及时了解工程进度，合理安排安装时间，确保本项目顺利完成。</w:t>
      </w:r>
      <w:r>
        <w:rPr>
          <w:rFonts w:hint="eastAsia" w:ascii="宋体" w:hAnsi="宋体" w:eastAsia="宋体" w:cs="Arial"/>
          <w:b w:val="0"/>
          <w:bCs/>
          <w:color w:val="auto"/>
          <w:sz w:val="22"/>
          <w:szCs w:val="22"/>
          <w:highlight w:val="none"/>
        </w:rPr>
        <w:t>如果卖方提供的电梯与其提供的电梯井道等图纸不符以及由于卖方委托的安装单位未能及时安装电梯有关的预埋件，均由卖方承担责任并负责整改直至达到国家有关标准和规定要求，由此引起的一切相关的费用由卖方自行承担。</w:t>
      </w:r>
    </w:p>
    <w:p w14:paraId="1A6C1986">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rPr>
        <w:t>.3现场安装须符合国家的相关条例，服从买方的管理和检查，卖方须派有五年以上工作经验及有相似规模工程管理经验的工程师负责安装、监督（见招标、投标文件），并需在安装期内提交他们的工作报告。买方保留有变更人员的权力。</w:t>
      </w:r>
    </w:p>
    <w:p w14:paraId="6CEAD6CD">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rPr>
        <w:t>.4设备安装须经有关部门取得认可，卖方有责任提供相关的认可文件及证书。</w:t>
      </w:r>
    </w:p>
    <w:p w14:paraId="5D2033F5">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rPr>
        <w:t>.5在卖方及卖方委托的安装单位进场施工以前，买方应当履行以下义务：</w:t>
      </w:r>
    </w:p>
    <w:p w14:paraId="1CF77BDA">
      <w:pPr>
        <w:adjustRightInd w:val="0"/>
        <w:snapToGrid w:val="0"/>
        <w:spacing w:line="460" w:lineRule="exact"/>
        <w:ind w:firstLine="440" w:firstLineChars="200"/>
        <w:rPr>
          <w:rFonts w:hint="eastAsia" w:ascii="宋体" w:hAnsi="宋体" w:eastAsia="宋体" w:cs="Arial"/>
          <w:b w:val="0"/>
          <w:color w:val="auto"/>
          <w:spacing w:val="-10"/>
          <w:sz w:val="22"/>
          <w:szCs w:val="22"/>
          <w:highlight w:val="none"/>
        </w:rPr>
      </w:pPr>
      <w:r>
        <w:rPr>
          <w:rFonts w:hint="eastAsia" w:ascii="宋体" w:hAnsi="宋体" w:eastAsia="宋体" w:cs="Arial"/>
          <w:b w:val="0"/>
          <w:color w:val="auto"/>
          <w:sz w:val="22"/>
          <w:szCs w:val="22"/>
          <w:highlight w:val="none"/>
        </w:rPr>
        <w:t>(1)</w:t>
      </w:r>
      <w:r>
        <w:rPr>
          <w:rFonts w:hint="eastAsia" w:ascii="宋体" w:hAnsi="宋体" w:eastAsia="宋体" w:cs="Arial"/>
          <w:b w:val="0"/>
          <w:color w:val="auto"/>
          <w:spacing w:val="-10"/>
          <w:sz w:val="22"/>
          <w:szCs w:val="22"/>
          <w:highlight w:val="none"/>
        </w:rPr>
        <w:t>提供动力电源线（380V 三相五线、独立地线和照明220V）接口。</w:t>
      </w:r>
    </w:p>
    <w:p w14:paraId="6902A458">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w:t>
      </w:r>
      <w:r>
        <w:rPr>
          <w:rFonts w:hint="eastAsia" w:ascii="宋体" w:hAnsi="宋体" w:eastAsia="宋体" w:cs="Arial"/>
          <w:b w:val="0"/>
          <w:color w:val="auto"/>
          <w:spacing w:val="-10"/>
          <w:sz w:val="22"/>
          <w:szCs w:val="22"/>
          <w:highlight w:val="none"/>
        </w:rPr>
        <w:t>)</w:t>
      </w:r>
      <w:r>
        <w:rPr>
          <w:rFonts w:hint="eastAsia" w:ascii="宋体" w:hAnsi="宋体" w:eastAsia="宋体" w:cs="Arial"/>
          <w:b w:val="0"/>
          <w:color w:val="auto"/>
          <w:sz w:val="22"/>
          <w:szCs w:val="22"/>
          <w:highlight w:val="none"/>
        </w:rPr>
        <w:t>提供储物室，以便安装施工期间存放开箱后电梯部件及材料</w:t>
      </w:r>
    </w:p>
    <w:p w14:paraId="69ED0407">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12.</w:t>
      </w:r>
      <w:r>
        <w:rPr>
          <w:rFonts w:hint="eastAsia" w:ascii="宋体" w:hAnsi="宋体" w:eastAsia="宋体" w:cs="Arial"/>
          <w:b w:val="0"/>
          <w:color w:val="auto"/>
          <w:sz w:val="22"/>
          <w:szCs w:val="22"/>
          <w:highlight w:val="none"/>
          <w:lang w:val="en-US" w:eastAsia="zh-CN"/>
        </w:rPr>
        <w:t>6</w:t>
      </w:r>
      <w:r>
        <w:rPr>
          <w:rFonts w:hint="eastAsia" w:ascii="宋体" w:hAnsi="宋体" w:eastAsia="宋体" w:cs="Arial"/>
          <w:b w:val="0"/>
          <w:color w:val="auto"/>
          <w:sz w:val="22"/>
          <w:szCs w:val="22"/>
          <w:highlight w:val="none"/>
        </w:rPr>
        <w:t>本合同电梯由</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u w:val="single"/>
          <w:lang w:val="en-US" w:eastAsia="zh-CN"/>
        </w:rPr>
        <w:t xml:space="preserve">           </w:t>
      </w:r>
      <w:r>
        <w:rPr>
          <w:rFonts w:hint="eastAsia" w:ascii="宋体" w:hAnsi="宋体" w:eastAsia="宋体" w:cs="Arial"/>
          <w:b w:val="0"/>
          <w:color w:val="auto"/>
          <w:sz w:val="22"/>
          <w:szCs w:val="22"/>
          <w:highlight w:val="none"/>
          <w:u w:val="single"/>
        </w:rPr>
        <w:t xml:space="preserve"> </w:t>
      </w:r>
      <w:r>
        <w:rPr>
          <w:rFonts w:hint="eastAsia" w:ascii="宋体" w:hAnsi="宋体" w:eastAsia="宋体" w:cs="Arial"/>
          <w:b w:val="0"/>
          <w:color w:val="auto"/>
          <w:sz w:val="22"/>
          <w:szCs w:val="22"/>
          <w:highlight w:val="none"/>
        </w:rPr>
        <w:t>负责安装调试，卖方对安装质量、安装安全、安装进度等安装事宜负责。</w:t>
      </w:r>
    </w:p>
    <w:p w14:paraId="662278EE">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12.7</w:t>
      </w:r>
      <w:r>
        <w:rPr>
          <w:rFonts w:hint="eastAsia" w:ascii="宋体" w:hAnsi="宋体" w:eastAsia="宋体" w:cs="Arial"/>
          <w:b w:val="0"/>
          <w:color w:val="auto"/>
          <w:sz w:val="22"/>
          <w:szCs w:val="22"/>
          <w:highlight w:val="none"/>
        </w:rPr>
        <w:t>在卖方及卖方委托的安装单位进场施工应当履行以下义务：</w:t>
      </w:r>
    </w:p>
    <w:p w14:paraId="503453B1">
      <w:pPr>
        <w:adjustRightInd w:val="0"/>
        <w:snapToGrid w:val="0"/>
        <w:spacing w:line="460" w:lineRule="exact"/>
        <w:ind w:firstLine="440" w:firstLineChars="200"/>
        <w:rPr>
          <w:rFonts w:hint="eastAsia" w:eastAsia="宋体"/>
          <w:highlight w:val="none"/>
        </w:rPr>
      </w:pPr>
      <w:r>
        <w:rPr>
          <w:rFonts w:hint="eastAsia" w:ascii="宋体" w:hAnsi="宋体" w:eastAsia="宋体" w:cs="Arial"/>
          <w:b w:val="0"/>
          <w:color w:val="auto"/>
          <w:sz w:val="22"/>
          <w:szCs w:val="22"/>
          <w:highlight w:val="none"/>
        </w:rPr>
        <w:t>(1）负责井道清理，包括排水、防水使其达到安装要求。检查后井道如有不合格部分需要修正的，由卖方自行负责修正。</w:t>
      </w:r>
    </w:p>
    <w:p w14:paraId="38F762FC">
      <w:pPr>
        <w:adjustRightInd w:val="0"/>
        <w:snapToGrid w:val="0"/>
        <w:spacing w:line="460" w:lineRule="exact"/>
        <w:ind w:left="46" w:leftChars="22" w:firstLine="327" w:firstLineChars="149"/>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u w:val="none"/>
        </w:rPr>
        <w:t>提供预留预埋件并负责实施预留预埋</w:t>
      </w:r>
      <w:r>
        <w:rPr>
          <w:rFonts w:hint="eastAsia" w:ascii="宋体" w:hAnsi="宋体" w:eastAsia="宋体" w:cs="Arial"/>
          <w:b w:val="0"/>
          <w:color w:val="auto"/>
          <w:sz w:val="22"/>
          <w:szCs w:val="22"/>
          <w:highlight w:val="none"/>
        </w:rPr>
        <w:t>，及时对已现有的井道进行实地勘察</w:t>
      </w:r>
      <w:r>
        <w:rPr>
          <w:rFonts w:hint="eastAsia" w:ascii="宋体" w:hAnsi="宋体" w:eastAsia="宋体" w:cs="Arial"/>
          <w:b w:val="0"/>
          <w:color w:val="auto"/>
          <w:sz w:val="22"/>
          <w:szCs w:val="22"/>
          <w:highlight w:val="none"/>
          <w:lang w:eastAsia="zh-CN"/>
        </w:rPr>
        <w:t>，</w:t>
      </w:r>
      <w:r>
        <w:rPr>
          <w:rFonts w:hint="eastAsia" w:ascii="宋体" w:hAnsi="宋体" w:eastAsia="宋体" w:cs="Arial"/>
          <w:b w:val="0"/>
          <w:color w:val="auto"/>
          <w:sz w:val="22"/>
          <w:szCs w:val="22"/>
          <w:highlight w:val="none"/>
        </w:rPr>
        <w:t>含对现有的土建部分进行必要的调整、完善、修补、重新开孔、</w:t>
      </w:r>
      <w:r>
        <w:rPr>
          <w:rFonts w:hint="eastAsia" w:ascii="宋体" w:hAnsi="宋体" w:eastAsia="宋体" w:cs="Arial"/>
          <w:b/>
          <w:bCs/>
          <w:color w:val="auto"/>
          <w:sz w:val="22"/>
          <w:szCs w:val="22"/>
          <w:highlight w:val="none"/>
        </w:rPr>
        <w:t>因旧梯拆除导致的修复（须按原貌修复）</w:t>
      </w:r>
      <w:r>
        <w:rPr>
          <w:rFonts w:hint="eastAsia" w:ascii="宋体" w:hAnsi="宋体" w:eastAsia="宋体" w:cs="Arial"/>
          <w:b w:val="0"/>
          <w:color w:val="auto"/>
          <w:sz w:val="22"/>
          <w:szCs w:val="22"/>
          <w:highlight w:val="none"/>
        </w:rPr>
        <w:t>等。</w:t>
      </w:r>
    </w:p>
    <w:p w14:paraId="406560FC">
      <w:pPr>
        <w:adjustRightInd w:val="0"/>
        <w:snapToGrid w:val="0"/>
        <w:spacing w:line="460" w:lineRule="exact"/>
        <w:ind w:left="-458" w:leftChars="-218" w:firstLine="880" w:firstLineChars="4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3</w:t>
      </w:r>
      <w:r>
        <w:rPr>
          <w:rFonts w:hint="eastAsia" w:ascii="宋体" w:hAnsi="宋体" w:eastAsia="宋体" w:cs="Arial"/>
          <w:b w:val="0"/>
          <w:color w:val="auto"/>
          <w:sz w:val="22"/>
          <w:szCs w:val="22"/>
          <w:highlight w:val="none"/>
        </w:rPr>
        <w:t>)井道完工后，在双方约定时间内负责检查电梯井道。</w:t>
      </w:r>
    </w:p>
    <w:p w14:paraId="01F17978">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4</w:t>
      </w:r>
      <w:r>
        <w:rPr>
          <w:rFonts w:hint="eastAsia" w:ascii="宋体" w:hAnsi="宋体" w:eastAsia="宋体" w:cs="Arial"/>
          <w:b w:val="0"/>
          <w:color w:val="auto"/>
          <w:sz w:val="22"/>
          <w:szCs w:val="22"/>
          <w:highlight w:val="none"/>
        </w:rPr>
        <w:t>)电源线接至相应工作位置。</w:t>
      </w:r>
    </w:p>
    <w:p w14:paraId="5058CEEE">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5</w:t>
      </w:r>
      <w:r>
        <w:rPr>
          <w:rFonts w:hint="eastAsia" w:ascii="宋体" w:hAnsi="宋体" w:eastAsia="宋体" w:cs="Arial"/>
          <w:b w:val="0"/>
          <w:color w:val="auto"/>
          <w:sz w:val="22"/>
          <w:szCs w:val="22"/>
          <w:highlight w:val="none"/>
        </w:rPr>
        <w:t>)安装期间负责电梯的保管工作。</w:t>
      </w:r>
    </w:p>
    <w:p w14:paraId="0E7CB722">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6</w:t>
      </w:r>
      <w:r>
        <w:rPr>
          <w:rFonts w:hint="eastAsia" w:ascii="宋体" w:hAnsi="宋体" w:eastAsia="宋体" w:cs="Arial"/>
          <w:b w:val="0"/>
          <w:color w:val="auto"/>
          <w:sz w:val="22"/>
          <w:szCs w:val="22"/>
          <w:highlight w:val="none"/>
        </w:rPr>
        <w:t>)负责向当地政府部门办理安装工程手续并承担费用。</w:t>
      </w:r>
    </w:p>
    <w:p w14:paraId="6BE1979E">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7</w:t>
      </w:r>
      <w:r>
        <w:rPr>
          <w:rFonts w:hint="eastAsia" w:ascii="宋体" w:hAnsi="宋体" w:eastAsia="宋体" w:cs="Arial"/>
          <w:b w:val="0"/>
          <w:color w:val="auto"/>
          <w:sz w:val="22"/>
          <w:szCs w:val="22"/>
          <w:highlight w:val="none"/>
        </w:rPr>
        <w:t>)负责特种设备检测部门验收费，并领取准运证</w:t>
      </w:r>
    </w:p>
    <w:p w14:paraId="08B089B6">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8</w:t>
      </w:r>
      <w:r>
        <w:rPr>
          <w:rFonts w:hint="eastAsia" w:ascii="宋体" w:hAnsi="宋体" w:eastAsia="宋体" w:cs="Arial"/>
          <w:b w:val="0"/>
          <w:color w:val="auto"/>
          <w:sz w:val="22"/>
          <w:szCs w:val="22"/>
          <w:highlight w:val="none"/>
        </w:rPr>
        <w:t>)负责电梯的安装、调试、随机资料及专用件的移交工作。</w:t>
      </w:r>
    </w:p>
    <w:p w14:paraId="4AC37891">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9</w:t>
      </w:r>
      <w:r>
        <w:rPr>
          <w:rFonts w:hint="eastAsia" w:ascii="宋体" w:hAnsi="宋体" w:eastAsia="宋体" w:cs="Arial"/>
          <w:b w:val="0"/>
          <w:color w:val="auto"/>
          <w:sz w:val="22"/>
          <w:szCs w:val="22"/>
          <w:highlight w:val="none"/>
        </w:rPr>
        <w:t>)协助配合买方完成向当地政府主管部门申报电梯验收的工作（验收费用已含在合同总价中）。</w:t>
      </w:r>
    </w:p>
    <w:p w14:paraId="369CC5CD">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hint="eastAsia" w:ascii="宋体" w:hAnsi="宋体" w:eastAsia="宋体" w:cs="Arial"/>
          <w:b w:val="0"/>
          <w:color w:val="auto"/>
          <w:sz w:val="22"/>
          <w:szCs w:val="22"/>
          <w:highlight w:val="none"/>
          <w:lang w:val="en-US" w:eastAsia="zh-CN"/>
        </w:rPr>
        <w:t>0</w:t>
      </w:r>
      <w:r>
        <w:rPr>
          <w:rFonts w:hint="eastAsia" w:ascii="宋体" w:hAnsi="宋体" w:eastAsia="宋体" w:cs="Arial"/>
          <w:b w:val="0"/>
          <w:color w:val="auto"/>
          <w:sz w:val="22"/>
          <w:szCs w:val="22"/>
          <w:highlight w:val="none"/>
        </w:rPr>
        <w:t>)免费指导买方物业管理维修人员现场安装及保养培训。</w:t>
      </w:r>
    </w:p>
    <w:p w14:paraId="6E7DD958">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hint="eastAsia" w:ascii="宋体" w:hAnsi="宋体" w:eastAsia="宋体" w:cs="Arial"/>
          <w:b w:val="0"/>
          <w:color w:val="auto"/>
          <w:sz w:val="22"/>
          <w:szCs w:val="22"/>
          <w:highlight w:val="none"/>
          <w:lang w:val="en-US" w:eastAsia="zh-CN"/>
        </w:rPr>
        <w:t>1</w:t>
      </w:r>
      <w:r>
        <w:rPr>
          <w:rFonts w:hint="eastAsia" w:ascii="宋体" w:hAnsi="宋体" w:eastAsia="宋体" w:cs="Arial"/>
          <w:b w:val="0"/>
          <w:color w:val="auto"/>
          <w:sz w:val="22"/>
          <w:szCs w:val="22"/>
          <w:highlight w:val="none"/>
        </w:rPr>
        <w:t>)交付使用的电梯必须具备五方通话功能，以满足轿厢内、轿顶、底坑、控制柜、值班室的语音联系，并承担控制柜至物业值班室的通讯工具。</w:t>
      </w:r>
    </w:p>
    <w:p w14:paraId="3401F69B">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12</w:t>
      </w:r>
      <w:r>
        <w:rPr>
          <w:rFonts w:hint="eastAsia" w:ascii="宋体" w:hAnsi="宋体" w:eastAsia="宋体" w:cs="Arial"/>
          <w:b w:val="0"/>
          <w:color w:val="auto"/>
          <w:sz w:val="22"/>
          <w:szCs w:val="22"/>
          <w:highlight w:val="none"/>
        </w:rPr>
        <w:t>)由卖方承担涉及电梯安装所需脚手架的全部费用。</w:t>
      </w:r>
    </w:p>
    <w:p w14:paraId="3B8C2D39">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13</w:t>
      </w:r>
      <w:r>
        <w:rPr>
          <w:rFonts w:hint="eastAsia" w:ascii="宋体" w:hAnsi="宋体" w:eastAsia="宋体" w:cs="Arial"/>
          <w:b w:val="0"/>
          <w:color w:val="auto"/>
          <w:sz w:val="22"/>
          <w:szCs w:val="22"/>
          <w:highlight w:val="none"/>
        </w:rPr>
        <w:t>)电梯调试时，使用的调试电缆由卖方负责。</w:t>
      </w:r>
    </w:p>
    <w:p w14:paraId="681510BD">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14</w:t>
      </w:r>
      <w:r>
        <w:rPr>
          <w:rFonts w:hint="eastAsia" w:ascii="宋体" w:hAnsi="宋体" w:eastAsia="宋体" w:cs="Arial"/>
          <w:b w:val="0"/>
          <w:color w:val="auto"/>
          <w:sz w:val="22"/>
          <w:szCs w:val="22"/>
          <w:highlight w:val="none"/>
        </w:rPr>
        <w:t>)卖方负责安装期间的安全防护（特别是每层门洞口）</w:t>
      </w:r>
    </w:p>
    <w:p w14:paraId="2BEDCA9D">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15</w:t>
      </w:r>
      <w:r>
        <w:rPr>
          <w:rFonts w:hint="eastAsia" w:ascii="宋体" w:hAnsi="宋体" w:eastAsia="宋体" w:cs="Arial"/>
          <w:b w:val="0"/>
          <w:color w:val="auto"/>
          <w:sz w:val="22"/>
          <w:szCs w:val="22"/>
          <w:highlight w:val="none"/>
        </w:rPr>
        <w:t>)施工期间遵守买方、监理方有关制度，做到文明施工。</w:t>
      </w:r>
    </w:p>
    <w:p w14:paraId="13344A6A">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16</w:t>
      </w:r>
      <w:r>
        <w:rPr>
          <w:rFonts w:hint="eastAsia" w:ascii="宋体" w:hAnsi="宋体" w:eastAsia="宋体" w:cs="Arial"/>
          <w:b w:val="0"/>
          <w:color w:val="auto"/>
          <w:sz w:val="22"/>
          <w:szCs w:val="22"/>
          <w:highlight w:val="none"/>
        </w:rPr>
        <w:t>)在电梯验收合格移交给买方前，一切的安全责任均由卖方负责。</w:t>
      </w:r>
    </w:p>
    <w:p w14:paraId="0A6454E0">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w:t>
      </w:r>
      <w:r>
        <w:rPr>
          <w:rFonts w:hint="eastAsia" w:ascii="宋体" w:hAnsi="宋体" w:eastAsia="宋体" w:cs="Arial"/>
          <w:b w:val="0"/>
          <w:color w:val="auto"/>
          <w:sz w:val="22"/>
          <w:szCs w:val="22"/>
          <w:highlight w:val="none"/>
          <w:lang w:val="en-US" w:eastAsia="zh-CN"/>
        </w:rPr>
        <w:t>17</w:t>
      </w:r>
      <w:r>
        <w:rPr>
          <w:rFonts w:hint="eastAsia" w:ascii="宋体" w:hAnsi="宋体" w:eastAsia="宋体" w:cs="Arial"/>
          <w:b w:val="0"/>
          <w:color w:val="auto"/>
          <w:sz w:val="22"/>
          <w:szCs w:val="22"/>
          <w:highlight w:val="none"/>
        </w:rPr>
        <w:t>)合同及招标文件中规定的其它责任和义务。</w:t>
      </w:r>
    </w:p>
    <w:p w14:paraId="1BCD1DDF">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12.</w:t>
      </w:r>
      <w:r>
        <w:rPr>
          <w:rFonts w:hint="eastAsia" w:ascii="宋体" w:hAnsi="宋体" w:eastAsia="宋体" w:cs="Arial"/>
          <w:b w:val="0"/>
          <w:bCs/>
          <w:color w:val="auto"/>
          <w:sz w:val="22"/>
          <w:szCs w:val="22"/>
          <w:highlight w:val="none"/>
          <w:lang w:val="en-US" w:eastAsia="zh-CN"/>
        </w:rPr>
        <w:t>8</w:t>
      </w:r>
      <w:r>
        <w:rPr>
          <w:rFonts w:hint="eastAsia" w:ascii="宋体" w:hAnsi="宋体" w:eastAsia="宋体" w:cs="Arial"/>
          <w:b w:val="0"/>
          <w:bCs/>
          <w:color w:val="auto"/>
          <w:sz w:val="22"/>
          <w:szCs w:val="22"/>
          <w:highlight w:val="none"/>
        </w:rPr>
        <w:t>土建及安装要求：</w:t>
      </w:r>
    </w:p>
    <w:p w14:paraId="6E501E99">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（1）买方对井道等的土建须按双方确认的电梯土建施工设计图纸及其图上的技术说明设计和施工，双方代表签字确认的电梯设计图同时作为本合同的附件。</w:t>
      </w:r>
    </w:p>
    <w:p w14:paraId="00F5C2D8">
      <w:p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（2）买方加装电梯附属设备须经卖方确认，否则由此引起的安全事故及其他不良后果，由买方负责。</w:t>
      </w:r>
    </w:p>
    <w:p w14:paraId="4D576BA6">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3</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卖方</w:t>
      </w:r>
      <w:r>
        <w:rPr>
          <w:rFonts w:hint="eastAsia" w:ascii="宋体" w:hAnsi="宋体" w:eastAsia="宋体" w:cs="Arial"/>
          <w:b w:val="0"/>
          <w:color w:val="auto"/>
          <w:sz w:val="22"/>
          <w:szCs w:val="22"/>
          <w:highlight w:val="none"/>
        </w:rPr>
        <w:t>负责井道清理，包括排水、防水使其达到安装要求。</w:t>
      </w:r>
      <w:r>
        <w:rPr>
          <w:rFonts w:hint="eastAsia" w:ascii="宋体" w:hAnsi="宋体" w:eastAsia="宋体" w:cs="Arial"/>
          <w:b w:val="0"/>
          <w:color w:val="auto"/>
          <w:sz w:val="22"/>
          <w:szCs w:val="22"/>
          <w:highlight w:val="none"/>
          <w:lang w:val="en-US" w:eastAsia="zh-CN"/>
        </w:rPr>
        <w:t>井道完工后，在双方约定时间内负责检查电梯井道，</w:t>
      </w:r>
      <w:r>
        <w:rPr>
          <w:rFonts w:hint="eastAsia" w:ascii="宋体" w:hAnsi="宋体" w:eastAsia="宋体" w:cs="Arial"/>
          <w:b w:val="0"/>
          <w:color w:val="auto"/>
          <w:sz w:val="22"/>
          <w:szCs w:val="22"/>
          <w:highlight w:val="none"/>
        </w:rPr>
        <w:t>检查后井道如有不合格部分需要修正的，由卖方自行负责修正。</w:t>
      </w:r>
    </w:p>
    <w:p w14:paraId="28ADBC81">
      <w:pPr>
        <w:adjustRightInd w:val="0"/>
        <w:snapToGrid w:val="0"/>
        <w:spacing w:line="460" w:lineRule="exact"/>
        <w:ind w:firstLine="440" w:firstLineChars="200"/>
        <w:rPr>
          <w:rFonts w:hint="eastAsia" w:ascii="宋体" w:hAnsi="宋体" w:eastAsia="宋体" w:cs="Arial"/>
          <w:b w:val="0"/>
          <w:color w:val="auto"/>
          <w:sz w:val="22"/>
          <w:szCs w:val="22"/>
          <w:highlight w:val="none"/>
          <w:lang w:eastAsia="zh-CN"/>
        </w:rPr>
      </w:pPr>
      <w:r>
        <w:rPr>
          <w:rFonts w:hint="eastAsia" w:ascii="宋体" w:hAnsi="宋体" w:eastAsia="宋体" w:cs="Arial"/>
          <w:b w:val="0"/>
          <w:color w:val="auto"/>
          <w:sz w:val="22"/>
          <w:szCs w:val="22"/>
          <w:highlight w:val="none"/>
          <w:lang w:eastAsia="zh-CN"/>
        </w:rPr>
        <w:t>（</w:t>
      </w:r>
      <w:r>
        <w:rPr>
          <w:rFonts w:hint="eastAsia" w:ascii="宋体" w:hAnsi="宋体" w:eastAsia="宋体" w:cs="Arial"/>
          <w:b w:val="0"/>
          <w:color w:val="auto"/>
          <w:sz w:val="22"/>
          <w:szCs w:val="22"/>
          <w:highlight w:val="none"/>
          <w:lang w:val="en-US" w:eastAsia="zh-CN"/>
        </w:rPr>
        <w:t>4</w:t>
      </w:r>
      <w:r>
        <w:rPr>
          <w:rFonts w:hint="eastAsia" w:ascii="宋体" w:hAnsi="宋体" w:eastAsia="宋体" w:cs="Arial"/>
          <w:b w:val="0"/>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卖方提供预留预埋件并负责实施预留预埋，及时对现有的井道进行实地勘察、含对现有的土建部分进行必要的调整、完善、修补、重新开孔、因旧梯拆除导致的修复（须按原貌修复）等。</w:t>
      </w:r>
    </w:p>
    <w:p w14:paraId="34DC6B62">
      <w:pPr>
        <w:adjustRightInd w:val="0"/>
        <w:snapToGrid w:val="0"/>
        <w:spacing w:line="460" w:lineRule="exact"/>
        <w:ind w:firstLine="440" w:firstLineChars="200"/>
        <w:rPr>
          <w:rFonts w:hint="default" w:ascii="宋体" w:hAnsi="宋体" w:eastAsia="宋体" w:cs="Arial"/>
          <w:b w:val="0"/>
          <w:bCs/>
          <w:color w:val="auto"/>
          <w:sz w:val="22"/>
          <w:szCs w:val="22"/>
          <w:highlight w:val="none"/>
          <w:lang w:val="en-US" w:eastAsia="zh-CN"/>
        </w:rPr>
      </w:pPr>
      <w:r>
        <w:rPr>
          <w:rFonts w:hint="eastAsia" w:ascii="宋体" w:hAnsi="宋体" w:eastAsia="宋体" w:cs="Arial"/>
          <w:b w:val="0"/>
          <w:bCs/>
          <w:color w:val="auto"/>
          <w:sz w:val="22"/>
          <w:szCs w:val="22"/>
          <w:highlight w:val="none"/>
        </w:rPr>
        <w:t>13、设备最终验收前的人员及设备安全及成品保护，概由卖方负责。</w:t>
      </w:r>
    </w:p>
    <w:p w14:paraId="4C935F59">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14、设备最终验收</w:t>
      </w:r>
    </w:p>
    <w:p w14:paraId="12D100FB">
      <w:pPr>
        <w:adjustRightInd w:val="0"/>
        <w:snapToGrid w:val="0"/>
        <w:spacing w:line="460" w:lineRule="exact"/>
        <w:ind w:firstLine="48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14.1工程完成后，卖方须负责全部设备的保护和清洁工作，直至设备验收合格并正常运行后为止。在安装过程中，如建筑结构或其它设备因卖方或安装单位原因而被损坏，卖方无条件修复或赔偿损失。</w:t>
      </w:r>
    </w:p>
    <w:p w14:paraId="6E6FC1F1">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14.2 验收合格条件</w:t>
      </w:r>
    </w:p>
    <w:p w14:paraId="0524315F">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（1）运行结果符合产品标准和技术规格书及合同要求。</w:t>
      </w:r>
    </w:p>
    <w:p w14:paraId="577E0A15">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（2）在进行测试和验收运行过程中发生的故障已被消除并得到买方的认可。</w:t>
      </w:r>
    </w:p>
    <w:p w14:paraId="6295EFF3">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（3）所有合同中规定的货物和材料都已准确无误地提交。</w:t>
      </w:r>
    </w:p>
    <w:p w14:paraId="2D53BF4D">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（4）设备在交由买方使用之前已通过技术监督部门及温州市特种设备检测研究院的验收并得到使用证书。</w:t>
      </w:r>
    </w:p>
    <w:p w14:paraId="71371F96">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（5）整套设备图纸及技术文件都已提交并得到接受，提交的设备图纸及技术文件等竣工资料一共四套。</w:t>
      </w:r>
    </w:p>
    <w:p w14:paraId="6DD838EA">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（6）设备的安装、调试结束后，经过试运转考核无故障，并经温州市特种设备检测研究院检验合格后，买卖双方共同签署验收合格证书。</w:t>
      </w:r>
    </w:p>
    <w:p w14:paraId="03D2A3C6">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15、产品质量保证</w:t>
      </w:r>
    </w:p>
    <w:p w14:paraId="68B01196">
      <w:pPr>
        <w:keepNext w:val="0"/>
        <w:keepLines w:val="0"/>
        <w:pageBreakBefore w:val="0"/>
        <w:widowControl/>
        <w:kinsoku w:val="0"/>
        <w:wordWrap/>
        <w:overflowPunct/>
        <w:topLinePunct w:val="0"/>
        <w:autoSpaceDE w:val="0"/>
        <w:autoSpaceDN w:val="0"/>
        <w:bidi w:val="0"/>
        <w:adjustRightInd w:val="0"/>
        <w:snapToGrid w:val="0"/>
        <w:spacing w:line="480" w:lineRule="exact"/>
        <w:ind w:firstLine="440" w:firstLineChars="200"/>
        <w:textAlignment w:val="baseline"/>
        <w:rPr>
          <w:rFonts w:hint="eastAsia" w:ascii="宋体" w:hAnsi="宋体" w:eastAsia="宋体" w:cs="Arial"/>
          <w:b w:val="0"/>
          <w:color w:val="auto"/>
          <w:sz w:val="22"/>
          <w:szCs w:val="22"/>
          <w:highlight w:val="none"/>
          <w:u w:val="none"/>
        </w:rPr>
      </w:pPr>
      <w:r>
        <w:rPr>
          <w:rFonts w:hint="eastAsia" w:ascii="宋体" w:hAnsi="宋体" w:eastAsia="宋体" w:cs="Arial"/>
          <w:b w:val="0"/>
          <w:color w:val="auto"/>
          <w:sz w:val="22"/>
          <w:szCs w:val="22"/>
          <w:highlight w:val="none"/>
        </w:rPr>
        <w:t>卖方保证所提供的产品按投标文件及询标承诺规定的材料生产，产品是全新未使用过的</w:t>
      </w:r>
      <w:r>
        <w:rPr>
          <w:rFonts w:hint="eastAsia" w:ascii="宋体" w:hAnsi="宋体" w:eastAsia="宋体" w:cs="Arial"/>
          <w:b w:val="0"/>
          <w:color w:val="auto"/>
          <w:sz w:val="22"/>
          <w:szCs w:val="22"/>
          <w:highlight w:val="none"/>
          <w:u w:val="none"/>
        </w:rPr>
        <w:t>且符合本合同及招标文件中对质量及规格的规定。</w:t>
      </w:r>
      <w:r>
        <w:rPr>
          <w:rFonts w:ascii="宋体" w:hAnsi="宋体" w:eastAsia="宋体" w:cs="Arial"/>
          <w:b w:val="0"/>
          <w:color w:val="auto"/>
          <w:sz w:val="22"/>
          <w:szCs w:val="22"/>
          <w:highlight w:val="none"/>
          <w:u w:val="none"/>
        </w:rPr>
        <w:t>产品质量保证期从</w:t>
      </w:r>
      <w:r>
        <w:rPr>
          <w:rFonts w:ascii="宋体" w:hAnsi="宋体" w:eastAsia="宋体" w:cs="Arial"/>
          <w:b w:val="0"/>
          <w:bCs/>
          <w:color w:val="auto"/>
          <w:sz w:val="22"/>
          <w:szCs w:val="22"/>
          <w:highlight w:val="none"/>
          <w:u w:val="none"/>
        </w:rPr>
        <w:t>设备</w:t>
      </w:r>
      <w:r>
        <w:rPr>
          <w:rFonts w:ascii="宋体" w:hAnsi="宋体" w:eastAsia="宋体" w:cs="Arial"/>
          <w:b w:val="0"/>
          <w:color w:val="auto"/>
          <w:sz w:val="22"/>
          <w:szCs w:val="22"/>
          <w:highlight w:val="none"/>
          <w:u w:val="none"/>
        </w:rPr>
        <w:t>安装完毕</w:t>
      </w:r>
      <w:r>
        <w:rPr>
          <w:rFonts w:hint="eastAsia" w:ascii="宋体" w:hAnsi="宋体" w:eastAsia="宋体" w:cs="Arial"/>
          <w:b w:val="0"/>
          <w:color w:val="auto"/>
          <w:sz w:val="22"/>
          <w:szCs w:val="22"/>
          <w:highlight w:val="none"/>
          <w:u w:val="none"/>
          <w:lang w:val="en-US" w:eastAsia="zh-CN"/>
        </w:rPr>
        <w:t>并取得</w:t>
      </w:r>
      <w:r>
        <w:rPr>
          <w:rFonts w:hint="eastAsia" w:ascii="宋体" w:hAnsi="宋体" w:eastAsia="宋体" w:cs="Arial"/>
          <w:b w:val="0"/>
          <w:bCs/>
          <w:color w:val="auto"/>
          <w:sz w:val="22"/>
          <w:szCs w:val="22"/>
          <w:highlight w:val="none"/>
          <w:u w:val="none"/>
        </w:rPr>
        <w:t>温州市特种设备检测研究院</w:t>
      </w:r>
      <w:r>
        <w:rPr>
          <w:rFonts w:hint="eastAsia" w:ascii="宋体" w:hAnsi="宋体" w:eastAsia="宋体" w:cs="Arial"/>
          <w:b w:val="0"/>
          <w:bCs/>
          <w:color w:val="auto"/>
          <w:sz w:val="22"/>
          <w:szCs w:val="22"/>
          <w:highlight w:val="none"/>
          <w:u w:val="none"/>
          <w:lang w:val="en-US" w:eastAsia="zh-CN"/>
        </w:rPr>
        <w:t>的报告</w:t>
      </w:r>
      <w:r>
        <w:rPr>
          <w:rFonts w:ascii="宋体" w:hAnsi="宋体" w:eastAsia="宋体" w:cs="Arial"/>
          <w:b w:val="0"/>
          <w:color w:val="auto"/>
          <w:sz w:val="22"/>
          <w:szCs w:val="22"/>
          <w:highlight w:val="none"/>
          <w:u w:val="none"/>
        </w:rPr>
        <w:t>之日</w:t>
      </w:r>
      <w:r>
        <w:rPr>
          <w:rFonts w:hint="eastAsia" w:ascii="宋体" w:hAnsi="宋体" w:eastAsia="宋体" w:cs="Arial"/>
          <w:b w:val="0"/>
          <w:color w:val="auto"/>
          <w:sz w:val="22"/>
          <w:szCs w:val="22"/>
          <w:highlight w:val="none"/>
          <w:u w:val="none"/>
        </w:rPr>
        <w:t>开始计算，期限按照投标文件承诺</w:t>
      </w:r>
      <w:r>
        <w:rPr>
          <w:rFonts w:hint="eastAsia" w:ascii="宋体" w:hAnsi="宋体" w:eastAsia="宋体" w:cs="Arial"/>
          <w:b w:val="0"/>
          <w:color w:val="auto"/>
          <w:sz w:val="22"/>
          <w:szCs w:val="22"/>
          <w:highlight w:val="none"/>
          <w:u w:val="single"/>
          <w:lang w:val="en-US" w:eastAsia="zh-CN"/>
        </w:rPr>
        <w:t xml:space="preserve">       </w:t>
      </w:r>
      <w:r>
        <w:rPr>
          <w:rFonts w:hint="eastAsia" w:ascii="宋体" w:hAnsi="宋体" w:eastAsia="宋体" w:cs="Arial"/>
          <w:b w:val="0"/>
          <w:color w:val="auto"/>
          <w:sz w:val="22"/>
          <w:szCs w:val="22"/>
          <w:highlight w:val="none"/>
          <w:u w:val="none"/>
        </w:rPr>
        <w:t>个月</w:t>
      </w:r>
      <w:r>
        <w:rPr>
          <w:rFonts w:hint="eastAsia" w:ascii="宋体" w:hAnsi="宋体" w:eastAsia="宋体" w:cs="Arial"/>
          <w:b w:val="0"/>
          <w:color w:val="auto"/>
          <w:sz w:val="22"/>
          <w:szCs w:val="22"/>
          <w:highlight w:val="none"/>
          <w:u w:val="none"/>
          <w:lang w:eastAsia="zh-CN"/>
        </w:rPr>
        <w:t>（</w:t>
      </w:r>
      <w:r>
        <w:rPr>
          <w:rFonts w:hint="eastAsia" w:ascii="宋体" w:hAnsi="宋体" w:eastAsia="宋体" w:cs="Arial"/>
          <w:b w:val="0"/>
          <w:color w:val="auto"/>
          <w:sz w:val="22"/>
          <w:szCs w:val="22"/>
          <w:highlight w:val="none"/>
          <w:lang w:val="en-US" w:eastAsia="zh-CN"/>
        </w:rPr>
        <w:t>其中：六大部件（控制柜（含所有元器件）、门机、限速器、安全钳、缓冲器）质保期大于等于五年，其他部件质保期期及电梯免费保养期二年</w:t>
      </w:r>
      <w:r>
        <w:rPr>
          <w:rFonts w:hint="eastAsia" w:ascii="宋体" w:hAnsi="宋体" w:eastAsia="宋体" w:cs="Arial"/>
          <w:b w:val="0"/>
          <w:color w:val="auto"/>
          <w:sz w:val="22"/>
          <w:szCs w:val="22"/>
          <w:highlight w:val="none"/>
          <w:lang w:eastAsia="zh-CN"/>
        </w:rPr>
        <w:t>）</w:t>
      </w:r>
      <w:r>
        <w:rPr>
          <w:rFonts w:hint="eastAsia" w:ascii="宋体" w:hAnsi="宋体" w:eastAsia="宋体" w:cs="Arial"/>
          <w:b w:val="0"/>
          <w:color w:val="auto"/>
          <w:sz w:val="22"/>
          <w:szCs w:val="22"/>
          <w:highlight w:val="none"/>
        </w:rPr>
        <w:t>。</w:t>
      </w:r>
    </w:p>
    <w:p w14:paraId="345CDF5B">
      <w:pPr>
        <w:adjustRightInd w:val="0"/>
        <w:snapToGrid w:val="0"/>
        <w:spacing w:line="460" w:lineRule="exact"/>
        <w:ind w:firstLine="440" w:firstLineChars="200"/>
        <w:rPr>
          <w:rFonts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16、售后服务</w:t>
      </w:r>
    </w:p>
    <w:p w14:paraId="6AEED391">
      <w:pPr>
        <w:adjustRightInd w:val="0"/>
        <w:snapToGrid w:val="0"/>
        <w:spacing w:line="460" w:lineRule="exact"/>
        <w:ind w:firstLine="435"/>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无论在质量保证期内还是质量保证期满后，一旦发生故障，在接到买方通知后，卖方维修人员须在</w:t>
      </w:r>
      <w:r>
        <w:rPr>
          <w:rFonts w:hint="eastAsia" w:ascii="宋体" w:hAnsi="宋体" w:eastAsia="宋体" w:cs="Arial"/>
          <w:b w:val="0"/>
          <w:color w:val="auto"/>
          <w:sz w:val="22"/>
          <w:szCs w:val="22"/>
          <w:highlight w:val="none"/>
          <w:lang w:val="en-US" w:eastAsia="zh-CN"/>
        </w:rPr>
        <w:t>30分钟</w:t>
      </w:r>
      <w:r>
        <w:rPr>
          <w:rFonts w:hint="eastAsia" w:ascii="宋体" w:hAnsi="宋体" w:eastAsia="宋体" w:cs="Arial"/>
          <w:b w:val="0"/>
          <w:color w:val="auto"/>
          <w:sz w:val="22"/>
          <w:szCs w:val="22"/>
          <w:highlight w:val="none"/>
        </w:rPr>
        <w:t>内到买方现场处理</w:t>
      </w:r>
      <w:r>
        <w:rPr>
          <w:rFonts w:hint="eastAsia" w:ascii="宋体" w:hAnsi="宋体" w:eastAsia="宋体" w:cs="Arial"/>
          <w:b w:val="0"/>
          <w:color w:val="auto"/>
          <w:sz w:val="22"/>
          <w:szCs w:val="22"/>
          <w:highlight w:val="none"/>
          <w:lang w:val="en-US" w:eastAsia="zh-CN"/>
        </w:rPr>
        <w:t>进行不间断的修理直至修复，</w:t>
      </w:r>
      <w:r>
        <w:rPr>
          <w:rFonts w:hint="eastAsia" w:ascii="宋体" w:hAnsi="宋体" w:eastAsia="宋体" w:cs="Arial"/>
          <w:b w:val="0"/>
          <w:color w:val="auto"/>
          <w:sz w:val="22"/>
          <w:szCs w:val="22"/>
          <w:highlight w:val="none"/>
        </w:rPr>
        <w:t>并提供备品、备件。</w:t>
      </w:r>
    </w:p>
    <w:p w14:paraId="6F04FDFD">
      <w:pPr>
        <w:adjustRightInd w:val="0"/>
        <w:snapToGrid w:val="0"/>
        <w:spacing w:line="460" w:lineRule="exact"/>
        <w:ind w:left="50" w:leftChars="24" w:firstLine="440" w:firstLineChars="200"/>
        <w:rPr>
          <w:rFonts w:hint="eastAsia" w:ascii="宋体" w:hAnsi="宋体" w:eastAsia="宋体" w:cs="Arial"/>
          <w:b w:val="0"/>
          <w:color w:val="auto"/>
          <w:sz w:val="22"/>
          <w:szCs w:val="22"/>
          <w:highlight w:val="none"/>
          <w:u w:val="none"/>
        </w:rPr>
      </w:pPr>
      <w:r>
        <w:rPr>
          <w:rFonts w:hint="eastAsia" w:ascii="宋体" w:hAnsi="宋体" w:eastAsia="宋体" w:cs="Arial"/>
          <w:b w:val="0"/>
          <w:color w:val="auto"/>
          <w:sz w:val="22"/>
          <w:szCs w:val="22"/>
          <w:highlight w:val="none"/>
          <w:u w:val="none"/>
        </w:rPr>
        <w:t>每起、制动运行60000次非人为因素发生故障次数: 电梯≤5次/台（超过故障次数，则每次赔偿500元）。</w:t>
      </w:r>
    </w:p>
    <w:p w14:paraId="10BE706A">
      <w:pPr>
        <w:adjustRightInd w:val="0"/>
        <w:snapToGrid w:val="0"/>
        <w:spacing w:line="460" w:lineRule="exact"/>
        <w:ind w:left="50" w:leftChars="24" w:firstLine="440" w:firstLineChars="200"/>
        <w:rPr>
          <w:rFonts w:hint="eastAsia" w:ascii="宋体" w:hAnsi="宋体" w:eastAsia="宋体" w:cs="Arial"/>
          <w:b w:val="0"/>
          <w:color w:val="auto"/>
          <w:sz w:val="22"/>
          <w:szCs w:val="22"/>
          <w:highlight w:val="none"/>
          <w:u w:val="none"/>
        </w:rPr>
      </w:pPr>
      <w:r>
        <w:rPr>
          <w:rFonts w:hint="eastAsia" w:ascii="宋体" w:hAnsi="宋体" w:eastAsia="宋体" w:cs="Arial"/>
          <w:b w:val="0"/>
          <w:color w:val="auto"/>
          <w:sz w:val="22"/>
          <w:szCs w:val="22"/>
          <w:highlight w:val="none"/>
          <w:u w:val="none"/>
        </w:rPr>
        <w:t>电梯一般故障在接到报修电话后3小时内修复，修复时间超过，每超过1次赔偿500元。</w:t>
      </w:r>
    </w:p>
    <w:p w14:paraId="371A8E6B">
      <w:pPr>
        <w:adjustRightInd w:val="0"/>
        <w:snapToGrid w:val="0"/>
        <w:spacing w:line="460" w:lineRule="exact"/>
        <w:ind w:firstLine="440" w:firstLineChars="200"/>
        <w:rPr>
          <w:rFonts w:hint="eastAsia" w:ascii="宋体" w:hAnsi="宋体" w:eastAsia="宋体" w:cs="Arial"/>
          <w:b w:val="0"/>
          <w:color w:val="auto"/>
          <w:sz w:val="22"/>
          <w:szCs w:val="22"/>
          <w:highlight w:val="none"/>
          <w:u w:val="none"/>
        </w:rPr>
      </w:pPr>
      <w:r>
        <w:rPr>
          <w:rFonts w:hint="eastAsia" w:ascii="宋体" w:hAnsi="宋体" w:eastAsia="宋体" w:cs="Arial"/>
          <w:b w:val="0"/>
          <w:color w:val="auto"/>
          <w:sz w:val="22"/>
          <w:szCs w:val="22"/>
          <w:highlight w:val="none"/>
          <w:u w:val="none"/>
        </w:rPr>
        <w:t>电梯重大事故在接到报修电话后24小时内修复，修复时间超过</w:t>
      </w:r>
      <w:r>
        <w:rPr>
          <w:rFonts w:hint="eastAsia" w:ascii="宋体" w:hAnsi="宋体" w:eastAsia="宋体" w:cs="Arial"/>
          <w:b w:val="0"/>
          <w:color w:val="auto"/>
          <w:sz w:val="22"/>
          <w:szCs w:val="22"/>
          <w:highlight w:val="none"/>
          <w:u w:val="none"/>
          <w:lang w:eastAsia="zh-CN"/>
        </w:rPr>
        <w:t>24小时，</w:t>
      </w:r>
      <w:r>
        <w:rPr>
          <w:rFonts w:hint="eastAsia" w:ascii="宋体" w:hAnsi="宋体" w:eastAsia="宋体" w:cs="Arial"/>
          <w:b w:val="0"/>
          <w:color w:val="auto"/>
          <w:sz w:val="22"/>
          <w:szCs w:val="22"/>
          <w:highlight w:val="none"/>
          <w:u w:val="none"/>
        </w:rPr>
        <w:t>每超过1次赔偿500元。</w:t>
      </w:r>
    </w:p>
    <w:p w14:paraId="47D94112">
      <w:pPr>
        <w:adjustRightInd w:val="0"/>
        <w:snapToGrid w:val="0"/>
        <w:spacing w:line="460" w:lineRule="exact"/>
        <w:ind w:firstLine="440" w:firstLineChars="200"/>
        <w:rPr>
          <w:rFonts w:hint="eastAsia" w:ascii="宋体" w:hAnsi="宋体" w:eastAsia="宋体" w:cs="Arial"/>
          <w:b w:val="0"/>
          <w:color w:val="auto"/>
          <w:sz w:val="22"/>
          <w:szCs w:val="22"/>
          <w:highlight w:val="none"/>
          <w:u w:val="none"/>
        </w:rPr>
      </w:pPr>
      <w:r>
        <w:rPr>
          <w:rFonts w:hint="eastAsia" w:ascii="宋体" w:hAnsi="宋体" w:eastAsia="宋体" w:cs="Arial"/>
          <w:b w:val="0"/>
          <w:color w:val="auto"/>
          <w:sz w:val="22"/>
          <w:szCs w:val="22"/>
          <w:highlight w:val="none"/>
          <w:u w:val="none"/>
        </w:rPr>
        <w:t>故障响应承诺</w:t>
      </w:r>
      <w:r>
        <w:rPr>
          <w:rFonts w:hint="eastAsia" w:ascii="宋体" w:hAnsi="宋体" w:eastAsia="宋体" w:cs="Arial"/>
          <w:b w:val="0"/>
          <w:color w:val="auto"/>
          <w:sz w:val="22"/>
          <w:szCs w:val="22"/>
          <w:highlight w:val="none"/>
          <w:u w:val="none"/>
          <w:lang w:val="en-US" w:eastAsia="zh-CN"/>
        </w:rPr>
        <w:t>30分钟</w:t>
      </w:r>
      <w:r>
        <w:rPr>
          <w:rFonts w:hint="eastAsia" w:ascii="宋体" w:hAnsi="宋体" w:eastAsia="宋体" w:cs="Arial"/>
          <w:b w:val="0"/>
          <w:color w:val="auto"/>
          <w:sz w:val="22"/>
          <w:szCs w:val="22"/>
          <w:highlight w:val="none"/>
          <w:u w:val="none"/>
        </w:rPr>
        <w:t>到达现场，如超过时间，每超过1次赔偿500元。</w:t>
      </w:r>
    </w:p>
    <w:p w14:paraId="1A3D9A04">
      <w:pPr>
        <w:adjustRightInd w:val="0"/>
        <w:snapToGrid w:val="0"/>
        <w:spacing w:line="460" w:lineRule="exact"/>
        <w:ind w:firstLine="435"/>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服务承诺详见投标文件及招标文件要求。</w:t>
      </w:r>
    </w:p>
    <w:p w14:paraId="26A54FF8">
      <w:pPr>
        <w:adjustRightInd w:val="0"/>
        <w:snapToGrid w:val="0"/>
        <w:spacing w:line="460" w:lineRule="exact"/>
        <w:ind w:firstLine="435"/>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在质量保证期内，卖方提供维修及保养，因卖方提供的产品质量问题、安装问题、电梯运行日常损耗问题等，卖方免费无偿提供零部件更换服务。由于买方和使用单位管理使用不当产生的故障，卖方予以有偿更换。</w:t>
      </w:r>
    </w:p>
    <w:p w14:paraId="324AEC47">
      <w:pPr>
        <w:adjustRightInd w:val="0"/>
        <w:snapToGrid w:val="0"/>
        <w:spacing w:line="460" w:lineRule="exact"/>
        <w:ind w:firstLine="435"/>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在质量保证期满后，</w:t>
      </w:r>
      <w:r>
        <w:rPr>
          <w:rFonts w:hint="eastAsia" w:ascii="宋体" w:hAnsi="宋体" w:eastAsia="宋体" w:cs="Arial"/>
          <w:b w:val="0"/>
          <w:bCs/>
          <w:color w:val="auto"/>
          <w:sz w:val="22"/>
          <w:szCs w:val="22"/>
          <w:highlight w:val="none"/>
          <w:lang w:val="en-US" w:eastAsia="zh-CN"/>
        </w:rPr>
        <w:t>买卖双方可采取大包或小包方式协商维保服务，</w:t>
      </w:r>
      <w:r>
        <w:rPr>
          <w:rFonts w:hint="eastAsia" w:ascii="宋体" w:hAnsi="宋体" w:eastAsia="宋体" w:cs="Arial"/>
          <w:b w:val="0"/>
          <w:bCs/>
          <w:color w:val="auto"/>
          <w:sz w:val="22"/>
          <w:szCs w:val="22"/>
          <w:highlight w:val="none"/>
        </w:rPr>
        <w:t>如实行大包方式，费用为    元/台/月</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卖方负责</w:t>
      </w:r>
      <w:r>
        <w:rPr>
          <w:rFonts w:hint="eastAsia" w:ascii="宋体" w:hAnsi="宋体" w:eastAsia="宋体" w:cs="Arial"/>
          <w:b w:val="0"/>
          <w:bCs/>
          <w:color w:val="auto"/>
          <w:sz w:val="22"/>
          <w:szCs w:val="22"/>
          <w:highlight w:val="none"/>
        </w:rPr>
        <w:t>电梯的保养、维修、检测、年检的所有人工、材料、器件等费用</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含所有配件</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rPr>
        <w:t>。如实行小包方式, 费用为    元/台/月</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卖方负责</w:t>
      </w:r>
      <w:r>
        <w:rPr>
          <w:rFonts w:hint="eastAsia" w:ascii="宋体" w:hAnsi="宋体" w:eastAsia="宋体" w:cs="Arial"/>
          <w:b w:val="0"/>
          <w:bCs/>
          <w:color w:val="auto"/>
          <w:sz w:val="22"/>
          <w:szCs w:val="22"/>
          <w:highlight w:val="none"/>
        </w:rPr>
        <w:t>电梯的保养、维修、检测、年检的所有人工、材料、器件等费用</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lang w:val="en-US" w:eastAsia="zh-CN"/>
        </w:rPr>
        <w:t>配件更换原则：仅承担200元（含）以下零配件的免费更换；由卖方承担部分则优先以内部价格提供</w:t>
      </w:r>
      <w:r>
        <w:rPr>
          <w:rFonts w:hint="eastAsia" w:ascii="宋体" w:hAnsi="宋体" w:eastAsia="宋体" w:cs="Arial"/>
          <w:b w:val="0"/>
          <w:bCs/>
          <w:color w:val="auto"/>
          <w:sz w:val="22"/>
          <w:szCs w:val="22"/>
          <w:highlight w:val="none"/>
          <w:lang w:eastAsia="zh-CN"/>
        </w:rPr>
        <w:t>）</w:t>
      </w:r>
      <w:r>
        <w:rPr>
          <w:rFonts w:hint="eastAsia" w:ascii="宋体" w:hAnsi="宋体" w:eastAsia="宋体" w:cs="Arial"/>
          <w:b w:val="0"/>
          <w:bCs/>
          <w:color w:val="auto"/>
          <w:sz w:val="22"/>
          <w:szCs w:val="22"/>
          <w:highlight w:val="none"/>
        </w:rPr>
        <w:t>。(维保合同由买方根据需要另签)。以后根据当年国家权威部门公布的物价指数作相应调整。</w:t>
      </w:r>
    </w:p>
    <w:p w14:paraId="24EEF15D">
      <w:pPr>
        <w:numPr>
          <w:ilvl w:val="0"/>
          <w:numId w:val="0"/>
        </w:num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bidi="ar-SA"/>
        </w:rPr>
        <w:t>17、</w:t>
      </w:r>
      <w:r>
        <w:rPr>
          <w:rFonts w:hint="eastAsia" w:ascii="宋体" w:hAnsi="宋体" w:eastAsia="宋体" w:cs="Arial"/>
          <w:b w:val="0"/>
          <w:bCs/>
          <w:color w:val="auto"/>
          <w:sz w:val="22"/>
          <w:szCs w:val="22"/>
          <w:highlight w:val="none"/>
        </w:rPr>
        <w:t>电梯规格说明：</w:t>
      </w:r>
      <w:r>
        <w:rPr>
          <w:rFonts w:hint="eastAsia" w:ascii="宋体" w:hAnsi="宋体" w:eastAsia="宋体" w:cs="Arial"/>
          <w:b w:val="0"/>
          <w:color w:val="auto"/>
          <w:sz w:val="22"/>
          <w:szCs w:val="22"/>
          <w:highlight w:val="none"/>
        </w:rPr>
        <w:t>（见招标文件和投标文件）</w:t>
      </w:r>
    </w:p>
    <w:p w14:paraId="541AFC59">
      <w:pPr>
        <w:numPr>
          <w:ilvl w:val="0"/>
          <w:numId w:val="0"/>
        </w:numPr>
        <w:adjustRightInd w:val="0"/>
        <w:snapToGrid w:val="0"/>
        <w:spacing w:line="460" w:lineRule="exact"/>
        <w:ind w:firstLine="440" w:firstLineChars="200"/>
        <w:rPr>
          <w:rFonts w:hint="eastAsia" w:ascii="宋体" w:hAnsi="宋体" w:eastAsia="宋体" w:cs="Arial"/>
          <w:b w:val="0"/>
          <w:bCs/>
          <w:color w:val="auto"/>
          <w:sz w:val="22"/>
          <w:szCs w:val="22"/>
          <w:highlight w:val="none"/>
        </w:rPr>
      </w:pPr>
      <w:r>
        <w:rPr>
          <w:rFonts w:hint="eastAsia" w:ascii="宋体" w:hAnsi="宋体" w:eastAsia="宋体" w:cs="Arial"/>
          <w:b w:val="0"/>
          <w:bCs/>
          <w:color w:val="auto"/>
          <w:sz w:val="22"/>
          <w:szCs w:val="22"/>
          <w:highlight w:val="none"/>
        </w:rPr>
        <w:t>18、主要部件清单</w:t>
      </w:r>
    </w:p>
    <w:p w14:paraId="680ADCB6">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按投标承诺</w:t>
      </w:r>
    </w:p>
    <w:p w14:paraId="58C703D0">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rPr>
        <w:t>19、随机文件清单</w:t>
      </w:r>
    </w:p>
    <w:p w14:paraId="7E7DF5AF">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19.1装箱清单</w:t>
      </w:r>
    </w:p>
    <w:p w14:paraId="2F80B2A3">
      <w:pPr>
        <w:adjustRightInd w:val="0"/>
        <w:snapToGrid w:val="0"/>
        <w:spacing w:line="460" w:lineRule="exact"/>
        <w:ind w:left="359" w:leftChars="171" w:firstLine="110" w:firstLineChars="5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19.2电梯操作维护手册</w:t>
      </w:r>
    </w:p>
    <w:p w14:paraId="0CF7189E">
      <w:pPr>
        <w:adjustRightInd w:val="0"/>
        <w:snapToGrid w:val="0"/>
        <w:spacing w:line="460" w:lineRule="exact"/>
        <w:ind w:left="359" w:leftChars="171" w:firstLine="110" w:firstLineChars="5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19.3进口零部件须提交有关相应证明文件资料</w:t>
      </w:r>
    </w:p>
    <w:p w14:paraId="547400BE">
      <w:pPr>
        <w:adjustRightInd w:val="0"/>
        <w:snapToGrid w:val="0"/>
        <w:spacing w:line="460" w:lineRule="exact"/>
        <w:ind w:left="359" w:leftChars="171" w:firstLine="110" w:firstLineChars="50"/>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19.4卖方按标准应提供的技术资料</w:t>
      </w:r>
    </w:p>
    <w:p w14:paraId="04BCA3F8">
      <w:pPr>
        <w:adjustRightInd w:val="0"/>
        <w:snapToGrid w:val="0"/>
        <w:spacing w:line="460" w:lineRule="exact"/>
        <w:ind w:left="359" w:leftChars="171" w:firstLine="110" w:firstLineChars="50"/>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1</w:t>
      </w:r>
      <w:r>
        <w:rPr>
          <w:rFonts w:ascii="宋体" w:hAnsi="宋体" w:eastAsia="宋体" w:cs="Arial"/>
          <w:b w:val="0"/>
          <w:color w:val="auto"/>
          <w:sz w:val="22"/>
          <w:szCs w:val="22"/>
          <w:highlight w:val="none"/>
        </w:rPr>
        <w:t>9.5</w:t>
      </w:r>
      <w:r>
        <w:rPr>
          <w:rFonts w:hint="eastAsia" w:ascii="宋体" w:hAnsi="宋体" w:eastAsia="宋体" w:cs="Arial"/>
          <w:b w:val="0"/>
          <w:color w:val="auto"/>
          <w:sz w:val="22"/>
          <w:szCs w:val="22"/>
          <w:highlight w:val="none"/>
        </w:rPr>
        <w:t>招标文件要求的其他资料</w:t>
      </w:r>
    </w:p>
    <w:p w14:paraId="51F66BCB">
      <w:pPr>
        <w:adjustRightInd w:val="0"/>
        <w:snapToGrid w:val="0"/>
        <w:spacing w:line="460" w:lineRule="exact"/>
        <w:ind w:left="359" w:leftChars="171" w:firstLine="110" w:firstLineChars="50"/>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w:t>
      </w:r>
      <w:r>
        <w:rPr>
          <w:rFonts w:ascii="宋体" w:hAnsi="宋体" w:eastAsia="宋体" w:cs="Arial"/>
          <w:b w:val="0"/>
          <w:color w:val="auto"/>
          <w:sz w:val="22"/>
          <w:szCs w:val="22"/>
          <w:highlight w:val="none"/>
        </w:rPr>
        <w:t>0</w:t>
      </w:r>
      <w:r>
        <w:rPr>
          <w:rFonts w:hint="eastAsia" w:ascii="宋体" w:hAnsi="宋体" w:eastAsia="宋体" w:cs="Arial"/>
          <w:b w:val="0"/>
          <w:color w:val="auto"/>
          <w:sz w:val="22"/>
          <w:szCs w:val="22"/>
          <w:highlight w:val="none"/>
        </w:rPr>
        <w:t>、安全责任</w:t>
      </w:r>
    </w:p>
    <w:p w14:paraId="6C7C3A8B">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卖方在电梯施工场地必须做好安全防护及</w:t>
      </w:r>
      <w:r>
        <w:rPr>
          <w:rFonts w:hint="eastAsia" w:ascii="宋体" w:hAnsi="宋体" w:eastAsia="宋体" w:cs="Arial"/>
          <w:b w:val="0"/>
          <w:color w:val="auto"/>
          <w:sz w:val="22"/>
          <w:szCs w:val="22"/>
          <w:highlight w:val="none"/>
          <w:lang w:eastAsia="zh-CN"/>
        </w:rPr>
        <w:t>警示</w:t>
      </w:r>
      <w:r>
        <w:rPr>
          <w:rFonts w:hint="eastAsia" w:ascii="宋体" w:hAnsi="宋体" w:eastAsia="宋体" w:cs="Arial"/>
          <w:b w:val="0"/>
          <w:color w:val="auto"/>
          <w:sz w:val="22"/>
          <w:szCs w:val="22"/>
          <w:highlight w:val="none"/>
        </w:rPr>
        <w:t>提醒，电梯验收合格交付买方前所发生的人身安全事故均由卖方负责；验收合格交付后，因产品质量问题、设计缺陷、安装缺陷、维保不到位等卖方原因导致发生人身安全事故的，由卖方负责。买方被索赔的，有权向卖方追偿。</w:t>
      </w:r>
    </w:p>
    <w:p w14:paraId="502A18F0">
      <w:pPr>
        <w:snapToGrid w:val="0"/>
        <w:spacing w:line="460" w:lineRule="atLeast"/>
        <w:ind w:firstLine="420" w:firstLineChars="191"/>
        <w:rPr>
          <w:rFonts w:hint="eastAsia" w:ascii="宋体" w:hAnsi="宋体" w:eastAsia="宋体" w:cs="宋体"/>
          <w:b w:val="0"/>
          <w:sz w:val="22"/>
          <w:szCs w:val="22"/>
          <w:highlight w:val="none"/>
        </w:rPr>
      </w:pPr>
      <w:r>
        <w:rPr>
          <w:rFonts w:hint="eastAsia" w:ascii="宋体" w:hAnsi="宋体" w:eastAsia="宋体" w:cs="宋体"/>
          <w:b w:val="0"/>
          <w:sz w:val="22"/>
          <w:szCs w:val="22"/>
          <w:highlight w:val="none"/>
          <w:lang w:val="en-US" w:eastAsia="zh-CN"/>
        </w:rPr>
        <w:t>21、</w:t>
      </w:r>
      <w:r>
        <w:rPr>
          <w:rFonts w:hint="eastAsia" w:ascii="宋体" w:hAnsi="宋体" w:eastAsia="宋体" w:cs="宋体"/>
          <w:b w:val="0"/>
          <w:sz w:val="22"/>
          <w:szCs w:val="22"/>
          <w:highlight w:val="none"/>
        </w:rPr>
        <w:t>廉洁自律</w:t>
      </w:r>
    </w:p>
    <w:p w14:paraId="3F8A792A">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21.1</w:t>
      </w:r>
      <w:r>
        <w:rPr>
          <w:rFonts w:hint="eastAsia" w:ascii="宋体" w:hAnsi="宋体" w:eastAsia="宋体" w:cs="宋体"/>
          <w:b w:val="0"/>
          <w:bCs/>
          <w:sz w:val="22"/>
          <w:szCs w:val="22"/>
          <w:highlight w:val="none"/>
        </w:rPr>
        <w:t>甲乙双方的责任</w:t>
      </w:r>
    </w:p>
    <w:p w14:paraId="400AF723">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（一）应严格遵守国家关于政府采购、招标投标等有关法律、法规和相关政策，以及廉政建设的各项规定。</w:t>
      </w:r>
    </w:p>
    <w:p w14:paraId="58884145">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（二）严格执行采购项目合同文件，自觉按合同的约定履行权利和义务。</w:t>
      </w:r>
    </w:p>
    <w:p w14:paraId="6AA03E45">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（三）采购活动必须坚持公开、公平、公正、诚信、透明的原则（除法律法规另有规定者外），不得在采购活动中获取不正当利益，损害国家、集体和对方的利益。</w:t>
      </w:r>
    </w:p>
    <w:p w14:paraId="43108FB7">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（四）发现对方在采购活动中和项目实施过程中有违规、违法违纪行为的，未造成后果的，应及时指出并制止；情节严重的，应向其上级主管部门或纪检监察、司法等有关机关举报。</w:t>
      </w:r>
    </w:p>
    <w:p w14:paraId="6AF7CA13">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21.2</w:t>
      </w:r>
      <w:r>
        <w:rPr>
          <w:rFonts w:hint="eastAsia" w:ascii="宋体" w:hAnsi="宋体" w:eastAsia="宋体" w:cs="宋体"/>
          <w:b w:val="0"/>
          <w:bCs/>
          <w:sz w:val="22"/>
          <w:szCs w:val="22"/>
          <w:highlight w:val="none"/>
        </w:rPr>
        <w:t>甲方的责任</w:t>
      </w:r>
    </w:p>
    <w:p w14:paraId="4DA2226B">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甲方在采购活动的事前、事中、事后应遵守以下规定：</w:t>
      </w:r>
    </w:p>
    <w:p w14:paraId="2AFD6172">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（一）不准向乙方和相关单位索要或接受回扣、礼金、有价证券、贵重物品和好处费、感谢费等。</w:t>
      </w:r>
    </w:p>
    <w:p w14:paraId="4D991F23">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（二）不准在乙方和相关单位报销任何应由甲方或个人支付的费用。</w:t>
      </w:r>
    </w:p>
    <w:p w14:paraId="616A38F1">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（三）不准要求、暗示和接受乙方和相关单位为个人装修住房、婚丧嫁娶、配偶子女的工作安排以及出国（境）、旅游等提供方便。</w:t>
      </w:r>
    </w:p>
    <w:p w14:paraId="08ACC7BB">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（四）不准参加乙方和相关单位的宴请和健身、娱乐等活动。</w:t>
      </w:r>
    </w:p>
    <w:p w14:paraId="1643FBC5">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（五）不准要求乙方为配偶、子女、亲属参与同甲方采购项目合同有关的采购事项提供任何便利条件。</w:t>
      </w:r>
    </w:p>
    <w:p w14:paraId="1CE4F5DD">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（六）不准以任何理由向乙方和相关单位推荐分包单位或要求乙方购买采购项目合同规定以外的货物等。</w:t>
      </w:r>
    </w:p>
    <w:p w14:paraId="69B3C6DE">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21.3</w:t>
      </w:r>
      <w:r>
        <w:rPr>
          <w:rFonts w:hint="eastAsia" w:ascii="宋体" w:hAnsi="宋体" w:eastAsia="宋体" w:cs="宋体"/>
          <w:b w:val="0"/>
          <w:bCs/>
          <w:sz w:val="22"/>
          <w:szCs w:val="22"/>
          <w:highlight w:val="none"/>
        </w:rPr>
        <w:t>乙方的责任</w:t>
      </w:r>
    </w:p>
    <w:p w14:paraId="61D8F4D4">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应与甲方保持正常的业务交往，按照有关法律法规和程序开展业务工作，严格执行政府采购的有关方针政策，并遵守以下规定：</w:t>
      </w:r>
    </w:p>
    <w:p w14:paraId="08D326D3">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（一）不准以任何理由接受甲方、相关单位及其工作人员的索要或为其赠送礼金、有价证券、贵重物品和回扣、好处费、感谢费等。</w:t>
      </w:r>
    </w:p>
    <w:p w14:paraId="04C7BDED">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（二）不准以任何理由为甲方、相关单位或个人报销应当由对方或个人支付的费用。</w:t>
      </w:r>
    </w:p>
    <w:p w14:paraId="038346A3">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（三）不准接受或暗示为甲方、相关单位或个人装修住房、婚丧嫁娶、配偶、子女的工作安排以及出国（境）、旅游等提供方便。</w:t>
      </w:r>
    </w:p>
    <w:p w14:paraId="555F44AD">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（四）不准以任何理由为甲方、相关单位或个人安排宴请、健身、娱乐等活动。</w:t>
      </w:r>
    </w:p>
    <w:p w14:paraId="06D5A89F">
      <w:pPr>
        <w:pStyle w:val="19"/>
        <w:adjustRightInd w:val="0"/>
        <w:snapToGrid w:val="0"/>
        <w:spacing w:line="460" w:lineRule="exact"/>
        <w:ind w:firstLine="440" w:firstLineChars="200"/>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（五）不准接受甲方工作人员的要求，为其配偶、子女、亲属参与同采购项目合同有关的采购事项提供任何便利条件。</w:t>
      </w:r>
    </w:p>
    <w:p w14:paraId="70BAD12E">
      <w:pPr>
        <w:pStyle w:val="19"/>
        <w:adjustRightInd w:val="0"/>
        <w:snapToGrid w:val="0"/>
        <w:spacing w:line="460" w:lineRule="exact"/>
        <w:ind w:firstLine="440" w:firstLineChars="200"/>
        <w:rPr>
          <w:rFonts w:hint="eastAsia" w:ascii="宋体" w:hAnsi="宋体" w:eastAsia="宋体" w:cs="宋体"/>
          <w:sz w:val="22"/>
          <w:szCs w:val="22"/>
          <w:highlight w:val="none"/>
        </w:rPr>
      </w:pPr>
      <w:r>
        <w:rPr>
          <w:rFonts w:hint="eastAsia" w:ascii="宋体" w:hAnsi="宋体" w:eastAsia="宋体" w:cs="宋体"/>
          <w:b w:val="0"/>
          <w:bCs/>
          <w:sz w:val="22"/>
          <w:szCs w:val="22"/>
          <w:highlight w:val="none"/>
        </w:rPr>
        <w:t>（六）不准接受甲方工作人员的要求为其安排与采购合同有关的分包单位或为其购买采购合同规定以外的货物等。</w:t>
      </w:r>
    </w:p>
    <w:p w14:paraId="50C0EDF3">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lang w:val="en-US" w:eastAsia="zh-CN"/>
        </w:rPr>
        <w:t>22</w:t>
      </w:r>
      <w:r>
        <w:rPr>
          <w:rFonts w:hint="eastAsia" w:ascii="宋体" w:hAnsi="宋体" w:eastAsia="宋体" w:cs="Arial"/>
          <w:b w:val="0"/>
          <w:bCs/>
          <w:color w:val="auto"/>
          <w:sz w:val="22"/>
          <w:szCs w:val="22"/>
          <w:highlight w:val="none"/>
        </w:rPr>
        <w:t>、违约责任</w:t>
      </w:r>
    </w:p>
    <w:p w14:paraId="72451507">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lang w:val="en-US" w:eastAsia="zh-CN"/>
        </w:rPr>
        <w:t>2</w:t>
      </w:r>
      <w:r>
        <w:rPr>
          <w:rFonts w:ascii="宋体" w:hAnsi="宋体" w:eastAsia="宋体" w:cs="Arial"/>
          <w:b w:val="0"/>
          <w:color w:val="auto"/>
          <w:sz w:val="22"/>
          <w:szCs w:val="22"/>
          <w:highlight w:val="none"/>
        </w:rPr>
        <w:t>.1</w:t>
      </w:r>
      <w:r>
        <w:rPr>
          <w:rFonts w:hint="eastAsia" w:ascii="宋体" w:hAnsi="宋体" w:eastAsia="宋体" w:cs="Arial"/>
          <w:b w:val="0"/>
          <w:color w:val="auto"/>
          <w:sz w:val="22"/>
          <w:szCs w:val="22"/>
          <w:highlight w:val="none"/>
        </w:rPr>
        <w:t>逾期交货、完工</w:t>
      </w:r>
    </w:p>
    <w:p w14:paraId="1DCA488A">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卖方逾期交货或逾期完工，每天按本合同总价的1‰向买方赔偿违约金。违约赔偿最高限度为本合同总价的5％，如违约金达到最高限额时卖方仍不能交货或完工，按第2)条卖方不能交货、完工处理。</w:t>
      </w:r>
    </w:p>
    <w:p w14:paraId="4B45D759">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22</w:t>
      </w: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rPr>
        <w:t>卖方不能交货、完工</w:t>
      </w:r>
    </w:p>
    <w:p w14:paraId="7F4A0A65">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卖方不能交货、完工的，须将买方已支付的款项（含安装费）全额退回并另向买方偿付违约金。违约金按本合同总价的 30％计算，违约金不足以弥补买方损失的，买方有权继续索赔。</w:t>
      </w:r>
    </w:p>
    <w:p w14:paraId="17E454B7">
      <w:pPr>
        <w:adjustRightInd w:val="0"/>
        <w:snapToGrid w:val="0"/>
        <w:spacing w:line="460" w:lineRule="exact"/>
        <w:ind w:firstLine="440" w:firstLineChars="200"/>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22</w:t>
      </w:r>
      <w:r>
        <w:rPr>
          <w:rFonts w:ascii="宋体" w:hAnsi="宋体" w:eastAsia="宋体" w:cs="Arial"/>
          <w:b w:val="0"/>
          <w:color w:val="auto"/>
          <w:sz w:val="22"/>
          <w:szCs w:val="22"/>
          <w:highlight w:val="none"/>
        </w:rPr>
        <w:t>.3</w:t>
      </w:r>
      <w:r>
        <w:rPr>
          <w:rFonts w:hint="eastAsia" w:ascii="宋体" w:hAnsi="宋体" w:eastAsia="宋体" w:cs="Arial"/>
          <w:b w:val="0"/>
          <w:color w:val="auto"/>
          <w:sz w:val="22"/>
          <w:szCs w:val="22"/>
          <w:highlight w:val="none"/>
        </w:rPr>
        <w:t>经买卖双方协商同意延期交货、完工和经双方友好协商同意延期付款或退货且无需罚款者不在前例。</w:t>
      </w:r>
    </w:p>
    <w:p w14:paraId="135EC09B">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22</w:t>
      </w:r>
      <w:r>
        <w:rPr>
          <w:rFonts w:ascii="宋体" w:hAnsi="宋体" w:eastAsia="宋体" w:cs="Arial"/>
          <w:b w:val="0"/>
          <w:color w:val="auto"/>
          <w:sz w:val="22"/>
          <w:szCs w:val="22"/>
          <w:highlight w:val="none"/>
        </w:rPr>
        <w:t>.4</w:t>
      </w:r>
      <w:r>
        <w:rPr>
          <w:rFonts w:hint="eastAsia" w:ascii="宋体" w:hAnsi="宋体" w:eastAsia="宋体" w:cs="Arial"/>
          <w:b w:val="0"/>
          <w:color w:val="auto"/>
          <w:sz w:val="22"/>
          <w:szCs w:val="22"/>
          <w:highlight w:val="none"/>
        </w:rPr>
        <w:t>卖方未按本合同及招标文件要求、投标承诺等提供售后服务的，除另有约定外，每发生一次，应向买方支付违约金</w:t>
      </w:r>
      <w:r>
        <w:rPr>
          <w:rFonts w:hint="eastAsia" w:ascii="宋体" w:hAnsi="宋体" w:eastAsia="宋体" w:cs="Arial"/>
          <w:b w:val="0"/>
          <w:color w:val="auto"/>
          <w:sz w:val="22"/>
          <w:szCs w:val="22"/>
          <w:highlight w:val="none"/>
          <w:u w:val="single"/>
          <w:lang w:val="en-US" w:eastAsia="zh-CN"/>
        </w:rPr>
        <w:t>500</w:t>
      </w:r>
      <w:r>
        <w:rPr>
          <w:rFonts w:hint="eastAsia" w:ascii="宋体" w:hAnsi="宋体" w:eastAsia="宋体" w:cs="Arial"/>
          <w:b w:val="0"/>
          <w:color w:val="auto"/>
          <w:sz w:val="22"/>
          <w:szCs w:val="22"/>
          <w:highlight w:val="none"/>
        </w:rPr>
        <w:t>元。买方委托第三人维保产生的费用由卖方承担。</w:t>
      </w:r>
    </w:p>
    <w:p w14:paraId="3022E5E6">
      <w:pPr>
        <w:adjustRightInd w:val="0"/>
        <w:snapToGrid w:val="0"/>
        <w:spacing w:line="460" w:lineRule="exact"/>
        <w:ind w:firstLine="440" w:firstLineChars="200"/>
        <w:rPr>
          <w:rFonts w:hint="default" w:ascii="宋体" w:hAnsi="宋体" w:eastAsia="宋体" w:cs="Arial"/>
          <w:b w:val="0"/>
          <w:color w:val="auto"/>
          <w:sz w:val="22"/>
          <w:szCs w:val="22"/>
          <w:highlight w:val="none"/>
          <w:lang w:val="en-US" w:eastAsia="zh-CN"/>
        </w:rPr>
      </w:pPr>
      <w:r>
        <w:rPr>
          <w:rFonts w:hint="eastAsia" w:ascii="宋体" w:hAnsi="宋体" w:eastAsia="宋体" w:cs="Arial"/>
          <w:b w:val="0"/>
          <w:color w:val="auto"/>
          <w:sz w:val="22"/>
          <w:szCs w:val="22"/>
          <w:highlight w:val="none"/>
          <w:lang w:val="en-US" w:eastAsia="zh-CN"/>
        </w:rPr>
        <w:t>22.5</w:t>
      </w:r>
      <w:r>
        <w:rPr>
          <w:rFonts w:hint="eastAsia" w:ascii="宋体" w:hAnsi="宋体" w:eastAsia="宋体" w:cs="Arial"/>
          <w:b w:val="0"/>
          <w:color w:val="auto"/>
          <w:sz w:val="22"/>
          <w:szCs w:val="22"/>
          <w:highlight w:val="none"/>
        </w:rPr>
        <w:t>未经买方同意，擅自变更安装单位的，卖方应支付违约金</w:t>
      </w:r>
      <w:r>
        <w:rPr>
          <w:rFonts w:hint="eastAsia" w:ascii="宋体" w:hAnsi="宋体" w:eastAsia="宋体" w:cs="Arial"/>
          <w:b w:val="0"/>
          <w:color w:val="auto"/>
          <w:sz w:val="22"/>
          <w:szCs w:val="22"/>
          <w:highlight w:val="none"/>
          <w:u w:val="single"/>
          <w:lang w:val="en-US" w:eastAsia="zh-CN"/>
        </w:rPr>
        <w:t>50000</w:t>
      </w:r>
      <w:r>
        <w:rPr>
          <w:rFonts w:hint="eastAsia" w:ascii="宋体" w:hAnsi="宋体" w:eastAsia="宋体" w:cs="Arial"/>
          <w:b w:val="0"/>
          <w:color w:val="auto"/>
          <w:sz w:val="22"/>
          <w:szCs w:val="22"/>
          <w:highlight w:val="none"/>
        </w:rPr>
        <w:t>元/次；擅自变更项目负责人、技术代表、主要安装人员的，卖方应支付违约金</w:t>
      </w:r>
      <w:r>
        <w:rPr>
          <w:rFonts w:hint="eastAsia" w:ascii="宋体" w:hAnsi="宋体" w:eastAsia="宋体" w:cs="Arial"/>
          <w:b w:val="0"/>
          <w:color w:val="auto"/>
          <w:sz w:val="22"/>
          <w:szCs w:val="22"/>
          <w:highlight w:val="none"/>
          <w:u w:val="single"/>
          <w:lang w:val="en-US" w:eastAsia="zh-CN"/>
        </w:rPr>
        <w:t>5000</w:t>
      </w:r>
      <w:r>
        <w:rPr>
          <w:rFonts w:hint="eastAsia" w:ascii="宋体" w:hAnsi="宋体" w:eastAsia="宋体" w:cs="Arial"/>
          <w:b w:val="0"/>
          <w:color w:val="auto"/>
          <w:sz w:val="22"/>
          <w:szCs w:val="22"/>
          <w:highlight w:val="none"/>
        </w:rPr>
        <w:t>元/人/次。</w:t>
      </w:r>
      <w:r>
        <w:rPr>
          <w:rFonts w:hint="eastAsia" w:ascii="宋体" w:hAnsi="宋体" w:eastAsia="宋体" w:cs="Arial"/>
          <w:b w:val="0"/>
          <w:color w:val="auto"/>
          <w:sz w:val="22"/>
          <w:szCs w:val="22"/>
          <w:highlight w:val="none"/>
          <w:lang w:val="en-US" w:eastAsia="zh-CN"/>
        </w:rPr>
        <w:t>卖方擅自变更的安装单位不具备安装资质的，卖方应支付合同总价30%的违约金且买方有权解除合同。</w:t>
      </w:r>
    </w:p>
    <w:p w14:paraId="2D663A83">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lang w:val="en-US" w:eastAsia="zh-CN"/>
        </w:rPr>
        <w:t>23</w:t>
      </w:r>
      <w:r>
        <w:rPr>
          <w:rFonts w:hint="eastAsia" w:ascii="宋体" w:hAnsi="宋体" w:eastAsia="宋体" w:cs="Arial"/>
          <w:b w:val="0"/>
          <w:bCs/>
          <w:color w:val="auto"/>
          <w:sz w:val="22"/>
          <w:szCs w:val="22"/>
          <w:highlight w:val="none"/>
        </w:rPr>
        <w:t>、履约担保</w:t>
      </w:r>
    </w:p>
    <w:p w14:paraId="381021D1">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lang w:val="en-US" w:eastAsia="zh-CN"/>
        </w:rPr>
        <w:t>3</w:t>
      </w:r>
      <w:r>
        <w:rPr>
          <w:rFonts w:hint="eastAsia" w:ascii="宋体" w:hAnsi="宋体" w:eastAsia="宋体" w:cs="Arial"/>
          <w:b w:val="0"/>
          <w:color w:val="auto"/>
          <w:sz w:val="22"/>
          <w:szCs w:val="22"/>
          <w:highlight w:val="none"/>
        </w:rPr>
        <w:t>.1如卖方未能履行合同规定的任何义务，买方有权从履约担保中得到补偿。</w:t>
      </w:r>
    </w:p>
    <w:p w14:paraId="3F04E352">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lang w:val="en-US" w:eastAsia="zh-CN"/>
        </w:rPr>
        <w:t>23</w:t>
      </w:r>
      <w:r>
        <w:rPr>
          <w:rFonts w:hint="eastAsia" w:ascii="宋体" w:hAnsi="宋体" w:eastAsia="宋体" w:cs="Arial"/>
          <w:b w:val="0"/>
          <w:color w:val="auto"/>
          <w:sz w:val="22"/>
          <w:szCs w:val="22"/>
          <w:highlight w:val="none"/>
        </w:rPr>
        <w:t>.2、如果卖方毫无正当理由拖延交货或完工或拒绝履行合同规定的任何义务，履约担保将不予退还，并加收违约赔偿。</w:t>
      </w:r>
    </w:p>
    <w:p w14:paraId="0F456300">
      <w:pPr>
        <w:adjustRightInd w:val="0"/>
        <w:snapToGrid w:val="0"/>
        <w:spacing w:line="460" w:lineRule="exact"/>
        <w:ind w:firstLine="440" w:firstLineChars="200"/>
        <w:rPr>
          <w:rFonts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lang w:val="en-US" w:eastAsia="zh-CN"/>
        </w:rPr>
        <w:t>3</w:t>
      </w:r>
      <w:r>
        <w:rPr>
          <w:rFonts w:hint="eastAsia" w:ascii="宋体" w:hAnsi="宋体" w:eastAsia="宋体" w:cs="Arial"/>
          <w:b w:val="0"/>
          <w:color w:val="auto"/>
          <w:sz w:val="22"/>
          <w:szCs w:val="22"/>
          <w:highlight w:val="none"/>
        </w:rPr>
        <w:t>.3、卖方提供的设备和投标文件中所承诺的设备规格、数量、材质等不相符合，履约担保不予退还。</w:t>
      </w:r>
    </w:p>
    <w:p w14:paraId="18A19CAE">
      <w:pPr>
        <w:adjustRightInd w:val="0"/>
        <w:snapToGrid w:val="0"/>
        <w:spacing w:line="460" w:lineRule="exact"/>
        <w:ind w:firstLine="440" w:firstLineChars="200"/>
        <w:rPr>
          <w:rFonts w:hint="eastAsia" w:ascii="宋体" w:hAnsi="宋体" w:eastAsia="宋体" w:cs="Arial"/>
          <w:b w:val="0"/>
          <w:color w:val="auto"/>
          <w:sz w:val="22"/>
          <w:szCs w:val="22"/>
          <w:highlight w:val="none"/>
          <w:lang w:eastAsia="zh-CN"/>
        </w:rPr>
      </w:pPr>
      <w:r>
        <w:rPr>
          <w:rFonts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lang w:val="en-US" w:eastAsia="zh-CN"/>
        </w:rPr>
        <w:t>3</w:t>
      </w:r>
      <w:r>
        <w:rPr>
          <w:rFonts w:ascii="宋体" w:hAnsi="宋体" w:eastAsia="宋体" w:cs="Arial"/>
          <w:b w:val="0"/>
          <w:color w:val="auto"/>
          <w:sz w:val="22"/>
          <w:szCs w:val="22"/>
          <w:highlight w:val="none"/>
        </w:rPr>
        <w:t>.4</w:t>
      </w:r>
      <w:r>
        <w:rPr>
          <w:rFonts w:hint="eastAsia" w:ascii="宋体" w:hAnsi="宋体" w:eastAsia="宋体" w:cs="Arial"/>
          <w:b w:val="0"/>
          <w:color w:val="auto"/>
          <w:sz w:val="22"/>
          <w:szCs w:val="22"/>
          <w:highlight w:val="none"/>
        </w:rPr>
        <w:t>、履约担保不予退还的，不影响本合同及招标文件的其他违约条款同时适用</w:t>
      </w:r>
      <w:r>
        <w:rPr>
          <w:rFonts w:hint="eastAsia" w:ascii="宋体" w:hAnsi="宋体" w:eastAsia="宋体" w:cs="Arial"/>
          <w:b w:val="0"/>
          <w:color w:val="auto"/>
          <w:sz w:val="22"/>
          <w:szCs w:val="22"/>
          <w:highlight w:val="none"/>
          <w:lang w:eastAsia="zh-CN"/>
        </w:rPr>
        <w:t>。</w:t>
      </w:r>
    </w:p>
    <w:p w14:paraId="24BEE88D">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2</w:t>
      </w:r>
      <w:r>
        <w:rPr>
          <w:rFonts w:hint="eastAsia" w:ascii="宋体" w:hAnsi="宋体" w:eastAsia="宋体" w:cs="Arial"/>
          <w:b w:val="0"/>
          <w:color w:val="auto"/>
          <w:sz w:val="22"/>
          <w:szCs w:val="22"/>
          <w:highlight w:val="none"/>
          <w:lang w:val="en-US" w:eastAsia="zh-CN"/>
        </w:rPr>
        <w:t>3</w:t>
      </w:r>
      <w:r>
        <w:rPr>
          <w:rFonts w:ascii="宋体" w:hAnsi="宋体" w:eastAsia="宋体" w:cs="Arial"/>
          <w:b w:val="0"/>
          <w:color w:val="auto"/>
          <w:sz w:val="22"/>
          <w:szCs w:val="22"/>
          <w:highlight w:val="none"/>
        </w:rPr>
        <w:t>.5</w:t>
      </w:r>
      <w:r>
        <w:rPr>
          <w:rFonts w:hint="eastAsia" w:ascii="宋体" w:hAnsi="宋体" w:eastAsia="宋体" w:cs="Arial"/>
          <w:b w:val="0"/>
          <w:color w:val="auto"/>
          <w:sz w:val="22"/>
          <w:szCs w:val="22"/>
          <w:highlight w:val="none"/>
        </w:rPr>
        <w:t>、卖方未按期提供履约担保的，视为拒签合同。</w:t>
      </w:r>
    </w:p>
    <w:p w14:paraId="42420DC4">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lang w:val="en-US" w:eastAsia="zh-CN"/>
        </w:rPr>
        <w:t>24</w:t>
      </w:r>
      <w:r>
        <w:rPr>
          <w:rFonts w:hint="eastAsia" w:ascii="宋体" w:hAnsi="宋体" w:eastAsia="宋体" w:cs="Arial"/>
          <w:b w:val="0"/>
          <w:bCs/>
          <w:color w:val="auto"/>
          <w:sz w:val="22"/>
          <w:szCs w:val="22"/>
          <w:highlight w:val="none"/>
        </w:rPr>
        <w:t>、争议解决方式</w:t>
      </w:r>
    </w:p>
    <w:p w14:paraId="34EA8B49">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凡有关本合同或执行本合同中发生的争端，买卖双方应通过友好协商，妥善解决。如通过协商仍不能解决时，应向</w:t>
      </w:r>
      <w:r>
        <w:rPr>
          <w:rFonts w:hint="eastAsia" w:ascii="宋体" w:hAnsi="宋体" w:eastAsia="宋体" w:cs="Arial"/>
          <w:b w:val="0"/>
          <w:color w:val="auto"/>
          <w:sz w:val="22"/>
          <w:szCs w:val="22"/>
          <w:highlight w:val="none"/>
          <w:lang w:val="en-US" w:eastAsia="zh-CN"/>
        </w:rPr>
        <w:t>项目所在地</w:t>
      </w:r>
      <w:r>
        <w:rPr>
          <w:rFonts w:hint="eastAsia" w:ascii="宋体" w:hAnsi="宋体" w:eastAsia="宋体" w:cs="Arial"/>
          <w:b w:val="0"/>
          <w:color w:val="auto"/>
          <w:sz w:val="22"/>
          <w:szCs w:val="22"/>
          <w:highlight w:val="none"/>
        </w:rPr>
        <w:t>法院提起诉讼。</w:t>
      </w:r>
    </w:p>
    <w:p w14:paraId="5C6340A1">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lang w:val="en-US" w:eastAsia="zh-CN"/>
        </w:rPr>
        <w:t>25</w:t>
      </w:r>
      <w:r>
        <w:rPr>
          <w:rFonts w:hint="eastAsia" w:ascii="宋体" w:hAnsi="宋体" w:eastAsia="宋体" w:cs="Arial"/>
          <w:b w:val="0"/>
          <w:bCs/>
          <w:color w:val="auto"/>
          <w:sz w:val="22"/>
          <w:szCs w:val="22"/>
          <w:highlight w:val="none"/>
        </w:rPr>
        <w:t>、适用法律</w:t>
      </w:r>
    </w:p>
    <w:p w14:paraId="2359100F">
      <w:pPr>
        <w:adjustRightInd w:val="0"/>
        <w:snapToGrid w:val="0"/>
        <w:spacing w:line="460" w:lineRule="exact"/>
        <w:ind w:firstLine="440" w:firstLineChars="200"/>
        <w:rPr>
          <w:rFonts w:hint="eastAsia" w:ascii="宋体" w:hAnsi="宋体" w:eastAsia="宋体" w:cs="Arial"/>
          <w:b w:val="0"/>
          <w:color w:val="auto"/>
          <w:sz w:val="22"/>
          <w:szCs w:val="22"/>
          <w:highlight w:val="none"/>
        </w:rPr>
      </w:pPr>
      <w:r>
        <w:rPr>
          <w:rFonts w:hint="eastAsia" w:ascii="宋体" w:hAnsi="宋体" w:eastAsia="宋体" w:cs="Arial"/>
          <w:b w:val="0"/>
          <w:color w:val="auto"/>
          <w:sz w:val="22"/>
          <w:szCs w:val="22"/>
          <w:highlight w:val="none"/>
        </w:rPr>
        <w:t>本合同按照中华人民共和国的法律进行解释。</w:t>
      </w:r>
    </w:p>
    <w:p w14:paraId="3FF5D566">
      <w:pPr>
        <w:adjustRightInd w:val="0"/>
        <w:snapToGrid w:val="0"/>
        <w:spacing w:line="460" w:lineRule="exact"/>
        <w:ind w:right="-208" w:rightChars="-99" w:firstLine="480"/>
        <w:rPr>
          <w:rFonts w:hint="eastAsia" w:ascii="宋体" w:hAnsi="宋体" w:eastAsia="宋体" w:cs="Arial"/>
          <w:b w:val="0"/>
          <w:color w:val="auto"/>
          <w:sz w:val="22"/>
          <w:szCs w:val="22"/>
          <w:highlight w:val="none"/>
        </w:rPr>
      </w:pPr>
      <w:r>
        <w:rPr>
          <w:rFonts w:hint="eastAsia" w:ascii="宋体" w:hAnsi="宋体" w:eastAsia="宋体" w:cs="Arial"/>
          <w:b w:val="0"/>
          <w:bCs/>
          <w:color w:val="auto"/>
          <w:sz w:val="22"/>
          <w:szCs w:val="22"/>
          <w:highlight w:val="none"/>
          <w:lang w:val="en-US" w:eastAsia="zh-CN"/>
        </w:rPr>
        <w:t>26</w:t>
      </w:r>
      <w:r>
        <w:rPr>
          <w:rFonts w:hint="eastAsia" w:ascii="宋体" w:hAnsi="宋体" w:eastAsia="宋体" w:cs="Arial"/>
          <w:b w:val="0"/>
          <w:bCs/>
          <w:color w:val="auto"/>
          <w:sz w:val="22"/>
          <w:szCs w:val="22"/>
          <w:highlight w:val="none"/>
        </w:rPr>
        <w:t>、</w:t>
      </w:r>
      <w:r>
        <w:rPr>
          <w:rFonts w:hint="eastAsia" w:ascii="宋体" w:hAnsi="宋体" w:eastAsia="宋体" w:cs="Arial"/>
          <w:b w:val="0"/>
          <w:color w:val="auto"/>
          <w:sz w:val="22"/>
          <w:szCs w:val="22"/>
          <w:highlight w:val="none"/>
        </w:rPr>
        <w:t>本合同在双方签字盖章并在买方收到卖方提供的履约担保后开始生效。</w:t>
      </w:r>
    </w:p>
    <w:p w14:paraId="3B5EA909">
      <w:pPr>
        <w:spacing w:line="460" w:lineRule="exact"/>
        <w:ind w:firstLine="330" w:firstLineChars="150"/>
        <w:rPr>
          <w:rFonts w:hint="eastAsia" w:ascii="宋体" w:hAnsi="宋体" w:eastAsia="宋体"/>
          <w:b w:val="0"/>
          <w:sz w:val="22"/>
          <w:szCs w:val="22"/>
          <w:highlight w:val="none"/>
        </w:rPr>
      </w:pPr>
    </w:p>
    <w:p w14:paraId="69752AFF">
      <w:pPr>
        <w:spacing w:line="460" w:lineRule="exact"/>
        <w:ind w:firstLine="330" w:firstLineChars="150"/>
        <w:rPr>
          <w:rFonts w:ascii="宋体" w:hAnsi="宋体" w:eastAsia="宋体"/>
          <w:b w:val="0"/>
          <w:sz w:val="22"/>
          <w:szCs w:val="22"/>
          <w:highlight w:val="none"/>
        </w:rPr>
      </w:pPr>
      <w:r>
        <w:rPr>
          <w:rFonts w:hint="eastAsia" w:ascii="宋体" w:hAnsi="宋体" w:eastAsia="宋体"/>
          <w:b w:val="0"/>
          <w:sz w:val="22"/>
          <w:szCs w:val="22"/>
          <w:highlight w:val="none"/>
        </w:rPr>
        <w:t xml:space="preserve">买方名称：（盖章）                </w:t>
      </w:r>
      <w:r>
        <w:rPr>
          <w:rFonts w:ascii="宋体" w:hAnsi="宋体" w:eastAsia="宋体"/>
          <w:b w:val="0"/>
          <w:sz w:val="22"/>
          <w:szCs w:val="22"/>
          <w:highlight w:val="none"/>
        </w:rPr>
        <w:t xml:space="preserve">   </w:t>
      </w:r>
      <w:r>
        <w:rPr>
          <w:rFonts w:hint="eastAsia" w:ascii="宋体" w:hAnsi="宋体" w:eastAsia="宋体"/>
          <w:b w:val="0"/>
          <w:sz w:val="22"/>
          <w:szCs w:val="22"/>
          <w:highlight w:val="none"/>
        </w:rPr>
        <w:t>卖方名称：（盖章）</w:t>
      </w:r>
    </w:p>
    <w:p w14:paraId="5A9A23E7">
      <w:pPr>
        <w:spacing w:line="460" w:lineRule="exact"/>
        <w:ind w:firstLine="330" w:firstLineChars="150"/>
        <w:rPr>
          <w:rFonts w:ascii="宋体" w:hAnsi="宋体" w:eastAsia="宋体"/>
          <w:b w:val="0"/>
          <w:sz w:val="22"/>
          <w:szCs w:val="22"/>
          <w:highlight w:val="none"/>
        </w:rPr>
      </w:pPr>
      <w:r>
        <w:rPr>
          <w:rFonts w:hint="eastAsia" w:ascii="宋体" w:hAnsi="宋体" w:eastAsia="宋体"/>
          <w:b w:val="0"/>
          <w:sz w:val="22"/>
          <w:szCs w:val="22"/>
          <w:highlight w:val="none"/>
        </w:rPr>
        <w:t xml:space="preserve">法定代表人：                  </w:t>
      </w:r>
      <w:r>
        <w:rPr>
          <w:rFonts w:hint="eastAsia" w:ascii="宋体" w:hAnsi="宋体" w:eastAsia="宋体"/>
          <w:b w:val="0"/>
          <w:sz w:val="22"/>
          <w:szCs w:val="22"/>
          <w:highlight w:val="none"/>
          <w:lang w:val="en-US" w:eastAsia="zh-CN"/>
        </w:rPr>
        <w:t xml:space="preserve">   </w:t>
      </w:r>
      <w:r>
        <w:rPr>
          <w:rFonts w:hint="eastAsia" w:ascii="宋体" w:hAnsi="宋体" w:eastAsia="宋体"/>
          <w:b w:val="0"/>
          <w:sz w:val="22"/>
          <w:szCs w:val="22"/>
          <w:highlight w:val="none"/>
        </w:rPr>
        <w:t xml:space="preserve">   法定代表人：</w:t>
      </w:r>
    </w:p>
    <w:p w14:paraId="56608586">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lang w:val="en-US" w:eastAsia="zh-CN"/>
        </w:rPr>
        <w:t>或</w:t>
      </w:r>
      <w:r>
        <w:rPr>
          <w:rFonts w:hint="eastAsia" w:ascii="宋体" w:hAnsi="宋体" w:eastAsia="宋体"/>
          <w:b w:val="0"/>
          <w:sz w:val="22"/>
          <w:szCs w:val="22"/>
          <w:highlight w:val="none"/>
        </w:rPr>
        <w:t xml:space="preserve">委托代理人：                </w:t>
      </w:r>
      <w:r>
        <w:rPr>
          <w:rFonts w:hint="eastAsia" w:ascii="宋体" w:hAnsi="宋体" w:eastAsia="宋体"/>
          <w:b w:val="0"/>
          <w:sz w:val="22"/>
          <w:szCs w:val="22"/>
          <w:highlight w:val="none"/>
          <w:lang w:val="en-US" w:eastAsia="zh-CN"/>
        </w:rPr>
        <w:t xml:space="preserve">    </w:t>
      </w:r>
      <w:r>
        <w:rPr>
          <w:rFonts w:hint="eastAsia" w:ascii="宋体" w:hAnsi="宋体" w:eastAsia="宋体"/>
          <w:b w:val="0"/>
          <w:sz w:val="22"/>
          <w:szCs w:val="22"/>
          <w:highlight w:val="none"/>
        </w:rPr>
        <w:t xml:space="preserve">  </w:t>
      </w:r>
      <w:r>
        <w:rPr>
          <w:rFonts w:hint="eastAsia" w:ascii="宋体" w:hAnsi="宋体" w:eastAsia="宋体"/>
          <w:b w:val="0"/>
          <w:sz w:val="22"/>
          <w:szCs w:val="22"/>
          <w:highlight w:val="none"/>
          <w:lang w:val="en-US" w:eastAsia="zh-CN"/>
        </w:rPr>
        <w:t>或</w:t>
      </w:r>
      <w:r>
        <w:rPr>
          <w:rFonts w:hint="eastAsia" w:ascii="宋体" w:hAnsi="宋体" w:eastAsia="宋体"/>
          <w:b w:val="0"/>
          <w:sz w:val="22"/>
          <w:szCs w:val="22"/>
          <w:highlight w:val="none"/>
        </w:rPr>
        <w:t>委托代理人：</w:t>
      </w:r>
    </w:p>
    <w:p w14:paraId="4E83EB43">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rPr>
        <w:t>开户银行：                          开户银行：</w:t>
      </w:r>
    </w:p>
    <w:p w14:paraId="0663B9F7">
      <w:pPr>
        <w:spacing w:line="460" w:lineRule="exact"/>
        <w:ind w:firstLine="330" w:firstLineChars="150"/>
        <w:rPr>
          <w:rFonts w:hint="eastAsia" w:ascii="宋体" w:hAnsi="宋体" w:eastAsia="宋体"/>
          <w:b w:val="0"/>
          <w:sz w:val="22"/>
          <w:szCs w:val="22"/>
          <w:highlight w:val="none"/>
        </w:rPr>
      </w:pPr>
      <w:r>
        <w:rPr>
          <w:rFonts w:hint="eastAsia" w:ascii="宋体" w:hAnsi="宋体" w:eastAsia="宋体"/>
          <w:b w:val="0"/>
          <w:sz w:val="22"/>
          <w:szCs w:val="22"/>
          <w:highlight w:val="none"/>
        </w:rPr>
        <w:t>开户名称：                          开户名称：</w:t>
      </w:r>
    </w:p>
    <w:p w14:paraId="4D5C3C6E">
      <w:pPr>
        <w:rPr>
          <w:rFonts w:hint="eastAsia"/>
        </w:rPr>
      </w:pPr>
      <w:r>
        <w:rPr>
          <w:rFonts w:hint="eastAsia" w:ascii="宋体" w:hAnsi="宋体" w:eastAsia="宋体"/>
          <w:b w:val="0"/>
          <w:sz w:val="22"/>
          <w:szCs w:val="22"/>
          <w:highlight w:val="none"/>
        </w:rPr>
        <w:t>账号：                              账号：</w:t>
      </w:r>
    </w:p>
    <w:p w14:paraId="6397AE55">
      <w:pPr>
        <w:widowControl/>
        <w:jc w:val="left"/>
        <w:rPr>
          <w:rFonts w:hint="eastAsia" w:ascii="宋体" w:hAnsi="宋体"/>
          <w:bCs/>
          <w:sz w:val="36"/>
          <w:szCs w:val="36"/>
          <w:highlight w:val="none"/>
        </w:rPr>
      </w:pPr>
      <w:bookmarkStart w:id="214" w:name="_Toc495862902"/>
    </w:p>
    <w:p w14:paraId="5C005720">
      <w:pPr>
        <w:pStyle w:val="5"/>
        <w:rPr>
          <w:rFonts w:hint="eastAsia" w:ascii="宋体" w:hAnsi="宋体" w:eastAsia="宋体"/>
          <w:b w:val="0"/>
          <w:sz w:val="36"/>
          <w:szCs w:val="36"/>
          <w:highlight w:val="none"/>
        </w:rPr>
      </w:pPr>
      <w:bookmarkStart w:id="215" w:name="_Toc2522035"/>
      <w:r>
        <w:rPr>
          <w:rFonts w:ascii="宋体" w:hAnsi="宋体" w:eastAsia="宋体"/>
          <w:b w:val="0"/>
          <w:sz w:val="36"/>
          <w:szCs w:val="36"/>
          <w:highlight w:val="none"/>
        </w:rPr>
        <w:br w:type="page"/>
      </w:r>
      <w:bookmarkEnd w:id="214"/>
      <w:bookmarkEnd w:id="215"/>
      <w:r>
        <w:rPr>
          <w:rFonts w:hint="eastAsia" w:ascii="宋体" w:hAnsi="宋体" w:eastAsia="宋体"/>
          <w:b w:val="0"/>
          <w:sz w:val="36"/>
          <w:szCs w:val="36"/>
          <w:highlight w:val="none"/>
        </w:rPr>
        <w:t>合同协议书</w:t>
      </w:r>
    </w:p>
    <w:p w14:paraId="5B73A7EA">
      <w:pPr>
        <w:pStyle w:val="19"/>
        <w:tabs>
          <w:tab w:val="left" w:pos="0"/>
        </w:tabs>
        <w:topLinePunct/>
        <w:spacing w:line="400" w:lineRule="exact"/>
        <w:ind w:firstLine="660" w:firstLineChars="300"/>
        <w:rPr>
          <w:rFonts w:hint="eastAsia" w:hAnsi="宋体"/>
          <w:sz w:val="22"/>
          <w:szCs w:val="22"/>
          <w:highlight w:val="none"/>
        </w:rPr>
      </w:pPr>
      <w:r>
        <w:rPr>
          <w:rFonts w:hint="eastAsia" w:hAnsi="宋体"/>
          <w:sz w:val="22"/>
          <w:szCs w:val="22"/>
          <w:highlight w:val="none"/>
          <w:u w:val="single"/>
        </w:rPr>
        <w:t xml:space="preserve">          （采购人）</w:t>
      </w:r>
      <w:r>
        <w:rPr>
          <w:rFonts w:hint="eastAsia" w:hAnsi="宋体"/>
          <w:sz w:val="22"/>
          <w:szCs w:val="22"/>
          <w:highlight w:val="none"/>
        </w:rPr>
        <w:t xml:space="preserve">所需 </w:t>
      </w:r>
      <w:r>
        <w:rPr>
          <w:rFonts w:hint="eastAsia" w:hAnsi="宋体"/>
          <w:sz w:val="22"/>
          <w:szCs w:val="22"/>
          <w:highlight w:val="none"/>
          <w:u w:val="single"/>
        </w:rPr>
        <w:t xml:space="preserve">          </w:t>
      </w:r>
      <w:r>
        <w:rPr>
          <w:rFonts w:hAnsi="宋体"/>
          <w:sz w:val="22"/>
          <w:szCs w:val="22"/>
          <w:highlight w:val="none"/>
        </w:rPr>
        <w:t>（项目、</w:t>
      </w:r>
      <w:r>
        <w:rPr>
          <w:rFonts w:hint="eastAsia" w:hAnsi="宋体"/>
          <w:sz w:val="22"/>
          <w:szCs w:val="22"/>
          <w:highlight w:val="none"/>
        </w:rPr>
        <w:t>采购编号</w:t>
      </w:r>
      <w:r>
        <w:rPr>
          <w:rFonts w:hAnsi="宋体"/>
          <w:sz w:val="22"/>
          <w:szCs w:val="22"/>
          <w:highlight w:val="none"/>
        </w:rPr>
        <w:t>）</w:t>
      </w:r>
      <w:r>
        <w:rPr>
          <w:rFonts w:hint="eastAsia" w:hAnsi="宋体"/>
          <w:sz w:val="22"/>
          <w:szCs w:val="22"/>
          <w:highlight w:val="none"/>
        </w:rPr>
        <w:t>进行公开招标采购，并委托浙江立创项目管理有限公司负责组织实施，经评标委员会评定并由采购人决标</w:t>
      </w:r>
      <w:r>
        <w:rPr>
          <w:rFonts w:hint="eastAsia" w:hAnsi="宋体"/>
          <w:sz w:val="22"/>
          <w:szCs w:val="22"/>
          <w:highlight w:val="none"/>
          <w:u w:val="single"/>
        </w:rPr>
        <w:t xml:space="preserve">                      </w:t>
      </w:r>
      <w:r>
        <w:rPr>
          <w:rFonts w:hint="eastAsia" w:hAnsi="宋体"/>
          <w:sz w:val="22"/>
          <w:szCs w:val="22"/>
          <w:highlight w:val="none"/>
        </w:rPr>
        <w:t>为成交供应商。买方、卖方经协商一致，同意按照下面的条款和条件，签署本合同。</w:t>
      </w:r>
    </w:p>
    <w:p w14:paraId="00A2A697">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合同文件</w:t>
      </w:r>
    </w:p>
    <w:p w14:paraId="4E5FB2E2">
      <w:pPr>
        <w:spacing w:line="380" w:lineRule="exact"/>
        <w:ind w:left="899" w:leftChars="428"/>
        <w:rPr>
          <w:rFonts w:hint="eastAsia" w:ascii="宋体" w:hAnsi="宋体"/>
          <w:b/>
          <w:kern w:val="0"/>
          <w:sz w:val="22"/>
          <w:szCs w:val="22"/>
          <w:highlight w:val="none"/>
        </w:rPr>
      </w:pPr>
      <w:r>
        <w:rPr>
          <w:rFonts w:hint="eastAsia" w:ascii="宋体" w:hAnsi="宋体"/>
          <w:b/>
          <w:kern w:val="0"/>
          <w:sz w:val="22"/>
          <w:szCs w:val="22"/>
          <w:highlight w:val="none"/>
        </w:rPr>
        <w:t>下列文件构成整个合同不可分割的整体，各文件相互补充，若有不明确或不一致之处，以下列次序在先者为准。</w:t>
      </w:r>
    </w:p>
    <w:p w14:paraId="03026619">
      <w:pPr>
        <w:numPr>
          <w:ilvl w:val="0"/>
          <w:numId w:val="21"/>
        </w:numPr>
        <w:spacing w:line="380" w:lineRule="exact"/>
        <w:rPr>
          <w:rFonts w:hint="eastAsia" w:ascii="宋体" w:hAnsi="宋体"/>
          <w:kern w:val="0"/>
          <w:sz w:val="22"/>
          <w:szCs w:val="22"/>
          <w:highlight w:val="none"/>
        </w:rPr>
      </w:pPr>
      <w:r>
        <w:rPr>
          <w:rFonts w:hint="eastAsia" w:ascii="宋体" w:hAnsi="宋体"/>
          <w:kern w:val="0"/>
          <w:sz w:val="22"/>
          <w:szCs w:val="22"/>
          <w:highlight w:val="none"/>
        </w:rPr>
        <w:t>合同协议书；</w:t>
      </w:r>
    </w:p>
    <w:p w14:paraId="788FCB8B">
      <w:pPr>
        <w:numPr>
          <w:ilvl w:val="0"/>
          <w:numId w:val="21"/>
        </w:numPr>
        <w:spacing w:line="380" w:lineRule="exact"/>
        <w:rPr>
          <w:rFonts w:hint="eastAsia" w:ascii="宋体" w:hAnsi="宋体"/>
          <w:kern w:val="0"/>
          <w:sz w:val="22"/>
          <w:szCs w:val="22"/>
          <w:highlight w:val="none"/>
        </w:rPr>
      </w:pPr>
      <w:r>
        <w:rPr>
          <w:rFonts w:hint="eastAsia" w:ascii="宋体" w:hAnsi="宋体"/>
          <w:kern w:val="0"/>
          <w:sz w:val="22"/>
          <w:szCs w:val="22"/>
          <w:highlight w:val="none"/>
        </w:rPr>
        <w:t>中标通知书；</w:t>
      </w:r>
    </w:p>
    <w:p w14:paraId="6A644A46">
      <w:pPr>
        <w:numPr>
          <w:ilvl w:val="0"/>
          <w:numId w:val="21"/>
        </w:numPr>
        <w:spacing w:line="380" w:lineRule="exact"/>
        <w:rPr>
          <w:rFonts w:hint="eastAsia" w:ascii="宋体" w:hAnsi="宋体"/>
          <w:kern w:val="0"/>
          <w:sz w:val="22"/>
          <w:szCs w:val="22"/>
          <w:highlight w:val="none"/>
        </w:rPr>
      </w:pPr>
      <w:r>
        <w:rPr>
          <w:rFonts w:hint="eastAsia" w:ascii="宋体" w:hAnsi="宋体"/>
          <w:sz w:val="22"/>
          <w:szCs w:val="22"/>
          <w:highlight w:val="none"/>
        </w:rPr>
        <w:t>投标分项报价表</w:t>
      </w:r>
      <w:r>
        <w:rPr>
          <w:rFonts w:hint="eastAsia" w:ascii="宋体" w:hAnsi="宋体"/>
          <w:kern w:val="0"/>
          <w:sz w:val="22"/>
          <w:szCs w:val="22"/>
          <w:highlight w:val="none"/>
        </w:rPr>
        <w:t>；</w:t>
      </w:r>
    </w:p>
    <w:p w14:paraId="61C8A4D0">
      <w:pPr>
        <w:numPr>
          <w:ilvl w:val="0"/>
          <w:numId w:val="21"/>
        </w:numPr>
        <w:spacing w:line="380" w:lineRule="exact"/>
        <w:rPr>
          <w:rFonts w:hint="eastAsia" w:ascii="宋体" w:hAnsi="宋体"/>
          <w:kern w:val="0"/>
          <w:sz w:val="22"/>
          <w:szCs w:val="22"/>
          <w:highlight w:val="none"/>
        </w:rPr>
      </w:pPr>
      <w:r>
        <w:rPr>
          <w:rFonts w:hint="eastAsia" w:ascii="宋体" w:hAnsi="宋体"/>
          <w:sz w:val="22"/>
          <w:szCs w:val="22"/>
          <w:highlight w:val="none"/>
        </w:rPr>
        <w:t>技术规格、商务条款偏离表</w:t>
      </w:r>
      <w:r>
        <w:rPr>
          <w:rFonts w:hint="eastAsia" w:ascii="宋体" w:hAnsi="宋体"/>
          <w:kern w:val="0"/>
          <w:sz w:val="22"/>
          <w:szCs w:val="22"/>
          <w:highlight w:val="none"/>
        </w:rPr>
        <w:t>；</w:t>
      </w:r>
    </w:p>
    <w:p w14:paraId="2C5028DB">
      <w:pPr>
        <w:numPr>
          <w:ilvl w:val="0"/>
          <w:numId w:val="21"/>
        </w:numPr>
        <w:spacing w:line="380" w:lineRule="exact"/>
        <w:rPr>
          <w:rFonts w:hint="eastAsia" w:ascii="宋体" w:hAnsi="宋体"/>
          <w:kern w:val="0"/>
          <w:sz w:val="22"/>
          <w:szCs w:val="22"/>
          <w:highlight w:val="none"/>
        </w:rPr>
      </w:pPr>
      <w:r>
        <w:rPr>
          <w:rFonts w:hint="eastAsia" w:ascii="宋体" w:hAnsi="宋体"/>
          <w:sz w:val="22"/>
          <w:szCs w:val="22"/>
          <w:highlight w:val="none"/>
        </w:rPr>
        <w:t>合同条款</w:t>
      </w:r>
      <w:r>
        <w:rPr>
          <w:rFonts w:hint="eastAsia" w:ascii="宋体" w:hAnsi="宋体"/>
          <w:kern w:val="0"/>
          <w:sz w:val="22"/>
          <w:szCs w:val="22"/>
          <w:highlight w:val="none"/>
        </w:rPr>
        <w:t>；</w:t>
      </w:r>
    </w:p>
    <w:p w14:paraId="2B8014CC">
      <w:pPr>
        <w:numPr>
          <w:ilvl w:val="0"/>
          <w:numId w:val="21"/>
        </w:numPr>
        <w:spacing w:line="380" w:lineRule="exact"/>
        <w:rPr>
          <w:rFonts w:hint="eastAsia" w:ascii="宋体" w:hAnsi="宋体"/>
          <w:kern w:val="0"/>
          <w:sz w:val="22"/>
          <w:szCs w:val="22"/>
          <w:highlight w:val="none"/>
        </w:rPr>
      </w:pPr>
      <w:r>
        <w:rPr>
          <w:rFonts w:hint="eastAsia" w:ascii="宋体" w:hAnsi="宋体"/>
          <w:sz w:val="22"/>
          <w:szCs w:val="22"/>
          <w:highlight w:val="none"/>
        </w:rPr>
        <w:t>投标技术和服务响应方案</w:t>
      </w:r>
      <w:r>
        <w:rPr>
          <w:rFonts w:hint="eastAsia" w:ascii="宋体" w:hAnsi="宋体"/>
          <w:kern w:val="0"/>
          <w:sz w:val="22"/>
          <w:szCs w:val="22"/>
          <w:highlight w:val="none"/>
        </w:rPr>
        <w:t>；</w:t>
      </w:r>
    </w:p>
    <w:p w14:paraId="05097B5A">
      <w:pPr>
        <w:numPr>
          <w:ilvl w:val="0"/>
          <w:numId w:val="21"/>
        </w:numPr>
        <w:spacing w:line="380" w:lineRule="exact"/>
        <w:rPr>
          <w:rFonts w:hint="eastAsia" w:ascii="宋体" w:hAnsi="宋体"/>
          <w:kern w:val="0"/>
          <w:sz w:val="22"/>
          <w:szCs w:val="22"/>
          <w:highlight w:val="none"/>
        </w:rPr>
      </w:pPr>
      <w:r>
        <w:rPr>
          <w:rFonts w:hint="eastAsia" w:ascii="宋体" w:hAnsi="宋体"/>
          <w:kern w:val="0"/>
          <w:sz w:val="22"/>
          <w:szCs w:val="22"/>
          <w:highlight w:val="none"/>
        </w:rPr>
        <w:t>商定的补充协议或合同期内经双方签署的备忘录；</w:t>
      </w:r>
    </w:p>
    <w:p w14:paraId="187B78C8">
      <w:pPr>
        <w:numPr>
          <w:ilvl w:val="0"/>
          <w:numId w:val="21"/>
        </w:numPr>
        <w:spacing w:line="380" w:lineRule="exact"/>
        <w:rPr>
          <w:rFonts w:hint="eastAsia" w:ascii="宋体" w:hAnsi="宋体"/>
          <w:kern w:val="0"/>
          <w:sz w:val="22"/>
          <w:szCs w:val="22"/>
          <w:highlight w:val="none"/>
        </w:rPr>
      </w:pPr>
      <w:r>
        <w:rPr>
          <w:rFonts w:hint="eastAsia" w:ascii="宋体" w:hAnsi="宋体"/>
          <w:kern w:val="0"/>
          <w:sz w:val="22"/>
          <w:szCs w:val="22"/>
          <w:highlight w:val="none"/>
        </w:rPr>
        <w:t>与本合同有关的其他文件（含招投标过程中双方的来往文件）。</w:t>
      </w:r>
    </w:p>
    <w:p w14:paraId="303E1FFA">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合同范围和条件</w:t>
      </w:r>
    </w:p>
    <w:p w14:paraId="2DCEC94B">
      <w:pPr>
        <w:spacing w:line="380" w:lineRule="exact"/>
        <w:ind w:left="899" w:leftChars="428"/>
        <w:rPr>
          <w:rFonts w:hint="eastAsia" w:ascii="宋体" w:hAnsi="宋体"/>
          <w:kern w:val="0"/>
          <w:sz w:val="22"/>
          <w:szCs w:val="22"/>
          <w:highlight w:val="none"/>
        </w:rPr>
      </w:pPr>
      <w:r>
        <w:rPr>
          <w:rFonts w:hint="eastAsia" w:ascii="宋体" w:hAnsi="宋体"/>
          <w:kern w:val="0"/>
          <w:sz w:val="22"/>
          <w:szCs w:val="22"/>
          <w:highlight w:val="none"/>
        </w:rPr>
        <w:t>本合同范围和条件应与上述合同文件规定的内容相一致。</w:t>
      </w:r>
    </w:p>
    <w:p w14:paraId="224B27C2">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项目和工程量</w:t>
      </w:r>
    </w:p>
    <w:p w14:paraId="4DBCEF87">
      <w:pPr>
        <w:spacing w:line="380" w:lineRule="exact"/>
        <w:ind w:left="899" w:leftChars="428"/>
        <w:rPr>
          <w:rFonts w:hint="eastAsia" w:ascii="宋体" w:hAnsi="宋体"/>
          <w:kern w:val="0"/>
          <w:sz w:val="22"/>
          <w:szCs w:val="22"/>
          <w:highlight w:val="none"/>
        </w:rPr>
      </w:pPr>
      <w:r>
        <w:rPr>
          <w:rFonts w:hint="eastAsia" w:ascii="宋体" w:hAnsi="宋体" w:cs="黑体"/>
          <w:kern w:val="0"/>
          <w:sz w:val="22"/>
          <w:szCs w:val="22"/>
          <w:highlight w:val="none"/>
        </w:rPr>
        <w:t>本合同要求提供的项目内容及要求见招标文件</w:t>
      </w:r>
      <w:r>
        <w:rPr>
          <w:rFonts w:hint="eastAsia" w:ascii="宋体" w:hAnsi="宋体"/>
          <w:kern w:val="0"/>
          <w:sz w:val="22"/>
          <w:szCs w:val="22"/>
          <w:highlight w:val="none"/>
        </w:rPr>
        <w:t>。</w:t>
      </w:r>
    </w:p>
    <w:p w14:paraId="1C5E486D">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合同总价</w:t>
      </w:r>
    </w:p>
    <w:p w14:paraId="12C331E7">
      <w:pPr>
        <w:spacing w:line="380" w:lineRule="exact"/>
        <w:ind w:left="899" w:leftChars="428"/>
        <w:rPr>
          <w:rFonts w:hint="eastAsia" w:ascii="宋体" w:hAnsi="宋体"/>
          <w:kern w:val="0"/>
          <w:sz w:val="22"/>
          <w:szCs w:val="22"/>
          <w:highlight w:val="none"/>
        </w:rPr>
      </w:pPr>
      <w:r>
        <w:rPr>
          <w:rFonts w:hint="eastAsia" w:ascii="宋体" w:hAnsi="宋体"/>
          <w:kern w:val="0"/>
          <w:sz w:val="22"/>
          <w:szCs w:val="22"/>
          <w:highlight w:val="none"/>
        </w:rPr>
        <w:t>本合同总价为</w:t>
      </w:r>
      <w:r>
        <w:rPr>
          <w:rFonts w:hint="eastAsia" w:ascii="宋体" w:hAnsi="宋体"/>
          <w:kern w:val="0"/>
          <w:sz w:val="22"/>
          <w:szCs w:val="22"/>
          <w:highlight w:val="none"/>
          <w:u w:val="single"/>
        </w:rPr>
        <w:t xml:space="preserve">           </w:t>
      </w:r>
      <w:r>
        <w:rPr>
          <w:rFonts w:hint="eastAsia" w:ascii="宋体" w:hAnsi="宋体"/>
          <w:kern w:val="0"/>
          <w:sz w:val="22"/>
          <w:szCs w:val="22"/>
          <w:highlight w:val="none"/>
        </w:rPr>
        <w:t>人民币，</w:t>
      </w:r>
      <w:r>
        <w:rPr>
          <w:rFonts w:hint="eastAsia" w:ascii="宋体" w:hAnsi="宋体" w:cs="黑体"/>
          <w:kern w:val="0"/>
          <w:sz w:val="22"/>
          <w:szCs w:val="22"/>
          <w:highlight w:val="none"/>
        </w:rPr>
        <w:t>分项价格见投标分项报价表</w:t>
      </w:r>
      <w:r>
        <w:rPr>
          <w:rFonts w:hint="eastAsia" w:ascii="宋体" w:hAnsi="宋体"/>
          <w:kern w:val="0"/>
          <w:sz w:val="22"/>
          <w:szCs w:val="22"/>
          <w:highlight w:val="none"/>
        </w:rPr>
        <w:t>。</w:t>
      </w:r>
    </w:p>
    <w:p w14:paraId="75FA3C52">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付款方式</w:t>
      </w:r>
    </w:p>
    <w:p w14:paraId="61A328B1">
      <w:pPr>
        <w:spacing w:line="380" w:lineRule="exact"/>
        <w:ind w:left="899" w:leftChars="428"/>
        <w:rPr>
          <w:rFonts w:hint="eastAsia" w:ascii="宋体" w:hAnsi="宋体"/>
          <w:kern w:val="0"/>
          <w:sz w:val="22"/>
          <w:szCs w:val="22"/>
          <w:highlight w:val="none"/>
        </w:rPr>
      </w:pPr>
      <w:r>
        <w:rPr>
          <w:rFonts w:hint="eastAsia" w:ascii="宋体" w:hAnsi="宋体"/>
          <w:kern w:val="0"/>
          <w:sz w:val="22"/>
          <w:szCs w:val="22"/>
          <w:highlight w:val="none"/>
        </w:rPr>
        <w:t>本合同的付款方式在合同条款中已规定。</w:t>
      </w:r>
    </w:p>
    <w:p w14:paraId="02747417">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交货时间及地点</w:t>
      </w:r>
    </w:p>
    <w:p w14:paraId="16905A60">
      <w:pPr>
        <w:spacing w:line="380" w:lineRule="exact"/>
        <w:ind w:left="420" w:leftChars="200" w:firstLine="550" w:firstLineChars="250"/>
        <w:rPr>
          <w:rFonts w:hint="eastAsia" w:ascii="宋体" w:hAnsi="宋体"/>
          <w:b/>
          <w:bCs/>
          <w:kern w:val="0"/>
          <w:sz w:val="22"/>
          <w:szCs w:val="22"/>
          <w:highlight w:val="none"/>
        </w:rPr>
      </w:pPr>
      <w:r>
        <w:rPr>
          <w:rFonts w:hint="eastAsia" w:ascii="宋体" w:hAnsi="宋体" w:cs="黑体"/>
          <w:kern w:val="0"/>
          <w:sz w:val="22"/>
          <w:szCs w:val="22"/>
          <w:highlight w:val="none"/>
        </w:rPr>
        <w:t>本合同的交货时间及地点详见合同条款。</w:t>
      </w:r>
    </w:p>
    <w:p w14:paraId="6329555D">
      <w:pPr>
        <w:numPr>
          <w:ilvl w:val="1"/>
          <w:numId w:val="19"/>
        </w:numPr>
        <w:tabs>
          <w:tab w:val="left" w:pos="900"/>
          <w:tab w:val="clear" w:pos="840"/>
        </w:tabs>
        <w:spacing w:line="380" w:lineRule="exact"/>
        <w:ind w:left="900" w:hanging="480"/>
        <w:rPr>
          <w:rFonts w:hint="eastAsia" w:ascii="宋体" w:hAnsi="宋体"/>
          <w:b/>
          <w:bCs/>
          <w:kern w:val="0"/>
          <w:sz w:val="22"/>
          <w:szCs w:val="22"/>
          <w:highlight w:val="none"/>
        </w:rPr>
      </w:pPr>
      <w:r>
        <w:rPr>
          <w:rFonts w:hint="eastAsia" w:ascii="宋体" w:hAnsi="宋体"/>
          <w:b/>
          <w:bCs/>
          <w:kern w:val="0"/>
          <w:sz w:val="22"/>
          <w:szCs w:val="22"/>
          <w:highlight w:val="none"/>
        </w:rPr>
        <w:t>合同生效</w:t>
      </w:r>
    </w:p>
    <w:p w14:paraId="5C4C5233">
      <w:pPr>
        <w:spacing w:line="380" w:lineRule="exact"/>
        <w:ind w:left="899" w:leftChars="428"/>
        <w:rPr>
          <w:rFonts w:hint="eastAsia" w:ascii="宋体" w:hAnsi="宋体"/>
          <w:kern w:val="0"/>
          <w:sz w:val="22"/>
          <w:szCs w:val="22"/>
          <w:highlight w:val="none"/>
        </w:rPr>
      </w:pPr>
      <w:r>
        <w:rPr>
          <w:rFonts w:hint="eastAsia" w:ascii="宋体" w:hAnsi="宋体"/>
          <w:kern w:val="0"/>
          <w:sz w:val="22"/>
          <w:szCs w:val="22"/>
          <w:highlight w:val="none"/>
        </w:rPr>
        <w:t>本合同经双方授权代表签署，买卖双方加盖印章后生效。</w:t>
      </w:r>
    </w:p>
    <w:p w14:paraId="41EADC6C">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买方：（盖章）                       卖方：（盖章）</w:t>
      </w:r>
    </w:p>
    <w:p w14:paraId="19E6463E">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全权代表：（签字）                   全权代表：（签字）</w:t>
      </w:r>
    </w:p>
    <w:p w14:paraId="72760744">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地址：                               地址：</w:t>
      </w:r>
    </w:p>
    <w:p w14:paraId="018079C3">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邮政编码：                           邮政编码：</w:t>
      </w:r>
    </w:p>
    <w:p w14:paraId="22223396">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电话：                               电话：</w:t>
      </w:r>
    </w:p>
    <w:p w14:paraId="05E6A998">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传真：                               传真：</w:t>
      </w:r>
    </w:p>
    <w:p w14:paraId="5BFEB4CD">
      <w:pPr>
        <w:spacing w:line="380" w:lineRule="exact"/>
        <w:ind w:firstLine="941" w:firstLineChars="428"/>
        <w:rPr>
          <w:rFonts w:hint="eastAsia" w:ascii="宋体" w:hAnsi="宋体"/>
          <w:kern w:val="0"/>
          <w:sz w:val="22"/>
          <w:szCs w:val="22"/>
          <w:highlight w:val="none"/>
        </w:rPr>
      </w:pPr>
      <w:r>
        <w:rPr>
          <w:rFonts w:hint="eastAsia" w:ascii="宋体" w:hAnsi="宋体"/>
          <w:kern w:val="0"/>
          <w:sz w:val="22"/>
          <w:szCs w:val="22"/>
          <w:highlight w:val="none"/>
        </w:rPr>
        <w:t>开户银行：                           开户银行：</w:t>
      </w:r>
    </w:p>
    <w:p w14:paraId="5C3C83AD">
      <w:pPr>
        <w:pStyle w:val="5"/>
        <w:spacing w:before="240" w:beforeLines="100"/>
        <w:rPr>
          <w:rFonts w:hint="eastAsia" w:ascii="宋体" w:hAnsi="宋体" w:eastAsia="宋体" w:cs="Courier New"/>
          <w:sz w:val="44"/>
          <w:szCs w:val="44"/>
          <w:highlight w:val="none"/>
        </w:rPr>
      </w:pPr>
      <w:r>
        <w:rPr>
          <w:rFonts w:hint="eastAsia" w:ascii="宋体" w:hAnsi="宋体"/>
          <w:kern w:val="0"/>
          <w:sz w:val="22"/>
          <w:szCs w:val="22"/>
          <w:highlight w:val="none"/>
        </w:rPr>
        <w:t xml:space="preserve">帐号：                                帐号：      </w:t>
      </w:r>
      <w:r>
        <w:rPr>
          <w:rFonts w:hint="eastAsia" w:ascii="宋体" w:hAnsi="宋体" w:eastAsia="宋体"/>
          <w:b w:val="0"/>
          <w:sz w:val="32"/>
          <w:highlight w:val="none"/>
        </w:rPr>
        <w:br w:type="page"/>
      </w:r>
      <w:bookmarkStart w:id="216" w:name="_Toc1477"/>
      <w:r>
        <w:rPr>
          <w:rFonts w:hint="eastAsia" w:ascii="宋体" w:hAnsi="宋体" w:eastAsia="宋体" w:cs="Courier New"/>
          <w:sz w:val="44"/>
          <w:szCs w:val="44"/>
          <w:highlight w:val="none"/>
        </w:rPr>
        <w:t xml:space="preserve">第三部分   </w:t>
      </w:r>
      <w:bookmarkEnd w:id="203"/>
      <w:bookmarkEnd w:id="204"/>
      <w:bookmarkEnd w:id="205"/>
      <w:bookmarkEnd w:id="206"/>
      <w:bookmarkEnd w:id="207"/>
      <w:bookmarkEnd w:id="208"/>
      <w:bookmarkEnd w:id="209"/>
      <w:bookmarkEnd w:id="210"/>
      <w:bookmarkEnd w:id="211"/>
      <w:bookmarkEnd w:id="212"/>
      <w:r>
        <w:rPr>
          <w:rFonts w:hint="eastAsia" w:ascii="宋体" w:hAnsi="宋体" w:eastAsia="宋体" w:cs="Courier New"/>
          <w:sz w:val="44"/>
          <w:szCs w:val="44"/>
          <w:highlight w:val="none"/>
        </w:rPr>
        <w:t>应提交的有关格式范例</w:t>
      </w:r>
      <w:bookmarkEnd w:id="216"/>
    </w:p>
    <w:p w14:paraId="08030EDB">
      <w:pPr>
        <w:rPr>
          <w:rFonts w:hint="eastAsia" w:ascii="宋体" w:hAnsi="宋体"/>
          <w:highlight w:val="none"/>
        </w:rPr>
      </w:pPr>
    </w:p>
    <w:p w14:paraId="1007808D">
      <w:pPr>
        <w:snapToGrid w:val="0"/>
        <w:spacing w:line="360" w:lineRule="auto"/>
        <w:rPr>
          <w:rFonts w:hint="eastAsia" w:ascii="宋体" w:hAnsi="宋体" w:cs="宋体"/>
          <w:b/>
          <w:sz w:val="24"/>
          <w:highlight w:val="none"/>
        </w:rPr>
      </w:pPr>
      <w:r>
        <w:rPr>
          <w:rFonts w:hint="eastAsia" w:ascii="宋体" w:hAnsi="宋体" w:cs="宋体"/>
          <w:b/>
          <w:sz w:val="24"/>
          <w:highlight w:val="none"/>
        </w:rPr>
        <w:t>投标人提交投标文件须知：</w:t>
      </w:r>
    </w:p>
    <w:p w14:paraId="283D9EDE">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w:t>
      </w:r>
      <w:bookmarkStart w:id="217" w:name="_Hlk100427756"/>
      <w:r>
        <w:rPr>
          <w:rFonts w:hint="eastAsia" w:ascii="宋体" w:hAnsi="宋体" w:cs="宋体"/>
          <w:sz w:val="24"/>
          <w:highlight w:val="none"/>
        </w:rPr>
        <w:t>应按照招标文件要求提交下述规定的全部格式文件以及其他有关资料，混乱的编排</w:t>
      </w:r>
      <w:bookmarkStart w:id="218" w:name="_Hlk36726443"/>
      <w:r>
        <w:rPr>
          <w:rFonts w:hint="eastAsia" w:ascii="宋体" w:hAnsi="宋体" w:cs="宋体"/>
          <w:sz w:val="24"/>
          <w:highlight w:val="none"/>
        </w:rPr>
        <w:t>或未关联</w:t>
      </w:r>
      <w:bookmarkEnd w:id="218"/>
      <w:r>
        <w:rPr>
          <w:rFonts w:hint="eastAsia" w:ascii="宋体" w:hAnsi="宋体" w:cs="宋体"/>
          <w:sz w:val="24"/>
          <w:highlight w:val="none"/>
        </w:rPr>
        <w:t>定位导致投标文件被误读或评标委员会查找不到有效文件是投标人的风险。</w:t>
      </w:r>
      <w:bookmarkEnd w:id="217"/>
    </w:p>
    <w:p w14:paraId="458D293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2、所附表格中要求回答的全部问题和/或信息都必须正面回答。</w:t>
      </w:r>
    </w:p>
    <w:p w14:paraId="548B708A">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3、签字人应保证全部声明和问题的回答是真实的和准确的。</w:t>
      </w:r>
    </w:p>
    <w:p w14:paraId="4F5CDD78">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4、评标委员会将应用投标人提交的资料作出自己的判断。</w:t>
      </w:r>
    </w:p>
    <w:p w14:paraId="42F9DD40">
      <w:pPr>
        <w:snapToGrid w:val="0"/>
        <w:spacing w:line="360" w:lineRule="auto"/>
        <w:ind w:firstLine="480" w:firstLineChars="200"/>
        <w:rPr>
          <w:rFonts w:hint="eastAsia" w:ascii="宋体" w:hAnsi="宋体" w:cs="宋体"/>
          <w:sz w:val="24"/>
          <w:highlight w:val="none"/>
        </w:rPr>
      </w:pPr>
      <w:r>
        <w:rPr>
          <w:rFonts w:hint="eastAsia" w:ascii="宋体" w:hAnsi="宋体" w:cs="宋体"/>
          <w:sz w:val="24"/>
          <w:highlight w:val="none"/>
        </w:rPr>
        <w:t>5、投标人提交的材料将在一定期限内被保密保存，但不退还。</w:t>
      </w:r>
    </w:p>
    <w:p w14:paraId="0CFF432F">
      <w:pPr>
        <w:snapToGrid w:val="0"/>
        <w:spacing w:line="360" w:lineRule="auto"/>
        <w:ind w:firstLine="480" w:firstLineChars="200"/>
        <w:rPr>
          <w:rFonts w:hint="eastAsia" w:ascii="宋体" w:hAnsi="宋体" w:cs="宋体"/>
          <w:b/>
          <w:sz w:val="24"/>
          <w:highlight w:val="none"/>
        </w:rPr>
      </w:pPr>
      <w:r>
        <w:rPr>
          <w:rFonts w:hint="eastAsia" w:ascii="宋体" w:hAnsi="宋体" w:cs="宋体"/>
          <w:sz w:val="24"/>
          <w:highlight w:val="none"/>
        </w:rPr>
        <w:t>6、全部文件应按投标人须知中规定的语言和份数提交。投标文件组成漏项或未按规定的格式编制，内容不全或内容字迹模糊辨认不清的情况，</w:t>
      </w:r>
      <w:r>
        <w:rPr>
          <w:rFonts w:hint="eastAsia" w:ascii="宋体" w:hAnsi="宋体" w:cs="宋体"/>
          <w:b/>
          <w:sz w:val="24"/>
          <w:highlight w:val="none"/>
        </w:rPr>
        <w:t>将有可能被评标委员会认定为</w:t>
      </w:r>
      <w:r>
        <w:rPr>
          <w:rFonts w:hint="eastAsia" w:ascii="宋体" w:hAnsi="宋体" w:cs="宋体"/>
          <w:b/>
          <w:bCs/>
          <w:sz w:val="24"/>
          <w:highlight w:val="none"/>
        </w:rPr>
        <w:t>投标无效</w:t>
      </w:r>
      <w:r>
        <w:rPr>
          <w:rFonts w:hint="eastAsia" w:ascii="宋体" w:hAnsi="宋体" w:cs="宋体"/>
          <w:b/>
          <w:sz w:val="24"/>
          <w:highlight w:val="none"/>
        </w:rPr>
        <w:t>。</w:t>
      </w:r>
    </w:p>
    <w:p w14:paraId="3338E30A">
      <w:pPr>
        <w:snapToGrid w:val="0"/>
        <w:spacing w:line="360" w:lineRule="auto"/>
        <w:ind w:firstLine="482" w:firstLineChars="200"/>
        <w:rPr>
          <w:rFonts w:hint="eastAsia" w:ascii="宋体" w:hAnsi="宋体" w:cs="宋体"/>
          <w:b/>
          <w:sz w:val="24"/>
          <w:highlight w:val="none"/>
          <w:u w:val="single"/>
        </w:rPr>
      </w:pPr>
      <w:r>
        <w:rPr>
          <w:rFonts w:hint="eastAsia" w:ascii="宋体" w:hAnsi="宋体" w:cs="宋体"/>
          <w:b/>
          <w:sz w:val="24"/>
          <w:highlight w:val="none"/>
          <w:u w:val="single"/>
        </w:rPr>
        <w:t>7、要求中涉及提供证明（或材料）复印件的，也可提供扫描件制作进投标文件内。</w:t>
      </w:r>
    </w:p>
    <w:p w14:paraId="757B681B">
      <w:pPr>
        <w:snapToGrid w:val="0"/>
        <w:spacing w:line="360" w:lineRule="auto"/>
        <w:ind w:firstLine="482" w:firstLineChars="200"/>
        <w:rPr>
          <w:rFonts w:hint="eastAsia" w:ascii="宋体" w:hAnsi="宋体" w:cs="宋体"/>
          <w:b/>
          <w:sz w:val="24"/>
          <w:highlight w:val="none"/>
          <w:u w:val="single"/>
        </w:rPr>
      </w:pPr>
      <w:r>
        <w:rPr>
          <w:rFonts w:ascii="宋体" w:hAnsi="宋体" w:cs="宋体"/>
          <w:b/>
          <w:sz w:val="24"/>
          <w:highlight w:val="none"/>
          <w:u w:val="single"/>
        </w:rPr>
        <w:t>8</w:t>
      </w:r>
      <w:r>
        <w:rPr>
          <w:rFonts w:hint="eastAsia" w:ascii="宋体" w:hAnsi="宋体" w:cs="宋体"/>
          <w:b/>
          <w:sz w:val="24"/>
          <w:highlight w:val="none"/>
          <w:u w:val="single"/>
        </w:rPr>
        <w:t>、招标文件“采购内容及要求”中提供的可能涉及到的工艺、材料、设备、商标、样本、技术规范、参数规格、品牌等，仅作为说明并没有限制性，投标人在投标时可以选用替代，但这些替代的品牌、产品技术标准要优于或相当于项目采购需求中要求的标准，以满足采购人的需要。</w:t>
      </w:r>
    </w:p>
    <w:p w14:paraId="370CDD4F">
      <w:pPr>
        <w:rPr>
          <w:rFonts w:hint="eastAsia" w:ascii="宋体" w:hAnsi="宋体"/>
          <w:highlight w:val="none"/>
        </w:rPr>
      </w:pPr>
    </w:p>
    <w:p w14:paraId="0E3B1482">
      <w:pPr>
        <w:rPr>
          <w:rFonts w:hint="eastAsia" w:ascii="宋体" w:hAnsi="宋体"/>
          <w:highlight w:val="none"/>
        </w:rPr>
      </w:pPr>
    </w:p>
    <w:p w14:paraId="59864E2E">
      <w:pPr>
        <w:rPr>
          <w:rFonts w:hint="eastAsia" w:ascii="宋体" w:hAnsi="宋体"/>
          <w:highlight w:val="none"/>
        </w:rPr>
      </w:pPr>
    </w:p>
    <w:p w14:paraId="758112FB">
      <w:pPr>
        <w:pStyle w:val="7"/>
        <w:keepNext/>
        <w:widowControl w:val="0"/>
        <w:autoSpaceDE/>
        <w:autoSpaceDN/>
        <w:adjustRightInd/>
        <w:spacing w:before="0" w:line="360" w:lineRule="auto"/>
        <w:jc w:val="center"/>
        <w:rPr>
          <w:rFonts w:hint="eastAsia" w:ascii="宋体" w:hAnsi="宋体" w:eastAsia="宋体"/>
          <w:bCs/>
          <w:highlight w:val="none"/>
        </w:rPr>
      </w:pPr>
      <w:bookmarkStart w:id="219" w:name="_Toc33194403"/>
      <w:r>
        <w:rPr>
          <w:rFonts w:ascii="宋体" w:hAnsi="宋体" w:eastAsia="宋体"/>
          <w:bCs/>
          <w:highlight w:val="none"/>
        </w:rPr>
        <w:br w:type="page"/>
      </w:r>
      <w:bookmarkStart w:id="220" w:name="_Toc34761242"/>
    </w:p>
    <w:p w14:paraId="1541762B">
      <w:pPr>
        <w:rPr>
          <w:highlight w:val="none"/>
        </w:rPr>
      </w:pPr>
    </w:p>
    <w:p w14:paraId="7C8933ED">
      <w:pPr>
        <w:pStyle w:val="7"/>
        <w:keepNext/>
        <w:widowControl w:val="0"/>
        <w:autoSpaceDE/>
        <w:autoSpaceDN/>
        <w:adjustRightInd/>
        <w:spacing w:before="0" w:line="360" w:lineRule="auto"/>
        <w:jc w:val="center"/>
        <w:rPr>
          <w:rFonts w:ascii="Times New Roman" w:hAnsi="Times New Roman" w:eastAsia="宋体"/>
          <w:b/>
          <w:bCs/>
          <w:sz w:val="44"/>
          <w:szCs w:val="26"/>
          <w:highlight w:val="none"/>
        </w:rPr>
      </w:pPr>
      <w:bookmarkStart w:id="221" w:name="_Toc21220"/>
      <w:r>
        <w:rPr>
          <w:rFonts w:hint="eastAsia" w:ascii="Times New Roman" w:hAnsi="Times New Roman" w:eastAsia="宋体"/>
          <w:b/>
          <w:bCs/>
          <w:sz w:val="44"/>
          <w:szCs w:val="26"/>
          <w:highlight w:val="none"/>
        </w:rPr>
        <w:t>资格文件</w:t>
      </w:r>
      <w:bookmarkEnd w:id="219"/>
      <w:bookmarkEnd w:id="220"/>
      <w:bookmarkEnd w:id="221"/>
    </w:p>
    <w:p w14:paraId="1A82BC2C">
      <w:pPr>
        <w:rPr>
          <w:highlight w:val="none"/>
        </w:rPr>
      </w:pPr>
    </w:p>
    <w:p w14:paraId="49AA658D">
      <w:pPr>
        <w:tabs>
          <w:tab w:val="left" w:pos="0"/>
          <w:tab w:val="left" w:pos="600"/>
        </w:tabs>
        <w:spacing w:line="400" w:lineRule="exact"/>
        <w:jc w:val="center"/>
        <w:rPr>
          <w:rFonts w:hint="eastAsia" w:ascii="宋体" w:hAnsi="宋体" w:cs="Times New Roman"/>
          <w:b/>
          <w:bCs/>
          <w:sz w:val="28"/>
          <w:szCs w:val="28"/>
          <w:highlight w:val="none"/>
        </w:rPr>
      </w:pPr>
      <w:r>
        <w:rPr>
          <w:rFonts w:ascii="宋体" w:hAnsi="宋体" w:cs="Times New Roman"/>
          <w:b/>
          <w:bCs/>
          <w:sz w:val="28"/>
          <w:szCs w:val="28"/>
          <w:highlight w:val="none"/>
        </w:rPr>
        <w:t>一、</w:t>
      </w:r>
      <w:r>
        <w:rPr>
          <w:rFonts w:hint="eastAsia" w:ascii="宋体" w:hAnsi="宋体" w:cs="Times New Roman"/>
          <w:b/>
          <w:bCs/>
          <w:sz w:val="28"/>
          <w:szCs w:val="28"/>
          <w:highlight w:val="none"/>
        </w:rPr>
        <w:t>资格声明书</w:t>
      </w:r>
    </w:p>
    <w:p w14:paraId="3473148D">
      <w:pPr>
        <w:pStyle w:val="19"/>
        <w:spacing w:line="360" w:lineRule="auto"/>
        <w:rPr>
          <w:rFonts w:hint="eastAsia"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温州市瓯海科创集团有限公司</w:t>
      </w:r>
      <w:r>
        <w:rPr>
          <w:rFonts w:hint="eastAsia" w:ascii="宋体" w:hAnsi="宋体" w:eastAsia="宋体" w:cs="Courier New"/>
          <w:sz w:val="22"/>
          <w:szCs w:val="22"/>
          <w:highlight w:val="none"/>
        </w:rPr>
        <w:t>：</w:t>
      </w:r>
    </w:p>
    <w:p w14:paraId="7024C262">
      <w:pPr>
        <w:pStyle w:val="19"/>
        <w:spacing w:line="360" w:lineRule="auto"/>
        <w:rPr>
          <w:rFonts w:hint="eastAsia" w:ascii="宋体" w:hAnsi="宋体" w:eastAsia="宋体" w:cs="Courier New"/>
          <w:sz w:val="22"/>
          <w:szCs w:val="22"/>
          <w:highlight w:val="none"/>
        </w:rPr>
      </w:pPr>
      <w:r>
        <w:rPr>
          <w:rFonts w:hint="eastAsia" w:ascii="宋体" w:hAnsi="宋体" w:eastAsia="宋体" w:cs="Courier New"/>
          <w:sz w:val="22"/>
          <w:szCs w:val="22"/>
          <w:highlight w:val="none"/>
        </w:rPr>
        <w:t>浙江立创项目管理有限公司：</w:t>
      </w:r>
    </w:p>
    <w:p w14:paraId="14B63939">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我方此次参加本项目采购活动，郑重承诺：</w:t>
      </w:r>
    </w:p>
    <w:p w14:paraId="2DE5D7B2">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（一）满足《中华人民共和国政府采购法》第二十二条第一款规定的条件：</w:t>
      </w:r>
    </w:p>
    <w:p w14:paraId="02FBD250">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具有独立承担民事责任的能力；</w:t>
      </w:r>
    </w:p>
    <w:p w14:paraId="0A452F5B">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 xml:space="preserve">具有良好的商业信誉和健全的财务会计制度； </w:t>
      </w:r>
    </w:p>
    <w:p w14:paraId="1A424656">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3、</w:t>
      </w:r>
      <w:r>
        <w:rPr>
          <w:rFonts w:ascii="宋体" w:hAnsi="宋体" w:eastAsia="宋体" w:cs="Courier New"/>
          <w:sz w:val="22"/>
          <w:szCs w:val="22"/>
          <w:highlight w:val="none"/>
        </w:rPr>
        <w:t>具有履行合同所必需的设备和专业技术能力；</w:t>
      </w:r>
    </w:p>
    <w:p w14:paraId="1D72A91D">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4、</w:t>
      </w:r>
      <w:r>
        <w:rPr>
          <w:rFonts w:ascii="宋体" w:hAnsi="宋体" w:eastAsia="宋体" w:cs="Courier New"/>
          <w:sz w:val="22"/>
          <w:szCs w:val="22"/>
          <w:highlight w:val="none"/>
        </w:rPr>
        <w:t>有依法缴纳税收和社会保障资金的良好记录；</w:t>
      </w:r>
    </w:p>
    <w:p w14:paraId="1CCCFDB6">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5、</w:t>
      </w:r>
      <w:r>
        <w:rPr>
          <w:rFonts w:ascii="宋体" w:hAnsi="宋体" w:eastAsia="宋体" w:cs="Courier New"/>
          <w:sz w:val="22"/>
          <w:szCs w:val="22"/>
          <w:highlight w:val="none"/>
        </w:rPr>
        <w:t>参加政府采购活动前三年内，在经营活动中没有重大违法记录；</w:t>
      </w:r>
    </w:p>
    <w:p w14:paraId="5601B080">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6、</w:t>
      </w:r>
      <w:r>
        <w:rPr>
          <w:rFonts w:ascii="宋体" w:hAnsi="宋体" w:eastAsia="宋体" w:cs="Courier New"/>
          <w:sz w:val="22"/>
          <w:szCs w:val="22"/>
          <w:highlight w:val="none"/>
        </w:rPr>
        <w:t>具有法律、行政法规规定的其他条件。</w:t>
      </w:r>
    </w:p>
    <w:p w14:paraId="72C33447">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（二）未被信用中国（</w:t>
      </w:r>
      <w:r>
        <w:rPr>
          <w:rFonts w:ascii="宋体" w:hAnsi="宋体" w:eastAsia="宋体" w:cs="Courier New"/>
          <w:sz w:val="22"/>
          <w:szCs w:val="22"/>
          <w:highlight w:val="none"/>
        </w:rPr>
        <w:t>www.creditchina.gov.cn)、中国政府采购网（www.ccgp.gov.cn）列入失信被执行人、重大税收违法案件当事人名单、政府采购严重违法失信行为记录名单。</w:t>
      </w:r>
    </w:p>
    <w:p w14:paraId="4BDE9D71">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（三）不存在以下情况：</w:t>
      </w:r>
    </w:p>
    <w:p w14:paraId="38B91C5D">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1、</w:t>
      </w:r>
      <w:r>
        <w:rPr>
          <w:rFonts w:ascii="宋体" w:hAnsi="宋体" w:eastAsia="宋体" w:cs="Courier New"/>
          <w:sz w:val="22"/>
          <w:szCs w:val="22"/>
          <w:highlight w:val="none"/>
        </w:rPr>
        <w:t>单位负责人为同一人或者存在直接控股、管理关系的不同供应商参加同一合同项下的政府采购活动的；</w:t>
      </w:r>
    </w:p>
    <w:p w14:paraId="0420A21B">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2、</w:t>
      </w:r>
      <w:r>
        <w:rPr>
          <w:rFonts w:ascii="宋体" w:hAnsi="宋体" w:eastAsia="宋体" w:cs="Courier New"/>
          <w:sz w:val="22"/>
          <w:szCs w:val="22"/>
          <w:highlight w:val="none"/>
        </w:rPr>
        <w:t>为采购项目提供整体设计、规范编制或者项目管理、监理、检测等服务后再参加该采购项目的其他采购活动的</w:t>
      </w:r>
      <w:r>
        <w:rPr>
          <w:rFonts w:hint="eastAsia" w:ascii="宋体" w:hAnsi="宋体" w:eastAsia="宋体" w:cs="Courier New"/>
          <w:sz w:val="22"/>
          <w:szCs w:val="22"/>
          <w:highlight w:val="none"/>
        </w:rPr>
        <w:t>；</w:t>
      </w:r>
    </w:p>
    <w:p w14:paraId="376F478E">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eastAsia="宋体" w:cs="Courier New"/>
          <w:sz w:val="22"/>
          <w:szCs w:val="22"/>
          <w:highlight w:val="none"/>
        </w:rPr>
        <w:t>3、公益一类事业单位、使用事业编制且由财政拨款保障的群团组织，作为政府购买服务的购买主体和承接主体</w:t>
      </w:r>
      <w:r>
        <w:rPr>
          <w:rFonts w:ascii="宋体" w:hAnsi="宋体" w:eastAsia="宋体" w:cs="Courier New"/>
          <w:sz w:val="22"/>
          <w:szCs w:val="22"/>
          <w:highlight w:val="none"/>
        </w:rPr>
        <w:t>（仅适用于政府购买服务项目）</w:t>
      </w:r>
      <w:r>
        <w:rPr>
          <w:rFonts w:hint="eastAsia" w:ascii="宋体" w:hAnsi="宋体" w:eastAsia="宋体" w:cs="Courier New"/>
          <w:sz w:val="22"/>
          <w:szCs w:val="22"/>
          <w:highlight w:val="none"/>
        </w:rPr>
        <w:t>；</w:t>
      </w:r>
    </w:p>
    <w:p w14:paraId="13C70611">
      <w:pPr>
        <w:pStyle w:val="19"/>
        <w:spacing w:line="360" w:lineRule="auto"/>
        <w:ind w:firstLine="440" w:firstLineChars="200"/>
        <w:rPr>
          <w:rFonts w:hint="eastAsia" w:ascii="宋体" w:hAnsi="宋体" w:eastAsia="宋体" w:cs="Courier New"/>
          <w:sz w:val="22"/>
          <w:szCs w:val="22"/>
          <w:highlight w:val="none"/>
        </w:rPr>
      </w:pPr>
      <w:r>
        <w:rPr>
          <w:rFonts w:hint="eastAsia" w:ascii="宋体" w:hAnsi="宋体"/>
          <w:bCs/>
          <w:sz w:val="22"/>
          <w:szCs w:val="22"/>
          <w:highlight w:val="none"/>
        </w:rPr>
        <w:t>4、恶意串通、妨碍其他投标人的竞争行为、损害采购人或者其他投标人的合法权益情形的；</w:t>
      </w:r>
    </w:p>
    <w:p w14:paraId="54BB4590">
      <w:pPr>
        <w:pStyle w:val="19"/>
        <w:spacing w:line="360" w:lineRule="auto"/>
        <w:ind w:firstLine="440" w:firstLineChars="200"/>
        <w:rPr>
          <w:rFonts w:hint="eastAsia" w:ascii="宋体" w:hAnsi="宋体" w:eastAsia="宋体" w:cs="Courier New"/>
          <w:sz w:val="22"/>
          <w:szCs w:val="22"/>
          <w:highlight w:val="none"/>
        </w:rPr>
      </w:pPr>
      <w:r>
        <w:rPr>
          <w:rFonts w:ascii="宋体" w:hAnsi="宋体" w:eastAsia="宋体" w:cs="Courier New"/>
          <w:sz w:val="22"/>
          <w:szCs w:val="22"/>
          <w:highlight w:val="none"/>
        </w:rPr>
        <w:t>5</w:t>
      </w:r>
      <w:r>
        <w:rPr>
          <w:rFonts w:hint="eastAsia" w:ascii="宋体" w:hAnsi="宋体" w:eastAsia="宋体" w:cs="Courier New"/>
          <w:sz w:val="22"/>
          <w:szCs w:val="22"/>
          <w:highlight w:val="none"/>
        </w:rPr>
        <w:t>、招标文件第一部分投标人须知2</w:t>
      </w:r>
      <w:r>
        <w:rPr>
          <w:rFonts w:ascii="宋体" w:hAnsi="宋体" w:eastAsia="宋体" w:cs="Courier New"/>
          <w:sz w:val="22"/>
          <w:szCs w:val="22"/>
          <w:highlight w:val="none"/>
        </w:rPr>
        <w:t>6</w:t>
      </w:r>
      <w:r>
        <w:rPr>
          <w:rFonts w:hint="eastAsia" w:ascii="宋体" w:hAnsi="宋体" w:eastAsia="宋体" w:cs="Courier New"/>
          <w:sz w:val="22"/>
          <w:szCs w:val="22"/>
          <w:highlight w:val="none"/>
        </w:rPr>
        <w:t>.4款 “投标人串通投标”中任意情形之一。</w:t>
      </w:r>
    </w:p>
    <w:p w14:paraId="4E2E061B">
      <w:pPr>
        <w:spacing w:line="360" w:lineRule="auto"/>
        <w:rPr>
          <w:rFonts w:hint="eastAsia" w:ascii="宋体" w:hAnsi="宋体" w:cs="Courier New"/>
          <w:b/>
          <w:sz w:val="22"/>
          <w:szCs w:val="22"/>
          <w:highlight w:val="none"/>
        </w:rPr>
      </w:pPr>
      <w:r>
        <w:rPr>
          <w:rFonts w:hint="eastAsia" w:ascii="宋体" w:hAnsi="宋体" w:cs="Courier New"/>
          <w:b/>
          <w:sz w:val="22"/>
          <w:szCs w:val="22"/>
          <w:highlight w:val="none"/>
        </w:rPr>
        <w:t>说明：</w:t>
      </w:r>
    </w:p>
    <w:p w14:paraId="6210321A">
      <w:pPr>
        <w:spacing w:line="360" w:lineRule="auto"/>
        <w:rPr>
          <w:rFonts w:hint="eastAsia"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重大违法记录指因违法经营受到刑事处罚或者责令停产停业、吊销许可证或者执照、较大数额罚款等行政处罚，不包括因违法经营被禁止在一定期限内参加政府采购活动，但期限已经届满的情形</w:t>
      </w:r>
      <w:r>
        <w:rPr>
          <w:rFonts w:hint="eastAsia" w:ascii="宋体" w:hAnsi="宋体" w:cs="Courier New"/>
          <w:b/>
          <w:sz w:val="22"/>
          <w:szCs w:val="22"/>
          <w:highlight w:val="none"/>
        </w:rPr>
        <w:t>。</w:t>
      </w:r>
    </w:p>
    <w:p w14:paraId="42D56EDD">
      <w:pPr>
        <w:spacing w:line="360" w:lineRule="auto"/>
        <w:rPr>
          <w:rFonts w:hint="eastAsia" w:ascii="宋体" w:hAnsi="宋体" w:cs="Courier New"/>
          <w:b/>
          <w:sz w:val="22"/>
          <w:szCs w:val="22"/>
          <w:highlight w:val="none"/>
        </w:rPr>
      </w:pPr>
      <w:r>
        <w:rPr>
          <w:rFonts w:hint="eastAsia" w:ascii="宋体" w:hAnsi="宋体" w:cs="Courier New"/>
          <w:b/>
          <w:sz w:val="22"/>
          <w:szCs w:val="22"/>
          <w:highlight w:val="none"/>
        </w:rPr>
        <w:t>2、投标人承诺不实的，依据《政府采购法》第七十七条“提供虚假材料谋取中标、成交的”有关规定予以处理</w:t>
      </w:r>
      <w:r>
        <w:rPr>
          <w:rFonts w:ascii="宋体" w:hAnsi="宋体" w:cs="Courier New"/>
          <w:b/>
          <w:sz w:val="22"/>
          <w:szCs w:val="22"/>
          <w:highlight w:val="none"/>
        </w:rPr>
        <w:t>。</w:t>
      </w:r>
    </w:p>
    <w:p w14:paraId="632F4A12">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cs="Courier New"/>
          <w:bCs/>
          <w:sz w:val="22"/>
          <w:szCs w:val="22"/>
          <w:highlight w:val="none"/>
        </w:rPr>
        <w:t>投标人全称（盖章）：</w:t>
      </w:r>
    </w:p>
    <w:p w14:paraId="0B11CE1F">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日          期：  年  月  日</w:t>
      </w:r>
    </w:p>
    <w:p w14:paraId="19B83736">
      <w:pPr>
        <w:widowControl/>
        <w:jc w:val="left"/>
        <w:rPr>
          <w:rFonts w:eastAsia="宋体,Verdana,Arial"/>
          <w:highlight w:val="none"/>
        </w:rPr>
      </w:pPr>
      <w:r>
        <w:rPr>
          <w:highlight w:val="none"/>
        </w:rPr>
        <w:br w:type="page"/>
      </w:r>
    </w:p>
    <w:p w14:paraId="5A1B847D">
      <w:pPr>
        <w:pStyle w:val="3"/>
        <w:rPr>
          <w:highlight w:val="none"/>
        </w:rPr>
      </w:pPr>
    </w:p>
    <w:p w14:paraId="3E4B6DC6">
      <w:pPr>
        <w:shd w:val="clear" w:color="auto" w:fill="FFFFFF"/>
        <w:tabs>
          <w:tab w:val="right" w:leader="middleDot" w:pos="9356"/>
        </w:tabs>
        <w:snapToGrid w:val="0"/>
        <w:spacing w:line="360" w:lineRule="auto"/>
        <w:jc w:val="center"/>
        <w:rPr>
          <w:rFonts w:hint="eastAsia" w:ascii="宋体" w:hAnsi="宋体"/>
          <w:b/>
          <w:sz w:val="26"/>
          <w:szCs w:val="28"/>
          <w:highlight w:val="none"/>
        </w:rPr>
      </w:pPr>
      <w:r>
        <w:rPr>
          <w:rFonts w:hint="eastAsia" w:ascii="宋体" w:hAnsi="宋体" w:cs="Times New Roman"/>
          <w:b/>
          <w:sz w:val="28"/>
          <w:szCs w:val="28"/>
          <w:highlight w:val="none"/>
        </w:rPr>
        <w:t>二、</w:t>
      </w:r>
      <w:r>
        <w:rPr>
          <w:rFonts w:hint="eastAsia" w:ascii="宋体" w:hAnsi="宋体"/>
          <w:b/>
          <w:sz w:val="28"/>
          <w:szCs w:val="28"/>
          <w:highlight w:val="none"/>
        </w:rPr>
        <w:t>投标人有效的</w:t>
      </w:r>
      <w:r>
        <w:rPr>
          <w:rFonts w:ascii="宋体" w:hAnsi="宋体"/>
          <w:b/>
          <w:sz w:val="28"/>
          <w:szCs w:val="28"/>
          <w:highlight w:val="none"/>
        </w:rPr>
        <w:t>营业执照等证明文件</w:t>
      </w:r>
    </w:p>
    <w:p w14:paraId="2AF3AAEE">
      <w:pPr>
        <w:spacing w:line="460" w:lineRule="exact"/>
        <w:rPr>
          <w:rFonts w:hint="eastAsia" w:ascii="宋体" w:hAnsi="宋体" w:cs="Courier New"/>
          <w:b/>
          <w:sz w:val="22"/>
          <w:szCs w:val="22"/>
          <w:highlight w:val="none"/>
        </w:rPr>
      </w:pPr>
      <w:r>
        <w:rPr>
          <w:rFonts w:hint="eastAsia" w:ascii="宋体" w:hAnsi="宋体" w:cs="Courier New"/>
          <w:b/>
          <w:sz w:val="22"/>
          <w:szCs w:val="22"/>
          <w:highlight w:val="none"/>
        </w:rPr>
        <w:t>说明：</w:t>
      </w:r>
    </w:p>
    <w:p w14:paraId="631D516A">
      <w:pPr>
        <w:spacing w:line="460" w:lineRule="exact"/>
        <w:rPr>
          <w:rFonts w:hint="eastAsia"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367FFCAE">
      <w:pPr>
        <w:spacing w:line="460" w:lineRule="exact"/>
        <w:rPr>
          <w:rFonts w:hint="eastAsia" w:ascii="宋体" w:hAnsi="宋体" w:cs="Courier New"/>
          <w:b/>
          <w:sz w:val="22"/>
          <w:szCs w:val="22"/>
          <w:highlight w:val="none"/>
        </w:rPr>
      </w:pPr>
      <w:r>
        <w:rPr>
          <w:rFonts w:ascii="宋体" w:hAnsi="宋体" w:cs="Courier New"/>
          <w:b/>
          <w:sz w:val="22"/>
          <w:szCs w:val="22"/>
          <w:highlight w:val="none"/>
        </w:rPr>
        <w:t>2、投标人提供的相应证明材料复印件均应符合：内容完整、清晰、整洁。</w:t>
      </w:r>
    </w:p>
    <w:p w14:paraId="2DEF0A29">
      <w:pPr>
        <w:pStyle w:val="218"/>
        <w:ind w:firstLine="419" w:firstLineChars="149"/>
        <w:rPr>
          <w:rFonts w:hint="eastAsia" w:ascii="宋体" w:hAnsi="宋体"/>
          <w:b/>
          <w:sz w:val="28"/>
          <w:szCs w:val="28"/>
          <w:highlight w:val="none"/>
        </w:rPr>
      </w:pPr>
    </w:p>
    <w:p w14:paraId="03903A32">
      <w:pPr>
        <w:pStyle w:val="218"/>
        <w:ind w:firstLine="419" w:firstLineChars="149"/>
        <w:rPr>
          <w:rFonts w:hint="eastAsia" w:ascii="宋体" w:hAnsi="宋体"/>
          <w:b/>
          <w:sz w:val="28"/>
          <w:szCs w:val="28"/>
          <w:highlight w:val="none"/>
        </w:rPr>
      </w:pPr>
    </w:p>
    <w:p w14:paraId="60287EF2">
      <w:pPr>
        <w:pStyle w:val="218"/>
        <w:ind w:firstLine="419" w:firstLineChars="149"/>
        <w:rPr>
          <w:rFonts w:hint="eastAsia" w:ascii="宋体" w:hAnsi="宋体"/>
          <w:b/>
          <w:sz w:val="28"/>
          <w:szCs w:val="28"/>
          <w:highlight w:val="none"/>
        </w:rPr>
      </w:pPr>
    </w:p>
    <w:p w14:paraId="520ABA23">
      <w:pPr>
        <w:pStyle w:val="218"/>
        <w:ind w:firstLine="419" w:firstLineChars="149"/>
        <w:rPr>
          <w:rFonts w:hint="eastAsia" w:ascii="宋体" w:hAnsi="宋体"/>
          <w:b/>
          <w:sz w:val="28"/>
          <w:szCs w:val="28"/>
          <w:highlight w:val="none"/>
        </w:rPr>
      </w:pPr>
    </w:p>
    <w:p w14:paraId="4FA4E29B">
      <w:pPr>
        <w:tabs>
          <w:tab w:val="left" w:pos="0"/>
          <w:tab w:val="left" w:pos="600"/>
        </w:tabs>
        <w:spacing w:line="400" w:lineRule="exact"/>
        <w:jc w:val="center"/>
        <w:rPr>
          <w:rFonts w:hint="eastAsia" w:ascii="宋体" w:hAnsi="宋体"/>
          <w:b/>
          <w:bCs/>
          <w:sz w:val="28"/>
          <w:szCs w:val="28"/>
          <w:highlight w:val="none"/>
        </w:rPr>
      </w:pPr>
      <w:r>
        <w:rPr>
          <w:rFonts w:ascii="宋体" w:hAnsi="宋体"/>
          <w:b/>
          <w:sz w:val="28"/>
          <w:szCs w:val="28"/>
          <w:highlight w:val="none"/>
        </w:rPr>
        <w:br w:type="page"/>
      </w:r>
    </w:p>
    <w:p w14:paraId="64E9123A">
      <w:pPr>
        <w:tabs>
          <w:tab w:val="left" w:pos="0"/>
          <w:tab w:val="left" w:pos="600"/>
        </w:tabs>
        <w:spacing w:line="400" w:lineRule="exact"/>
        <w:jc w:val="center"/>
        <w:rPr>
          <w:rFonts w:hint="eastAsia" w:ascii="宋体" w:hAnsi="宋体"/>
          <w:sz w:val="28"/>
          <w:szCs w:val="28"/>
          <w:highlight w:val="none"/>
        </w:rPr>
      </w:pPr>
    </w:p>
    <w:p w14:paraId="025B8F50">
      <w:pPr>
        <w:tabs>
          <w:tab w:val="left" w:pos="0"/>
          <w:tab w:val="left" w:pos="600"/>
        </w:tabs>
        <w:spacing w:line="400" w:lineRule="exact"/>
        <w:jc w:val="center"/>
        <w:rPr>
          <w:rFonts w:hint="eastAsia" w:ascii="宋体" w:hAnsi="宋体"/>
          <w:b/>
          <w:bCs/>
          <w:sz w:val="28"/>
          <w:szCs w:val="28"/>
          <w:highlight w:val="none"/>
        </w:rPr>
      </w:pPr>
    </w:p>
    <w:p w14:paraId="13F9A979">
      <w:pPr>
        <w:tabs>
          <w:tab w:val="left" w:pos="0"/>
          <w:tab w:val="left" w:pos="600"/>
        </w:tabs>
        <w:spacing w:line="400" w:lineRule="exact"/>
        <w:jc w:val="center"/>
        <w:rPr>
          <w:rFonts w:hint="eastAsia" w:ascii="宋体" w:hAnsi="宋体"/>
          <w:b/>
          <w:bCs/>
          <w:sz w:val="28"/>
          <w:szCs w:val="28"/>
          <w:highlight w:val="none"/>
        </w:rPr>
      </w:pPr>
      <w:r>
        <w:rPr>
          <w:rFonts w:hint="eastAsia" w:ascii="宋体" w:hAnsi="宋体"/>
          <w:b/>
          <w:bCs/>
          <w:sz w:val="28"/>
          <w:szCs w:val="28"/>
          <w:highlight w:val="none"/>
        </w:rPr>
        <w:t>三、落实政府采购政策需满足的资格要求</w:t>
      </w:r>
    </w:p>
    <w:p w14:paraId="36343F4D">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说明：</w:t>
      </w:r>
    </w:p>
    <w:p w14:paraId="04320855">
      <w:pPr>
        <w:spacing w:line="460" w:lineRule="exact"/>
        <w:rPr>
          <w:rFonts w:hint="eastAsia" w:ascii="宋体" w:hAnsi="宋体" w:cs="Courier New"/>
          <w:b/>
          <w:sz w:val="22"/>
          <w:szCs w:val="22"/>
          <w:highlight w:val="none"/>
        </w:rPr>
      </w:pPr>
      <w:r>
        <w:rPr>
          <w:rFonts w:hint="eastAsia" w:ascii="宋体" w:hAnsi="宋体" w:cs="Courier New"/>
          <w:b/>
          <w:sz w:val="22"/>
          <w:szCs w:val="22"/>
          <w:highlight w:val="none"/>
        </w:rPr>
        <w:t>根据本项目落实政府采购政策需满足的资格要求选择提供相应的材料；未要求的，无需提供。</w:t>
      </w:r>
    </w:p>
    <w:p w14:paraId="537DF444">
      <w:pPr>
        <w:pStyle w:val="3"/>
        <w:rPr>
          <w:highlight w:val="none"/>
        </w:rPr>
      </w:pPr>
    </w:p>
    <w:p w14:paraId="648A6D8F">
      <w:pPr>
        <w:pStyle w:val="2"/>
        <w:ind w:firstLine="210"/>
        <w:rPr>
          <w:highlight w:val="none"/>
        </w:rPr>
      </w:pPr>
    </w:p>
    <w:p w14:paraId="3295EFC8">
      <w:pPr>
        <w:tabs>
          <w:tab w:val="left" w:pos="0"/>
          <w:tab w:val="left" w:pos="600"/>
        </w:tabs>
        <w:spacing w:line="400" w:lineRule="exact"/>
        <w:jc w:val="center"/>
        <w:rPr>
          <w:rFonts w:hint="eastAsia" w:ascii="宋体" w:hAnsi="宋体"/>
          <w:b/>
          <w:bCs/>
          <w:sz w:val="28"/>
          <w:szCs w:val="28"/>
          <w:highlight w:val="none"/>
        </w:rPr>
      </w:pPr>
      <w:r>
        <w:rPr>
          <w:rFonts w:hint="eastAsia" w:ascii="宋体" w:hAnsi="宋体"/>
          <w:b/>
          <w:bCs/>
          <w:sz w:val="28"/>
          <w:szCs w:val="28"/>
          <w:highlight w:val="none"/>
        </w:rPr>
        <w:t>四、本项目的特定资格要求</w:t>
      </w:r>
    </w:p>
    <w:p w14:paraId="3E9A5B76">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说明：</w:t>
      </w:r>
    </w:p>
    <w:p w14:paraId="6563DC17">
      <w:pPr>
        <w:spacing w:line="460" w:lineRule="exact"/>
        <w:rPr>
          <w:rFonts w:hint="eastAsia" w:ascii="宋体" w:hAnsi="宋体" w:cs="Courier New"/>
          <w:b/>
          <w:sz w:val="22"/>
          <w:szCs w:val="22"/>
          <w:highlight w:val="none"/>
        </w:rPr>
      </w:pPr>
      <w:r>
        <w:rPr>
          <w:rFonts w:hint="eastAsia" w:ascii="宋体" w:hAnsi="宋体" w:cs="Courier New"/>
          <w:b/>
          <w:sz w:val="22"/>
          <w:szCs w:val="22"/>
          <w:highlight w:val="none"/>
        </w:rPr>
        <w:t>根据本项目的特定资格要求提供相应的材料；未要求的，无需提供。</w:t>
      </w:r>
    </w:p>
    <w:p w14:paraId="41FC9C86">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p>
    <w:p w14:paraId="58CD25A6">
      <w:pPr>
        <w:pStyle w:val="7"/>
        <w:keepNext/>
        <w:widowControl w:val="0"/>
        <w:autoSpaceDE/>
        <w:autoSpaceDN/>
        <w:adjustRightInd/>
        <w:spacing w:before="0" w:line="360" w:lineRule="auto"/>
        <w:jc w:val="center"/>
        <w:rPr>
          <w:rFonts w:hint="eastAsia" w:ascii="宋体" w:hAnsi="宋体" w:eastAsia="宋体" w:cs="宋体"/>
          <w:highlight w:val="none"/>
        </w:rPr>
      </w:pPr>
      <w:r>
        <w:rPr>
          <w:rFonts w:ascii="宋体" w:hAnsi="宋体" w:eastAsia="宋体" w:cs="宋体"/>
          <w:highlight w:val="none"/>
        </w:rPr>
        <w:br w:type="page"/>
      </w:r>
      <w:bookmarkStart w:id="222" w:name="_Toc34761243"/>
    </w:p>
    <w:p w14:paraId="1D18F2B5">
      <w:pPr>
        <w:rPr>
          <w:highlight w:val="none"/>
        </w:rPr>
      </w:pPr>
    </w:p>
    <w:p w14:paraId="3EAF14D8">
      <w:pPr>
        <w:pStyle w:val="7"/>
        <w:keepNext/>
        <w:widowControl w:val="0"/>
        <w:autoSpaceDE/>
        <w:autoSpaceDN/>
        <w:adjustRightInd/>
        <w:spacing w:before="0" w:line="360" w:lineRule="auto"/>
        <w:jc w:val="center"/>
        <w:rPr>
          <w:rFonts w:hint="eastAsia" w:ascii="宋体" w:hAnsi="宋体" w:eastAsia="宋体"/>
          <w:bCs/>
          <w:highlight w:val="none"/>
        </w:rPr>
      </w:pPr>
      <w:bookmarkStart w:id="223" w:name="_Toc9395"/>
      <w:r>
        <w:rPr>
          <w:rFonts w:hint="eastAsia" w:ascii="Times New Roman" w:hAnsi="Times New Roman" w:eastAsia="宋体"/>
          <w:b/>
          <w:bCs/>
          <w:sz w:val="44"/>
          <w:szCs w:val="26"/>
          <w:highlight w:val="none"/>
        </w:rPr>
        <w:t>报价文件</w:t>
      </w:r>
      <w:bookmarkEnd w:id="222"/>
      <w:bookmarkEnd w:id="223"/>
    </w:p>
    <w:p w14:paraId="6472A923">
      <w:pPr>
        <w:tabs>
          <w:tab w:val="left" w:pos="0"/>
          <w:tab w:val="left" w:pos="600"/>
        </w:tabs>
        <w:spacing w:line="400" w:lineRule="exact"/>
        <w:jc w:val="center"/>
        <w:rPr>
          <w:rFonts w:hint="eastAsia" w:ascii="宋体" w:hAnsi="宋体"/>
          <w:b/>
          <w:sz w:val="30"/>
          <w:highlight w:val="none"/>
        </w:rPr>
      </w:pPr>
      <w:r>
        <w:rPr>
          <w:rFonts w:ascii="宋体" w:hAnsi="宋体"/>
          <w:b/>
          <w:sz w:val="30"/>
          <w:highlight w:val="none"/>
        </w:rPr>
        <w:t xml:space="preserve"> </w:t>
      </w:r>
    </w:p>
    <w:p w14:paraId="4FE4DCBE">
      <w:pPr>
        <w:tabs>
          <w:tab w:val="left" w:pos="0"/>
          <w:tab w:val="left" w:pos="600"/>
        </w:tabs>
        <w:spacing w:line="400" w:lineRule="exact"/>
        <w:jc w:val="center"/>
        <w:rPr>
          <w:rFonts w:hint="eastAsia" w:ascii="宋体" w:hAnsi="宋体" w:cs="Courier New"/>
          <w:b/>
          <w:bCs/>
          <w:sz w:val="30"/>
          <w:szCs w:val="30"/>
          <w:highlight w:val="none"/>
        </w:rPr>
      </w:pPr>
      <w:r>
        <w:rPr>
          <w:rFonts w:hint="eastAsia" w:ascii="宋体" w:hAnsi="宋体"/>
          <w:b/>
          <w:sz w:val="30"/>
          <w:highlight w:val="none"/>
        </w:rPr>
        <w:t>一、开标一览表</w:t>
      </w:r>
    </w:p>
    <w:p w14:paraId="071B2696">
      <w:pPr>
        <w:spacing w:line="380" w:lineRule="exact"/>
        <w:ind w:firstLine="990" w:firstLineChars="450"/>
        <w:rPr>
          <w:rFonts w:hint="eastAsia" w:ascii="宋体" w:hAnsi="宋体"/>
          <w:sz w:val="22"/>
          <w:highlight w:val="none"/>
        </w:rPr>
      </w:pPr>
      <w:r>
        <w:rPr>
          <w:rFonts w:hint="eastAsia" w:ascii="宋体" w:hAnsi="宋体"/>
          <w:sz w:val="22"/>
          <w:highlight w:val="none"/>
        </w:rPr>
        <w:t>项目名称：                                     项目编号：</w:t>
      </w:r>
    </w:p>
    <w:tbl>
      <w:tblPr>
        <w:tblStyle w:val="35"/>
        <w:tblW w:w="94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7760"/>
      </w:tblGrid>
      <w:tr w14:paraId="198C30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restart"/>
            <w:vAlign w:val="center"/>
          </w:tcPr>
          <w:p w14:paraId="167A48B8">
            <w:pPr>
              <w:jc w:val="center"/>
              <w:rPr>
                <w:rFonts w:hint="eastAsia" w:ascii="宋体" w:hAnsi="宋体"/>
                <w:sz w:val="22"/>
                <w:szCs w:val="22"/>
                <w:highlight w:val="none"/>
              </w:rPr>
            </w:pPr>
            <w:r>
              <w:rPr>
                <w:rFonts w:hint="eastAsia" w:ascii="宋体" w:hAnsi="宋体"/>
                <w:sz w:val="22"/>
                <w:szCs w:val="22"/>
                <w:highlight w:val="none"/>
              </w:rPr>
              <w:t>投标报价</w:t>
            </w:r>
          </w:p>
        </w:tc>
        <w:tc>
          <w:tcPr>
            <w:tcW w:w="7760" w:type="dxa"/>
            <w:vAlign w:val="center"/>
          </w:tcPr>
          <w:p w14:paraId="6FE81878">
            <w:pPr>
              <w:pStyle w:val="19"/>
              <w:spacing w:line="460" w:lineRule="atLeast"/>
              <w:rPr>
                <w:rFonts w:hint="eastAsia" w:ascii="宋体" w:hAnsi="宋体" w:eastAsia="宋体"/>
                <w:kern w:val="2"/>
                <w:sz w:val="22"/>
                <w:szCs w:val="22"/>
                <w:highlight w:val="none"/>
              </w:rPr>
            </w:pPr>
            <w:r>
              <w:rPr>
                <w:rFonts w:hint="eastAsia" w:ascii="宋体" w:hAnsi="宋体" w:eastAsia="宋体"/>
                <w:kern w:val="2"/>
                <w:sz w:val="22"/>
                <w:szCs w:val="22"/>
                <w:highlight w:val="none"/>
              </w:rPr>
              <w:t>（大写）人民币：</w:t>
            </w:r>
            <w:r>
              <w:rPr>
                <w:rFonts w:hint="eastAsia" w:ascii="宋体" w:hAnsi="宋体" w:eastAsia="宋体"/>
                <w:kern w:val="2"/>
                <w:sz w:val="22"/>
                <w:szCs w:val="22"/>
                <w:highlight w:val="none"/>
                <w:u w:val="single"/>
              </w:rPr>
              <w:t xml:space="preserve"> </w:t>
            </w:r>
            <w:r>
              <w:rPr>
                <w:rFonts w:ascii="宋体" w:hAnsi="宋体" w:eastAsia="宋体"/>
                <w:kern w:val="2"/>
                <w:sz w:val="22"/>
                <w:szCs w:val="22"/>
                <w:highlight w:val="none"/>
                <w:u w:val="single"/>
              </w:rPr>
              <w:t xml:space="preserve">    </w:t>
            </w:r>
            <w:r>
              <w:rPr>
                <w:rFonts w:hint="eastAsia" w:ascii="宋体" w:hAnsi="宋体" w:eastAsia="宋体"/>
                <w:kern w:val="2"/>
                <w:sz w:val="22"/>
                <w:szCs w:val="22"/>
                <w:highlight w:val="none"/>
              </w:rPr>
              <w:t>元</w:t>
            </w:r>
          </w:p>
        </w:tc>
      </w:tr>
      <w:tr w14:paraId="4BBE3C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04" w:type="dxa"/>
            <w:vMerge w:val="continue"/>
            <w:vAlign w:val="center"/>
          </w:tcPr>
          <w:p w14:paraId="26F8DD6F">
            <w:pPr>
              <w:pStyle w:val="19"/>
              <w:spacing w:line="460" w:lineRule="atLeast"/>
              <w:rPr>
                <w:rFonts w:hint="eastAsia" w:ascii="宋体" w:hAnsi="宋体" w:eastAsia="宋体"/>
                <w:kern w:val="2"/>
                <w:sz w:val="22"/>
                <w:szCs w:val="22"/>
                <w:highlight w:val="none"/>
              </w:rPr>
            </w:pPr>
          </w:p>
        </w:tc>
        <w:tc>
          <w:tcPr>
            <w:tcW w:w="7760" w:type="dxa"/>
            <w:vAlign w:val="center"/>
          </w:tcPr>
          <w:p w14:paraId="0F1EEBD5">
            <w:pPr>
              <w:pStyle w:val="19"/>
              <w:spacing w:line="460" w:lineRule="atLeast"/>
              <w:rPr>
                <w:rFonts w:hint="eastAsia" w:ascii="宋体" w:hAnsi="宋体" w:eastAsia="宋体"/>
                <w:kern w:val="2"/>
                <w:sz w:val="22"/>
                <w:szCs w:val="22"/>
                <w:highlight w:val="none"/>
              </w:rPr>
            </w:pPr>
            <w:r>
              <w:rPr>
                <w:rFonts w:hint="eastAsia" w:ascii="宋体" w:hAnsi="宋体" w:eastAsia="宋体"/>
                <w:kern w:val="2"/>
                <w:sz w:val="22"/>
                <w:szCs w:val="22"/>
                <w:highlight w:val="none"/>
              </w:rPr>
              <w:t>（小写）￥</w:t>
            </w:r>
          </w:p>
        </w:tc>
      </w:tr>
    </w:tbl>
    <w:p w14:paraId="7C994AFD">
      <w:pPr>
        <w:tabs>
          <w:tab w:val="left" w:pos="540"/>
        </w:tabs>
        <w:spacing w:line="440" w:lineRule="exact"/>
        <w:rPr>
          <w:rFonts w:hint="eastAsia" w:ascii="宋体" w:hAnsi="宋体"/>
          <w:sz w:val="22"/>
          <w:szCs w:val="22"/>
          <w:highlight w:val="none"/>
        </w:rPr>
      </w:pPr>
      <w:r>
        <w:rPr>
          <w:rFonts w:hint="eastAsia" w:ascii="宋体" w:hAnsi="宋体"/>
          <w:sz w:val="22"/>
          <w:szCs w:val="22"/>
          <w:highlight w:val="none"/>
        </w:rPr>
        <w:t>说明：</w:t>
      </w:r>
    </w:p>
    <w:p w14:paraId="6EF1BD4F">
      <w:pPr>
        <w:spacing w:line="460" w:lineRule="exact"/>
        <w:rPr>
          <w:rFonts w:hint="eastAsia" w:ascii="宋体" w:hAnsi="宋体"/>
          <w:b/>
          <w:sz w:val="22"/>
          <w:szCs w:val="22"/>
          <w:highlight w:val="none"/>
        </w:rPr>
      </w:pPr>
      <w:r>
        <w:rPr>
          <w:rFonts w:hint="eastAsia" w:ascii="宋体" w:hAnsi="宋体"/>
          <w:b/>
          <w:sz w:val="22"/>
          <w:szCs w:val="22"/>
          <w:highlight w:val="none"/>
        </w:rPr>
        <w:t>1. “投标报价”应与《投标分项报价表》中“投标报价”相一致。</w:t>
      </w:r>
    </w:p>
    <w:p w14:paraId="627BF6F6">
      <w:pPr>
        <w:spacing w:line="460" w:lineRule="exact"/>
        <w:rPr>
          <w:rFonts w:hint="eastAsia" w:ascii="宋体" w:hAnsi="宋体"/>
          <w:b/>
          <w:sz w:val="22"/>
          <w:szCs w:val="22"/>
          <w:highlight w:val="none"/>
        </w:rPr>
      </w:pPr>
      <w:r>
        <w:rPr>
          <w:rFonts w:hint="eastAsia" w:ascii="宋体" w:hAnsi="宋体"/>
          <w:b/>
          <w:sz w:val="22"/>
          <w:szCs w:val="22"/>
          <w:highlight w:val="none"/>
        </w:rPr>
        <w:t>2. 开标一览表中的投标报价为含税报价，包含但不仅限于以下内容（以下费用未单列的视为包含在报价中）：</w:t>
      </w:r>
    </w:p>
    <w:p w14:paraId="7C13A0E8">
      <w:pPr>
        <w:spacing w:line="460" w:lineRule="exact"/>
        <w:ind w:firstLine="442" w:firstLineChars="200"/>
        <w:jc w:val="left"/>
        <w:rPr>
          <w:rFonts w:hint="eastAsia" w:ascii="宋体" w:hAnsi="宋体"/>
          <w:b/>
          <w:sz w:val="22"/>
          <w:szCs w:val="22"/>
          <w:highlight w:val="none"/>
        </w:rPr>
      </w:pPr>
      <w:r>
        <w:rPr>
          <w:rFonts w:hint="eastAsia" w:ascii="宋体" w:hAnsi="宋体"/>
          <w:b/>
          <w:sz w:val="22"/>
          <w:szCs w:val="22"/>
          <w:highlight w:val="none"/>
        </w:rPr>
        <w:t>1）产品费用(包括货物中所需零配件和原材料已交及未交的产品税、销售税和其它税费等所有相关费用)，以上产品须按照第四部分采购内容及要求。</w:t>
      </w:r>
    </w:p>
    <w:p w14:paraId="5E33E221">
      <w:pPr>
        <w:spacing w:line="460" w:lineRule="exact"/>
        <w:ind w:firstLine="442" w:firstLineChars="200"/>
        <w:jc w:val="left"/>
        <w:rPr>
          <w:rFonts w:hint="eastAsia" w:ascii="宋体" w:hAnsi="宋体"/>
          <w:b/>
          <w:sz w:val="22"/>
          <w:szCs w:val="22"/>
          <w:highlight w:val="none"/>
        </w:rPr>
      </w:pPr>
      <w:r>
        <w:rPr>
          <w:rFonts w:hint="eastAsia" w:ascii="宋体" w:hAnsi="宋体"/>
          <w:b/>
          <w:sz w:val="22"/>
          <w:szCs w:val="22"/>
          <w:highlight w:val="none"/>
        </w:rPr>
        <w:t>2）产品随机备品备件费、随机工具、运输及保险费、安装、调试、验收（含第三方）、人工费用等其他所有交付采购人可能产生的相关费用。</w:t>
      </w:r>
    </w:p>
    <w:p w14:paraId="031EE835">
      <w:pPr>
        <w:spacing w:line="460" w:lineRule="exact"/>
        <w:ind w:firstLine="442" w:firstLineChars="200"/>
        <w:jc w:val="left"/>
        <w:rPr>
          <w:rFonts w:hint="eastAsia" w:ascii="宋体" w:hAnsi="宋体"/>
          <w:b/>
          <w:sz w:val="22"/>
          <w:szCs w:val="22"/>
          <w:highlight w:val="none"/>
        </w:rPr>
      </w:pPr>
      <w:r>
        <w:rPr>
          <w:rFonts w:hint="eastAsia" w:ascii="宋体" w:hAnsi="宋体"/>
          <w:b/>
          <w:sz w:val="22"/>
          <w:szCs w:val="22"/>
          <w:highlight w:val="none"/>
        </w:rPr>
        <w:t>3）产品的售后服务费用及招标文件中规定的其它服务费用。</w:t>
      </w:r>
    </w:p>
    <w:p w14:paraId="2788B91E">
      <w:pPr>
        <w:spacing w:line="460" w:lineRule="exact"/>
        <w:rPr>
          <w:rFonts w:hint="eastAsia" w:ascii="宋体" w:hAnsi="宋体"/>
          <w:b/>
          <w:sz w:val="22"/>
          <w:szCs w:val="22"/>
          <w:highlight w:val="none"/>
          <w:u w:val="single"/>
        </w:rPr>
      </w:pPr>
      <w:r>
        <w:rPr>
          <w:rFonts w:hint="eastAsia" w:ascii="宋体" w:hAnsi="宋体"/>
          <w:b/>
          <w:sz w:val="22"/>
          <w:szCs w:val="22"/>
          <w:highlight w:val="none"/>
          <w:u w:val="single"/>
        </w:rPr>
        <w:t>※不提供此表的投标文件将被视为未实质性响应招标文件，其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1D4751BD">
      <w:pPr>
        <w:spacing w:line="360" w:lineRule="auto"/>
        <w:rPr>
          <w:rFonts w:hint="eastAsia" w:ascii="宋体" w:hAnsi="宋体" w:cs="Courier New"/>
          <w:bCs/>
          <w:sz w:val="22"/>
          <w:szCs w:val="22"/>
          <w:highlight w:val="none"/>
        </w:rPr>
      </w:pPr>
    </w:p>
    <w:p w14:paraId="6E5872E7">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sz w:val="22"/>
          <w:szCs w:val="22"/>
          <w:highlight w:val="none"/>
        </w:rPr>
        <w:t>投标人全称（盖章）</w:t>
      </w:r>
      <w:r>
        <w:rPr>
          <w:rFonts w:hint="eastAsia" w:ascii="宋体" w:hAnsi="宋体" w:cs="Courier New"/>
          <w:bCs/>
          <w:sz w:val="22"/>
          <w:szCs w:val="22"/>
          <w:highlight w:val="none"/>
        </w:rPr>
        <w:t>：</w:t>
      </w:r>
    </w:p>
    <w:p w14:paraId="746E15EA">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cs="Courier New"/>
          <w:bCs/>
          <w:sz w:val="22"/>
          <w:szCs w:val="22"/>
          <w:highlight w:val="none"/>
        </w:rPr>
        <w:t>单位</w:t>
      </w:r>
      <w:r>
        <w:rPr>
          <w:rFonts w:hint="eastAsia" w:ascii="宋体" w:hAnsi="宋体"/>
          <w:sz w:val="22"/>
          <w:szCs w:val="22"/>
          <w:highlight w:val="none"/>
        </w:rPr>
        <w:t>负责人</w:t>
      </w:r>
      <w:r>
        <w:rPr>
          <w:rFonts w:hint="eastAsia" w:ascii="宋体" w:hAnsi="宋体" w:cs="Courier New"/>
          <w:bCs/>
          <w:sz w:val="22"/>
          <w:szCs w:val="22"/>
          <w:highlight w:val="none"/>
        </w:rPr>
        <w:t>或授权代表（签字或盖章）：</w:t>
      </w:r>
    </w:p>
    <w:p w14:paraId="1F22B024">
      <w:pPr>
        <w:tabs>
          <w:tab w:val="left" w:pos="840"/>
        </w:tabs>
        <w:adjustRightInd w:val="0"/>
        <w:snapToGrid w:val="0"/>
        <w:spacing w:line="360" w:lineRule="auto"/>
        <w:ind w:left="420" w:leftChars="200" w:firstLine="330" w:firstLineChars="150"/>
        <w:rPr>
          <w:rFonts w:hint="eastAsia" w:ascii="宋体" w:hAnsi="宋体" w:cs="Courier New"/>
          <w:bCs/>
          <w:sz w:val="22"/>
          <w:szCs w:val="22"/>
          <w:highlight w:val="none"/>
        </w:rPr>
      </w:pPr>
      <w:r>
        <w:rPr>
          <w:rFonts w:hint="eastAsia" w:ascii="宋体" w:hAnsi="宋体" w:cs="Courier New"/>
          <w:bCs/>
          <w:sz w:val="22"/>
          <w:szCs w:val="22"/>
          <w:highlight w:val="none"/>
        </w:rPr>
        <w:t>日          期：  年  月  日</w:t>
      </w:r>
    </w:p>
    <w:p w14:paraId="0B8772BF">
      <w:pPr>
        <w:pStyle w:val="13"/>
        <w:rPr>
          <w:rFonts w:hint="eastAsia" w:ascii="宋体" w:hAnsi="宋体" w:eastAsia="宋体"/>
          <w:sz w:val="22"/>
          <w:szCs w:val="22"/>
          <w:highlight w:val="none"/>
        </w:rPr>
      </w:pPr>
      <w:r>
        <w:rPr>
          <w:rFonts w:ascii="宋体" w:hAnsi="宋体" w:eastAsia="宋体" w:cs="Courier New"/>
          <w:bCs/>
          <w:sz w:val="22"/>
          <w:szCs w:val="22"/>
          <w:highlight w:val="none"/>
        </w:rPr>
        <w:br w:type="page"/>
      </w:r>
    </w:p>
    <w:p w14:paraId="3989914E">
      <w:pPr>
        <w:tabs>
          <w:tab w:val="left" w:pos="0"/>
          <w:tab w:val="left" w:pos="600"/>
        </w:tabs>
        <w:spacing w:line="400" w:lineRule="exact"/>
        <w:jc w:val="center"/>
        <w:rPr>
          <w:rFonts w:hint="eastAsia" w:ascii="宋体" w:hAnsi="宋体"/>
          <w:b/>
          <w:sz w:val="30"/>
          <w:highlight w:val="none"/>
        </w:rPr>
      </w:pPr>
    </w:p>
    <w:p w14:paraId="1BBCEC14">
      <w:pPr>
        <w:tabs>
          <w:tab w:val="left" w:pos="0"/>
          <w:tab w:val="left" w:pos="600"/>
        </w:tabs>
        <w:spacing w:line="400" w:lineRule="exact"/>
        <w:jc w:val="center"/>
        <w:rPr>
          <w:rFonts w:hint="eastAsia" w:ascii="宋体" w:hAnsi="宋体"/>
          <w:b/>
          <w:sz w:val="30"/>
          <w:highlight w:val="none"/>
        </w:rPr>
      </w:pPr>
      <w:r>
        <w:rPr>
          <w:rFonts w:hint="eastAsia" w:ascii="宋体" w:hAnsi="宋体"/>
          <w:b/>
          <w:sz w:val="30"/>
          <w:highlight w:val="none"/>
        </w:rPr>
        <w:t>二、投标分项报价表</w:t>
      </w:r>
    </w:p>
    <w:p w14:paraId="579E53A6">
      <w:pPr>
        <w:spacing w:line="380" w:lineRule="exact"/>
        <w:ind w:firstLine="880" w:firstLineChars="400"/>
        <w:rPr>
          <w:rFonts w:hint="eastAsia" w:ascii="宋体" w:hAnsi="宋体"/>
          <w:sz w:val="22"/>
          <w:highlight w:val="none"/>
        </w:rPr>
      </w:pPr>
      <w:r>
        <w:rPr>
          <w:rFonts w:hint="eastAsia" w:ascii="宋体" w:hAnsi="宋体"/>
          <w:sz w:val="22"/>
          <w:highlight w:val="none"/>
        </w:rPr>
        <w:t>项目名称：                                     项目编号：</w:t>
      </w:r>
    </w:p>
    <w:tbl>
      <w:tblPr>
        <w:tblStyle w:val="35"/>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555"/>
        <w:gridCol w:w="1278"/>
        <w:gridCol w:w="1134"/>
        <w:gridCol w:w="1106"/>
        <w:gridCol w:w="1139"/>
        <w:gridCol w:w="1198"/>
        <w:gridCol w:w="1093"/>
        <w:gridCol w:w="1134"/>
      </w:tblGrid>
      <w:tr w14:paraId="09BA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top w:val="single" w:color="auto" w:sz="12" w:space="0"/>
              <w:left w:val="single" w:color="auto" w:sz="12" w:space="0"/>
              <w:bottom w:val="single" w:color="auto" w:sz="12" w:space="0"/>
            </w:tcBorders>
            <w:vAlign w:val="center"/>
          </w:tcPr>
          <w:p w14:paraId="419ADC88">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序号</w:t>
            </w:r>
          </w:p>
        </w:tc>
        <w:tc>
          <w:tcPr>
            <w:tcW w:w="1555" w:type="dxa"/>
            <w:tcBorders>
              <w:top w:val="single" w:color="auto" w:sz="12" w:space="0"/>
              <w:bottom w:val="single" w:color="auto" w:sz="12" w:space="0"/>
            </w:tcBorders>
            <w:vAlign w:val="center"/>
          </w:tcPr>
          <w:p w14:paraId="774FC1AA">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产品名称</w:t>
            </w:r>
          </w:p>
        </w:tc>
        <w:tc>
          <w:tcPr>
            <w:tcW w:w="1278" w:type="dxa"/>
            <w:tcBorders>
              <w:top w:val="single" w:color="auto" w:sz="12" w:space="0"/>
              <w:bottom w:val="single" w:color="auto" w:sz="12" w:space="0"/>
            </w:tcBorders>
            <w:vAlign w:val="center"/>
          </w:tcPr>
          <w:p w14:paraId="1B5767C8">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品牌/型号/规格</w:t>
            </w:r>
          </w:p>
        </w:tc>
        <w:tc>
          <w:tcPr>
            <w:tcW w:w="1134" w:type="dxa"/>
            <w:tcBorders>
              <w:top w:val="single" w:color="auto" w:sz="12" w:space="0"/>
              <w:bottom w:val="single" w:color="auto" w:sz="12" w:space="0"/>
            </w:tcBorders>
            <w:vAlign w:val="center"/>
          </w:tcPr>
          <w:p w14:paraId="5790EE67">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制造商</w:t>
            </w:r>
          </w:p>
        </w:tc>
        <w:tc>
          <w:tcPr>
            <w:tcW w:w="1106" w:type="dxa"/>
            <w:tcBorders>
              <w:top w:val="single" w:color="auto" w:sz="12" w:space="0"/>
              <w:bottom w:val="single" w:color="auto" w:sz="12" w:space="0"/>
            </w:tcBorders>
            <w:vAlign w:val="center"/>
          </w:tcPr>
          <w:p w14:paraId="1D1606DB">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数量</w:t>
            </w:r>
          </w:p>
        </w:tc>
        <w:tc>
          <w:tcPr>
            <w:tcW w:w="1139" w:type="dxa"/>
            <w:tcBorders>
              <w:top w:val="single" w:color="auto" w:sz="12" w:space="0"/>
              <w:bottom w:val="single" w:color="auto" w:sz="12" w:space="0"/>
            </w:tcBorders>
            <w:vAlign w:val="center"/>
          </w:tcPr>
          <w:p w14:paraId="231BCF61">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单价</w:t>
            </w:r>
          </w:p>
          <w:p w14:paraId="3CD4FFA1">
            <w:pPr>
              <w:ind w:right="-11"/>
              <w:jc w:val="center"/>
              <w:rPr>
                <w:rFonts w:hint="eastAsia" w:ascii="宋体" w:hAnsi="宋体" w:cs="黑体"/>
                <w:sz w:val="22"/>
                <w:szCs w:val="22"/>
                <w:highlight w:val="none"/>
              </w:rPr>
            </w:pPr>
            <w:r>
              <w:rPr>
                <w:rFonts w:hint="eastAsia" w:ascii="宋体" w:hAnsi="宋体" w:cs="黑体"/>
                <w:sz w:val="22"/>
                <w:szCs w:val="22"/>
                <w:highlight w:val="none"/>
              </w:rPr>
              <w:t>（含税）</w:t>
            </w:r>
          </w:p>
        </w:tc>
        <w:tc>
          <w:tcPr>
            <w:tcW w:w="1198" w:type="dxa"/>
            <w:tcBorders>
              <w:top w:val="single" w:color="auto" w:sz="12" w:space="0"/>
              <w:bottom w:val="single" w:color="auto" w:sz="12" w:space="0"/>
            </w:tcBorders>
            <w:vAlign w:val="center"/>
          </w:tcPr>
          <w:p w14:paraId="467AFE18">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总价</w:t>
            </w:r>
          </w:p>
          <w:p w14:paraId="1DC85077">
            <w:pPr>
              <w:ind w:right="-11"/>
              <w:jc w:val="center"/>
              <w:rPr>
                <w:rFonts w:hint="eastAsia" w:ascii="宋体" w:hAnsi="宋体" w:cs="黑体"/>
                <w:sz w:val="22"/>
                <w:szCs w:val="22"/>
                <w:highlight w:val="none"/>
              </w:rPr>
            </w:pPr>
            <w:r>
              <w:rPr>
                <w:rFonts w:hint="eastAsia" w:ascii="宋体" w:hAnsi="宋体" w:cs="黑体"/>
                <w:sz w:val="22"/>
                <w:szCs w:val="22"/>
                <w:highlight w:val="none"/>
              </w:rPr>
              <w:t>（含税）</w:t>
            </w:r>
          </w:p>
        </w:tc>
        <w:tc>
          <w:tcPr>
            <w:tcW w:w="1093" w:type="dxa"/>
            <w:tcBorders>
              <w:top w:val="single" w:color="auto" w:sz="12" w:space="0"/>
              <w:bottom w:val="single" w:color="auto" w:sz="12" w:space="0"/>
            </w:tcBorders>
          </w:tcPr>
          <w:p w14:paraId="080987BF">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免费</w:t>
            </w:r>
          </w:p>
          <w:p w14:paraId="0F5E4D7E">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质保期</w:t>
            </w:r>
          </w:p>
        </w:tc>
        <w:tc>
          <w:tcPr>
            <w:tcW w:w="1134" w:type="dxa"/>
            <w:tcBorders>
              <w:top w:val="single" w:color="auto" w:sz="12" w:space="0"/>
              <w:bottom w:val="single" w:color="auto" w:sz="12" w:space="0"/>
              <w:right w:val="single" w:color="auto" w:sz="12" w:space="0"/>
            </w:tcBorders>
            <w:vAlign w:val="center"/>
          </w:tcPr>
          <w:p w14:paraId="0B26A871">
            <w:pPr>
              <w:ind w:right="-11"/>
              <w:jc w:val="center"/>
              <w:rPr>
                <w:rFonts w:hint="eastAsia" w:ascii="宋体" w:hAnsi="宋体" w:cs="黑体"/>
                <w:b/>
                <w:bCs/>
                <w:sz w:val="22"/>
                <w:szCs w:val="22"/>
                <w:highlight w:val="none"/>
              </w:rPr>
            </w:pPr>
            <w:r>
              <w:rPr>
                <w:rFonts w:hint="eastAsia" w:ascii="宋体" w:hAnsi="宋体" w:cs="黑体"/>
                <w:b/>
                <w:bCs/>
                <w:sz w:val="22"/>
                <w:szCs w:val="22"/>
                <w:highlight w:val="none"/>
              </w:rPr>
              <w:t>是否小微企业产品</w:t>
            </w:r>
          </w:p>
        </w:tc>
      </w:tr>
      <w:tr w14:paraId="725D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left w:val="single" w:color="auto" w:sz="12" w:space="0"/>
            </w:tcBorders>
            <w:vAlign w:val="center"/>
          </w:tcPr>
          <w:p w14:paraId="0B4222E0">
            <w:pPr>
              <w:ind w:right="-11"/>
              <w:jc w:val="center"/>
              <w:rPr>
                <w:rFonts w:hint="eastAsia" w:ascii="宋体" w:hAnsi="宋体" w:cs="黑体"/>
                <w:sz w:val="22"/>
                <w:szCs w:val="22"/>
                <w:highlight w:val="none"/>
              </w:rPr>
            </w:pPr>
          </w:p>
        </w:tc>
        <w:tc>
          <w:tcPr>
            <w:tcW w:w="1555" w:type="dxa"/>
            <w:vAlign w:val="center"/>
          </w:tcPr>
          <w:p w14:paraId="14985AD7">
            <w:pPr>
              <w:jc w:val="center"/>
              <w:rPr>
                <w:rFonts w:hint="eastAsia" w:ascii="宋体" w:hAnsi="宋体" w:cs="黑体"/>
                <w:sz w:val="22"/>
                <w:szCs w:val="22"/>
                <w:highlight w:val="none"/>
              </w:rPr>
            </w:pPr>
          </w:p>
        </w:tc>
        <w:tc>
          <w:tcPr>
            <w:tcW w:w="1278" w:type="dxa"/>
            <w:vAlign w:val="center"/>
          </w:tcPr>
          <w:p w14:paraId="5E6B5C58">
            <w:pPr>
              <w:jc w:val="center"/>
              <w:rPr>
                <w:rFonts w:hint="eastAsia" w:ascii="宋体" w:hAnsi="宋体" w:cs="黑体"/>
                <w:sz w:val="22"/>
                <w:szCs w:val="22"/>
                <w:highlight w:val="none"/>
              </w:rPr>
            </w:pPr>
          </w:p>
        </w:tc>
        <w:tc>
          <w:tcPr>
            <w:tcW w:w="1134" w:type="dxa"/>
            <w:vAlign w:val="center"/>
          </w:tcPr>
          <w:p w14:paraId="2F3FBAF8">
            <w:pPr>
              <w:ind w:right="-11"/>
              <w:jc w:val="center"/>
              <w:rPr>
                <w:rFonts w:hint="eastAsia" w:ascii="宋体" w:hAnsi="宋体" w:cs="黑体"/>
                <w:sz w:val="22"/>
                <w:szCs w:val="22"/>
                <w:highlight w:val="none"/>
              </w:rPr>
            </w:pPr>
          </w:p>
        </w:tc>
        <w:tc>
          <w:tcPr>
            <w:tcW w:w="1106" w:type="dxa"/>
            <w:vAlign w:val="center"/>
          </w:tcPr>
          <w:p w14:paraId="47A65A06">
            <w:pPr>
              <w:jc w:val="center"/>
              <w:rPr>
                <w:rFonts w:hint="eastAsia" w:ascii="宋体" w:hAnsi="宋体" w:cs="黑体"/>
                <w:sz w:val="22"/>
                <w:szCs w:val="22"/>
                <w:highlight w:val="none"/>
              </w:rPr>
            </w:pPr>
          </w:p>
        </w:tc>
        <w:tc>
          <w:tcPr>
            <w:tcW w:w="1139" w:type="dxa"/>
            <w:vAlign w:val="center"/>
          </w:tcPr>
          <w:p w14:paraId="18142704">
            <w:pPr>
              <w:ind w:right="-11"/>
              <w:jc w:val="center"/>
              <w:rPr>
                <w:rFonts w:hint="eastAsia" w:ascii="宋体" w:hAnsi="宋体" w:cs="黑体"/>
                <w:sz w:val="22"/>
                <w:szCs w:val="22"/>
                <w:highlight w:val="none"/>
              </w:rPr>
            </w:pPr>
          </w:p>
        </w:tc>
        <w:tc>
          <w:tcPr>
            <w:tcW w:w="1198" w:type="dxa"/>
            <w:vAlign w:val="center"/>
          </w:tcPr>
          <w:p w14:paraId="5AA73B25">
            <w:pPr>
              <w:ind w:right="-11"/>
              <w:jc w:val="center"/>
              <w:rPr>
                <w:rFonts w:hint="eastAsia" w:ascii="宋体" w:hAnsi="宋体" w:cs="黑体"/>
                <w:sz w:val="22"/>
                <w:szCs w:val="22"/>
                <w:highlight w:val="none"/>
              </w:rPr>
            </w:pPr>
          </w:p>
        </w:tc>
        <w:tc>
          <w:tcPr>
            <w:tcW w:w="1093" w:type="dxa"/>
          </w:tcPr>
          <w:p w14:paraId="61321C1E">
            <w:pPr>
              <w:ind w:right="-11"/>
              <w:jc w:val="center"/>
              <w:rPr>
                <w:rFonts w:hint="eastAsia" w:ascii="宋体" w:hAnsi="宋体" w:cs="黑体"/>
                <w:sz w:val="22"/>
                <w:szCs w:val="22"/>
                <w:highlight w:val="none"/>
              </w:rPr>
            </w:pPr>
          </w:p>
        </w:tc>
        <w:tc>
          <w:tcPr>
            <w:tcW w:w="1134" w:type="dxa"/>
            <w:tcBorders>
              <w:right w:val="single" w:color="auto" w:sz="12" w:space="0"/>
            </w:tcBorders>
            <w:vAlign w:val="center"/>
          </w:tcPr>
          <w:p w14:paraId="09E24962">
            <w:pPr>
              <w:ind w:right="-11"/>
              <w:jc w:val="center"/>
              <w:rPr>
                <w:rFonts w:hint="eastAsia" w:ascii="宋体" w:hAnsi="宋体" w:cs="黑体"/>
                <w:sz w:val="22"/>
                <w:szCs w:val="22"/>
                <w:highlight w:val="none"/>
              </w:rPr>
            </w:pPr>
          </w:p>
        </w:tc>
      </w:tr>
      <w:tr w14:paraId="5754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left w:val="single" w:color="auto" w:sz="12" w:space="0"/>
            </w:tcBorders>
            <w:vAlign w:val="center"/>
          </w:tcPr>
          <w:p w14:paraId="03A06FB0">
            <w:pPr>
              <w:ind w:right="-11"/>
              <w:jc w:val="center"/>
              <w:rPr>
                <w:rFonts w:hint="eastAsia" w:ascii="宋体" w:hAnsi="宋体" w:cs="黑体"/>
                <w:sz w:val="22"/>
                <w:szCs w:val="22"/>
                <w:highlight w:val="none"/>
              </w:rPr>
            </w:pPr>
          </w:p>
        </w:tc>
        <w:tc>
          <w:tcPr>
            <w:tcW w:w="1555" w:type="dxa"/>
            <w:vAlign w:val="center"/>
          </w:tcPr>
          <w:p w14:paraId="23D9C1C1">
            <w:pPr>
              <w:jc w:val="center"/>
              <w:rPr>
                <w:rFonts w:hint="eastAsia" w:ascii="宋体" w:hAnsi="宋体" w:cs="黑体"/>
                <w:sz w:val="22"/>
                <w:szCs w:val="22"/>
                <w:highlight w:val="none"/>
              </w:rPr>
            </w:pPr>
          </w:p>
        </w:tc>
        <w:tc>
          <w:tcPr>
            <w:tcW w:w="1278" w:type="dxa"/>
            <w:vAlign w:val="center"/>
          </w:tcPr>
          <w:p w14:paraId="7408618F">
            <w:pPr>
              <w:jc w:val="center"/>
              <w:rPr>
                <w:rFonts w:hint="eastAsia" w:ascii="宋体" w:hAnsi="宋体" w:cs="黑体"/>
                <w:sz w:val="22"/>
                <w:szCs w:val="22"/>
                <w:highlight w:val="none"/>
              </w:rPr>
            </w:pPr>
          </w:p>
        </w:tc>
        <w:tc>
          <w:tcPr>
            <w:tcW w:w="1134" w:type="dxa"/>
            <w:vAlign w:val="center"/>
          </w:tcPr>
          <w:p w14:paraId="1D3A7BF0">
            <w:pPr>
              <w:ind w:right="-11"/>
              <w:jc w:val="center"/>
              <w:rPr>
                <w:rFonts w:hint="eastAsia" w:ascii="宋体" w:hAnsi="宋体" w:cs="黑体"/>
                <w:sz w:val="22"/>
                <w:szCs w:val="22"/>
                <w:highlight w:val="none"/>
              </w:rPr>
            </w:pPr>
          </w:p>
        </w:tc>
        <w:tc>
          <w:tcPr>
            <w:tcW w:w="1106" w:type="dxa"/>
            <w:vAlign w:val="center"/>
          </w:tcPr>
          <w:p w14:paraId="0747157C">
            <w:pPr>
              <w:jc w:val="center"/>
              <w:rPr>
                <w:rFonts w:hint="eastAsia" w:ascii="宋体" w:hAnsi="宋体" w:cs="黑体"/>
                <w:sz w:val="22"/>
                <w:szCs w:val="22"/>
                <w:highlight w:val="none"/>
              </w:rPr>
            </w:pPr>
          </w:p>
        </w:tc>
        <w:tc>
          <w:tcPr>
            <w:tcW w:w="1139" w:type="dxa"/>
            <w:vAlign w:val="center"/>
          </w:tcPr>
          <w:p w14:paraId="607C3E02">
            <w:pPr>
              <w:ind w:right="-11"/>
              <w:jc w:val="center"/>
              <w:rPr>
                <w:rFonts w:hint="eastAsia" w:ascii="宋体" w:hAnsi="宋体" w:cs="黑体"/>
                <w:sz w:val="22"/>
                <w:szCs w:val="22"/>
                <w:highlight w:val="none"/>
              </w:rPr>
            </w:pPr>
          </w:p>
        </w:tc>
        <w:tc>
          <w:tcPr>
            <w:tcW w:w="1198" w:type="dxa"/>
            <w:vAlign w:val="center"/>
          </w:tcPr>
          <w:p w14:paraId="0B010239">
            <w:pPr>
              <w:ind w:right="-11"/>
              <w:jc w:val="center"/>
              <w:rPr>
                <w:rFonts w:hint="eastAsia" w:ascii="宋体" w:hAnsi="宋体" w:cs="黑体"/>
                <w:sz w:val="22"/>
                <w:szCs w:val="22"/>
                <w:highlight w:val="none"/>
              </w:rPr>
            </w:pPr>
          </w:p>
        </w:tc>
        <w:tc>
          <w:tcPr>
            <w:tcW w:w="1093" w:type="dxa"/>
          </w:tcPr>
          <w:p w14:paraId="7D9A6769">
            <w:pPr>
              <w:ind w:right="-11"/>
              <w:jc w:val="center"/>
              <w:rPr>
                <w:rFonts w:hint="eastAsia" w:ascii="宋体" w:hAnsi="宋体" w:cs="黑体"/>
                <w:sz w:val="22"/>
                <w:szCs w:val="22"/>
                <w:highlight w:val="none"/>
              </w:rPr>
            </w:pPr>
          </w:p>
        </w:tc>
        <w:tc>
          <w:tcPr>
            <w:tcW w:w="1134" w:type="dxa"/>
            <w:tcBorders>
              <w:right w:val="single" w:color="auto" w:sz="12" w:space="0"/>
            </w:tcBorders>
            <w:vAlign w:val="center"/>
          </w:tcPr>
          <w:p w14:paraId="22AFDA78">
            <w:pPr>
              <w:ind w:right="-11"/>
              <w:jc w:val="center"/>
              <w:rPr>
                <w:rFonts w:hint="eastAsia" w:ascii="宋体" w:hAnsi="宋体" w:cs="黑体"/>
                <w:sz w:val="22"/>
                <w:szCs w:val="22"/>
                <w:highlight w:val="none"/>
              </w:rPr>
            </w:pPr>
          </w:p>
        </w:tc>
      </w:tr>
      <w:tr w14:paraId="55EFA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left w:val="single" w:color="auto" w:sz="12" w:space="0"/>
            </w:tcBorders>
            <w:vAlign w:val="center"/>
          </w:tcPr>
          <w:p w14:paraId="73EF5219">
            <w:pPr>
              <w:ind w:right="-11"/>
              <w:jc w:val="center"/>
              <w:rPr>
                <w:rFonts w:hint="eastAsia" w:ascii="宋体" w:hAnsi="宋体" w:cs="黑体"/>
                <w:sz w:val="22"/>
                <w:szCs w:val="22"/>
                <w:highlight w:val="none"/>
              </w:rPr>
            </w:pPr>
          </w:p>
        </w:tc>
        <w:tc>
          <w:tcPr>
            <w:tcW w:w="1555" w:type="dxa"/>
            <w:vAlign w:val="center"/>
          </w:tcPr>
          <w:p w14:paraId="6D660EED">
            <w:pPr>
              <w:jc w:val="center"/>
              <w:rPr>
                <w:rFonts w:hint="eastAsia" w:ascii="宋体" w:hAnsi="宋体" w:cs="黑体"/>
                <w:sz w:val="22"/>
                <w:szCs w:val="22"/>
                <w:highlight w:val="none"/>
              </w:rPr>
            </w:pPr>
          </w:p>
        </w:tc>
        <w:tc>
          <w:tcPr>
            <w:tcW w:w="1278" w:type="dxa"/>
            <w:vAlign w:val="center"/>
          </w:tcPr>
          <w:p w14:paraId="2B3B44E8">
            <w:pPr>
              <w:jc w:val="center"/>
              <w:rPr>
                <w:rFonts w:hint="eastAsia" w:ascii="宋体" w:hAnsi="宋体" w:cs="黑体"/>
                <w:sz w:val="22"/>
                <w:szCs w:val="22"/>
                <w:highlight w:val="none"/>
              </w:rPr>
            </w:pPr>
          </w:p>
        </w:tc>
        <w:tc>
          <w:tcPr>
            <w:tcW w:w="1134" w:type="dxa"/>
            <w:vAlign w:val="center"/>
          </w:tcPr>
          <w:p w14:paraId="3DA6B84F">
            <w:pPr>
              <w:ind w:right="-11"/>
              <w:jc w:val="center"/>
              <w:rPr>
                <w:rFonts w:hint="eastAsia" w:ascii="宋体" w:hAnsi="宋体" w:cs="黑体"/>
                <w:sz w:val="22"/>
                <w:szCs w:val="22"/>
                <w:highlight w:val="none"/>
              </w:rPr>
            </w:pPr>
          </w:p>
        </w:tc>
        <w:tc>
          <w:tcPr>
            <w:tcW w:w="1106" w:type="dxa"/>
            <w:vAlign w:val="center"/>
          </w:tcPr>
          <w:p w14:paraId="071D08B0">
            <w:pPr>
              <w:jc w:val="center"/>
              <w:rPr>
                <w:rFonts w:hint="eastAsia" w:ascii="宋体" w:hAnsi="宋体" w:cs="黑体"/>
                <w:sz w:val="22"/>
                <w:szCs w:val="22"/>
                <w:highlight w:val="none"/>
              </w:rPr>
            </w:pPr>
          </w:p>
        </w:tc>
        <w:tc>
          <w:tcPr>
            <w:tcW w:w="1139" w:type="dxa"/>
            <w:vAlign w:val="center"/>
          </w:tcPr>
          <w:p w14:paraId="6F125BD0">
            <w:pPr>
              <w:ind w:right="-11"/>
              <w:jc w:val="center"/>
              <w:rPr>
                <w:rFonts w:hint="eastAsia" w:ascii="宋体" w:hAnsi="宋体" w:cs="黑体"/>
                <w:sz w:val="22"/>
                <w:szCs w:val="22"/>
                <w:highlight w:val="none"/>
              </w:rPr>
            </w:pPr>
          </w:p>
        </w:tc>
        <w:tc>
          <w:tcPr>
            <w:tcW w:w="1198" w:type="dxa"/>
            <w:vAlign w:val="center"/>
          </w:tcPr>
          <w:p w14:paraId="330F43A9">
            <w:pPr>
              <w:ind w:right="-11"/>
              <w:jc w:val="center"/>
              <w:rPr>
                <w:rFonts w:hint="eastAsia" w:ascii="宋体" w:hAnsi="宋体" w:cs="黑体"/>
                <w:sz w:val="22"/>
                <w:szCs w:val="22"/>
                <w:highlight w:val="none"/>
              </w:rPr>
            </w:pPr>
          </w:p>
        </w:tc>
        <w:tc>
          <w:tcPr>
            <w:tcW w:w="1093" w:type="dxa"/>
          </w:tcPr>
          <w:p w14:paraId="62A7254D">
            <w:pPr>
              <w:ind w:right="-11"/>
              <w:jc w:val="center"/>
              <w:rPr>
                <w:rFonts w:hint="eastAsia" w:ascii="宋体" w:hAnsi="宋体" w:cs="黑体"/>
                <w:sz w:val="22"/>
                <w:szCs w:val="22"/>
                <w:highlight w:val="none"/>
              </w:rPr>
            </w:pPr>
          </w:p>
        </w:tc>
        <w:tc>
          <w:tcPr>
            <w:tcW w:w="1134" w:type="dxa"/>
            <w:tcBorders>
              <w:right w:val="single" w:color="auto" w:sz="12" w:space="0"/>
            </w:tcBorders>
            <w:vAlign w:val="center"/>
          </w:tcPr>
          <w:p w14:paraId="0529790E">
            <w:pPr>
              <w:ind w:right="-11"/>
              <w:jc w:val="center"/>
              <w:rPr>
                <w:rFonts w:hint="eastAsia" w:ascii="宋体" w:hAnsi="宋体" w:cs="黑体"/>
                <w:sz w:val="22"/>
                <w:szCs w:val="22"/>
                <w:highlight w:val="none"/>
              </w:rPr>
            </w:pPr>
          </w:p>
        </w:tc>
      </w:tr>
      <w:tr w14:paraId="3E3E9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left w:val="single" w:color="auto" w:sz="12" w:space="0"/>
            </w:tcBorders>
            <w:vAlign w:val="center"/>
          </w:tcPr>
          <w:p w14:paraId="4988CB87">
            <w:pPr>
              <w:ind w:right="-11"/>
              <w:jc w:val="center"/>
              <w:rPr>
                <w:rFonts w:hint="eastAsia" w:ascii="宋体" w:hAnsi="宋体" w:cs="黑体"/>
                <w:sz w:val="22"/>
                <w:szCs w:val="22"/>
                <w:highlight w:val="none"/>
              </w:rPr>
            </w:pPr>
          </w:p>
        </w:tc>
        <w:tc>
          <w:tcPr>
            <w:tcW w:w="1555" w:type="dxa"/>
            <w:vAlign w:val="center"/>
          </w:tcPr>
          <w:p w14:paraId="4DD40CF6">
            <w:pPr>
              <w:jc w:val="center"/>
              <w:rPr>
                <w:rFonts w:hint="eastAsia" w:ascii="宋体" w:hAnsi="宋体" w:cs="黑体"/>
                <w:sz w:val="22"/>
                <w:szCs w:val="22"/>
                <w:highlight w:val="none"/>
              </w:rPr>
            </w:pPr>
          </w:p>
        </w:tc>
        <w:tc>
          <w:tcPr>
            <w:tcW w:w="1278" w:type="dxa"/>
            <w:vAlign w:val="center"/>
          </w:tcPr>
          <w:p w14:paraId="7884C490">
            <w:pPr>
              <w:jc w:val="center"/>
              <w:rPr>
                <w:rFonts w:hint="eastAsia" w:ascii="宋体" w:hAnsi="宋体" w:cs="黑体"/>
                <w:sz w:val="22"/>
                <w:szCs w:val="22"/>
                <w:highlight w:val="none"/>
              </w:rPr>
            </w:pPr>
          </w:p>
        </w:tc>
        <w:tc>
          <w:tcPr>
            <w:tcW w:w="1134" w:type="dxa"/>
            <w:vAlign w:val="center"/>
          </w:tcPr>
          <w:p w14:paraId="0EEDABE7">
            <w:pPr>
              <w:ind w:right="-11"/>
              <w:jc w:val="center"/>
              <w:rPr>
                <w:rFonts w:hint="eastAsia" w:ascii="宋体" w:hAnsi="宋体" w:cs="黑体"/>
                <w:sz w:val="22"/>
                <w:szCs w:val="22"/>
                <w:highlight w:val="none"/>
              </w:rPr>
            </w:pPr>
          </w:p>
        </w:tc>
        <w:tc>
          <w:tcPr>
            <w:tcW w:w="1106" w:type="dxa"/>
            <w:vAlign w:val="center"/>
          </w:tcPr>
          <w:p w14:paraId="668CE751">
            <w:pPr>
              <w:jc w:val="center"/>
              <w:rPr>
                <w:rFonts w:hint="eastAsia" w:ascii="宋体" w:hAnsi="宋体" w:cs="黑体"/>
                <w:sz w:val="22"/>
                <w:szCs w:val="22"/>
                <w:highlight w:val="none"/>
              </w:rPr>
            </w:pPr>
          </w:p>
        </w:tc>
        <w:tc>
          <w:tcPr>
            <w:tcW w:w="1139" w:type="dxa"/>
            <w:vAlign w:val="center"/>
          </w:tcPr>
          <w:p w14:paraId="678A49CC">
            <w:pPr>
              <w:ind w:right="-11"/>
              <w:jc w:val="center"/>
              <w:rPr>
                <w:rFonts w:hint="eastAsia" w:ascii="宋体" w:hAnsi="宋体" w:cs="黑体"/>
                <w:sz w:val="22"/>
                <w:szCs w:val="22"/>
                <w:highlight w:val="none"/>
              </w:rPr>
            </w:pPr>
          </w:p>
        </w:tc>
        <w:tc>
          <w:tcPr>
            <w:tcW w:w="1198" w:type="dxa"/>
            <w:vAlign w:val="center"/>
          </w:tcPr>
          <w:p w14:paraId="16D32054">
            <w:pPr>
              <w:ind w:right="-11"/>
              <w:jc w:val="center"/>
              <w:rPr>
                <w:rFonts w:hint="eastAsia" w:ascii="宋体" w:hAnsi="宋体" w:cs="黑体"/>
                <w:sz w:val="22"/>
                <w:szCs w:val="22"/>
                <w:highlight w:val="none"/>
              </w:rPr>
            </w:pPr>
          </w:p>
        </w:tc>
        <w:tc>
          <w:tcPr>
            <w:tcW w:w="1093" w:type="dxa"/>
          </w:tcPr>
          <w:p w14:paraId="4AD35430">
            <w:pPr>
              <w:ind w:right="-11"/>
              <w:jc w:val="center"/>
              <w:rPr>
                <w:rFonts w:hint="eastAsia" w:ascii="宋体" w:hAnsi="宋体" w:cs="黑体"/>
                <w:sz w:val="22"/>
                <w:szCs w:val="22"/>
                <w:highlight w:val="none"/>
              </w:rPr>
            </w:pPr>
          </w:p>
        </w:tc>
        <w:tc>
          <w:tcPr>
            <w:tcW w:w="1134" w:type="dxa"/>
            <w:tcBorders>
              <w:right w:val="single" w:color="auto" w:sz="12" w:space="0"/>
            </w:tcBorders>
            <w:vAlign w:val="center"/>
          </w:tcPr>
          <w:p w14:paraId="5072A2C4">
            <w:pPr>
              <w:ind w:right="-11"/>
              <w:jc w:val="center"/>
              <w:rPr>
                <w:rFonts w:hint="eastAsia" w:ascii="宋体" w:hAnsi="宋体" w:cs="黑体"/>
                <w:sz w:val="22"/>
                <w:szCs w:val="22"/>
                <w:highlight w:val="none"/>
              </w:rPr>
            </w:pPr>
          </w:p>
        </w:tc>
      </w:tr>
      <w:tr w14:paraId="7EB6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left w:val="single" w:color="auto" w:sz="12" w:space="0"/>
            </w:tcBorders>
            <w:vAlign w:val="center"/>
          </w:tcPr>
          <w:p w14:paraId="74960348">
            <w:pPr>
              <w:ind w:right="-11"/>
              <w:jc w:val="center"/>
              <w:rPr>
                <w:rFonts w:hint="eastAsia" w:ascii="宋体" w:hAnsi="宋体" w:cs="黑体"/>
                <w:sz w:val="22"/>
                <w:szCs w:val="22"/>
                <w:highlight w:val="none"/>
              </w:rPr>
            </w:pPr>
          </w:p>
        </w:tc>
        <w:tc>
          <w:tcPr>
            <w:tcW w:w="1555" w:type="dxa"/>
            <w:vAlign w:val="center"/>
          </w:tcPr>
          <w:p w14:paraId="35970E1D">
            <w:pPr>
              <w:jc w:val="center"/>
              <w:rPr>
                <w:rFonts w:hint="eastAsia" w:ascii="宋体" w:hAnsi="宋体" w:cs="黑体"/>
                <w:sz w:val="22"/>
                <w:szCs w:val="22"/>
                <w:highlight w:val="none"/>
              </w:rPr>
            </w:pPr>
          </w:p>
        </w:tc>
        <w:tc>
          <w:tcPr>
            <w:tcW w:w="1278" w:type="dxa"/>
            <w:vAlign w:val="center"/>
          </w:tcPr>
          <w:p w14:paraId="481029BB">
            <w:pPr>
              <w:jc w:val="center"/>
              <w:rPr>
                <w:rFonts w:hint="eastAsia" w:ascii="宋体" w:hAnsi="宋体" w:cs="黑体"/>
                <w:sz w:val="22"/>
                <w:szCs w:val="22"/>
                <w:highlight w:val="none"/>
              </w:rPr>
            </w:pPr>
          </w:p>
        </w:tc>
        <w:tc>
          <w:tcPr>
            <w:tcW w:w="1134" w:type="dxa"/>
            <w:vAlign w:val="center"/>
          </w:tcPr>
          <w:p w14:paraId="140C6F8A">
            <w:pPr>
              <w:ind w:right="-11"/>
              <w:jc w:val="center"/>
              <w:rPr>
                <w:rFonts w:hint="eastAsia" w:ascii="宋体" w:hAnsi="宋体" w:cs="黑体"/>
                <w:sz w:val="22"/>
                <w:szCs w:val="22"/>
                <w:highlight w:val="none"/>
              </w:rPr>
            </w:pPr>
          </w:p>
        </w:tc>
        <w:tc>
          <w:tcPr>
            <w:tcW w:w="1106" w:type="dxa"/>
            <w:vAlign w:val="center"/>
          </w:tcPr>
          <w:p w14:paraId="57B6B064">
            <w:pPr>
              <w:jc w:val="center"/>
              <w:rPr>
                <w:rFonts w:hint="eastAsia" w:ascii="宋体" w:hAnsi="宋体" w:cs="黑体"/>
                <w:sz w:val="22"/>
                <w:szCs w:val="22"/>
                <w:highlight w:val="none"/>
              </w:rPr>
            </w:pPr>
          </w:p>
        </w:tc>
        <w:tc>
          <w:tcPr>
            <w:tcW w:w="1139" w:type="dxa"/>
            <w:vAlign w:val="center"/>
          </w:tcPr>
          <w:p w14:paraId="6375422A">
            <w:pPr>
              <w:ind w:right="-11"/>
              <w:jc w:val="center"/>
              <w:rPr>
                <w:rFonts w:hint="eastAsia" w:ascii="宋体" w:hAnsi="宋体" w:cs="黑体"/>
                <w:sz w:val="22"/>
                <w:szCs w:val="22"/>
                <w:highlight w:val="none"/>
              </w:rPr>
            </w:pPr>
          </w:p>
        </w:tc>
        <w:tc>
          <w:tcPr>
            <w:tcW w:w="1198" w:type="dxa"/>
            <w:vAlign w:val="center"/>
          </w:tcPr>
          <w:p w14:paraId="20D304DD">
            <w:pPr>
              <w:ind w:right="-11"/>
              <w:jc w:val="center"/>
              <w:rPr>
                <w:rFonts w:hint="eastAsia" w:ascii="宋体" w:hAnsi="宋体" w:cs="黑体"/>
                <w:sz w:val="22"/>
                <w:szCs w:val="22"/>
                <w:highlight w:val="none"/>
              </w:rPr>
            </w:pPr>
          </w:p>
        </w:tc>
        <w:tc>
          <w:tcPr>
            <w:tcW w:w="1093" w:type="dxa"/>
          </w:tcPr>
          <w:p w14:paraId="1539AB72">
            <w:pPr>
              <w:ind w:right="-11"/>
              <w:jc w:val="center"/>
              <w:rPr>
                <w:rFonts w:hint="eastAsia" w:ascii="宋体" w:hAnsi="宋体" w:cs="黑体"/>
                <w:sz w:val="22"/>
                <w:szCs w:val="22"/>
                <w:highlight w:val="none"/>
              </w:rPr>
            </w:pPr>
          </w:p>
        </w:tc>
        <w:tc>
          <w:tcPr>
            <w:tcW w:w="1134" w:type="dxa"/>
            <w:tcBorders>
              <w:right w:val="single" w:color="auto" w:sz="12" w:space="0"/>
            </w:tcBorders>
            <w:vAlign w:val="center"/>
          </w:tcPr>
          <w:p w14:paraId="61C818BF">
            <w:pPr>
              <w:ind w:right="-11"/>
              <w:jc w:val="center"/>
              <w:rPr>
                <w:rFonts w:hint="eastAsia" w:ascii="宋体" w:hAnsi="宋体" w:cs="黑体"/>
                <w:sz w:val="22"/>
                <w:szCs w:val="22"/>
                <w:highlight w:val="none"/>
              </w:rPr>
            </w:pPr>
          </w:p>
        </w:tc>
      </w:tr>
      <w:tr w14:paraId="5F85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7" w:type="dxa"/>
            <w:tcBorders>
              <w:left w:val="single" w:color="auto" w:sz="12" w:space="0"/>
            </w:tcBorders>
            <w:vAlign w:val="center"/>
          </w:tcPr>
          <w:p w14:paraId="18D5FDAC">
            <w:pPr>
              <w:ind w:right="-11"/>
              <w:jc w:val="center"/>
              <w:rPr>
                <w:rFonts w:hint="eastAsia" w:ascii="宋体" w:hAnsi="宋体" w:cs="黑体"/>
                <w:sz w:val="22"/>
                <w:szCs w:val="22"/>
                <w:highlight w:val="none"/>
              </w:rPr>
            </w:pPr>
          </w:p>
        </w:tc>
        <w:tc>
          <w:tcPr>
            <w:tcW w:w="1555" w:type="dxa"/>
            <w:vAlign w:val="center"/>
          </w:tcPr>
          <w:p w14:paraId="5061E4A7">
            <w:pPr>
              <w:jc w:val="center"/>
              <w:rPr>
                <w:rFonts w:hint="eastAsia" w:ascii="宋体" w:hAnsi="宋体" w:cs="黑体"/>
                <w:sz w:val="22"/>
                <w:szCs w:val="22"/>
                <w:highlight w:val="none"/>
              </w:rPr>
            </w:pPr>
          </w:p>
        </w:tc>
        <w:tc>
          <w:tcPr>
            <w:tcW w:w="1278" w:type="dxa"/>
            <w:vAlign w:val="center"/>
          </w:tcPr>
          <w:p w14:paraId="2030B3BA">
            <w:pPr>
              <w:jc w:val="center"/>
              <w:rPr>
                <w:rFonts w:hint="eastAsia" w:ascii="宋体" w:hAnsi="宋体" w:cs="黑体"/>
                <w:sz w:val="22"/>
                <w:szCs w:val="22"/>
                <w:highlight w:val="none"/>
              </w:rPr>
            </w:pPr>
          </w:p>
        </w:tc>
        <w:tc>
          <w:tcPr>
            <w:tcW w:w="1134" w:type="dxa"/>
            <w:vAlign w:val="center"/>
          </w:tcPr>
          <w:p w14:paraId="3964C9A9">
            <w:pPr>
              <w:ind w:right="-11"/>
              <w:jc w:val="center"/>
              <w:rPr>
                <w:rFonts w:hint="eastAsia" w:ascii="宋体" w:hAnsi="宋体" w:cs="黑体"/>
                <w:sz w:val="22"/>
                <w:szCs w:val="22"/>
                <w:highlight w:val="none"/>
              </w:rPr>
            </w:pPr>
          </w:p>
        </w:tc>
        <w:tc>
          <w:tcPr>
            <w:tcW w:w="1106" w:type="dxa"/>
            <w:vAlign w:val="center"/>
          </w:tcPr>
          <w:p w14:paraId="65920D6D">
            <w:pPr>
              <w:jc w:val="center"/>
              <w:rPr>
                <w:rFonts w:hint="eastAsia" w:ascii="宋体" w:hAnsi="宋体" w:cs="黑体"/>
                <w:sz w:val="22"/>
                <w:szCs w:val="22"/>
                <w:highlight w:val="none"/>
              </w:rPr>
            </w:pPr>
          </w:p>
        </w:tc>
        <w:tc>
          <w:tcPr>
            <w:tcW w:w="1139" w:type="dxa"/>
            <w:vAlign w:val="center"/>
          </w:tcPr>
          <w:p w14:paraId="6452BE76">
            <w:pPr>
              <w:ind w:right="-11"/>
              <w:jc w:val="center"/>
              <w:rPr>
                <w:rFonts w:hint="eastAsia" w:ascii="宋体" w:hAnsi="宋体" w:cs="黑体"/>
                <w:sz w:val="22"/>
                <w:szCs w:val="22"/>
                <w:highlight w:val="none"/>
              </w:rPr>
            </w:pPr>
          </w:p>
        </w:tc>
        <w:tc>
          <w:tcPr>
            <w:tcW w:w="1198" w:type="dxa"/>
            <w:vAlign w:val="center"/>
          </w:tcPr>
          <w:p w14:paraId="2A3D1F6A">
            <w:pPr>
              <w:ind w:right="-11"/>
              <w:jc w:val="center"/>
              <w:rPr>
                <w:rFonts w:hint="eastAsia" w:ascii="宋体" w:hAnsi="宋体" w:cs="黑体"/>
                <w:sz w:val="22"/>
                <w:szCs w:val="22"/>
                <w:highlight w:val="none"/>
              </w:rPr>
            </w:pPr>
          </w:p>
        </w:tc>
        <w:tc>
          <w:tcPr>
            <w:tcW w:w="1093" w:type="dxa"/>
          </w:tcPr>
          <w:p w14:paraId="0336EB29">
            <w:pPr>
              <w:ind w:right="-11"/>
              <w:jc w:val="center"/>
              <w:rPr>
                <w:rFonts w:hint="eastAsia" w:ascii="宋体" w:hAnsi="宋体" w:cs="黑体"/>
                <w:sz w:val="22"/>
                <w:szCs w:val="22"/>
                <w:highlight w:val="none"/>
              </w:rPr>
            </w:pPr>
          </w:p>
        </w:tc>
        <w:tc>
          <w:tcPr>
            <w:tcW w:w="1134" w:type="dxa"/>
            <w:tcBorders>
              <w:right w:val="single" w:color="auto" w:sz="12" w:space="0"/>
            </w:tcBorders>
            <w:vAlign w:val="center"/>
          </w:tcPr>
          <w:p w14:paraId="6A1633BE">
            <w:pPr>
              <w:ind w:right="-11"/>
              <w:jc w:val="center"/>
              <w:rPr>
                <w:rFonts w:hint="eastAsia" w:ascii="宋体" w:hAnsi="宋体" w:cs="黑体"/>
                <w:sz w:val="22"/>
                <w:szCs w:val="22"/>
                <w:highlight w:val="none"/>
              </w:rPr>
            </w:pPr>
          </w:p>
        </w:tc>
      </w:tr>
      <w:tr w14:paraId="6B30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10" w:type="dxa"/>
            <w:gridSpan w:val="3"/>
            <w:tcBorders>
              <w:left w:val="single" w:color="auto" w:sz="12" w:space="0"/>
              <w:bottom w:val="single" w:color="auto" w:sz="12" w:space="0"/>
            </w:tcBorders>
            <w:vAlign w:val="center"/>
          </w:tcPr>
          <w:p w14:paraId="4E550C92">
            <w:pPr>
              <w:ind w:right="-10"/>
              <w:jc w:val="center"/>
              <w:rPr>
                <w:rFonts w:hint="eastAsia" w:ascii="宋体" w:hAnsi="宋体" w:cs="黑体"/>
                <w:b/>
                <w:bCs/>
                <w:sz w:val="22"/>
                <w:szCs w:val="22"/>
                <w:highlight w:val="none"/>
              </w:rPr>
            </w:pPr>
            <w:r>
              <w:rPr>
                <w:rFonts w:hint="eastAsia" w:ascii="宋体" w:hAnsi="宋体" w:cs="黑体"/>
                <w:b/>
                <w:bCs/>
                <w:sz w:val="22"/>
                <w:szCs w:val="22"/>
                <w:highlight w:val="none"/>
              </w:rPr>
              <w:t>合计</w:t>
            </w:r>
          </w:p>
        </w:tc>
        <w:tc>
          <w:tcPr>
            <w:tcW w:w="6804" w:type="dxa"/>
            <w:gridSpan w:val="6"/>
            <w:tcBorders>
              <w:bottom w:val="single" w:color="auto" w:sz="12" w:space="0"/>
              <w:right w:val="single" w:color="auto" w:sz="12" w:space="0"/>
            </w:tcBorders>
          </w:tcPr>
          <w:p w14:paraId="1CFD3015">
            <w:pPr>
              <w:ind w:right="-10"/>
              <w:rPr>
                <w:rFonts w:hint="eastAsia" w:ascii="宋体" w:hAnsi="宋体" w:cs="黑体"/>
                <w:sz w:val="22"/>
                <w:szCs w:val="22"/>
                <w:highlight w:val="none"/>
              </w:rPr>
            </w:pPr>
          </w:p>
        </w:tc>
      </w:tr>
      <w:tr w14:paraId="7BF3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10" w:type="dxa"/>
            <w:gridSpan w:val="3"/>
            <w:tcBorders>
              <w:top w:val="single" w:color="auto" w:sz="2" w:space="0"/>
              <w:left w:val="single" w:color="auto" w:sz="12" w:space="0"/>
              <w:bottom w:val="single" w:color="auto" w:sz="2" w:space="0"/>
            </w:tcBorders>
            <w:vAlign w:val="center"/>
          </w:tcPr>
          <w:p w14:paraId="7101516D">
            <w:pPr>
              <w:ind w:right="-11"/>
              <w:rPr>
                <w:rFonts w:hint="eastAsia" w:ascii="宋体" w:hAnsi="宋体" w:cs="黑体"/>
                <w:sz w:val="22"/>
                <w:szCs w:val="22"/>
                <w:highlight w:val="none"/>
              </w:rPr>
            </w:pPr>
            <w:r>
              <w:rPr>
                <w:rFonts w:hint="eastAsia" w:ascii="宋体" w:hAnsi="宋体"/>
                <w:sz w:val="22"/>
                <w:szCs w:val="22"/>
                <w:highlight w:val="none"/>
              </w:rPr>
              <w:t>随机备品备件、耗材、专用工具（如有）</w:t>
            </w:r>
          </w:p>
        </w:tc>
        <w:tc>
          <w:tcPr>
            <w:tcW w:w="6804" w:type="dxa"/>
            <w:gridSpan w:val="6"/>
            <w:tcBorders>
              <w:top w:val="single" w:color="auto" w:sz="2" w:space="0"/>
              <w:bottom w:val="single" w:color="auto" w:sz="2" w:space="0"/>
              <w:right w:val="single" w:color="auto" w:sz="12" w:space="0"/>
            </w:tcBorders>
          </w:tcPr>
          <w:p w14:paraId="6A727E95">
            <w:pPr>
              <w:ind w:right="-10"/>
              <w:rPr>
                <w:rFonts w:hint="eastAsia" w:ascii="宋体" w:hAnsi="宋体" w:cs="黑体"/>
                <w:sz w:val="22"/>
                <w:szCs w:val="22"/>
                <w:highlight w:val="none"/>
              </w:rPr>
            </w:pPr>
          </w:p>
        </w:tc>
      </w:tr>
      <w:tr w14:paraId="707A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10" w:type="dxa"/>
            <w:gridSpan w:val="3"/>
            <w:tcBorders>
              <w:top w:val="single" w:color="auto" w:sz="2" w:space="0"/>
              <w:left w:val="single" w:color="auto" w:sz="12" w:space="0"/>
              <w:bottom w:val="single" w:color="auto" w:sz="2" w:space="0"/>
            </w:tcBorders>
            <w:vAlign w:val="center"/>
          </w:tcPr>
          <w:p w14:paraId="2AC1E2FD">
            <w:pPr>
              <w:ind w:right="-11"/>
              <w:rPr>
                <w:rFonts w:hint="eastAsia" w:ascii="宋体" w:hAnsi="宋体" w:cs="黑体"/>
                <w:sz w:val="22"/>
                <w:szCs w:val="22"/>
                <w:highlight w:val="none"/>
              </w:rPr>
            </w:pPr>
            <w:r>
              <w:rPr>
                <w:rFonts w:hint="eastAsia" w:ascii="宋体" w:hAnsi="宋体" w:cs="黑体"/>
                <w:sz w:val="22"/>
                <w:szCs w:val="22"/>
                <w:highlight w:val="none"/>
              </w:rPr>
              <w:t>运杂及保险费（含卸货）</w:t>
            </w:r>
          </w:p>
        </w:tc>
        <w:tc>
          <w:tcPr>
            <w:tcW w:w="6804" w:type="dxa"/>
            <w:gridSpan w:val="6"/>
            <w:tcBorders>
              <w:top w:val="single" w:color="auto" w:sz="2" w:space="0"/>
              <w:bottom w:val="single" w:color="auto" w:sz="2" w:space="0"/>
              <w:right w:val="single" w:color="auto" w:sz="12" w:space="0"/>
            </w:tcBorders>
          </w:tcPr>
          <w:p w14:paraId="2E0B9EBE">
            <w:pPr>
              <w:ind w:right="-10"/>
              <w:rPr>
                <w:rFonts w:hint="eastAsia" w:ascii="宋体" w:hAnsi="宋体" w:cs="黑体"/>
                <w:sz w:val="22"/>
                <w:szCs w:val="22"/>
                <w:highlight w:val="none"/>
              </w:rPr>
            </w:pPr>
          </w:p>
        </w:tc>
      </w:tr>
      <w:tr w14:paraId="0890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10" w:type="dxa"/>
            <w:gridSpan w:val="3"/>
            <w:tcBorders>
              <w:top w:val="single" w:color="auto" w:sz="2" w:space="0"/>
              <w:left w:val="single" w:color="auto" w:sz="12" w:space="0"/>
              <w:bottom w:val="single" w:color="auto" w:sz="2" w:space="0"/>
            </w:tcBorders>
            <w:vAlign w:val="center"/>
          </w:tcPr>
          <w:p w14:paraId="461064A2">
            <w:pPr>
              <w:ind w:right="-11"/>
              <w:rPr>
                <w:rFonts w:hint="eastAsia" w:ascii="宋体" w:hAnsi="宋体" w:cs="黑体"/>
                <w:sz w:val="22"/>
                <w:szCs w:val="22"/>
                <w:highlight w:val="none"/>
              </w:rPr>
            </w:pPr>
            <w:r>
              <w:rPr>
                <w:rFonts w:hint="eastAsia" w:ascii="宋体" w:hAnsi="宋体"/>
                <w:sz w:val="22"/>
                <w:szCs w:val="22"/>
                <w:highlight w:val="none"/>
              </w:rPr>
              <w:t>安装、调试及验收费（包括设备的测试、调试、验收等费用）</w:t>
            </w:r>
          </w:p>
        </w:tc>
        <w:tc>
          <w:tcPr>
            <w:tcW w:w="6804" w:type="dxa"/>
            <w:gridSpan w:val="6"/>
            <w:tcBorders>
              <w:top w:val="single" w:color="auto" w:sz="2" w:space="0"/>
              <w:bottom w:val="single" w:color="auto" w:sz="2" w:space="0"/>
              <w:right w:val="single" w:color="auto" w:sz="12" w:space="0"/>
            </w:tcBorders>
          </w:tcPr>
          <w:p w14:paraId="1BB97F90">
            <w:pPr>
              <w:ind w:right="-10"/>
              <w:rPr>
                <w:rFonts w:hint="eastAsia" w:ascii="宋体" w:hAnsi="宋体" w:cs="黑体"/>
                <w:sz w:val="22"/>
                <w:szCs w:val="22"/>
                <w:highlight w:val="none"/>
              </w:rPr>
            </w:pPr>
          </w:p>
        </w:tc>
      </w:tr>
      <w:tr w14:paraId="3ED4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10" w:type="dxa"/>
            <w:gridSpan w:val="3"/>
            <w:tcBorders>
              <w:top w:val="single" w:color="auto" w:sz="2" w:space="0"/>
              <w:left w:val="single" w:color="auto" w:sz="12" w:space="0"/>
              <w:bottom w:val="single" w:color="auto" w:sz="2" w:space="0"/>
            </w:tcBorders>
            <w:vAlign w:val="center"/>
          </w:tcPr>
          <w:p w14:paraId="20CAD430">
            <w:pPr>
              <w:ind w:right="-11"/>
              <w:rPr>
                <w:rFonts w:hint="eastAsia" w:ascii="宋体" w:hAnsi="宋体"/>
                <w:sz w:val="22"/>
                <w:szCs w:val="22"/>
                <w:highlight w:val="none"/>
              </w:rPr>
            </w:pPr>
            <w:r>
              <w:rPr>
                <w:rFonts w:hint="eastAsia" w:ascii="宋体" w:hAnsi="宋体" w:cs="黑体"/>
                <w:sz w:val="22"/>
                <w:szCs w:val="22"/>
                <w:highlight w:val="none"/>
              </w:rPr>
              <w:t>技术培训费、技术服务费、售后服务费等</w:t>
            </w:r>
          </w:p>
        </w:tc>
        <w:tc>
          <w:tcPr>
            <w:tcW w:w="6804" w:type="dxa"/>
            <w:gridSpan w:val="6"/>
            <w:tcBorders>
              <w:top w:val="single" w:color="auto" w:sz="2" w:space="0"/>
              <w:bottom w:val="single" w:color="auto" w:sz="2" w:space="0"/>
              <w:right w:val="single" w:color="auto" w:sz="12" w:space="0"/>
            </w:tcBorders>
          </w:tcPr>
          <w:p w14:paraId="48BC0AB0">
            <w:pPr>
              <w:ind w:right="-10"/>
              <w:rPr>
                <w:rFonts w:hint="eastAsia" w:ascii="宋体" w:hAnsi="宋体" w:cs="黑体"/>
                <w:sz w:val="22"/>
                <w:szCs w:val="22"/>
                <w:highlight w:val="none"/>
              </w:rPr>
            </w:pPr>
          </w:p>
        </w:tc>
      </w:tr>
      <w:tr w14:paraId="3C89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10" w:type="dxa"/>
            <w:gridSpan w:val="3"/>
            <w:tcBorders>
              <w:top w:val="single" w:color="auto" w:sz="2" w:space="0"/>
              <w:left w:val="single" w:color="auto" w:sz="12" w:space="0"/>
              <w:bottom w:val="single" w:color="auto" w:sz="2" w:space="0"/>
            </w:tcBorders>
            <w:vAlign w:val="center"/>
          </w:tcPr>
          <w:p w14:paraId="58847F4B">
            <w:pPr>
              <w:ind w:right="-11"/>
              <w:rPr>
                <w:rFonts w:hint="eastAsia" w:ascii="宋体" w:hAnsi="宋体"/>
                <w:sz w:val="22"/>
                <w:szCs w:val="22"/>
                <w:highlight w:val="none"/>
              </w:rPr>
            </w:pPr>
            <w:r>
              <w:rPr>
                <w:rFonts w:hint="eastAsia" w:ascii="宋体" w:hAnsi="宋体" w:cs="黑体"/>
                <w:sz w:val="22"/>
                <w:szCs w:val="22"/>
                <w:highlight w:val="none"/>
              </w:rPr>
              <w:t>其他相关费用</w:t>
            </w:r>
          </w:p>
        </w:tc>
        <w:tc>
          <w:tcPr>
            <w:tcW w:w="6804" w:type="dxa"/>
            <w:gridSpan w:val="6"/>
            <w:tcBorders>
              <w:top w:val="single" w:color="auto" w:sz="2" w:space="0"/>
              <w:bottom w:val="single" w:color="auto" w:sz="2" w:space="0"/>
              <w:right w:val="single" w:color="auto" w:sz="12" w:space="0"/>
            </w:tcBorders>
          </w:tcPr>
          <w:p w14:paraId="4FD1B9F4">
            <w:pPr>
              <w:ind w:right="-10"/>
              <w:rPr>
                <w:rFonts w:hint="eastAsia" w:ascii="宋体" w:hAnsi="宋体" w:cs="黑体"/>
                <w:sz w:val="22"/>
                <w:szCs w:val="22"/>
                <w:highlight w:val="none"/>
              </w:rPr>
            </w:pPr>
          </w:p>
        </w:tc>
      </w:tr>
      <w:tr w14:paraId="1830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510" w:type="dxa"/>
            <w:gridSpan w:val="3"/>
            <w:tcBorders>
              <w:top w:val="single" w:color="auto" w:sz="2" w:space="0"/>
              <w:left w:val="single" w:color="auto" w:sz="12" w:space="0"/>
              <w:bottom w:val="single" w:color="auto" w:sz="12" w:space="0"/>
            </w:tcBorders>
            <w:vAlign w:val="center"/>
          </w:tcPr>
          <w:p w14:paraId="722CF603">
            <w:pPr>
              <w:ind w:right="-11"/>
              <w:rPr>
                <w:rFonts w:hint="eastAsia" w:ascii="宋体" w:hAnsi="宋体" w:cs="黑体"/>
                <w:b/>
                <w:sz w:val="22"/>
                <w:szCs w:val="22"/>
                <w:highlight w:val="none"/>
              </w:rPr>
            </w:pPr>
            <w:r>
              <w:rPr>
                <w:rFonts w:hint="eastAsia" w:ascii="宋体" w:hAnsi="宋体" w:cs="黑体"/>
                <w:b/>
                <w:sz w:val="22"/>
                <w:szCs w:val="22"/>
                <w:highlight w:val="none"/>
              </w:rPr>
              <w:t>投标报价（总计）</w:t>
            </w:r>
          </w:p>
        </w:tc>
        <w:tc>
          <w:tcPr>
            <w:tcW w:w="6804" w:type="dxa"/>
            <w:gridSpan w:val="6"/>
            <w:tcBorders>
              <w:top w:val="single" w:color="auto" w:sz="2" w:space="0"/>
              <w:bottom w:val="single" w:color="auto" w:sz="12" w:space="0"/>
              <w:right w:val="single" w:color="auto" w:sz="12" w:space="0"/>
            </w:tcBorders>
          </w:tcPr>
          <w:p w14:paraId="5EC18E74">
            <w:pPr>
              <w:ind w:right="-10"/>
              <w:rPr>
                <w:rFonts w:hint="eastAsia" w:ascii="宋体" w:hAnsi="宋体" w:cs="黑体"/>
                <w:sz w:val="22"/>
                <w:szCs w:val="22"/>
                <w:highlight w:val="none"/>
              </w:rPr>
            </w:pPr>
          </w:p>
        </w:tc>
      </w:tr>
    </w:tbl>
    <w:p w14:paraId="1DEAA572">
      <w:pPr>
        <w:spacing w:line="460" w:lineRule="exact"/>
        <w:rPr>
          <w:rFonts w:hint="eastAsia" w:ascii="宋体" w:hAnsi="宋体"/>
          <w:b/>
          <w:sz w:val="22"/>
          <w:szCs w:val="22"/>
          <w:highlight w:val="none"/>
        </w:rPr>
      </w:pPr>
      <w:r>
        <w:rPr>
          <w:rFonts w:hint="eastAsia" w:ascii="宋体" w:hAnsi="宋体"/>
          <w:b/>
          <w:sz w:val="22"/>
          <w:szCs w:val="22"/>
          <w:highlight w:val="none"/>
        </w:rPr>
        <w:t>说明：</w:t>
      </w:r>
    </w:p>
    <w:p w14:paraId="2F0F3199">
      <w:pPr>
        <w:spacing w:line="460" w:lineRule="exact"/>
        <w:rPr>
          <w:rFonts w:hint="eastAsia" w:ascii="宋体" w:hAnsi="宋体"/>
          <w:b/>
          <w:sz w:val="22"/>
          <w:szCs w:val="22"/>
          <w:highlight w:val="none"/>
        </w:rPr>
      </w:pPr>
      <w:r>
        <w:rPr>
          <w:rFonts w:hint="eastAsia" w:ascii="宋体" w:hAnsi="宋体"/>
          <w:b/>
          <w:sz w:val="22"/>
          <w:szCs w:val="22"/>
          <w:highlight w:val="none"/>
        </w:rPr>
        <w:t>1. “投标报价”应与《开标一览表》中“投标报价”相一致。</w:t>
      </w:r>
    </w:p>
    <w:p w14:paraId="4297C77A">
      <w:pPr>
        <w:spacing w:line="460" w:lineRule="exact"/>
        <w:rPr>
          <w:rFonts w:hint="eastAsia" w:ascii="宋体" w:hAnsi="宋体"/>
          <w:b/>
          <w:sz w:val="22"/>
          <w:szCs w:val="22"/>
          <w:highlight w:val="none"/>
        </w:rPr>
      </w:pPr>
      <w:r>
        <w:rPr>
          <w:rFonts w:hint="eastAsia" w:ascii="宋体" w:hAnsi="宋体"/>
          <w:b/>
          <w:sz w:val="22"/>
          <w:szCs w:val="22"/>
          <w:highlight w:val="none"/>
        </w:rPr>
        <w:t>2．投标分项报价表所填内容</w:t>
      </w:r>
      <w:bookmarkStart w:id="224" w:name="_Hlk66989322"/>
      <w:r>
        <w:rPr>
          <w:rFonts w:hint="eastAsia" w:ascii="宋体" w:hAnsi="宋体"/>
          <w:b/>
          <w:sz w:val="22"/>
          <w:szCs w:val="22"/>
          <w:highlight w:val="none"/>
        </w:rPr>
        <w:t>按采购内容及要求为准。</w:t>
      </w:r>
      <w:bookmarkEnd w:id="224"/>
    </w:p>
    <w:p w14:paraId="0EDF832D">
      <w:pPr>
        <w:spacing w:line="460" w:lineRule="exact"/>
        <w:rPr>
          <w:rFonts w:hint="eastAsia" w:ascii="宋体" w:hAnsi="宋体"/>
          <w:b/>
          <w:sz w:val="22"/>
          <w:szCs w:val="22"/>
          <w:highlight w:val="none"/>
        </w:rPr>
      </w:pPr>
      <w:r>
        <w:rPr>
          <w:rFonts w:hint="eastAsia" w:ascii="宋体" w:hAnsi="宋体"/>
          <w:b/>
          <w:sz w:val="22"/>
          <w:szCs w:val="22"/>
          <w:highlight w:val="none"/>
        </w:rPr>
        <w:t>3. 各项费用如已包含在产品价格中请注明“含”。</w:t>
      </w:r>
    </w:p>
    <w:p w14:paraId="66C11B2C">
      <w:pPr>
        <w:spacing w:line="460" w:lineRule="exact"/>
        <w:rPr>
          <w:rFonts w:hint="eastAsia" w:ascii="宋体" w:hAnsi="宋体"/>
          <w:sz w:val="22"/>
          <w:szCs w:val="22"/>
          <w:highlight w:val="none"/>
        </w:rPr>
      </w:pPr>
      <w:r>
        <w:rPr>
          <w:rFonts w:ascii="宋体" w:hAnsi="宋体"/>
          <w:sz w:val="22"/>
          <w:szCs w:val="22"/>
          <w:highlight w:val="none"/>
        </w:rPr>
        <w:t>4</w:t>
      </w:r>
      <w:r>
        <w:rPr>
          <w:rFonts w:hint="eastAsia" w:ascii="宋体" w:hAnsi="宋体"/>
          <w:sz w:val="22"/>
          <w:szCs w:val="22"/>
          <w:highlight w:val="none"/>
        </w:rPr>
        <w:t>. 本表可在不改变格式的情况下根据具体需要自行增减。</w:t>
      </w:r>
    </w:p>
    <w:p w14:paraId="4B8270EB">
      <w:pPr>
        <w:spacing w:line="460" w:lineRule="exact"/>
        <w:rPr>
          <w:rFonts w:hint="eastAsia" w:ascii="宋体" w:hAnsi="宋体"/>
          <w:b/>
          <w:sz w:val="22"/>
          <w:szCs w:val="22"/>
          <w:highlight w:val="none"/>
          <w:u w:val="single"/>
        </w:rPr>
      </w:pPr>
      <w:r>
        <w:rPr>
          <w:rFonts w:hint="eastAsia" w:ascii="宋体" w:hAnsi="宋体"/>
          <w:b/>
          <w:sz w:val="22"/>
          <w:szCs w:val="22"/>
          <w:highlight w:val="none"/>
          <w:u w:val="single"/>
        </w:rPr>
        <w:t>※不提供《投标分项报价表》将视为没有实质性响应招标文件，其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2D0AC2E3">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p>
    <w:p w14:paraId="2DC5EDB6">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投标人全称（盖章）：</w:t>
      </w:r>
    </w:p>
    <w:p w14:paraId="5E5A2B72">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单位负责人或授权代表（签字或盖章）：</w:t>
      </w:r>
    </w:p>
    <w:p w14:paraId="33D738F0">
      <w:pPr>
        <w:tabs>
          <w:tab w:val="left" w:pos="840"/>
        </w:tabs>
        <w:adjustRightInd w:val="0"/>
        <w:snapToGrid w:val="0"/>
        <w:spacing w:line="360" w:lineRule="auto"/>
        <w:ind w:left="420" w:leftChars="200" w:firstLine="330" w:firstLineChars="150"/>
        <w:rPr>
          <w:rFonts w:hint="eastAsia" w:ascii="宋体" w:hAnsi="宋体"/>
          <w:sz w:val="22"/>
          <w:szCs w:val="22"/>
          <w:highlight w:val="none"/>
        </w:rPr>
        <w:sectPr>
          <w:footerReference r:id="rId8" w:type="first"/>
          <w:footerReference r:id="rId7" w:type="default"/>
          <w:pgSz w:w="11906" w:h="16838"/>
          <w:pgMar w:top="1134" w:right="1134" w:bottom="1134" w:left="1134" w:header="851" w:footer="851" w:gutter="0"/>
          <w:pgNumType w:start="1"/>
          <w:cols w:space="720" w:num="1"/>
          <w:docGrid w:linePitch="312" w:charSpace="0"/>
        </w:sectPr>
      </w:pPr>
      <w:r>
        <w:rPr>
          <w:rFonts w:hint="eastAsia" w:ascii="宋体" w:hAnsi="宋体"/>
          <w:sz w:val="22"/>
          <w:szCs w:val="22"/>
          <w:highlight w:val="none"/>
        </w:rPr>
        <w:t>日          期：  年  月  日</w:t>
      </w:r>
    </w:p>
    <w:p w14:paraId="3DA30E85">
      <w:pPr>
        <w:rPr>
          <w:highlight w:val="none"/>
        </w:rPr>
      </w:pPr>
      <w:bookmarkStart w:id="225" w:name="_Toc34761244"/>
    </w:p>
    <w:p w14:paraId="0909EEA8">
      <w:pPr>
        <w:pStyle w:val="7"/>
        <w:keepNext/>
        <w:widowControl w:val="0"/>
        <w:autoSpaceDE/>
        <w:autoSpaceDN/>
        <w:adjustRightInd/>
        <w:spacing w:before="0" w:line="360" w:lineRule="auto"/>
        <w:jc w:val="center"/>
        <w:rPr>
          <w:rFonts w:ascii="Times New Roman" w:hAnsi="Times New Roman" w:eastAsia="宋体"/>
          <w:b/>
          <w:bCs/>
          <w:sz w:val="44"/>
          <w:szCs w:val="26"/>
          <w:highlight w:val="none"/>
        </w:rPr>
      </w:pPr>
      <w:bookmarkStart w:id="226" w:name="_Toc560"/>
      <w:r>
        <w:rPr>
          <w:rFonts w:hint="eastAsia" w:ascii="Times New Roman" w:hAnsi="Times New Roman" w:eastAsia="宋体"/>
          <w:b/>
          <w:bCs/>
          <w:sz w:val="44"/>
          <w:szCs w:val="26"/>
          <w:highlight w:val="none"/>
        </w:rPr>
        <w:t>商务技术文件</w:t>
      </w:r>
      <w:bookmarkEnd w:id="225"/>
      <w:bookmarkEnd w:id="226"/>
    </w:p>
    <w:p w14:paraId="6C827A0E">
      <w:pPr>
        <w:rPr>
          <w:highlight w:val="none"/>
        </w:rPr>
      </w:pPr>
    </w:p>
    <w:p w14:paraId="0DE6E732">
      <w:pPr>
        <w:spacing w:line="460" w:lineRule="exact"/>
        <w:jc w:val="center"/>
        <w:rPr>
          <w:rFonts w:hint="eastAsia" w:ascii="宋体" w:hAnsi="宋体"/>
          <w:b/>
          <w:bCs/>
          <w:sz w:val="30"/>
          <w:szCs w:val="30"/>
          <w:highlight w:val="none"/>
        </w:rPr>
      </w:pPr>
      <w:r>
        <w:rPr>
          <w:rFonts w:hint="eastAsia" w:ascii="宋体" w:hAnsi="宋体"/>
          <w:b/>
          <w:bCs/>
          <w:sz w:val="30"/>
          <w:szCs w:val="30"/>
          <w:highlight w:val="none"/>
        </w:rPr>
        <w:t xml:space="preserve">一、投 </w:t>
      </w:r>
      <w:r>
        <w:rPr>
          <w:rFonts w:ascii="宋体" w:hAnsi="宋体"/>
          <w:b/>
          <w:bCs/>
          <w:sz w:val="30"/>
          <w:szCs w:val="30"/>
          <w:highlight w:val="none"/>
        </w:rPr>
        <w:t xml:space="preserve"> </w:t>
      </w:r>
      <w:r>
        <w:rPr>
          <w:rFonts w:hint="eastAsia" w:ascii="宋体" w:hAnsi="宋体"/>
          <w:b/>
          <w:bCs/>
          <w:sz w:val="30"/>
          <w:szCs w:val="30"/>
          <w:highlight w:val="none"/>
        </w:rPr>
        <w:t xml:space="preserve">标 </w:t>
      </w:r>
      <w:r>
        <w:rPr>
          <w:rFonts w:ascii="宋体" w:hAnsi="宋体"/>
          <w:b/>
          <w:bCs/>
          <w:sz w:val="30"/>
          <w:szCs w:val="30"/>
          <w:highlight w:val="none"/>
        </w:rPr>
        <w:t xml:space="preserve"> </w:t>
      </w:r>
      <w:r>
        <w:rPr>
          <w:rFonts w:hint="eastAsia" w:ascii="宋体" w:hAnsi="宋体"/>
          <w:b/>
          <w:bCs/>
          <w:sz w:val="30"/>
          <w:szCs w:val="30"/>
          <w:highlight w:val="none"/>
        </w:rPr>
        <w:t>函</w:t>
      </w:r>
    </w:p>
    <w:p w14:paraId="36E63A95">
      <w:pPr>
        <w:pStyle w:val="19"/>
        <w:spacing w:line="360" w:lineRule="auto"/>
        <w:rPr>
          <w:rFonts w:hint="eastAsia" w:ascii="宋体" w:hAnsi="宋体" w:eastAsia="宋体" w:cs="Courier New"/>
          <w:sz w:val="22"/>
          <w:szCs w:val="22"/>
          <w:highlight w:val="none"/>
        </w:rPr>
      </w:pPr>
      <w:r>
        <w:rPr>
          <w:rFonts w:hint="eastAsia" w:ascii="宋体" w:hAnsi="宋体" w:eastAsia="宋体" w:cs="Courier New"/>
          <w:sz w:val="22"/>
          <w:szCs w:val="22"/>
          <w:highlight w:val="none"/>
          <w:lang w:eastAsia="zh-CN"/>
        </w:rPr>
        <w:t>温州市瓯海科创集团有限公司</w:t>
      </w:r>
      <w:r>
        <w:rPr>
          <w:rFonts w:hint="eastAsia" w:ascii="宋体" w:hAnsi="宋体" w:eastAsia="宋体" w:cs="Courier New"/>
          <w:sz w:val="22"/>
          <w:szCs w:val="22"/>
          <w:highlight w:val="none"/>
        </w:rPr>
        <w:t>：</w:t>
      </w:r>
    </w:p>
    <w:p w14:paraId="7D1987C2">
      <w:pPr>
        <w:pStyle w:val="19"/>
        <w:spacing w:line="360" w:lineRule="auto"/>
        <w:rPr>
          <w:rFonts w:hint="eastAsia" w:ascii="宋体" w:hAnsi="宋体" w:eastAsia="宋体" w:cs="Courier New"/>
          <w:sz w:val="22"/>
          <w:szCs w:val="22"/>
          <w:highlight w:val="none"/>
        </w:rPr>
      </w:pPr>
      <w:r>
        <w:rPr>
          <w:rFonts w:hint="eastAsia" w:ascii="宋体" w:hAnsi="宋体" w:eastAsia="宋体" w:cs="Courier New"/>
          <w:sz w:val="22"/>
          <w:szCs w:val="22"/>
          <w:highlight w:val="none"/>
        </w:rPr>
        <w:t>浙江立创项目管理有限公司：</w:t>
      </w:r>
    </w:p>
    <w:p w14:paraId="4D7D9F13">
      <w:pPr>
        <w:spacing w:line="360" w:lineRule="auto"/>
        <w:ind w:firstLine="440" w:firstLineChars="200"/>
        <w:rPr>
          <w:rFonts w:hint="eastAsia" w:ascii="宋体" w:hAnsi="宋体" w:cs="Courier New"/>
          <w:sz w:val="22"/>
          <w:szCs w:val="22"/>
          <w:highlight w:val="none"/>
        </w:rPr>
      </w:pPr>
      <w:r>
        <w:rPr>
          <w:rFonts w:hint="eastAsia" w:ascii="宋体" w:hAnsi="宋体" w:cs="Courier New"/>
          <w:sz w:val="22"/>
          <w:szCs w:val="22"/>
          <w:highlight w:val="none"/>
        </w:rPr>
        <w:t>我方参加你方组织的</w:t>
      </w:r>
      <w:r>
        <w:rPr>
          <w:rFonts w:hint="eastAsia" w:ascii="宋体" w:hAnsi="宋体" w:cs="Courier New"/>
          <w:sz w:val="22"/>
          <w:szCs w:val="22"/>
          <w:highlight w:val="none"/>
          <w:u w:val="single"/>
        </w:rPr>
        <w:t xml:space="preserve">      项目名称 </w:t>
      </w:r>
      <w:r>
        <w:rPr>
          <w:rFonts w:ascii="宋体" w:hAnsi="宋体" w:cs="Courier New"/>
          <w:sz w:val="22"/>
          <w:szCs w:val="22"/>
          <w:highlight w:val="none"/>
          <w:u w:val="single"/>
        </w:rPr>
        <w:t xml:space="preserve">      </w:t>
      </w:r>
      <w:r>
        <w:rPr>
          <w:rFonts w:hint="eastAsia" w:ascii="宋体" w:hAnsi="宋体" w:cs="Courier New"/>
          <w:sz w:val="22"/>
          <w:szCs w:val="22"/>
          <w:highlight w:val="none"/>
        </w:rPr>
        <w:t>（项目编号：</w:t>
      </w:r>
      <w:r>
        <w:rPr>
          <w:rFonts w:hint="eastAsia" w:ascii="宋体" w:hAnsi="宋体" w:cs="Courier New"/>
          <w:b/>
          <w:sz w:val="22"/>
          <w:szCs w:val="22"/>
          <w:highlight w:val="none"/>
          <w:u w:val="single"/>
        </w:rPr>
        <w:t xml:space="preserve">     </w:t>
      </w:r>
      <w:r>
        <w:rPr>
          <w:rFonts w:hint="eastAsia" w:ascii="宋体" w:hAnsi="宋体" w:cs="Courier New"/>
          <w:sz w:val="22"/>
          <w:szCs w:val="22"/>
          <w:highlight w:val="none"/>
        </w:rPr>
        <w:t>）的政府采购活动，并对此项目进行投标。</w:t>
      </w:r>
    </w:p>
    <w:p w14:paraId="1A10752C">
      <w:pPr>
        <w:spacing w:line="360" w:lineRule="auto"/>
        <w:ind w:firstLine="440" w:firstLineChars="200"/>
        <w:rPr>
          <w:rFonts w:hint="eastAsia" w:ascii="宋体" w:hAnsi="宋体" w:cs="Courier New"/>
          <w:sz w:val="22"/>
          <w:szCs w:val="22"/>
          <w:highlight w:val="none"/>
        </w:rPr>
      </w:pPr>
      <w:r>
        <w:rPr>
          <w:rFonts w:hint="eastAsia" w:ascii="宋体" w:hAnsi="宋体" w:cs="Courier New"/>
          <w:sz w:val="22"/>
          <w:szCs w:val="22"/>
          <w:highlight w:val="none"/>
        </w:rPr>
        <w:t>我方己完全明白招标文件的所有条款要求，并重申以下几点：</w:t>
      </w:r>
    </w:p>
    <w:p w14:paraId="0474224E">
      <w:pPr>
        <w:numPr>
          <w:ilvl w:val="0"/>
          <w:numId w:val="22"/>
        </w:numPr>
        <w:spacing w:line="360" w:lineRule="auto"/>
        <w:rPr>
          <w:rFonts w:hint="eastAsia" w:ascii="宋体" w:hAnsi="宋体" w:cs="Courier New"/>
          <w:sz w:val="22"/>
          <w:szCs w:val="22"/>
          <w:highlight w:val="none"/>
        </w:rPr>
      </w:pPr>
      <w:r>
        <w:rPr>
          <w:rFonts w:hint="eastAsia" w:ascii="宋体" w:hAnsi="宋体" w:cs="Courier New"/>
          <w:sz w:val="22"/>
          <w:szCs w:val="22"/>
          <w:highlight w:val="none"/>
        </w:rPr>
        <w:t>本投标文件的有效期自投标截止时间起90天内有效，如成交，有效期将延至合同终止日为止。</w:t>
      </w:r>
    </w:p>
    <w:p w14:paraId="0E25BBFE">
      <w:pPr>
        <w:numPr>
          <w:ilvl w:val="0"/>
          <w:numId w:val="22"/>
        </w:numPr>
        <w:spacing w:line="360" w:lineRule="auto"/>
        <w:rPr>
          <w:rFonts w:hint="eastAsia" w:ascii="宋体" w:hAnsi="宋体" w:cs="Courier New"/>
          <w:sz w:val="22"/>
          <w:szCs w:val="22"/>
          <w:highlight w:val="none"/>
        </w:rPr>
      </w:pPr>
      <w:r>
        <w:rPr>
          <w:rFonts w:hint="eastAsia" w:ascii="宋体" w:hAnsi="宋体" w:cs="Courier New"/>
          <w:sz w:val="22"/>
          <w:szCs w:val="22"/>
          <w:highlight w:val="none"/>
        </w:rPr>
        <w:t>我方已详细研究了招标文件的所有内容包括修改书（如有）和所有已提供的参考资料以及有关附件，我方完全理解并同意放弃在此方面提出含糊意见或误解的一切权力。</w:t>
      </w:r>
    </w:p>
    <w:p w14:paraId="25A5BED9">
      <w:pPr>
        <w:numPr>
          <w:ilvl w:val="0"/>
          <w:numId w:val="22"/>
        </w:numPr>
        <w:spacing w:line="360" w:lineRule="auto"/>
        <w:rPr>
          <w:rFonts w:hint="eastAsia" w:ascii="宋体" w:hAnsi="宋体" w:cs="Courier New"/>
          <w:sz w:val="22"/>
          <w:szCs w:val="22"/>
          <w:highlight w:val="none"/>
        </w:rPr>
      </w:pPr>
      <w:bookmarkStart w:id="227" w:name="_Hlk100429471"/>
      <w:r>
        <w:rPr>
          <w:rFonts w:hint="eastAsia" w:ascii="宋体" w:hAnsi="宋体" w:cs="Courier New"/>
          <w:sz w:val="22"/>
          <w:szCs w:val="22"/>
          <w:highlight w:val="none"/>
        </w:rPr>
        <w:t>我方向贵方提交的所有投标文件、资料都是准确的和真实的</w:t>
      </w:r>
      <w:bookmarkEnd w:id="227"/>
      <w:r>
        <w:rPr>
          <w:rFonts w:hint="eastAsia" w:ascii="宋体" w:hAnsi="宋体" w:cs="Courier New"/>
          <w:sz w:val="22"/>
          <w:szCs w:val="22"/>
          <w:highlight w:val="none"/>
        </w:rPr>
        <w:t>。</w:t>
      </w:r>
    </w:p>
    <w:p w14:paraId="32ED8710">
      <w:pPr>
        <w:numPr>
          <w:ilvl w:val="0"/>
          <w:numId w:val="22"/>
        </w:numPr>
        <w:spacing w:line="360" w:lineRule="auto"/>
        <w:rPr>
          <w:rFonts w:hint="eastAsia" w:ascii="宋体" w:hAnsi="宋体" w:cs="Courier New"/>
          <w:sz w:val="22"/>
          <w:szCs w:val="22"/>
          <w:highlight w:val="none"/>
        </w:rPr>
      </w:pPr>
      <w:r>
        <w:rPr>
          <w:rFonts w:hint="eastAsia" w:ascii="宋体" w:hAnsi="宋体" w:cs="Courier New"/>
          <w:sz w:val="22"/>
          <w:szCs w:val="22"/>
          <w:highlight w:val="none"/>
        </w:rPr>
        <w:t>我方同意提供按照贵方可能要求的与投标有关的一切数据或资料；若贵方需要，我方愿意提供我方作出的一切承诺的证明材料。</w:t>
      </w:r>
    </w:p>
    <w:p w14:paraId="0A960FD2">
      <w:pPr>
        <w:numPr>
          <w:ilvl w:val="0"/>
          <w:numId w:val="22"/>
        </w:numPr>
        <w:spacing w:line="360" w:lineRule="auto"/>
        <w:rPr>
          <w:rFonts w:hint="eastAsia" w:ascii="宋体" w:hAnsi="宋体" w:cs="Courier New"/>
          <w:sz w:val="22"/>
          <w:szCs w:val="22"/>
          <w:highlight w:val="none"/>
        </w:rPr>
      </w:pPr>
      <w:r>
        <w:rPr>
          <w:rFonts w:ascii="宋体" w:hAnsi="宋体" w:cs="Courier New"/>
          <w:sz w:val="22"/>
          <w:szCs w:val="22"/>
          <w:highlight w:val="none"/>
        </w:rPr>
        <w:t>若成交后，将按照规定及时与采购人签订采购合同，不与采购人订立有悖于采购结果的合同或协议；严格按照招标文件和</w:t>
      </w:r>
      <w:r>
        <w:rPr>
          <w:rFonts w:hint="eastAsia" w:ascii="宋体" w:hAnsi="宋体" w:cs="Courier New"/>
          <w:sz w:val="22"/>
          <w:szCs w:val="22"/>
          <w:highlight w:val="none"/>
        </w:rPr>
        <w:t>投标</w:t>
      </w:r>
      <w:r>
        <w:rPr>
          <w:rFonts w:ascii="宋体" w:hAnsi="宋体" w:cs="Courier New"/>
          <w:sz w:val="22"/>
          <w:szCs w:val="22"/>
          <w:highlight w:val="none"/>
        </w:rPr>
        <w:t>文件的规定履行采购合同，不降低合同约定的产品质量及相关服务，不擅自变更、中止、终止合同，或者拒绝履行合同义务。</w:t>
      </w:r>
    </w:p>
    <w:p w14:paraId="69B18DE3">
      <w:pPr>
        <w:numPr>
          <w:ilvl w:val="0"/>
          <w:numId w:val="22"/>
        </w:numPr>
        <w:spacing w:line="360" w:lineRule="auto"/>
        <w:rPr>
          <w:rFonts w:hint="eastAsia" w:ascii="宋体" w:hAnsi="宋体" w:cs="Courier New"/>
          <w:sz w:val="22"/>
          <w:szCs w:val="22"/>
          <w:highlight w:val="none"/>
        </w:rPr>
      </w:pPr>
      <w:r>
        <w:rPr>
          <w:rFonts w:hint="eastAsia" w:ascii="宋体" w:hAnsi="宋体" w:cs="Courier New"/>
          <w:sz w:val="22"/>
          <w:szCs w:val="22"/>
          <w:highlight w:val="none"/>
        </w:rPr>
        <w:t>如有下列情形之一的，我方愿意被取消中标资格（如中标），并可向我方收取</w:t>
      </w:r>
      <w:r>
        <w:rPr>
          <w:rFonts w:hint="eastAsia" w:ascii="宋体" w:hAnsi="宋体" w:cs="楷体"/>
          <w:kern w:val="0"/>
          <w:sz w:val="22"/>
          <w:szCs w:val="22"/>
          <w:highlight w:val="none"/>
        </w:rPr>
        <w:t>赔偿损失金</w:t>
      </w:r>
      <w:r>
        <w:rPr>
          <w:rFonts w:hint="eastAsia" w:ascii="宋体" w:hAnsi="宋体" w:cs="Courier New"/>
          <w:sz w:val="22"/>
          <w:szCs w:val="22"/>
          <w:highlight w:val="none"/>
        </w:rPr>
        <w:t>，同时继续承担其他一切法律后果，并不再寻求任何旨在减轻或免除法律责任的解释：</w:t>
      </w:r>
    </w:p>
    <w:p w14:paraId="1C3B7228">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(1)</w:t>
      </w:r>
      <w:bookmarkStart w:id="228" w:name="_Hlk87297180"/>
      <w:r>
        <w:rPr>
          <w:rFonts w:hint="eastAsia" w:ascii="宋体" w:hAnsi="宋体" w:cs="Courier New"/>
          <w:sz w:val="22"/>
          <w:szCs w:val="22"/>
          <w:highlight w:val="none"/>
        </w:rPr>
        <w:t>提供虚假材料</w:t>
      </w:r>
      <w:r>
        <w:rPr>
          <w:rFonts w:ascii="宋体" w:hAnsi="宋体" w:cs="Courier New"/>
          <w:sz w:val="22"/>
          <w:szCs w:val="22"/>
          <w:highlight w:val="none"/>
        </w:rPr>
        <w:t>或通过虚假响应、虚假陈述、虚假承诺</w:t>
      </w:r>
      <w:r>
        <w:rPr>
          <w:rFonts w:hint="eastAsia" w:ascii="宋体" w:hAnsi="宋体" w:cs="Courier New"/>
          <w:sz w:val="22"/>
          <w:szCs w:val="22"/>
          <w:highlight w:val="none"/>
        </w:rPr>
        <w:t>谋取</w:t>
      </w:r>
      <w:r>
        <w:rPr>
          <w:rFonts w:ascii="宋体" w:hAnsi="宋体" w:cs="Courier New"/>
          <w:sz w:val="22"/>
          <w:szCs w:val="22"/>
          <w:highlight w:val="none"/>
        </w:rPr>
        <w:t>中标（成交）资格</w:t>
      </w:r>
      <w:r>
        <w:rPr>
          <w:rFonts w:hint="eastAsia" w:ascii="宋体" w:hAnsi="宋体" w:cs="Courier New"/>
          <w:sz w:val="22"/>
          <w:szCs w:val="22"/>
          <w:highlight w:val="none"/>
        </w:rPr>
        <w:t>的</w:t>
      </w:r>
      <w:bookmarkEnd w:id="228"/>
      <w:r>
        <w:rPr>
          <w:rFonts w:hint="eastAsia" w:ascii="宋体" w:hAnsi="宋体" w:cs="Courier New"/>
          <w:sz w:val="22"/>
          <w:szCs w:val="22"/>
          <w:highlight w:val="none"/>
        </w:rPr>
        <w:t>；</w:t>
      </w:r>
    </w:p>
    <w:p w14:paraId="16185855">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(2)采取不正当手段诋毁、排挤其他投标人的；</w:t>
      </w:r>
    </w:p>
    <w:p w14:paraId="4BF4966B">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(3)与采购人、其它供应商或者采购代理机构恶意串通的；</w:t>
      </w:r>
    </w:p>
    <w:p w14:paraId="2CA376C8">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(4)向采购人、采购代理机构行贿或者提供其他不正当利益的；</w:t>
      </w:r>
    </w:p>
    <w:p w14:paraId="13E80917">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(5)在招标采购过程中与采购人进行协商谈判的；</w:t>
      </w:r>
    </w:p>
    <w:p w14:paraId="08C3FCCF">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6</w:t>
      </w:r>
      <w:r>
        <w:rPr>
          <w:rFonts w:hint="eastAsia" w:ascii="宋体" w:hAnsi="宋体" w:cs="Courier New"/>
          <w:sz w:val="22"/>
          <w:szCs w:val="22"/>
          <w:highlight w:val="none"/>
        </w:rPr>
        <w:t>)在招标文件规定的投标有效期内撤回投标；</w:t>
      </w:r>
    </w:p>
    <w:p w14:paraId="1280429B">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7</w:t>
      </w:r>
      <w:r>
        <w:rPr>
          <w:rFonts w:hint="eastAsia" w:ascii="宋体" w:hAnsi="宋体" w:cs="Courier New"/>
          <w:sz w:val="22"/>
          <w:szCs w:val="22"/>
          <w:highlight w:val="none"/>
        </w:rPr>
        <w:t>)未按中标（成交）通知书中规定的时间与采购人签订合同；</w:t>
      </w:r>
    </w:p>
    <w:p w14:paraId="2E508A22">
      <w:pPr>
        <w:spacing w:line="360" w:lineRule="auto"/>
        <w:ind w:left="1079"/>
        <w:rPr>
          <w:rFonts w:hint="eastAsia" w:ascii="宋体" w:hAnsi="宋体" w:cs="Courier New"/>
          <w:sz w:val="22"/>
          <w:szCs w:val="22"/>
          <w:highlight w:val="none"/>
        </w:rPr>
      </w:pPr>
      <w:r>
        <w:rPr>
          <w:rFonts w:hint="eastAsia" w:ascii="宋体" w:hAnsi="宋体" w:cs="Courier New"/>
          <w:sz w:val="22"/>
          <w:szCs w:val="22"/>
          <w:highlight w:val="none"/>
        </w:rPr>
        <w:t>(</w:t>
      </w:r>
      <w:r>
        <w:rPr>
          <w:rFonts w:ascii="宋体" w:hAnsi="宋体" w:cs="Courier New"/>
          <w:sz w:val="22"/>
          <w:szCs w:val="22"/>
          <w:highlight w:val="none"/>
        </w:rPr>
        <w:t>8</w:t>
      </w:r>
      <w:r>
        <w:rPr>
          <w:rFonts w:hint="eastAsia" w:ascii="宋体" w:hAnsi="宋体" w:cs="Courier New"/>
          <w:sz w:val="22"/>
          <w:szCs w:val="22"/>
          <w:highlight w:val="none"/>
        </w:rPr>
        <w:t>)拒绝有关部门监督检查或提供虚假情况的。</w:t>
      </w:r>
    </w:p>
    <w:p w14:paraId="32E194EA">
      <w:pPr>
        <w:spacing w:line="360" w:lineRule="auto"/>
        <w:ind w:firstLine="435"/>
        <w:rPr>
          <w:rFonts w:hint="eastAsia" w:ascii="宋体" w:hAnsi="宋体" w:cs="Courier New"/>
          <w:sz w:val="22"/>
          <w:szCs w:val="22"/>
          <w:highlight w:val="none"/>
        </w:rPr>
      </w:pPr>
      <w:r>
        <w:rPr>
          <w:rFonts w:hint="eastAsia" w:ascii="宋体" w:hAnsi="宋体" w:cs="Courier New"/>
          <w:sz w:val="22"/>
          <w:szCs w:val="22"/>
          <w:highlight w:val="none"/>
        </w:rPr>
        <w:t xml:space="preserve">                                   投标人全称（盖章）：</w:t>
      </w:r>
      <w:r>
        <w:rPr>
          <w:rFonts w:hint="eastAsia" w:ascii="宋体" w:hAnsi="宋体" w:cs="Courier New"/>
          <w:sz w:val="22"/>
          <w:szCs w:val="22"/>
          <w:highlight w:val="none"/>
          <w:u w:val="single"/>
        </w:rPr>
        <w:t xml:space="preserve">                   </w:t>
      </w:r>
    </w:p>
    <w:p w14:paraId="30B8D907">
      <w:pPr>
        <w:spacing w:line="360" w:lineRule="auto"/>
        <w:ind w:firstLine="435"/>
        <w:rPr>
          <w:rFonts w:hint="eastAsia" w:ascii="宋体" w:hAnsi="宋体" w:cs="Courier New"/>
          <w:sz w:val="22"/>
          <w:szCs w:val="22"/>
          <w:highlight w:val="none"/>
        </w:rPr>
      </w:pPr>
      <w:r>
        <w:rPr>
          <w:rFonts w:hint="eastAsia" w:ascii="宋体" w:hAnsi="宋体" w:cs="Courier New"/>
          <w:sz w:val="22"/>
          <w:szCs w:val="22"/>
          <w:highlight w:val="none"/>
        </w:rPr>
        <w:t xml:space="preserve">                                   单位负责人或授权代表（签字或盖章）：</w:t>
      </w:r>
      <w:r>
        <w:rPr>
          <w:rFonts w:hint="eastAsia" w:ascii="宋体" w:hAnsi="宋体" w:cs="Courier New"/>
          <w:sz w:val="22"/>
          <w:szCs w:val="22"/>
          <w:highlight w:val="none"/>
          <w:u w:val="single"/>
        </w:rPr>
        <w:t xml:space="preserve">         </w:t>
      </w:r>
    </w:p>
    <w:p w14:paraId="5D23B160">
      <w:pPr>
        <w:spacing w:line="360" w:lineRule="auto"/>
        <w:ind w:firstLine="435"/>
        <w:rPr>
          <w:rFonts w:hint="eastAsia" w:ascii="宋体" w:hAnsi="宋体"/>
          <w:sz w:val="22"/>
          <w:szCs w:val="22"/>
          <w:highlight w:val="none"/>
        </w:rPr>
      </w:pPr>
      <w:r>
        <w:rPr>
          <w:rFonts w:hint="eastAsia" w:ascii="宋体" w:hAnsi="宋体" w:cs="Courier New"/>
          <w:sz w:val="22"/>
          <w:szCs w:val="22"/>
          <w:highlight w:val="none"/>
        </w:rPr>
        <w:t xml:space="preserve">      </w:t>
      </w:r>
      <w:r>
        <w:rPr>
          <w:rFonts w:ascii="宋体" w:hAnsi="宋体" w:cs="Courier New"/>
          <w:sz w:val="22"/>
          <w:szCs w:val="22"/>
          <w:highlight w:val="none"/>
        </w:rPr>
        <w:t xml:space="preserve">                            </w:t>
      </w:r>
      <w:bookmarkStart w:id="229" w:name="_Hlk100512650"/>
      <w:r>
        <w:rPr>
          <w:rFonts w:ascii="宋体" w:hAnsi="宋体" w:cs="Courier New"/>
          <w:sz w:val="22"/>
          <w:szCs w:val="22"/>
          <w:highlight w:val="none"/>
        </w:rPr>
        <w:t xml:space="preserve"> </w:t>
      </w:r>
      <w:r>
        <w:rPr>
          <w:rFonts w:hint="eastAsia" w:ascii="宋体" w:hAnsi="宋体" w:cs="Courier New"/>
          <w:sz w:val="22"/>
          <w:szCs w:val="22"/>
          <w:highlight w:val="none"/>
        </w:rPr>
        <w:t xml:space="preserve">日 </w:t>
      </w:r>
      <w:r>
        <w:rPr>
          <w:rFonts w:ascii="宋体" w:hAnsi="宋体" w:cs="Courier New"/>
          <w:sz w:val="22"/>
          <w:szCs w:val="22"/>
          <w:highlight w:val="none"/>
        </w:rPr>
        <w:t xml:space="preserve">      </w:t>
      </w:r>
      <w:r>
        <w:rPr>
          <w:rFonts w:hint="eastAsia" w:ascii="宋体" w:hAnsi="宋体" w:cs="Courier New"/>
          <w:sz w:val="22"/>
          <w:szCs w:val="22"/>
          <w:highlight w:val="none"/>
        </w:rPr>
        <w:t>期：  年  月  日</w:t>
      </w:r>
      <w:bookmarkEnd w:id="229"/>
    </w:p>
    <w:p w14:paraId="77EC6F1D">
      <w:pPr>
        <w:spacing w:line="400" w:lineRule="exact"/>
        <w:ind w:firstLine="331" w:firstLineChars="150"/>
        <w:rPr>
          <w:rFonts w:hint="eastAsia" w:ascii="宋体" w:hAnsi="宋体"/>
          <w:b/>
          <w:sz w:val="22"/>
          <w:szCs w:val="22"/>
          <w:highlight w:val="none"/>
          <w:u w:val="single"/>
        </w:rPr>
      </w:pPr>
      <w:r>
        <w:rPr>
          <w:rFonts w:hint="eastAsia" w:ascii="宋体" w:hAnsi="宋体"/>
          <w:b/>
          <w:sz w:val="22"/>
          <w:szCs w:val="22"/>
          <w:highlight w:val="none"/>
          <w:u w:val="single"/>
        </w:rPr>
        <w:t>※不提供此函的投标文件将被视为未实质性响应招标文件，其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04D8D83C">
      <w:pPr>
        <w:spacing w:line="360" w:lineRule="auto"/>
        <w:jc w:val="center"/>
        <w:rPr>
          <w:rFonts w:hint="eastAsia" w:ascii="宋体" w:hAnsi="宋体"/>
          <w:b/>
          <w:bCs/>
          <w:szCs w:val="21"/>
          <w:highlight w:val="none"/>
        </w:rPr>
      </w:pPr>
    </w:p>
    <w:p w14:paraId="3E3A2C57">
      <w:pPr>
        <w:tabs>
          <w:tab w:val="left" w:pos="420"/>
          <w:tab w:val="left" w:pos="1260"/>
        </w:tabs>
        <w:spacing w:line="360" w:lineRule="auto"/>
        <w:jc w:val="center"/>
        <w:rPr>
          <w:rFonts w:hint="eastAsia" w:ascii="宋体" w:hAnsi="宋体"/>
          <w:b/>
          <w:bCs/>
          <w:sz w:val="30"/>
          <w:szCs w:val="30"/>
          <w:highlight w:val="none"/>
        </w:rPr>
      </w:pPr>
      <w:r>
        <w:rPr>
          <w:rFonts w:hint="eastAsia" w:ascii="宋体" w:hAnsi="宋体"/>
          <w:b/>
          <w:bCs/>
          <w:sz w:val="30"/>
          <w:szCs w:val="30"/>
          <w:highlight w:val="none"/>
        </w:rPr>
        <w:t>二、单位负责人授权书</w:t>
      </w:r>
    </w:p>
    <w:p w14:paraId="407651F2">
      <w:pPr>
        <w:spacing w:line="420" w:lineRule="exact"/>
        <w:rPr>
          <w:rFonts w:hint="eastAsia" w:ascii="宋体" w:hAnsi="宋体"/>
          <w:sz w:val="22"/>
          <w:szCs w:val="22"/>
          <w:highlight w:val="none"/>
        </w:rPr>
      </w:pPr>
    </w:p>
    <w:p w14:paraId="26CC2334">
      <w:pPr>
        <w:spacing w:line="420" w:lineRule="exact"/>
        <w:rPr>
          <w:rFonts w:hint="eastAsia" w:ascii="宋体" w:hAnsi="宋体" w:eastAsia="宋体"/>
          <w:sz w:val="22"/>
          <w:szCs w:val="22"/>
          <w:highlight w:val="none"/>
          <w:lang w:eastAsia="zh-CN"/>
        </w:rPr>
      </w:pPr>
      <w:r>
        <w:rPr>
          <w:rFonts w:hint="eastAsia" w:ascii="宋体" w:hAnsi="宋体"/>
          <w:sz w:val="22"/>
          <w:szCs w:val="22"/>
          <w:highlight w:val="none"/>
          <w:lang w:eastAsia="zh-CN"/>
        </w:rPr>
        <w:t>温州市瓯海科创集团有限公司</w:t>
      </w:r>
    </w:p>
    <w:p w14:paraId="39423F49">
      <w:pPr>
        <w:spacing w:line="420" w:lineRule="exact"/>
        <w:rPr>
          <w:rFonts w:hint="eastAsia" w:ascii="宋体" w:hAnsi="宋体"/>
          <w:sz w:val="22"/>
          <w:szCs w:val="22"/>
          <w:highlight w:val="none"/>
        </w:rPr>
      </w:pPr>
      <w:r>
        <w:rPr>
          <w:rFonts w:hint="eastAsia" w:ascii="宋体" w:hAnsi="宋体"/>
          <w:sz w:val="22"/>
          <w:szCs w:val="22"/>
          <w:highlight w:val="none"/>
        </w:rPr>
        <w:t>浙江立创项目管理有限公司：</w:t>
      </w:r>
    </w:p>
    <w:p w14:paraId="5D9873DB">
      <w:pPr>
        <w:spacing w:line="460" w:lineRule="exact"/>
        <w:ind w:firstLine="550" w:firstLineChars="250"/>
        <w:rPr>
          <w:rFonts w:hint="eastAsia" w:ascii="宋体" w:hAnsi="宋体"/>
          <w:sz w:val="22"/>
          <w:szCs w:val="22"/>
          <w:highlight w:val="none"/>
        </w:rPr>
      </w:pPr>
      <w:r>
        <w:rPr>
          <w:rFonts w:hint="eastAsia" w:ascii="宋体" w:hAnsi="宋体"/>
          <w:sz w:val="22"/>
          <w:szCs w:val="22"/>
          <w:highlight w:val="none"/>
          <w:u w:val="single"/>
        </w:rPr>
        <w:t xml:space="preserve">                   </w:t>
      </w:r>
      <w:r>
        <w:rPr>
          <w:rFonts w:hint="eastAsia" w:ascii="宋体" w:hAnsi="宋体"/>
          <w:sz w:val="22"/>
          <w:szCs w:val="22"/>
          <w:highlight w:val="none"/>
        </w:rPr>
        <w:t>（投标人单位全称）单位负责人</w:t>
      </w:r>
      <w:r>
        <w:rPr>
          <w:rFonts w:hint="eastAsia" w:ascii="宋体" w:hAnsi="宋体"/>
          <w:sz w:val="22"/>
          <w:szCs w:val="22"/>
          <w:highlight w:val="none"/>
          <w:u w:val="single"/>
        </w:rPr>
        <w:t xml:space="preserve">            </w:t>
      </w:r>
      <w:r>
        <w:rPr>
          <w:rFonts w:hint="eastAsia" w:ascii="宋体" w:hAnsi="宋体"/>
          <w:sz w:val="22"/>
          <w:szCs w:val="22"/>
          <w:highlight w:val="none"/>
        </w:rPr>
        <w:t>授权</w:t>
      </w:r>
      <w:r>
        <w:rPr>
          <w:rFonts w:hint="eastAsia" w:ascii="宋体" w:hAnsi="宋体"/>
          <w:sz w:val="22"/>
          <w:szCs w:val="22"/>
          <w:highlight w:val="none"/>
          <w:u w:val="single"/>
        </w:rPr>
        <w:t xml:space="preserve">           </w:t>
      </w:r>
      <w:r>
        <w:rPr>
          <w:rFonts w:hint="eastAsia" w:ascii="宋体" w:hAnsi="宋体"/>
          <w:sz w:val="22"/>
          <w:szCs w:val="22"/>
          <w:highlight w:val="none"/>
        </w:rPr>
        <w:t>（全权代表姓名）为全权代表，参加贵处组织的</w:t>
      </w:r>
      <w:r>
        <w:rPr>
          <w:rFonts w:hint="eastAsia" w:ascii="宋体" w:hAnsi="宋体"/>
          <w:sz w:val="22"/>
          <w:szCs w:val="22"/>
          <w:highlight w:val="none"/>
          <w:u w:val="single"/>
        </w:rPr>
        <w:t xml:space="preserve">                        </w:t>
      </w:r>
      <w:r>
        <w:rPr>
          <w:rFonts w:hint="eastAsia" w:ascii="宋体" w:hAnsi="宋体"/>
          <w:sz w:val="22"/>
          <w:szCs w:val="22"/>
          <w:highlight w:val="none"/>
        </w:rPr>
        <w:t>（采购项目名称、编号）的采购活动，全权代表我方处理采购活动中的一切事宜</w:t>
      </w:r>
      <w:bookmarkStart w:id="230" w:name="_Hlk100435796"/>
      <w:r>
        <w:rPr>
          <w:rFonts w:ascii="宋体" w:hAnsi="宋体"/>
          <w:sz w:val="22"/>
          <w:szCs w:val="22"/>
          <w:highlight w:val="none"/>
        </w:rPr>
        <w:t>。投标人代表在投标过程中所签署的一切文件和处理与之有关的一切事务，我方均予以认可并对此承担责任。</w:t>
      </w:r>
      <w:bookmarkEnd w:id="230"/>
    </w:p>
    <w:p w14:paraId="52425DC0">
      <w:pPr>
        <w:spacing w:line="460" w:lineRule="exact"/>
        <w:ind w:firstLine="550" w:firstLineChars="250"/>
        <w:rPr>
          <w:rFonts w:hint="eastAsia" w:ascii="宋体" w:hAnsi="宋体"/>
          <w:sz w:val="22"/>
          <w:szCs w:val="22"/>
          <w:highlight w:val="none"/>
        </w:rPr>
      </w:pPr>
    </w:p>
    <w:p w14:paraId="37660AD2">
      <w:pPr>
        <w:spacing w:line="460" w:lineRule="exact"/>
        <w:ind w:firstLine="3971" w:firstLineChars="1805"/>
        <w:rPr>
          <w:rFonts w:hint="eastAsia" w:ascii="宋体" w:hAnsi="宋体"/>
          <w:sz w:val="22"/>
          <w:szCs w:val="22"/>
          <w:highlight w:val="none"/>
        </w:rPr>
      </w:pPr>
      <w:r>
        <w:rPr>
          <w:rFonts w:hint="eastAsia" w:ascii="宋体" w:hAnsi="宋体"/>
          <w:sz w:val="22"/>
          <w:szCs w:val="22"/>
          <w:highlight w:val="none"/>
        </w:rPr>
        <w:t>单位负责人(签字或盖章)：</w:t>
      </w:r>
    </w:p>
    <w:p w14:paraId="436B4509">
      <w:pPr>
        <w:spacing w:line="460" w:lineRule="exact"/>
        <w:ind w:firstLine="3971" w:firstLineChars="1805"/>
        <w:rPr>
          <w:rFonts w:hint="eastAsia" w:ascii="宋体" w:hAnsi="宋体"/>
          <w:sz w:val="22"/>
          <w:szCs w:val="22"/>
          <w:highlight w:val="none"/>
        </w:rPr>
      </w:pPr>
      <w:r>
        <w:rPr>
          <w:rFonts w:hint="eastAsia" w:ascii="宋体" w:hAnsi="宋体"/>
          <w:sz w:val="22"/>
          <w:szCs w:val="22"/>
          <w:highlight w:val="none"/>
        </w:rPr>
        <w:t>投标人全称（盖章）：</w:t>
      </w:r>
    </w:p>
    <w:p w14:paraId="7F01DAFD">
      <w:pPr>
        <w:spacing w:line="460" w:lineRule="exact"/>
        <w:ind w:firstLine="3971" w:firstLineChars="1805"/>
        <w:rPr>
          <w:rFonts w:hint="eastAsia" w:ascii="宋体" w:hAnsi="宋体"/>
          <w:sz w:val="22"/>
          <w:szCs w:val="22"/>
          <w:highlight w:val="none"/>
        </w:rPr>
      </w:pPr>
      <w:r>
        <w:rPr>
          <w:rFonts w:hint="eastAsia" w:ascii="宋体" w:hAnsi="宋体"/>
          <w:sz w:val="22"/>
          <w:szCs w:val="22"/>
          <w:highlight w:val="none"/>
        </w:rPr>
        <w:t>日          期：  年  月  日</w:t>
      </w:r>
    </w:p>
    <w:p w14:paraId="1D4132F5">
      <w:pPr>
        <w:spacing w:line="460" w:lineRule="exact"/>
        <w:rPr>
          <w:rFonts w:hint="eastAsia" w:ascii="宋体" w:hAnsi="宋体"/>
          <w:sz w:val="22"/>
          <w:szCs w:val="22"/>
          <w:highlight w:val="none"/>
        </w:rPr>
      </w:pPr>
    </w:p>
    <w:p w14:paraId="60528E35">
      <w:pPr>
        <w:spacing w:line="460" w:lineRule="exact"/>
        <w:rPr>
          <w:rFonts w:hint="eastAsia" w:ascii="宋体" w:hAnsi="宋体"/>
          <w:sz w:val="22"/>
          <w:szCs w:val="22"/>
          <w:highlight w:val="none"/>
        </w:rPr>
      </w:pPr>
      <w:r>
        <w:rPr>
          <w:rFonts w:hint="eastAsia" w:ascii="宋体" w:hAnsi="宋体"/>
          <w:sz w:val="22"/>
          <w:szCs w:val="22"/>
          <w:highlight w:val="none"/>
        </w:rPr>
        <w:t>附：</w:t>
      </w:r>
    </w:p>
    <w:p w14:paraId="1753FF7A">
      <w:pPr>
        <w:spacing w:line="460" w:lineRule="exact"/>
        <w:ind w:firstLine="220" w:firstLineChars="100"/>
        <w:rPr>
          <w:rFonts w:hint="eastAsia" w:ascii="宋体" w:hAnsi="宋体"/>
          <w:sz w:val="22"/>
          <w:szCs w:val="22"/>
          <w:highlight w:val="none"/>
        </w:rPr>
      </w:pPr>
      <w:r>
        <w:rPr>
          <w:rFonts w:hint="eastAsia" w:ascii="宋体" w:hAnsi="宋体"/>
          <w:sz w:val="22"/>
          <w:szCs w:val="22"/>
          <w:highlight w:val="none"/>
        </w:rPr>
        <w:t>单位负责人有效期内的身份证正反面电子件：</w:t>
      </w:r>
    </w:p>
    <w:tbl>
      <w:tblPr>
        <w:tblStyle w:val="3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7C94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3B11FA3C">
            <w:pPr>
              <w:spacing w:line="360" w:lineRule="auto"/>
              <w:jc w:val="left"/>
              <w:rPr>
                <w:rFonts w:hint="eastAsia" w:ascii="宋体" w:hAnsi="宋体"/>
                <w:sz w:val="24"/>
                <w:highlight w:val="none"/>
              </w:rPr>
            </w:pPr>
          </w:p>
          <w:p w14:paraId="3C1F1844">
            <w:pPr>
              <w:spacing w:line="360" w:lineRule="auto"/>
              <w:jc w:val="left"/>
              <w:rPr>
                <w:rFonts w:hint="eastAsia" w:ascii="宋体" w:hAnsi="宋体"/>
                <w:sz w:val="24"/>
                <w:highlight w:val="none"/>
              </w:rPr>
            </w:pPr>
          </w:p>
          <w:p w14:paraId="27D0B524">
            <w:pPr>
              <w:spacing w:line="360" w:lineRule="auto"/>
              <w:jc w:val="left"/>
              <w:rPr>
                <w:rFonts w:hint="eastAsia"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480E77E1">
            <w:pPr>
              <w:spacing w:line="360" w:lineRule="auto"/>
              <w:jc w:val="left"/>
              <w:rPr>
                <w:rFonts w:hint="eastAsia" w:ascii="宋体" w:hAnsi="宋体"/>
                <w:sz w:val="24"/>
                <w:highlight w:val="none"/>
              </w:rPr>
            </w:pPr>
          </w:p>
          <w:p w14:paraId="4692CCED">
            <w:pPr>
              <w:spacing w:line="360" w:lineRule="auto"/>
              <w:jc w:val="left"/>
              <w:rPr>
                <w:rFonts w:hint="eastAsia" w:ascii="宋体" w:hAnsi="宋体"/>
                <w:sz w:val="24"/>
                <w:highlight w:val="none"/>
              </w:rPr>
            </w:pPr>
          </w:p>
          <w:p w14:paraId="20E2332F">
            <w:pPr>
              <w:spacing w:line="360" w:lineRule="auto"/>
              <w:jc w:val="left"/>
              <w:rPr>
                <w:rFonts w:hint="eastAsia" w:ascii="宋体" w:hAnsi="宋体"/>
                <w:sz w:val="24"/>
                <w:highlight w:val="none"/>
              </w:rPr>
            </w:pPr>
          </w:p>
        </w:tc>
      </w:tr>
    </w:tbl>
    <w:p w14:paraId="0F70DFD8">
      <w:pPr>
        <w:spacing w:line="460" w:lineRule="exact"/>
        <w:ind w:firstLine="220" w:firstLineChars="100"/>
        <w:rPr>
          <w:rFonts w:hint="eastAsia" w:ascii="宋体" w:hAnsi="宋体"/>
          <w:sz w:val="22"/>
          <w:szCs w:val="22"/>
          <w:highlight w:val="none"/>
        </w:rPr>
      </w:pPr>
      <w:r>
        <w:rPr>
          <w:rFonts w:hint="eastAsia" w:ascii="宋体" w:hAnsi="宋体"/>
          <w:sz w:val="22"/>
          <w:szCs w:val="22"/>
          <w:highlight w:val="none"/>
        </w:rPr>
        <w:t>全权代表人有效期内的身份证正反面电子件：</w:t>
      </w:r>
    </w:p>
    <w:tbl>
      <w:tblPr>
        <w:tblStyle w:val="35"/>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481C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9" w:hRule="atLeast"/>
        </w:trPr>
        <w:tc>
          <w:tcPr>
            <w:tcW w:w="4673" w:type="dxa"/>
            <w:tcBorders>
              <w:top w:val="single" w:color="000000" w:sz="4" w:space="0"/>
              <w:left w:val="single" w:color="000000" w:sz="4" w:space="0"/>
              <w:bottom w:val="single" w:color="000000" w:sz="4" w:space="0"/>
              <w:right w:val="single" w:color="000000" w:sz="4" w:space="0"/>
            </w:tcBorders>
          </w:tcPr>
          <w:p w14:paraId="1ED2AB86">
            <w:pPr>
              <w:spacing w:line="360" w:lineRule="auto"/>
              <w:jc w:val="left"/>
              <w:rPr>
                <w:rFonts w:hint="eastAsia" w:ascii="宋体" w:hAnsi="宋体"/>
                <w:sz w:val="24"/>
                <w:highlight w:val="none"/>
              </w:rPr>
            </w:pPr>
          </w:p>
          <w:p w14:paraId="68FAFFC8">
            <w:pPr>
              <w:spacing w:line="360" w:lineRule="auto"/>
              <w:jc w:val="left"/>
              <w:rPr>
                <w:rFonts w:hint="eastAsia" w:ascii="宋体" w:hAnsi="宋体"/>
                <w:sz w:val="24"/>
                <w:highlight w:val="none"/>
              </w:rPr>
            </w:pPr>
          </w:p>
          <w:p w14:paraId="28E6BFCF">
            <w:pPr>
              <w:spacing w:line="360" w:lineRule="auto"/>
              <w:jc w:val="left"/>
              <w:rPr>
                <w:rFonts w:hint="eastAsia" w:ascii="宋体" w:hAnsi="宋体"/>
                <w:sz w:val="24"/>
                <w:highlight w:val="none"/>
              </w:rPr>
            </w:pPr>
          </w:p>
        </w:tc>
        <w:tc>
          <w:tcPr>
            <w:tcW w:w="4536" w:type="dxa"/>
            <w:tcBorders>
              <w:top w:val="single" w:color="000000" w:sz="4" w:space="0"/>
              <w:left w:val="nil"/>
              <w:bottom w:val="single" w:color="000000" w:sz="4" w:space="0"/>
              <w:right w:val="single" w:color="000000" w:sz="4" w:space="0"/>
            </w:tcBorders>
          </w:tcPr>
          <w:p w14:paraId="0FA54546">
            <w:pPr>
              <w:spacing w:line="360" w:lineRule="auto"/>
              <w:jc w:val="left"/>
              <w:rPr>
                <w:rFonts w:hint="eastAsia" w:ascii="宋体" w:hAnsi="宋体"/>
                <w:sz w:val="24"/>
                <w:highlight w:val="none"/>
              </w:rPr>
            </w:pPr>
          </w:p>
          <w:p w14:paraId="672C36F8">
            <w:pPr>
              <w:spacing w:line="360" w:lineRule="auto"/>
              <w:jc w:val="left"/>
              <w:rPr>
                <w:rFonts w:hint="eastAsia" w:ascii="宋体" w:hAnsi="宋体"/>
                <w:sz w:val="24"/>
                <w:highlight w:val="none"/>
              </w:rPr>
            </w:pPr>
          </w:p>
          <w:p w14:paraId="0DDF23EA">
            <w:pPr>
              <w:spacing w:line="360" w:lineRule="auto"/>
              <w:jc w:val="left"/>
              <w:rPr>
                <w:rFonts w:hint="eastAsia" w:ascii="宋体" w:hAnsi="宋体"/>
                <w:sz w:val="24"/>
                <w:highlight w:val="none"/>
              </w:rPr>
            </w:pPr>
          </w:p>
        </w:tc>
      </w:tr>
    </w:tbl>
    <w:p w14:paraId="3C6B0D7C">
      <w:pPr>
        <w:spacing w:line="460" w:lineRule="exact"/>
        <w:rPr>
          <w:rFonts w:hint="eastAsia" w:ascii="宋体" w:hAnsi="宋体"/>
          <w:b/>
          <w:bCs/>
          <w:sz w:val="22"/>
          <w:szCs w:val="22"/>
          <w:highlight w:val="none"/>
        </w:rPr>
      </w:pPr>
    </w:p>
    <w:p w14:paraId="77FAA679">
      <w:pPr>
        <w:spacing w:line="460" w:lineRule="exact"/>
        <w:rPr>
          <w:rFonts w:hint="eastAsia" w:ascii="宋体" w:hAnsi="宋体" w:cs="Courier New"/>
          <w:b/>
          <w:sz w:val="22"/>
          <w:szCs w:val="22"/>
          <w:highlight w:val="none"/>
        </w:rPr>
      </w:pPr>
      <w:r>
        <w:rPr>
          <w:rFonts w:hint="eastAsia" w:ascii="宋体" w:hAnsi="宋体" w:cs="Courier New"/>
          <w:b/>
          <w:sz w:val="22"/>
          <w:szCs w:val="22"/>
          <w:highlight w:val="none"/>
        </w:rPr>
        <w:t xml:space="preserve">说明： </w:t>
      </w:r>
    </w:p>
    <w:p w14:paraId="1538B45C">
      <w:pPr>
        <w:spacing w:line="460" w:lineRule="exact"/>
        <w:rPr>
          <w:rFonts w:hint="eastAsia" w:ascii="宋体" w:hAnsi="宋体" w:cs="Courier New"/>
          <w:b/>
          <w:sz w:val="22"/>
          <w:szCs w:val="22"/>
          <w:highlight w:val="none"/>
        </w:rPr>
      </w:pPr>
      <w:r>
        <w:rPr>
          <w:rFonts w:ascii="宋体" w:hAnsi="宋体" w:cs="Courier New"/>
          <w:b/>
          <w:sz w:val="22"/>
          <w:szCs w:val="22"/>
          <w:highlight w:val="none"/>
        </w:rPr>
        <w:t>1</w:t>
      </w:r>
      <w:r>
        <w:rPr>
          <w:rFonts w:hint="eastAsia" w:ascii="宋体" w:hAnsi="宋体" w:cs="Courier New"/>
          <w:b/>
          <w:sz w:val="22"/>
          <w:szCs w:val="22"/>
          <w:highlight w:val="none"/>
        </w:rPr>
        <w:t>、</w:t>
      </w:r>
      <w:r>
        <w:rPr>
          <w:rFonts w:ascii="宋体" w:hAnsi="宋体" w:cs="Courier New"/>
          <w:b/>
          <w:sz w:val="22"/>
          <w:szCs w:val="22"/>
          <w:highlight w:val="none"/>
        </w:rPr>
        <w:t>投标人：若投标人代表为单位负责人授权的委托代理人，应提供本授权书；</w:t>
      </w:r>
    </w:p>
    <w:p w14:paraId="0D4ED124">
      <w:pPr>
        <w:spacing w:line="460" w:lineRule="exact"/>
        <w:rPr>
          <w:rFonts w:hint="eastAsia" w:ascii="宋体" w:hAnsi="宋体" w:cs="Courier New"/>
          <w:b/>
          <w:sz w:val="22"/>
          <w:szCs w:val="22"/>
          <w:highlight w:val="none"/>
        </w:rPr>
      </w:pPr>
      <w:r>
        <w:rPr>
          <w:rFonts w:ascii="宋体" w:hAnsi="宋体" w:cs="Courier New"/>
          <w:b/>
          <w:sz w:val="22"/>
          <w:szCs w:val="22"/>
          <w:highlight w:val="none"/>
        </w:rPr>
        <w:t>2</w:t>
      </w:r>
      <w:r>
        <w:rPr>
          <w:rFonts w:hint="eastAsia" w:ascii="宋体" w:hAnsi="宋体" w:cs="Courier New"/>
          <w:b/>
          <w:sz w:val="22"/>
          <w:szCs w:val="22"/>
          <w:highlight w:val="none"/>
        </w:rPr>
        <w:t>、</w:t>
      </w:r>
      <w:r>
        <w:rPr>
          <w:rFonts w:ascii="宋体" w:hAnsi="宋体" w:cs="Courier New"/>
          <w:b/>
          <w:sz w:val="22"/>
          <w:szCs w:val="22"/>
          <w:highlight w:val="none"/>
        </w:rPr>
        <w:t>若投标人代表为单位负责人，应在此项下提交其身份证正反面复印件，可不提供本授权书。</w:t>
      </w:r>
    </w:p>
    <w:p w14:paraId="29B39FF7">
      <w:pPr>
        <w:spacing w:line="400" w:lineRule="exact"/>
        <w:ind w:firstLine="141" w:firstLineChars="64"/>
        <w:rPr>
          <w:rFonts w:hint="eastAsia" w:ascii="宋体" w:hAnsi="宋体"/>
          <w:b/>
          <w:sz w:val="22"/>
          <w:highlight w:val="none"/>
        </w:rPr>
      </w:pPr>
    </w:p>
    <w:p w14:paraId="5A0283C3">
      <w:pPr>
        <w:numPr>
          <w:ilvl w:val="1"/>
          <w:numId w:val="23"/>
        </w:numPr>
        <w:tabs>
          <w:tab w:val="left" w:pos="0"/>
          <w:tab w:val="left" w:pos="600"/>
        </w:tabs>
        <w:spacing w:line="400" w:lineRule="exact"/>
        <w:rPr>
          <w:rFonts w:hint="eastAsia" w:ascii="宋体" w:hAnsi="宋体"/>
          <w:b/>
          <w:sz w:val="22"/>
          <w:highlight w:val="none"/>
        </w:rPr>
        <w:sectPr>
          <w:headerReference r:id="rId9" w:type="default"/>
          <w:pgSz w:w="11906" w:h="16838"/>
          <w:pgMar w:top="1134" w:right="1134" w:bottom="1134" w:left="1134" w:header="851" w:footer="851" w:gutter="0"/>
          <w:cols w:space="720" w:num="1"/>
          <w:docGrid w:linePitch="312" w:charSpace="0"/>
        </w:sectPr>
      </w:pPr>
    </w:p>
    <w:p w14:paraId="1153C3D6">
      <w:pPr>
        <w:rPr>
          <w:rFonts w:hint="eastAsia" w:ascii="宋体" w:hAnsi="宋体"/>
          <w:highlight w:val="none"/>
        </w:rPr>
      </w:pPr>
    </w:p>
    <w:p w14:paraId="3852C283">
      <w:pPr>
        <w:spacing w:line="460" w:lineRule="exact"/>
        <w:jc w:val="center"/>
        <w:rPr>
          <w:rFonts w:hint="eastAsia" w:ascii="宋体" w:hAnsi="宋体"/>
          <w:b/>
          <w:bCs/>
          <w:sz w:val="30"/>
          <w:szCs w:val="30"/>
          <w:highlight w:val="none"/>
        </w:rPr>
      </w:pPr>
      <w:r>
        <w:rPr>
          <w:rFonts w:hint="eastAsia" w:ascii="宋体" w:hAnsi="宋体"/>
          <w:b/>
          <w:bCs/>
          <w:sz w:val="30"/>
          <w:szCs w:val="30"/>
          <w:highlight w:val="none"/>
        </w:rPr>
        <w:t>三、投标人联系表</w:t>
      </w:r>
    </w:p>
    <w:p w14:paraId="088C5AC0">
      <w:pPr>
        <w:pStyle w:val="225"/>
        <w:ind w:firstLine="210"/>
        <w:rPr>
          <w:rFonts w:hint="eastAsia" w:ascii="宋体" w:hAnsi="宋体"/>
          <w:highlight w:val="none"/>
        </w:rPr>
      </w:pPr>
    </w:p>
    <w:tbl>
      <w:tblPr>
        <w:tblStyle w:val="35"/>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87"/>
        <w:gridCol w:w="6413"/>
      </w:tblGrid>
      <w:tr w14:paraId="776E8B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225AA2C">
            <w:pPr>
              <w:spacing w:line="440" w:lineRule="exact"/>
              <w:jc w:val="center"/>
              <w:rPr>
                <w:rFonts w:hint="eastAsia" w:ascii="宋体" w:hAnsi="宋体"/>
                <w:sz w:val="22"/>
                <w:szCs w:val="22"/>
                <w:highlight w:val="none"/>
              </w:rPr>
            </w:pPr>
            <w:r>
              <w:rPr>
                <w:rFonts w:hint="eastAsia" w:ascii="宋体" w:hAnsi="宋体"/>
                <w:sz w:val="22"/>
                <w:szCs w:val="22"/>
                <w:highlight w:val="none"/>
              </w:rPr>
              <w:t>序号</w:t>
            </w:r>
          </w:p>
        </w:tc>
        <w:tc>
          <w:tcPr>
            <w:tcW w:w="2587" w:type="dxa"/>
            <w:tcBorders>
              <w:top w:val="single" w:color="auto" w:sz="4" w:space="0"/>
              <w:left w:val="single" w:color="auto" w:sz="4" w:space="0"/>
              <w:bottom w:val="single" w:color="auto" w:sz="4" w:space="0"/>
              <w:right w:val="single" w:color="auto" w:sz="4" w:space="0"/>
            </w:tcBorders>
            <w:vAlign w:val="center"/>
          </w:tcPr>
          <w:p w14:paraId="1B347D4B">
            <w:pPr>
              <w:spacing w:line="440" w:lineRule="exact"/>
              <w:jc w:val="center"/>
              <w:rPr>
                <w:rFonts w:hint="eastAsia" w:ascii="宋体" w:hAnsi="宋体"/>
                <w:sz w:val="22"/>
                <w:szCs w:val="22"/>
                <w:highlight w:val="none"/>
              </w:rPr>
            </w:pPr>
            <w:r>
              <w:rPr>
                <w:rFonts w:hint="eastAsia" w:ascii="宋体" w:hAnsi="宋体"/>
                <w:sz w:val="22"/>
                <w:szCs w:val="22"/>
                <w:highlight w:val="none"/>
              </w:rPr>
              <w:t>项  目</w:t>
            </w:r>
          </w:p>
        </w:tc>
        <w:tc>
          <w:tcPr>
            <w:tcW w:w="6413" w:type="dxa"/>
            <w:tcBorders>
              <w:top w:val="single" w:color="auto" w:sz="4" w:space="0"/>
              <w:left w:val="single" w:color="auto" w:sz="4" w:space="0"/>
              <w:bottom w:val="single" w:color="auto" w:sz="4" w:space="0"/>
              <w:right w:val="single" w:color="auto" w:sz="4" w:space="0"/>
            </w:tcBorders>
            <w:vAlign w:val="center"/>
          </w:tcPr>
          <w:p w14:paraId="3150F3E0">
            <w:pPr>
              <w:spacing w:line="440" w:lineRule="exact"/>
              <w:jc w:val="center"/>
              <w:rPr>
                <w:rFonts w:hint="eastAsia" w:ascii="宋体" w:hAnsi="宋体"/>
                <w:sz w:val="22"/>
                <w:szCs w:val="22"/>
                <w:highlight w:val="none"/>
              </w:rPr>
            </w:pPr>
            <w:r>
              <w:rPr>
                <w:rFonts w:hint="eastAsia" w:ascii="宋体" w:hAnsi="宋体"/>
                <w:sz w:val="22"/>
                <w:szCs w:val="22"/>
                <w:highlight w:val="none"/>
              </w:rPr>
              <w:t>内容</w:t>
            </w:r>
          </w:p>
        </w:tc>
      </w:tr>
      <w:tr w14:paraId="49F42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BA5B465">
            <w:pPr>
              <w:spacing w:line="440" w:lineRule="exact"/>
              <w:jc w:val="center"/>
              <w:rPr>
                <w:rFonts w:hint="eastAsia" w:ascii="宋体" w:hAnsi="宋体"/>
                <w:sz w:val="22"/>
                <w:szCs w:val="22"/>
                <w:highlight w:val="none"/>
              </w:rPr>
            </w:pPr>
            <w:r>
              <w:rPr>
                <w:rFonts w:hint="eastAsia"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164293C0">
            <w:pPr>
              <w:spacing w:line="440" w:lineRule="exact"/>
              <w:jc w:val="center"/>
              <w:rPr>
                <w:rFonts w:hint="eastAsia" w:ascii="宋体" w:hAnsi="宋体"/>
                <w:bCs/>
                <w:sz w:val="22"/>
                <w:szCs w:val="22"/>
                <w:highlight w:val="none"/>
              </w:rPr>
            </w:pPr>
            <w:r>
              <w:rPr>
                <w:rFonts w:ascii="宋体" w:hAnsi="宋体"/>
                <w:bCs/>
                <w:sz w:val="22"/>
                <w:szCs w:val="22"/>
                <w:highlight w:val="none"/>
              </w:rPr>
              <w:t>项目名称</w:t>
            </w:r>
          </w:p>
        </w:tc>
        <w:tc>
          <w:tcPr>
            <w:tcW w:w="6413" w:type="dxa"/>
            <w:tcBorders>
              <w:top w:val="single" w:color="auto" w:sz="4" w:space="0"/>
              <w:left w:val="single" w:color="auto" w:sz="4" w:space="0"/>
              <w:bottom w:val="single" w:color="auto" w:sz="4" w:space="0"/>
              <w:right w:val="single" w:color="auto" w:sz="4" w:space="0"/>
            </w:tcBorders>
            <w:vAlign w:val="center"/>
          </w:tcPr>
          <w:p w14:paraId="0BCE92BF">
            <w:pPr>
              <w:spacing w:line="360" w:lineRule="exact"/>
              <w:rPr>
                <w:rFonts w:hint="eastAsia" w:ascii="宋体" w:hAnsi="宋体" w:cs="楷体"/>
                <w:kern w:val="0"/>
                <w:sz w:val="22"/>
                <w:szCs w:val="22"/>
                <w:highlight w:val="none"/>
              </w:rPr>
            </w:pPr>
          </w:p>
        </w:tc>
      </w:tr>
      <w:tr w14:paraId="20BAB2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BAC1A9D">
            <w:pPr>
              <w:spacing w:line="440" w:lineRule="exact"/>
              <w:jc w:val="center"/>
              <w:rPr>
                <w:rFonts w:hint="eastAsia" w:ascii="宋体" w:hAnsi="宋体"/>
                <w:sz w:val="22"/>
                <w:szCs w:val="22"/>
                <w:highlight w:val="none"/>
              </w:rPr>
            </w:pPr>
            <w:r>
              <w:rPr>
                <w:rFonts w:hint="eastAsia"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3C0750AD">
            <w:pPr>
              <w:spacing w:line="440" w:lineRule="exact"/>
              <w:jc w:val="center"/>
              <w:rPr>
                <w:rFonts w:hint="eastAsia" w:ascii="宋体" w:hAnsi="宋体"/>
                <w:bCs/>
                <w:sz w:val="22"/>
                <w:szCs w:val="22"/>
                <w:highlight w:val="none"/>
              </w:rPr>
            </w:pPr>
            <w:r>
              <w:rPr>
                <w:rFonts w:hint="eastAsia" w:ascii="宋体" w:hAnsi="宋体"/>
                <w:bCs/>
                <w:sz w:val="22"/>
                <w:szCs w:val="22"/>
                <w:highlight w:val="none"/>
              </w:rPr>
              <w:t>项目编号</w:t>
            </w:r>
          </w:p>
        </w:tc>
        <w:tc>
          <w:tcPr>
            <w:tcW w:w="6413" w:type="dxa"/>
            <w:tcBorders>
              <w:top w:val="single" w:color="auto" w:sz="4" w:space="0"/>
              <w:left w:val="single" w:color="auto" w:sz="4" w:space="0"/>
              <w:bottom w:val="single" w:color="auto" w:sz="4" w:space="0"/>
              <w:right w:val="single" w:color="auto" w:sz="4" w:space="0"/>
            </w:tcBorders>
            <w:vAlign w:val="center"/>
          </w:tcPr>
          <w:p w14:paraId="47A56539">
            <w:pPr>
              <w:spacing w:line="360" w:lineRule="exact"/>
              <w:rPr>
                <w:rFonts w:hint="eastAsia" w:ascii="宋体" w:hAnsi="宋体" w:cs="楷体"/>
                <w:kern w:val="0"/>
                <w:sz w:val="22"/>
                <w:szCs w:val="22"/>
                <w:highlight w:val="none"/>
              </w:rPr>
            </w:pPr>
          </w:p>
        </w:tc>
      </w:tr>
      <w:tr w14:paraId="30236B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4B05EEB">
            <w:pPr>
              <w:spacing w:line="440" w:lineRule="exact"/>
              <w:jc w:val="center"/>
              <w:rPr>
                <w:rFonts w:hint="eastAsia" w:ascii="宋体" w:hAnsi="宋体"/>
                <w:sz w:val="22"/>
                <w:szCs w:val="22"/>
                <w:highlight w:val="none"/>
              </w:rPr>
            </w:pPr>
            <w:r>
              <w:rPr>
                <w:rFonts w:hint="eastAsia" w:ascii="宋体" w:hAnsi="宋体"/>
                <w:sz w:val="22"/>
                <w:szCs w:val="22"/>
                <w:highlight w:val="none"/>
              </w:rPr>
              <w:t>3</w:t>
            </w:r>
          </w:p>
        </w:tc>
        <w:tc>
          <w:tcPr>
            <w:tcW w:w="2587" w:type="dxa"/>
            <w:tcBorders>
              <w:top w:val="single" w:color="auto" w:sz="4" w:space="0"/>
              <w:left w:val="single" w:color="auto" w:sz="4" w:space="0"/>
              <w:bottom w:val="single" w:color="auto" w:sz="4" w:space="0"/>
              <w:right w:val="single" w:color="auto" w:sz="4" w:space="0"/>
            </w:tcBorders>
            <w:vAlign w:val="center"/>
          </w:tcPr>
          <w:p w14:paraId="1946BF9E">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投标单位名称</w:t>
            </w:r>
          </w:p>
        </w:tc>
        <w:tc>
          <w:tcPr>
            <w:tcW w:w="6413" w:type="dxa"/>
            <w:tcBorders>
              <w:top w:val="single" w:color="auto" w:sz="4" w:space="0"/>
              <w:left w:val="single" w:color="auto" w:sz="4" w:space="0"/>
              <w:bottom w:val="single" w:color="auto" w:sz="4" w:space="0"/>
              <w:right w:val="single" w:color="auto" w:sz="4" w:space="0"/>
            </w:tcBorders>
            <w:vAlign w:val="center"/>
          </w:tcPr>
          <w:p w14:paraId="780BB46D">
            <w:pPr>
              <w:spacing w:line="360" w:lineRule="exact"/>
              <w:rPr>
                <w:rFonts w:hint="eastAsia" w:ascii="宋体" w:hAnsi="宋体" w:cs="楷体"/>
                <w:kern w:val="0"/>
                <w:sz w:val="22"/>
                <w:szCs w:val="22"/>
                <w:highlight w:val="none"/>
              </w:rPr>
            </w:pPr>
          </w:p>
        </w:tc>
      </w:tr>
      <w:tr w14:paraId="6B621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BF1EF03">
            <w:pPr>
              <w:spacing w:line="440" w:lineRule="exact"/>
              <w:jc w:val="center"/>
              <w:rPr>
                <w:rFonts w:hint="eastAsia" w:ascii="宋体" w:hAnsi="宋体"/>
                <w:sz w:val="22"/>
                <w:szCs w:val="22"/>
                <w:highlight w:val="none"/>
              </w:rPr>
            </w:pPr>
            <w:r>
              <w:rPr>
                <w:rFonts w:hint="eastAsia" w:ascii="宋体" w:hAnsi="宋体"/>
                <w:sz w:val="22"/>
                <w:szCs w:val="22"/>
                <w:highlight w:val="none"/>
              </w:rPr>
              <w:t>4</w:t>
            </w:r>
          </w:p>
        </w:tc>
        <w:tc>
          <w:tcPr>
            <w:tcW w:w="2587" w:type="dxa"/>
            <w:tcBorders>
              <w:top w:val="single" w:color="auto" w:sz="4" w:space="0"/>
              <w:left w:val="single" w:color="auto" w:sz="4" w:space="0"/>
              <w:bottom w:val="single" w:color="auto" w:sz="4" w:space="0"/>
              <w:right w:val="single" w:color="auto" w:sz="4" w:space="0"/>
            </w:tcBorders>
            <w:vAlign w:val="center"/>
          </w:tcPr>
          <w:p w14:paraId="2A213B66">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投标单位联系地址</w:t>
            </w:r>
          </w:p>
        </w:tc>
        <w:tc>
          <w:tcPr>
            <w:tcW w:w="6413" w:type="dxa"/>
            <w:tcBorders>
              <w:top w:val="single" w:color="auto" w:sz="4" w:space="0"/>
              <w:left w:val="single" w:color="auto" w:sz="4" w:space="0"/>
              <w:bottom w:val="single" w:color="auto" w:sz="4" w:space="0"/>
              <w:right w:val="single" w:color="auto" w:sz="4" w:space="0"/>
            </w:tcBorders>
            <w:vAlign w:val="center"/>
          </w:tcPr>
          <w:p w14:paraId="7D5E3D67">
            <w:pPr>
              <w:spacing w:line="360" w:lineRule="exact"/>
              <w:rPr>
                <w:rFonts w:hint="eastAsia" w:ascii="宋体" w:hAnsi="宋体" w:cs="楷体"/>
                <w:kern w:val="0"/>
                <w:sz w:val="22"/>
                <w:szCs w:val="22"/>
                <w:highlight w:val="none"/>
              </w:rPr>
            </w:pPr>
          </w:p>
        </w:tc>
      </w:tr>
      <w:tr w14:paraId="7A29D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A4B7BA5">
            <w:pPr>
              <w:spacing w:line="440" w:lineRule="exact"/>
              <w:jc w:val="center"/>
              <w:rPr>
                <w:rFonts w:hint="eastAsia" w:ascii="宋体" w:hAnsi="宋体"/>
                <w:sz w:val="22"/>
                <w:szCs w:val="22"/>
                <w:highlight w:val="none"/>
              </w:rPr>
            </w:pPr>
            <w:r>
              <w:rPr>
                <w:rFonts w:hint="eastAsia" w:ascii="宋体" w:hAnsi="宋体"/>
                <w:sz w:val="22"/>
                <w:szCs w:val="22"/>
                <w:highlight w:val="none"/>
              </w:rPr>
              <w:t>5</w:t>
            </w:r>
          </w:p>
        </w:tc>
        <w:tc>
          <w:tcPr>
            <w:tcW w:w="2587" w:type="dxa"/>
            <w:tcBorders>
              <w:top w:val="single" w:color="auto" w:sz="4" w:space="0"/>
              <w:left w:val="single" w:color="auto" w:sz="4" w:space="0"/>
              <w:bottom w:val="single" w:color="auto" w:sz="4" w:space="0"/>
              <w:right w:val="single" w:color="auto" w:sz="4" w:space="0"/>
            </w:tcBorders>
            <w:vAlign w:val="center"/>
          </w:tcPr>
          <w:p w14:paraId="5D507C7D">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投标单位联系方式</w:t>
            </w:r>
          </w:p>
        </w:tc>
        <w:tc>
          <w:tcPr>
            <w:tcW w:w="6413" w:type="dxa"/>
            <w:tcBorders>
              <w:top w:val="single" w:color="auto" w:sz="4" w:space="0"/>
              <w:left w:val="single" w:color="auto" w:sz="4" w:space="0"/>
              <w:bottom w:val="single" w:color="auto" w:sz="4" w:space="0"/>
              <w:right w:val="single" w:color="auto" w:sz="4" w:space="0"/>
            </w:tcBorders>
            <w:vAlign w:val="center"/>
          </w:tcPr>
          <w:p w14:paraId="155A1C42">
            <w:pPr>
              <w:spacing w:line="360" w:lineRule="exact"/>
              <w:rPr>
                <w:rFonts w:hint="eastAsia" w:ascii="宋体" w:hAnsi="宋体" w:cs="楷体"/>
                <w:kern w:val="0"/>
                <w:sz w:val="22"/>
                <w:szCs w:val="22"/>
                <w:highlight w:val="none"/>
              </w:rPr>
            </w:pPr>
          </w:p>
        </w:tc>
      </w:tr>
      <w:tr w14:paraId="2DF92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2230A19">
            <w:pPr>
              <w:spacing w:line="440" w:lineRule="exact"/>
              <w:jc w:val="center"/>
              <w:rPr>
                <w:rFonts w:hint="eastAsia" w:ascii="宋体" w:hAnsi="宋体"/>
                <w:sz w:val="22"/>
                <w:szCs w:val="22"/>
                <w:highlight w:val="none"/>
              </w:rPr>
            </w:pPr>
            <w:r>
              <w:rPr>
                <w:rFonts w:hint="eastAsia" w:ascii="宋体" w:hAnsi="宋体"/>
                <w:sz w:val="22"/>
                <w:szCs w:val="22"/>
                <w:highlight w:val="none"/>
              </w:rPr>
              <w:t>6</w:t>
            </w:r>
          </w:p>
        </w:tc>
        <w:tc>
          <w:tcPr>
            <w:tcW w:w="2587" w:type="dxa"/>
            <w:tcBorders>
              <w:top w:val="single" w:color="auto" w:sz="4" w:space="0"/>
              <w:left w:val="single" w:color="auto" w:sz="4" w:space="0"/>
              <w:bottom w:val="single" w:color="auto" w:sz="4" w:space="0"/>
              <w:right w:val="single" w:color="auto" w:sz="4" w:space="0"/>
            </w:tcBorders>
            <w:vAlign w:val="center"/>
          </w:tcPr>
          <w:p w14:paraId="71016364">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投标单位电子邮箱</w:t>
            </w:r>
          </w:p>
        </w:tc>
        <w:tc>
          <w:tcPr>
            <w:tcW w:w="6413" w:type="dxa"/>
            <w:tcBorders>
              <w:top w:val="single" w:color="auto" w:sz="4" w:space="0"/>
              <w:left w:val="single" w:color="auto" w:sz="4" w:space="0"/>
              <w:bottom w:val="single" w:color="auto" w:sz="4" w:space="0"/>
              <w:right w:val="single" w:color="auto" w:sz="4" w:space="0"/>
            </w:tcBorders>
            <w:vAlign w:val="center"/>
          </w:tcPr>
          <w:p w14:paraId="20DEF4E3">
            <w:pPr>
              <w:spacing w:line="360" w:lineRule="exact"/>
              <w:rPr>
                <w:rFonts w:hint="eastAsia" w:ascii="宋体" w:hAnsi="宋体" w:cs="楷体"/>
                <w:kern w:val="0"/>
                <w:sz w:val="22"/>
                <w:szCs w:val="22"/>
                <w:highlight w:val="none"/>
              </w:rPr>
            </w:pPr>
          </w:p>
        </w:tc>
      </w:tr>
      <w:tr w14:paraId="3037FA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740FF4A">
            <w:pPr>
              <w:spacing w:line="440" w:lineRule="exact"/>
              <w:jc w:val="center"/>
              <w:rPr>
                <w:rFonts w:hint="eastAsia" w:ascii="宋体" w:hAnsi="宋体"/>
                <w:sz w:val="22"/>
                <w:szCs w:val="22"/>
                <w:highlight w:val="none"/>
              </w:rPr>
            </w:pPr>
            <w:r>
              <w:rPr>
                <w:rFonts w:hint="eastAsia" w:ascii="宋体" w:hAnsi="宋体"/>
                <w:sz w:val="22"/>
                <w:szCs w:val="22"/>
                <w:highlight w:val="none"/>
              </w:rPr>
              <w:t>7</w:t>
            </w:r>
          </w:p>
        </w:tc>
        <w:tc>
          <w:tcPr>
            <w:tcW w:w="2587" w:type="dxa"/>
            <w:tcBorders>
              <w:top w:val="single" w:color="auto" w:sz="4" w:space="0"/>
              <w:left w:val="single" w:color="auto" w:sz="4" w:space="0"/>
              <w:bottom w:val="single" w:color="auto" w:sz="4" w:space="0"/>
              <w:right w:val="single" w:color="auto" w:sz="4" w:space="0"/>
            </w:tcBorders>
            <w:vAlign w:val="center"/>
          </w:tcPr>
          <w:p w14:paraId="2351E244">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投标单位传真号码</w:t>
            </w:r>
          </w:p>
        </w:tc>
        <w:tc>
          <w:tcPr>
            <w:tcW w:w="6413" w:type="dxa"/>
            <w:tcBorders>
              <w:top w:val="single" w:color="auto" w:sz="4" w:space="0"/>
              <w:left w:val="single" w:color="auto" w:sz="4" w:space="0"/>
              <w:bottom w:val="single" w:color="auto" w:sz="4" w:space="0"/>
              <w:right w:val="single" w:color="auto" w:sz="4" w:space="0"/>
            </w:tcBorders>
            <w:vAlign w:val="center"/>
          </w:tcPr>
          <w:p w14:paraId="32444288">
            <w:pPr>
              <w:spacing w:line="360" w:lineRule="exact"/>
              <w:rPr>
                <w:rFonts w:hint="eastAsia" w:ascii="宋体" w:hAnsi="宋体" w:cs="楷体"/>
                <w:kern w:val="0"/>
                <w:sz w:val="22"/>
                <w:szCs w:val="22"/>
                <w:highlight w:val="none"/>
              </w:rPr>
            </w:pPr>
          </w:p>
        </w:tc>
      </w:tr>
      <w:tr w14:paraId="31E41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3C393CD">
            <w:pPr>
              <w:spacing w:line="440" w:lineRule="exact"/>
              <w:jc w:val="center"/>
              <w:rPr>
                <w:rFonts w:hint="eastAsia" w:ascii="宋体" w:hAnsi="宋体"/>
                <w:sz w:val="22"/>
                <w:szCs w:val="22"/>
                <w:highlight w:val="none"/>
              </w:rPr>
            </w:pPr>
            <w:r>
              <w:rPr>
                <w:rFonts w:ascii="宋体" w:hAnsi="宋体"/>
                <w:sz w:val="22"/>
                <w:szCs w:val="22"/>
                <w:highlight w:val="none"/>
              </w:rPr>
              <w:t>8</w:t>
            </w:r>
          </w:p>
        </w:tc>
        <w:tc>
          <w:tcPr>
            <w:tcW w:w="2587" w:type="dxa"/>
            <w:tcBorders>
              <w:top w:val="single" w:color="auto" w:sz="4" w:space="0"/>
              <w:left w:val="single" w:color="auto" w:sz="4" w:space="0"/>
              <w:bottom w:val="single" w:color="auto" w:sz="4" w:space="0"/>
              <w:right w:val="single" w:color="auto" w:sz="4" w:space="0"/>
            </w:tcBorders>
            <w:vAlign w:val="center"/>
          </w:tcPr>
          <w:p w14:paraId="7E5A108A">
            <w:pPr>
              <w:spacing w:line="440" w:lineRule="exact"/>
              <w:jc w:val="center"/>
              <w:rPr>
                <w:rFonts w:hint="eastAsia" w:ascii="宋体" w:hAnsi="宋体"/>
                <w:bCs/>
                <w:sz w:val="22"/>
                <w:szCs w:val="22"/>
                <w:highlight w:val="none"/>
              </w:rPr>
            </w:pPr>
            <w:r>
              <w:rPr>
                <w:rFonts w:hint="eastAsia" w:ascii="宋体" w:hAnsi="宋体"/>
                <w:bCs/>
                <w:sz w:val="22"/>
                <w:szCs w:val="22"/>
                <w:highlight w:val="none"/>
              </w:rPr>
              <w:t>单位负责人名字</w:t>
            </w:r>
          </w:p>
        </w:tc>
        <w:tc>
          <w:tcPr>
            <w:tcW w:w="6413" w:type="dxa"/>
            <w:tcBorders>
              <w:top w:val="single" w:color="auto" w:sz="4" w:space="0"/>
              <w:left w:val="single" w:color="auto" w:sz="4" w:space="0"/>
              <w:bottom w:val="single" w:color="auto" w:sz="4" w:space="0"/>
              <w:right w:val="single" w:color="auto" w:sz="4" w:space="0"/>
            </w:tcBorders>
            <w:vAlign w:val="center"/>
          </w:tcPr>
          <w:p w14:paraId="3B8C2918">
            <w:pPr>
              <w:spacing w:line="360" w:lineRule="exact"/>
              <w:rPr>
                <w:rFonts w:hint="eastAsia" w:ascii="宋体" w:hAnsi="宋体" w:cs="楷体"/>
                <w:kern w:val="0"/>
                <w:sz w:val="22"/>
                <w:szCs w:val="22"/>
                <w:highlight w:val="none"/>
              </w:rPr>
            </w:pPr>
          </w:p>
        </w:tc>
      </w:tr>
      <w:tr w14:paraId="37EEB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6012A85">
            <w:pPr>
              <w:spacing w:line="440" w:lineRule="exact"/>
              <w:jc w:val="center"/>
              <w:rPr>
                <w:rFonts w:hint="eastAsia" w:ascii="宋体" w:hAnsi="宋体"/>
                <w:sz w:val="22"/>
                <w:szCs w:val="22"/>
                <w:highlight w:val="none"/>
              </w:rPr>
            </w:pPr>
            <w:r>
              <w:rPr>
                <w:rFonts w:ascii="宋体" w:hAnsi="宋体"/>
                <w:sz w:val="22"/>
                <w:szCs w:val="22"/>
                <w:highlight w:val="none"/>
              </w:rPr>
              <w:t>9</w:t>
            </w:r>
          </w:p>
        </w:tc>
        <w:tc>
          <w:tcPr>
            <w:tcW w:w="2587" w:type="dxa"/>
            <w:tcBorders>
              <w:top w:val="single" w:color="auto" w:sz="4" w:space="0"/>
              <w:left w:val="single" w:color="auto" w:sz="4" w:space="0"/>
              <w:bottom w:val="single" w:color="auto" w:sz="4" w:space="0"/>
              <w:right w:val="single" w:color="auto" w:sz="4" w:space="0"/>
            </w:tcBorders>
            <w:vAlign w:val="center"/>
          </w:tcPr>
          <w:p w14:paraId="7B44701C">
            <w:pPr>
              <w:spacing w:line="440" w:lineRule="exact"/>
              <w:jc w:val="center"/>
              <w:rPr>
                <w:rFonts w:hint="eastAsia" w:ascii="宋体" w:hAnsi="宋体"/>
                <w:bCs/>
                <w:sz w:val="22"/>
                <w:szCs w:val="22"/>
                <w:highlight w:val="none"/>
              </w:rPr>
            </w:pPr>
            <w:r>
              <w:rPr>
                <w:rFonts w:hint="eastAsia" w:ascii="宋体" w:hAnsi="宋体"/>
                <w:bCs/>
                <w:sz w:val="22"/>
                <w:szCs w:val="22"/>
                <w:highlight w:val="none"/>
              </w:rPr>
              <w:t>授权代理人名字</w:t>
            </w:r>
          </w:p>
        </w:tc>
        <w:tc>
          <w:tcPr>
            <w:tcW w:w="6413" w:type="dxa"/>
            <w:tcBorders>
              <w:top w:val="single" w:color="auto" w:sz="4" w:space="0"/>
              <w:left w:val="single" w:color="auto" w:sz="4" w:space="0"/>
              <w:bottom w:val="single" w:color="auto" w:sz="4" w:space="0"/>
              <w:right w:val="single" w:color="auto" w:sz="4" w:space="0"/>
            </w:tcBorders>
            <w:vAlign w:val="center"/>
          </w:tcPr>
          <w:p w14:paraId="4877B2C4">
            <w:pPr>
              <w:spacing w:line="360" w:lineRule="exact"/>
              <w:rPr>
                <w:rFonts w:hint="eastAsia" w:ascii="宋体" w:hAnsi="宋体" w:cs="楷体"/>
                <w:kern w:val="0"/>
                <w:sz w:val="22"/>
                <w:szCs w:val="22"/>
                <w:highlight w:val="none"/>
              </w:rPr>
            </w:pPr>
          </w:p>
        </w:tc>
      </w:tr>
      <w:tr w14:paraId="54AD9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D7322AC">
            <w:pPr>
              <w:spacing w:line="440" w:lineRule="exact"/>
              <w:jc w:val="center"/>
              <w:rPr>
                <w:rFonts w:hint="eastAsia"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0</w:t>
            </w:r>
          </w:p>
        </w:tc>
        <w:tc>
          <w:tcPr>
            <w:tcW w:w="2587" w:type="dxa"/>
            <w:tcBorders>
              <w:top w:val="single" w:color="auto" w:sz="4" w:space="0"/>
              <w:left w:val="single" w:color="auto" w:sz="4" w:space="0"/>
              <w:bottom w:val="single" w:color="auto" w:sz="4" w:space="0"/>
              <w:right w:val="single" w:color="auto" w:sz="4" w:space="0"/>
            </w:tcBorders>
            <w:vAlign w:val="center"/>
          </w:tcPr>
          <w:p w14:paraId="7B540659">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投标人代表联系号码</w:t>
            </w:r>
          </w:p>
        </w:tc>
        <w:tc>
          <w:tcPr>
            <w:tcW w:w="6413" w:type="dxa"/>
            <w:tcBorders>
              <w:top w:val="single" w:color="auto" w:sz="4" w:space="0"/>
              <w:left w:val="single" w:color="auto" w:sz="4" w:space="0"/>
              <w:bottom w:val="single" w:color="auto" w:sz="4" w:space="0"/>
              <w:right w:val="single" w:color="auto" w:sz="4" w:space="0"/>
            </w:tcBorders>
            <w:vAlign w:val="center"/>
          </w:tcPr>
          <w:p w14:paraId="1B35FA7D">
            <w:pPr>
              <w:spacing w:line="440" w:lineRule="exact"/>
              <w:rPr>
                <w:rFonts w:hint="eastAsia" w:ascii="宋体" w:hAnsi="宋体"/>
                <w:bCs/>
                <w:spacing w:val="-4"/>
                <w:sz w:val="22"/>
                <w:szCs w:val="22"/>
                <w:highlight w:val="none"/>
              </w:rPr>
            </w:pPr>
          </w:p>
        </w:tc>
      </w:tr>
      <w:tr w14:paraId="682E1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5B8AEFF">
            <w:pPr>
              <w:spacing w:line="440" w:lineRule="exact"/>
              <w:jc w:val="center"/>
              <w:rPr>
                <w:rFonts w:hint="eastAsia"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1</w:t>
            </w:r>
          </w:p>
        </w:tc>
        <w:tc>
          <w:tcPr>
            <w:tcW w:w="2587" w:type="dxa"/>
            <w:tcBorders>
              <w:top w:val="single" w:color="auto" w:sz="4" w:space="0"/>
              <w:left w:val="single" w:color="auto" w:sz="4" w:space="0"/>
              <w:bottom w:val="single" w:color="auto" w:sz="4" w:space="0"/>
              <w:right w:val="single" w:color="auto" w:sz="4" w:space="0"/>
            </w:tcBorders>
            <w:vAlign w:val="center"/>
          </w:tcPr>
          <w:p w14:paraId="7F7EC31C">
            <w:pPr>
              <w:spacing w:line="440" w:lineRule="exact"/>
              <w:jc w:val="center"/>
              <w:rPr>
                <w:rFonts w:hint="eastAsia" w:ascii="宋体" w:hAnsi="宋体"/>
                <w:bCs/>
                <w:sz w:val="22"/>
                <w:szCs w:val="22"/>
                <w:highlight w:val="none"/>
              </w:rPr>
            </w:pPr>
            <w:r>
              <w:rPr>
                <w:rFonts w:hint="eastAsia" w:ascii="宋体" w:hAnsi="宋体"/>
                <w:bCs/>
                <w:sz w:val="22"/>
                <w:szCs w:val="22"/>
                <w:highlight w:val="none"/>
              </w:rPr>
              <w:t>投标人代表联系邮箱</w:t>
            </w:r>
          </w:p>
        </w:tc>
        <w:tc>
          <w:tcPr>
            <w:tcW w:w="6413" w:type="dxa"/>
            <w:tcBorders>
              <w:top w:val="single" w:color="auto" w:sz="4" w:space="0"/>
              <w:left w:val="single" w:color="auto" w:sz="4" w:space="0"/>
              <w:bottom w:val="single" w:color="auto" w:sz="4" w:space="0"/>
              <w:right w:val="single" w:color="auto" w:sz="4" w:space="0"/>
            </w:tcBorders>
            <w:vAlign w:val="center"/>
          </w:tcPr>
          <w:p w14:paraId="689D9CD9">
            <w:pPr>
              <w:spacing w:line="440" w:lineRule="exact"/>
              <w:rPr>
                <w:rFonts w:hint="eastAsia" w:ascii="宋体" w:hAnsi="宋体"/>
                <w:bCs/>
                <w:spacing w:val="-4"/>
                <w:sz w:val="22"/>
                <w:szCs w:val="22"/>
                <w:highlight w:val="none"/>
              </w:rPr>
            </w:pPr>
          </w:p>
        </w:tc>
      </w:tr>
      <w:tr w14:paraId="3946A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14B9474">
            <w:pPr>
              <w:spacing w:line="440" w:lineRule="exact"/>
              <w:jc w:val="center"/>
              <w:rPr>
                <w:rFonts w:hint="eastAsia" w:ascii="宋体" w:hAnsi="宋体"/>
                <w:sz w:val="22"/>
                <w:szCs w:val="22"/>
                <w:highlight w:val="none"/>
              </w:rPr>
            </w:pPr>
            <w:r>
              <w:rPr>
                <w:rFonts w:hint="eastAsia" w:ascii="宋体" w:hAnsi="宋体"/>
                <w:sz w:val="22"/>
                <w:szCs w:val="22"/>
                <w:highlight w:val="none"/>
              </w:rPr>
              <w:t>1</w:t>
            </w:r>
            <w:r>
              <w:rPr>
                <w:rFonts w:ascii="宋体" w:hAnsi="宋体"/>
                <w:sz w:val="22"/>
                <w:szCs w:val="22"/>
                <w:highlight w:val="none"/>
              </w:rPr>
              <w:t>2</w:t>
            </w:r>
          </w:p>
        </w:tc>
        <w:tc>
          <w:tcPr>
            <w:tcW w:w="2587" w:type="dxa"/>
            <w:tcBorders>
              <w:top w:val="single" w:color="auto" w:sz="4" w:space="0"/>
              <w:left w:val="single" w:color="auto" w:sz="4" w:space="0"/>
              <w:bottom w:val="single" w:color="auto" w:sz="4" w:space="0"/>
              <w:right w:val="single" w:color="auto" w:sz="4" w:space="0"/>
            </w:tcBorders>
            <w:vAlign w:val="center"/>
          </w:tcPr>
          <w:p w14:paraId="5121A7FC">
            <w:pPr>
              <w:jc w:val="center"/>
              <w:rPr>
                <w:rFonts w:hint="eastAsia" w:ascii="宋体" w:hAnsi="宋体"/>
                <w:bCs/>
                <w:sz w:val="22"/>
                <w:szCs w:val="22"/>
                <w:highlight w:val="none"/>
              </w:rPr>
            </w:pPr>
            <w:r>
              <w:rPr>
                <w:rFonts w:hint="eastAsia" w:ascii="宋体" w:hAnsi="宋体"/>
                <w:bCs/>
                <w:sz w:val="22"/>
                <w:szCs w:val="22"/>
                <w:highlight w:val="none"/>
              </w:rPr>
              <w:t>开票信息</w:t>
            </w:r>
          </w:p>
          <w:p w14:paraId="77517841">
            <w:pPr>
              <w:jc w:val="center"/>
              <w:rPr>
                <w:rFonts w:hint="eastAsia" w:ascii="宋体" w:hAnsi="宋体"/>
                <w:bCs/>
                <w:sz w:val="22"/>
                <w:szCs w:val="22"/>
                <w:highlight w:val="none"/>
              </w:rPr>
            </w:pPr>
            <w:r>
              <w:rPr>
                <w:rFonts w:hint="eastAsia" w:ascii="宋体" w:hAnsi="宋体"/>
                <w:bCs/>
                <w:sz w:val="22"/>
                <w:szCs w:val="22"/>
                <w:highlight w:val="none"/>
              </w:rPr>
              <w:t>（增值税）</w:t>
            </w:r>
          </w:p>
        </w:tc>
        <w:tc>
          <w:tcPr>
            <w:tcW w:w="6413" w:type="dxa"/>
            <w:tcBorders>
              <w:top w:val="single" w:color="auto" w:sz="4" w:space="0"/>
              <w:left w:val="single" w:color="auto" w:sz="4" w:space="0"/>
              <w:bottom w:val="single" w:color="auto" w:sz="4" w:space="0"/>
              <w:right w:val="single" w:color="auto" w:sz="4" w:space="0"/>
            </w:tcBorders>
            <w:vAlign w:val="center"/>
          </w:tcPr>
          <w:p w14:paraId="43267DEF">
            <w:pPr>
              <w:spacing w:line="440" w:lineRule="exact"/>
              <w:rPr>
                <w:rFonts w:hint="eastAsia" w:ascii="宋体" w:hAnsi="宋体"/>
                <w:bCs/>
                <w:spacing w:val="-4"/>
                <w:sz w:val="22"/>
                <w:szCs w:val="22"/>
                <w:highlight w:val="none"/>
              </w:rPr>
            </w:pPr>
          </w:p>
        </w:tc>
      </w:tr>
    </w:tbl>
    <w:p w14:paraId="4AAD2DD7">
      <w:pPr>
        <w:spacing w:line="460" w:lineRule="exact"/>
        <w:ind w:left="216"/>
        <w:rPr>
          <w:rFonts w:hint="eastAsia" w:ascii="宋体" w:hAnsi="宋体"/>
          <w:b/>
          <w:bCs/>
          <w:sz w:val="22"/>
          <w:szCs w:val="22"/>
          <w:highlight w:val="none"/>
        </w:rPr>
      </w:pPr>
      <w:r>
        <w:rPr>
          <w:rFonts w:hint="eastAsia" w:ascii="宋体" w:hAnsi="宋体"/>
          <w:b/>
          <w:bCs/>
          <w:sz w:val="22"/>
          <w:szCs w:val="22"/>
          <w:highlight w:val="none"/>
        </w:rPr>
        <w:t>特此承诺：上表中的联系方式将作为我方参加此次政府采购活动的联系方式，其他方式均不作为送达方式。</w:t>
      </w:r>
    </w:p>
    <w:p w14:paraId="52550668">
      <w:pPr>
        <w:spacing w:line="460" w:lineRule="exact"/>
        <w:ind w:left="216" w:hanging="216" w:hangingChars="98"/>
        <w:rPr>
          <w:rFonts w:hint="eastAsia" w:ascii="宋体" w:hAnsi="宋体"/>
          <w:b/>
          <w:bCs/>
          <w:sz w:val="22"/>
          <w:szCs w:val="22"/>
          <w:highlight w:val="none"/>
        </w:rPr>
      </w:pPr>
    </w:p>
    <w:p w14:paraId="58D3F479">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cs="Courier New"/>
          <w:bCs/>
          <w:sz w:val="22"/>
          <w:szCs w:val="22"/>
          <w:highlight w:val="none"/>
        </w:rPr>
        <w:t>投标人全称（盖章）：</w:t>
      </w:r>
    </w:p>
    <w:p w14:paraId="771BB29D">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单位负责人或授权代表（签字或盖章）：</w:t>
      </w:r>
    </w:p>
    <w:p w14:paraId="24FDE539">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日          期：  年  月  日</w:t>
      </w:r>
    </w:p>
    <w:p w14:paraId="7F07B56F">
      <w:pPr>
        <w:spacing w:line="460" w:lineRule="exact"/>
        <w:rPr>
          <w:rFonts w:hint="eastAsia" w:ascii="宋体" w:hAnsi="宋体" w:cs="Courier New"/>
          <w:b/>
          <w:bCs/>
          <w:sz w:val="30"/>
          <w:szCs w:val="30"/>
          <w:highlight w:val="none"/>
        </w:rPr>
      </w:pPr>
      <w:r>
        <w:rPr>
          <w:rFonts w:ascii="宋体" w:hAnsi="宋体"/>
          <w:b/>
          <w:sz w:val="22"/>
          <w:szCs w:val="22"/>
          <w:highlight w:val="none"/>
        </w:rPr>
        <w:br w:type="page"/>
      </w:r>
      <w:r>
        <w:rPr>
          <w:rFonts w:ascii="宋体" w:hAnsi="宋体"/>
          <w:b/>
          <w:bCs/>
          <w:sz w:val="22"/>
          <w:szCs w:val="22"/>
          <w:highlight w:val="none"/>
        </w:rPr>
        <w:t xml:space="preserve"> </w:t>
      </w:r>
      <w:bookmarkStart w:id="231" w:name="_Toc217460694"/>
      <w:bookmarkStart w:id="232" w:name="_Toc227057042"/>
      <w:bookmarkStart w:id="233" w:name="_Toc223933230"/>
      <w:bookmarkStart w:id="234" w:name="_Toc223717613"/>
      <w:bookmarkStart w:id="235" w:name="_Toc219538622"/>
      <w:bookmarkStart w:id="236" w:name="_Toc215415539"/>
      <w:bookmarkStart w:id="237" w:name="_Toc216667829"/>
      <w:bookmarkStart w:id="238" w:name="_Toc227489896"/>
      <w:bookmarkStart w:id="239" w:name="_Toc218041735"/>
      <w:bookmarkStart w:id="240" w:name="_Toc227056855"/>
    </w:p>
    <w:p w14:paraId="73944494">
      <w:pPr>
        <w:spacing w:line="460" w:lineRule="exact"/>
        <w:jc w:val="center"/>
        <w:rPr>
          <w:rFonts w:hint="eastAsia" w:ascii="宋体" w:hAnsi="宋体"/>
          <w:b/>
          <w:bCs/>
          <w:sz w:val="30"/>
          <w:szCs w:val="30"/>
          <w:highlight w:val="none"/>
        </w:rPr>
      </w:pPr>
      <w:r>
        <w:rPr>
          <w:rFonts w:hint="eastAsia" w:ascii="宋体" w:hAnsi="宋体"/>
          <w:b/>
          <w:bCs/>
          <w:sz w:val="30"/>
          <w:szCs w:val="30"/>
          <w:highlight w:val="none"/>
        </w:rPr>
        <w:t>四、采购需求偏离表</w:t>
      </w:r>
    </w:p>
    <w:p w14:paraId="2B85EA06">
      <w:pPr>
        <w:spacing w:line="460" w:lineRule="exact"/>
        <w:ind w:firstLine="352" w:firstLineChars="147"/>
        <w:rPr>
          <w:rFonts w:hint="eastAsia" w:ascii="宋体" w:hAnsi="宋体"/>
          <w:sz w:val="22"/>
          <w:szCs w:val="22"/>
          <w:highlight w:val="none"/>
        </w:rPr>
      </w:pPr>
      <w:r>
        <w:rPr>
          <w:rFonts w:hint="eastAsia" w:ascii="宋体" w:hAnsi="宋体"/>
          <w:sz w:val="24"/>
          <w:highlight w:val="none"/>
        </w:rPr>
        <w:t xml:space="preserve">   </w:t>
      </w:r>
      <w:r>
        <w:rPr>
          <w:rFonts w:hint="eastAsia" w:ascii="宋体" w:hAnsi="宋体"/>
          <w:sz w:val="22"/>
          <w:szCs w:val="22"/>
          <w:highlight w:val="none"/>
        </w:rPr>
        <w:t>项目名称：                                      项目编号：</w:t>
      </w:r>
    </w:p>
    <w:tbl>
      <w:tblPr>
        <w:tblStyle w:val="35"/>
        <w:tblW w:w="9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268"/>
        <w:gridCol w:w="1985"/>
        <w:gridCol w:w="2268"/>
        <w:gridCol w:w="2340"/>
      </w:tblGrid>
      <w:tr w14:paraId="5794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04" w:type="dxa"/>
            <w:shd w:val="clear" w:color="auto" w:fill="FFFFFF"/>
            <w:vAlign w:val="center"/>
          </w:tcPr>
          <w:p w14:paraId="174600C3">
            <w:pPr>
              <w:jc w:val="center"/>
              <w:rPr>
                <w:rFonts w:hint="eastAsia" w:ascii="宋体" w:hAnsi="宋体"/>
                <w:sz w:val="22"/>
                <w:szCs w:val="22"/>
                <w:highlight w:val="none"/>
              </w:rPr>
            </w:pPr>
            <w:r>
              <w:rPr>
                <w:rFonts w:hint="eastAsia" w:ascii="宋体" w:hAnsi="宋体"/>
                <w:sz w:val="22"/>
                <w:szCs w:val="22"/>
                <w:highlight w:val="none"/>
              </w:rPr>
              <w:t>序号</w:t>
            </w:r>
          </w:p>
        </w:tc>
        <w:tc>
          <w:tcPr>
            <w:tcW w:w="2268" w:type="dxa"/>
            <w:shd w:val="clear" w:color="auto" w:fill="FFFFFF"/>
            <w:vAlign w:val="center"/>
          </w:tcPr>
          <w:p w14:paraId="73B3BBDE">
            <w:pPr>
              <w:jc w:val="center"/>
              <w:rPr>
                <w:rFonts w:hint="eastAsia" w:ascii="宋体" w:hAnsi="宋体"/>
                <w:sz w:val="22"/>
                <w:szCs w:val="22"/>
                <w:highlight w:val="none"/>
              </w:rPr>
            </w:pPr>
            <w:r>
              <w:rPr>
                <w:rFonts w:hint="eastAsia" w:ascii="宋体" w:hAnsi="宋体"/>
                <w:sz w:val="22"/>
                <w:szCs w:val="22"/>
                <w:highlight w:val="none"/>
              </w:rPr>
              <w:t>招标文件</w:t>
            </w:r>
          </w:p>
          <w:p w14:paraId="133C6EB5">
            <w:pPr>
              <w:jc w:val="center"/>
              <w:rPr>
                <w:rFonts w:hint="eastAsia" w:ascii="宋体" w:hAnsi="宋体"/>
                <w:sz w:val="22"/>
                <w:szCs w:val="22"/>
                <w:highlight w:val="none"/>
              </w:rPr>
            </w:pPr>
            <w:r>
              <w:rPr>
                <w:rFonts w:hint="eastAsia" w:ascii="宋体" w:hAnsi="宋体"/>
                <w:sz w:val="22"/>
                <w:szCs w:val="22"/>
                <w:highlight w:val="none"/>
              </w:rPr>
              <w:t>规定要求</w:t>
            </w:r>
          </w:p>
        </w:tc>
        <w:tc>
          <w:tcPr>
            <w:tcW w:w="1985" w:type="dxa"/>
            <w:shd w:val="clear" w:color="auto" w:fill="FFFFFF"/>
            <w:vAlign w:val="center"/>
          </w:tcPr>
          <w:p w14:paraId="3CC5395D">
            <w:pPr>
              <w:jc w:val="center"/>
              <w:rPr>
                <w:rFonts w:hint="eastAsia" w:ascii="宋体" w:hAnsi="宋体"/>
                <w:sz w:val="22"/>
                <w:szCs w:val="22"/>
                <w:highlight w:val="none"/>
              </w:rPr>
            </w:pPr>
            <w:r>
              <w:rPr>
                <w:rFonts w:hint="eastAsia" w:ascii="宋体" w:hAnsi="宋体"/>
                <w:sz w:val="22"/>
                <w:szCs w:val="22"/>
                <w:highlight w:val="none"/>
              </w:rPr>
              <w:t>投标文件</w:t>
            </w:r>
          </w:p>
          <w:p w14:paraId="162318D6">
            <w:pPr>
              <w:jc w:val="center"/>
              <w:rPr>
                <w:rFonts w:hint="eastAsia" w:ascii="宋体" w:hAnsi="宋体"/>
                <w:sz w:val="22"/>
                <w:szCs w:val="22"/>
                <w:highlight w:val="none"/>
              </w:rPr>
            </w:pPr>
            <w:r>
              <w:rPr>
                <w:rFonts w:hint="eastAsia" w:ascii="宋体" w:hAnsi="宋体"/>
                <w:sz w:val="22"/>
                <w:szCs w:val="22"/>
                <w:highlight w:val="none"/>
              </w:rPr>
              <w:t>对应条款</w:t>
            </w:r>
          </w:p>
        </w:tc>
        <w:tc>
          <w:tcPr>
            <w:tcW w:w="2268" w:type="dxa"/>
            <w:shd w:val="clear" w:color="auto" w:fill="FFFFFF"/>
            <w:vAlign w:val="center"/>
          </w:tcPr>
          <w:p w14:paraId="2A197CCE">
            <w:pPr>
              <w:jc w:val="center"/>
              <w:rPr>
                <w:rFonts w:hint="eastAsia" w:ascii="宋体" w:hAnsi="宋体"/>
                <w:sz w:val="22"/>
                <w:szCs w:val="22"/>
                <w:highlight w:val="none"/>
              </w:rPr>
            </w:pPr>
            <w:r>
              <w:rPr>
                <w:rFonts w:hint="eastAsia" w:ascii="宋体" w:hAnsi="宋体"/>
                <w:sz w:val="22"/>
                <w:szCs w:val="22"/>
                <w:highlight w:val="none"/>
              </w:rPr>
              <w:t>偏离说明</w:t>
            </w:r>
          </w:p>
        </w:tc>
        <w:tc>
          <w:tcPr>
            <w:tcW w:w="2340" w:type="dxa"/>
            <w:shd w:val="clear" w:color="auto" w:fill="FFFFFF"/>
            <w:vAlign w:val="center"/>
          </w:tcPr>
          <w:p w14:paraId="5A3872EB">
            <w:pPr>
              <w:jc w:val="center"/>
              <w:rPr>
                <w:rFonts w:hint="eastAsia" w:ascii="宋体" w:hAnsi="宋体"/>
                <w:sz w:val="22"/>
                <w:szCs w:val="22"/>
                <w:highlight w:val="none"/>
              </w:rPr>
            </w:pPr>
            <w:r>
              <w:rPr>
                <w:rFonts w:hint="eastAsia" w:ascii="宋体" w:hAnsi="宋体"/>
                <w:sz w:val="22"/>
                <w:szCs w:val="22"/>
                <w:highlight w:val="none"/>
              </w:rPr>
              <w:t>偏离情况</w:t>
            </w:r>
          </w:p>
          <w:p w14:paraId="187D2DB6">
            <w:pPr>
              <w:jc w:val="center"/>
              <w:rPr>
                <w:rFonts w:hint="eastAsia" w:ascii="宋体" w:hAnsi="宋体"/>
                <w:sz w:val="22"/>
                <w:szCs w:val="22"/>
                <w:highlight w:val="none"/>
              </w:rPr>
            </w:pPr>
            <w:r>
              <w:rPr>
                <w:rFonts w:hint="eastAsia" w:ascii="宋体" w:hAnsi="宋体"/>
                <w:sz w:val="22"/>
                <w:szCs w:val="22"/>
                <w:highlight w:val="none"/>
              </w:rPr>
              <w:t>（</w:t>
            </w:r>
            <w:r>
              <w:rPr>
                <w:rFonts w:hint="eastAsia" w:ascii="宋体" w:hAnsi="宋体"/>
                <w:b/>
                <w:sz w:val="22"/>
                <w:szCs w:val="22"/>
                <w:highlight w:val="none"/>
              </w:rPr>
              <w:t>填写负偏离或无偏离</w:t>
            </w:r>
            <w:r>
              <w:rPr>
                <w:rFonts w:hint="eastAsia" w:ascii="宋体" w:hAnsi="宋体"/>
                <w:sz w:val="22"/>
                <w:szCs w:val="22"/>
                <w:highlight w:val="none"/>
              </w:rPr>
              <w:t>）</w:t>
            </w:r>
          </w:p>
        </w:tc>
      </w:tr>
      <w:tr w14:paraId="0D2F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7836C990">
            <w:pPr>
              <w:jc w:val="center"/>
              <w:rPr>
                <w:rFonts w:hint="eastAsia" w:ascii="宋体" w:hAnsi="宋体"/>
                <w:sz w:val="22"/>
                <w:szCs w:val="22"/>
                <w:highlight w:val="none"/>
              </w:rPr>
            </w:pPr>
          </w:p>
        </w:tc>
        <w:tc>
          <w:tcPr>
            <w:tcW w:w="2268" w:type="dxa"/>
            <w:vAlign w:val="center"/>
          </w:tcPr>
          <w:p w14:paraId="079F5937">
            <w:pPr>
              <w:jc w:val="center"/>
              <w:rPr>
                <w:rFonts w:hint="eastAsia" w:ascii="宋体" w:hAnsi="宋体"/>
                <w:sz w:val="22"/>
                <w:szCs w:val="22"/>
                <w:highlight w:val="none"/>
              </w:rPr>
            </w:pPr>
          </w:p>
        </w:tc>
        <w:tc>
          <w:tcPr>
            <w:tcW w:w="1985" w:type="dxa"/>
            <w:vAlign w:val="center"/>
          </w:tcPr>
          <w:p w14:paraId="56BFB920">
            <w:pPr>
              <w:jc w:val="center"/>
              <w:rPr>
                <w:rFonts w:hint="eastAsia" w:ascii="宋体" w:hAnsi="宋体"/>
                <w:sz w:val="22"/>
                <w:szCs w:val="22"/>
                <w:highlight w:val="none"/>
              </w:rPr>
            </w:pPr>
          </w:p>
        </w:tc>
        <w:tc>
          <w:tcPr>
            <w:tcW w:w="2268" w:type="dxa"/>
            <w:vAlign w:val="center"/>
          </w:tcPr>
          <w:p w14:paraId="75796244">
            <w:pPr>
              <w:jc w:val="center"/>
              <w:rPr>
                <w:rFonts w:hint="eastAsia" w:ascii="宋体" w:hAnsi="宋体"/>
                <w:sz w:val="22"/>
                <w:szCs w:val="22"/>
                <w:highlight w:val="none"/>
              </w:rPr>
            </w:pPr>
          </w:p>
        </w:tc>
        <w:tc>
          <w:tcPr>
            <w:tcW w:w="2340" w:type="dxa"/>
            <w:vAlign w:val="center"/>
          </w:tcPr>
          <w:p w14:paraId="2F1621F0">
            <w:pPr>
              <w:jc w:val="center"/>
              <w:rPr>
                <w:rFonts w:hint="eastAsia" w:ascii="宋体" w:hAnsi="宋体"/>
                <w:sz w:val="22"/>
                <w:szCs w:val="22"/>
                <w:highlight w:val="none"/>
              </w:rPr>
            </w:pPr>
          </w:p>
        </w:tc>
      </w:tr>
      <w:tr w14:paraId="17B7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389854F6">
            <w:pPr>
              <w:jc w:val="center"/>
              <w:rPr>
                <w:rFonts w:hint="eastAsia" w:ascii="宋体" w:hAnsi="宋体"/>
                <w:sz w:val="22"/>
                <w:szCs w:val="22"/>
                <w:highlight w:val="none"/>
              </w:rPr>
            </w:pPr>
          </w:p>
        </w:tc>
        <w:tc>
          <w:tcPr>
            <w:tcW w:w="2268" w:type="dxa"/>
            <w:vAlign w:val="center"/>
          </w:tcPr>
          <w:p w14:paraId="67738ABD">
            <w:pPr>
              <w:jc w:val="center"/>
              <w:rPr>
                <w:rFonts w:hint="eastAsia" w:ascii="宋体" w:hAnsi="宋体"/>
                <w:sz w:val="22"/>
                <w:szCs w:val="22"/>
                <w:highlight w:val="none"/>
              </w:rPr>
            </w:pPr>
          </w:p>
        </w:tc>
        <w:tc>
          <w:tcPr>
            <w:tcW w:w="1985" w:type="dxa"/>
            <w:vAlign w:val="center"/>
          </w:tcPr>
          <w:p w14:paraId="22037B55">
            <w:pPr>
              <w:jc w:val="center"/>
              <w:rPr>
                <w:rFonts w:hint="eastAsia" w:ascii="宋体" w:hAnsi="宋体"/>
                <w:sz w:val="22"/>
                <w:szCs w:val="22"/>
                <w:highlight w:val="none"/>
              </w:rPr>
            </w:pPr>
          </w:p>
        </w:tc>
        <w:tc>
          <w:tcPr>
            <w:tcW w:w="2268" w:type="dxa"/>
            <w:vAlign w:val="center"/>
          </w:tcPr>
          <w:p w14:paraId="6CEBEC66">
            <w:pPr>
              <w:jc w:val="center"/>
              <w:rPr>
                <w:rFonts w:hint="eastAsia" w:ascii="宋体" w:hAnsi="宋体"/>
                <w:sz w:val="22"/>
                <w:szCs w:val="22"/>
                <w:highlight w:val="none"/>
              </w:rPr>
            </w:pPr>
          </w:p>
        </w:tc>
        <w:tc>
          <w:tcPr>
            <w:tcW w:w="2340" w:type="dxa"/>
            <w:vAlign w:val="center"/>
          </w:tcPr>
          <w:p w14:paraId="2A49A2EA">
            <w:pPr>
              <w:jc w:val="center"/>
              <w:rPr>
                <w:rFonts w:hint="eastAsia" w:ascii="宋体" w:hAnsi="宋体"/>
                <w:sz w:val="22"/>
                <w:szCs w:val="22"/>
                <w:highlight w:val="none"/>
              </w:rPr>
            </w:pPr>
          </w:p>
        </w:tc>
      </w:tr>
      <w:tr w14:paraId="27CDE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37215A2A">
            <w:pPr>
              <w:jc w:val="center"/>
              <w:rPr>
                <w:rFonts w:hint="eastAsia" w:ascii="宋体" w:hAnsi="宋体"/>
                <w:sz w:val="22"/>
                <w:szCs w:val="22"/>
                <w:highlight w:val="none"/>
              </w:rPr>
            </w:pPr>
          </w:p>
        </w:tc>
        <w:tc>
          <w:tcPr>
            <w:tcW w:w="2268" w:type="dxa"/>
            <w:vAlign w:val="center"/>
          </w:tcPr>
          <w:p w14:paraId="125C6532">
            <w:pPr>
              <w:jc w:val="center"/>
              <w:rPr>
                <w:rFonts w:hint="eastAsia" w:ascii="宋体" w:hAnsi="宋体"/>
                <w:sz w:val="22"/>
                <w:szCs w:val="22"/>
                <w:highlight w:val="none"/>
              </w:rPr>
            </w:pPr>
          </w:p>
        </w:tc>
        <w:tc>
          <w:tcPr>
            <w:tcW w:w="1985" w:type="dxa"/>
            <w:vAlign w:val="center"/>
          </w:tcPr>
          <w:p w14:paraId="6BEAEFD9">
            <w:pPr>
              <w:jc w:val="center"/>
              <w:rPr>
                <w:rFonts w:hint="eastAsia" w:ascii="宋体" w:hAnsi="宋体"/>
                <w:sz w:val="22"/>
                <w:szCs w:val="22"/>
                <w:highlight w:val="none"/>
              </w:rPr>
            </w:pPr>
          </w:p>
        </w:tc>
        <w:tc>
          <w:tcPr>
            <w:tcW w:w="2268" w:type="dxa"/>
            <w:vAlign w:val="center"/>
          </w:tcPr>
          <w:p w14:paraId="22CBAFA2">
            <w:pPr>
              <w:jc w:val="center"/>
              <w:rPr>
                <w:rFonts w:hint="eastAsia" w:ascii="宋体" w:hAnsi="宋体"/>
                <w:sz w:val="22"/>
                <w:szCs w:val="22"/>
                <w:highlight w:val="none"/>
              </w:rPr>
            </w:pPr>
          </w:p>
        </w:tc>
        <w:tc>
          <w:tcPr>
            <w:tcW w:w="2340" w:type="dxa"/>
            <w:vAlign w:val="center"/>
          </w:tcPr>
          <w:p w14:paraId="6582166D">
            <w:pPr>
              <w:jc w:val="center"/>
              <w:rPr>
                <w:rFonts w:hint="eastAsia" w:ascii="宋体" w:hAnsi="宋体"/>
                <w:sz w:val="22"/>
                <w:szCs w:val="22"/>
                <w:highlight w:val="none"/>
              </w:rPr>
            </w:pPr>
          </w:p>
        </w:tc>
      </w:tr>
      <w:tr w14:paraId="5E40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281899F4">
            <w:pPr>
              <w:jc w:val="center"/>
              <w:rPr>
                <w:rFonts w:hint="eastAsia" w:ascii="宋体" w:hAnsi="宋体"/>
                <w:sz w:val="22"/>
                <w:szCs w:val="22"/>
                <w:highlight w:val="none"/>
              </w:rPr>
            </w:pPr>
          </w:p>
        </w:tc>
        <w:tc>
          <w:tcPr>
            <w:tcW w:w="2268" w:type="dxa"/>
            <w:vAlign w:val="center"/>
          </w:tcPr>
          <w:p w14:paraId="4F674968">
            <w:pPr>
              <w:jc w:val="center"/>
              <w:rPr>
                <w:rFonts w:hint="eastAsia" w:ascii="宋体" w:hAnsi="宋体"/>
                <w:sz w:val="22"/>
                <w:szCs w:val="22"/>
                <w:highlight w:val="none"/>
              </w:rPr>
            </w:pPr>
          </w:p>
        </w:tc>
        <w:tc>
          <w:tcPr>
            <w:tcW w:w="1985" w:type="dxa"/>
            <w:vAlign w:val="center"/>
          </w:tcPr>
          <w:p w14:paraId="3A08F858">
            <w:pPr>
              <w:jc w:val="center"/>
              <w:rPr>
                <w:rFonts w:hint="eastAsia" w:ascii="宋体" w:hAnsi="宋体"/>
                <w:sz w:val="22"/>
                <w:szCs w:val="22"/>
                <w:highlight w:val="none"/>
              </w:rPr>
            </w:pPr>
          </w:p>
        </w:tc>
        <w:tc>
          <w:tcPr>
            <w:tcW w:w="2268" w:type="dxa"/>
            <w:vAlign w:val="center"/>
          </w:tcPr>
          <w:p w14:paraId="248FFF77">
            <w:pPr>
              <w:jc w:val="center"/>
              <w:rPr>
                <w:rFonts w:hint="eastAsia" w:ascii="宋体" w:hAnsi="宋体"/>
                <w:sz w:val="22"/>
                <w:szCs w:val="22"/>
                <w:highlight w:val="none"/>
              </w:rPr>
            </w:pPr>
          </w:p>
        </w:tc>
        <w:tc>
          <w:tcPr>
            <w:tcW w:w="2340" w:type="dxa"/>
            <w:vAlign w:val="center"/>
          </w:tcPr>
          <w:p w14:paraId="7BDBBC87">
            <w:pPr>
              <w:jc w:val="center"/>
              <w:rPr>
                <w:rFonts w:hint="eastAsia" w:ascii="宋体" w:hAnsi="宋体"/>
                <w:sz w:val="22"/>
                <w:szCs w:val="22"/>
                <w:highlight w:val="none"/>
              </w:rPr>
            </w:pPr>
          </w:p>
        </w:tc>
      </w:tr>
      <w:tr w14:paraId="53C23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49E29D60">
            <w:pPr>
              <w:jc w:val="center"/>
              <w:rPr>
                <w:rFonts w:hint="eastAsia" w:ascii="宋体" w:hAnsi="宋体"/>
                <w:sz w:val="22"/>
                <w:szCs w:val="22"/>
                <w:highlight w:val="none"/>
              </w:rPr>
            </w:pPr>
          </w:p>
        </w:tc>
        <w:tc>
          <w:tcPr>
            <w:tcW w:w="2268" w:type="dxa"/>
            <w:vAlign w:val="center"/>
          </w:tcPr>
          <w:p w14:paraId="632D7E2B">
            <w:pPr>
              <w:jc w:val="center"/>
              <w:rPr>
                <w:rFonts w:hint="eastAsia" w:ascii="宋体" w:hAnsi="宋体"/>
                <w:sz w:val="22"/>
                <w:szCs w:val="22"/>
                <w:highlight w:val="none"/>
              </w:rPr>
            </w:pPr>
          </w:p>
        </w:tc>
        <w:tc>
          <w:tcPr>
            <w:tcW w:w="1985" w:type="dxa"/>
            <w:vAlign w:val="center"/>
          </w:tcPr>
          <w:p w14:paraId="4FA829B7">
            <w:pPr>
              <w:jc w:val="center"/>
              <w:rPr>
                <w:rFonts w:hint="eastAsia" w:ascii="宋体" w:hAnsi="宋体"/>
                <w:sz w:val="22"/>
                <w:szCs w:val="22"/>
                <w:highlight w:val="none"/>
              </w:rPr>
            </w:pPr>
          </w:p>
        </w:tc>
        <w:tc>
          <w:tcPr>
            <w:tcW w:w="2268" w:type="dxa"/>
            <w:vAlign w:val="center"/>
          </w:tcPr>
          <w:p w14:paraId="00EF89FC">
            <w:pPr>
              <w:jc w:val="center"/>
              <w:rPr>
                <w:rFonts w:hint="eastAsia" w:ascii="宋体" w:hAnsi="宋体"/>
                <w:sz w:val="22"/>
                <w:szCs w:val="22"/>
                <w:highlight w:val="none"/>
              </w:rPr>
            </w:pPr>
          </w:p>
        </w:tc>
        <w:tc>
          <w:tcPr>
            <w:tcW w:w="2340" w:type="dxa"/>
            <w:vAlign w:val="center"/>
          </w:tcPr>
          <w:p w14:paraId="5007CF90">
            <w:pPr>
              <w:jc w:val="center"/>
              <w:rPr>
                <w:rFonts w:hint="eastAsia" w:ascii="宋体" w:hAnsi="宋体"/>
                <w:sz w:val="22"/>
                <w:szCs w:val="22"/>
                <w:highlight w:val="none"/>
              </w:rPr>
            </w:pPr>
          </w:p>
        </w:tc>
      </w:tr>
      <w:tr w14:paraId="1FD7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704" w:type="dxa"/>
          </w:tcPr>
          <w:p w14:paraId="17314D42">
            <w:pPr>
              <w:jc w:val="center"/>
              <w:rPr>
                <w:rFonts w:hint="eastAsia" w:ascii="宋体" w:hAnsi="宋体"/>
                <w:sz w:val="22"/>
                <w:szCs w:val="22"/>
                <w:highlight w:val="none"/>
              </w:rPr>
            </w:pPr>
          </w:p>
        </w:tc>
        <w:tc>
          <w:tcPr>
            <w:tcW w:w="2268" w:type="dxa"/>
            <w:vAlign w:val="center"/>
          </w:tcPr>
          <w:p w14:paraId="3DFCE426">
            <w:pPr>
              <w:jc w:val="center"/>
              <w:rPr>
                <w:rFonts w:hint="eastAsia" w:ascii="宋体" w:hAnsi="宋体"/>
                <w:sz w:val="22"/>
                <w:szCs w:val="22"/>
                <w:highlight w:val="none"/>
              </w:rPr>
            </w:pPr>
          </w:p>
        </w:tc>
        <w:tc>
          <w:tcPr>
            <w:tcW w:w="1985" w:type="dxa"/>
            <w:vAlign w:val="center"/>
          </w:tcPr>
          <w:p w14:paraId="1165A2B6">
            <w:pPr>
              <w:jc w:val="center"/>
              <w:rPr>
                <w:rFonts w:hint="eastAsia" w:ascii="宋体" w:hAnsi="宋体"/>
                <w:sz w:val="22"/>
                <w:szCs w:val="22"/>
                <w:highlight w:val="none"/>
              </w:rPr>
            </w:pPr>
          </w:p>
        </w:tc>
        <w:tc>
          <w:tcPr>
            <w:tcW w:w="2268" w:type="dxa"/>
            <w:vAlign w:val="center"/>
          </w:tcPr>
          <w:p w14:paraId="5522C6DD">
            <w:pPr>
              <w:jc w:val="center"/>
              <w:rPr>
                <w:rFonts w:hint="eastAsia" w:ascii="宋体" w:hAnsi="宋体"/>
                <w:sz w:val="22"/>
                <w:szCs w:val="22"/>
                <w:highlight w:val="none"/>
              </w:rPr>
            </w:pPr>
          </w:p>
        </w:tc>
        <w:tc>
          <w:tcPr>
            <w:tcW w:w="2340" w:type="dxa"/>
            <w:vAlign w:val="center"/>
          </w:tcPr>
          <w:p w14:paraId="290AEB55">
            <w:pPr>
              <w:jc w:val="center"/>
              <w:rPr>
                <w:rFonts w:hint="eastAsia" w:ascii="宋体" w:hAnsi="宋体"/>
                <w:sz w:val="22"/>
                <w:szCs w:val="22"/>
                <w:highlight w:val="none"/>
              </w:rPr>
            </w:pPr>
          </w:p>
        </w:tc>
      </w:tr>
    </w:tbl>
    <w:p w14:paraId="51F9B131">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说明：</w:t>
      </w:r>
    </w:p>
    <w:p w14:paraId="43F898F8">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1.如不填写，则视为完全响应招标文件。</w:t>
      </w:r>
    </w:p>
    <w:p w14:paraId="0B90F757">
      <w:pPr>
        <w:spacing w:line="400" w:lineRule="exact"/>
        <w:ind w:left="221" w:hanging="221" w:hangingChars="100"/>
        <w:rPr>
          <w:rFonts w:hint="eastAsia" w:ascii="宋体" w:hAnsi="宋体"/>
          <w:b/>
          <w:sz w:val="22"/>
          <w:szCs w:val="22"/>
          <w:highlight w:val="none"/>
        </w:rPr>
      </w:pPr>
      <w:r>
        <w:rPr>
          <w:rFonts w:hint="eastAsia" w:ascii="宋体" w:hAnsi="宋体"/>
          <w:b/>
          <w:sz w:val="22"/>
          <w:szCs w:val="22"/>
          <w:highlight w:val="none"/>
        </w:rPr>
        <w:t>2.如出现偏离，投标人务必如实填写此表，“投标文件对应条款”栏不得复制粘贴，所投内容必须对照招标文件要求详细填写说明，否则存在的风险由投标人自行承担。</w:t>
      </w:r>
    </w:p>
    <w:p w14:paraId="2A60CB4F">
      <w:pPr>
        <w:spacing w:line="400" w:lineRule="exact"/>
        <w:ind w:left="221" w:hanging="221" w:hangingChars="100"/>
        <w:rPr>
          <w:rFonts w:hint="eastAsia" w:ascii="宋体" w:hAnsi="宋体"/>
          <w:b/>
          <w:sz w:val="22"/>
          <w:szCs w:val="22"/>
          <w:highlight w:val="none"/>
        </w:rPr>
      </w:pPr>
      <w:r>
        <w:rPr>
          <w:rFonts w:ascii="宋体" w:hAnsi="宋体"/>
          <w:b/>
          <w:sz w:val="22"/>
          <w:szCs w:val="22"/>
          <w:highlight w:val="none"/>
        </w:rPr>
        <w:t>3.</w:t>
      </w:r>
      <w:r>
        <w:rPr>
          <w:rFonts w:hint="eastAsia" w:ascii="宋体" w:hAnsi="宋体"/>
          <w:b/>
          <w:sz w:val="22"/>
          <w:szCs w:val="22"/>
          <w:highlight w:val="none"/>
        </w:rPr>
        <w:t>偏离说明是指对招标文件要求存在不同之处的解释说明。偏离系指：负偏离（低于采购需求）、无偏离（满足采购需求）。</w:t>
      </w:r>
    </w:p>
    <w:p w14:paraId="5775428F">
      <w:pPr>
        <w:pStyle w:val="3"/>
        <w:rPr>
          <w:rFonts w:hint="eastAsia" w:ascii="宋体" w:hAnsi="宋体" w:eastAsia="宋体"/>
          <w:highlight w:val="none"/>
        </w:rPr>
      </w:pPr>
    </w:p>
    <w:p w14:paraId="47980B0C">
      <w:pPr>
        <w:spacing w:line="400" w:lineRule="exact"/>
        <w:rPr>
          <w:rFonts w:hint="eastAsia" w:ascii="宋体" w:hAnsi="宋体"/>
          <w:b/>
          <w:sz w:val="22"/>
          <w:szCs w:val="22"/>
          <w:highlight w:val="none"/>
          <w:u w:val="single"/>
        </w:rPr>
      </w:pPr>
      <w:r>
        <w:rPr>
          <w:rFonts w:hint="eastAsia" w:ascii="宋体" w:hAnsi="宋体"/>
          <w:b/>
          <w:sz w:val="22"/>
          <w:szCs w:val="22"/>
          <w:highlight w:val="none"/>
          <w:u w:val="single"/>
        </w:rPr>
        <w:t>※不提供此表的投标文件将被视为未实质性响应招标文件，其</w:t>
      </w:r>
      <w:r>
        <w:rPr>
          <w:rFonts w:hint="eastAsia" w:ascii="宋体" w:hAnsi="宋体"/>
          <w:b/>
          <w:bCs/>
          <w:sz w:val="22"/>
          <w:szCs w:val="22"/>
          <w:highlight w:val="none"/>
          <w:u w:val="single"/>
        </w:rPr>
        <w:t>投标无效</w:t>
      </w:r>
      <w:r>
        <w:rPr>
          <w:rFonts w:hint="eastAsia" w:ascii="宋体" w:hAnsi="宋体"/>
          <w:b/>
          <w:sz w:val="22"/>
          <w:szCs w:val="22"/>
          <w:highlight w:val="none"/>
          <w:u w:val="single"/>
        </w:rPr>
        <w:t>。</w:t>
      </w:r>
    </w:p>
    <w:p w14:paraId="2205CCC0">
      <w:pPr>
        <w:spacing w:line="400" w:lineRule="exact"/>
        <w:rPr>
          <w:rFonts w:hint="eastAsia" w:ascii="宋体" w:hAnsi="宋体"/>
          <w:sz w:val="22"/>
          <w:szCs w:val="22"/>
          <w:highlight w:val="none"/>
        </w:rPr>
      </w:pPr>
    </w:p>
    <w:p w14:paraId="5242C18A">
      <w:pPr>
        <w:spacing w:line="400" w:lineRule="exact"/>
        <w:rPr>
          <w:rFonts w:hint="eastAsia" w:ascii="宋体" w:hAnsi="宋体"/>
          <w:sz w:val="22"/>
          <w:szCs w:val="22"/>
          <w:highlight w:val="none"/>
        </w:rPr>
      </w:pPr>
    </w:p>
    <w:p w14:paraId="415E293F">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投标人全称（盖章）：</w:t>
      </w:r>
    </w:p>
    <w:p w14:paraId="6D47CD11">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单位负责人或授权代表（签字或盖章）：</w:t>
      </w:r>
    </w:p>
    <w:p w14:paraId="3A70F1C9">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日          期：  年  月  日</w:t>
      </w:r>
    </w:p>
    <w:p w14:paraId="02ECDE4A">
      <w:pPr>
        <w:pStyle w:val="13"/>
        <w:rPr>
          <w:rFonts w:hint="eastAsia" w:ascii="宋体" w:hAnsi="宋体" w:eastAsia="宋体"/>
          <w:b/>
          <w:sz w:val="28"/>
          <w:szCs w:val="28"/>
          <w:highlight w:val="none"/>
        </w:rPr>
      </w:pPr>
      <w:r>
        <w:rPr>
          <w:rFonts w:ascii="宋体" w:hAnsi="宋体" w:eastAsia="宋体"/>
          <w:b/>
          <w:bCs/>
          <w:sz w:val="22"/>
          <w:szCs w:val="22"/>
          <w:highlight w:val="none"/>
        </w:rPr>
        <w:br w:type="page"/>
      </w:r>
    </w:p>
    <w:p w14:paraId="1FD9A731">
      <w:pPr>
        <w:spacing w:line="460" w:lineRule="exact"/>
        <w:jc w:val="center"/>
        <w:rPr>
          <w:rFonts w:hint="eastAsia" w:ascii="宋体" w:hAnsi="宋体"/>
          <w:b/>
          <w:bCs/>
          <w:sz w:val="30"/>
          <w:szCs w:val="30"/>
          <w:highlight w:val="none"/>
        </w:rPr>
      </w:pPr>
    </w:p>
    <w:p w14:paraId="52A14430">
      <w:pPr>
        <w:spacing w:line="460" w:lineRule="exact"/>
        <w:jc w:val="center"/>
        <w:rPr>
          <w:rFonts w:hint="eastAsia" w:ascii="宋体" w:hAnsi="宋体"/>
          <w:b/>
          <w:bCs/>
          <w:sz w:val="30"/>
          <w:szCs w:val="30"/>
          <w:highlight w:val="none"/>
        </w:rPr>
      </w:pPr>
      <w:r>
        <w:rPr>
          <w:rFonts w:hint="eastAsia" w:ascii="宋体" w:hAnsi="宋体"/>
          <w:b/>
          <w:bCs/>
          <w:sz w:val="30"/>
          <w:szCs w:val="30"/>
          <w:highlight w:val="none"/>
        </w:rPr>
        <w:t>五、供货范围详细清单</w:t>
      </w:r>
    </w:p>
    <w:p w14:paraId="41E3892E">
      <w:pPr>
        <w:rPr>
          <w:rFonts w:hint="eastAsia" w:ascii="宋体" w:hAnsi="宋体"/>
          <w:sz w:val="22"/>
          <w:szCs w:val="22"/>
          <w:highlight w:val="none"/>
        </w:rPr>
      </w:pPr>
      <w:r>
        <w:rPr>
          <w:rFonts w:hint="eastAsia" w:ascii="宋体" w:hAnsi="宋体"/>
          <w:sz w:val="24"/>
          <w:highlight w:val="none"/>
        </w:rPr>
        <w:t xml:space="preserve"> </w:t>
      </w:r>
      <w:r>
        <w:rPr>
          <w:rFonts w:hint="eastAsia" w:ascii="宋体" w:hAnsi="宋体"/>
          <w:sz w:val="22"/>
          <w:szCs w:val="22"/>
          <w:highlight w:val="none"/>
        </w:rPr>
        <w:t xml:space="preserve">  </w:t>
      </w:r>
      <w:r>
        <w:rPr>
          <w:rFonts w:ascii="宋体" w:hAnsi="宋体"/>
          <w:sz w:val="22"/>
          <w:szCs w:val="22"/>
          <w:highlight w:val="none"/>
        </w:rPr>
        <w:t xml:space="preserve">  </w:t>
      </w:r>
      <w:r>
        <w:rPr>
          <w:rFonts w:hint="eastAsia" w:ascii="宋体" w:hAnsi="宋体"/>
          <w:sz w:val="22"/>
          <w:szCs w:val="22"/>
          <w:highlight w:val="none"/>
        </w:rPr>
        <w:t>项目名称：                                      项目编号：</w:t>
      </w:r>
    </w:p>
    <w:tbl>
      <w:tblPr>
        <w:tblStyle w:val="35"/>
        <w:tblW w:w="967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851"/>
        <w:gridCol w:w="935"/>
        <w:gridCol w:w="940"/>
        <w:gridCol w:w="1143"/>
        <w:gridCol w:w="718"/>
        <w:gridCol w:w="825"/>
        <w:gridCol w:w="1676"/>
        <w:gridCol w:w="1031"/>
      </w:tblGrid>
      <w:tr w14:paraId="2BA39A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612BEE0">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序号</w:t>
            </w:r>
          </w:p>
        </w:tc>
        <w:tc>
          <w:tcPr>
            <w:tcW w:w="1851" w:type="dxa"/>
            <w:tcBorders>
              <w:top w:val="single" w:color="auto" w:sz="4" w:space="0"/>
              <w:left w:val="single" w:color="auto" w:sz="4" w:space="0"/>
              <w:bottom w:val="single" w:color="auto" w:sz="4" w:space="0"/>
              <w:right w:val="single" w:color="auto" w:sz="4" w:space="0"/>
            </w:tcBorders>
            <w:vAlign w:val="center"/>
          </w:tcPr>
          <w:p w14:paraId="22C12922">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产品名称</w:t>
            </w:r>
          </w:p>
        </w:tc>
        <w:tc>
          <w:tcPr>
            <w:tcW w:w="935" w:type="dxa"/>
            <w:tcBorders>
              <w:top w:val="single" w:color="auto" w:sz="4" w:space="0"/>
              <w:left w:val="single" w:color="auto" w:sz="4" w:space="0"/>
              <w:bottom w:val="single" w:color="auto" w:sz="4" w:space="0"/>
              <w:right w:val="single" w:color="auto" w:sz="4" w:space="0"/>
            </w:tcBorders>
            <w:vAlign w:val="center"/>
          </w:tcPr>
          <w:p w14:paraId="168E51D6">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品牌</w:t>
            </w:r>
          </w:p>
        </w:tc>
        <w:tc>
          <w:tcPr>
            <w:tcW w:w="940" w:type="dxa"/>
            <w:tcBorders>
              <w:top w:val="single" w:color="auto" w:sz="4" w:space="0"/>
              <w:left w:val="single" w:color="auto" w:sz="4" w:space="0"/>
              <w:bottom w:val="single" w:color="auto" w:sz="4" w:space="0"/>
              <w:right w:val="single" w:color="auto" w:sz="4" w:space="0"/>
            </w:tcBorders>
            <w:vAlign w:val="center"/>
          </w:tcPr>
          <w:p w14:paraId="4F811972">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产地</w:t>
            </w:r>
          </w:p>
        </w:tc>
        <w:tc>
          <w:tcPr>
            <w:tcW w:w="1143" w:type="dxa"/>
            <w:tcBorders>
              <w:top w:val="single" w:color="auto" w:sz="4" w:space="0"/>
              <w:left w:val="single" w:color="auto" w:sz="4" w:space="0"/>
              <w:bottom w:val="single" w:color="auto" w:sz="4" w:space="0"/>
              <w:right w:val="single" w:color="auto" w:sz="4" w:space="0"/>
            </w:tcBorders>
            <w:vAlign w:val="center"/>
          </w:tcPr>
          <w:p w14:paraId="49C6E3FF">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规格</w:t>
            </w:r>
          </w:p>
          <w:p w14:paraId="6AB8B290">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型号</w:t>
            </w:r>
          </w:p>
        </w:tc>
        <w:tc>
          <w:tcPr>
            <w:tcW w:w="718" w:type="dxa"/>
            <w:tcBorders>
              <w:top w:val="single" w:color="auto" w:sz="4" w:space="0"/>
              <w:left w:val="single" w:color="auto" w:sz="4" w:space="0"/>
              <w:bottom w:val="single" w:color="auto" w:sz="4" w:space="0"/>
              <w:right w:val="single" w:color="auto" w:sz="4" w:space="0"/>
            </w:tcBorders>
            <w:vAlign w:val="center"/>
          </w:tcPr>
          <w:p w14:paraId="63E98E15">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单位</w:t>
            </w:r>
          </w:p>
        </w:tc>
        <w:tc>
          <w:tcPr>
            <w:tcW w:w="825" w:type="dxa"/>
            <w:tcBorders>
              <w:top w:val="single" w:color="auto" w:sz="4" w:space="0"/>
              <w:left w:val="single" w:color="auto" w:sz="4" w:space="0"/>
              <w:bottom w:val="single" w:color="auto" w:sz="4" w:space="0"/>
              <w:right w:val="single" w:color="auto" w:sz="4" w:space="0"/>
            </w:tcBorders>
            <w:vAlign w:val="center"/>
          </w:tcPr>
          <w:p w14:paraId="688441A1">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数量</w:t>
            </w:r>
          </w:p>
        </w:tc>
        <w:tc>
          <w:tcPr>
            <w:tcW w:w="1676" w:type="dxa"/>
            <w:tcBorders>
              <w:top w:val="single" w:color="auto" w:sz="4" w:space="0"/>
              <w:left w:val="single" w:color="auto" w:sz="4" w:space="0"/>
              <w:bottom w:val="single" w:color="auto" w:sz="4" w:space="0"/>
              <w:right w:val="single" w:color="auto" w:sz="4" w:space="0"/>
            </w:tcBorders>
            <w:vAlign w:val="center"/>
          </w:tcPr>
          <w:p w14:paraId="2B410F5A">
            <w:pPr>
              <w:snapToGrid w:val="0"/>
              <w:spacing w:before="50" w:after="50"/>
              <w:jc w:val="center"/>
              <w:rPr>
                <w:rFonts w:hint="eastAsia" w:ascii="宋体" w:hAnsi="宋体"/>
                <w:sz w:val="22"/>
                <w:szCs w:val="22"/>
                <w:highlight w:val="none"/>
              </w:rPr>
            </w:pPr>
            <w:r>
              <w:rPr>
                <w:rFonts w:hint="eastAsia" w:ascii="宋体" w:hAnsi="宋体"/>
                <w:sz w:val="22"/>
                <w:szCs w:val="22"/>
                <w:highlight w:val="none"/>
              </w:rPr>
              <w:t>性能及指标</w:t>
            </w:r>
          </w:p>
        </w:tc>
        <w:tc>
          <w:tcPr>
            <w:tcW w:w="1031" w:type="dxa"/>
            <w:tcBorders>
              <w:top w:val="single" w:color="auto" w:sz="4" w:space="0"/>
              <w:left w:val="single" w:color="auto" w:sz="4" w:space="0"/>
              <w:bottom w:val="single" w:color="auto" w:sz="4" w:space="0"/>
              <w:right w:val="single" w:color="auto" w:sz="4" w:space="0"/>
            </w:tcBorders>
            <w:vAlign w:val="center"/>
          </w:tcPr>
          <w:p w14:paraId="1EF8E13C">
            <w:pPr>
              <w:ind w:right="-11"/>
              <w:jc w:val="center"/>
              <w:rPr>
                <w:rFonts w:hint="eastAsia" w:ascii="宋体" w:hAnsi="宋体"/>
                <w:b/>
                <w:sz w:val="22"/>
                <w:szCs w:val="22"/>
                <w:highlight w:val="none"/>
              </w:rPr>
            </w:pPr>
            <w:r>
              <w:rPr>
                <w:rFonts w:hint="eastAsia" w:ascii="宋体" w:hAnsi="宋体"/>
                <w:b/>
                <w:sz w:val="22"/>
                <w:szCs w:val="22"/>
                <w:highlight w:val="none"/>
              </w:rPr>
              <w:t>免费</w:t>
            </w:r>
          </w:p>
          <w:p w14:paraId="0B45501C">
            <w:pPr>
              <w:snapToGrid w:val="0"/>
              <w:spacing w:before="50" w:after="50"/>
              <w:jc w:val="center"/>
              <w:rPr>
                <w:rFonts w:hint="eastAsia" w:ascii="宋体" w:hAnsi="宋体"/>
                <w:sz w:val="22"/>
                <w:szCs w:val="22"/>
                <w:highlight w:val="none"/>
              </w:rPr>
            </w:pPr>
            <w:r>
              <w:rPr>
                <w:rFonts w:hint="eastAsia" w:ascii="宋体" w:hAnsi="宋体"/>
                <w:b/>
                <w:sz w:val="22"/>
                <w:szCs w:val="22"/>
                <w:highlight w:val="none"/>
              </w:rPr>
              <w:t>质保期</w:t>
            </w:r>
          </w:p>
        </w:tc>
      </w:tr>
      <w:tr w14:paraId="1F07A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D4EB3BF">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7DBD4F83">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633F4D56">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4E8DEC21">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188068D9">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48C6FA51">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624F48D2">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1C448F69">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E0AD94">
            <w:pPr>
              <w:snapToGrid w:val="0"/>
              <w:spacing w:before="50" w:after="50"/>
              <w:jc w:val="center"/>
              <w:rPr>
                <w:rFonts w:hint="eastAsia" w:ascii="宋体" w:hAnsi="宋体"/>
                <w:sz w:val="22"/>
                <w:szCs w:val="22"/>
                <w:highlight w:val="none"/>
              </w:rPr>
            </w:pPr>
          </w:p>
        </w:tc>
      </w:tr>
      <w:tr w14:paraId="7BA4A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AD7CBFB">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3C5C031C">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4A5D3D28">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59D5C441">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6DD58FE7">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71691647">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4543D5F6">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1681BAB3">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D5950E4">
            <w:pPr>
              <w:snapToGrid w:val="0"/>
              <w:spacing w:before="50" w:after="50"/>
              <w:jc w:val="center"/>
              <w:rPr>
                <w:rFonts w:hint="eastAsia" w:ascii="宋体" w:hAnsi="宋体"/>
                <w:sz w:val="22"/>
                <w:szCs w:val="22"/>
                <w:highlight w:val="none"/>
              </w:rPr>
            </w:pPr>
          </w:p>
        </w:tc>
      </w:tr>
      <w:tr w14:paraId="1B7C1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1F8FF44B">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5B3D21CF">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EF011C2">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4DEB02D8">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26A8BE97">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0BF83550">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718EFC91">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7EC654FE">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86DCB18">
            <w:pPr>
              <w:snapToGrid w:val="0"/>
              <w:spacing w:before="50" w:after="50"/>
              <w:jc w:val="center"/>
              <w:rPr>
                <w:rFonts w:hint="eastAsia" w:ascii="宋体" w:hAnsi="宋体"/>
                <w:sz w:val="22"/>
                <w:szCs w:val="22"/>
                <w:highlight w:val="none"/>
              </w:rPr>
            </w:pPr>
          </w:p>
        </w:tc>
      </w:tr>
      <w:tr w14:paraId="4439C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CAB9F61">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730D6C6C">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49083615">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5B421F04">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405B9CF0">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35EC8BD5">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656859B4">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6B120667">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3B93634">
            <w:pPr>
              <w:snapToGrid w:val="0"/>
              <w:spacing w:before="50" w:after="50"/>
              <w:jc w:val="center"/>
              <w:rPr>
                <w:rFonts w:hint="eastAsia" w:ascii="宋体" w:hAnsi="宋体"/>
                <w:sz w:val="22"/>
                <w:szCs w:val="22"/>
                <w:highlight w:val="none"/>
              </w:rPr>
            </w:pPr>
          </w:p>
        </w:tc>
      </w:tr>
      <w:tr w14:paraId="71CC2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1210E35">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25F2C74A">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07A459F3">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27A0BF19">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F66A10E">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42BD124A">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7FED1BAC">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07DC6719">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E563135">
            <w:pPr>
              <w:snapToGrid w:val="0"/>
              <w:spacing w:before="50" w:after="50"/>
              <w:jc w:val="center"/>
              <w:rPr>
                <w:rFonts w:hint="eastAsia" w:ascii="宋体" w:hAnsi="宋体"/>
                <w:sz w:val="22"/>
                <w:szCs w:val="22"/>
                <w:highlight w:val="none"/>
              </w:rPr>
            </w:pPr>
          </w:p>
        </w:tc>
      </w:tr>
      <w:tr w14:paraId="7B22F2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99A9E2A">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2B7FA3AB">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1295A08">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6A82A213">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3B6A4F8">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3D7D48D6">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1FB7FD51">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5E5A8565">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810F47">
            <w:pPr>
              <w:snapToGrid w:val="0"/>
              <w:spacing w:before="50" w:after="50"/>
              <w:jc w:val="center"/>
              <w:rPr>
                <w:rFonts w:hint="eastAsia" w:ascii="宋体" w:hAnsi="宋体"/>
                <w:sz w:val="22"/>
                <w:szCs w:val="22"/>
                <w:highlight w:val="none"/>
              </w:rPr>
            </w:pPr>
          </w:p>
        </w:tc>
      </w:tr>
      <w:tr w14:paraId="323F09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7216F1CF">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74F46A25">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6FCA574E">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5471F52A">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111A72E0">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4A63E476">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332FC582">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0B0EBE81">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59EE370">
            <w:pPr>
              <w:snapToGrid w:val="0"/>
              <w:spacing w:before="50" w:after="50"/>
              <w:jc w:val="center"/>
              <w:rPr>
                <w:rFonts w:hint="eastAsia" w:ascii="宋体" w:hAnsi="宋体"/>
                <w:sz w:val="22"/>
                <w:szCs w:val="22"/>
                <w:highlight w:val="none"/>
              </w:rPr>
            </w:pPr>
          </w:p>
        </w:tc>
      </w:tr>
      <w:tr w14:paraId="21187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DCCB8F7">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1C85EF01">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37EC4270">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2132EC7E">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6204CAE6">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5FDD1B7A">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21D30D8E">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B39368C">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CF64B82">
            <w:pPr>
              <w:snapToGrid w:val="0"/>
              <w:spacing w:before="50" w:after="50"/>
              <w:jc w:val="center"/>
              <w:rPr>
                <w:rFonts w:hint="eastAsia" w:ascii="宋体" w:hAnsi="宋体"/>
                <w:sz w:val="22"/>
                <w:szCs w:val="22"/>
                <w:highlight w:val="none"/>
              </w:rPr>
            </w:pPr>
          </w:p>
        </w:tc>
      </w:tr>
      <w:tr w14:paraId="317605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B6502DD">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17E4542">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6A4A95A2">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102C7A28">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45CD3B3A">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6A7C3E65">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4902410B">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ECB4478">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CF7F912">
            <w:pPr>
              <w:snapToGrid w:val="0"/>
              <w:spacing w:before="50" w:after="50"/>
              <w:jc w:val="center"/>
              <w:rPr>
                <w:rFonts w:hint="eastAsia" w:ascii="宋体" w:hAnsi="宋体"/>
                <w:sz w:val="22"/>
                <w:szCs w:val="22"/>
                <w:highlight w:val="none"/>
              </w:rPr>
            </w:pPr>
          </w:p>
        </w:tc>
      </w:tr>
      <w:tr w14:paraId="5F599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58D34963">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C55C884">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5D49DA59">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5AF33745">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7C1BE8C4">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63C7C37C">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0C4E4DFB">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1EECEEF9">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2AE5766">
            <w:pPr>
              <w:snapToGrid w:val="0"/>
              <w:spacing w:before="50" w:after="50"/>
              <w:jc w:val="center"/>
              <w:rPr>
                <w:rFonts w:hint="eastAsia" w:ascii="宋体" w:hAnsi="宋体"/>
                <w:sz w:val="22"/>
                <w:szCs w:val="22"/>
                <w:highlight w:val="none"/>
              </w:rPr>
            </w:pPr>
          </w:p>
        </w:tc>
      </w:tr>
      <w:tr w14:paraId="10270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D80A833">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7DE7B38">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4A206031">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0A665B3C">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5649D1E1">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44F3A8B1">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7EFFCA51">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44F1B430">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4154DC">
            <w:pPr>
              <w:snapToGrid w:val="0"/>
              <w:spacing w:before="50" w:after="50"/>
              <w:jc w:val="center"/>
              <w:rPr>
                <w:rFonts w:hint="eastAsia" w:ascii="宋体" w:hAnsi="宋体"/>
                <w:sz w:val="22"/>
                <w:szCs w:val="22"/>
                <w:highlight w:val="none"/>
              </w:rPr>
            </w:pPr>
          </w:p>
        </w:tc>
      </w:tr>
      <w:tr w14:paraId="49083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0A5CDD15">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F8B5EC4">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B98C079">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367B5173">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133B56F0">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5786240D">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73D1CE94">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25499709">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EAE346">
            <w:pPr>
              <w:snapToGrid w:val="0"/>
              <w:spacing w:before="50" w:after="50"/>
              <w:jc w:val="center"/>
              <w:rPr>
                <w:rFonts w:hint="eastAsia" w:ascii="宋体" w:hAnsi="宋体"/>
                <w:sz w:val="22"/>
                <w:szCs w:val="22"/>
                <w:highlight w:val="none"/>
              </w:rPr>
            </w:pPr>
          </w:p>
        </w:tc>
      </w:tr>
      <w:tr w14:paraId="594E2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2FA145CB">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7C3AEF63">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1E5FABA3">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72B14A86">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03187C66">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516449F9">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68F7B717">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78868FBD">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EF59059">
            <w:pPr>
              <w:snapToGrid w:val="0"/>
              <w:spacing w:before="50" w:after="50"/>
              <w:jc w:val="center"/>
              <w:rPr>
                <w:rFonts w:hint="eastAsia" w:ascii="宋体" w:hAnsi="宋体"/>
                <w:sz w:val="22"/>
                <w:szCs w:val="22"/>
                <w:highlight w:val="none"/>
              </w:rPr>
            </w:pPr>
          </w:p>
        </w:tc>
      </w:tr>
      <w:tr w14:paraId="26B474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14:paraId="3311E974">
            <w:pPr>
              <w:snapToGrid w:val="0"/>
              <w:spacing w:before="50" w:after="50"/>
              <w:jc w:val="center"/>
              <w:rPr>
                <w:rFonts w:hint="eastAsia" w:ascii="宋体" w:hAnsi="宋体"/>
                <w:sz w:val="22"/>
                <w:szCs w:val="22"/>
                <w:highlight w:val="none"/>
              </w:rPr>
            </w:pPr>
          </w:p>
        </w:tc>
        <w:tc>
          <w:tcPr>
            <w:tcW w:w="1851" w:type="dxa"/>
            <w:tcBorders>
              <w:top w:val="single" w:color="auto" w:sz="4" w:space="0"/>
              <w:left w:val="single" w:color="auto" w:sz="4" w:space="0"/>
              <w:bottom w:val="single" w:color="auto" w:sz="4" w:space="0"/>
              <w:right w:val="single" w:color="auto" w:sz="4" w:space="0"/>
            </w:tcBorders>
            <w:vAlign w:val="center"/>
          </w:tcPr>
          <w:p w14:paraId="654F5BA1">
            <w:pPr>
              <w:snapToGrid w:val="0"/>
              <w:spacing w:before="50" w:after="50"/>
              <w:jc w:val="center"/>
              <w:rPr>
                <w:rFonts w:hint="eastAsia" w:ascii="宋体" w:hAnsi="宋体"/>
                <w:sz w:val="22"/>
                <w:szCs w:val="22"/>
                <w:highlight w:val="none"/>
              </w:rPr>
            </w:pPr>
          </w:p>
        </w:tc>
        <w:tc>
          <w:tcPr>
            <w:tcW w:w="935" w:type="dxa"/>
            <w:tcBorders>
              <w:top w:val="single" w:color="auto" w:sz="4" w:space="0"/>
              <w:left w:val="single" w:color="auto" w:sz="4" w:space="0"/>
              <w:bottom w:val="single" w:color="auto" w:sz="4" w:space="0"/>
              <w:right w:val="single" w:color="auto" w:sz="4" w:space="0"/>
            </w:tcBorders>
            <w:vAlign w:val="center"/>
          </w:tcPr>
          <w:p w14:paraId="29017652">
            <w:pPr>
              <w:snapToGrid w:val="0"/>
              <w:spacing w:before="50" w:after="50"/>
              <w:ind w:left="480" w:hanging="480"/>
              <w:jc w:val="center"/>
              <w:rPr>
                <w:rFonts w:hint="eastAsia" w:ascii="宋体" w:hAnsi="宋体"/>
                <w:sz w:val="22"/>
                <w:szCs w:val="22"/>
                <w:highlight w:val="none"/>
              </w:rPr>
            </w:pPr>
          </w:p>
        </w:tc>
        <w:tc>
          <w:tcPr>
            <w:tcW w:w="940" w:type="dxa"/>
            <w:tcBorders>
              <w:top w:val="single" w:color="auto" w:sz="4" w:space="0"/>
              <w:left w:val="single" w:color="auto" w:sz="4" w:space="0"/>
              <w:bottom w:val="single" w:color="auto" w:sz="4" w:space="0"/>
              <w:right w:val="single" w:color="auto" w:sz="4" w:space="0"/>
            </w:tcBorders>
          </w:tcPr>
          <w:p w14:paraId="5F41DD70">
            <w:pPr>
              <w:snapToGrid w:val="0"/>
              <w:spacing w:before="50" w:after="50"/>
              <w:jc w:val="center"/>
              <w:rPr>
                <w:rFonts w:hint="eastAsia" w:ascii="宋体" w:hAnsi="宋体"/>
                <w:sz w:val="22"/>
                <w:szCs w:val="22"/>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005FCB25">
            <w:pPr>
              <w:snapToGrid w:val="0"/>
              <w:spacing w:before="50" w:after="50"/>
              <w:jc w:val="center"/>
              <w:rPr>
                <w:rFonts w:hint="eastAsia" w:ascii="宋体" w:hAnsi="宋体"/>
                <w:sz w:val="22"/>
                <w:szCs w:val="22"/>
                <w:highlight w:val="none"/>
              </w:rPr>
            </w:pPr>
          </w:p>
        </w:tc>
        <w:tc>
          <w:tcPr>
            <w:tcW w:w="718" w:type="dxa"/>
            <w:tcBorders>
              <w:top w:val="single" w:color="auto" w:sz="4" w:space="0"/>
              <w:left w:val="single" w:color="auto" w:sz="4" w:space="0"/>
              <w:bottom w:val="single" w:color="auto" w:sz="4" w:space="0"/>
              <w:right w:val="single" w:color="auto" w:sz="4" w:space="0"/>
            </w:tcBorders>
            <w:vAlign w:val="center"/>
          </w:tcPr>
          <w:p w14:paraId="4B00C338">
            <w:pPr>
              <w:snapToGrid w:val="0"/>
              <w:spacing w:before="50" w:after="50"/>
              <w:jc w:val="center"/>
              <w:rPr>
                <w:rFonts w:hint="eastAsia" w:ascii="宋体" w:hAnsi="宋体"/>
                <w:sz w:val="22"/>
                <w:szCs w:val="22"/>
                <w:highlight w:val="none"/>
              </w:rPr>
            </w:pPr>
          </w:p>
        </w:tc>
        <w:tc>
          <w:tcPr>
            <w:tcW w:w="825" w:type="dxa"/>
            <w:tcBorders>
              <w:top w:val="single" w:color="auto" w:sz="4" w:space="0"/>
              <w:left w:val="single" w:color="auto" w:sz="4" w:space="0"/>
              <w:bottom w:val="single" w:color="auto" w:sz="4" w:space="0"/>
              <w:right w:val="single" w:color="auto" w:sz="4" w:space="0"/>
            </w:tcBorders>
            <w:vAlign w:val="center"/>
          </w:tcPr>
          <w:p w14:paraId="136F8679">
            <w:pPr>
              <w:snapToGrid w:val="0"/>
              <w:spacing w:before="50" w:after="50"/>
              <w:jc w:val="center"/>
              <w:rPr>
                <w:rFonts w:hint="eastAsia" w:ascii="宋体" w:hAnsi="宋体"/>
                <w:sz w:val="22"/>
                <w:szCs w:val="22"/>
                <w:highlight w:val="none"/>
              </w:rPr>
            </w:pPr>
          </w:p>
        </w:tc>
        <w:tc>
          <w:tcPr>
            <w:tcW w:w="1676" w:type="dxa"/>
            <w:tcBorders>
              <w:top w:val="single" w:color="auto" w:sz="4" w:space="0"/>
              <w:left w:val="single" w:color="auto" w:sz="4" w:space="0"/>
              <w:bottom w:val="single" w:color="auto" w:sz="4" w:space="0"/>
              <w:right w:val="single" w:color="auto" w:sz="4" w:space="0"/>
            </w:tcBorders>
            <w:vAlign w:val="center"/>
          </w:tcPr>
          <w:p w14:paraId="517C7D12">
            <w:pPr>
              <w:snapToGrid w:val="0"/>
              <w:spacing w:before="50" w:after="50"/>
              <w:jc w:val="center"/>
              <w:rPr>
                <w:rFonts w:hint="eastAsia" w:ascii="宋体" w:hAnsi="宋体"/>
                <w:sz w:val="22"/>
                <w:szCs w:val="22"/>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19ED05A">
            <w:pPr>
              <w:snapToGrid w:val="0"/>
              <w:spacing w:before="50" w:after="50"/>
              <w:jc w:val="center"/>
              <w:rPr>
                <w:rFonts w:hint="eastAsia" w:ascii="宋体" w:hAnsi="宋体"/>
                <w:sz w:val="22"/>
                <w:szCs w:val="22"/>
                <w:highlight w:val="none"/>
              </w:rPr>
            </w:pPr>
          </w:p>
        </w:tc>
      </w:tr>
    </w:tbl>
    <w:p w14:paraId="1299A592">
      <w:pPr>
        <w:spacing w:line="360" w:lineRule="auto"/>
        <w:rPr>
          <w:rFonts w:hint="eastAsia" w:ascii="宋体" w:hAnsi="宋体"/>
          <w:sz w:val="22"/>
          <w:szCs w:val="22"/>
          <w:highlight w:val="none"/>
        </w:rPr>
      </w:pPr>
      <w:r>
        <w:rPr>
          <w:rFonts w:hint="eastAsia" w:ascii="宋体" w:hAnsi="宋体"/>
          <w:sz w:val="22"/>
          <w:szCs w:val="22"/>
          <w:highlight w:val="none"/>
        </w:rPr>
        <w:t>注：1、表中的产品名称需按采购内容分项填写；</w:t>
      </w:r>
    </w:p>
    <w:p w14:paraId="6EA55E9B">
      <w:pPr>
        <w:spacing w:line="360" w:lineRule="auto"/>
        <w:ind w:firstLine="440" w:firstLineChars="200"/>
        <w:rPr>
          <w:rFonts w:hint="eastAsia" w:ascii="宋体" w:hAnsi="宋体"/>
          <w:sz w:val="22"/>
          <w:szCs w:val="22"/>
          <w:highlight w:val="none"/>
        </w:rPr>
      </w:pPr>
      <w:r>
        <w:rPr>
          <w:rFonts w:hint="eastAsia" w:ascii="宋体" w:hAnsi="宋体"/>
          <w:sz w:val="22"/>
          <w:szCs w:val="22"/>
          <w:highlight w:val="none"/>
        </w:rPr>
        <w:t>2、投标人可按以上表格形式进行复制，附在商务技术文件内。</w:t>
      </w:r>
    </w:p>
    <w:p w14:paraId="056470F4">
      <w:pPr>
        <w:spacing w:line="360" w:lineRule="auto"/>
        <w:ind w:firstLine="440" w:firstLineChars="200"/>
        <w:rPr>
          <w:rFonts w:hint="eastAsia" w:ascii="宋体" w:hAnsi="宋体"/>
          <w:sz w:val="22"/>
          <w:szCs w:val="22"/>
          <w:highlight w:val="none"/>
        </w:rPr>
      </w:pPr>
    </w:p>
    <w:p w14:paraId="2A954063">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投标人全称（盖章）：</w:t>
      </w:r>
    </w:p>
    <w:p w14:paraId="59FE2678">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单位负责人或授权代表（签字或盖章）：</w:t>
      </w:r>
    </w:p>
    <w:p w14:paraId="10197831">
      <w:pPr>
        <w:tabs>
          <w:tab w:val="left" w:pos="840"/>
        </w:tabs>
        <w:adjustRightInd w:val="0"/>
        <w:snapToGrid w:val="0"/>
        <w:spacing w:line="360" w:lineRule="auto"/>
        <w:ind w:left="420" w:leftChars="200" w:firstLine="330" w:firstLineChars="150"/>
        <w:rPr>
          <w:rFonts w:hint="eastAsia" w:ascii="宋体" w:hAnsi="宋体"/>
          <w:sz w:val="22"/>
          <w:szCs w:val="22"/>
          <w:highlight w:val="none"/>
        </w:rPr>
      </w:pPr>
      <w:r>
        <w:rPr>
          <w:rFonts w:hint="eastAsia" w:ascii="宋体" w:hAnsi="宋体"/>
          <w:sz w:val="22"/>
          <w:szCs w:val="22"/>
          <w:highlight w:val="none"/>
        </w:rPr>
        <w:t>日          期：  年  月  日</w:t>
      </w:r>
    </w:p>
    <w:p w14:paraId="787CA986">
      <w:pPr>
        <w:spacing w:line="460" w:lineRule="exact"/>
        <w:rPr>
          <w:rFonts w:hint="eastAsia" w:ascii="宋体" w:hAnsi="宋体"/>
          <w:b/>
          <w:bCs/>
          <w:sz w:val="30"/>
          <w:szCs w:val="30"/>
          <w:highlight w:val="none"/>
        </w:rPr>
      </w:pPr>
    </w:p>
    <w:p w14:paraId="6F20AEF0">
      <w:pPr>
        <w:pStyle w:val="13"/>
        <w:keepNext/>
        <w:jc w:val="left"/>
        <w:rPr>
          <w:rFonts w:hint="eastAsia" w:ascii="宋体" w:hAnsi="宋体" w:eastAsia="宋体"/>
          <w:b/>
          <w:sz w:val="28"/>
          <w:szCs w:val="28"/>
          <w:highlight w:val="none"/>
        </w:rPr>
      </w:pPr>
    </w:p>
    <w:p w14:paraId="5816BF1F">
      <w:pPr>
        <w:widowControl/>
        <w:jc w:val="left"/>
        <w:rPr>
          <w:rFonts w:hint="eastAsia" w:ascii="宋体" w:hAnsi="宋体"/>
          <w:b/>
          <w:bCs/>
          <w:sz w:val="30"/>
          <w:szCs w:val="30"/>
          <w:highlight w:val="none"/>
        </w:rPr>
      </w:pPr>
      <w:r>
        <w:rPr>
          <w:rFonts w:ascii="宋体" w:hAnsi="宋体"/>
          <w:b/>
          <w:bCs/>
          <w:sz w:val="30"/>
          <w:szCs w:val="30"/>
          <w:highlight w:val="none"/>
        </w:rPr>
        <w:br w:type="page"/>
      </w:r>
    </w:p>
    <w:p w14:paraId="76DAEC7E">
      <w:pPr>
        <w:spacing w:line="460" w:lineRule="exact"/>
        <w:jc w:val="center"/>
        <w:rPr>
          <w:rFonts w:hint="eastAsia" w:ascii="宋体" w:hAnsi="宋体"/>
          <w:b/>
          <w:bCs/>
          <w:sz w:val="30"/>
          <w:szCs w:val="30"/>
          <w:highlight w:val="none"/>
        </w:rPr>
      </w:pPr>
      <w:r>
        <w:rPr>
          <w:rFonts w:hint="eastAsia" w:ascii="宋体" w:hAnsi="宋体"/>
          <w:b/>
          <w:bCs/>
          <w:sz w:val="30"/>
          <w:szCs w:val="30"/>
          <w:highlight w:val="none"/>
        </w:rPr>
        <w:t>六、根据本项目采购内容及要求以及商务技术评分项目，需要提供的文件和资料</w:t>
      </w:r>
    </w:p>
    <w:p w14:paraId="70842407">
      <w:pPr>
        <w:spacing w:line="460" w:lineRule="exact"/>
        <w:jc w:val="center"/>
        <w:rPr>
          <w:rFonts w:hint="eastAsia" w:ascii="宋体" w:hAnsi="宋体"/>
          <w:b/>
          <w:bCs/>
          <w:sz w:val="28"/>
          <w:szCs w:val="28"/>
          <w:highlight w:val="none"/>
        </w:rPr>
      </w:pPr>
    </w:p>
    <w:p w14:paraId="1B9D6868">
      <w:pPr>
        <w:spacing w:line="460" w:lineRule="exact"/>
        <w:ind w:firstLine="281" w:firstLineChars="100"/>
        <w:rPr>
          <w:rFonts w:hint="eastAsia" w:ascii="宋体" w:hAnsi="宋体"/>
          <w:b/>
          <w:bCs/>
          <w:sz w:val="28"/>
          <w:szCs w:val="28"/>
          <w:highlight w:val="none"/>
        </w:rPr>
      </w:pPr>
      <w:r>
        <w:rPr>
          <w:rFonts w:hint="eastAsia" w:ascii="宋体" w:hAnsi="宋体"/>
          <w:b/>
          <w:bCs/>
          <w:sz w:val="28"/>
          <w:szCs w:val="28"/>
          <w:highlight w:val="none"/>
        </w:rPr>
        <w:t>说明：内容、格式自拟。</w:t>
      </w:r>
    </w:p>
    <w:p w14:paraId="3E077191">
      <w:pPr>
        <w:spacing w:line="460" w:lineRule="exact"/>
        <w:jc w:val="center"/>
        <w:rPr>
          <w:rFonts w:hint="eastAsia" w:ascii="宋体" w:hAnsi="宋体"/>
          <w:b/>
          <w:bCs/>
          <w:sz w:val="28"/>
          <w:szCs w:val="28"/>
          <w:highlight w:val="none"/>
        </w:rPr>
      </w:pPr>
    </w:p>
    <w:p w14:paraId="6DDF4DCF">
      <w:pPr>
        <w:widowControl/>
        <w:jc w:val="left"/>
        <w:rPr>
          <w:rFonts w:hint="eastAsia" w:ascii="宋体" w:hAnsi="宋体"/>
          <w:b/>
          <w:bCs/>
          <w:sz w:val="28"/>
          <w:szCs w:val="28"/>
          <w:highlight w:val="none"/>
        </w:rPr>
      </w:pPr>
    </w:p>
    <w:p w14:paraId="2C4DA1E9">
      <w:pPr>
        <w:widowControl/>
        <w:jc w:val="left"/>
        <w:rPr>
          <w:rFonts w:hint="eastAsia" w:ascii="宋体" w:hAnsi="宋体"/>
          <w:bCs/>
          <w:kern w:val="0"/>
          <w:sz w:val="38"/>
          <w:szCs w:val="20"/>
          <w:highlight w:val="none"/>
        </w:rPr>
      </w:pPr>
    </w:p>
    <w:p w14:paraId="2B994578">
      <w:pPr>
        <w:widowControl/>
        <w:jc w:val="left"/>
        <w:rPr>
          <w:rFonts w:hint="eastAsia" w:ascii="宋体" w:hAnsi="宋体"/>
          <w:bCs/>
          <w:kern w:val="0"/>
          <w:sz w:val="38"/>
          <w:szCs w:val="20"/>
          <w:highlight w:val="none"/>
        </w:rPr>
      </w:pPr>
      <w:bookmarkStart w:id="241" w:name="_Toc34761245"/>
      <w:r>
        <w:rPr>
          <w:rFonts w:ascii="宋体" w:hAnsi="宋体"/>
          <w:bCs/>
          <w:sz w:val="38"/>
          <w:highlight w:val="none"/>
        </w:rPr>
        <w:br w:type="page"/>
      </w:r>
    </w:p>
    <w:p w14:paraId="0DC9FDF4">
      <w:pPr>
        <w:pStyle w:val="7"/>
        <w:spacing w:before="0" w:after="120" w:line="700" w:lineRule="exact"/>
        <w:rPr>
          <w:rFonts w:hint="eastAsia" w:ascii="宋体" w:hAnsi="宋体" w:eastAsia="宋体"/>
          <w:b/>
          <w:spacing w:val="20"/>
          <w:sz w:val="32"/>
          <w:szCs w:val="32"/>
          <w:highlight w:val="none"/>
        </w:rPr>
      </w:pPr>
      <w:bookmarkStart w:id="242" w:name="_Toc13742"/>
      <w:r>
        <w:rPr>
          <w:rFonts w:hint="eastAsia" w:ascii="宋体" w:hAnsi="宋体" w:eastAsia="宋体"/>
          <w:bCs/>
          <w:sz w:val="38"/>
          <w:highlight w:val="none"/>
        </w:rPr>
        <w:t>封面</w:t>
      </w:r>
      <w:bookmarkEnd w:id="241"/>
      <w:bookmarkEnd w:id="242"/>
    </w:p>
    <w:p w14:paraId="17C69599">
      <w:pPr>
        <w:adjustRightInd w:val="0"/>
        <w:snapToGrid w:val="0"/>
        <w:spacing w:line="460" w:lineRule="atLeast"/>
        <w:ind w:left="380" w:hanging="380" w:hangingChars="100"/>
        <w:jc w:val="left"/>
        <w:rPr>
          <w:rFonts w:hint="eastAsia" w:ascii="宋体" w:hAnsi="宋体"/>
          <w:b/>
          <w:spacing w:val="20"/>
          <w:sz w:val="32"/>
          <w:szCs w:val="32"/>
          <w:highlight w:val="none"/>
        </w:rPr>
      </w:pPr>
      <w:r>
        <w:rPr>
          <w:rFonts w:hint="eastAsia" w:ascii="宋体" w:hAnsi="宋体"/>
          <w:bCs/>
          <w:kern w:val="0"/>
          <w:sz w:val="38"/>
          <w:szCs w:val="20"/>
          <w:highlight w:val="none"/>
        </w:rPr>
        <w:t>（仅供参考）</w:t>
      </w:r>
    </w:p>
    <w:p w14:paraId="38989BDB">
      <w:pPr>
        <w:adjustRightInd w:val="0"/>
        <w:snapToGrid w:val="0"/>
        <w:spacing w:line="460" w:lineRule="atLeast"/>
        <w:ind w:left="401" w:hanging="401" w:hangingChars="100"/>
        <w:rPr>
          <w:rFonts w:hint="eastAsia" w:ascii="宋体" w:hAnsi="宋体"/>
          <w:b/>
          <w:spacing w:val="20"/>
          <w:sz w:val="36"/>
          <w:szCs w:val="36"/>
          <w:highlight w:val="none"/>
        </w:rPr>
      </w:pPr>
    </w:p>
    <w:p w14:paraId="16D6C136">
      <w:pPr>
        <w:adjustRightInd w:val="0"/>
        <w:snapToGrid w:val="0"/>
        <w:spacing w:line="460" w:lineRule="atLeast"/>
        <w:ind w:left="401" w:hanging="401" w:hangingChars="100"/>
        <w:rPr>
          <w:rFonts w:hint="eastAsia" w:ascii="宋体" w:hAnsi="宋体"/>
          <w:b/>
          <w:spacing w:val="20"/>
          <w:sz w:val="36"/>
          <w:szCs w:val="36"/>
          <w:highlight w:val="none"/>
        </w:rPr>
      </w:pPr>
    </w:p>
    <w:p w14:paraId="1A6938BA">
      <w:pPr>
        <w:adjustRightInd w:val="0"/>
        <w:snapToGrid w:val="0"/>
        <w:spacing w:line="460" w:lineRule="atLeast"/>
        <w:ind w:left="401" w:hanging="401" w:hangingChars="100"/>
        <w:rPr>
          <w:rFonts w:hint="eastAsia" w:ascii="宋体" w:hAnsi="宋体"/>
          <w:b/>
          <w:spacing w:val="20"/>
          <w:sz w:val="36"/>
          <w:szCs w:val="36"/>
          <w:highlight w:val="none"/>
        </w:rPr>
      </w:pPr>
    </w:p>
    <w:p w14:paraId="60BF8448">
      <w:pPr>
        <w:adjustRightInd w:val="0"/>
        <w:snapToGrid w:val="0"/>
        <w:spacing w:line="460" w:lineRule="atLeast"/>
        <w:ind w:left="401" w:hanging="401" w:hangingChars="100"/>
        <w:rPr>
          <w:rFonts w:hint="eastAsia" w:ascii="宋体" w:hAnsi="宋体"/>
          <w:b/>
          <w:spacing w:val="20"/>
          <w:sz w:val="36"/>
          <w:szCs w:val="36"/>
          <w:highlight w:val="none"/>
        </w:rPr>
      </w:pPr>
    </w:p>
    <w:p w14:paraId="1439AF7C">
      <w:pPr>
        <w:spacing w:line="360" w:lineRule="auto"/>
        <w:jc w:val="center"/>
        <w:rPr>
          <w:rFonts w:hint="eastAsia" w:ascii="宋体" w:hAnsi="宋体"/>
          <w:b/>
          <w:sz w:val="96"/>
          <w:szCs w:val="22"/>
          <w:highlight w:val="none"/>
        </w:rPr>
      </w:pPr>
      <w:r>
        <w:rPr>
          <w:rFonts w:hint="eastAsia" w:ascii="宋体" w:hAnsi="宋体"/>
          <w:b/>
          <w:sz w:val="96"/>
          <w:szCs w:val="22"/>
          <w:highlight w:val="none"/>
        </w:rPr>
        <w:t xml:space="preserve">投 </w:t>
      </w:r>
      <w:r>
        <w:rPr>
          <w:rFonts w:ascii="宋体" w:hAnsi="宋体"/>
          <w:b/>
          <w:sz w:val="96"/>
          <w:szCs w:val="22"/>
          <w:highlight w:val="none"/>
        </w:rPr>
        <w:t xml:space="preserve"> </w:t>
      </w:r>
      <w:r>
        <w:rPr>
          <w:rFonts w:hint="eastAsia" w:ascii="宋体" w:hAnsi="宋体"/>
          <w:b/>
          <w:sz w:val="96"/>
          <w:szCs w:val="22"/>
          <w:highlight w:val="none"/>
        </w:rPr>
        <w:t xml:space="preserve">标 </w:t>
      </w:r>
      <w:r>
        <w:rPr>
          <w:rFonts w:ascii="宋体" w:hAnsi="宋体"/>
          <w:b/>
          <w:sz w:val="96"/>
          <w:szCs w:val="22"/>
          <w:highlight w:val="none"/>
        </w:rPr>
        <w:t xml:space="preserve"> </w:t>
      </w:r>
      <w:r>
        <w:rPr>
          <w:rFonts w:hint="eastAsia" w:ascii="宋体" w:hAnsi="宋体"/>
          <w:b/>
          <w:sz w:val="96"/>
          <w:szCs w:val="22"/>
          <w:highlight w:val="none"/>
        </w:rPr>
        <w:t xml:space="preserve">文 </w:t>
      </w:r>
      <w:r>
        <w:rPr>
          <w:rFonts w:ascii="宋体" w:hAnsi="宋体"/>
          <w:b/>
          <w:sz w:val="96"/>
          <w:szCs w:val="22"/>
          <w:highlight w:val="none"/>
        </w:rPr>
        <w:t xml:space="preserve"> </w:t>
      </w:r>
      <w:r>
        <w:rPr>
          <w:rFonts w:hint="eastAsia" w:ascii="宋体" w:hAnsi="宋体"/>
          <w:b/>
          <w:sz w:val="96"/>
          <w:szCs w:val="22"/>
          <w:highlight w:val="none"/>
        </w:rPr>
        <w:t>件</w:t>
      </w:r>
    </w:p>
    <w:p w14:paraId="18F9A877">
      <w:pPr>
        <w:spacing w:line="360" w:lineRule="auto"/>
        <w:jc w:val="center"/>
        <w:rPr>
          <w:rFonts w:hint="eastAsia" w:ascii="宋体" w:hAnsi="宋体"/>
          <w:b/>
          <w:sz w:val="44"/>
          <w:szCs w:val="44"/>
          <w:highlight w:val="none"/>
        </w:rPr>
      </w:pPr>
    </w:p>
    <w:p w14:paraId="65D39B59">
      <w:pPr>
        <w:spacing w:line="360" w:lineRule="auto"/>
        <w:jc w:val="center"/>
        <w:rPr>
          <w:rFonts w:hint="eastAsia" w:ascii="宋体" w:hAnsi="宋体"/>
          <w:b/>
          <w:sz w:val="44"/>
          <w:szCs w:val="44"/>
          <w:highlight w:val="none"/>
        </w:rPr>
      </w:pPr>
      <w:r>
        <w:rPr>
          <w:rFonts w:hint="eastAsia" w:ascii="宋体" w:hAnsi="宋体"/>
          <w:b/>
          <w:sz w:val="44"/>
          <w:szCs w:val="44"/>
          <w:highlight w:val="none"/>
        </w:rPr>
        <w:t>（资格文件/报价文件/商务技术文件）</w:t>
      </w:r>
    </w:p>
    <w:p w14:paraId="68E837C0">
      <w:pPr>
        <w:spacing w:line="360" w:lineRule="auto"/>
        <w:rPr>
          <w:rFonts w:hint="eastAsia" w:ascii="宋体" w:hAnsi="宋体"/>
          <w:b/>
          <w:szCs w:val="22"/>
          <w:highlight w:val="none"/>
        </w:rPr>
      </w:pPr>
    </w:p>
    <w:p w14:paraId="32A159CF">
      <w:pPr>
        <w:spacing w:line="360" w:lineRule="auto"/>
        <w:rPr>
          <w:rFonts w:hint="eastAsia" w:ascii="宋体" w:hAnsi="宋体"/>
          <w:b/>
          <w:szCs w:val="22"/>
          <w:highlight w:val="none"/>
        </w:rPr>
      </w:pPr>
    </w:p>
    <w:p w14:paraId="5A703A29">
      <w:pPr>
        <w:spacing w:line="360" w:lineRule="auto"/>
        <w:rPr>
          <w:rFonts w:hint="eastAsia" w:ascii="宋体" w:hAnsi="宋体"/>
          <w:b/>
          <w:szCs w:val="22"/>
          <w:highlight w:val="none"/>
        </w:rPr>
      </w:pPr>
    </w:p>
    <w:p w14:paraId="41B78793">
      <w:pPr>
        <w:spacing w:line="360" w:lineRule="auto"/>
        <w:rPr>
          <w:rFonts w:hint="eastAsia" w:ascii="宋体" w:hAnsi="宋体"/>
          <w:b/>
          <w:szCs w:val="22"/>
          <w:highlight w:val="none"/>
        </w:rPr>
      </w:pPr>
    </w:p>
    <w:p w14:paraId="14CC76C3">
      <w:pPr>
        <w:spacing w:line="360" w:lineRule="auto"/>
        <w:rPr>
          <w:rFonts w:hint="eastAsia" w:ascii="宋体" w:hAnsi="宋体"/>
          <w:b/>
          <w:szCs w:val="22"/>
          <w:highlight w:val="none"/>
        </w:rPr>
      </w:pPr>
    </w:p>
    <w:p w14:paraId="613C7D97">
      <w:pPr>
        <w:spacing w:line="360" w:lineRule="auto"/>
        <w:ind w:firstLine="1276" w:firstLineChars="454"/>
        <w:rPr>
          <w:rFonts w:hint="eastAsia" w:ascii="宋体" w:hAnsi="宋体"/>
          <w:b/>
          <w:sz w:val="36"/>
          <w:szCs w:val="22"/>
          <w:highlight w:val="none"/>
          <w:u w:val="single"/>
        </w:rPr>
      </w:pPr>
      <w:r>
        <w:rPr>
          <w:rFonts w:hint="eastAsia" w:ascii="宋体" w:hAnsi="宋体"/>
          <w:b/>
          <w:sz w:val="28"/>
          <w:szCs w:val="22"/>
          <w:highlight w:val="none"/>
        </w:rPr>
        <w:t>项目名称：</w:t>
      </w:r>
      <w:r>
        <w:rPr>
          <w:rFonts w:hint="eastAsia" w:ascii="宋体" w:hAnsi="宋体"/>
          <w:b/>
          <w:sz w:val="28"/>
          <w:szCs w:val="22"/>
          <w:highlight w:val="none"/>
          <w:u w:val="single"/>
        </w:rPr>
        <w:t xml:space="preserve">                                  </w:t>
      </w:r>
    </w:p>
    <w:p w14:paraId="55293418">
      <w:pPr>
        <w:spacing w:line="360" w:lineRule="auto"/>
        <w:ind w:firstLine="1276" w:firstLineChars="454"/>
        <w:rPr>
          <w:rFonts w:hint="eastAsia" w:ascii="宋体" w:hAnsi="宋体"/>
          <w:b/>
          <w:sz w:val="28"/>
          <w:szCs w:val="22"/>
          <w:highlight w:val="none"/>
          <w:u w:val="single"/>
        </w:rPr>
      </w:pPr>
      <w:r>
        <w:rPr>
          <w:rFonts w:hint="eastAsia" w:ascii="宋体" w:hAnsi="宋体"/>
          <w:b/>
          <w:sz w:val="28"/>
          <w:szCs w:val="22"/>
          <w:highlight w:val="none"/>
        </w:rPr>
        <w:t>项目编号：</w:t>
      </w:r>
      <w:r>
        <w:rPr>
          <w:rFonts w:hint="eastAsia" w:ascii="宋体" w:hAnsi="宋体"/>
          <w:b/>
          <w:sz w:val="28"/>
          <w:szCs w:val="22"/>
          <w:highlight w:val="none"/>
          <w:u w:val="single"/>
        </w:rPr>
        <w:t xml:space="preserve">                                  </w:t>
      </w:r>
    </w:p>
    <w:p w14:paraId="247811E3">
      <w:pPr>
        <w:spacing w:line="360" w:lineRule="auto"/>
        <w:ind w:firstLine="1276" w:firstLineChars="454"/>
        <w:rPr>
          <w:rFonts w:hint="eastAsia" w:ascii="宋体" w:hAnsi="宋体"/>
          <w:b/>
          <w:sz w:val="28"/>
          <w:szCs w:val="22"/>
          <w:highlight w:val="none"/>
          <w:u w:val="single"/>
        </w:rPr>
      </w:pPr>
      <w:r>
        <w:rPr>
          <w:rFonts w:hint="eastAsia" w:ascii="宋体" w:hAnsi="宋体"/>
          <w:b/>
          <w:sz w:val="28"/>
          <w:szCs w:val="22"/>
          <w:highlight w:val="none"/>
        </w:rPr>
        <w:t>投标单位：</w:t>
      </w:r>
      <w:r>
        <w:rPr>
          <w:rFonts w:hint="eastAsia" w:ascii="宋体" w:hAnsi="宋体"/>
          <w:b/>
          <w:sz w:val="28"/>
          <w:szCs w:val="22"/>
          <w:highlight w:val="none"/>
          <w:u w:val="single"/>
        </w:rPr>
        <w:t xml:space="preserve">                  </w:t>
      </w:r>
      <w:r>
        <w:rPr>
          <w:rFonts w:ascii="宋体" w:hAnsi="宋体"/>
          <w:b/>
          <w:sz w:val="28"/>
          <w:szCs w:val="22"/>
          <w:highlight w:val="none"/>
          <w:u w:val="single"/>
        </w:rPr>
        <w:t xml:space="preserve">        </w:t>
      </w:r>
      <w:r>
        <w:rPr>
          <w:rFonts w:hint="eastAsia" w:ascii="宋体" w:hAnsi="宋体"/>
          <w:b/>
          <w:sz w:val="28"/>
          <w:szCs w:val="22"/>
          <w:highlight w:val="none"/>
          <w:u w:val="single"/>
        </w:rPr>
        <w:t xml:space="preserve">       </w:t>
      </w:r>
    </w:p>
    <w:p w14:paraId="28375991">
      <w:pPr>
        <w:spacing w:line="360" w:lineRule="auto"/>
        <w:ind w:firstLine="1276" w:firstLineChars="454"/>
        <w:rPr>
          <w:rFonts w:hint="eastAsia" w:ascii="宋体" w:hAnsi="宋体"/>
          <w:b/>
          <w:sz w:val="28"/>
          <w:szCs w:val="22"/>
          <w:highlight w:val="none"/>
          <w:u w:val="single"/>
        </w:rPr>
      </w:pPr>
      <w:r>
        <w:rPr>
          <w:rFonts w:hint="eastAsia" w:ascii="宋体" w:hAnsi="宋体"/>
          <w:b/>
          <w:sz w:val="28"/>
          <w:szCs w:val="22"/>
          <w:highlight w:val="none"/>
        </w:rPr>
        <w:t>日期：</w:t>
      </w:r>
      <w:r>
        <w:rPr>
          <w:rFonts w:hint="eastAsia" w:ascii="宋体" w:hAnsi="宋体"/>
          <w:b/>
          <w:sz w:val="28"/>
          <w:szCs w:val="22"/>
          <w:highlight w:val="none"/>
          <w:u w:val="single"/>
        </w:rPr>
        <w:t xml:space="preserve">                                      </w:t>
      </w:r>
    </w:p>
    <w:p w14:paraId="30EF7C01">
      <w:pPr>
        <w:widowControl/>
        <w:jc w:val="left"/>
        <w:rPr>
          <w:rFonts w:hint="eastAsia" w:ascii="宋体" w:hAnsi="宋体"/>
          <w:bCs/>
          <w:kern w:val="0"/>
          <w:sz w:val="38"/>
          <w:szCs w:val="20"/>
          <w:highlight w:val="none"/>
        </w:rPr>
      </w:pPr>
      <w:bookmarkStart w:id="243" w:name="_Toc43648024"/>
      <w:r>
        <w:rPr>
          <w:rFonts w:ascii="宋体" w:hAnsi="宋体"/>
          <w:bCs/>
          <w:sz w:val="38"/>
          <w:highlight w:val="none"/>
        </w:rPr>
        <w:br w:type="page"/>
      </w:r>
    </w:p>
    <w:bookmarkEnd w:id="231"/>
    <w:bookmarkEnd w:id="232"/>
    <w:bookmarkEnd w:id="233"/>
    <w:bookmarkEnd w:id="234"/>
    <w:bookmarkEnd w:id="235"/>
    <w:bookmarkEnd w:id="236"/>
    <w:bookmarkEnd w:id="237"/>
    <w:bookmarkEnd w:id="238"/>
    <w:bookmarkEnd w:id="239"/>
    <w:bookmarkEnd w:id="240"/>
    <w:bookmarkEnd w:id="243"/>
    <w:p w14:paraId="2D5E1FFD">
      <w:pPr>
        <w:pStyle w:val="5"/>
        <w:tabs>
          <w:tab w:val="left" w:pos="1703"/>
          <w:tab w:val="center" w:pos="4819"/>
        </w:tabs>
        <w:spacing w:before="240" w:beforeLines="100"/>
        <w:rPr>
          <w:rFonts w:hint="eastAsia" w:ascii="宋体" w:hAnsi="宋体" w:eastAsia="宋体"/>
          <w:sz w:val="36"/>
          <w:szCs w:val="36"/>
          <w:highlight w:val="none"/>
        </w:rPr>
      </w:pPr>
      <w:bookmarkStart w:id="244" w:name="_Toc10568"/>
      <w:r>
        <w:rPr>
          <w:rFonts w:hint="eastAsia" w:ascii="宋体" w:hAnsi="宋体" w:eastAsia="宋体"/>
          <w:sz w:val="36"/>
          <w:szCs w:val="36"/>
          <w:highlight w:val="none"/>
        </w:rPr>
        <w:t>第四部分   采购内容及要求</w:t>
      </w:r>
      <w:bookmarkEnd w:id="244"/>
    </w:p>
    <w:p w14:paraId="1CF1D3DD">
      <w:pPr>
        <w:pStyle w:val="6"/>
        <w:spacing w:before="0" w:after="0" w:line="360" w:lineRule="auto"/>
        <w:jc w:val="center"/>
        <w:rPr>
          <w:rFonts w:hint="eastAsia" w:ascii="宋体" w:hAnsi="宋体" w:eastAsia="宋体"/>
          <w:sz w:val="28"/>
          <w:szCs w:val="28"/>
          <w:highlight w:val="none"/>
        </w:rPr>
      </w:pPr>
      <w:bookmarkStart w:id="245" w:name="_Toc46155113"/>
      <w:bookmarkStart w:id="246" w:name="_Toc203534124"/>
      <w:bookmarkStart w:id="247" w:name="_Toc495862905"/>
      <w:bookmarkStart w:id="248" w:name="_Toc491529537"/>
      <w:bookmarkStart w:id="249" w:name="_Toc365203313"/>
      <w:bookmarkStart w:id="250" w:name="_Toc3690"/>
      <w:r>
        <w:rPr>
          <w:rFonts w:hint="eastAsia" w:ascii="宋体" w:hAnsi="宋体" w:eastAsia="宋体"/>
          <w:sz w:val="28"/>
          <w:szCs w:val="28"/>
          <w:highlight w:val="none"/>
        </w:rPr>
        <w:t>（一）、总则</w:t>
      </w:r>
      <w:bookmarkEnd w:id="245"/>
      <w:bookmarkEnd w:id="246"/>
      <w:bookmarkEnd w:id="247"/>
      <w:bookmarkEnd w:id="248"/>
      <w:bookmarkEnd w:id="249"/>
      <w:bookmarkEnd w:id="250"/>
    </w:p>
    <w:p w14:paraId="3C5213E8">
      <w:pPr>
        <w:autoSpaceDE w:val="0"/>
        <w:autoSpaceDN w:val="0"/>
        <w:adjustRightInd w:val="0"/>
        <w:spacing w:line="520" w:lineRule="exact"/>
        <w:contextualSpacing/>
        <w:textAlignment w:val="bottom"/>
        <w:rPr>
          <w:rFonts w:ascii="宋体" w:hAnsi="宋体" w:cs="宋体"/>
          <w:b/>
          <w:sz w:val="22"/>
          <w:szCs w:val="22"/>
        </w:rPr>
      </w:pPr>
      <w:r>
        <w:rPr>
          <w:rFonts w:hint="eastAsia" w:ascii="宋体" w:hAnsi="宋体" w:cs="宋体"/>
          <w:b/>
          <w:sz w:val="22"/>
          <w:szCs w:val="22"/>
        </w:rPr>
        <w:t>一、</w:t>
      </w:r>
      <w:r>
        <w:rPr>
          <w:rFonts w:hint="eastAsia" w:ascii="宋体" w:hAnsi="宋体" w:eastAsia="宋体" w:cs="宋体"/>
          <w:b/>
          <w:sz w:val="22"/>
          <w:szCs w:val="22"/>
        </w:rPr>
        <w:t>总则</w:t>
      </w:r>
    </w:p>
    <w:p w14:paraId="198C4E72">
      <w:pPr>
        <w:spacing w:line="5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现场勘察：各标段投标人于投标截止时间前自行进行现场踏勘等活动，以获取本次投标所需的现场资料及数据，投标人若未到现场踏勘，引起的一切后果均由其自行负责，由此造成投标价的偏差均不予调整。现场踏勘费用自理。</w:t>
      </w:r>
    </w:p>
    <w:p w14:paraId="7BC94CAC">
      <w:pPr>
        <w:spacing w:line="5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2、投标供应商必须根据自己的综合优势对此项目的全部内容进行投标，不得只投其中一部分内容。</w:t>
      </w:r>
    </w:p>
    <w:p w14:paraId="6BA29AAB">
      <w:pPr>
        <w:spacing w:line="5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3、技术要求及标准的执行</w:t>
      </w:r>
    </w:p>
    <w:p w14:paraId="49E0048F">
      <w:pPr>
        <w:spacing w:line="520" w:lineRule="exact"/>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供应商提供的产品应标明所执行的质量标准，若同一标准已颁发新标准，则按最新标准执行。若同一产品同时有几个标准（国际标准、国家标准、行业标准、企业标准等），则按最高层次的标准执行。</w:t>
      </w:r>
    </w:p>
    <w:p w14:paraId="20127B27">
      <w:pPr>
        <w:spacing w:line="520" w:lineRule="exact"/>
        <w:contextualSpacing/>
        <w:rPr>
          <w:rFonts w:hint="eastAsia" w:ascii="宋体" w:hAnsi="宋体" w:eastAsia="宋体" w:cs="宋体"/>
          <w:sz w:val="21"/>
          <w:szCs w:val="21"/>
        </w:rPr>
      </w:pPr>
      <w:r>
        <w:rPr>
          <w:rFonts w:hint="eastAsia" w:ascii="宋体" w:hAnsi="宋体" w:eastAsia="宋体" w:cs="宋体"/>
          <w:sz w:val="21"/>
          <w:szCs w:val="21"/>
        </w:rPr>
        <w:t xml:space="preserve">    4、供应商须按国家有关规定及标准完成本次采购产品的供货、运输、装卸、就位、技术培训、检验、通过有关部门验收等各项工作，并保证投标产品使用的安全性能与检测结果的可靠性。如中标，中标供应商及投标供应商对中标产品使用的安全性能与可靠性负全部责任。中标供应商须随产品提供说明书。供应商提供相关数据与说明，投标文件须对下列要求作出实质性回应。</w:t>
      </w:r>
    </w:p>
    <w:p w14:paraId="6E7BA52A">
      <w:pPr>
        <w:rPr>
          <w:rFonts w:hint="eastAsia" w:ascii="宋体" w:hAnsi="宋体" w:eastAsia="宋体" w:cs="宋体"/>
          <w:b/>
          <w:sz w:val="22"/>
          <w:szCs w:val="22"/>
        </w:rPr>
      </w:pPr>
    </w:p>
    <w:p w14:paraId="7857DCA2">
      <w:pPr>
        <w:rPr>
          <w:rFonts w:hint="eastAsia" w:ascii="宋体" w:hAnsi="宋体" w:eastAsia="宋体" w:cs="宋体"/>
          <w:b/>
          <w:color w:val="auto"/>
          <w:sz w:val="22"/>
          <w:szCs w:val="22"/>
          <w:lang w:eastAsia="zh-CN"/>
        </w:rPr>
      </w:pPr>
      <w:r>
        <w:rPr>
          <w:rFonts w:hint="eastAsia" w:ascii="宋体" w:hAnsi="宋体" w:eastAsia="宋体" w:cs="宋体"/>
          <w:b/>
          <w:color w:val="auto"/>
          <w:sz w:val="22"/>
          <w:szCs w:val="22"/>
        </w:rPr>
        <w:t>二、采购内容及要求</w:t>
      </w:r>
      <w:r>
        <w:rPr>
          <w:rFonts w:hint="eastAsia" w:ascii="宋体" w:hAnsi="宋体" w:eastAsia="宋体" w:cs="宋体"/>
          <w:b/>
          <w:color w:val="auto"/>
          <w:sz w:val="22"/>
          <w:szCs w:val="22"/>
          <w:lang w:eastAsia="zh-CN"/>
        </w:rPr>
        <w:t>（</w:t>
      </w:r>
      <w:r>
        <w:rPr>
          <w:rFonts w:hint="eastAsia" w:ascii="宋体" w:hAnsi="宋体" w:eastAsia="宋体" w:cs="宋体"/>
          <w:b w:val="0"/>
          <w:bCs/>
          <w:color w:val="auto"/>
          <w:sz w:val="22"/>
          <w:szCs w:val="22"/>
        </w:rPr>
        <w:t>▲条款为废标项</w:t>
      </w:r>
      <w:r>
        <w:rPr>
          <w:rFonts w:hint="eastAsia" w:ascii="宋体" w:hAnsi="宋体" w:eastAsia="宋体" w:cs="宋体"/>
          <w:b w:val="0"/>
          <w:bCs/>
          <w:color w:val="auto"/>
          <w:sz w:val="22"/>
          <w:szCs w:val="22"/>
          <w:lang w:eastAsia="zh-CN"/>
        </w:rPr>
        <w:t>不得负偏离</w:t>
      </w:r>
      <w:r>
        <w:rPr>
          <w:rFonts w:hint="eastAsia" w:ascii="宋体" w:hAnsi="宋体" w:eastAsia="宋体" w:cs="宋体"/>
          <w:b w:val="0"/>
          <w:bCs/>
          <w:color w:val="auto"/>
          <w:sz w:val="22"/>
          <w:szCs w:val="22"/>
        </w:rPr>
        <w:t>，★条款是重要参数</w:t>
      </w:r>
      <w:r>
        <w:rPr>
          <w:rFonts w:hint="eastAsia" w:ascii="宋体" w:hAnsi="宋体" w:eastAsia="宋体" w:cs="宋体"/>
          <w:b/>
          <w:color w:val="auto"/>
          <w:sz w:val="22"/>
          <w:szCs w:val="22"/>
          <w:lang w:eastAsia="zh-CN"/>
        </w:rPr>
        <w:t>）</w:t>
      </w:r>
    </w:p>
    <w:p w14:paraId="31607561">
      <w:pPr>
        <w:pStyle w:val="2"/>
        <w:ind w:firstLine="241"/>
        <w:rPr>
          <w:rFonts w:hint="eastAsia" w:ascii="宋体" w:hAnsi="宋体" w:eastAsia="宋体" w:cs="宋体"/>
          <w:b/>
          <w:bCs/>
          <w:sz w:val="22"/>
          <w:szCs w:val="22"/>
          <w:lang w:val="en-US" w:eastAsia="zh-CN"/>
        </w:rPr>
      </w:pPr>
    </w:p>
    <w:p w14:paraId="39E52583">
      <w:pPr>
        <w:pStyle w:val="2"/>
        <w:ind w:firstLine="241"/>
        <w:rPr>
          <w:rFonts w:hint="eastAsia" w:ascii="宋体" w:hAnsi="宋体" w:eastAsia="宋体" w:cs="宋体"/>
          <w:b/>
          <w:bCs/>
          <w:sz w:val="22"/>
          <w:szCs w:val="22"/>
          <w:lang w:eastAsia="zh-CN"/>
        </w:rPr>
      </w:pPr>
      <w:r>
        <w:rPr>
          <w:rFonts w:hint="eastAsia" w:ascii="宋体" w:hAnsi="宋体" w:eastAsia="宋体" w:cs="宋体"/>
          <w:b/>
          <w:bCs/>
          <w:sz w:val="22"/>
          <w:szCs w:val="22"/>
          <w:lang w:val="en-US" w:eastAsia="zh-CN"/>
        </w:rPr>
        <w:t>（一）</w:t>
      </w:r>
      <w:r>
        <w:rPr>
          <w:rFonts w:hint="eastAsia" w:ascii="宋体" w:hAnsi="宋体" w:eastAsia="宋体" w:cs="宋体"/>
          <w:b/>
          <w:bCs/>
          <w:sz w:val="22"/>
          <w:szCs w:val="22"/>
        </w:rPr>
        <w:t>电梯清单</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196"/>
      </w:tblGrid>
      <w:tr w14:paraId="6295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386275FC">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设备编号</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10571867">
            <w:pPr>
              <w:pStyle w:val="33"/>
              <w:spacing w:line="240" w:lineRule="auto"/>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有机房无障碍医用电梯</w:t>
            </w:r>
          </w:p>
        </w:tc>
      </w:tr>
      <w:tr w14:paraId="641A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CD85C92">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安装位置</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BFE4D5A">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DT1</w:t>
            </w:r>
          </w:p>
        </w:tc>
      </w:tr>
      <w:tr w14:paraId="74AF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0C47BB03">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64AACDB">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台</w:t>
            </w:r>
          </w:p>
        </w:tc>
      </w:tr>
      <w:tr w14:paraId="2727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9570218">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布置方式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4EF5B8D">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单台</w:t>
            </w:r>
          </w:p>
        </w:tc>
      </w:tr>
      <w:tr w14:paraId="4763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CF7D7D1">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载重量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622E1DFA">
            <w:pPr>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1600</w:t>
            </w:r>
            <w:r>
              <w:rPr>
                <w:rFonts w:hint="eastAsia" w:ascii="宋体" w:hAnsi="宋体" w:eastAsia="宋体" w:cs="宋体"/>
                <w:b w:val="0"/>
                <w:bCs w:val="0"/>
                <w:color w:val="auto"/>
                <w:sz w:val="21"/>
                <w:szCs w:val="21"/>
                <w:highlight w:val="none"/>
              </w:rPr>
              <w:t>kg</w:t>
            </w:r>
          </w:p>
        </w:tc>
      </w:tr>
      <w:tr w14:paraId="24CE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08443743">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速度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7FF15B7D">
            <w:pPr>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rPr>
              <w:t>m/s</w:t>
            </w:r>
          </w:p>
        </w:tc>
      </w:tr>
      <w:tr w14:paraId="05212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642BC00A">
            <w:pPr>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对重安全钳</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6D4887A1">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34662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F0D5810">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层/站/门</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D3E03F3">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层</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站</w:t>
            </w:r>
            <w:r>
              <w:rPr>
                <w:rFonts w:hint="eastAsia" w:ascii="宋体" w:hAnsi="宋体" w:eastAsia="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rPr>
              <w:t>门</w:t>
            </w:r>
          </w:p>
        </w:tc>
      </w:tr>
      <w:tr w14:paraId="0BE0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9B736C9">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停靠楼层</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15148B73">
            <w:pPr>
              <w:snapToGrid w:val="0"/>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-1~10</w:t>
            </w:r>
          </w:p>
        </w:tc>
      </w:tr>
      <w:tr w14:paraId="4E5FA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0E7D3CF0">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基站</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E59E3FE">
            <w:pPr>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1F</w:t>
            </w:r>
          </w:p>
        </w:tc>
      </w:tr>
      <w:tr w14:paraId="7A8D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2EFAB44">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井道净尺寸 (宽×深) </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8424CE0">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2670*2700</w:t>
            </w:r>
            <w:r>
              <w:rPr>
                <w:rFonts w:hint="eastAsia" w:ascii="宋体" w:hAnsi="宋体" w:eastAsia="宋体" w:cs="宋体"/>
                <w:b w:val="0"/>
                <w:bCs w:val="0"/>
                <w:color w:val="auto"/>
                <w:sz w:val="21"/>
                <w:szCs w:val="21"/>
                <w:highlight w:val="none"/>
              </w:rPr>
              <w:t xml:space="preserve">   </w:t>
            </w:r>
          </w:p>
        </w:tc>
      </w:tr>
      <w:tr w14:paraId="3114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36C9DC8E">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门洞净尺寸 (宽×高)</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2A6C568">
            <w:pPr>
              <w:snapToGrid w:val="0"/>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00*2500</w:t>
            </w:r>
          </w:p>
        </w:tc>
      </w:tr>
      <w:tr w14:paraId="6B432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499F347">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开门净尺寸 (宽×高)</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E0ECA1D">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00*2</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val="en-US" w:eastAsia="zh-CN"/>
              </w:rPr>
              <w:t>00</w:t>
            </w:r>
          </w:p>
        </w:tc>
      </w:tr>
      <w:tr w14:paraId="7DCB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656BA49">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开门方式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9765D09">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旁开门</w:t>
            </w:r>
          </w:p>
        </w:tc>
      </w:tr>
      <w:tr w14:paraId="422FE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2C9F027">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顶层高度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4D54FE99">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00</w:t>
            </w:r>
          </w:p>
        </w:tc>
      </w:tr>
      <w:tr w14:paraId="3CCD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71A36F3">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底坑深度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690A8BC">
            <w:pPr>
              <w:snapToGrid w:val="0"/>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1450</w:t>
            </w:r>
          </w:p>
        </w:tc>
      </w:tr>
      <w:tr w14:paraId="6A70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6A577C4">
            <w:pPr>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提升高度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20B50AF">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38.75</w:t>
            </w:r>
            <w:r>
              <w:rPr>
                <w:rFonts w:hint="eastAsia" w:ascii="宋体" w:hAnsi="宋体" w:eastAsia="宋体" w:cs="宋体"/>
                <w:b w:val="0"/>
                <w:bCs w:val="0"/>
                <w:color w:val="auto"/>
                <w:sz w:val="21"/>
                <w:szCs w:val="21"/>
                <w:highlight w:val="none"/>
              </w:rPr>
              <w:t>m</w:t>
            </w:r>
          </w:p>
        </w:tc>
      </w:tr>
      <w:tr w14:paraId="7CC9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2F09DAE9">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驱动方式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6B295046">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永磁同步无齿轮交流变频变压调速</w:t>
            </w:r>
          </w:p>
        </w:tc>
      </w:tr>
      <w:tr w14:paraId="6AF2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797413D">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控制方式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7CF7BBD7">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采用双32位全电脑控制技术，全选集控制方式</w:t>
            </w:r>
          </w:p>
        </w:tc>
      </w:tr>
      <w:tr w14:paraId="6C2A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842A78E">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门机系统</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0ACF72D">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永磁同步变频门机系统，配防扒开装置</w:t>
            </w:r>
          </w:p>
        </w:tc>
      </w:tr>
      <w:tr w14:paraId="780D4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3ABE4CE">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门保护</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705FF94">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采用光幕门保护系统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提供光幕检测报告）</w:t>
            </w:r>
          </w:p>
        </w:tc>
      </w:tr>
      <w:tr w14:paraId="378F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0B9BD693">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6A6749C9">
            <w:pPr>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报价中应包括井道照明、爬梯</w:t>
            </w:r>
          </w:p>
        </w:tc>
      </w:tr>
      <w:tr w14:paraId="1C57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46C29C99">
            <w:pPr>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687E04D6">
            <w:pPr>
              <w:pStyle w:val="3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w:t>
            </w:r>
            <w:r>
              <w:rPr>
                <w:rFonts w:hint="eastAsia" w:ascii="宋体" w:hAnsi="宋体" w:eastAsia="宋体" w:cs="宋体"/>
                <w:color w:val="auto"/>
                <w:sz w:val="21"/>
                <w:szCs w:val="21"/>
                <w:u w:val="none"/>
              </w:rPr>
              <w:t>采用花纹钢板</w:t>
            </w:r>
          </w:p>
          <w:p w14:paraId="040BBD60">
            <w:pPr>
              <w:pStyle w:val="3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▲配备单冷空调（1.5P）</w:t>
            </w:r>
          </w:p>
          <w:p w14:paraId="3FA921B4">
            <w:pPr>
              <w:pStyle w:val="3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轿厢后壁采用发纹不锈钢，其余壁板均采用发纹不锈钢，无障碍功能电梯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设置三侧不锈钢扶手</w:t>
            </w:r>
          </w:p>
          <w:p w14:paraId="5D95AF1A">
            <w:pPr>
              <w:pStyle w:val="33"/>
              <w:spacing w:line="24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▲配备物联网功能</w:t>
            </w:r>
          </w:p>
        </w:tc>
      </w:tr>
    </w:tbl>
    <w:p w14:paraId="7F02D3C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kern w:val="0"/>
          <w:sz w:val="22"/>
          <w:szCs w:val="22"/>
        </w:rPr>
      </w:pPr>
      <w:r>
        <w:rPr>
          <w:rFonts w:hint="eastAsia" w:ascii="宋体" w:hAnsi="宋体" w:eastAsia="宋体" w:cs="宋体"/>
          <w:b/>
          <w:bCs/>
          <w:color w:val="auto"/>
          <w:kern w:val="0"/>
          <w:sz w:val="21"/>
          <w:szCs w:val="21"/>
        </w:rPr>
        <w:t>备注：具体参数若有出入，最终</w:t>
      </w:r>
      <w:r>
        <w:rPr>
          <w:rFonts w:hint="eastAsia" w:ascii="宋体" w:hAnsi="宋体" w:eastAsia="宋体" w:cs="宋体"/>
          <w:b/>
          <w:bCs/>
          <w:color w:val="auto"/>
          <w:kern w:val="0"/>
          <w:sz w:val="21"/>
          <w:szCs w:val="21"/>
          <w:lang w:val="en-US" w:eastAsia="zh-CN"/>
        </w:rPr>
        <w:t>现场</w:t>
      </w:r>
      <w:r>
        <w:rPr>
          <w:rFonts w:hint="eastAsia" w:ascii="宋体" w:hAnsi="宋体" w:eastAsia="宋体" w:cs="宋体"/>
          <w:b/>
          <w:bCs/>
          <w:color w:val="auto"/>
          <w:kern w:val="0"/>
          <w:sz w:val="21"/>
          <w:szCs w:val="21"/>
        </w:rPr>
        <w:t>为准。具体进场时间以</w:t>
      </w:r>
      <w:r>
        <w:rPr>
          <w:rFonts w:hint="eastAsia" w:ascii="宋体" w:hAnsi="宋体" w:eastAsia="宋体" w:cs="宋体"/>
          <w:b/>
          <w:bCs/>
          <w:color w:val="auto"/>
          <w:kern w:val="0"/>
          <w:sz w:val="21"/>
          <w:szCs w:val="21"/>
          <w:lang w:eastAsia="zh-CN"/>
        </w:rPr>
        <w:t>采购人</w:t>
      </w:r>
      <w:r>
        <w:rPr>
          <w:rFonts w:hint="eastAsia" w:ascii="宋体" w:hAnsi="宋体" w:eastAsia="宋体" w:cs="宋体"/>
          <w:b/>
          <w:bCs/>
          <w:color w:val="auto"/>
          <w:kern w:val="0"/>
          <w:sz w:val="21"/>
          <w:szCs w:val="21"/>
        </w:rPr>
        <w:t>通知为准。</w:t>
      </w:r>
    </w:p>
    <w:tbl>
      <w:tblPr>
        <w:tblStyle w:val="35"/>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7196"/>
      </w:tblGrid>
      <w:tr w14:paraId="7FB5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4DADA3DA">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设备编号</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34C7E88">
            <w:pPr>
              <w:pStyle w:val="33"/>
              <w:spacing w:line="240" w:lineRule="auto"/>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有机房无障碍电梯</w:t>
            </w:r>
          </w:p>
        </w:tc>
      </w:tr>
      <w:tr w14:paraId="35BF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1464F63">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安装位置</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1AE0355">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DT</w:t>
            </w:r>
            <w:r>
              <w:rPr>
                <w:rFonts w:hint="eastAsia" w:ascii="宋体" w:hAnsi="宋体" w:cs="宋体"/>
                <w:b w:val="0"/>
                <w:bCs w:val="0"/>
                <w:color w:val="auto"/>
                <w:sz w:val="21"/>
                <w:szCs w:val="21"/>
                <w:highlight w:val="none"/>
                <w:lang w:val="en-US" w:eastAsia="zh-CN"/>
              </w:rPr>
              <w:t>2</w:t>
            </w:r>
          </w:p>
        </w:tc>
      </w:tr>
      <w:tr w14:paraId="1E5EC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548BD86">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52E2039F">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台</w:t>
            </w:r>
          </w:p>
        </w:tc>
      </w:tr>
      <w:tr w14:paraId="3F0D9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9167DF9">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布置方式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5555A960">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单台</w:t>
            </w:r>
          </w:p>
        </w:tc>
      </w:tr>
      <w:tr w14:paraId="77FA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73CCDB0">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载重量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B405615">
            <w:pPr>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05</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kg</w:t>
            </w:r>
          </w:p>
        </w:tc>
      </w:tr>
      <w:tr w14:paraId="458D0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41C3D908">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速度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19C9CA9E">
            <w:pPr>
              <w:snapToGrid w:val="0"/>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75</w:t>
            </w:r>
            <w:r>
              <w:rPr>
                <w:rFonts w:hint="eastAsia" w:ascii="宋体" w:hAnsi="宋体" w:eastAsia="宋体" w:cs="宋体"/>
                <w:b w:val="0"/>
                <w:bCs w:val="0"/>
                <w:color w:val="auto"/>
                <w:sz w:val="21"/>
                <w:szCs w:val="21"/>
                <w:highlight w:val="none"/>
              </w:rPr>
              <w:t>m/s</w:t>
            </w:r>
          </w:p>
        </w:tc>
      </w:tr>
      <w:tr w14:paraId="003EA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BC9669F">
            <w:pPr>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对重安全钳</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46453DA0">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w:t>
            </w:r>
          </w:p>
        </w:tc>
      </w:tr>
      <w:tr w14:paraId="5FAE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01D0D476">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层/站/门</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54846D68">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层</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站</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门</w:t>
            </w:r>
          </w:p>
        </w:tc>
      </w:tr>
      <w:tr w14:paraId="338C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012D063">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停靠楼层</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E4FE820">
            <w:pPr>
              <w:snapToGrid w:val="0"/>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9</w:t>
            </w:r>
          </w:p>
        </w:tc>
      </w:tr>
      <w:tr w14:paraId="7D7B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7F26E9C8">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基站</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1F3EB76E">
            <w:pPr>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1F</w:t>
            </w:r>
          </w:p>
        </w:tc>
      </w:tr>
      <w:tr w14:paraId="2F9E1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3EAD425">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井道净尺寸 (宽×深) </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2990D69">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val="en-US" w:eastAsia="zh-CN"/>
              </w:rPr>
              <w:t>0*2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00</w:t>
            </w:r>
            <w:r>
              <w:rPr>
                <w:rFonts w:hint="eastAsia" w:ascii="宋体" w:hAnsi="宋体" w:eastAsia="宋体" w:cs="宋体"/>
                <w:b w:val="0"/>
                <w:bCs w:val="0"/>
                <w:color w:val="auto"/>
                <w:sz w:val="21"/>
                <w:szCs w:val="21"/>
                <w:highlight w:val="none"/>
              </w:rPr>
              <w:t xml:space="preserve">   </w:t>
            </w:r>
          </w:p>
        </w:tc>
      </w:tr>
      <w:tr w14:paraId="6CF6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0A20AB09">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门洞净尺寸 (宽×高)</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7C42DD1E">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00*2</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00</w:t>
            </w:r>
          </w:p>
        </w:tc>
      </w:tr>
      <w:tr w14:paraId="4CDF3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53F11C7">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开门净尺寸 (宽×高)</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22C4B95">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lang w:val="en-US" w:eastAsia="zh-CN"/>
              </w:rPr>
              <w:t>00*2100</w:t>
            </w:r>
          </w:p>
        </w:tc>
      </w:tr>
      <w:tr w14:paraId="2C5B2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1E0ED05C">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开门方式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76537938">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旁开门</w:t>
            </w:r>
          </w:p>
        </w:tc>
      </w:tr>
      <w:tr w14:paraId="0050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383FEB69">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顶层高度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B795D96">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4700</w:t>
            </w:r>
          </w:p>
        </w:tc>
      </w:tr>
      <w:tr w14:paraId="3DCE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8D7AFED">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底坑深度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4AEFC9C7">
            <w:pPr>
              <w:snapToGrid w:val="0"/>
              <w:spacing w:line="240" w:lineRule="auto"/>
              <w:jc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2200</w:t>
            </w:r>
          </w:p>
        </w:tc>
      </w:tr>
      <w:tr w14:paraId="6AA2D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314CB366">
            <w:pPr>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提升高度</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1AF8DF9">
            <w:pPr>
              <w:snapToGrid w:val="0"/>
              <w:spacing w:line="240" w:lineRule="auto"/>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70</w:t>
            </w:r>
            <w:r>
              <w:rPr>
                <w:rFonts w:hint="eastAsia" w:ascii="宋体" w:hAnsi="宋体" w:eastAsia="宋体" w:cs="宋体"/>
                <w:b w:val="0"/>
                <w:bCs w:val="0"/>
                <w:color w:val="auto"/>
                <w:sz w:val="21"/>
                <w:szCs w:val="21"/>
                <w:highlight w:val="none"/>
              </w:rPr>
              <w:t>m</w:t>
            </w:r>
          </w:p>
        </w:tc>
      </w:tr>
      <w:tr w14:paraId="7D4DD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4B547AFF">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驱动方式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2903DE13">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永磁同步无齿轮交流变频变压调速</w:t>
            </w:r>
          </w:p>
        </w:tc>
      </w:tr>
      <w:tr w14:paraId="687D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538593C">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控制方式</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7D84A0E1">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采用双32位全电脑控制技术，全选集控制方式</w:t>
            </w:r>
          </w:p>
        </w:tc>
      </w:tr>
      <w:tr w14:paraId="68F1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25BDECEE">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门机系统</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56FC6E8E">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永磁同步变频门机系统，配防扒开装置</w:t>
            </w:r>
          </w:p>
        </w:tc>
      </w:tr>
      <w:tr w14:paraId="37D0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3456FC27">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门保护</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3D660DBC">
            <w:pPr>
              <w:widowControl/>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采用光幕门保护系统</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提供光幕检测报告）</w:t>
            </w:r>
          </w:p>
        </w:tc>
      </w:tr>
      <w:tr w14:paraId="3A8F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5F9D4C24">
            <w:pPr>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其他</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04987B70">
            <w:pPr>
              <w:snapToGrid w:val="0"/>
              <w:spacing w:line="240" w:lineRule="auto"/>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报价中应包括井道照明、爬梯</w:t>
            </w:r>
          </w:p>
        </w:tc>
      </w:tr>
      <w:tr w14:paraId="1F25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exact"/>
          <w:jc w:val="center"/>
        </w:trPr>
        <w:tc>
          <w:tcPr>
            <w:tcW w:w="2423" w:type="dxa"/>
            <w:tcBorders>
              <w:top w:val="single" w:color="auto" w:sz="4" w:space="0"/>
              <w:left w:val="single" w:color="auto" w:sz="4" w:space="0"/>
              <w:bottom w:val="single" w:color="auto" w:sz="4" w:space="0"/>
              <w:right w:val="single" w:color="auto" w:sz="4" w:space="0"/>
            </w:tcBorders>
            <w:noWrap w:val="0"/>
            <w:vAlign w:val="center"/>
          </w:tcPr>
          <w:p w14:paraId="3D032036">
            <w:pPr>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c>
          <w:tcPr>
            <w:tcW w:w="7196" w:type="dxa"/>
            <w:tcBorders>
              <w:top w:val="single" w:color="auto" w:sz="4" w:space="0"/>
              <w:left w:val="single" w:color="auto" w:sz="4" w:space="0"/>
              <w:bottom w:val="single" w:color="auto" w:sz="4" w:space="0"/>
              <w:right w:val="single" w:color="auto" w:sz="4" w:space="0"/>
            </w:tcBorders>
            <w:noWrap w:val="0"/>
            <w:vAlign w:val="center"/>
          </w:tcPr>
          <w:p w14:paraId="1B675DCF">
            <w:pPr>
              <w:pStyle w:val="3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▲地面</w:t>
            </w:r>
            <w:r>
              <w:rPr>
                <w:rFonts w:hint="eastAsia" w:ascii="宋体" w:hAnsi="宋体" w:eastAsia="宋体" w:cs="宋体"/>
                <w:color w:val="auto"/>
                <w:sz w:val="21"/>
                <w:szCs w:val="21"/>
                <w:u w:val="none"/>
              </w:rPr>
              <w:t>采用花纹钢板</w:t>
            </w:r>
          </w:p>
          <w:p w14:paraId="062EDF71">
            <w:pPr>
              <w:pStyle w:val="3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▲配备单冷空调（1.5P）</w:t>
            </w:r>
          </w:p>
          <w:p w14:paraId="32BB3697">
            <w:pPr>
              <w:pStyle w:val="33"/>
              <w:spacing w:line="240" w:lineRule="auto"/>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rPr>
              <w:t>轿厢后壁采用发纹不锈钢，其余壁板均采用发纹不锈钢，无障碍功能电梯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设置三侧不锈钢扶手</w:t>
            </w:r>
          </w:p>
          <w:p w14:paraId="324EB837">
            <w:pPr>
              <w:pStyle w:val="33"/>
              <w:spacing w:line="240" w:lineRule="auto"/>
              <w:ind w:left="0" w:leftChars="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▲配备物联网功能</w:t>
            </w:r>
          </w:p>
        </w:tc>
      </w:tr>
    </w:tbl>
    <w:p w14:paraId="5DD90CD0">
      <w:pPr>
        <w:rPr>
          <w:rFonts w:hint="eastAsia" w:ascii="微软雅黑" w:hAnsi="微软雅黑" w:eastAsia="微软雅黑" w:cs="微软雅黑"/>
          <w:b/>
          <w:bCs/>
          <w:color w:val="auto"/>
          <w:szCs w:val="21"/>
          <w:shd w:val="clear" w:color="auto" w:fill="FFFFFF"/>
          <w:lang w:eastAsia="zh-CN"/>
        </w:rPr>
      </w:pPr>
    </w:p>
    <w:p w14:paraId="32673D23">
      <w:pPr>
        <w:rPr>
          <w:rFonts w:hint="eastAsia" w:ascii="微软雅黑" w:hAnsi="微软雅黑" w:eastAsia="微软雅黑" w:cs="微软雅黑"/>
          <w:b/>
          <w:bCs/>
          <w:color w:val="171A1D"/>
          <w:szCs w:val="21"/>
          <w:shd w:val="clear" w:color="auto" w:fill="FFFFFF"/>
          <w:lang w:eastAsia="zh-CN"/>
        </w:rPr>
      </w:pPr>
    </w:p>
    <w:p w14:paraId="1445B9BA">
      <w:pPr>
        <w:rPr>
          <w:rFonts w:hint="eastAsia" w:ascii="宋体" w:hAnsi="宋体" w:eastAsia="宋体" w:cs="宋体"/>
          <w:b/>
          <w:bCs/>
          <w:color w:val="171A1D"/>
          <w:sz w:val="21"/>
          <w:szCs w:val="21"/>
          <w:shd w:val="clear" w:color="auto" w:fill="FFFFFF"/>
          <w:lang w:eastAsia="zh-CN"/>
        </w:rPr>
      </w:pPr>
    </w:p>
    <w:p w14:paraId="7AAB7BCD">
      <w:pPr>
        <w:rPr>
          <w:rFonts w:hint="eastAsia" w:ascii="宋体" w:hAnsi="宋体" w:eastAsia="宋体" w:cs="宋体"/>
          <w:b/>
          <w:bCs/>
          <w:color w:val="171A1D"/>
          <w:sz w:val="21"/>
          <w:szCs w:val="21"/>
          <w:shd w:val="clear" w:color="auto" w:fill="FFFFFF"/>
          <w:lang w:eastAsia="zh-CN"/>
        </w:rPr>
      </w:pPr>
      <w:r>
        <w:rPr>
          <w:rFonts w:hint="eastAsia" w:ascii="宋体" w:hAnsi="宋体" w:eastAsia="宋体" w:cs="宋体"/>
          <w:b/>
          <w:bCs/>
          <w:color w:val="171A1D"/>
          <w:sz w:val="21"/>
          <w:szCs w:val="21"/>
          <w:shd w:val="clear" w:color="auto" w:fill="FFFFFF"/>
          <w:lang w:eastAsia="zh-CN"/>
        </w:rPr>
        <w:t>（二）、技术参数及数量</w:t>
      </w:r>
    </w:p>
    <w:tbl>
      <w:tblPr>
        <w:tblStyle w:val="35"/>
        <w:tblW w:w="9315" w:type="dxa"/>
        <w:tblInd w:w="25"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5"/>
        <w:gridCol w:w="8130"/>
      </w:tblGrid>
      <w:tr w14:paraId="58A78A0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185" w:type="dxa"/>
            <w:noWrap w:val="0"/>
            <w:vAlign w:val="center"/>
          </w:tcPr>
          <w:p w14:paraId="3A84E363">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8130" w:type="dxa"/>
            <w:noWrap w:val="0"/>
            <w:vAlign w:val="center"/>
          </w:tcPr>
          <w:p w14:paraId="28374635">
            <w:pPr>
              <w:spacing w:line="360" w:lineRule="auto"/>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主要要求</w:t>
            </w:r>
          </w:p>
        </w:tc>
      </w:tr>
      <w:tr w14:paraId="23D03F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7BCE68E3">
            <w:pPr>
              <w:jc w:val="center"/>
              <w:rPr>
                <w:rFonts w:hint="eastAsia" w:ascii="宋体" w:hAnsi="宋体" w:eastAsia="宋体" w:cs="宋体"/>
                <w:b w:val="0"/>
                <w:bCs w:val="0"/>
                <w:sz w:val="21"/>
                <w:szCs w:val="21"/>
              </w:rPr>
            </w:pPr>
            <w:r>
              <w:rPr>
                <w:rFonts w:hint="eastAsia" w:ascii="宋体" w:hAnsi="宋体" w:eastAsia="宋体" w:cs="宋体"/>
                <w:b w:val="0"/>
                <w:bCs w:val="0"/>
                <w:sz w:val="21"/>
                <w:szCs w:val="21"/>
              </w:rPr>
              <w:t>一</w:t>
            </w:r>
          </w:p>
        </w:tc>
        <w:tc>
          <w:tcPr>
            <w:tcW w:w="8130" w:type="dxa"/>
            <w:noWrap w:val="0"/>
            <w:vAlign w:val="center"/>
          </w:tcPr>
          <w:p w14:paraId="046F3BCE">
            <w:pPr>
              <w:numPr>
                <w:ilvl w:val="0"/>
                <w:numId w:val="0"/>
              </w:numP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温州百佳东方妇产医院电梯采购</w:t>
            </w:r>
            <w:r>
              <w:rPr>
                <w:rFonts w:hint="eastAsia" w:ascii="宋体" w:hAnsi="宋体" w:cs="宋体"/>
                <w:b w:val="0"/>
                <w:bCs w:val="0"/>
                <w:sz w:val="21"/>
                <w:szCs w:val="21"/>
                <w:lang w:val="en-US" w:eastAsia="zh-CN"/>
              </w:rPr>
              <w:t>更换电梯数量为3台</w:t>
            </w:r>
          </w:p>
        </w:tc>
      </w:tr>
      <w:tr w14:paraId="01C82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center"/>
          </w:tcPr>
          <w:p w14:paraId="75E12005">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w:t>
            </w:r>
          </w:p>
        </w:tc>
        <w:tc>
          <w:tcPr>
            <w:tcW w:w="8130" w:type="dxa"/>
            <w:noWrap w:val="0"/>
            <w:vAlign w:val="center"/>
          </w:tcPr>
          <w:p w14:paraId="05E83801">
            <w:p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技术参数及要求</w:t>
            </w:r>
          </w:p>
        </w:tc>
      </w:tr>
      <w:tr w14:paraId="658A89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top"/>
          </w:tcPr>
          <w:p w14:paraId="353978E6">
            <w:pPr>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p>
        </w:tc>
        <w:tc>
          <w:tcPr>
            <w:tcW w:w="8130" w:type="dxa"/>
            <w:noWrap w:val="0"/>
            <w:vAlign w:val="center"/>
          </w:tcPr>
          <w:p w14:paraId="249BC92B">
            <w:pPr>
              <w:widowControl/>
              <w:rPr>
                <w:rFonts w:hint="default" w:ascii="宋体" w:hAnsi="宋体" w:eastAsia="宋体" w:cs="宋体"/>
                <w:b w:val="0"/>
                <w:bCs w:val="0"/>
                <w:color w:val="auto"/>
                <w:kern w:val="0"/>
                <w:sz w:val="21"/>
                <w:szCs w:val="21"/>
                <w:lang w:val="en-US" w:eastAsia="zh-CN"/>
              </w:rPr>
            </w:pPr>
            <w:r>
              <w:rPr>
                <w:rFonts w:hint="eastAsia" w:ascii="宋体" w:hAnsi="宋体" w:cs="宋体"/>
                <w:b w:val="0"/>
                <w:bCs w:val="0"/>
                <w:color w:val="auto"/>
                <w:kern w:val="0"/>
                <w:sz w:val="21"/>
                <w:szCs w:val="21"/>
                <w:lang w:val="en-US" w:eastAsia="zh-CN"/>
              </w:rPr>
              <w:t>详见电梯清单</w:t>
            </w:r>
          </w:p>
        </w:tc>
      </w:tr>
      <w:tr w14:paraId="14BD9A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top"/>
          </w:tcPr>
          <w:p w14:paraId="5AB27C90">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w:t>
            </w:r>
          </w:p>
        </w:tc>
        <w:tc>
          <w:tcPr>
            <w:tcW w:w="8130" w:type="dxa"/>
            <w:noWrap w:val="0"/>
            <w:vAlign w:val="center"/>
          </w:tcPr>
          <w:p w14:paraId="3C89334A">
            <w:pPr>
              <w:widowControl/>
              <w:textAlignment w:val="center"/>
              <w:rPr>
                <w:rStyle w:val="260"/>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Style w:val="260"/>
                <w:rFonts w:hint="eastAsia" w:ascii="宋体" w:hAnsi="宋体" w:eastAsia="宋体" w:cs="宋体"/>
                <w:b w:val="0"/>
                <w:bCs w:val="0"/>
                <w:color w:val="auto"/>
                <w:sz w:val="21"/>
                <w:szCs w:val="21"/>
                <w:highlight w:val="none"/>
              </w:rPr>
              <w:t>旧梯的的拆卸由供应商负责，旧梯的处置</w:t>
            </w:r>
            <w:r>
              <w:rPr>
                <w:rStyle w:val="260"/>
                <w:rFonts w:hint="eastAsia" w:ascii="宋体" w:hAnsi="宋体" w:eastAsia="宋体" w:cs="宋体"/>
                <w:b w:val="0"/>
                <w:bCs w:val="0"/>
                <w:color w:val="auto"/>
                <w:sz w:val="21"/>
                <w:szCs w:val="21"/>
                <w:highlight w:val="none"/>
                <w:lang w:eastAsia="zh-CN"/>
              </w:rPr>
              <w:t>归采购人</w:t>
            </w:r>
            <w:r>
              <w:rPr>
                <w:rStyle w:val="260"/>
                <w:rFonts w:hint="eastAsia" w:ascii="宋体" w:hAnsi="宋体" w:eastAsia="宋体" w:cs="宋体"/>
                <w:b w:val="0"/>
                <w:bCs w:val="0"/>
                <w:color w:val="auto"/>
                <w:sz w:val="21"/>
                <w:szCs w:val="21"/>
                <w:highlight w:val="none"/>
              </w:rPr>
              <w:t>所有。</w:t>
            </w:r>
          </w:p>
        </w:tc>
      </w:tr>
      <w:tr w14:paraId="28DC56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185" w:type="dxa"/>
            <w:noWrap w:val="0"/>
            <w:vAlign w:val="top"/>
          </w:tcPr>
          <w:p w14:paraId="35B09A35">
            <w:pPr>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w:t>
            </w:r>
          </w:p>
        </w:tc>
        <w:tc>
          <w:tcPr>
            <w:tcW w:w="8130" w:type="dxa"/>
            <w:noWrap w:val="0"/>
            <w:vAlign w:val="top"/>
          </w:tcPr>
          <w:p w14:paraId="3D05AE73">
            <w:pPr>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配置要求（每套）</w:t>
            </w:r>
          </w:p>
        </w:tc>
      </w:tr>
      <w:tr w14:paraId="3A3574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315" w:type="dxa"/>
            <w:gridSpan w:val="2"/>
            <w:noWrap w:val="0"/>
            <w:vAlign w:val="top"/>
          </w:tcPr>
          <w:p w14:paraId="39010B39">
            <w:pPr>
              <w:snapToGrid w:val="0"/>
              <w:spacing w:line="276" w:lineRule="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投标人提供的产品及服务须适应本招标文件所有条款,并运转顺利、正常、可靠。</w:t>
            </w:r>
          </w:p>
          <w:p w14:paraId="346F26F0">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1、可靠性要求：</w:t>
            </w:r>
          </w:p>
          <w:p w14:paraId="428889A2">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① 电梯设备及各主要部件在每天正常连续运行24小时基础上；</w:t>
            </w:r>
          </w:p>
          <w:p w14:paraId="24D6F884">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 在供电电压波动≤±7%，供电频率波动≤±3%时仍能正常工作；</w:t>
            </w:r>
          </w:p>
          <w:p w14:paraId="5FDE7D42">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 电梯在额定载荷时允许起、制动循环次数≥240次/小时。</w:t>
            </w:r>
          </w:p>
          <w:p w14:paraId="6FD9FD78">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2主要部件配置要求</w:t>
            </w:r>
          </w:p>
          <w:p w14:paraId="522D67D9">
            <w:pPr>
              <w:snapToGrid w:val="0"/>
              <w:spacing w:line="276"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①梯型要求：要求提供投标品牌中技术先进、安全可靠的永磁无齿同步曳引机变频驱动的梯型，且符合相关技术标准规范和节能环保要求；</w:t>
            </w:r>
            <w:r>
              <w:rPr>
                <w:rFonts w:hint="eastAsia" w:ascii="宋体" w:hAnsi="宋体" w:eastAsia="宋体" w:cs="宋体"/>
                <w:b w:val="0"/>
                <w:bCs w:val="0"/>
                <w:color w:val="auto"/>
                <w:sz w:val="21"/>
                <w:szCs w:val="21"/>
                <w:highlight w:val="none"/>
                <w:lang w:eastAsia="zh-CN"/>
              </w:rPr>
              <w:t>配置能量回馈系统</w:t>
            </w:r>
          </w:p>
          <w:p w14:paraId="0C3D584E">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②控制方法：主回路均应采用双32位用以上全电脑集散模块化网络及智能模块VVVF控制系统，微机模块化结构进行控制和故障诊断；</w:t>
            </w:r>
          </w:p>
          <w:p w14:paraId="7B407B2B">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③开门机系统：采用电脑模块控制的VVVF门机系统。</w:t>
            </w:r>
          </w:p>
          <w:p w14:paraId="1786C67A">
            <w:pPr>
              <w:snapToGrid w:val="0"/>
              <w:spacing w:line="276"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电梯主要部件要求</w:t>
            </w:r>
          </w:p>
          <w:p w14:paraId="7E247DE0">
            <w:pPr>
              <w:pStyle w:val="233"/>
              <w:widowControl w:val="0"/>
              <w:numPr>
                <w:ilvl w:val="0"/>
                <w:numId w:val="24"/>
              </w:numPr>
              <w:autoSpaceDE w:val="0"/>
              <w:autoSpaceDN w:val="0"/>
              <w:adjustRightInd w:val="0"/>
              <w:snapToGrid w:val="0"/>
              <w:spacing w:line="276" w:lineRule="auto"/>
              <w:ind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曳引机系统：采用永磁同步无齿轮曳引机，曳引机系统为投标品牌制造商原厂生产，曳引机防尘防水等级为IP41及以上</w:t>
            </w:r>
          </w:p>
          <w:p w14:paraId="3BC110F7">
            <w:pPr>
              <w:pStyle w:val="233"/>
              <w:widowControl w:val="0"/>
              <w:numPr>
                <w:ilvl w:val="0"/>
                <w:numId w:val="24"/>
              </w:numPr>
              <w:autoSpaceDE w:val="0"/>
              <w:autoSpaceDN w:val="0"/>
              <w:adjustRightInd w:val="0"/>
              <w:snapToGrid w:val="0"/>
              <w:spacing w:line="276" w:lineRule="auto"/>
              <w:ind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控制系统：采用全数字控制， 变频器、 主接触器、 继电器、 主控制开关、演算器等采用知名品牌，控制柜系统适用宽电压，并提供相关检测报告，将是评判电梯产品是否优劣重要依据；</w:t>
            </w:r>
          </w:p>
          <w:p w14:paraId="263D2115">
            <w:pPr>
              <w:pStyle w:val="233"/>
              <w:widowControl w:val="0"/>
              <w:numPr>
                <w:ilvl w:val="0"/>
                <w:numId w:val="24"/>
              </w:numPr>
              <w:autoSpaceDE w:val="0"/>
              <w:autoSpaceDN w:val="0"/>
              <w:adjustRightInd w:val="0"/>
              <w:snapToGrid w:val="0"/>
              <w:spacing w:line="276" w:lineRule="auto"/>
              <w:ind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xml:space="preserve"> 门机系统：采用电脑模块控制的VVVF门机系统。提供门机开关使用寿命报告，需提供优质使用寿命长的门机系统，将是评判电梯产品是否优劣重要依据。</w:t>
            </w:r>
          </w:p>
          <w:p w14:paraId="2943E3DC">
            <w:pPr>
              <w:pStyle w:val="233"/>
              <w:widowControl w:val="0"/>
              <w:numPr>
                <w:ilvl w:val="0"/>
                <w:numId w:val="24"/>
              </w:numPr>
              <w:autoSpaceDE w:val="0"/>
              <w:autoSpaceDN w:val="0"/>
              <w:adjustRightInd w:val="0"/>
              <w:snapToGrid w:val="0"/>
              <w:spacing w:line="276" w:lineRule="auto"/>
              <w:ind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红外光幕要求：150束以上；</w:t>
            </w:r>
          </w:p>
          <w:p w14:paraId="7E7E19E5">
            <w:pPr>
              <w:pStyle w:val="233"/>
              <w:widowControl w:val="0"/>
              <w:numPr>
                <w:ilvl w:val="0"/>
                <w:numId w:val="24"/>
              </w:numPr>
              <w:autoSpaceDE w:val="0"/>
              <w:autoSpaceDN w:val="0"/>
              <w:adjustRightInd w:val="0"/>
              <w:snapToGrid w:val="0"/>
              <w:spacing w:line="276" w:lineRule="auto"/>
              <w:ind w:firstLineChars="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 轿厢侧采用加厚加重的T114级导轨；</w:t>
            </w:r>
          </w:p>
        </w:tc>
      </w:tr>
    </w:tbl>
    <w:p w14:paraId="5B22DE2B">
      <w:pPr>
        <w:snapToGrid w:val="0"/>
        <w:spacing w:line="440" w:lineRule="exact"/>
        <w:ind w:firstLine="420" w:firstLineChars="200"/>
        <w:rPr>
          <w:rFonts w:ascii="宋体" w:hAnsi="宋体" w:cs="宋体"/>
          <w:b w:val="0"/>
          <w:bCs w:val="0"/>
        </w:rPr>
      </w:pPr>
      <w:r>
        <w:rPr>
          <w:rFonts w:hint="eastAsia" w:ascii="宋体" w:hAnsi="宋体" w:cs="宋体"/>
          <w:b w:val="0"/>
          <w:bCs w:val="0"/>
        </w:rPr>
        <w:t>3、技术指标要求：</w:t>
      </w:r>
    </w:p>
    <w:tbl>
      <w:tblPr>
        <w:tblStyle w:val="35"/>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4"/>
        <w:gridCol w:w="3006"/>
        <w:gridCol w:w="6080"/>
      </w:tblGrid>
      <w:tr w14:paraId="27343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3BD85FD">
            <w:pPr>
              <w:snapToGrid w:val="0"/>
              <w:spacing w:before="60" w:after="60"/>
              <w:jc w:val="center"/>
              <w:rPr>
                <w:rFonts w:ascii="宋体" w:hAnsi="宋体" w:cs="宋体"/>
                <w:b w:val="0"/>
                <w:bCs w:val="0"/>
              </w:rPr>
            </w:pPr>
            <w:r>
              <w:rPr>
                <w:rFonts w:hint="eastAsia" w:ascii="宋体" w:hAnsi="宋体" w:cs="宋体"/>
                <w:b w:val="0"/>
                <w:bCs w:val="0"/>
              </w:rPr>
              <w:t>序号</w:t>
            </w:r>
          </w:p>
        </w:tc>
        <w:tc>
          <w:tcPr>
            <w:tcW w:w="1526" w:type="pct"/>
            <w:tcBorders>
              <w:tl2br w:val="nil"/>
              <w:tr2bl w:val="nil"/>
            </w:tcBorders>
            <w:noWrap w:val="0"/>
            <w:vAlign w:val="center"/>
          </w:tcPr>
          <w:p w14:paraId="492ADF28">
            <w:pPr>
              <w:snapToGrid w:val="0"/>
              <w:spacing w:before="60" w:after="60"/>
              <w:jc w:val="center"/>
              <w:rPr>
                <w:rFonts w:ascii="宋体" w:hAnsi="宋体" w:cs="宋体"/>
                <w:b w:val="0"/>
                <w:bCs w:val="0"/>
              </w:rPr>
            </w:pPr>
            <w:r>
              <w:rPr>
                <w:rFonts w:hint="eastAsia" w:ascii="宋体" w:hAnsi="宋体" w:cs="宋体"/>
                <w:b w:val="0"/>
                <w:bCs w:val="0"/>
              </w:rPr>
              <w:t>名称</w:t>
            </w:r>
          </w:p>
        </w:tc>
        <w:tc>
          <w:tcPr>
            <w:tcW w:w="3086" w:type="pct"/>
            <w:tcBorders>
              <w:tl2br w:val="nil"/>
              <w:tr2bl w:val="nil"/>
            </w:tcBorders>
            <w:noWrap w:val="0"/>
            <w:vAlign w:val="center"/>
          </w:tcPr>
          <w:p w14:paraId="09327FA1">
            <w:pPr>
              <w:snapToGrid w:val="0"/>
              <w:spacing w:before="60" w:after="60"/>
              <w:jc w:val="center"/>
              <w:rPr>
                <w:rFonts w:ascii="宋体" w:hAnsi="宋体" w:cs="宋体"/>
                <w:b w:val="0"/>
                <w:bCs w:val="0"/>
              </w:rPr>
            </w:pPr>
            <w:r>
              <w:rPr>
                <w:rFonts w:hint="eastAsia" w:ascii="宋体" w:hAnsi="宋体" w:cs="宋体"/>
                <w:b w:val="0"/>
                <w:bCs w:val="0"/>
              </w:rPr>
              <w:t>要求</w:t>
            </w:r>
          </w:p>
        </w:tc>
      </w:tr>
      <w:tr w14:paraId="23C067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6612B923">
            <w:pPr>
              <w:snapToGrid w:val="0"/>
              <w:spacing w:before="60" w:after="60"/>
              <w:jc w:val="center"/>
              <w:rPr>
                <w:rFonts w:ascii="宋体" w:hAnsi="宋体" w:cs="宋体"/>
                <w:b w:val="0"/>
                <w:bCs w:val="0"/>
              </w:rPr>
            </w:pPr>
            <w:r>
              <w:rPr>
                <w:rFonts w:hint="eastAsia" w:ascii="宋体" w:hAnsi="宋体" w:cs="宋体"/>
                <w:b w:val="0"/>
                <w:bCs w:val="0"/>
              </w:rPr>
              <w:t>1</w:t>
            </w:r>
          </w:p>
        </w:tc>
        <w:tc>
          <w:tcPr>
            <w:tcW w:w="1526" w:type="pct"/>
            <w:tcBorders>
              <w:tl2br w:val="nil"/>
              <w:tr2bl w:val="nil"/>
            </w:tcBorders>
            <w:noWrap w:val="0"/>
            <w:vAlign w:val="center"/>
          </w:tcPr>
          <w:p w14:paraId="255355C4">
            <w:pPr>
              <w:snapToGrid w:val="0"/>
              <w:spacing w:before="60" w:after="60"/>
              <w:rPr>
                <w:rFonts w:ascii="宋体" w:hAnsi="宋体" w:cs="宋体"/>
                <w:b w:val="0"/>
                <w:bCs w:val="0"/>
              </w:rPr>
            </w:pPr>
            <w:r>
              <w:rPr>
                <w:rFonts w:hint="eastAsia" w:ascii="宋体" w:hAnsi="宋体" w:cs="宋体"/>
                <w:b w:val="0"/>
                <w:bCs w:val="0"/>
              </w:rPr>
              <w:t>电梯的水平振动、垂直振动加速度</w:t>
            </w:r>
          </w:p>
        </w:tc>
        <w:tc>
          <w:tcPr>
            <w:tcW w:w="3086" w:type="pct"/>
            <w:tcBorders>
              <w:tl2br w:val="nil"/>
              <w:tr2bl w:val="nil"/>
            </w:tcBorders>
            <w:noWrap w:val="0"/>
            <w:vAlign w:val="top"/>
          </w:tcPr>
          <w:p w14:paraId="06364949">
            <w:pPr>
              <w:snapToGrid w:val="0"/>
              <w:spacing w:before="60" w:after="60"/>
              <w:rPr>
                <w:rFonts w:ascii="宋体" w:hAnsi="宋体" w:cs="宋体"/>
                <w:b w:val="0"/>
                <w:bCs w:val="0"/>
              </w:rPr>
            </w:pPr>
            <w:r>
              <w:rPr>
                <w:rFonts w:hint="eastAsia" w:ascii="宋体" w:hAnsi="宋体" w:cs="宋体"/>
                <w:b w:val="0"/>
                <w:bCs w:val="0"/>
              </w:rPr>
              <w:t>电梯轿厢运行时水平方向和垂直方向的振动加速度分别不应大于（10）cm/s</w:t>
            </w:r>
            <w:r>
              <w:rPr>
                <w:rFonts w:hint="eastAsia" w:ascii="宋体" w:hAnsi="宋体" w:cs="宋体"/>
                <w:b w:val="0"/>
                <w:bCs w:val="0"/>
                <w:vertAlign w:val="superscript"/>
              </w:rPr>
              <w:t>2</w:t>
            </w:r>
            <w:r>
              <w:rPr>
                <w:rFonts w:hint="eastAsia" w:ascii="宋体" w:hAnsi="宋体" w:cs="宋体"/>
                <w:b w:val="0"/>
                <w:bCs w:val="0"/>
              </w:rPr>
              <w:t>和25cm/s</w:t>
            </w:r>
            <w:r>
              <w:rPr>
                <w:rFonts w:hint="eastAsia" w:ascii="宋体" w:hAnsi="宋体" w:cs="宋体"/>
                <w:b w:val="0"/>
                <w:bCs w:val="0"/>
                <w:vertAlign w:val="superscript"/>
              </w:rPr>
              <w:t>2</w:t>
            </w:r>
          </w:p>
        </w:tc>
      </w:tr>
      <w:tr w14:paraId="4BF53F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10FDCCDB">
            <w:pPr>
              <w:snapToGrid w:val="0"/>
              <w:spacing w:before="60" w:after="60"/>
              <w:jc w:val="center"/>
              <w:rPr>
                <w:rFonts w:ascii="宋体" w:hAnsi="宋体" w:cs="宋体"/>
                <w:b w:val="0"/>
                <w:bCs w:val="0"/>
              </w:rPr>
            </w:pPr>
            <w:r>
              <w:rPr>
                <w:rFonts w:hint="eastAsia" w:ascii="宋体" w:hAnsi="宋体" w:cs="宋体"/>
                <w:b w:val="0"/>
                <w:bCs w:val="0"/>
              </w:rPr>
              <w:t>2</w:t>
            </w:r>
          </w:p>
        </w:tc>
        <w:tc>
          <w:tcPr>
            <w:tcW w:w="1526" w:type="pct"/>
            <w:tcBorders>
              <w:tl2br w:val="nil"/>
              <w:tr2bl w:val="nil"/>
            </w:tcBorders>
            <w:noWrap w:val="0"/>
            <w:vAlign w:val="center"/>
          </w:tcPr>
          <w:p w14:paraId="2B12FA08">
            <w:pPr>
              <w:snapToGrid w:val="0"/>
              <w:spacing w:before="60" w:after="60"/>
              <w:rPr>
                <w:rFonts w:ascii="宋体" w:hAnsi="宋体" w:cs="宋体"/>
                <w:b w:val="0"/>
                <w:bCs w:val="0"/>
              </w:rPr>
            </w:pPr>
            <w:r>
              <w:rPr>
                <w:rFonts w:hint="eastAsia" w:ascii="宋体" w:hAnsi="宋体" w:cs="宋体"/>
                <w:b w:val="0"/>
                <w:bCs w:val="0"/>
              </w:rPr>
              <w:t>起动加速度和制动减速度</w:t>
            </w:r>
          </w:p>
        </w:tc>
        <w:tc>
          <w:tcPr>
            <w:tcW w:w="3086" w:type="pct"/>
            <w:tcBorders>
              <w:tl2br w:val="nil"/>
              <w:tr2bl w:val="nil"/>
            </w:tcBorders>
            <w:noWrap w:val="0"/>
            <w:vAlign w:val="center"/>
          </w:tcPr>
          <w:p w14:paraId="59EEC185">
            <w:pPr>
              <w:snapToGrid w:val="0"/>
              <w:spacing w:before="60" w:after="60"/>
              <w:rPr>
                <w:rFonts w:ascii="宋体" w:hAnsi="宋体" w:cs="宋体"/>
                <w:b w:val="0"/>
                <w:bCs w:val="0"/>
              </w:rPr>
            </w:pPr>
            <w:r>
              <w:rPr>
                <w:rFonts w:hint="eastAsia" w:ascii="宋体" w:hAnsi="宋体" w:cs="宋体"/>
                <w:b w:val="0"/>
                <w:bCs w:val="0"/>
              </w:rPr>
              <w:t>平均≥0.48m/s</w:t>
            </w:r>
            <w:r>
              <w:rPr>
                <w:rFonts w:hint="eastAsia" w:ascii="宋体" w:hAnsi="宋体" w:cs="宋体"/>
                <w:b w:val="0"/>
                <w:bCs w:val="0"/>
                <w:vertAlign w:val="superscript"/>
              </w:rPr>
              <w:t xml:space="preserve">2 </w:t>
            </w:r>
            <w:r>
              <w:rPr>
                <w:rFonts w:hint="eastAsia" w:ascii="宋体" w:hAnsi="宋体" w:cs="宋体"/>
                <w:b w:val="0"/>
                <w:bCs w:val="0"/>
              </w:rPr>
              <w:t>，且在0.48～1m/s</w:t>
            </w:r>
            <w:r>
              <w:rPr>
                <w:rFonts w:hint="eastAsia" w:ascii="宋体" w:hAnsi="宋体" w:cs="宋体"/>
                <w:b w:val="0"/>
                <w:bCs w:val="0"/>
                <w:vertAlign w:val="superscript"/>
              </w:rPr>
              <w:t>2</w:t>
            </w:r>
            <w:r>
              <w:rPr>
                <w:rFonts w:hint="eastAsia" w:ascii="宋体" w:hAnsi="宋体" w:cs="宋体"/>
                <w:b w:val="0"/>
                <w:bCs w:val="0"/>
              </w:rPr>
              <w:t>之间可调，最大≤1.5m/s</w:t>
            </w:r>
            <w:r>
              <w:rPr>
                <w:rFonts w:hint="eastAsia" w:ascii="宋体" w:hAnsi="宋体" w:cs="宋体"/>
                <w:b w:val="0"/>
                <w:bCs w:val="0"/>
                <w:vertAlign w:val="superscript"/>
              </w:rPr>
              <w:t>2</w:t>
            </w:r>
          </w:p>
        </w:tc>
      </w:tr>
      <w:tr w14:paraId="405B94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2C2F9195">
            <w:pPr>
              <w:snapToGrid w:val="0"/>
              <w:spacing w:before="60" w:after="60"/>
              <w:jc w:val="center"/>
              <w:rPr>
                <w:rFonts w:ascii="宋体" w:hAnsi="宋体" w:cs="宋体"/>
                <w:b w:val="0"/>
                <w:bCs w:val="0"/>
              </w:rPr>
            </w:pPr>
            <w:r>
              <w:rPr>
                <w:rFonts w:hint="eastAsia" w:ascii="宋体" w:hAnsi="宋体" w:cs="宋体"/>
                <w:b w:val="0"/>
                <w:bCs w:val="0"/>
              </w:rPr>
              <w:t>3</w:t>
            </w:r>
          </w:p>
        </w:tc>
        <w:tc>
          <w:tcPr>
            <w:tcW w:w="1526" w:type="pct"/>
            <w:tcBorders>
              <w:tl2br w:val="nil"/>
              <w:tr2bl w:val="nil"/>
            </w:tcBorders>
            <w:noWrap w:val="0"/>
            <w:vAlign w:val="center"/>
          </w:tcPr>
          <w:p w14:paraId="5E96CB36">
            <w:pPr>
              <w:snapToGrid w:val="0"/>
              <w:spacing w:before="60" w:after="60"/>
              <w:rPr>
                <w:rFonts w:ascii="宋体" w:hAnsi="宋体" w:cs="宋体"/>
                <w:b w:val="0"/>
                <w:bCs w:val="0"/>
              </w:rPr>
            </w:pPr>
            <w:r>
              <w:rPr>
                <w:rFonts w:hint="eastAsia" w:ascii="宋体" w:hAnsi="宋体" w:cs="宋体"/>
                <w:b w:val="0"/>
                <w:bCs w:val="0"/>
              </w:rPr>
              <w:t>噪音指数</w:t>
            </w:r>
          </w:p>
        </w:tc>
        <w:tc>
          <w:tcPr>
            <w:tcW w:w="3086" w:type="pct"/>
            <w:tcBorders>
              <w:tl2br w:val="nil"/>
              <w:tr2bl w:val="nil"/>
            </w:tcBorders>
            <w:noWrap w:val="0"/>
            <w:vAlign w:val="center"/>
          </w:tcPr>
          <w:p w14:paraId="095E414B">
            <w:pPr>
              <w:snapToGrid w:val="0"/>
              <w:spacing w:before="60" w:after="60"/>
              <w:rPr>
                <w:rFonts w:ascii="宋体" w:hAnsi="宋体" w:cs="宋体"/>
                <w:b w:val="0"/>
                <w:bCs w:val="0"/>
              </w:rPr>
            </w:pPr>
            <w:r>
              <w:rPr>
                <w:rFonts w:hint="eastAsia" w:ascii="宋体" w:hAnsi="宋体" w:cs="宋体"/>
                <w:b w:val="0"/>
                <w:bCs w:val="0"/>
              </w:rPr>
              <w:t>轿内≤55dB（A）、开关门≤65dB（A），机房≤75dB</w:t>
            </w:r>
          </w:p>
        </w:tc>
      </w:tr>
      <w:tr w14:paraId="21D7C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3EDB13BE">
            <w:pPr>
              <w:snapToGrid w:val="0"/>
              <w:spacing w:before="60" w:after="60"/>
              <w:jc w:val="center"/>
              <w:rPr>
                <w:rFonts w:ascii="宋体" w:hAnsi="宋体" w:cs="宋体"/>
                <w:b w:val="0"/>
                <w:bCs w:val="0"/>
              </w:rPr>
            </w:pPr>
            <w:r>
              <w:rPr>
                <w:rFonts w:hint="eastAsia" w:ascii="宋体" w:hAnsi="宋体" w:cs="宋体"/>
                <w:b w:val="0"/>
                <w:bCs w:val="0"/>
              </w:rPr>
              <w:t>4</w:t>
            </w:r>
          </w:p>
        </w:tc>
        <w:tc>
          <w:tcPr>
            <w:tcW w:w="1526" w:type="pct"/>
            <w:tcBorders>
              <w:tl2br w:val="nil"/>
              <w:tr2bl w:val="nil"/>
            </w:tcBorders>
            <w:noWrap w:val="0"/>
            <w:vAlign w:val="center"/>
          </w:tcPr>
          <w:p w14:paraId="752528CD">
            <w:pPr>
              <w:snapToGrid w:val="0"/>
              <w:spacing w:before="60" w:after="60"/>
              <w:rPr>
                <w:rFonts w:ascii="宋体" w:hAnsi="宋体" w:cs="宋体"/>
                <w:b w:val="0"/>
                <w:bCs w:val="0"/>
              </w:rPr>
            </w:pPr>
            <w:r>
              <w:rPr>
                <w:rFonts w:hint="eastAsia" w:ascii="宋体" w:hAnsi="宋体" w:cs="宋体"/>
                <w:b w:val="0"/>
                <w:bCs w:val="0"/>
              </w:rPr>
              <w:t>平层精度</w:t>
            </w:r>
          </w:p>
        </w:tc>
        <w:tc>
          <w:tcPr>
            <w:tcW w:w="3086" w:type="pct"/>
            <w:tcBorders>
              <w:tl2br w:val="nil"/>
              <w:tr2bl w:val="nil"/>
            </w:tcBorders>
            <w:noWrap w:val="0"/>
            <w:vAlign w:val="center"/>
          </w:tcPr>
          <w:p w14:paraId="182EBD81">
            <w:pPr>
              <w:snapToGrid w:val="0"/>
              <w:spacing w:before="60" w:after="60"/>
              <w:rPr>
                <w:rFonts w:ascii="宋体" w:hAnsi="宋体" w:cs="宋体"/>
                <w:b w:val="0"/>
                <w:bCs w:val="0"/>
              </w:rPr>
            </w:pPr>
            <w:r>
              <w:rPr>
                <w:rFonts w:hint="eastAsia" w:ascii="宋体" w:hAnsi="宋体" w:cs="宋体"/>
                <w:b w:val="0"/>
                <w:bCs w:val="0"/>
              </w:rPr>
              <w:t>在±5mm范围之内</w:t>
            </w:r>
          </w:p>
        </w:tc>
      </w:tr>
      <w:tr w14:paraId="33C1C9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09748285">
            <w:pPr>
              <w:snapToGrid w:val="0"/>
              <w:spacing w:before="60" w:after="60"/>
              <w:jc w:val="center"/>
              <w:rPr>
                <w:rFonts w:ascii="宋体" w:hAnsi="宋体" w:cs="宋体"/>
                <w:b w:val="0"/>
                <w:bCs w:val="0"/>
              </w:rPr>
            </w:pPr>
            <w:r>
              <w:rPr>
                <w:rFonts w:hint="eastAsia" w:ascii="宋体" w:hAnsi="宋体" w:cs="宋体"/>
                <w:b w:val="0"/>
                <w:bCs w:val="0"/>
              </w:rPr>
              <w:t>5</w:t>
            </w:r>
          </w:p>
        </w:tc>
        <w:tc>
          <w:tcPr>
            <w:tcW w:w="1526" w:type="pct"/>
            <w:tcBorders>
              <w:tl2br w:val="nil"/>
              <w:tr2bl w:val="nil"/>
            </w:tcBorders>
            <w:noWrap w:val="0"/>
            <w:vAlign w:val="center"/>
          </w:tcPr>
          <w:p w14:paraId="6BE04C5E">
            <w:pPr>
              <w:snapToGrid w:val="0"/>
              <w:spacing w:before="60" w:after="60"/>
              <w:rPr>
                <w:rFonts w:ascii="宋体" w:hAnsi="宋体" w:cs="宋体"/>
                <w:b w:val="0"/>
                <w:bCs w:val="0"/>
              </w:rPr>
            </w:pPr>
            <w:r>
              <w:rPr>
                <w:rFonts w:hint="eastAsia" w:ascii="宋体" w:hAnsi="宋体" w:cs="宋体"/>
                <w:b w:val="0"/>
                <w:bCs w:val="0"/>
              </w:rPr>
              <w:t>运行故障</w:t>
            </w:r>
          </w:p>
        </w:tc>
        <w:tc>
          <w:tcPr>
            <w:tcW w:w="3086" w:type="pct"/>
            <w:tcBorders>
              <w:tl2br w:val="nil"/>
              <w:tr2bl w:val="nil"/>
            </w:tcBorders>
            <w:noWrap w:val="0"/>
            <w:vAlign w:val="center"/>
          </w:tcPr>
          <w:p w14:paraId="5FA1F5CA">
            <w:pPr>
              <w:snapToGrid w:val="0"/>
              <w:spacing w:before="60" w:after="60"/>
              <w:rPr>
                <w:rFonts w:ascii="宋体" w:hAnsi="宋体" w:cs="宋体"/>
                <w:b w:val="0"/>
                <w:bCs w:val="0"/>
              </w:rPr>
            </w:pPr>
            <w:r>
              <w:rPr>
                <w:rFonts w:hint="eastAsia" w:ascii="宋体" w:hAnsi="宋体" w:cs="宋体"/>
                <w:b w:val="0"/>
                <w:bCs w:val="0"/>
              </w:rPr>
              <w:t>电梯每起制动运行60000次中不应超过4次。</w:t>
            </w:r>
          </w:p>
        </w:tc>
      </w:tr>
      <w:tr w14:paraId="728385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3B0D61">
            <w:pPr>
              <w:snapToGrid w:val="0"/>
              <w:spacing w:before="60" w:after="60"/>
              <w:jc w:val="center"/>
              <w:rPr>
                <w:rFonts w:ascii="宋体" w:hAnsi="宋体" w:cs="宋体"/>
                <w:b w:val="0"/>
                <w:bCs w:val="0"/>
              </w:rPr>
            </w:pPr>
            <w:r>
              <w:rPr>
                <w:rFonts w:hint="eastAsia" w:ascii="宋体" w:hAnsi="宋体" w:cs="宋体"/>
                <w:b w:val="0"/>
                <w:bCs w:val="0"/>
              </w:rPr>
              <w:t>6</w:t>
            </w:r>
          </w:p>
        </w:tc>
        <w:tc>
          <w:tcPr>
            <w:tcW w:w="1526" w:type="pct"/>
            <w:tcBorders>
              <w:tl2br w:val="nil"/>
              <w:tr2bl w:val="nil"/>
            </w:tcBorders>
            <w:noWrap w:val="0"/>
            <w:vAlign w:val="center"/>
          </w:tcPr>
          <w:p w14:paraId="3BD3EB41">
            <w:pPr>
              <w:snapToGrid w:val="0"/>
              <w:spacing w:before="60" w:after="60"/>
              <w:rPr>
                <w:rFonts w:ascii="宋体" w:hAnsi="宋体" w:cs="宋体"/>
                <w:b w:val="0"/>
                <w:bCs w:val="0"/>
              </w:rPr>
            </w:pPr>
            <w:r>
              <w:rPr>
                <w:rFonts w:hint="eastAsia" w:ascii="宋体" w:hAnsi="宋体" w:cs="宋体"/>
                <w:b w:val="0"/>
                <w:bCs w:val="0"/>
              </w:rPr>
              <w:t>控制柜失效（故障）</w:t>
            </w:r>
          </w:p>
        </w:tc>
        <w:tc>
          <w:tcPr>
            <w:tcW w:w="3086" w:type="pct"/>
            <w:tcBorders>
              <w:tl2br w:val="nil"/>
              <w:tr2bl w:val="nil"/>
            </w:tcBorders>
            <w:noWrap w:val="0"/>
            <w:vAlign w:val="center"/>
          </w:tcPr>
          <w:p w14:paraId="7C6DAFAE">
            <w:pPr>
              <w:snapToGrid w:val="0"/>
              <w:spacing w:before="60" w:after="60"/>
              <w:rPr>
                <w:rFonts w:ascii="宋体" w:hAnsi="宋体" w:cs="宋体"/>
                <w:b w:val="0"/>
                <w:bCs w:val="0"/>
              </w:rPr>
            </w:pPr>
            <w:r>
              <w:rPr>
                <w:rFonts w:hint="eastAsia" w:ascii="宋体" w:hAnsi="宋体" w:cs="宋体"/>
                <w:b w:val="0"/>
                <w:bCs w:val="0"/>
              </w:rPr>
              <w:t>电梯每起制动运行60000次中不应超过4次。</w:t>
            </w:r>
          </w:p>
        </w:tc>
      </w:tr>
      <w:tr w14:paraId="096BB3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95E425E">
            <w:pPr>
              <w:snapToGrid w:val="0"/>
              <w:spacing w:before="60" w:after="60"/>
              <w:jc w:val="center"/>
              <w:rPr>
                <w:rFonts w:ascii="宋体" w:hAnsi="宋体" w:cs="宋体"/>
                <w:b w:val="0"/>
                <w:bCs w:val="0"/>
              </w:rPr>
            </w:pPr>
            <w:r>
              <w:rPr>
                <w:rFonts w:hint="eastAsia" w:ascii="宋体" w:hAnsi="宋体" w:cs="宋体"/>
                <w:b w:val="0"/>
                <w:bCs w:val="0"/>
              </w:rPr>
              <w:t>7</w:t>
            </w:r>
          </w:p>
        </w:tc>
        <w:tc>
          <w:tcPr>
            <w:tcW w:w="1526" w:type="pct"/>
            <w:tcBorders>
              <w:tl2br w:val="nil"/>
              <w:tr2bl w:val="nil"/>
            </w:tcBorders>
            <w:noWrap w:val="0"/>
            <w:vAlign w:val="center"/>
          </w:tcPr>
          <w:p w14:paraId="2C8614B9">
            <w:pPr>
              <w:snapToGrid w:val="0"/>
              <w:spacing w:before="60" w:after="60"/>
              <w:rPr>
                <w:rFonts w:ascii="宋体" w:hAnsi="宋体" w:cs="宋体"/>
                <w:b w:val="0"/>
                <w:bCs w:val="0"/>
              </w:rPr>
            </w:pPr>
            <w:r>
              <w:rPr>
                <w:rFonts w:hint="eastAsia" w:ascii="宋体" w:hAnsi="宋体" w:cs="宋体"/>
                <w:b w:val="0"/>
                <w:bCs w:val="0"/>
              </w:rPr>
              <w:t>故障响应时间</w:t>
            </w:r>
          </w:p>
        </w:tc>
        <w:tc>
          <w:tcPr>
            <w:tcW w:w="3086" w:type="pct"/>
            <w:tcBorders>
              <w:tl2br w:val="nil"/>
              <w:tr2bl w:val="nil"/>
            </w:tcBorders>
            <w:noWrap w:val="0"/>
            <w:vAlign w:val="center"/>
          </w:tcPr>
          <w:p w14:paraId="307FC270">
            <w:pPr>
              <w:snapToGrid w:val="0"/>
              <w:spacing w:before="60" w:after="60"/>
              <w:rPr>
                <w:rFonts w:ascii="宋体" w:hAnsi="宋体" w:cs="宋体"/>
                <w:b w:val="0"/>
                <w:bCs w:val="0"/>
              </w:rPr>
            </w:pPr>
            <w:r>
              <w:rPr>
                <w:rFonts w:hint="eastAsia" w:ascii="宋体" w:hAnsi="宋体" w:cs="宋体"/>
                <w:b w:val="0"/>
                <w:bCs w:val="0"/>
              </w:rPr>
              <w:t>响应时间不超过60分钟。</w:t>
            </w:r>
          </w:p>
        </w:tc>
      </w:tr>
      <w:tr w14:paraId="0776D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55D7CBFF">
            <w:pPr>
              <w:snapToGrid w:val="0"/>
              <w:spacing w:before="60" w:after="60"/>
              <w:jc w:val="center"/>
              <w:rPr>
                <w:rFonts w:ascii="宋体" w:hAnsi="宋体" w:cs="宋体"/>
                <w:b w:val="0"/>
                <w:bCs w:val="0"/>
              </w:rPr>
            </w:pPr>
            <w:r>
              <w:rPr>
                <w:rFonts w:hint="eastAsia" w:ascii="宋体" w:hAnsi="宋体" w:cs="宋体"/>
                <w:b w:val="0"/>
                <w:bCs w:val="0"/>
              </w:rPr>
              <w:t>8</w:t>
            </w:r>
          </w:p>
        </w:tc>
        <w:tc>
          <w:tcPr>
            <w:tcW w:w="1526" w:type="pct"/>
            <w:tcBorders>
              <w:tl2br w:val="nil"/>
              <w:tr2bl w:val="nil"/>
            </w:tcBorders>
            <w:noWrap w:val="0"/>
            <w:vAlign w:val="center"/>
          </w:tcPr>
          <w:p w14:paraId="371FB6B3">
            <w:pPr>
              <w:snapToGrid w:val="0"/>
              <w:spacing w:before="60" w:after="60"/>
              <w:rPr>
                <w:rFonts w:ascii="宋体" w:hAnsi="宋体" w:cs="宋体"/>
                <w:b w:val="0"/>
                <w:bCs w:val="0"/>
              </w:rPr>
            </w:pPr>
            <w:r>
              <w:rPr>
                <w:rFonts w:hint="eastAsia" w:ascii="宋体" w:hAnsi="宋体" w:cs="宋体"/>
                <w:b w:val="0"/>
                <w:bCs w:val="0"/>
              </w:rPr>
              <w:t>一般故障修复响应时间</w:t>
            </w:r>
          </w:p>
        </w:tc>
        <w:tc>
          <w:tcPr>
            <w:tcW w:w="3086" w:type="pct"/>
            <w:tcBorders>
              <w:tl2br w:val="nil"/>
              <w:tr2bl w:val="nil"/>
            </w:tcBorders>
            <w:noWrap w:val="0"/>
            <w:vAlign w:val="center"/>
          </w:tcPr>
          <w:p w14:paraId="3EB0B0A7">
            <w:pPr>
              <w:snapToGrid w:val="0"/>
              <w:spacing w:before="60" w:after="60"/>
              <w:rPr>
                <w:rFonts w:ascii="宋体" w:hAnsi="宋体" w:cs="宋体"/>
                <w:b w:val="0"/>
                <w:bCs w:val="0"/>
              </w:rPr>
            </w:pPr>
            <w:r>
              <w:rPr>
                <w:rFonts w:hint="eastAsia" w:ascii="宋体" w:hAnsi="宋体" w:cs="宋体"/>
                <w:b w:val="0"/>
                <w:bCs w:val="0"/>
              </w:rPr>
              <w:t>修复时间不超过4小时。</w:t>
            </w:r>
          </w:p>
        </w:tc>
      </w:tr>
      <w:tr w14:paraId="1C190C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87" w:type="pct"/>
            <w:tcBorders>
              <w:tl2br w:val="nil"/>
              <w:tr2bl w:val="nil"/>
            </w:tcBorders>
            <w:noWrap w:val="0"/>
            <w:vAlign w:val="center"/>
          </w:tcPr>
          <w:p w14:paraId="7AD29BAA">
            <w:pPr>
              <w:snapToGrid w:val="0"/>
              <w:spacing w:before="60" w:after="60"/>
              <w:jc w:val="center"/>
              <w:rPr>
                <w:rFonts w:ascii="宋体" w:hAnsi="宋体" w:cs="宋体"/>
                <w:b w:val="0"/>
                <w:bCs w:val="0"/>
              </w:rPr>
            </w:pPr>
            <w:r>
              <w:rPr>
                <w:rFonts w:hint="eastAsia" w:ascii="宋体" w:hAnsi="宋体" w:cs="宋体"/>
                <w:b w:val="0"/>
                <w:bCs w:val="0"/>
              </w:rPr>
              <w:t>9</w:t>
            </w:r>
          </w:p>
        </w:tc>
        <w:tc>
          <w:tcPr>
            <w:tcW w:w="1526" w:type="pct"/>
            <w:tcBorders>
              <w:tl2br w:val="nil"/>
              <w:tr2bl w:val="nil"/>
            </w:tcBorders>
            <w:noWrap w:val="0"/>
            <w:vAlign w:val="center"/>
          </w:tcPr>
          <w:p w14:paraId="08A9018D">
            <w:pPr>
              <w:snapToGrid w:val="0"/>
              <w:spacing w:before="60" w:after="60"/>
              <w:rPr>
                <w:rFonts w:ascii="宋体" w:hAnsi="宋体" w:cs="宋体"/>
                <w:b w:val="0"/>
                <w:bCs w:val="0"/>
                <w:spacing w:val="-10"/>
              </w:rPr>
            </w:pPr>
            <w:r>
              <w:rPr>
                <w:rFonts w:hint="eastAsia" w:ascii="宋体" w:hAnsi="宋体" w:cs="宋体"/>
                <w:b w:val="0"/>
                <w:bCs w:val="0"/>
                <w:spacing w:val="-10"/>
              </w:rPr>
              <w:t>重大故障修复时间响应时间</w:t>
            </w:r>
          </w:p>
        </w:tc>
        <w:tc>
          <w:tcPr>
            <w:tcW w:w="3086" w:type="pct"/>
            <w:tcBorders>
              <w:tl2br w:val="nil"/>
              <w:tr2bl w:val="nil"/>
            </w:tcBorders>
            <w:noWrap w:val="0"/>
            <w:vAlign w:val="center"/>
          </w:tcPr>
          <w:p w14:paraId="03701B96">
            <w:pPr>
              <w:snapToGrid w:val="0"/>
              <w:spacing w:before="60" w:after="60"/>
              <w:rPr>
                <w:rFonts w:ascii="宋体" w:hAnsi="宋体" w:cs="宋体"/>
                <w:b w:val="0"/>
                <w:bCs w:val="0"/>
              </w:rPr>
            </w:pPr>
            <w:r>
              <w:rPr>
                <w:rFonts w:hint="eastAsia" w:ascii="宋体" w:hAnsi="宋体" w:cs="宋体"/>
                <w:b w:val="0"/>
                <w:bCs w:val="0"/>
              </w:rPr>
              <w:t>修复时间不超过48小时。</w:t>
            </w:r>
          </w:p>
        </w:tc>
      </w:tr>
    </w:tbl>
    <w:p w14:paraId="6BE7FF27">
      <w:pPr>
        <w:snapToGrid w:val="0"/>
        <w:spacing w:line="440" w:lineRule="exact"/>
        <w:ind w:firstLine="420" w:firstLineChars="200"/>
        <w:rPr>
          <w:rFonts w:ascii="宋体" w:hAnsi="宋体" w:cs="宋体"/>
          <w:b w:val="0"/>
          <w:bCs w:val="0"/>
        </w:rPr>
      </w:pPr>
      <w:r>
        <w:rPr>
          <w:rFonts w:hint="eastAsia" w:ascii="宋体" w:hAnsi="宋体" w:cs="宋体"/>
          <w:b w:val="0"/>
          <w:bCs w:val="0"/>
        </w:rPr>
        <w:t>4、电梯基本功能：</w:t>
      </w:r>
    </w:p>
    <w:p w14:paraId="76C7C333">
      <w:pPr>
        <w:snapToGrid w:val="0"/>
        <w:spacing w:line="440" w:lineRule="exact"/>
        <w:ind w:firstLine="420" w:firstLineChars="200"/>
        <w:rPr>
          <w:rFonts w:ascii="宋体" w:hAnsi="宋体" w:cs="宋体"/>
          <w:b w:val="0"/>
          <w:bCs w:val="0"/>
        </w:rPr>
      </w:pPr>
      <w:r>
        <w:rPr>
          <w:rFonts w:hint="eastAsia" w:ascii="宋体" w:hAnsi="宋体" w:cs="宋体"/>
          <w:b w:val="0"/>
          <w:bCs w:val="0"/>
        </w:rPr>
        <w:t>以下功能是买方对电梯的基本要求，如有偏离必须在偏离表中如实反映，投标人在投标时应详细列出所供电梯的其他具体标准功能。</w:t>
      </w:r>
    </w:p>
    <w:p w14:paraId="3B5B0A94">
      <w:pPr>
        <w:snapToGrid w:val="0"/>
        <w:spacing w:line="240" w:lineRule="auto"/>
        <w:ind w:firstLine="420" w:firstLineChars="200"/>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cs="宋体"/>
          <w:b w:val="0"/>
          <w:bCs w:val="0"/>
          <w:sz w:val="21"/>
          <w:szCs w:val="21"/>
          <w:lang w:val="en-US" w:eastAsia="zh-CN"/>
        </w:rPr>
        <w:t>电</w:t>
      </w:r>
      <w:r>
        <w:rPr>
          <w:rFonts w:hint="eastAsia" w:ascii="宋体" w:hAnsi="宋体" w:eastAsia="宋体" w:cs="宋体"/>
          <w:b w:val="0"/>
          <w:bCs w:val="0"/>
          <w:sz w:val="21"/>
          <w:szCs w:val="21"/>
        </w:rPr>
        <w:t>梯功能</w:t>
      </w:r>
    </w:p>
    <w:tbl>
      <w:tblPr>
        <w:tblStyle w:val="35"/>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285"/>
        <w:gridCol w:w="3285"/>
        <w:gridCol w:w="3284"/>
      </w:tblGrid>
      <w:tr w14:paraId="165951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5ABA5E48">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全集选控制运行</w:t>
            </w:r>
          </w:p>
        </w:tc>
        <w:tc>
          <w:tcPr>
            <w:tcW w:w="1667" w:type="pct"/>
            <w:tcBorders>
              <w:tl2br w:val="nil"/>
              <w:tr2bl w:val="nil"/>
            </w:tcBorders>
            <w:noWrap w:val="0"/>
            <w:vAlign w:val="center"/>
          </w:tcPr>
          <w:p w14:paraId="2CA7A899">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层高自测定功能</w:t>
            </w:r>
          </w:p>
        </w:tc>
        <w:tc>
          <w:tcPr>
            <w:tcW w:w="1667" w:type="pct"/>
            <w:tcBorders>
              <w:tl2br w:val="nil"/>
              <w:tr2bl w:val="nil"/>
            </w:tcBorders>
            <w:noWrap w:val="0"/>
            <w:vAlign w:val="center"/>
          </w:tcPr>
          <w:p w14:paraId="0BA71CC5">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轿顶检修操作功能</w:t>
            </w:r>
          </w:p>
        </w:tc>
      </w:tr>
      <w:tr w14:paraId="08726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1E93D14C">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轿内慢速运行功能</w:t>
            </w:r>
          </w:p>
        </w:tc>
        <w:tc>
          <w:tcPr>
            <w:tcW w:w="1667" w:type="pct"/>
            <w:tcBorders>
              <w:tl2br w:val="nil"/>
              <w:tr2bl w:val="nil"/>
            </w:tcBorders>
            <w:noWrap w:val="0"/>
            <w:vAlign w:val="center"/>
          </w:tcPr>
          <w:p w14:paraId="5C3C01D6">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(5)</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机房调试操作功能</w:t>
            </w:r>
          </w:p>
        </w:tc>
        <w:tc>
          <w:tcPr>
            <w:tcW w:w="1667" w:type="pct"/>
            <w:tcBorders>
              <w:tl2br w:val="nil"/>
              <w:tr2bl w:val="nil"/>
            </w:tcBorders>
            <w:noWrap w:val="0"/>
            <w:vAlign w:val="center"/>
          </w:tcPr>
          <w:p w14:paraId="4B2A82F9">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(6)</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超速电气保护功能</w:t>
            </w:r>
          </w:p>
        </w:tc>
      </w:tr>
      <w:tr w14:paraId="4272D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7A1BB167">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(7)</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超速机械保护功能</w:t>
            </w:r>
          </w:p>
        </w:tc>
        <w:tc>
          <w:tcPr>
            <w:tcW w:w="1667" w:type="pct"/>
            <w:tcBorders>
              <w:tl2br w:val="nil"/>
              <w:tr2bl w:val="nil"/>
            </w:tcBorders>
            <w:noWrap w:val="0"/>
            <w:vAlign w:val="center"/>
          </w:tcPr>
          <w:p w14:paraId="6043C06A">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(8)</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电动机空转保护</w:t>
            </w:r>
          </w:p>
        </w:tc>
        <w:tc>
          <w:tcPr>
            <w:tcW w:w="1667" w:type="pct"/>
            <w:tcBorders>
              <w:tl2br w:val="nil"/>
              <w:tr2bl w:val="nil"/>
            </w:tcBorders>
            <w:noWrap w:val="0"/>
            <w:vAlign w:val="center"/>
          </w:tcPr>
          <w:p w14:paraId="2E3BE6A7">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(9)</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电动机过载（热）保护</w:t>
            </w:r>
          </w:p>
        </w:tc>
      </w:tr>
      <w:tr w14:paraId="763122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3E443951">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(10)故障自动检测</w:t>
            </w:r>
          </w:p>
        </w:tc>
        <w:tc>
          <w:tcPr>
            <w:tcW w:w="1667" w:type="pct"/>
            <w:tcBorders>
              <w:tl2br w:val="nil"/>
              <w:tr2bl w:val="nil"/>
            </w:tcBorders>
            <w:noWrap w:val="0"/>
            <w:vAlign w:val="center"/>
          </w:tcPr>
          <w:p w14:paraId="1B5BE2CD">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(11)</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故障自动存储</w:t>
            </w:r>
          </w:p>
        </w:tc>
        <w:tc>
          <w:tcPr>
            <w:tcW w:w="1667" w:type="pct"/>
            <w:tcBorders>
              <w:tl2br w:val="nil"/>
              <w:tr2bl w:val="nil"/>
            </w:tcBorders>
            <w:noWrap w:val="0"/>
            <w:vAlign w:val="center"/>
          </w:tcPr>
          <w:p w14:paraId="5369CF85">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(12)待机定期自检</w:t>
            </w:r>
          </w:p>
        </w:tc>
      </w:tr>
      <w:tr w14:paraId="015EC8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3A864883">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(13)抱闸动作安全检测</w:t>
            </w:r>
          </w:p>
        </w:tc>
        <w:tc>
          <w:tcPr>
            <w:tcW w:w="1667" w:type="pct"/>
            <w:tcBorders>
              <w:tl2br w:val="nil"/>
              <w:tr2bl w:val="nil"/>
            </w:tcBorders>
            <w:noWrap w:val="0"/>
            <w:vAlign w:val="center"/>
          </w:tcPr>
          <w:p w14:paraId="142DE82A">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(14)</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位置异常自动校正</w:t>
            </w:r>
          </w:p>
        </w:tc>
        <w:tc>
          <w:tcPr>
            <w:tcW w:w="1667" w:type="pct"/>
            <w:tcBorders>
              <w:tl2br w:val="nil"/>
              <w:tr2bl w:val="nil"/>
            </w:tcBorders>
            <w:noWrap w:val="0"/>
            <w:vAlign w:val="center"/>
          </w:tcPr>
          <w:p w14:paraId="663D3945">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(15)</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故障低速自救运行</w:t>
            </w:r>
          </w:p>
        </w:tc>
      </w:tr>
      <w:tr w14:paraId="1D77DD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70C027DE">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(16)</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抗电磁干扰功能</w:t>
            </w:r>
          </w:p>
        </w:tc>
        <w:tc>
          <w:tcPr>
            <w:tcW w:w="1667" w:type="pct"/>
            <w:tcBorders>
              <w:tl2br w:val="nil"/>
              <w:tr2bl w:val="nil"/>
            </w:tcBorders>
            <w:noWrap w:val="0"/>
            <w:vAlign w:val="center"/>
          </w:tcPr>
          <w:p w14:paraId="1264DBF3">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(17)</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对讲机通讯功能</w:t>
            </w:r>
          </w:p>
        </w:tc>
        <w:tc>
          <w:tcPr>
            <w:tcW w:w="1667" w:type="pct"/>
            <w:tcBorders>
              <w:tl2br w:val="nil"/>
              <w:tr2bl w:val="nil"/>
            </w:tcBorders>
            <w:noWrap w:val="0"/>
            <w:vAlign w:val="center"/>
          </w:tcPr>
          <w:p w14:paraId="405971D6">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(18)</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底坑对讲机通讯</w:t>
            </w:r>
          </w:p>
        </w:tc>
      </w:tr>
      <w:tr w14:paraId="6653AF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3AD88D81">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(19)</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停车在非门区报警</w:t>
            </w:r>
          </w:p>
        </w:tc>
        <w:tc>
          <w:tcPr>
            <w:tcW w:w="1667" w:type="pct"/>
            <w:tcBorders>
              <w:tl2br w:val="nil"/>
              <w:tr2bl w:val="nil"/>
            </w:tcBorders>
            <w:noWrap w:val="0"/>
            <w:vAlign w:val="center"/>
          </w:tcPr>
          <w:p w14:paraId="6C8C6138">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(20)</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警铃报警功能</w:t>
            </w:r>
          </w:p>
        </w:tc>
        <w:tc>
          <w:tcPr>
            <w:tcW w:w="1667" w:type="pct"/>
            <w:tcBorders>
              <w:tl2br w:val="nil"/>
              <w:tr2bl w:val="nil"/>
            </w:tcBorders>
            <w:noWrap w:val="0"/>
            <w:vAlign w:val="center"/>
          </w:tcPr>
          <w:p w14:paraId="0143B33F">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(21)</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门过载保护</w:t>
            </w:r>
          </w:p>
        </w:tc>
      </w:tr>
      <w:tr w14:paraId="7D55F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40467145">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(22)</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超载报警功能</w:t>
            </w:r>
          </w:p>
        </w:tc>
        <w:tc>
          <w:tcPr>
            <w:tcW w:w="1667" w:type="pct"/>
            <w:tcBorders>
              <w:tl2br w:val="nil"/>
              <w:tr2bl w:val="nil"/>
            </w:tcBorders>
            <w:noWrap w:val="0"/>
            <w:vAlign w:val="center"/>
          </w:tcPr>
          <w:p w14:paraId="5BD1BDE4">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(23)</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开门异常自动选层</w:t>
            </w:r>
          </w:p>
        </w:tc>
        <w:tc>
          <w:tcPr>
            <w:tcW w:w="1667" w:type="pct"/>
            <w:tcBorders>
              <w:tl2br w:val="nil"/>
              <w:tr2bl w:val="nil"/>
            </w:tcBorders>
            <w:noWrap w:val="0"/>
            <w:vAlign w:val="center"/>
          </w:tcPr>
          <w:p w14:paraId="6DE9F979">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(24)开关门时间超常保护</w:t>
            </w:r>
          </w:p>
        </w:tc>
      </w:tr>
      <w:tr w14:paraId="356DC5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1010006E">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(25)</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开门时间自动控制</w:t>
            </w:r>
          </w:p>
        </w:tc>
        <w:tc>
          <w:tcPr>
            <w:tcW w:w="1667" w:type="pct"/>
            <w:tcBorders>
              <w:tl2br w:val="nil"/>
              <w:tr2bl w:val="nil"/>
            </w:tcBorders>
            <w:noWrap w:val="0"/>
            <w:vAlign w:val="center"/>
          </w:tcPr>
          <w:p w14:paraId="1031A3A9">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(26)</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开门时间自动调整</w:t>
            </w:r>
          </w:p>
        </w:tc>
        <w:tc>
          <w:tcPr>
            <w:tcW w:w="1667" w:type="pct"/>
            <w:tcBorders>
              <w:tl2br w:val="nil"/>
              <w:tr2bl w:val="nil"/>
            </w:tcBorders>
            <w:noWrap w:val="0"/>
            <w:vAlign w:val="center"/>
          </w:tcPr>
          <w:p w14:paraId="12496534">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(27)运行次数显示功能</w:t>
            </w:r>
          </w:p>
        </w:tc>
      </w:tr>
      <w:tr w14:paraId="61FD0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59A5D85C">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(28) 智能光幕保护功能</w:t>
            </w:r>
          </w:p>
        </w:tc>
        <w:tc>
          <w:tcPr>
            <w:tcW w:w="1667" w:type="pct"/>
            <w:tcBorders>
              <w:tl2br w:val="nil"/>
              <w:tr2bl w:val="nil"/>
            </w:tcBorders>
            <w:noWrap w:val="0"/>
            <w:vAlign w:val="center"/>
          </w:tcPr>
          <w:p w14:paraId="65D9411C">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(29)</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停电应急照明功能</w:t>
            </w:r>
          </w:p>
        </w:tc>
        <w:tc>
          <w:tcPr>
            <w:tcW w:w="1667" w:type="pct"/>
            <w:tcBorders>
              <w:tl2br w:val="nil"/>
              <w:tr2bl w:val="nil"/>
            </w:tcBorders>
            <w:noWrap w:val="0"/>
            <w:vAlign w:val="center"/>
          </w:tcPr>
          <w:p w14:paraId="54743585">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(30)</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消防迫降功能</w:t>
            </w:r>
          </w:p>
        </w:tc>
      </w:tr>
      <w:tr w14:paraId="1DF2BB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4C04222B">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(31)</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泊梯功能</w:t>
            </w:r>
          </w:p>
        </w:tc>
        <w:tc>
          <w:tcPr>
            <w:tcW w:w="1667" w:type="pct"/>
            <w:tcBorders>
              <w:tl2br w:val="nil"/>
              <w:tr2bl w:val="nil"/>
            </w:tcBorders>
            <w:noWrap w:val="0"/>
            <w:vAlign w:val="center"/>
          </w:tcPr>
          <w:p w14:paraId="5A306922">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(32)</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无呼自返基站功能</w:t>
            </w:r>
          </w:p>
        </w:tc>
        <w:tc>
          <w:tcPr>
            <w:tcW w:w="1667" w:type="pct"/>
            <w:tcBorders>
              <w:tl2br w:val="nil"/>
              <w:tr2bl w:val="nil"/>
            </w:tcBorders>
            <w:noWrap w:val="0"/>
            <w:vAlign w:val="center"/>
          </w:tcPr>
          <w:p w14:paraId="7E4493C5">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(33)</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起动补偿功能</w:t>
            </w:r>
          </w:p>
        </w:tc>
      </w:tr>
      <w:tr w14:paraId="185A5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0571AE59">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(34)</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门停止运行功能</w:t>
            </w:r>
          </w:p>
        </w:tc>
        <w:tc>
          <w:tcPr>
            <w:tcW w:w="1667" w:type="pct"/>
            <w:tcBorders>
              <w:tl2br w:val="nil"/>
              <w:tr2bl w:val="nil"/>
            </w:tcBorders>
            <w:noWrap w:val="0"/>
            <w:vAlign w:val="center"/>
          </w:tcPr>
          <w:p w14:paraId="33BCDE12">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(35)</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微动平层功能</w:t>
            </w:r>
          </w:p>
        </w:tc>
        <w:tc>
          <w:tcPr>
            <w:tcW w:w="1667" w:type="pct"/>
            <w:tcBorders>
              <w:tl2br w:val="nil"/>
              <w:tr2bl w:val="nil"/>
            </w:tcBorders>
            <w:noWrap w:val="0"/>
            <w:vAlign w:val="center"/>
          </w:tcPr>
          <w:p w14:paraId="7463A5C2">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(36)无效内指令自动消除功能</w:t>
            </w:r>
          </w:p>
        </w:tc>
      </w:tr>
      <w:tr w14:paraId="46CAF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0A31B0C1">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(37)</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反向内指令自动消除功能</w:t>
            </w:r>
          </w:p>
        </w:tc>
        <w:tc>
          <w:tcPr>
            <w:tcW w:w="1667" w:type="pct"/>
            <w:tcBorders>
              <w:tl2br w:val="nil"/>
              <w:tr2bl w:val="nil"/>
            </w:tcBorders>
            <w:noWrap w:val="0"/>
            <w:vAlign w:val="center"/>
          </w:tcPr>
          <w:p w14:paraId="7CBB10D8">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(38)</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轿内照明自动控制功能</w:t>
            </w:r>
          </w:p>
        </w:tc>
        <w:tc>
          <w:tcPr>
            <w:tcW w:w="1667" w:type="pct"/>
            <w:tcBorders>
              <w:tl2br w:val="nil"/>
              <w:tr2bl w:val="nil"/>
            </w:tcBorders>
            <w:noWrap w:val="0"/>
            <w:vAlign w:val="center"/>
          </w:tcPr>
          <w:p w14:paraId="172E2CE4">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(39)</w:t>
            </w:r>
            <w:r>
              <w:rPr>
                <w:rFonts w:hint="eastAsia" w:ascii="宋体" w:hAnsi="宋体" w:eastAsia="宋体" w:cs="宋体"/>
                <w:b w:val="0"/>
                <w:bCs w:val="0"/>
                <w:color w:val="000000"/>
                <w:sz w:val="21"/>
                <w:szCs w:val="21"/>
              </w:rPr>
              <w:t xml:space="preserve"> </w:t>
            </w:r>
            <w:r>
              <w:rPr>
                <w:rFonts w:hint="eastAsia" w:ascii="宋体" w:hAnsi="宋体" w:eastAsia="宋体" w:cs="宋体"/>
                <w:b w:val="0"/>
                <w:bCs w:val="0"/>
                <w:sz w:val="21"/>
                <w:szCs w:val="21"/>
              </w:rPr>
              <w:t>轿内通风自动控制功能</w:t>
            </w:r>
          </w:p>
        </w:tc>
      </w:tr>
      <w:tr w14:paraId="1DEE3F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696A6749">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(40) 目的层按钮闪亮</w:t>
            </w:r>
          </w:p>
        </w:tc>
        <w:tc>
          <w:tcPr>
            <w:tcW w:w="1667" w:type="pct"/>
            <w:tcBorders>
              <w:tl2br w:val="nil"/>
              <w:tr2bl w:val="nil"/>
            </w:tcBorders>
            <w:noWrap w:val="0"/>
            <w:vAlign w:val="center"/>
          </w:tcPr>
          <w:p w14:paraId="74B7A2F1">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(41) 厅轿门旁路检测功能</w:t>
            </w:r>
          </w:p>
        </w:tc>
        <w:tc>
          <w:tcPr>
            <w:tcW w:w="1667" w:type="pct"/>
            <w:tcBorders>
              <w:tl2br w:val="nil"/>
              <w:tr2bl w:val="nil"/>
            </w:tcBorders>
            <w:noWrap w:val="0"/>
            <w:vAlign w:val="center"/>
          </w:tcPr>
          <w:p w14:paraId="7906B2D7">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(42)五方通话装置</w:t>
            </w:r>
          </w:p>
        </w:tc>
      </w:tr>
      <w:tr w14:paraId="2BF28F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56C5B716">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(43) 厅外检修显示功能</w:t>
            </w:r>
          </w:p>
        </w:tc>
        <w:tc>
          <w:tcPr>
            <w:tcW w:w="1667" w:type="pct"/>
            <w:tcBorders>
              <w:tl2br w:val="nil"/>
              <w:tr2bl w:val="nil"/>
            </w:tcBorders>
            <w:noWrap w:val="0"/>
            <w:vAlign w:val="center"/>
          </w:tcPr>
          <w:p w14:paraId="064804B0">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(44)并联控制功能</w:t>
            </w:r>
          </w:p>
        </w:tc>
        <w:tc>
          <w:tcPr>
            <w:tcW w:w="1667" w:type="pct"/>
            <w:tcBorders>
              <w:tl2br w:val="nil"/>
              <w:tr2bl w:val="nil"/>
            </w:tcBorders>
            <w:noWrap w:val="0"/>
            <w:vAlign w:val="center"/>
          </w:tcPr>
          <w:p w14:paraId="737B4581">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(45)控制柜预留BA接口</w:t>
            </w:r>
          </w:p>
        </w:tc>
      </w:tr>
      <w:tr w14:paraId="3FE457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0FF6C87A">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(46)专用电梯轿厢空调</w:t>
            </w:r>
          </w:p>
        </w:tc>
        <w:tc>
          <w:tcPr>
            <w:tcW w:w="1667" w:type="pct"/>
            <w:tcBorders>
              <w:tl2br w:val="nil"/>
              <w:tr2bl w:val="nil"/>
            </w:tcBorders>
            <w:noWrap w:val="0"/>
            <w:vAlign w:val="center"/>
          </w:tcPr>
          <w:p w14:paraId="6038C51C">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(47)轿厢内语音报站功能</w:t>
            </w:r>
          </w:p>
        </w:tc>
        <w:tc>
          <w:tcPr>
            <w:tcW w:w="1667" w:type="pct"/>
            <w:tcBorders>
              <w:tl2br w:val="nil"/>
              <w:tr2bl w:val="nil"/>
            </w:tcBorders>
            <w:noWrap w:val="0"/>
            <w:vAlign w:val="center"/>
          </w:tcPr>
          <w:p w14:paraId="00B5DB1F">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(48)配置随行视频电缆（随行视频电缆应至电梯机房）</w:t>
            </w:r>
          </w:p>
        </w:tc>
      </w:tr>
      <w:tr w14:paraId="42564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2F397076">
            <w:pPr>
              <w:snapToGrid w:val="0"/>
              <w:spacing w:before="60" w:after="6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(47)专用运行功能</w:t>
            </w:r>
          </w:p>
        </w:tc>
        <w:tc>
          <w:tcPr>
            <w:tcW w:w="1667" w:type="pct"/>
            <w:tcBorders>
              <w:tl2br w:val="nil"/>
              <w:tr2bl w:val="nil"/>
            </w:tcBorders>
            <w:noWrap w:val="0"/>
            <w:vAlign w:val="center"/>
          </w:tcPr>
          <w:p w14:paraId="534939C4">
            <w:pPr>
              <w:snapToGrid w:val="0"/>
              <w:spacing w:before="60" w:after="6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(48)每层配置厅外到站灯</w:t>
            </w:r>
          </w:p>
        </w:tc>
        <w:tc>
          <w:tcPr>
            <w:tcW w:w="1667" w:type="pct"/>
            <w:tcBorders>
              <w:tl2br w:val="nil"/>
              <w:tr2bl w:val="nil"/>
            </w:tcBorders>
            <w:noWrap w:val="0"/>
            <w:vAlign w:val="center"/>
          </w:tcPr>
          <w:p w14:paraId="46FE4C98">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rPr>
              <w:t>（49）无障碍相关功能（符合规范要求）</w:t>
            </w:r>
          </w:p>
        </w:tc>
      </w:tr>
      <w:tr w14:paraId="58FFB8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67" w:type="pct"/>
            <w:tcBorders>
              <w:tl2br w:val="nil"/>
              <w:tr2bl w:val="nil"/>
            </w:tcBorders>
            <w:noWrap w:val="0"/>
            <w:vAlign w:val="center"/>
          </w:tcPr>
          <w:p w14:paraId="0D84C60A">
            <w:pPr>
              <w:snapToGrid w:val="0"/>
              <w:spacing w:before="60" w:after="6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(50)脱离并联独立运行功能</w:t>
            </w:r>
          </w:p>
        </w:tc>
        <w:tc>
          <w:tcPr>
            <w:tcW w:w="1667" w:type="pct"/>
            <w:tcBorders>
              <w:tl2br w:val="nil"/>
              <w:tr2bl w:val="nil"/>
            </w:tcBorders>
            <w:noWrap w:val="0"/>
            <w:vAlign w:val="center"/>
          </w:tcPr>
          <w:p w14:paraId="0089FCF0">
            <w:pPr>
              <w:snapToGrid w:val="0"/>
              <w:spacing w:before="60" w:after="60"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(51)轿内错误指令取消功能</w:t>
            </w:r>
          </w:p>
        </w:tc>
        <w:tc>
          <w:tcPr>
            <w:tcW w:w="1667" w:type="pct"/>
            <w:tcBorders>
              <w:tl2br w:val="nil"/>
              <w:tr2bl w:val="nil"/>
            </w:tcBorders>
            <w:noWrap w:val="0"/>
            <w:vAlign w:val="center"/>
          </w:tcPr>
          <w:p w14:paraId="72AFD8C7">
            <w:pPr>
              <w:pStyle w:val="12"/>
              <w:tabs>
                <w:tab w:val="left" w:pos="272"/>
                <w:tab w:val="left" w:pos="412"/>
              </w:tabs>
              <w:spacing w:before="60" w:after="60" w:line="240" w:lineRule="auto"/>
              <w:ind w:firstLine="0" w:firstLineChars="0"/>
              <w:rPr>
                <w:rFonts w:hint="eastAsia" w:ascii="宋体" w:hAnsi="宋体" w:eastAsia="宋体" w:cs="宋体"/>
                <w:b w:val="0"/>
                <w:bCs w:val="0"/>
                <w:sz w:val="21"/>
                <w:szCs w:val="21"/>
              </w:rPr>
            </w:pPr>
          </w:p>
        </w:tc>
      </w:tr>
    </w:tbl>
    <w:p w14:paraId="06C63FCF">
      <w:pPr>
        <w:snapToGrid w:val="0"/>
        <w:spacing w:line="440" w:lineRule="exact"/>
        <w:ind w:firstLine="420" w:firstLineChars="200"/>
        <w:rPr>
          <w:rFonts w:ascii="宋体" w:hAnsi="宋体" w:cs="宋体"/>
          <w:b w:val="0"/>
          <w:bCs w:val="0"/>
        </w:rPr>
      </w:pPr>
      <w:r>
        <w:rPr>
          <w:rFonts w:hint="eastAsia" w:ascii="宋体" w:hAnsi="宋体" w:cs="宋体"/>
          <w:b w:val="0"/>
          <w:bCs w:val="0"/>
        </w:rPr>
        <w:t>5、电梯安全设备要求：</w:t>
      </w:r>
    </w:p>
    <w:p w14:paraId="4093CD4A">
      <w:pPr>
        <w:snapToGrid w:val="0"/>
        <w:spacing w:line="440" w:lineRule="exact"/>
        <w:ind w:firstLine="420" w:firstLineChars="200"/>
        <w:rPr>
          <w:rFonts w:ascii="宋体" w:hAnsi="宋体" w:cs="宋体"/>
          <w:b w:val="0"/>
          <w:bCs w:val="0"/>
        </w:rPr>
      </w:pPr>
      <w:r>
        <w:rPr>
          <w:rFonts w:hint="eastAsia" w:ascii="宋体" w:hAnsi="宋体" w:cs="宋体"/>
          <w:b w:val="0"/>
          <w:bCs w:val="0"/>
        </w:rPr>
        <w:t>（1）断相和错相保护；</w:t>
      </w:r>
    </w:p>
    <w:p w14:paraId="17104949">
      <w:pPr>
        <w:snapToGrid w:val="0"/>
        <w:spacing w:line="440" w:lineRule="exact"/>
        <w:ind w:firstLine="420" w:firstLineChars="200"/>
        <w:rPr>
          <w:rFonts w:ascii="宋体" w:hAnsi="宋体" w:cs="宋体"/>
          <w:b w:val="0"/>
          <w:bCs w:val="0"/>
        </w:rPr>
      </w:pPr>
      <w:r>
        <w:rPr>
          <w:rFonts w:hint="eastAsia" w:ascii="宋体" w:hAnsi="宋体" w:cs="宋体"/>
          <w:b w:val="0"/>
          <w:bCs w:val="0"/>
        </w:rPr>
        <w:t>（2）上、下终点开关和上、下极限开关；</w:t>
      </w:r>
    </w:p>
    <w:p w14:paraId="7300CAA8">
      <w:pPr>
        <w:snapToGrid w:val="0"/>
        <w:spacing w:line="440" w:lineRule="exact"/>
        <w:ind w:firstLine="420" w:firstLineChars="200"/>
        <w:rPr>
          <w:rFonts w:ascii="宋体" w:hAnsi="宋体" w:cs="宋体"/>
          <w:b w:val="0"/>
          <w:bCs w:val="0"/>
        </w:rPr>
      </w:pPr>
      <w:r>
        <w:rPr>
          <w:rFonts w:hint="eastAsia" w:ascii="宋体" w:hAnsi="宋体" w:cs="宋体"/>
          <w:b w:val="0"/>
          <w:bCs w:val="0"/>
        </w:rPr>
        <w:t>（3）缓冲器；</w:t>
      </w:r>
    </w:p>
    <w:p w14:paraId="36521DC1">
      <w:pPr>
        <w:snapToGrid w:val="0"/>
        <w:spacing w:line="440" w:lineRule="exact"/>
        <w:ind w:firstLine="420" w:firstLineChars="200"/>
        <w:rPr>
          <w:rFonts w:ascii="宋体" w:hAnsi="宋体" w:cs="宋体"/>
          <w:b w:val="0"/>
          <w:bCs w:val="0"/>
        </w:rPr>
      </w:pPr>
      <w:r>
        <w:rPr>
          <w:rFonts w:hint="eastAsia" w:ascii="宋体" w:hAnsi="宋体" w:cs="宋体"/>
          <w:b w:val="0"/>
          <w:bCs w:val="0"/>
        </w:rPr>
        <w:t>（4）限速器；</w:t>
      </w:r>
    </w:p>
    <w:p w14:paraId="7D5A7BD8">
      <w:pPr>
        <w:snapToGrid w:val="0"/>
        <w:spacing w:line="440" w:lineRule="exact"/>
        <w:ind w:firstLine="420" w:firstLineChars="200"/>
        <w:rPr>
          <w:rFonts w:ascii="宋体" w:hAnsi="宋体" w:cs="宋体"/>
          <w:b w:val="0"/>
          <w:bCs w:val="0"/>
        </w:rPr>
      </w:pPr>
      <w:r>
        <w:rPr>
          <w:rFonts w:hint="eastAsia" w:ascii="宋体" w:hAnsi="宋体" w:cs="宋体"/>
          <w:b w:val="0"/>
          <w:bCs w:val="0"/>
        </w:rPr>
        <w:t>（5）安全钳；</w:t>
      </w:r>
    </w:p>
    <w:p w14:paraId="45F192F6">
      <w:pPr>
        <w:snapToGrid w:val="0"/>
        <w:spacing w:line="440" w:lineRule="exact"/>
        <w:ind w:firstLine="420" w:firstLineChars="200"/>
        <w:rPr>
          <w:rFonts w:ascii="宋体" w:hAnsi="宋体" w:cs="宋体"/>
          <w:b w:val="0"/>
          <w:bCs w:val="0"/>
        </w:rPr>
      </w:pPr>
      <w:r>
        <w:rPr>
          <w:rFonts w:hint="eastAsia" w:ascii="宋体" w:hAnsi="宋体" w:cs="宋体"/>
          <w:b w:val="0"/>
          <w:bCs w:val="0"/>
        </w:rPr>
        <w:t>（6）紧急停止按钮；</w:t>
      </w:r>
    </w:p>
    <w:p w14:paraId="2AE56D05">
      <w:pPr>
        <w:snapToGrid w:val="0"/>
        <w:spacing w:line="440" w:lineRule="exact"/>
        <w:ind w:firstLine="420" w:firstLineChars="200"/>
        <w:rPr>
          <w:rFonts w:ascii="宋体" w:hAnsi="宋体" w:cs="宋体"/>
          <w:b w:val="0"/>
          <w:bCs w:val="0"/>
        </w:rPr>
      </w:pPr>
      <w:r>
        <w:rPr>
          <w:rFonts w:hint="eastAsia" w:ascii="宋体" w:hAnsi="宋体" w:cs="宋体"/>
          <w:b w:val="0"/>
          <w:bCs w:val="0"/>
        </w:rPr>
        <w:t>（7）层门安全设施；</w:t>
      </w:r>
    </w:p>
    <w:p w14:paraId="438B917D">
      <w:pPr>
        <w:snapToGrid w:val="0"/>
        <w:spacing w:line="440" w:lineRule="exact"/>
        <w:ind w:firstLine="420" w:firstLineChars="200"/>
        <w:rPr>
          <w:rFonts w:ascii="宋体" w:hAnsi="宋体" w:cs="宋体"/>
          <w:b w:val="0"/>
          <w:bCs w:val="0"/>
        </w:rPr>
      </w:pPr>
      <w:r>
        <w:rPr>
          <w:rFonts w:hint="eastAsia" w:ascii="宋体" w:hAnsi="宋体" w:cs="宋体"/>
          <w:b w:val="0"/>
          <w:bCs w:val="0"/>
        </w:rPr>
        <w:t>（8）轿门安全设施；</w:t>
      </w:r>
    </w:p>
    <w:p w14:paraId="427ECC6A">
      <w:pPr>
        <w:snapToGrid w:val="0"/>
        <w:spacing w:line="440" w:lineRule="exact"/>
        <w:ind w:firstLine="420" w:firstLineChars="200"/>
        <w:rPr>
          <w:rFonts w:ascii="宋体" w:hAnsi="宋体" w:cs="宋体"/>
          <w:b w:val="0"/>
          <w:bCs w:val="0"/>
        </w:rPr>
      </w:pPr>
      <w:r>
        <w:rPr>
          <w:rFonts w:hint="eastAsia" w:ascii="宋体" w:hAnsi="宋体" w:cs="宋体"/>
          <w:b w:val="0"/>
          <w:bCs w:val="0"/>
        </w:rPr>
        <w:t>（9）层门闭锁保护</w:t>
      </w:r>
    </w:p>
    <w:p w14:paraId="6F8EBFC7">
      <w:pPr>
        <w:snapToGrid w:val="0"/>
        <w:spacing w:line="440" w:lineRule="exact"/>
        <w:ind w:firstLine="420" w:firstLineChars="200"/>
        <w:rPr>
          <w:rFonts w:ascii="宋体" w:hAnsi="宋体" w:cs="宋体"/>
          <w:b w:val="0"/>
          <w:bCs w:val="0"/>
        </w:rPr>
      </w:pPr>
      <w:r>
        <w:rPr>
          <w:rFonts w:hint="eastAsia" w:ascii="宋体" w:hAnsi="宋体" w:cs="宋体"/>
          <w:b w:val="0"/>
          <w:bCs w:val="0"/>
        </w:rPr>
        <w:t>（10）电气短路保护；</w:t>
      </w:r>
    </w:p>
    <w:p w14:paraId="24BDF2D1">
      <w:pPr>
        <w:snapToGrid w:val="0"/>
        <w:spacing w:line="440" w:lineRule="exact"/>
        <w:ind w:firstLine="420" w:firstLineChars="200"/>
        <w:rPr>
          <w:rFonts w:ascii="宋体" w:hAnsi="宋体" w:cs="宋体"/>
          <w:b w:val="0"/>
          <w:bCs w:val="0"/>
        </w:rPr>
      </w:pPr>
      <w:r>
        <w:rPr>
          <w:rFonts w:hint="eastAsia" w:ascii="宋体" w:hAnsi="宋体" w:cs="宋体"/>
          <w:b w:val="0"/>
          <w:bCs w:val="0"/>
        </w:rPr>
        <w:t>（11）主电机过载保护。</w:t>
      </w:r>
    </w:p>
    <w:p w14:paraId="70F6F9E8">
      <w:pPr>
        <w:snapToGrid w:val="0"/>
        <w:spacing w:line="440" w:lineRule="exact"/>
        <w:ind w:firstLine="420" w:firstLineChars="200"/>
        <w:rPr>
          <w:rFonts w:ascii="宋体" w:hAnsi="宋体" w:cs="宋体"/>
          <w:b w:val="0"/>
          <w:bCs w:val="0"/>
        </w:rPr>
      </w:pPr>
      <w:r>
        <w:rPr>
          <w:rFonts w:hint="eastAsia" w:ascii="宋体" w:hAnsi="宋体" w:cs="宋体"/>
          <w:b w:val="0"/>
          <w:bCs w:val="0"/>
        </w:rPr>
        <w:t>6、电梯装修要求：</w:t>
      </w:r>
    </w:p>
    <w:p w14:paraId="1D141DC5">
      <w:pPr>
        <w:snapToGrid w:val="0"/>
        <w:spacing w:line="440" w:lineRule="exact"/>
        <w:ind w:firstLine="420" w:firstLineChars="200"/>
        <w:rPr>
          <w:rFonts w:ascii="宋体" w:hAnsi="宋体" w:cs="宋体"/>
          <w:b w:val="0"/>
          <w:bCs w:val="0"/>
        </w:rPr>
      </w:pPr>
      <w:r>
        <w:rPr>
          <w:rFonts w:hint="eastAsia" w:ascii="宋体" w:hAnsi="宋体" w:cs="宋体"/>
          <w:b w:val="0"/>
          <w:bCs w:val="0"/>
        </w:rPr>
        <w:t>轿厢和厅门的装修由供应商按下列要求进行</w:t>
      </w:r>
    </w:p>
    <w:tbl>
      <w:tblPr>
        <w:tblStyle w:val="35"/>
        <w:tblW w:w="4998"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6062"/>
        <w:gridCol w:w="2492"/>
      </w:tblGrid>
      <w:tr w14:paraId="2BEB40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03EEDB98">
            <w:pPr>
              <w:snapToGrid w:val="0"/>
              <w:jc w:val="center"/>
              <w:rPr>
                <w:rFonts w:ascii="宋体" w:hAnsi="宋体" w:cs="宋体"/>
                <w:b w:val="0"/>
                <w:bCs w:val="0"/>
              </w:rPr>
            </w:pPr>
            <w:r>
              <w:rPr>
                <w:rFonts w:hint="eastAsia" w:ascii="宋体" w:hAnsi="宋体" w:cs="宋体"/>
                <w:b w:val="0"/>
                <w:bCs w:val="0"/>
              </w:rPr>
              <w:t>部 位</w:t>
            </w:r>
          </w:p>
        </w:tc>
        <w:tc>
          <w:tcPr>
            <w:tcW w:w="3076" w:type="pct"/>
            <w:tcBorders>
              <w:tl2br w:val="nil"/>
              <w:tr2bl w:val="nil"/>
            </w:tcBorders>
            <w:noWrap w:val="0"/>
            <w:vAlign w:val="center"/>
          </w:tcPr>
          <w:p w14:paraId="135E9218">
            <w:pPr>
              <w:snapToGrid w:val="0"/>
              <w:jc w:val="center"/>
              <w:rPr>
                <w:rFonts w:ascii="宋体" w:hAnsi="宋体" w:cs="宋体"/>
                <w:b w:val="0"/>
                <w:bCs w:val="0"/>
              </w:rPr>
            </w:pPr>
            <w:r>
              <w:rPr>
                <w:rFonts w:hint="eastAsia" w:ascii="宋体" w:hAnsi="宋体" w:cs="宋体"/>
                <w:b w:val="0"/>
                <w:bCs w:val="0"/>
              </w:rPr>
              <w:t>装 修 要 求</w:t>
            </w:r>
          </w:p>
        </w:tc>
        <w:tc>
          <w:tcPr>
            <w:tcW w:w="1265" w:type="pct"/>
            <w:tcBorders>
              <w:tl2br w:val="nil"/>
              <w:tr2bl w:val="nil"/>
            </w:tcBorders>
            <w:noWrap w:val="0"/>
            <w:vAlign w:val="center"/>
          </w:tcPr>
          <w:p w14:paraId="621EE738">
            <w:pPr>
              <w:snapToGrid w:val="0"/>
              <w:ind w:right="-23" w:rightChars="-11"/>
              <w:jc w:val="center"/>
              <w:rPr>
                <w:rFonts w:ascii="宋体" w:hAnsi="宋体" w:cs="宋体"/>
                <w:b w:val="0"/>
                <w:bCs w:val="0"/>
              </w:rPr>
            </w:pPr>
            <w:r>
              <w:rPr>
                <w:rFonts w:hint="eastAsia" w:ascii="宋体" w:hAnsi="宋体" w:cs="宋体"/>
                <w:b w:val="0"/>
                <w:bCs w:val="0"/>
              </w:rPr>
              <w:t>备 注</w:t>
            </w:r>
          </w:p>
        </w:tc>
      </w:tr>
      <w:tr w14:paraId="41B1BC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658" w:type="pct"/>
            <w:tcBorders>
              <w:tl2br w:val="nil"/>
              <w:tr2bl w:val="nil"/>
            </w:tcBorders>
            <w:noWrap w:val="0"/>
            <w:vAlign w:val="center"/>
          </w:tcPr>
          <w:p w14:paraId="7BEDC3EA">
            <w:pPr>
              <w:snapToGrid w:val="0"/>
              <w:jc w:val="center"/>
              <w:rPr>
                <w:rFonts w:ascii="宋体" w:hAnsi="宋体" w:cs="宋体"/>
                <w:b w:val="0"/>
                <w:bCs w:val="0"/>
              </w:rPr>
            </w:pPr>
            <w:r>
              <w:rPr>
                <w:rFonts w:hint="eastAsia" w:ascii="宋体" w:hAnsi="宋体" w:cs="宋体"/>
                <w:b w:val="0"/>
                <w:bCs w:val="0"/>
              </w:rPr>
              <w:t>轿厢壁</w:t>
            </w:r>
          </w:p>
        </w:tc>
        <w:tc>
          <w:tcPr>
            <w:tcW w:w="3076" w:type="pct"/>
            <w:tcBorders>
              <w:tl2br w:val="nil"/>
              <w:tr2bl w:val="nil"/>
            </w:tcBorders>
            <w:noWrap w:val="0"/>
            <w:vAlign w:val="center"/>
          </w:tcPr>
          <w:p w14:paraId="56A8FD22">
            <w:pPr>
              <w:tabs>
                <w:tab w:val="left" w:pos="3780"/>
                <w:tab w:val="left" w:pos="5940"/>
              </w:tabs>
              <w:ind w:right="-61" w:rightChars="-29"/>
              <w:rPr>
                <w:rFonts w:ascii="宋体" w:hAnsi="宋体" w:cs="宋体"/>
                <w:b w:val="0"/>
                <w:bCs w:val="0"/>
              </w:rPr>
            </w:pPr>
            <w:r>
              <w:rPr>
                <w:rFonts w:hint="eastAsia" w:ascii="宋体" w:hAnsi="宋体" w:cs="宋体"/>
                <w:b w:val="0"/>
                <w:bCs w:val="0"/>
              </w:rPr>
              <w:t xml:space="preserve">轿厢后壁采用发纹不锈钢，其余壁板均采用发纹不锈钢，无障碍功能电梯设置三侧不锈钢扶手。 </w:t>
            </w:r>
          </w:p>
        </w:tc>
        <w:tc>
          <w:tcPr>
            <w:tcW w:w="1265" w:type="pct"/>
            <w:tcBorders>
              <w:tl2br w:val="nil"/>
              <w:tr2bl w:val="nil"/>
            </w:tcBorders>
            <w:noWrap w:val="0"/>
            <w:vAlign w:val="center"/>
          </w:tcPr>
          <w:p w14:paraId="52F14CD9">
            <w:pPr>
              <w:tabs>
                <w:tab w:val="left" w:pos="3780"/>
                <w:tab w:val="left" w:pos="5940"/>
              </w:tabs>
              <w:ind w:right="-23" w:rightChars="-11"/>
              <w:rPr>
                <w:rFonts w:ascii="宋体" w:hAnsi="宋体" w:cs="宋体"/>
                <w:b w:val="0"/>
                <w:bCs w:val="0"/>
              </w:rPr>
            </w:pPr>
          </w:p>
        </w:tc>
      </w:tr>
      <w:tr w14:paraId="7B936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750ECE26">
            <w:pPr>
              <w:snapToGrid w:val="0"/>
              <w:jc w:val="center"/>
              <w:rPr>
                <w:rFonts w:ascii="宋体" w:hAnsi="宋体" w:cs="宋体"/>
                <w:b w:val="0"/>
                <w:bCs w:val="0"/>
              </w:rPr>
            </w:pPr>
            <w:r>
              <w:rPr>
                <w:rFonts w:hint="eastAsia" w:ascii="宋体" w:hAnsi="宋体" w:cs="宋体"/>
                <w:b w:val="0"/>
                <w:bCs w:val="0"/>
              </w:rPr>
              <w:t>地   面</w:t>
            </w:r>
          </w:p>
        </w:tc>
        <w:tc>
          <w:tcPr>
            <w:tcW w:w="3076" w:type="pct"/>
            <w:tcBorders>
              <w:tl2br w:val="nil"/>
              <w:tr2bl w:val="nil"/>
            </w:tcBorders>
            <w:noWrap w:val="0"/>
            <w:vAlign w:val="center"/>
          </w:tcPr>
          <w:p w14:paraId="710B5A1F">
            <w:pPr>
              <w:snapToGrid w:val="0"/>
              <w:rPr>
                <w:rFonts w:ascii="宋体" w:hAnsi="宋体" w:cs="宋体"/>
                <w:b w:val="0"/>
                <w:bCs w:val="0"/>
              </w:rPr>
            </w:pPr>
            <w:r>
              <w:rPr>
                <w:rFonts w:hint="eastAsia" w:ascii="宋体" w:hAnsi="宋体" w:cs="宋体"/>
                <w:b w:val="0"/>
                <w:bCs w:val="0"/>
                <w:u w:val="wave"/>
              </w:rPr>
              <w:t>采用花纹钢板</w:t>
            </w:r>
          </w:p>
        </w:tc>
        <w:tc>
          <w:tcPr>
            <w:tcW w:w="1265" w:type="pct"/>
            <w:tcBorders>
              <w:tl2br w:val="nil"/>
              <w:tr2bl w:val="nil"/>
            </w:tcBorders>
            <w:noWrap w:val="0"/>
            <w:vAlign w:val="center"/>
          </w:tcPr>
          <w:p w14:paraId="4AECB18C">
            <w:pPr>
              <w:tabs>
                <w:tab w:val="left" w:pos="3780"/>
                <w:tab w:val="left" w:pos="5940"/>
              </w:tabs>
              <w:ind w:right="-23" w:rightChars="-11"/>
              <w:rPr>
                <w:rFonts w:ascii="宋体" w:hAnsi="宋体" w:cs="宋体"/>
                <w:b w:val="0"/>
                <w:bCs w:val="0"/>
              </w:rPr>
            </w:pPr>
          </w:p>
        </w:tc>
      </w:tr>
      <w:tr w14:paraId="729DEC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791A6509">
            <w:pPr>
              <w:snapToGrid w:val="0"/>
              <w:jc w:val="center"/>
              <w:rPr>
                <w:rFonts w:ascii="宋体" w:hAnsi="宋体" w:cs="宋体"/>
                <w:b w:val="0"/>
                <w:bCs w:val="0"/>
              </w:rPr>
            </w:pPr>
            <w:r>
              <w:rPr>
                <w:rFonts w:hint="eastAsia" w:ascii="宋体" w:hAnsi="宋体" w:cs="宋体"/>
                <w:b w:val="0"/>
                <w:bCs w:val="0"/>
              </w:rPr>
              <w:t>轿厢顶</w:t>
            </w:r>
          </w:p>
        </w:tc>
        <w:tc>
          <w:tcPr>
            <w:tcW w:w="3076" w:type="pct"/>
            <w:tcBorders>
              <w:tl2br w:val="nil"/>
              <w:tr2bl w:val="nil"/>
            </w:tcBorders>
            <w:noWrap w:val="0"/>
            <w:vAlign w:val="center"/>
          </w:tcPr>
          <w:p w14:paraId="4F18CE84">
            <w:pPr>
              <w:snapToGrid w:val="0"/>
              <w:rPr>
                <w:rFonts w:ascii="宋体" w:hAnsi="宋体" w:cs="宋体"/>
                <w:b w:val="0"/>
                <w:bCs w:val="0"/>
              </w:rPr>
            </w:pPr>
            <w:r>
              <w:rPr>
                <w:rFonts w:hint="eastAsia" w:ascii="宋体" w:hAnsi="宋体" w:cs="宋体"/>
                <w:b w:val="0"/>
                <w:bCs w:val="0"/>
              </w:rPr>
              <w:t>豪华吊顶（材质为不锈钢），顶部含灯光、通风和空调。</w:t>
            </w:r>
          </w:p>
        </w:tc>
        <w:tc>
          <w:tcPr>
            <w:tcW w:w="1265" w:type="pct"/>
            <w:tcBorders>
              <w:tl2br w:val="nil"/>
              <w:tr2bl w:val="nil"/>
            </w:tcBorders>
            <w:noWrap w:val="0"/>
            <w:vAlign w:val="center"/>
          </w:tcPr>
          <w:p w14:paraId="5D5387F7">
            <w:pPr>
              <w:tabs>
                <w:tab w:val="left" w:pos="3780"/>
                <w:tab w:val="left" w:pos="5940"/>
              </w:tabs>
              <w:ind w:right="-23" w:rightChars="-11"/>
              <w:rPr>
                <w:rFonts w:ascii="宋体" w:hAnsi="宋体" w:cs="宋体"/>
                <w:b w:val="0"/>
                <w:bCs w:val="0"/>
              </w:rPr>
            </w:pPr>
          </w:p>
        </w:tc>
      </w:tr>
      <w:tr w14:paraId="0B70A8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16F83216">
            <w:pPr>
              <w:snapToGrid w:val="0"/>
              <w:jc w:val="center"/>
              <w:rPr>
                <w:rFonts w:ascii="宋体" w:hAnsi="宋体" w:cs="宋体"/>
                <w:b w:val="0"/>
                <w:bCs w:val="0"/>
              </w:rPr>
            </w:pPr>
            <w:r>
              <w:rPr>
                <w:rFonts w:hint="eastAsia" w:ascii="宋体" w:hAnsi="宋体" w:cs="宋体"/>
                <w:b w:val="0"/>
                <w:bCs w:val="0"/>
              </w:rPr>
              <w:t>轿  门</w:t>
            </w:r>
          </w:p>
        </w:tc>
        <w:tc>
          <w:tcPr>
            <w:tcW w:w="3076" w:type="pct"/>
            <w:tcBorders>
              <w:tl2br w:val="nil"/>
              <w:tr2bl w:val="nil"/>
            </w:tcBorders>
            <w:noWrap w:val="0"/>
            <w:vAlign w:val="center"/>
          </w:tcPr>
          <w:p w14:paraId="06163B8E">
            <w:pPr>
              <w:snapToGrid w:val="0"/>
              <w:rPr>
                <w:rFonts w:ascii="宋体" w:hAnsi="宋体" w:cs="宋体"/>
                <w:b w:val="0"/>
                <w:bCs w:val="0"/>
              </w:rPr>
            </w:pPr>
            <w:r>
              <w:rPr>
                <w:rFonts w:hint="eastAsia" w:ascii="宋体" w:hAnsi="宋体" w:cs="宋体"/>
                <w:b w:val="0"/>
                <w:bCs w:val="0"/>
              </w:rPr>
              <w:t>旁开门，3</w:t>
            </w:r>
            <w:r>
              <w:rPr>
                <w:rFonts w:ascii="宋体" w:hAnsi="宋体" w:cs="宋体"/>
                <w:b w:val="0"/>
                <w:bCs w:val="0"/>
              </w:rPr>
              <w:t>04</w:t>
            </w:r>
            <w:r>
              <w:rPr>
                <w:rFonts w:hint="eastAsia" w:ascii="宋体" w:hAnsi="宋体" w:cs="宋体"/>
                <w:b w:val="0"/>
                <w:bCs w:val="0"/>
              </w:rPr>
              <w:t>发纹不锈钢。红外线光幕保护。</w:t>
            </w:r>
          </w:p>
        </w:tc>
        <w:tc>
          <w:tcPr>
            <w:tcW w:w="1265" w:type="pct"/>
            <w:tcBorders>
              <w:tl2br w:val="nil"/>
              <w:tr2bl w:val="nil"/>
            </w:tcBorders>
            <w:noWrap w:val="0"/>
            <w:vAlign w:val="center"/>
          </w:tcPr>
          <w:p w14:paraId="51B81492">
            <w:pPr>
              <w:snapToGrid w:val="0"/>
              <w:ind w:right="-23" w:rightChars="-11"/>
              <w:rPr>
                <w:rFonts w:ascii="宋体" w:hAnsi="宋体" w:cs="宋体"/>
                <w:b w:val="0"/>
                <w:bCs w:val="0"/>
              </w:rPr>
            </w:pPr>
          </w:p>
        </w:tc>
      </w:tr>
      <w:tr w14:paraId="70359D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32894A48">
            <w:pPr>
              <w:pStyle w:val="12"/>
              <w:tabs>
                <w:tab w:val="left" w:pos="272"/>
                <w:tab w:val="left" w:pos="412"/>
              </w:tabs>
              <w:ind w:firstLine="0" w:firstLineChars="0"/>
              <w:jc w:val="center"/>
              <w:rPr>
                <w:rFonts w:ascii="宋体" w:hAnsi="宋体" w:cs="宋体"/>
                <w:b w:val="0"/>
                <w:bCs w:val="0"/>
              </w:rPr>
            </w:pPr>
            <w:r>
              <w:rPr>
                <w:rFonts w:hint="eastAsia" w:ascii="宋体" w:hAnsi="宋体" w:cs="宋体"/>
                <w:b w:val="0"/>
                <w:bCs w:val="0"/>
              </w:rPr>
              <w:t>轿厢内显示屏</w:t>
            </w:r>
          </w:p>
        </w:tc>
        <w:tc>
          <w:tcPr>
            <w:tcW w:w="3076" w:type="pct"/>
            <w:tcBorders>
              <w:tl2br w:val="nil"/>
              <w:tr2bl w:val="nil"/>
            </w:tcBorders>
            <w:noWrap w:val="0"/>
            <w:vAlign w:val="center"/>
          </w:tcPr>
          <w:p w14:paraId="350BC10A">
            <w:pPr>
              <w:tabs>
                <w:tab w:val="left" w:pos="3780"/>
                <w:tab w:val="left" w:pos="5940"/>
              </w:tabs>
              <w:ind w:right="-25" w:rightChars="-12"/>
              <w:rPr>
                <w:rFonts w:ascii="宋体" w:hAnsi="宋体" w:cs="宋体"/>
                <w:b w:val="0"/>
                <w:bCs w:val="0"/>
              </w:rPr>
            </w:pPr>
            <w:r>
              <w:rPr>
                <w:rFonts w:hint="eastAsia" w:ascii="宋体" w:hAnsi="宋体" w:cs="宋体"/>
                <w:b w:val="0"/>
                <w:bCs w:val="0"/>
              </w:rPr>
              <w:t>采用不小于</w:t>
            </w:r>
            <w:r>
              <w:rPr>
                <w:rFonts w:ascii="宋体" w:hAnsi="宋体" w:cs="宋体"/>
                <w:b w:val="0"/>
                <w:bCs w:val="0"/>
              </w:rPr>
              <w:t>10</w:t>
            </w:r>
            <w:r>
              <w:rPr>
                <w:rFonts w:hint="eastAsia" w:ascii="宋体" w:hAnsi="宋体" w:cs="宋体"/>
                <w:b w:val="0"/>
                <w:bCs w:val="0"/>
              </w:rPr>
              <w:t>英寸的多媒体彩色液晶显示屏，应能显示电梯所在楼层、运行方向及其它相关信息等。</w:t>
            </w:r>
          </w:p>
        </w:tc>
        <w:tc>
          <w:tcPr>
            <w:tcW w:w="1265" w:type="pct"/>
            <w:tcBorders>
              <w:tl2br w:val="nil"/>
              <w:tr2bl w:val="nil"/>
            </w:tcBorders>
            <w:noWrap w:val="0"/>
            <w:vAlign w:val="center"/>
          </w:tcPr>
          <w:p w14:paraId="3996579F">
            <w:pPr>
              <w:snapToGrid w:val="0"/>
              <w:ind w:right="-23" w:rightChars="-11"/>
              <w:rPr>
                <w:rFonts w:ascii="宋体" w:hAnsi="宋体" w:cs="宋体"/>
                <w:b w:val="0"/>
                <w:bCs w:val="0"/>
              </w:rPr>
            </w:pPr>
          </w:p>
        </w:tc>
      </w:tr>
      <w:tr w14:paraId="24B7F2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05D70056">
            <w:pPr>
              <w:snapToGrid w:val="0"/>
              <w:jc w:val="center"/>
              <w:rPr>
                <w:rFonts w:ascii="宋体" w:hAnsi="宋体" w:cs="宋体"/>
                <w:b w:val="0"/>
                <w:bCs w:val="0"/>
              </w:rPr>
            </w:pPr>
            <w:r>
              <w:rPr>
                <w:rFonts w:hint="eastAsia" w:ascii="宋体" w:hAnsi="宋体" w:cs="宋体"/>
                <w:b w:val="0"/>
                <w:bCs w:val="0"/>
              </w:rPr>
              <w:t>操纵盘</w:t>
            </w:r>
          </w:p>
        </w:tc>
        <w:tc>
          <w:tcPr>
            <w:tcW w:w="3076" w:type="pct"/>
            <w:tcBorders>
              <w:tl2br w:val="nil"/>
              <w:tr2bl w:val="nil"/>
            </w:tcBorders>
            <w:noWrap w:val="0"/>
            <w:vAlign w:val="center"/>
          </w:tcPr>
          <w:p w14:paraId="4C9B77E4">
            <w:pPr>
              <w:snapToGrid w:val="0"/>
              <w:ind w:right="-25" w:rightChars="-12"/>
              <w:rPr>
                <w:rFonts w:ascii="宋体" w:hAnsi="宋体" w:cs="宋体"/>
                <w:b w:val="0"/>
                <w:bCs w:val="0"/>
              </w:rPr>
            </w:pPr>
            <w:r>
              <w:rPr>
                <w:rFonts w:hint="eastAsia" w:ascii="宋体" w:hAnsi="宋体" w:cs="宋体"/>
                <w:b w:val="0"/>
                <w:bCs w:val="0"/>
              </w:rPr>
              <w:t>电梯操作箱要求采用一体式发纹不锈钢面板，（除按钮外前壁无凸出、无缝隙，不接受分体式面板），配置</w:t>
            </w:r>
            <w:r>
              <w:rPr>
                <w:rFonts w:ascii="宋体" w:hAnsi="宋体" w:cs="宋体"/>
                <w:b w:val="0"/>
                <w:bCs w:val="0"/>
              </w:rPr>
              <w:t>10</w:t>
            </w:r>
            <w:r>
              <w:rPr>
                <w:rFonts w:hint="eastAsia" w:ascii="宋体" w:hAnsi="宋体" w:cs="宋体"/>
                <w:b w:val="0"/>
                <w:bCs w:val="0"/>
              </w:rPr>
              <w:t>英寸的多媒体彩色液晶显示屏，装有微动发光二极管照明的楼层豪华按钮。</w:t>
            </w:r>
          </w:p>
          <w:p w14:paraId="11447FEA">
            <w:pPr>
              <w:snapToGrid w:val="0"/>
              <w:ind w:right="-25" w:rightChars="-12"/>
              <w:rPr>
                <w:rFonts w:ascii="宋体" w:hAnsi="宋体" w:cs="宋体"/>
                <w:b w:val="0"/>
                <w:bCs w:val="0"/>
              </w:rPr>
            </w:pPr>
            <w:r>
              <w:rPr>
                <w:rFonts w:hint="eastAsia" w:ascii="宋体" w:hAnsi="宋体" w:cs="宋体"/>
                <w:b w:val="0"/>
                <w:bCs w:val="0"/>
              </w:rPr>
              <w:t>无障碍电梯需在电梯侧壁设置副操纵盘。</w:t>
            </w:r>
          </w:p>
        </w:tc>
        <w:tc>
          <w:tcPr>
            <w:tcW w:w="1265" w:type="pct"/>
            <w:tcBorders>
              <w:tl2br w:val="nil"/>
              <w:tr2bl w:val="nil"/>
            </w:tcBorders>
            <w:noWrap w:val="0"/>
            <w:vAlign w:val="center"/>
          </w:tcPr>
          <w:p w14:paraId="2BF34D5D">
            <w:pPr>
              <w:snapToGrid w:val="0"/>
              <w:ind w:right="-23" w:rightChars="-11"/>
              <w:rPr>
                <w:rFonts w:ascii="宋体" w:hAnsi="宋体" w:cs="宋体"/>
                <w:b w:val="0"/>
                <w:bCs w:val="0"/>
              </w:rPr>
            </w:pPr>
          </w:p>
        </w:tc>
      </w:tr>
      <w:tr w14:paraId="5DA89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2A84AFD1">
            <w:pPr>
              <w:tabs>
                <w:tab w:val="left" w:pos="3780"/>
                <w:tab w:val="left" w:pos="5940"/>
              </w:tabs>
              <w:jc w:val="center"/>
              <w:rPr>
                <w:rFonts w:ascii="宋体" w:hAnsi="宋体" w:cs="宋体"/>
                <w:b w:val="0"/>
                <w:bCs w:val="0"/>
              </w:rPr>
            </w:pPr>
            <w:r>
              <w:rPr>
                <w:rFonts w:hint="eastAsia" w:ascii="宋体" w:hAnsi="宋体" w:cs="宋体"/>
                <w:b w:val="0"/>
                <w:bCs w:val="0"/>
              </w:rPr>
              <w:t>通讯</w:t>
            </w:r>
          </w:p>
        </w:tc>
        <w:tc>
          <w:tcPr>
            <w:tcW w:w="3076" w:type="pct"/>
            <w:tcBorders>
              <w:tl2br w:val="nil"/>
              <w:tr2bl w:val="nil"/>
            </w:tcBorders>
            <w:noWrap w:val="0"/>
            <w:vAlign w:val="center"/>
          </w:tcPr>
          <w:p w14:paraId="76B44C7E">
            <w:pPr>
              <w:tabs>
                <w:tab w:val="left" w:pos="3780"/>
                <w:tab w:val="left" w:pos="5940"/>
              </w:tabs>
              <w:rPr>
                <w:rFonts w:ascii="宋体" w:hAnsi="宋体" w:cs="宋体"/>
                <w:b w:val="0"/>
                <w:bCs w:val="0"/>
              </w:rPr>
            </w:pPr>
            <w:r>
              <w:rPr>
                <w:rFonts w:hint="eastAsia" w:ascii="宋体" w:hAnsi="宋体" w:cs="宋体"/>
                <w:b w:val="0"/>
                <w:bCs w:val="0"/>
              </w:rPr>
              <w:t>隐蔽式五方对讲装置</w:t>
            </w:r>
          </w:p>
        </w:tc>
        <w:tc>
          <w:tcPr>
            <w:tcW w:w="1265" w:type="pct"/>
            <w:tcBorders>
              <w:tl2br w:val="nil"/>
              <w:tr2bl w:val="nil"/>
            </w:tcBorders>
            <w:noWrap w:val="0"/>
            <w:vAlign w:val="center"/>
          </w:tcPr>
          <w:p w14:paraId="6FC912DD">
            <w:pPr>
              <w:snapToGrid w:val="0"/>
              <w:ind w:right="-23" w:rightChars="-11"/>
              <w:rPr>
                <w:rFonts w:ascii="宋体" w:hAnsi="宋体" w:cs="宋体"/>
                <w:b w:val="0"/>
                <w:bCs w:val="0"/>
                <w:u w:val="thick"/>
              </w:rPr>
            </w:pPr>
          </w:p>
        </w:tc>
      </w:tr>
      <w:tr w14:paraId="667D2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76CCC07A">
            <w:pPr>
              <w:snapToGrid w:val="0"/>
              <w:jc w:val="center"/>
              <w:rPr>
                <w:rFonts w:ascii="宋体" w:hAnsi="宋体" w:cs="宋体"/>
                <w:b w:val="0"/>
                <w:bCs w:val="0"/>
              </w:rPr>
            </w:pPr>
            <w:r>
              <w:rPr>
                <w:rFonts w:hint="eastAsia" w:ascii="宋体" w:hAnsi="宋体" w:cs="宋体"/>
                <w:b w:val="0"/>
                <w:bCs w:val="0"/>
              </w:rPr>
              <w:t>踢脚板</w:t>
            </w:r>
          </w:p>
        </w:tc>
        <w:tc>
          <w:tcPr>
            <w:tcW w:w="3076" w:type="pct"/>
            <w:tcBorders>
              <w:tl2br w:val="nil"/>
              <w:tr2bl w:val="nil"/>
            </w:tcBorders>
            <w:noWrap w:val="0"/>
            <w:vAlign w:val="center"/>
          </w:tcPr>
          <w:p w14:paraId="5F0DA5E5">
            <w:pPr>
              <w:snapToGrid w:val="0"/>
              <w:rPr>
                <w:rFonts w:ascii="宋体" w:hAnsi="宋体" w:cs="宋体"/>
                <w:b w:val="0"/>
                <w:bCs w:val="0"/>
              </w:rPr>
            </w:pPr>
            <w:r>
              <w:rPr>
                <w:rFonts w:hint="eastAsia" w:ascii="宋体" w:hAnsi="宋体" w:cs="宋体"/>
                <w:b w:val="0"/>
                <w:bCs w:val="0"/>
              </w:rPr>
              <w:t>发纹不锈钢或铝合金灯带</w:t>
            </w:r>
          </w:p>
        </w:tc>
        <w:tc>
          <w:tcPr>
            <w:tcW w:w="1265" w:type="pct"/>
            <w:tcBorders>
              <w:tl2br w:val="nil"/>
              <w:tr2bl w:val="nil"/>
            </w:tcBorders>
            <w:noWrap w:val="0"/>
            <w:vAlign w:val="center"/>
          </w:tcPr>
          <w:p w14:paraId="1FA321BA">
            <w:pPr>
              <w:snapToGrid w:val="0"/>
              <w:ind w:right="-23" w:rightChars="-11"/>
              <w:rPr>
                <w:rFonts w:ascii="宋体" w:hAnsi="宋体" w:cs="宋体"/>
                <w:b w:val="0"/>
                <w:bCs w:val="0"/>
              </w:rPr>
            </w:pPr>
          </w:p>
        </w:tc>
      </w:tr>
      <w:tr w14:paraId="7D213A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58" w:type="pct"/>
            <w:tcBorders>
              <w:tl2br w:val="nil"/>
              <w:tr2bl w:val="nil"/>
            </w:tcBorders>
            <w:noWrap w:val="0"/>
            <w:vAlign w:val="center"/>
          </w:tcPr>
          <w:p w14:paraId="085719D6">
            <w:pPr>
              <w:snapToGrid w:val="0"/>
              <w:jc w:val="center"/>
              <w:rPr>
                <w:rFonts w:ascii="宋体" w:hAnsi="宋体" w:cs="宋体"/>
                <w:b w:val="0"/>
                <w:bCs w:val="0"/>
              </w:rPr>
            </w:pPr>
            <w:r>
              <w:rPr>
                <w:rFonts w:hint="eastAsia" w:ascii="宋体" w:hAnsi="宋体" w:cs="宋体"/>
                <w:b w:val="0"/>
                <w:bCs w:val="0"/>
              </w:rPr>
              <w:t>轿厢门坎</w:t>
            </w:r>
          </w:p>
        </w:tc>
        <w:tc>
          <w:tcPr>
            <w:tcW w:w="3076" w:type="pct"/>
            <w:tcBorders>
              <w:tl2br w:val="nil"/>
              <w:tr2bl w:val="nil"/>
            </w:tcBorders>
            <w:noWrap w:val="0"/>
            <w:vAlign w:val="center"/>
          </w:tcPr>
          <w:p w14:paraId="7DC3B018">
            <w:pPr>
              <w:snapToGrid w:val="0"/>
              <w:rPr>
                <w:rFonts w:ascii="宋体" w:hAnsi="宋体" w:cs="宋体"/>
                <w:b w:val="0"/>
                <w:bCs w:val="0"/>
              </w:rPr>
            </w:pPr>
            <w:r>
              <w:rPr>
                <w:rFonts w:hint="eastAsia" w:ascii="宋体" w:hAnsi="宋体" w:cs="宋体"/>
                <w:b w:val="0"/>
                <w:bCs w:val="0"/>
              </w:rPr>
              <w:t>硬质耐磨铝合金</w:t>
            </w:r>
          </w:p>
        </w:tc>
        <w:tc>
          <w:tcPr>
            <w:tcW w:w="1265" w:type="pct"/>
            <w:tcBorders>
              <w:tl2br w:val="nil"/>
              <w:tr2bl w:val="nil"/>
            </w:tcBorders>
            <w:noWrap w:val="0"/>
            <w:vAlign w:val="center"/>
          </w:tcPr>
          <w:p w14:paraId="5BE27C0B">
            <w:pPr>
              <w:snapToGrid w:val="0"/>
              <w:ind w:right="-23" w:rightChars="-11"/>
              <w:rPr>
                <w:rFonts w:ascii="宋体" w:hAnsi="宋体" w:cs="宋体"/>
                <w:b w:val="0"/>
                <w:bCs w:val="0"/>
              </w:rPr>
            </w:pPr>
          </w:p>
        </w:tc>
      </w:tr>
      <w:tr w14:paraId="6AAD86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8" w:type="pct"/>
            <w:tcBorders>
              <w:tl2br w:val="nil"/>
              <w:tr2bl w:val="nil"/>
            </w:tcBorders>
            <w:noWrap w:val="0"/>
            <w:vAlign w:val="center"/>
          </w:tcPr>
          <w:p w14:paraId="19B535CB">
            <w:pPr>
              <w:snapToGrid w:val="0"/>
              <w:jc w:val="center"/>
              <w:rPr>
                <w:rFonts w:ascii="宋体" w:hAnsi="宋体" w:cs="宋体"/>
                <w:b w:val="0"/>
                <w:bCs w:val="0"/>
              </w:rPr>
            </w:pPr>
            <w:r>
              <w:rPr>
                <w:rFonts w:hint="eastAsia" w:ascii="宋体" w:hAnsi="宋体" w:cs="宋体"/>
                <w:b w:val="0"/>
                <w:bCs w:val="0"/>
              </w:rPr>
              <w:t>厅门坎</w:t>
            </w:r>
          </w:p>
        </w:tc>
        <w:tc>
          <w:tcPr>
            <w:tcW w:w="3076" w:type="pct"/>
            <w:tcBorders>
              <w:tl2br w:val="nil"/>
              <w:tr2bl w:val="nil"/>
            </w:tcBorders>
            <w:noWrap w:val="0"/>
            <w:vAlign w:val="center"/>
          </w:tcPr>
          <w:p w14:paraId="002D9DFF">
            <w:pPr>
              <w:snapToGrid w:val="0"/>
              <w:rPr>
                <w:rFonts w:ascii="宋体" w:hAnsi="宋体" w:cs="宋体"/>
                <w:b w:val="0"/>
                <w:bCs w:val="0"/>
              </w:rPr>
            </w:pPr>
            <w:r>
              <w:rPr>
                <w:rFonts w:hint="eastAsia" w:ascii="宋体" w:hAnsi="宋体" w:cs="宋体"/>
                <w:b w:val="0"/>
                <w:bCs w:val="0"/>
              </w:rPr>
              <w:t>铝合金</w:t>
            </w:r>
          </w:p>
        </w:tc>
        <w:tc>
          <w:tcPr>
            <w:tcW w:w="1265" w:type="pct"/>
            <w:tcBorders>
              <w:tl2br w:val="nil"/>
              <w:tr2bl w:val="nil"/>
            </w:tcBorders>
            <w:noWrap w:val="0"/>
            <w:vAlign w:val="center"/>
          </w:tcPr>
          <w:p w14:paraId="3A61F3E6">
            <w:pPr>
              <w:snapToGrid w:val="0"/>
              <w:ind w:right="-23" w:rightChars="-11"/>
              <w:rPr>
                <w:rFonts w:ascii="宋体" w:hAnsi="宋体" w:cs="宋体"/>
                <w:b w:val="0"/>
                <w:bCs w:val="0"/>
              </w:rPr>
            </w:pPr>
          </w:p>
        </w:tc>
      </w:tr>
      <w:tr w14:paraId="4109F5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 w:type="pct"/>
            <w:tcBorders>
              <w:tl2br w:val="nil"/>
              <w:tr2bl w:val="nil"/>
            </w:tcBorders>
            <w:noWrap w:val="0"/>
            <w:vAlign w:val="center"/>
          </w:tcPr>
          <w:p w14:paraId="7BA50277">
            <w:pPr>
              <w:snapToGrid w:val="0"/>
              <w:jc w:val="center"/>
              <w:rPr>
                <w:rFonts w:ascii="宋体" w:hAnsi="宋体" w:cs="宋体"/>
                <w:b w:val="0"/>
                <w:bCs w:val="0"/>
              </w:rPr>
            </w:pPr>
            <w:r>
              <w:rPr>
                <w:rFonts w:hint="eastAsia" w:ascii="宋体" w:hAnsi="宋体" w:cs="宋体"/>
                <w:b w:val="0"/>
                <w:bCs w:val="0"/>
              </w:rPr>
              <w:t>厅  门</w:t>
            </w:r>
          </w:p>
        </w:tc>
        <w:tc>
          <w:tcPr>
            <w:tcW w:w="3076" w:type="pct"/>
            <w:tcBorders>
              <w:tl2br w:val="nil"/>
              <w:tr2bl w:val="nil"/>
            </w:tcBorders>
            <w:noWrap w:val="0"/>
            <w:vAlign w:val="center"/>
          </w:tcPr>
          <w:p w14:paraId="43082269">
            <w:pPr>
              <w:snapToGrid w:val="0"/>
              <w:rPr>
                <w:rFonts w:ascii="宋体" w:hAnsi="宋体" w:cs="宋体"/>
                <w:b w:val="0"/>
                <w:bCs w:val="0"/>
              </w:rPr>
            </w:pPr>
            <w:r>
              <w:rPr>
                <w:rFonts w:hint="eastAsia" w:ascii="宋体" w:hAnsi="宋体" w:cs="宋体"/>
                <w:b w:val="0"/>
                <w:bCs w:val="0"/>
              </w:rPr>
              <w:t>采用发纹不锈钢</w:t>
            </w:r>
          </w:p>
        </w:tc>
        <w:tc>
          <w:tcPr>
            <w:tcW w:w="1265" w:type="pct"/>
            <w:tcBorders>
              <w:tl2br w:val="nil"/>
              <w:tr2bl w:val="nil"/>
            </w:tcBorders>
            <w:noWrap w:val="0"/>
            <w:vAlign w:val="center"/>
          </w:tcPr>
          <w:p w14:paraId="3B3223AA">
            <w:pPr>
              <w:tabs>
                <w:tab w:val="left" w:pos="3780"/>
                <w:tab w:val="left" w:pos="5940"/>
              </w:tabs>
              <w:ind w:right="-23" w:rightChars="-11"/>
              <w:rPr>
                <w:rFonts w:ascii="宋体" w:hAnsi="宋体" w:cs="宋体"/>
                <w:b w:val="0"/>
                <w:bCs w:val="0"/>
              </w:rPr>
            </w:pPr>
          </w:p>
        </w:tc>
      </w:tr>
    </w:tbl>
    <w:p w14:paraId="390B3187">
      <w:pPr>
        <w:spacing w:line="440" w:lineRule="exact"/>
        <w:rPr>
          <w:rFonts w:hint="eastAsia" w:ascii="宋体" w:hAnsi="宋体" w:eastAsia="宋体" w:cs="宋体"/>
          <w:b w:val="0"/>
          <w:bCs w:val="0"/>
          <w:sz w:val="22"/>
          <w:szCs w:val="22"/>
        </w:rPr>
      </w:pPr>
      <w:r>
        <w:rPr>
          <w:rFonts w:hint="eastAsia" w:ascii="宋体" w:hAnsi="宋体" w:eastAsia="宋体" w:cs="宋体"/>
          <w:b w:val="0"/>
          <w:bCs w:val="0"/>
          <w:sz w:val="22"/>
          <w:szCs w:val="22"/>
          <w:u w:val="single"/>
        </w:rPr>
        <w:t>注：不锈钢要求采用SUS304或以上性能档次的产品，厚度≥1.2mm。无障碍电梯电梯还需满足符合GB55019-2021《建筑与市政工程无障碍通用规范》。</w:t>
      </w:r>
      <w:bookmarkStart w:id="251" w:name="_Toc29444"/>
      <w:bookmarkStart w:id="252" w:name="_Toc88039322"/>
      <w:bookmarkStart w:id="253" w:name="_Toc351979531"/>
      <w:bookmarkStart w:id="254" w:name="_Toc248736718"/>
    </w:p>
    <w:bookmarkEnd w:id="251"/>
    <w:bookmarkEnd w:id="252"/>
    <w:bookmarkEnd w:id="253"/>
    <w:bookmarkEnd w:id="254"/>
    <w:p w14:paraId="6BF256D9">
      <w:pPr>
        <w:keepNext/>
        <w:keepLines/>
        <w:spacing w:line="360" w:lineRule="auto"/>
        <w:textAlignment w:val="baseline"/>
        <w:outlineLvl w:val="2"/>
        <w:rPr>
          <w:rFonts w:hint="eastAsia" w:ascii="宋体" w:hAnsi="宋体" w:eastAsia="宋体" w:cs="宋体"/>
          <w:b w:val="0"/>
          <w:bCs w:val="0"/>
          <w:color w:val="auto"/>
          <w:sz w:val="22"/>
          <w:szCs w:val="22"/>
          <w:highlight w:val="none"/>
        </w:rPr>
      </w:pPr>
      <w:r>
        <w:rPr>
          <w:rFonts w:hint="eastAsia" w:ascii="宋体" w:hAnsi="宋体" w:eastAsia="宋体" w:cs="宋体"/>
          <w:b w:val="0"/>
          <w:bCs w:val="0"/>
          <w:sz w:val="22"/>
          <w:szCs w:val="22"/>
          <w:lang w:val="en-US" w:eastAsia="zh-CN"/>
        </w:rPr>
        <w:t>7</w:t>
      </w:r>
      <w:r>
        <w:rPr>
          <w:rFonts w:hint="eastAsia" w:ascii="宋体" w:hAnsi="宋体" w:eastAsia="宋体" w:cs="宋体"/>
          <w:b w:val="0"/>
          <w:bCs w:val="0"/>
          <w:sz w:val="22"/>
          <w:szCs w:val="22"/>
        </w:rPr>
        <w:t>.</w:t>
      </w:r>
      <w:r>
        <w:rPr>
          <w:rFonts w:hint="eastAsia" w:ascii="宋体" w:hAnsi="宋体" w:eastAsia="宋体" w:cs="宋体"/>
          <w:b w:val="0"/>
          <w:bCs w:val="0"/>
          <w:color w:val="auto"/>
          <w:sz w:val="22"/>
          <w:szCs w:val="22"/>
          <w:highlight w:val="none"/>
        </w:rPr>
        <w:t>质保期和维保期</w:t>
      </w:r>
    </w:p>
    <w:p w14:paraId="6E725C2A">
      <w:pPr>
        <w:pStyle w:val="3"/>
        <w:rPr>
          <w:rFonts w:hint="eastAsia" w:ascii="宋体" w:hAnsi="宋体" w:eastAsia="宋体" w:cs="宋体"/>
          <w:color w:val="auto"/>
          <w:sz w:val="22"/>
          <w:szCs w:val="22"/>
          <w:highlight w:val="none"/>
        </w:rPr>
      </w:pPr>
      <w:r>
        <w:rPr>
          <w:rFonts w:hint="eastAsia" w:ascii="宋体" w:hAnsi="宋体" w:eastAsia="宋体" w:cs="宋体"/>
          <w:b w:val="0"/>
          <w:bCs w:val="0"/>
          <w:color w:val="auto"/>
          <w:sz w:val="22"/>
          <w:szCs w:val="22"/>
          <w:highlight w:val="none"/>
        </w:rPr>
        <w:t>所有电梯质保期自电梯专项验收合格并取得</w:t>
      </w:r>
      <w:r>
        <w:rPr>
          <w:rFonts w:hint="eastAsia" w:ascii="宋体" w:hAnsi="宋体" w:eastAsia="宋体" w:cs="宋体"/>
          <w:b w:val="0"/>
          <w:bCs w:val="0"/>
          <w:color w:val="auto"/>
          <w:sz w:val="22"/>
          <w:szCs w:val="22"/>
          <w:highlight w:val="none"/>
          <w:lang w:eastAsia="zh-CN"/>
        </w:rPr>
        <w:t>当地特种设备检测机构</w:t>
      </w:r>
      <w:r>
        <w:rPr>
          <w:rFonts w:hint="eastAsia" w:ascii="宋体" w:hAnsi="宋体" w:eastAsia="宋体" w:cs="宋体"/>
          <w:b w:val="0"/>
          <w:bCs w:val="0"/>
          <w:color w:val="auto"/>
          <w:sz w:val="22"/>
          <w:szCs w:val="22"/>
          <w:highlight w:val="none"/>
        </w:rPr>
        <w:t>的报告之日起24个月，免费维保期和质保期时间同。</w:t>
      </w:r>
    </w:p>
    <w:p w14:paraId="641590B8">
      <w:pPr>
        <w:rPr>
          <w:rFonts w:hint="eastAsia"/>
        </w:rPr>
      </w:pPr>
    </w:p>
    <w:p w14:paraId="02A60591">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hint="eastAsia" w:ascii="宋体" w:hAnsi="宋体" w:eastAsia="宋体" w:cs="宋体"/>
          <w:b/>
          <w:color w:val="auto"/>
          <w:kern w:val="0"/>
          <w:sz w:val="22"/>
          <w:szCs w:val="22"/>
        </w:rPr>
      </w:pPr>
      <w:r>
        <w:rPr>
          <w:rFonts w:hint="eastAsia" w:ascii="幼圆" w:hAnsi="幼圆" w:eastAsia="幼圆" w:cs="幼圆"/>
          <w:b/>
          <w:bCs w:val="0"/>
          <w:color w:val="auto"/>
          <w:kern w:val="0"/>
          <w:sz w:val="22"/>
          <w:szCs w:val="22"/>
        </w:rPr>
        <w:t>▲</w:t>
      </w:r>
      <w:r>
        <w:rPr>
          <w:rFonts w:hint="eastAsia" w:ascii="宋体" w:hAnsi="宋体" w:eastAsia="宋体" w:cs="宋体"/>
          <w:b/>
          <w:bCs w:val="0"/>
          <w:color w:val="auto"/>
          <w:kern w:val="0"/>
          <w:sz w:val="22"/>
          <w:szCs w:val="22"/>
        </w:rPr>
        <w:t>三、质量要求：所投电梯</w:t>
      </w:r>
      <w:r>
        <w:rPr>
          <w:rFonts w:hint="eastAsia" w:ascii="宋体" w:hAnsi="宋体" w:eastAsia="宋体" w:cs="宋体"/>
          <w:b/>
          <w:bCs w:val="0"/>
          <w:color w:val="auto"/>
          <w:kern w:val="0"/>
          <w:sz w:val="22"/>
          <w:szCs w:val="22"/>
          <w:lang w:eastAsia="zh-CN"/>
        </w:rPr>
        <w:t>必须</w:t>
      </w:r>
      <w:r>
        <w:rPr>
          <w:rFonts w:hint="eastAsia" w:ascii="宋体" w:hAnsi="宋体" w:eastAsia="宋体" w:cs="宋体"/>
          <w:b/>
          <w:bCs w:val="0"/>
          <w:color w:val="auto"/>
          <w:kern w:val="0"/>
          <w:sz w:val="22"/>
          <w:szCs w:val="22"/>
        </w:rPr>
        <w:t>具有行政主管部门颁发的有效期内的中华人民共和国特种设备生产许可证</w:t>
      </w:r>
      <w:r>
        <w:rPr>
          <w:rFonts w:hint="eastAsia" w:ascii="宋体" w:hAnsi="宋体" w:eastAsia="宋体" w:cs="宋体"/>
          <w:b/>
          <w:bCs w:val="0"/>
          <w:color w:val="auto"/>
          <w:kern w:val="0"/>
          <w:sz w:val="22"/>
          <w:szCs w:val="22"/>
          <w:lang w:eastAsia="zh-CN"/>
        </w:rPr>
        <w:t>（许可项目</w:t>
      </w:r>
      <w:r>
        <w:rPr>
          <w:rFonts w:hint="eastAsia" w:ascii="宋体" w:hAnsi="宋体" w:eastAsia="宋体" w:cs="宋体"/>
          <w:b/>
          <w:bCs w:val="0"/>
          <w:color w:val="auto"/>
          <w:kern w:val="0"/>
          <w:sz w:val="22"/>
          <w:szCs w:val="22"/>
          <w:lang w:val="en-US" w:eastAsia="zh-CN"/>
        </w:rPr>
        <w:t>:电梯制造</w:t>
      </w:r>
      <w:r>
        <w:rPr>
          <w:rFonts w:hint="eastAsia" w:ascii="宋体" w:hAnsi="宋体" w:eastAsia="宋体" w:cs="宋体"/>
          <w:b/>
          <w:bCs w:val="0"/>
          <w:color w:val="auto"/>
          <w:kern w:val="0"/>
          <w:sz w:val="22"/>
          <w:szCs w:val="22"/>
          <w:lang w:eastAsia="zh-CN"/>
        </w:rPr>
        <w:t>）</w:t>
      </w:r>
      <w:r>
        <w:rPr>
          <w:rFonts w:hint="eastAsia" w:ascii="宋体" w:hAnsi="宋体" w:eastAsia="宋体" w:cs="宋体"/>
          <w:b/>
          <w:bCs w:val="0"/>
          <w:color w:val="auto"/>
          <w:kern w:val="0"/>
          <w:sz w:val="22"/>
          <w:szCs w:val="22"/>
        </w:rPr>
        <w:t>，其质量和技术标准须符合国家要求。</w:t>
      </w:r>
      <w:r>
        <w:rPr>
          <w:rFonts w:hint="eastAsia" w:ascii="宋体" w:hAnsi="宋体" w:eastAsia="宋体" w:cs="宋体"/>
          <w:b/>
          <w:bCs w:val="0"/>
          <w:color w:val="auto"/>
          <w:kern w:val="0"/>
          <w:sz w:val="22"/>
          <w:szCs w:val="22"/>
          <w:lang w:val="en-US" w:eastAsia="zh-CN"/>
        </w:rPr>
        <w:t>并提供</w:t>
      </w:r>
      <w:r>
        <w:rPr>
          <w:rFonts w:hint="eastAsia" w:ascii="宋体" w:hAnsi="宋体" w:eastAsia="宋体" w:cs="宋体"/>
          <w:b/>
          <w:bCs w:val="0"/>
          <w:color w:val="auto"/>
          <w:kern w:val="0"/>
          <w:sz w:val="22"/>
          <w:szCs w:val="22"/>
        </w:rPr>
        <w:t>中华人民共和国特种设备生产许可证</w:t>
      </w:r>
      <w:r>
        <w:rPr>
          <w:rFonts w:hint="eastAsia" w:ascii="宋体" w:hAnsi="宋体" w:eastAsia="宋体" w:cs="宋体"/>
          <w:b/>
          <w:bCs w:val="0"/>
          <w:color w:val="auto"/>
          <w:kern w:val="0"/>
          <w:sz w:val="22"/>
          <w:szCs w:val="22"/>
          <w:lang w:eastAsia="zh-CN"/>
        </w:rPr>
        <w:t>（许可项目</w:t>
      </w:r>
      <w:r>
        <w:rPr>
          <w:rFonts w:hint="eastAsia" w:ascii="宋体" w:hAnsi="宋体" w:eastAsia="宋体" w:cs="宋体"/>
          <w:b/>
          <w:bCs w:val="0"/>
          <w:color w:val="auto"/>
          <w:kern w:val="0"/>
          <w:sz w:val="22"/>
          <w:szCs w:val="22"/>
          <w:lang w:val="en-US" w:eastAsia="zh-CN"/>
        </w:rPr>
        <w:t>:电梯制造</w:t>
      </w:r>
      <w:r>
        <w:rPr>
          <w:rFonts w:hint="eastAsia" w:ascii="宋体" w:hAnsi="宋体" w:eastAsia="宋体" w:cs="宋体"/>
          <w:b/>
          <w:bCs w:val="0"/>
          <w:color w:val="auto"/>
          <w:kern w:val="0"/>
          <w:sz w:val="22"/>
          <w:szCs w:val="22"/>
          <w:lang w:eastAsia="zh-CN"/>
        </w:rPr>
        <w:t>）、</w:t>
      </w:r>
      <w:r>
        <w:rPr>
          <w:rFonts w:hint="eastAsia" w:ascii="宋体" w:hAnsi="宋体" w:eastAsia="宋体" w:cs="宋体"/>
          <w:b/>
          <w:bCs w:val="0"/>
          <w:color w:val="auto"/>
          <w:kern w:val="0"/>
          <w:sz w:val="22"/>
          <w:szCs w:val="22"/>
          <w:lang w:val="en-US" w:eastAsia="zh-CN"/>
        </w:rPr>
        <w:t>安装单位的安装资质证书；未提供的按无效标处理。</w:t>
      </w:r>
    </w:p>
    <w:p w14:paraId="5D6823A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color w:val="auto"/>
          <w:kern w:val="0"/>
          <w:sz w:val="22"/>
          <w:szCs w:val="22"/>
          <w:lang w:eastAsia="zh-CN"/>
        </w:rPr>
        <w:t>四</w:t>
      </w:r>
      <w:r>
        <w:rPr>
          <w:rFonts w:hint="eastAsia" w:ascii="宋体" w:hAnsi="宋体" w:eastAsia="宋体" w:cs="宋体"/>
          <w:b/>
          <w:color w:val="auto"/>
          <w:kern w:val="0"/>
          <w:sz w:val="22"/>
          <w:szCs w:val="22"/>
        </w:rPr>
        <w:t>、</w:t>
      </w:r>
      <w:r>
        <w:rPr>
          <w:rFonts w:hint="eastAsia" w:ascii="宋体" w:hAnsi="宋体"/>
          <w:b/>
          <w:bCs/>
          <w:color w:val="auto"/>
          <w:sz w:val="22"/>
          <w:szCs w:val="22"/>
        </w:rPr>
        <w:t>商务条款</w:t>
      </w:r>
      <w:r>
        <w:rPr>
          <w:rFonts w:hint="eastAsia" w:ascii="宋体" w:hAnsi="宋体" w:eastAsia="宋体" w:cs="宋体"/>
          <w:b/>
          <w:color w:val="auto"/>
          <w:kern w:val="0"/>
          <w:sz w:val="22"/>
          <w:szCs w:val="22"/>
        </w:rPr>
        <w:t xml:space="preserve"> </w:t>
      </w:r>
    </w:p>
    <w:p w14:paraId="559403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color w:val="auto"/>
          <w:kern w:val="0"/>
          <w:sz w:val="22"/>
          <w:szCs w:val="22"/>
        </w:rPr>
        <w:t xml:space="preserve">1、售后服务 </w:t>
      </w:r>
    </w:p>
    <w:p w14:paraId="0D9966F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1.1 投标人必须明确作出服务承诺，详细阐述维修、维护内容及服务方式和范围。</w:t>
      </w:r>
    </w:p>
    <w:p w14:paraId="366606A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 xml:space="preserve">1.2 投标人应以优惠价格提供在货物验收合格后的零配件供应价格。 </w:t>
      </w:r>
    </w:p>
    <w:p w14:paraId="458F7F0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b/>
          <w:color w:val="auto"/>
          <w:kern w:val="0"/>
          <w:sz w:val="22"/>
          <w:szCs w:val="22"/>
        </w:rPr>
        <w:t xml:space="preserve">2、其他要求 </w:t>
      </w:r>
    </w:p>
    <w:p w14:paraId="70B5871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2"/>
          <w:szCs w:val="22"/>
        </w:rPr>
      </w:pPr>
      <w:r>
        <w:rPr>
          <w:rFonts w:hint="eastAsia" w:ascii="宋体" w:hAnsi="宋体" w:eastAsia="宋体" w:cs="宋体"/>
          <w:color w:val="auto"/>
          <w:kern w:val="0"/>
          <w:sz w:val="22"/>
          <w:szCs w:val="22"/>
        </w:rPr>
        <w:t>2.1 投标人应保证，采购人在中华人民共和国使用该产品任何一部分时，免受第三方提出的侵犯其专利权、商标权或其他知识产权的起诉。如发生此类纠纷，由投标人承担一切责任。</w:t>
      </w:r>
    </w:p>
    <w:p w14:paraId="1F569BB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2.2 投标人为执行本合同而提供的技术资料的使用权归采购人所有。 </w:t>
      </w:r>
    </w:p>
    <w:p w14:paraId="7AC652F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2.3 投标人必须承诺采购文件中提出的全部技术要求；如果以其中某些条款不响应时，应在投标文件中逐条列出，未列出的视同响应。 </w:t>
      </w:r>
    </w:p>
    <w:p w14:paraId="56520571">
      <w:pPr>
        <w:widowControl/>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2.4电梯安装过程中应注意对原建筑物保护，如造成破坏有供应商承担修复责任。</w:t>
      </w:r>
    </w:p>
    <w:p w14:paraId="17EF68FB">
      <w:pPr>
        <w:widowControl/>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2.5在实际供货安装过程中需完全配合采购人要求。</w:t>
      </w:r>
    </w:p>
    <w:p w14:paraId="287891FB">
      <w:pPr>
        <w:widowControl/>
        <w:spacing w:line="36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2.6电梯控制箱至电梯的线缆由中标供应商实施，包含在投标总价中。</w:t>
      </w:r>
    </w:p>
    <w:p w14:paraId="6D7A1EF4">
      <w:pPr>
        <w:widowControl/>
        <w:spacing w:line="360" w:lineRule="auto"/>
        <w:jc w:val="left"/>
        <w:rPr>
          <w:rFonts w:hint="eastAsia" w:ascii="宋体" w:hAnsi="宋体" w:eastAsia="宋体" w:cs="宋体"/>
          <w:b/>
          <w:bCs/>
          <w:color w:val="auto"/>
          <w:sz w:val="22"/>
          <w:szCs w:val="22"/>
        </w:rPr>
      </w:pPr>
      <w:r>
        <w:rPr>
          <w:rFonts w:hint="eastAsia" w:ascii="宋体" w:hAnsi="宋体" w:eastAsia="宋体" w:cs="宋体"/>
          <w:b w:val="0"/>
          <w:bCs w:val="0"/>
          <w:color w:val="auto"/>
          <w:sz w:val="22"/>
          <w:szCs w:val="22"/>
        </w:rPr>
        <w:t>2</w:t>
      </w:r>
      <w:r>
        <w:rPr>
          <w:rFonts w:hint="eastAsia" w:ascii="宋体" w:hAnsi="宋体" w:eastAsia="宋体" w:cs="宋体"/>
          <w:b w:val="0"/>
          <w:bCs w:val="0"/>
          <w:color w:val="auto"/>
          <w:kern w:val="0"/>
          <w:sz w:val="22"/>
          <w:szCs w:val="22"/>
        </w:rPr>
        <w:t>.7</w:t>
      </w:r>
      <w:r>
        <w:rPr>
          <w:rFonts w:hint="eastAsia" w:ascii="宋体" w:hAnsi="宋体" w:eastAsia="宋体" w:cs="宋体"/>
          <w:b w:val="0"/>
          <w:bCs w:val="0"/>
          <w:color w:val="auto"/>
          <w:sz w:val="22"/>
          <w:szCs w:val="22"/>
        </w:rPr>
        <w:t>在安装施工过程中，中标供应商需自行与总包单位沟通协商，对于相应部位的修补等内容必须处理并验收合格。</w:t>
      </w:r>
    </w:p>
    <w:p w14:paraId="363C9260">
      <w:pPr>
        <w:tabs>
          <w:tab w:val="left" w:pos="720"/>
          <w:tab w:val="left" w:pos="1031"/>
        </w:tabs>
        <w:spacing w:line="360" w:lineRule="auto"/>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rPr>
        <w:t>2.8工作范围：投标供应商须自行到工地现场做土建实地考察，对井道结构及相关尺寸予以</w:t>
      </w:r>
      <w:r>
        <w:rPr>
          <w:rFonts w:hint="eastAsia" w:ascii="宋体" w:hAnsi="宋体" w:eastAsia="宋体" w:cs="宋体"/>
          <w:color w:val="auto"/>
          <w:sz w:val="22"/>
          <w:szCs w:val="22"/>
          <w:highlight w:val="none"/>
        </w:rPr>
        <w:t>核实，以确保所提供的电梯能满足现有的土建实际情况并符合国家有关规定的要求。</w:t>
      </w:r>
    </w:p>
    <w:p w14:paraId="0D4CD60B">
      <w:pPr>
        <w:tabs>
          <w:tab w:val="left" w:pos="720"/>
          <w:tab w:val="left" w:pos="1031"/>
        </w:tabs>
        <w:spacing w:line="360" w:lineRule="auto"/>
        <w:ind w:firstLine="440" w:firstLineChars="200"/>
        <w:contextualSpacing/>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投标供应商需按本技术规格书的要求完成设备的设计、制造、运输、装卸、就位、安装、</w:t>
      </w:r>
      <w:r>
        <w:rPr>
          <w:rFonts w:hint="eastAsia" w:ascii="宋体" w:hAnsi="宋体" w:eastAsia="宋体" w:cs="宋体"/>
          <w:b/>
          <w:bCs/>
          <w:color w:val="auto"/>
          <w:sz w:val="22"/>
          <w:szCs w:val="22"/>
          <w:highlight w:val="none"/>
          <w:lang w:val="en-US" w:eastAsia="zh-CN"/>
        </w:rPr>
        <w:t>门洞修补</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产品保护、调试试运行、培训及售后服务等工作。按工作顺序提交所需的无论其是否被明细列在合同文件中的所有资料，资料必须符合本技术规格书的要求。</w:t>
      </w:r>
    </w:p>
    <w:p w14:paraId="00BB2001">
      <w:pPr>
        <w:widowControl/>
        <w:spacing w:line="360" w:lineRule="auto"/>
        <w:contextualSpacing/>
        <w:jc w:val="left"/>
        <w:rPr>
          <w:rFonts w:hint="eastAsia" w:ascii="宋体" w:hAnsi="宋体" w:eastAsia="宋体" w:cs="宋体"/>
          <w:color w:val="auto"/>
          <w:kern w:val="0"/>
          <w:sz w:val="22"/>
          <w:szCs w:val="22"/>
          <w:highlight w:val="none"/>
        </w:rPr>
      </w:pPr>
      <w:r>
        <w:rPr>
          <w:rFonts w:hint="eastAsia" w:ascii="宋体" w:hAnsi="宋体"/>
          <w:b/>
          <w:bCs/>
          <w:color w:val="auto"/>
          <w:sz w:val="22"/>
          <w:szCs w:val="22"/>
          <w:highlight w:val="none"/>
        </w:rPr>
        <w:t>▲</w:t>
      </w:r>
      <w:r>
        <w:rPr>
          <w:rFonts w:hint="eastAsia" w:ascii="宋体" w:hAnsi="宋体" w:eastAsia="宋体" w:cs="宋体"/>
          <w:b/>
          <w:color w:val="auto"/>
          <w:kern w:val="0"/>
          <w:sz w:val="22"/>
          <w:szCs w:val="22"/>
          <w:highlight w:val="none"/>
        </w:rPr>
        <w:t>3、免费质保期：①</w:t>
      </w:r>
      <w:r>
        <w:rPr>
          <w:rFonts w:hint="eastAsia" w:ascii="宋体" w:hAnsi="宋体" w:eastAsia="宋体" w:cs="宋体"/>
          <w:b/>
          <w:bCs/>
          <w:color w:val="auto"/>
          <w:kern w:val="0"/>
          <w:sz w:val="22"/>
          <w:szCs w:val="22"/>
          <w:highlight w:val="none"/>
        </w:rPr>
        <w:t>本项目所有产品免费质保期不少于 2 年</w:t>
      </w:r>
      <w:r>
        <w:rPr>
          <w:rFonts w:hint="eastAsia" w:ascii="宋体" w:hAnsi="宋体" w:cs="宋体"/>
          <w:b/>
          <w:bCs/>
          <w:color w:val="auto"/>
          <w:kern w:val="0"/>
          <w:sz w:val="22"/>
          <w:szCs w:val="22"/>
          <w:highlight w:val="none"/>
          <w:lang w:val="en-US" w:eastAsia="zh-CN"/>
        </w:rPr>
        <w:t>(如承诺质保期大于2年的，以承诺为准)</w:t>
      </w:r>
      <w:r>
        <w:rPr>
          <w:rFonts w:hint="eastAsia" w:ascii="宋体" w:hAnsi="宋体" w:eastAsia="宋体" w:cs="宋体"/>
          <w:color w:val="auto"/>
          <w:kern w:val="0"/>
          <w:sz w:val="22"/>
          <w:szCs w:val="22"/>
          <w:highlight w:val="none"/>
        </w:rPr>
        <w:t>，自所有电梯质保期自电梯专项验收合格并取得</w:t>
      </w:r>
      <w:r>
        <w:rPr>
          <w:rFonts w:hint="eastAsia" w:ascii="宋体" w:hAnsi="宋体" w:eastAsia="宋体" w:cs="宋体"/>
          <w:color w:val="auto"/>
          <w:kern w:val="0"/>
          <w:sz w:val="22"/>
          <w:szCs w:val="22"/>
          <w:highlight w:val="none"/>
          <w:lang w:eastAsia="zh-CN"/>
        </w:rPr>
        <w:t>当地特种设备检测机构</w:t>
      </w:r>
      <w:r>
        <w:rPr>
          <w:rFonts w:hint="eastAsia" w:ascii="宋体" w:hAnsi="宋体" w:eastAsia="宋体" w:cs="宋体"/>
          <w:color w:val="auto"/>
          <w:kern w:val="0"/>
          <w:sz w:val="22"/>
          <w:szCs w:val="22"/>
          <w:highlight w:val="none"/>
        </w:rPr>
        <w:t xml:space="preserve">的报告之日起计。 ②在2年质保期内的工作应包括对所有电梯每月至少2次的常规检查、调整和润滑等工作。质保期内，设备运转期间投标方每一个月对系统进行一次总体检测，每年对系统进行一次复调并经当地质量技术监督局验收合格。 </w:t>
      </w:r>
    </w:p>
    <w:p w14:paraId="78A00138">
      <w:pPr>
        <w:pStyle w:val="2"/>
        <w:spacing w:line="360" w:lineRule="auto"/>
        <w:ind w:firstLine="0" w:firstLineChars="0"/>
        <w:contextualSpacing/>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4、质保期内投标方须自行付费负责修理和替换任何由于设备自身的质量问题造成的损坏及故障，包括质保期内的年检费。</w:t>
      </w:r>
    </w:p>
    <w:p w14:paraId="05B6E348">
      <w:pPr>
        <w:widowControl/>
        <w:spacing w:line="360" w:lineRule="auto"/>
        <w:contextualSpacing/>
        <w:jc w:val="left"/>
        <w:rPr>
          <w:rFonts w:hint="eastAsia" w:ascii="宋体" w:hAnsi="宋体" w:eastAsia="宋体" w:cs="宋体"/>
          <w:color w:val="auto"/>
          <w:sz w:val="22"/>
          <w:szCs w:val="22"/>
        </w:rPr>
      </w:pPr>
      <w:r>
        <w:rPr>
          <w:rFonts w:hint="eastAsia" w:ascii="宋体" w:hAnsi="宋体" w:eastAsia="宋体" w:cs="宋体"/>
          <w:b/>
          <w:color w:val="auto"/>
          <w:kern w:val="0"/>
          <w:sz w:val="22"/>
          <w:szCs w:val="22"/>
        </w:rPr>
        <w:t>5、售后技术服务要求：</w:t>
      </w:r>
      <w:r>
        <w:rPr>
          <w:rFonts w:hint="eastAsia" w:ascii="宋体" w:hAnsi="宋体" w:eastAsia="宋体" w:cs="宋体"/>
          <w:color w:val="auto"/>
          <w:kern w:val="0"/>
          <w:sz w:val="22"/>
          <w:szCs w:val="22"/>
        </w:rPr>
        <w:t xml:space="preserve">提供产品保修卡，并按厂家产品规定保修期限及内容以及供应商的其它承诺条款实行保修，出现故障后 </w:t>
      </w:r>
      <w:r>
        <w:rPr>
          <w:rFonts w:hint="eastAsia" w:ascii="宋体" w:hAnsi="宋体" w:eastAsia="宋体" w:cs="宋体"/>
          <w:color w:val="auto"/>
          <w:kern w:val="0"/>
          <w:sz w:val="22"/>
          <w:szCs w:val="22"/>
          <w:lang w:val="en-US" w:eastAsia="zh-CN"/>
        </w:rPr>
        <w:t>1</w:t>
      </w:r>
      <w:r>
        <w:rPr>
          <w:rFonts w:hint="eastAsia" w:ascii="宋体" w:hAnsi="宋体" w:eastAsia="宋体" w:cs="宋体"/>
          <w:color w:val="auto"/>
          <w:kern w:val="0"/>
          <w:sz w:val="22"/>
          <w:szCs w:val="22"/>
        </w:rPr>
        <w:t xml:space="preserve">小时内服务响应、8 小时内现场服务到位、12 小时内解决问题。 </w:t>
      </w:r>
    </w:p>
    <w:p w14:paraId="60D21140">
      <w:pPr>
        <w:widowControl/>
        <w:spacing w:line="360" w:lineRule="auto"/>
        <w:contextualSpacing/>
        <w:jc w:val="left"/>
        <w:rPr>
          <w:rFonts w:hint="eastAsia" w:ascii="宋体" w:hAnsi="宋体" w:eastAsia="宋体" w:cs="宋体"/>
          <w:color w:val="auto"/>
          <w:kern w:val="0"/>
          <w:sz w:val="22"/>
          <w:szCs w:val="22"/>
        </w:rPr>
      </w:pPr>
      <w:r>
        <w:rPr>
          <w:rFonts w:hint="eastAsia" w:ascii="宋体" w:hAnsi="宋体" w:eastAsia="宋体" w:cs="宋体"/>
          <w:b/>
          <w:color w:val="auto"/>
          <w:kern w:val="0"/>
          <w:sz w:val="22"/>
          <w:szCs w:val="22"/>
        </w:rPr>
        <w:t>6、交货时间及地点：①</w:t>
      </w:r>
      <w:r>
        <w:rPr>
          <w:rFonts w:hint="eastAsia" w:ascii="宋体" w:hAnsi="宋体" w:eastAsia="宋体" w:cs="宋体"/>
          <w:b/>
          <w:bCs/>
          <w:color w:val="auto"/>
          <w:sz w:val="22"/>
          <w:szCs w:val="22"/>
        </w:rPr>
        <w:t xml:space="preserve">合同签订后60日历天内完成供货及安装 </w:t>
      </w:r>
      <w:r>
        <w:rPr>
          <w:rFonts w:hint="eastAsia" w:ascii="宋体" w:hAnsi="宋体" w:eastAsia="宋体" w:cs="宋体"/>
          <w:color w:val="auto"/>
          <w:sz w:val="22"/>
          <w:szCs w:val="22"/>
        </w:rPr>
        <w:t>（注：如客梯或货梯需提早安装配合其他施工需要使用）。②需不定期的到施工现场与总包单位沟通对预埋件等需提前安装的电梯配件施工，③</w:t>
      </w:r>
      <w:r>
        <w:rPr>
          <w:rFonts w:hint="eastAsia" w:ascii="宋体" w:hAnsi="宋体" w:eastAsia="宋体" w:cs="宋体"/>
          <w:color w:val="auto"/>
          <w:kern w:val="0"/>
          <w:sz w:val="22"/>
          <w:szCs w:val="22"/>
        </w:rPr>
        <w:t xml:space="preserve">在安装、调试、检验时，应派遣代表参加并加以指导，如发现质量问题，代表必须负责处理至采购人满意为止；④交货地点：采购人指定地点。 </w:t>
      </w:r>
    </w:p>
    <w:p w14:paraId="2AB36508">
      <w:pPr>
        <w:tabs>
          <w:tab w:val="left" w:pos="720"/>
          <w:tab w:val="left" w:pos="1031"/>
        </w:tabs>
        <w:snapToGrid w:val="0"/>
        <w:spacing w:line="400" w:lineRule="exact"/>
        <w:rPr>
          <w:rFonts w:hint="eastAsia" w:ascii="宋体" w:hAnsi="宋体" w:eastAsia="宋体" w:cs="宋体"/>
          <w:b w:val="0"/>
          <w:bCs/>
          <w:color w:val="auto"/>
          <w:sz w:val="22"/>
          <w:szCs w:val="22"/>
        </w:rPr>
      </w:pPr>
      <w:r>
        <w:rPr>
          <w:rFonts w:hint="eastAsia" w:ascii="宋体" w:hAnsi="宋体" w:eastAsia="宋体" w:cs="宋体"/>
          <w:b w:val="0"/>
          <w:bCs/>
          <w:color w:val="auto"/>
          <w:sz w:val="22"/>
          <w:szCs w:val="22"/>
        </w:rPr>
        <w:t>7、设备安装验收合格，交付采购人使用以前的设备保护（中标人须在轿厢壁四周及上下应用细木工板做好防护，费用包括在投标报价内）由投标供应商负责。</w:t>
      </w:r>
    </w:p>
    <w:p w14:paraId="58C35F2E">
      <w:pPr>
        <w:widowControl/>
        <w:tabs>
          <w:tab w:val="left" w:pos="540"/>
        </w:tabs>
        <w:autoSpaceDE w:val="0"/>
        <w:autoSpaceDN w:val="0"/>
        <w:adjustRightInd w:val="0"/>
        <w:snapToGrid w:val="0"/>
        <w:spacing w:line="460" w:lineRule="exact"/>
        <w:textAlignment w:val="bottom"/>
        <w:rPr>
          <w:rFonts w:hint="default" w:ascii="宋体"/>
          <w:b/>
          <w:color w:val="auto"/>
          <w:sz w:val="22"/>
          <w:szCs w:val="22"/>
          <w:lang w:val="en-US" w:eastAsia="zh-CN"/>
        </w:rPr>
      </w:pPr>
      <w:r>
        <w:rPr>
          <w:rFonts w:hint="eastAsia" w:ascii="宋体" w:hAnsi="宋体" w:eastAsia="宋体" w:cs="宋体"/>
          <w:b w:val="0"/>
          <w:bCs/>
          <w:color w:val="auto"/>
          <w:sz w:val="22"/>
          <w:szCs w:val="22"/>
          <w:lang w:val="en-US" w:eastAsia="zh-CN"/>
        </w:rPr>
        <w:t>8、付款条件：</w:t>
      </w:r>
      <w:r>
        <w:rPr>
          <w:rFonts w:hint="eastAsia" w:ascii="宋体"/>
          <w:b/>
          <w:color w:val="auto"/>
          <w:sz w:val="22"/>
          <w:szCs w:val="22"/>
          <w:lang w:val="en-US" w:eastAsia="zh-CN"/>
        </w:rPr>
        <w:t>详见合同部分。</w:t>
      </w:r>
    </w:p>
    <w:p w14:paraId="5C7495FA">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9、设备的制造标准、安装标准及技术规范要求必须符合（但不局限于）以下标准，如有最新标准，按新标准执行。</w:t>
      </w:r>
    </w:p>
    <w:p w14:paraId="624A7B5B">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1）中华人民共和国的国家标准：电梯工程施工质量验收规范（GB50310-2002）</w:t>
      </w:r>
    </w:p>
    <w:p w14:paraId="43A4E77E">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2）中华人民共和国的国家标准:电梯制造与安装安全规范Q/RLDT 1-2020《电梯产品标准》</w:t>
      </w:r>
    </w:p>
    <w:p w14:paraId="51A35EC0">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3）中华人民共和国的国家标准:电梯安装验收规范（GB10060-2011）</w:t>
      </w:r>
    </w:p>
    <w:p w14:paraId="0465187B">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4）中华人民共和国的国家标准:电梯技术条件（GB/T10058-2009）</w:t>
      </w:r>
    </w:p>
    <w:p w14:paraId="1A4545C9">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5）中华人民共和国的国家标准:电梯试验方法（GB/T10059-2009）</w:t>
      </w:r>
    </w:p>
    <w:p w14:paraId="51740057">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6）电梯主参数及轿厢、井道、机房的形式与尺寸（GB/T7025-2008）</w:t>
      </w:r>
    </w:p>
    <w:p w14:paraId="1A8E2BA3">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7）电梯曳引机（GB/T24478-2009）</w:t>
      </w:r>
    </w:p>
    <w:p w14:paraId="2DA05062">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8）中华人民共和国的国家标准：电梯维修规范（GB18775－2002）</w:t>
      </w:r>
    </w:p>
    <w:p w14:paraId="5B48FCFF">
      <w:pPr>
        <w:tabs>
          <w:tab w:val="left" w:pos="720"/>
          <w:tab w:val="left" w:pos="1031"/>
        </w:tabs>
        <w:snapToGrid w:val="0"/>
        <w:spacing w:line="400" w:lineRule="exact"/>
        <w:rPr>
          <w:rFonts w:hint="eastAsia" w:ascii="宋体" w:hAnsi="宋体" w:eastAsia="宋体" w:cs="宋体"/>
          <w:b w:val="0"/>
          <w:bCs/>
          <w:color w:val="auto"/>
          <w:sz w:val="22"/>
          <w:szCs w:val="22"/>
          <w:lang w:val="en-US" w:eastAsia="zh-CN"/>
        </w:rPr>
      </w:pPr>
      <w:r>
        <w:rPr>
          <w:rFonts w:hint="eastAsia" w:ascii="宋体" w:hAnsi="宋体" w:eastAsia="宋体" w:cs="宋体"/>
          <w:b w:val="0"/>
          <w:bCs/>
          <w:color w:val="auto"/>
          <w:sz w:val="22"/>
          <w:szCs w:val="22"/>
          <w:lang w:val="en-US" w:eastAsia="zh-CN"/>
        </w:rPr>
        <w:t>9）中华人民共和国的国家标准:高层民用建筑设计消防规范（GB50045）</w:t>
      </w:r>
    </w:p>
    <w:p w14:paraId="780C6C4F">
      <w:pPr>
        <w:tabs>
          <w:tab w:val="left" w:pos="720"/>
          <w:tab w:val="left" w:pos="1031"/>
        </w:tabs>
        <w:snapToGrid w:val="0"/>
        <w:spacing w:line="400" w:lineRule="exact"/>
        <w:rPr>
          <w:rFonts w:hint="default" w:ascii="宋体" w:hAnsi="宋体" w:eastAsia="宋体" w:cs="宋体"/>
          <w:b w:val="0"/>
          <w:bCs/>
          <w:color w:val="auto"/>
          <w:sz w:val="22"/>
          <w:szCs w:val="22"/>
          <w:lang w:val="en-US" w:eastAsia="zh-CN"/>
        </w:rPr>
      </w:pPr>
      <w:r>
        <w:rPr>
          <w:rFonts w:hint="default" w:ascii="宋体" w:hAnsi="宋体" w:eastAsia="宋体" w:cs="宋体"/>
          <w:b w:val="0"/>
          <w:bCs/>
          <w:color w:val="auto"/>
          <w:sz w:val="22"/>
          <w:szCs w:val="22"/>
          <w:lang w:val="en-US" w:eastAsia="zh-CN"/>
        </w:rPr>
        <w:t>10）中华人民共和国国务院第549号令：特种设备安全监察条例</w:t>
      </w:r>
    </w:p>
    <w:p w14:paraId="34732BC9">
      <w:pPr>
        <w:tabs>
          <w:tab w:val="left" w:pos="720"/>
          <w:tab w:val="left" w:pos="1031"/>
        </w:tabs>
        <w:snapToGrid w:val="0"/>
        <w:spacing w:line="400" w:lineRule="exact"/>
        <w:rPr>
          <w:rFonts w:hint="default" w:ascii="宋体" w:hAnsi="宋体" w:eastAsia="宋体" w:cs="宋体"/>
          <w:b w:val="0"/>
          <w:bCs/>
          <w:color w:val="auto"/>
          <w:sz w:val="22"/>
          <w:szCs w:val="22"/>
          <w:lang w:val="en-US" w:eastAsia="zh-CN"/>
        </w:rPr>
      </w:pPr>
      <w:r>
        <w:rPr>
          <w:rFonts w:hint="eastAsia" w:ascii="宋体" w:hAnsi="宋体" w:cs="宋体"/>
          <w:b w:val="0"/>
          <w:bCs/>
          <w:color w:val="auto"/>
          <w:sz w:val="22"/>
          <w:szCs w:val="22"/>
          <w:lang w:val="en-US" w:eastAsia="zh-CN"/>
        </w:rPr>
        <w:t>10、</w:t>
      </w:r>
      <w:r>
        <w:rPr>
          <w:rFonts w:hint="eastAsia" w:ascii="宋体" w:hAnsi="宋体" w:cs="宋体"/>
          <w:b/>
          <w:bCs w:val="0"/>
          <w:color w:val="auto"/>
          <w:sz w:val="22"/>
          <w:szCs w:val="22"/>
          <w:lang w:val="en-US" w:eastAsia="zh-CN"/>
        </w:rPr>
        <w:t>履约验收费（包括检测、检验等有关验收费用）用由中标单位支付，由投标人自行考虑相应风险，相应费用包含在投标总价中。</w:t>
      </w:r>
    </w:p>
    <w:p w14:paraId="03E96C11"/>
    <w:p w14:paraId="3A7B2965">
      <w:pPr>
        <w:spacing w:line="400" w:lineRule="exact"/>
        <w:ind w:firstLine="651" w:firstLineChars="296"/>
        <w:rPr>
          <w:rFonts w:hint="default" w:ascii="宋体" w:hAnsi="宋体"/>
          <w:sz w:val="22"/>
          <w:szCs w:val="22"/>
          <w:highlight w:val="none"/>
          <w:lang w:val="en-US" w:eastAsia="zh-CN"/>
        </w:rPr>
        <w:sectPr>
          <w:headerReference r:id="rId10" w:type="first"/>
          <w:pgSz w:w="11906" w:h="16838"/>
          <w:pgMar w:top="1134" w:right="1134" w:bottom="1134" w:left="1134" w:header="851" w:footer="851" w:gutter="0"/>
          <w:cols w:space="720" w:num="1"/>
          <w:titlePg/>
          <w:docGrid w:linePitch="312" w:charSpace="0"/>
        </w:sectPr>
      </w:pPr>
    </w:p>
    <w:p w14:paraId="5ADA7AB0">
      <w:pPr>
        <w:pStyle w:val="5"/>
        <w:spacing w:before="240" w:beforeLines="100"/>
        <w:rPr>
          <w:rFonts w:hint="eastAsia" w:ascii="宋体" w:hAnsi="宋体" w:eastAsia="宋体" w:cs="Arial Unicode MS"/>
          <w:sz w:val="36"/>
          <w:szCs w:val="36"/>
          <w:highlight w:val="none"/>
        </w:rPr>
      </w:pPr>
      <w:bookmarkStart w:id="255" w:name="_Toc223933231"/>
      <w:bookmarkStart w:id="256" w:name="_Toc227057043"/>
      <w:bookmarkStart w:id="257" w:name="_Toc223717614"/>
      <w:bookmarkStart w:id="258" w:name="_Toc227056860"/>
      <w:bookmarkStart w:id="259" w:name="_Toc227489897"/>
      <w:bookmarkStart w:id="260" w:name="_Toc28337"/>
      <w:r>
        <w:rPr>
          <w:rFonts w:hint="eastAsia" w:ascii="宋体" w:hAnsi="宋体" w:eastAsia="宋体" w:cs="Arial Unicode MS"/>
          <w:sz w:val="36"/>
          <w:szCs w:val="36"/>
          <w:highlight w:val="none"/>
        </w:rPr>
        <w:t xml:space="preserve">第五部分   </w:t>
      </w:r>
      <w:bookmarkEnd w:id="255"/>
      <w:bookmarkEnd w:id="256"/>
      <w:bookmarkEnd w:id="257"/>
      <w:bookmarkEnd w:id="258"/>
      <w:bookmarkEnd w:id="259"/>
      <w:r>
        <w:rPr>
          <w:rFonts w:hint="eastAsia" w:ascii="宋体" w:hAnsi="宋体" w:eastAsia="宋体"/>
          <w:sz w:val="36"/>
          <w:szCs w:val="36"/>
          <w:highlight w:val="none"/>
        </w:rPr>
        <w:t>评标原则及办法</w:t>
      </w:r>
      <w:bookmarkEnd w:id="260"/>
    </w:p>
    <w:p w14:paraId="5723631A">
      <w:pPr>
        <w:pStyle w:val="3"/>
        <w:spacing w:after="0" w:line="360" w:lineRule="auto"/>
        <w:rPr>
          <w:rFonts w:hint="eastAsia" w:ascii="宋体" w:hAnsi="宋体" w:eastAsia="宋体"/>
          <w:b/>
          <w:sz w:val="22"/>
          <w:szCs w:val="22"/>
          <w:highlight w:val="none"/>
        </w:rPr>
      </w:pPr>
      <w:bookmarkStart w:id="261" w:name="_Toc221356898"/>
      <w:bookmarkStart w:id="262" w:name="_Toc221356961"/>
      <w:r>
        <w:rPr>
          <w:rFonts w:hint="eastAsia" w:ascii="宋体" w:hAnsi="宋体" w:eastAsia="宋体"/>
          <w:b/>
          <w:sz w:val="22"/>
          <w:szCs w:val="22"/>
          <w:highlight w:val="none"/>
        </w:rPr>
        <w:t>一. 总  则</w:t>
      </w:r>
      <w:bookmarkEnd w:id="261"/>
      <w:bookmarkEnd w:id="262"/>
    </w:p>
    <w:p w14:paraId="11FA9E56">
      <w:pPr>
        <w:spacing w:line="360" w:lineRule="auto"/>
        <w:ind w:left="439" w:leftChars="209"/>
        <w:rPr>
          <w:rFonts w:hint="eastAsia" w:ascii="宋体" w:hAnsi="宋体"/>
          <w:sz w:val="22"/>
          <w:szCs w:val="22"/>
          <w:highlight w:val="none"/>
        </w:rPr>
      </w:pPr>
      <w:r>
        <w:rPr>
          <w:rFonts w:hint="eastAsia" w:ascii="宋体" w:hAnsi="宋体"/>
          <w:sz w:val="22"/>
          <w:szCs w:val="22"/>
          <w:highlight w:val="none"/>
        </w:rPr>
        <w:t>评标工作遵循公平、公正、科学、择优原则和诚实、信誉、效率的服务原则，本着科学、严谨的态度，认真进行评标，最大限度的保护当事人权益，严格按照招标文件的商务、技术要求，对投标文件进行综合评定，推荐中标候选人，并编写评标报告。对非中标单位，评标委员会不作任何落标解释。投标人不得以任何方式干扰招投标工作的进行，一经发现其投标文件将被拒绝。</w:t>
      </w:r>
    </w:p>
    <w:p w14:paraId="1F4A17A1">
      <w:pPr>
        <w:pStyle w:val="3"/>
        <w:spacing w:after="0" w:line="360" w:lineRule="auto"/>
        <w:rPr>
          <w:rFonts w:hint="eastAsia" w:ascii="宋体" w:hAnsi="宋体" w:eastAsia="宋体"/>
          <w:b/>
          <w:sz w:val="22"/>
          <w:szCs w:val="22"/>
          <w:highlight w:val="none"/>
        </w:rPr>
      </w:pPr>
      <w:bookmarkStart w:id="263" w:name="_Toc221356899"/>
      <w:bookmarkStart w:id="264" w:name="_Toc221356962"/>
      <w:r>
        <w:rPr>
          <w:rFonts w:hint="eastAsia" w:ascii="宋体" w:hAnsi="宋体" w:eastAsia="宋体"/>
          <w:b/>
          <w:sz w:val="22"/>
          <w:szCs w:val="22"/>
          <w:highlight w:val="none"/>
        </w:rPr>
        <w:t>二、评标组织</w:t>
      </w:r>
      <w:bookmarkEnd w:id="263"/>
      <w:bookmarkEnd w:id="264"/>
    </w:p>
    <w:p w14:paraId="1561508D">
      <w:pPr>
        <w:spacing w:line="360" w:lineRule="auto"/>
        <w:ind w:left="439" w:leftChars="209"/>
        <w:rPr>
          <w:rFonts w:hint="eastAsia" w:ascii="宋体" w:hAnsi="宋体"/>
          <w:sz w:val="22"/>
          <w:szCs w:val="22"/>
          <w:highlight w:val="none"/>
        </w:rPr>
      </w:pPr>
      <w:r>
        <w:rPr>
          <w:rFonts w:hint="eastAsia" w:ascii="宋体" w:hAnsi="宋体"/>
          <w:sz w:val="22"/>
          <w:szCs w:val="22"/>
          <w:highlight w:val="none"/>
        </w:rPr>
        <w:t>评标工作由采购人依法组建的评标委员会负责，评标全过程由有关部门指导监督。全体评委应认真审阅招标文件，了解评委应履行或遵守的职责、义务和评标纪律,</w:t>
      </w:r>
      <w:r>
        <w:rPr>
          <w:rFonts w:ascii="宋体" w:hAnsi="宋体"/>
          <w:sz w:val="22"/>
          <w:szCs w:val="22"/>
          <w:highlight w:val="none"/>
        </w:rPr>
        <w:t xml:space="preserve"> 依法独立履行有关职责</w:t>
      </w:r>
      <w:r>
        <w:rPr>
          <w:rFonts w:hint="eastAsia" w:ascii="宋体" w:hAnsi="宋体"/>
          <w:sz w:val="22"/>
          <w:szCs w:val="22"/>
          <w:highlight w:val="none"/>
        </w:rPr>
        <w:t>。</w:t>
      </w:r>
    </w:p>
    <w:p w14:paraId="3287BCE2">
      <w:pPr>
        <w:pStyle w:val="3"/>
        <w:spacing w:after="0" w:line="360" w:lineRule="auto"/>
        <w:rPr>
          <w:rFonts w:hint="eastAsia" w:ascii="宋体" w:hAnsi="宋体" w:eastAsia="宋体"/>
          <w:b/>
          <w:sz w:val="22"/>
          <w:szCs w:val="22"/>
          <w:highlight w:val="none"/>
        </w:rPr>
      </w:pPr>
      <w:bookmarkStart w:id="265" w:name="_Toc221356901"/>
      <w:bookmarkStart w:id="266" w:name="_Toc221356964"/>
      <w:r>
        <w:rPr>
          <w:rFonts w:hint="eastAsia" w:ascii="宋体" w:hAnsi="宋体" w:eastAsia="宋体"/>
          <w:b/>
          <w:sz w:val="22"/>
          <w:szCs w:val="22"/>
          <w:highlight w:val="none"/>
        </w:rPr>
        <w:t>三、评标办法</w:t>
      </w:r>
      <w:bookmarkEnd w:id="265"/>
      <w:bookmarkEnd w:id="266"/>
    </w:p>
    <w:p w14:paraId="23E8BF72">
      <w:pPr>
        <w:spacing w:line="360" w:lineRule="auto"/>
        <w:ind w:left="439" w:leftChars="209"/>
        <w:rPr>
          <w:rFonts w:hint="eastAsia" w:ascii="宋体" w:hAnsi="宋体"/>
          <w:sz w:val="22"/>
          <w:highlight w:val="none"/>
        </w:rPr>
      </w:pPr>
      <w:bookmarkStart w:id="267" w:name="_Toc221356965"/>
      <w:bookmarkStart w:id="268" w:name="_Toc221356902"/>
      <w:r>
        <w:rPr>
          <w:rFonts w:ascii="宋体" w:hAnsi="宋体"/>
          <w:sz w:val="22"/>
          <w:highlight w:val="none"/>
        </w:rPr>
        <w:t>本</w:t>
      </w:r>
      <w:r>
        <w:rPr>
          <w:rFonts w:hint="eastAsia" w:ascii="宋体" w:hAnsi="宋体"/>
          <w:sz w:val="22"/>
          <w:highlight w:val="none"/>
        </w:rPr>
        <w:t>项目</w:t>
      </w:r>
      <w:r>
        <w:rPr>
          <w:rFonts w:ascii="宋体" w:hAnsi="宋体"/>
          <w:sz w:val="22"/>
          <w:highlight w:val="none"/>
        </w:rPr>
        <w:t>采用百分制综合评分法，即投标人最大限度地满足招标文件实质性要求的基础上，按照招标文件的各项因素进行综合评审后，以</w:t>
      </w:r>
      <w:r>
        <w:rPr>
          <w:rFonts w:hint="eastAsia" w:ascii="宋体" w:hAnsi="宋体"/>
          <w:sz w:val="22"/>
          <w:highlight w:val="none"/>
        </w:rPr>
        <w:t>综合得分</w:t>
      </w:r>
      <w:r>
        <w:rPr>
          <w:rFonts w:ascii="宋体" w:hAnsi="宋体"/>
          <w:sz w:val="22"/>
          <w:highlight w:val="none"/>
        </w:rPr>
        <w:t>最高</w:t>
      </w:r>
      <w:r>
        <w:rPr>
          <w:rFonts w:hint="eastAsia" w:ascii="宋体" w:hAnsi="宋体"/>
          <w:sz w:val="22"/>
          <w:highlight w:val="none"/>
        </w:rPr>
        <w:t>、</w:t>
      </w:r>
      <w:r>
        <w:rPr>
          <w:rFonts w:ascii="宋体" w:hAnsi="宋体"/>
          <w:sz w:val="22"/>
          <w:highlight w:val="none"/>
        </w:rPr>
        <w:t>次高的投标人作为第一和第二排序的中标候选人的评标方法。根据</w:t>
      </w:r>
      <w:r>
        <w:rPr>
          <w:rFonts w:hint="eastAsia" w:ascii="宋体" w:hAnsi="宋体"/>
          <w:sz w:val="22"/>
          <w:highlight w:val="none"/>
        </w:rPr>
        <w:t>采购</w:t>
      </w:r>
      <w:r>
        <w:rPr>
          <w:rFonts w:ascii="宋体" w:hAnsi="宋体"/>
          <w:sz w:val="22"/>
          <w:highlight w:val="none"/>
        </w:rPr>
        <w:t>要求，总分设定为100分；其中商务技术</w:t>
      </w:r>
      <w:r>
        <w:rPr>
          <w:rFonts w:hint="eastAsia" w:ascii="宋体" w:hAnsi="宋体"/>
          <w:sz w:val="22"/>
          <w:highlight w:val="none"/>
        </w:rPr>
        <w:t>文件</w:t>
      </w:r>
      <w:r>
        <w:rPr>
          <w:rFonts w:ascii="宋体" w:hAnsi="宋体"/>
          <w:sz w:val="22"/>
          <w:highlight w:val="none"/>
        </w:rPr>
        <w:t>7</w:t>
      </w:r>
      <w:r>
        <w:rPr>
          <w:rFonts w:hint="eastAsia" w:ascii="宋体" w:hAnsi="宋体"/>
          <w:sz w:val="22"/>
          <w:highlight w:val="none"/>
        </w:rPr>
        <w:t>0</w:t>
      </w:r>
      <w:r>
        <w:rPr>
          <w:rFonts w:ascii="宋体" w:hAnsi="宋体"/>
          <w:sz w:val="22"/>
          <w:highlight w:val="none"/>
        </w:rPr>
        <w:t>分（技术权值7</w:t>
      </w:r>
      <w:r>
        <w:rPr>
          <w:rFonts w:hint="eastAsia" w:ascii="宋体" w:hAnsi="宋体"/>
          <w:sz w:val="22"/>
          <w:highlight w:val="none"/>
        </w:rPr>
        <w:t>0</w:t>
      </w:r>
      <w:r>
        <w:rPr>
          <w:rFonts w:ascii="宋体" w:hAnsi="宋体"/>
          <w:sz w:val="22"/>
          <w:highlight w:val="none"/>
        </w:rPr>
        <w:t>%），报价</w:t>
      </w:r>
      <w:r>
        <w:rPr>
          <w:rFonts w:hint="eastAsia" w:ascii="宋体" w:hAnsi="宋体"/>
          <w:sz w:val="22"/>
          <w:highlight w:val="none"/>
        </w:rPr>
        <w:t>文件</w:t>
      </w:r>
      <w:r>
        <w:rPr>
          <w:rFonts w:ascii="宋体" w:hAnsi="宋体"/>
          <w:sz w:val="22"/>
          <w:highlight w:val="none"/>
        </w:rPr>
        <w:t>3</w:t>
      </w:r>
      <w:r>
        <w:rPr>
          <w:rFonts w:hint="eastAsia" w:ascii="宋体" w:hAnsi="宋体"/>
          <w:sz w:val="22"/>
          <w:highlight w:val="none"/>
        </w:rPr>
        <w:t>0</w:t>
      </w:r>
      <w:r>
        <w:rPr>
          <w:rFonts w:ascii="宋体" w:hAnsi="宋体"/>
          <w:sz w:val="22"/>
          <w:highlight w:val="none"/>
        </w:rPr>
        <w:t>分（价格权值3</w:t>
      </w:r>
      <w:r>
        <w:rPr>
          <w:rFonts w:hint="eastAsia" w:ascii="宋体" w:hAnsi="宋体"/>
          <w:sz w:val="22"/>
          <w:highlight w:val="none"/>
        </w:rPr>
        <w:t>0</w:t>
      </w:r>
      <w:r>
        <w:rPr>
          <w:rFonts w:ascii="宋体" w:hAnsi="宋体"/>
          <w:sz w:val="22"/>
          <w:highlight w:val="none"/>
        </w:rPr>
        <w:t>%）</w:t>
      </w:r>
      <w:r>
        <w:rPr>
          <w:rFonts w:hint="eastAsia" w:ascii="宋体" w:hAnsi="宋体"/>
          <w:sz w:val="22"/>
          <w:highlight w:val="none"/>
        </w:rPr>
        <w:t>。</w:t>
      </w:r>
    </w:p>
    <w:p w14:paraId="6725F857">
      <w:pPr>
        <w:pStyle w:val="3"/>
        <w:spacing w:after="0" w:line="360" w:lineRule="auto"/>
        <w:rPr>
          <w:rFonts w:hint="eastAsia" w:ascii="宋体" w:hAnsi="宋体" w:eastAsia="宋体"/>
          <w:b/>
          <w:sz w:val="22"/>
          <w:szCs w:val="22"/>
          <w:highlight w:val="none"/>
        </w:rPr>
      </w:pPr>
      <w:r>
        <w:rPr>
          <w:rFonts w:hint="eastAsia" w:ascii="宋体" w:hAnsi="宋体" w:eastAsia="宋体"/>
          <w:b/>
          <w:sz w:val="22"/>
          <w:szCs w:val="22"/>
          <w:highlight w:val="none"/>
        </w:rPr>
        <w:t>四、</w:t>
      </w:r>
      <w:bookmarkEnd w:id="267"/>
      <w:bookmarkEnd w:id="268"/>
      <w:r>
        <w:rPr>
          <w:rFonts w:hint="eastAsia" w:ascii="宋体" w:hAnsi="宋体" w:eastAsia="宋体"/>
          <w:b/>
          <w:sz w:val="22"/>
          <w:szCs w:val="22"/>
          <w:highlight w:val="none"/>
        </w:rPr>
        <w:t>评标内容及标准</w:t>
      </w:r>
    </w:p>
    <w:p w14:paraId="5CCABBC6">
      <w:pPr>
        <w:spacing w:line="360" w:lineRule="auto"/>
        <w:rPr>
          <w:rFonts w:hint="eastAsia" w:ascii="宋体" w:hAnsi="宋体"/>
          <w:sz w:val="22"/>
          <w:szCs w:val="22"/>
          <w:highlight w:val="none"/>
        </w:rPr>
      </w:pPr>
      <w:r>
        <w:rPr>
          <w:rFonts w:hint="eastAsia" w:ascii="宋体" w:hAnsi="宋体"/>
          <w:sz w:val="22"/>
          <w:szCs w:val="22"/>
          <w:highlight w:val="none"/>
        </w:rPr>
        <w:t>1、 商务技术分的评定（70分）</w:t>
      </w:r>
    </w:p>
    <w:p w14:paraId="794C9A2A">
      <w:pPr>
        <w:spacing w:line="360" w:lineRule="auto"/>
        <w:ind w:left="439" w:leftChars="209"/>
        <w:rPr>
          <w:rFonts w:hint="eastAsia" w:ascii="宋体" w:hAnsi="宋体"/>
          <w:sz w:val="22"/>
          <w:szCs w:val="22"/>
          <w:highlight w:val="none"/>
        </w:rPr>
      </w:pPr>
      <w:r>
        <w:rPr>
          <w:rFonts w:hint="eastAsia" w:ascii="宋体" w:hAnsi="宋体"/>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人的各项评分内容评分的合计分数的算术平均值为各投标人商务技术分得分（小数点后按四舍五入保留2位）</w:t>
      </w:r>
    </w:p>
    <w:tbl>
      <w:tblPr>
        <w:tblStyle w:val="35"/>
        <w:tblpPr w:leftFromText="180" w:rightFromText="180" w:vertAnchor="text" w:horzAnchor="page" w:tblpXSpec="center" w:tblpY="288"/>
        <w:tblOverlap w:val="never"/>
        <w:tblW w:w="91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2"/>
        <w:gridCol w:w="506"/>
        <w:gridCol w:w="60"/>
        <w:gridCol w:w="798"/>
        <w:gridCol w:w="6265"/>
        <w:gridCol w:w="958"/>
      </w:tblGrid>
      <w:tr w14:paraId="02FABD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572" w:type="dxa"/>
            <w:noWrap w:val="0"/>
            <w:vAlign w:val="center"/>
          </w:tcPr>
          <w:p w14:paraId="4107F78F">
            <w:pPr>
              <w:adjustRightInd w:val="0"/>
              <w:snapToGrid w:val="0"/>
              <w:spacing w:line="440" w:lineRule="exact"/>
              <w:jc w:val="center"/>
              <w:rPr>
                <w:rFonts w:hint="default" w:ascii="宋体" w:hAnsi="宋体" w:eastAsia="宋体" w:cs="宋体"/>
                <w:b w:val="0"/>
                <w:bCs/>
                <w:snapToGrid w:val="0"/>
                <w:color w:val="auto"/>
                <w:sz w:val="24"/>
                <w:szCs w:val="24"/>
                <w:lang w:val="en-US" w:eastAsia="zh-CN"/>
              </w:rPr>
            </w:pPr>
            <w:r>
              <w:rPr>
                <w:rFonts w:hint="eastAsia" w:ascii="宋体" w:hAnsi="宋体" w:cs="宋体"/>
                <w:b w:val="0"/>
                <w:bCs/>
                <w:snapToGrid w:val="0"/>
                <w:color w:val="auto"/>
                <w:sz w:val="24"/>
                <w:szCs w:val="24"/>
                <w:lang w:val="en-US" w:eastAsia="zh-CN"/>
              </w:rPr>
              <w:t>1</w:t>
            </w:r>
          </w:p>
        </w:tc>
        <w:tc>
          <w:tcPr>
            <w:tcW w:w="1364" w:type="dxa"/>
            <w:gridSpan w:val="3"/>
            <w:noWrap w:val="0"/>
            <w:vAlign w:val="center"/>
          </w:tcPr>
          <w:p w14:paraId="30E49F90">
            <w:pPr>
              <w:adjustRightInd w:val="0"/>
              <w:snapToGrid w:val="0"/>
              <w:spacing w:line="440" w:lineRule="exact"/>
              <w:jc w:val="both"/>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综合实力</w:t>
            </w:r>
          </w:p>
        </w:tc>
        <w:tc>
          <w:tcPr>
            <w:tcW w:w="6265" w:type="dxa"/>
            <w:noWrap w:val="0"/>
            <w:vAlign w:val="center"/>
          </w:tcPr>
          <w:p w14:paraId="4CCA42BA">
            <w:pPr>
              <w:spacing w:line="360" w:lineRule="exact"/>
              <w:rPr>
                <w:rFonts w:hint="eastAsia"/>
                <w:lang w:val="en-US" w:eastAsia="zh-CN"/>
              </w:rPr>
            </w:pPr>
            <w:r>
              <w:rPr>
                <w:rFonts w:hint="eastAsia" w:ascii="宋体" w:hAnsi="宋体" w:cs="宋体"/>
                <w:szCs w:val="21"/>
                <w:lang w:val="en-US" w:eastAsia="zh-CN"/>
              </w:rPr>
              <w:t>根据投标</w:t>
            </w:r>
            <w:r>
              <w:rPr>
                <w:rFonts w:hint="eastAsia" w:ascii="宋体" w:hAnsi="宋体" w:cs="宋体"/>
                <w:szCs w:val="21"/>
              </w:rPr>
              <w:t>电梯品牌认可度、市场占有率、市场信誉及行业地位</w:t>
            </w:r>
            <w:r>
              <w:rPr>
                <w:rFonts w:hint="eastAsia" w:ascii="宋体" w:hAnsi="宋体" w:cs="宋体"/>
                <w:szCs w:val="21"/>
                <w:lang w:val="en-US" w:eastAsia="zh-CN"/>
              </w:rPr>
              <w:t>等进行评分。（6、5、4、3、2、1）</w:t>
            </w:r>
          </w:p>
        </w:tc>
        <w:tc>
          <w:tcPr>
            <w:tcW w:w="958" w:type="dxa"/>
            <w:noWrap w:val="0"/>
            <w:vAlign w:val="center"/>
          </w:tcPr>
          <w:p w14:paraId="1712DEB6">
            <w:pPr>
              <w:snapToGrid w:val="0"/>
              <w:spacing w:line="440" w:lineRule="exact"/>
              <w:jc w:val="center"/>
              <w:rPr>
                <w:rFonts w:hint="default" w:ascii="宋体" w:hAnsi="宋体" w:eastAsia="宋体" w:cs="宋体"/>
                <w:b w:val="0"/>
                <w:bCs/>
                <w:snapToGrid w:val="0"/>
                <w:color w:val="auto"/>
                <w:sz w:val="24"/>
                <w:szCs w:val="24"/>
                <w:lang w:val="en-US" w:eastAsia="zh-CN"/>
              </w:rPr>
            </w:pPr>
            <w:r>
              <w:rPr>
                <w:rFonts w:hint="eastAsia" w:ascii="宋体" w:hAnsi="宋体" w:cs="宋体"/>
                <w:b w:val="0"/>
                <w:bCs/>
                <w:snapToGrid w:val="0"/>
                <w:color w:val="auto"/>
                <w:sz w:val="24"/>
                <w:szCs w:val="24"/>
                <w:lang w:val="en-US" w:eastAsia="zh-CN"/>
              </w:rPr>
              <w:t>6</w:t>
            </w:r>
          </w:p>
        </w:tc>
      </w:tr>
      <w:tr w14:paraId="70CD44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572" w:type="dxa"/>
            <w:noWrap w:val="0"/>
            <w:vAlign w:val="center"/>
          </w:tcPr>
          <w:p w14:paraId="3459CA6C">
            <w:pPr>
              <w:adjustRightInd w:val="0"/>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cs="宋体"/>
                <w:b w:val="0"/>
                <w:bCs/>
                <w:snapToGrid w:val="0"/>
                <w:color w:val="auto"/>
                <w:sz w:val="24"/>
                <w:szCs w:val="24"/>
                <w:lang w:val="en-US" w:eastAsia="zh-CN"/>
              </w:rPr>
              <w:t>2</w:t>
            </w:r>
          </w:p>
        </w:tc>
        <w:tc>
          <w:tcPr>
            <w:tcW w:w="1364" w:type="dxa"/>
            <w:gridSpan w:val="3"/>
            <w:noWrap w:val="0"/>
            <w:vAlign w:val="center"/>
          </w:tcPr>
          <w:p w14:paraId="0F7C8661">
            <w:pPr>
              <w:adjustRightInd w:val="0"/>
              <w:snapToGrid w:val="0"/>
              <w:spacing w:line="440" w:lineRule="exact"/>
              <w:jc w:val="both"/>
              <w:rPr>
                <w:rFonts w:hint="eastAsia" w:ascii="宋体" w:hAnsi="宋体" w:eastAsia="宋体" w:cs="宋体"/>
                <w:b w:val="0"/>
                <w:bCs/>
                <w:color w:val="auto"/>
                <w:sz w:val="24"/>
                <w:szCs w:val="24"/>
              </w:rPr>
            </w:pPr>
            <w:r>
              <w:rPr>
                <w:rFonts w:hint="eastAsia" w:ascii="宋体" w:hAnsi="宋体" w:eastAsia="宋体" w:cs="宋体"/>
                <w:color w:val="auto"/>
                <w:kern w:val="0"/>
                <w:sz w:val="24"/>
                <w:szCs w:val="24"/>
              </w:rPr>
              <w:t>类似业绩</w:t>
            </w:r>
          </w:p>
        </w:tc>
        <w:tc>
          <w:tcPr>
            <w:tcW w:w="6265" w:type="dxa"/>
            <w:noWrap w:val="0"/>
            <w:vAlign w:val="center"/>
          </w:tcPr>
          <w:p w14:paraId="19C091C0">
            <w:pPr>
              <w:spacing w:line="36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投标供应商</w:t>
            </w:r>
            <w:r>
              <w:rPr>
                <w:rFonts w:hint="eastAsia" w:ascii="宋体" w:hAnsi="宋体" w:eastAsia="宋体" w:cs="宋体"/>
                <w:b w:val="0"/>
                <w:bCs/>
                <w:color w:val="auto"/>
                <w:sz w:val="24"/>
                <w:szCs w:val="24"/>
                <w:lang w:val="zh-TW" w:eastAsia="zh-CN"/>
              </w:rPr>
              <w:t>自</w:t>
            </w:r>
            <w:r>
              <w:rPr>
                <w:rFonts w:hint="eastAsia" w:ascii="宋体" w:hAnsi="宋体" w:eastAsia="宋体" w:cs="宋体"/>
                <w:b w:val="0"/>
                <w:bCs/>
                <w:color w:val="auto"/>
                <w:sz w:val="24"/>
                <w:szCs w:val="24"/>
                <w:lang w:val="zh-TW" w:eastAsia="zh-TW"/>
              </w:rPr>
              <w:t>20</w:t>
            </w:r>
            <w:r>
              <w:rPr>
                <w:rFonts w:hint="eastAsia" w:ascii="宋体" w:hAnsi="宋体" w:eastAsia="宋体" w:cs="宋体"/>
                <w:b w:val="0"/>
                <w:bCs/>
                <w:color w:val="auto"/>
                <w:sz w:val="24"/>
                <w:szCs w:val="24"/>
                <w:lang w:val="en-US" w:eastAsia="zh-CN"/>
              </w:rPr>
              <w:t>22</w:t>
            </w:r>
            <w:r>
              <w:rPr>
                <w:rFonts w:hint="eastAsia" w:ascii="宋体" w:hAnsi="宋体" w:eastAsia="宋体" w:cs="宋体"/>
                <w:b w:val="0"/>
                <w:bCs/>
                <w:color w:val="auto"/>
                <w:sz w:val="24"/>
                <w:szCs w:val="24"/>
                <w:lang w:val="zh-TW" w:eastAsia="zh-TW"/>
              </w:rPr>
              <w:t>年1月1日以来</w:t>
            </w:r>
            <w:r>
              <w:rPr>
                <w:rFonts w:hint="eastAsia" w:ascii="宋体" w:hAnsi="宋体" w:eastAsia="宋体" w:cs="宋体"/>
                <w:b w:val="0"/>
                <w:bCs/>
                <w:color w:val="auto"/>
                <w:sz w:val="24"/>
                <w:szCs w:val="24"/>
                <w:lang w:val="en-US" w:eastAsia="zh-CN"/>
              </w:rPr>
              <w:t>具有电梯</w:t>
            </w:r>
            <w:r>
              <w:rPr>
                <w:rFonts w:hint="eastAsia" w:ascii="宋体" w:hAnsi="宋体" w:eastAsia="宋体" w:cs="宋体"/>
                <w:b w:val="0"/>
                <w:bCs/>
                <w:color w:val="auto"/>
                <w:sz w:val="24"/>
                <w:szCs w:val="24"/>
                <w:lang w:val="zh-TW" w:eastAsia="zh-TW"/>
              </w:rPr>
              <w:t>项目</w:t>
            </w:r>
            <w:r>
              <w:rPr>
                <w:rFonts w:hint="eastAsia" w:ascii="宋体" w:hAnsi="宋体" w:eastAsia="宋体" w:cs="宋体"/>
                <w:b w:val="0"/>
                <w:bCs/>
                <w:color w:val="auto"/>
                <w:sz w:val="24"/>
                <w:szCs w:val="24"/>
                <w:lang w:val="en-US" w:eastAsia="zh-CN"/>
              </w:rPr>
              <w:t>业绩的</w:t>
            </w:r>
            <w:r>
              <w:rPr>
                <w:rFonts w:hint="eastAsia" w:ascii="宋体" w:hAnsi="宋体" w:eastAsia="宋体" w:cs="宋体"/>
                <w:b w:val="0"/>
                <w:bCs/>
                <w:color w:val="auto"/>
                <w:sz w:val="24"/>
                <w:szCs w:val="24"/>
                <w:lang w:val="zh-TW" w:eastAsia="zh-TW"/>
              </w:rPr>
              <w:t>每提供一个得</w:t>
            </w: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lang w:val="zh-TW" w:eastAsia="zh-TW"/>
              </w:rPr>
              <w:t>分，最多</w:t>
            </w:r>
            <w:r>
              <w:rPr>
                <w:rFonts w:hint="eastAsia" w:ascii="宋体" w:hAnsi="宋体" w:eastAsia="宋体" w:cs="宋体"/>
                <w:b w:val="0"/>
                <w:bCs/>
                <w:color w:val="auto"/>
                <w:sz w:val="24"/>
                <w:szCs w:val="24"/>
                <w:lang w:val="en-US" w:eastAsia="zh-CN"/>
              </w:rPr>
              <w:t>得3</w:t>
            </w:r>
            <w:r>
              <w:rPr>
                <w:rFonts w:hint="eastAsia" w:ascii="宋体" w:hAnsi="宋体" w:eastAsia="宋体" w:cs="宋体"/>
                <w:b w:val="0"/>
                <w:bCs/>
                <w:color w:val="auto"/>
                <w:sz w:val="24"/>
                <w:szCs w:val="24"/>
                <w:lang w:val="zh-TW" w:eastAsia="zh-TW"/>
              </w:rPr>
              <w:t>分</w:t>
            </w:r>
            <w:r>
              <w:rPr>
                <w:rFonts w:hint="eastAsia" w:ascii="宋体" w:hAnsi="宋体" w:eastAsia="宋体" w:cs="宋体"/>
                <w:b w:val="0"/>
                <w:bCs/>
                <w:color w:val="auto"/>
                <w:sz w:val="24"/>
                <w:szCs w:val="24"/>
                <w:lang w:val="zh-TW" w:eastAsia="zh-CN"/>
              </w:rPr>
              <w:t>。</w:t>
            </w:r>
          </w:p>
          <w:p w14:paraId="5696A14B">
            <w:pPr>
              <w:spacing w:line="360" w:lineRule="exact"/>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注：提供</w:t>
            </w:r>
            <w:r>
              <w:rPr>
                <w:rFonts w:hint="eastAsia" w:ascii="宋体" w:hAnsi="宋体" w:eastAsia="宋体" w:cs="宋体"/>
                <w:b w:val="0"/>
                <w:bCs/>
                <w:color w:val="auto"/>
                <w:sz w:val="24"/>
                <w:szCs w:val="24"/>
                <w:lang w:val="zh-TW" w:eastAsia="zh-TW"/>
              </w:rPr>
              <w:t>合同复印件加盖公章</w:t>
            </w:r>
            <w:r>
              <w:rPr>
                <w:rFonts w:hint="eastAsia" w:ascii="宋体" w:hAnsi="宋体" w:eastAsia="宋体" w:cs="宋体"/>
                <w:b w:val="0"/>
                <w:bCs/>
                <w:color w:val="auto"/>
                <w:sz w:val="24"/>
                <w:szCs w:val="24"/>
                <w:lang w:val="zh-TW" w:eastAsia="zh-CN"/>
              </w:rPr>
              <w:t>，</w:t>
            </w:r>
            <w:r>
              <w:rPr>
                <w:rFonts w:hint="eastAsia" w:ascii="宋体" w:hAnsi="宋体" w:eastAsia="宋体" w:cs="宋体"/>
                <w:b w:val="0"/>
                <w:bCs/>
                <w:color w:val="auto"/>
                <w:sz w:val="24"/>
                <w:szCs w:val="24"/>
                <w:lang w:val="en-US" w:eastAsia="zh-CN"/>
              </w:rPr>
              <w:t xml:space="preserve"> 提供不全不得分。</w:t>
            </w:r>
          </w:p>
          <w:p w14:paraId="744FF9EB">
            <w:pPr>
              <w:spacing w:line="360" w:lineRule="exact"/>
              <w:rPr>
                <w:rFonts w:hint="eastAsia" w:ascii="宋体" w:hAnsi="宋体" w:eastAsia="宋体" w:cs="宋体"/>
                <w:color w:val="auto"/>
                <w:sz w:val="24"/>
                <w:szCs w:val="24"/>
                <w:lang w:eastAsia="zh-CN"/>
              </w:rPr>
            </w:pPr>
            <w:r>
              <w:rPr>
                <w:rFonts w:hint="eastAsia" w:ascii="宋体" w:hAnsi="宋体" w:eastAsia="宋体" w:cs="宋体"/>
                <w:b w:val="0"/>
                <w:bCs/>
                <w:color w:val="auto"/>
                <w:sz w:val="24"/>
                <w:szCs w:val="24"/>
                <w:lang w:val="en-US" w:eastAsia="zh-CN"/>
              </w:rPr>
              <w:t>【符合首台套政策（浙财采监〔2022〕8号），并提供纳入《省推广应用指导目录》的相关材料，业绩为满分。】</w:t>
            </w:r>
          </w:p>
        </w:tc>
        <w:tc>
          <w:tcPr>
            <w:tcW w:w="958" w:type="dxa"/>
            <w:noWrap w:val="0"/>
            <w:vAlign w:val="center"/>
          </w:tcPr>
          <w:p w14:paraId="1DB6A24D">
            <w:pPr>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3</w:t>
            </w:r>
          </w:p>
        </w:tc>
      </w:tr>
      <w:tr w14:paraId="42DCEF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72" w:type="dxa"/>
            <w:noWrap w:val="0"/>
            <w:vAlign w:val="center"/>
          </w:tcPr>
          <w:p w14:paraId="3B5D1259">
            <w:pPr>
              <w:adjustRightInd w:val="0"/>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cs="宋体"/>
                <w:b w:val="0"/>
                <w:bCs/>
                <w:snapToGrid w:val="0"/>
                <w:color w:val="auto"/>
                <w:sz w:val="24"/>
                <w:szCs w:val="24"/>
                <w:lang w:val="en-US" w:eastAsia="zh-CN"/>
              </w:rPr>
              <w:t>3</w:t>
            </w:r>
          </w:p>
        </w:tc>
        <w:tc>
          <w:tcPr>
            <w:tcW w:w="1364" w:type="dxa"/>
            <w:gridSpan w:val="3"/>
            <w:noWrap w:val="0"/>
            <w:vAlign w:val="top"/>
          </w:tcPr>
          <w:p w14:paraId="532328E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color w:val="auto"/>
                <w:sz w:val="24"/>
                <w:szCs w:val="24"/>
                <w:lang w:bidi="ar"/>
              </w:rPr>
            </w:pPr>
          </w:p>
          <w:p w14:paraId="77ADEB7D">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kern w:val="0"/>
                <w:sz w:val="24"/>
                <w:szCs w:val="24"/>
              </w:rPr>
            </w:pPr>
            <w:r>
              <w:rPr>
                <w:rFonts w:hint="eastAsia" w:ascii="宋体" w:hAnsi="宋体" w:eastAsia="宋体" w:cs="宋体"/>
                <w:b w:val="0"/>
                <w:bCs/>
                <w:color w:val="auto"/>
                <w:sz w:val="24"/>
                <w:szCs w:val="24"/>
                <w:lang w:eastAsia="zh-CN"/>
              </w:rPr>
              <w:t>技术参数</w:t>
            </w:r>
          </w:p>
        </w:tc>
        <w:tc>
          <w:tcPr>
            <w:tcW w:w="6265" w:type="dxa"/>
            <w:noWrap w:val="0"/>
            <w:vAlign w:val="top"/>
          </w:tcPr>
          <w:p w14:paraId="64D4E756">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color w:val="auto"/>
                <w:sz w:val="24"/>
                <w:szCs w:val="24"/>
                <w:highlight w:val="none"/>
              </w:rPr>
              <w:t>根据投标人提供的技术参数</w:t>
            </w:r>
            <w:r>
              <w:rPr>
                <w:rFonts w:hint="eastAsia" w:ascii="宋体" w:hAnsi="宋体" w:eastAsia="宋体" w:cs="宋体"/>
                <w:b w:val="0"/>
                <w:color w:val="auto"/>
                <w:sz w:val="24"/>
                <w:szCs w:val="24"/>
                <w:highlight w:val="none"/>
                <w:lang w:val="en-US" w:eastAsia="zh-CN"/>
              </w:rPr>
              <w:t>和基本</w:t>
            </w:r>
            <w:r>
              <w:rPr>
                <w:rFonts w:hint="eastAsia" w:ascii="宋体" w:hAnsi="宋体" w:eastAsia="宋体" w:cs="宋体"/>
                <w:b w:val="0"/>
                <w:color w:val="auto"/>
                <w:sz w:val="24"/>
                <w:szCs w:val="24"/>
                <w:highlight w:val="none"/>
              </w:rPr>
              <w:t>功能进行</w:t>
            </w:r>
            <w:r>
              <w:rPr>
                <w:rFonts w:hint="eastAsia" w:ascii="宋体" w:hAnsi="宋体" w:eastAsia="宋体" w:cs="宋体"/>
                <w:b w:val="0"/>
                <w:color w:val="auto"/>
                <w:sz w:val="24"/>
                <w:szCs w:val="24"/>
                <w:highlight w:val="none"/>
                <w:lang w:val="en-US" w:eastAsia="zh-CN"/>
              </w:rPr>
              <w:t>评审</w:t>
            </w:r>
            <w:r>
              <w:rPr>
                <w:rFonts w:hint="eastAsia" w:ascii="宋体" w:hAnsi="宋体" w:eastAsia="宋体" w:cs="宋体"/>
                <w:b w:val="0"/>
                <w:color w:val="auto"/>
                <w:sz w:val="24"/>
                <w:szCs w:val="24"/>
                <w:highlight w:val="none"/>
              </w:rPr>
              <w:t>，技术参数</w:t>
            </w:r>
            <w:r>
              <w:rPr>
                <w:rFonts w:hint="eastAsia" w:ascii="宋体" w:hAnsi="宋体" w:eastAsia="宋体" w:cs="宋体"/>
                <w:b w:val="0"/>
                <w:color w:val="auto"/>
                <w:sz w:val="24"/>
                <w:szCs w:val="24"/>
                <w:highlight w:val="none"/>
                <w:lang w:val="en-US" w:eastAsia="zh-CN"/>
              </w:rPr>
              <w:t>和基本</w:t>
            </w:r>
            <w:r>
              <w:rPr>
                <w:rFonts w:hint="eastAsia" w:ascii="宋体" w:hAnsi="宋体" w:eastAsia="宋体" w:cs="宋体"/>
                <w:b w:val="0"/>
                <w:color w:val="auto"/>
                <w:sz w:val="24"/>
                <w:szCs w:val="24"/>
                <w:highlight w:val="none"/>
              </w:rPr>
              <w:t>功能完全符合招标要求得</w:t>
            </w:r>
            <w:r>
              <w:rPr>
                <w:rFonts w:hint="eastAsia" w:ascii="宋体" w:hAnsi="宋体" w:eastAsia="宋体" w:cs="宋体"/>
                <w:b w:val="0"/>
                <w:color w:val="auto"/>
                <w:sz w:val="24"/>
                <w:szCs w:val="24"/>
                <w:highlight w:val="none"/>
                <w:lang w:val="en-US" w:eastAsia="zh-CN"/>
              </w:rPr>
              <w:t>15</w:t>
            </w:r>
            <w:r>
              <w:rPr>
                <w:rFonts w:hint="eastAsia" w:ascii="宋体" w:hAnsi="宋体" w:eastAsia="宋体" w:cs="宋体"/>
                <w:b w:val="0"/>
                <w:color w:val="auto"/>
                <w:sz w:val="24"/>
                <w:szCs w:val="24"/>
                <w:highlight w:val="none"/>
              </w:rPr>
              <w:t>分</w:t>
            </w:r>
            <w:r>
              <w:rPr>
                <w:rFonts w:hint="eastAsia" w:ascii="宋体" w:hAnsi="宋体" w:eastAsia="宋体" w:cs="宋体"/>
                <w:b w:val="0"/>
                <w:color w:val="auto"/>
                <w:sz w:val="24"/>
                <w:szCs w:val="24"/>
                <w:highlight w:val="none"/>
                <w:lang w:eastAsia="zh-CN"/>
              </w:rPr>
              <w:t>，</w:t>
            </w:r>
            <w:r>
              <w:rPr>
                <w:rFonts w:hint="eastAsia" w:ascii="宋体" w:hAnsi="宋体" w:eastAsia="宋体" w:cs="宋体"/>
                <w:b w:val="0"/>
                <w:color w:val="auto"/>
                <w:sz w:val="24"/>
                <w:szCs w:val="24"/>
                <w:highlight w:val="none"/>
              </w:rPr>
              <w:t>每负偏</w:t>
            </w:r>
            <w:r>
              <w:rPr>
                <w:rFonts w:hint="eastAsia" w:ascii="宋体" w:hAnsi="宋体" w:eastAsia="宋体" w:cs="宋体"/>
                <w:b w:val="0"/>
                <w:bCs/>
                <w:color w:val="auto"/>
                <w:sz w:val="24"/>
                <w:szCs w:val="24"/>
                <w:highlight w:val="none"/>
              </w:rPr>
              <w:t>离</w:t>
            </w:r>
            <w:r>
              <w:rPr>
                <w:rFonts w:hint="eastAsia" w:ascii="宋体" w:hAnsi="宋体" w:eastAsia="宋体" w:cs="宋体"/>
                <w:b w:val="0"/>
                <w:bCs/>
                <w:color w:val="auto"/>
                <w:sz w:val="24"/>
                <w:szCs w:val="24"/>
                <w:highlight w:val="none"/>
                <w:lang w:val="en-US" w:eastAsia="zh-CN"/>
              </w:rPr>
              <w:t>一条</w:t>
            </w:r>
            <w:r>
              <w:rPr>
                <w:rFonts w:hint="eastAsia" w:ascii="宋体" w:hAnsi="宋体" w:eastAsia="宋体" w:cs="宋体"/>
                <w:b w:val="0"/>
                <w:bCs/>
                <w:color w:val="auto"/>
                <w:sz w:val="24"/>
                <w:szCs w:val="24"/>
                <w:highlight w:val="none"/>
              </w:rPr>
              <w:t>的每</w:t>
            </w:r>
            <w:r>
              <w:rPr>
                <w:rFonts w:hint="eastAsia" w:ascii="宋体" w:hAnsi="宋体" w:eastAsia="宋体" w:cs="宋体"/>
                <w:b w:val="0"/>
                <w:color w:val="auto"/>
                <w:sz w:val="24"/>
                <w:szCs w:val="24"/>
                <w:highlight w:val="none"/>
              </w:rPr>
              <w:t>项扣1分</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扣完为止。</w:t>
            </w:r>
          </w:p>
        </w:tc>
        <w:tc>
          <w:tcPr>
            <w:tcW w:w="958" w:type="dxa"/>
            <w:noWrap w:val="0"/>
            <w:vAlign w:val="center"/>
          </w:tcPr>
          <w:p w14:paraId="71F79D03">
            <w:pPr>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15</w:t>
            </w:r>
          </w:p>
        </w:tc>
      </w:tr>
      <w:tr w14:paraId="50C5DE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3" w:hRule="atLeast"/>
          <w:jc w:val="center"/>
        </w:trPr>
        <w:tc>
          <w:tcPr>
            <w:tcW w:w="572" w:type="dxa"/>
            <w:vMerge w:val="restart"/>
            <w:noWrap w:val="0"/>
            <w:vAlign w:val="center"/>
          </w:tcPr>
          <w:p w14:paraId="13D70D48">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4</w:t>
            </w:r>
          </w:p>
        </w:tc>
        <w:tc>
          <w:tcPr>
            <w:tcW w:w="506" w:type="dxa"/>
            <w:vMerge w:val="restart"/>
            <w:noWrap w:val="0"/>
            <w:vAlign w:val="center"/>
          </w:tcPr>
          <w:p w14:paraId="13C57CE3">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rPr>
            </w:pPr>
          </w:p>
          <w:p w14:paraId="45DC52D4">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主要部件配置</w:t>
            </w:r>
          </w:p>
          <w:p w14:paraId="02B40A12">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color w:val="auto"/>
                <w:sz w:val="24"/>
                <w:szCs w:val="24"/>
              </w:rPr>
            </w:pPr>
          </w:p>
          <w:p w14:paraId="11C1A47E">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color w:val="auto"/>
                <w:sz w:val="24"/>
                <w:szCs w:val="24"/>
              </w:rPr>
            </w:pPr>
          </w:p>
        </w:tc>
        <w:tc>
          <w:tcPr>
            <w:tcW w:w="858" w:type="dxa"/>
            <w:gridSpan w:val="2"/>
            <w:noWrap w:val="0"/>
            <w:vAlign w:val="center"/>
          </w:tcPr>
          <w:p w14:paraId="12A5ECB7">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曳引</w:t>
            </w:r>
            <w:r>
              <w:rPr>
                <w:rFonts w:hint="eastAsia" w:ascii="宋体" w:hAnsi="宋体" w:eastAsia="宋体" w:cs="宋体"/>
                <w:b w:val="0"/>
                <w:bCs/>
                <w:color w:val="auto"/>
                <w:sz w:val="24"/>
                <w:szCs w:val="24"/>
                <w:lang w:val="en-US" w:eastAsia="zh-CN"/>
              </w:rPr>
              <w:t>机系统</w:t>
            </w:r>
          </w:p>
        </w:tc>
        <w:tc>
          <w:tcPr>
            <w:tcW w:w="6265" w:type="dxa"/>
            <w:noWrap w:val="0"/>
            <w:vAlign w:val="center"/>
          </w:tcPr>
          <w:p w14:paraId="1E67AEB0">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根据所投电梯</w:t>
            </w:r>
            <w:r>
              <w:rPr>
                <w:rFonts w:hint="eastAsia" w:ascii="宋体" w:hAnsi="宋体" w:eastAsia="宋体" w:cs="宋体"/>
                <w:b w:val="0"/>
                <w:bCs/>
                <w:color w:val="auto"/>
                <w:sz w:val="24"/>
                <w:szCs w:val="24"/>
              </w:rPr>
              <w:t>曳引</w:t>
            </w:r>
            <w:r>
              <w:rPr>
                <w:rFonts w:hint="eastAsia" w:ascii="宋体" w:hAnsi="宋体" w:eastAsia="宋体" w:cs="宋体"/>
                <w:b w:val="0"/>
                <w:bCs/>
                <w:color w:val="auto"/>
                <w:sz w:val="24"/>
                <w:szCs w:val="24"/>
                <w:lang w:val="en-US" w:eastAsia="zh-CN"/>
              </w:rPr>
              <w:t>机</w:t>
            </w:r>
            <w:r>
              <w:rPr>
                <w:rFonts w:hint="eastAsia" w:ascii="宋体" w:hAnsi="宋体" w:eastAsia="宋体" w:cs="宋体"/>
                <w:color w:val="auto"/>
                <w:sz w:val="24"/>
                <w:szCs w:val="24"/>
                <w:lang w:val="en-US" w:eastAsia="zh-CN"/>
              </w:rPr>
              <w:t>的综合性能配置的先进性、可靠性、使用寿命等指标</w:t>
            </w:r>
            <w:r>
              <w:rPr>
                <w:rFonts w:hint="eastAsia" w:ascii="宋体" w:hAnsi="宋体" w:eastAsia="宋体" w:cs="宋体"/>
                <w:b w:val="0"/>
                <w:bCs/>
                <w:color w:val="auto"/>
                <w:sz w:val="24"/>
                <w:szCs w:val="24"/>
              </w:rPr>
              <w:t>综合评分</w:t>
            </w:r>
            <w:r>
              <w:rPr>
                <w:rFonts w:hint="eastAsia" w:ascii="宋体" w:hAnsi="宋体" w:eastAsia="宋体" w:cs="宋体"/>
                <w:b w:val="0"/>
                <w:bCs/>
                <w:color w:val="auto"/>
                <w:sz w:val="24"/>
                <w:szCs w:val="24"/>
                <w:lang w:val="en-US" w:eastAsia="zh-CN"/>
              </w:rPr>
              <w:t>，评分范围（6、5、4、3、2、1、0分）。</w:t>
            </w:r>
          </w:p>
          <w:p w14:paraId="41B4362F">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lang w:eastAsia="zh-CN"/>
              </w:rPr>
            </w:pPr>
            <w:r>
              <w:rPr>
                <w:rFonts w:hint="eastAsia" w:ascii="宋体" w:hAnsi="宋体" w:eastAsia="宋体" w:cs="宋体"/>
                <w:b/>
                <w:bCs w:val="0"/>
                <w:color w:val="auto"/>
                <w:sz w:val="24"/>
                <w:szCs w:val="24"/>
                <w:lang w:eastAsia="zh-CN"/>
              </w:rPr>
              <w:t>注：提供</w:t>
            </w:r>
            <w:r>
              <w:rPr>
                <w:rFonts w:hint="eastAsia" w:ascii="宋体" w:hAnsi="宋体" w:eastAsia="宋体" w:cs="宋体"/>
                <w:b/>
                <w:bCs w:val="0"/>
                <w:color w:val="auto"/>
                <w:sz w:val="24"/>
                <w:szCs w:val="24"/>
                <w:lang w:val="en-US" w:eastAsia="zh-CN"/>
              </w:rPr>
              <w:t>上述相关</w:t>
            </w:r>
            <w:r>
              <w:rPr>
                <w:rFonts w:hint="eastAsia" w:ascii="宋体" w:hAnsi="宋体" w:eastAsia="宋体" w:cs="宋体"/>
                <w:b/>
                <w:bCs w:val="0"/>
                <w:color w:val="auto"/>
                <w:sz w:val="24"/>
                <w:szCs w:val="24"/>
                <w:lang w:eastAsia="zh-CN"/>
              </w:rPr>
              <w:t>证明</w:t>
            </w:r>
            <w:r>
              <w:rPr>
                <w:rFonts w:hint="eastAsia" w:ascii="宋体" w:hAnsi="宋体" w:eastAsia="宋体" w:cs="宋体"/>
                <w:b/>
                <w:bCs w:val="0"/>
                <w:color w:val="auto"/>
                <w:sz w:val="24"/>
                <w:szCs w:val="24"/>
                <w:lang w:val="en-US" w:eastAsia="zh-CN"/>
              </w:rPr>
              <w:t>或者型式试验报告</w:t>
            </w:r>
            <w:r>
              <w:rPr>
                <w:rFonts w:hint="eastAsia" w:ascii="宋体" w:hAnsi="宋体" w:eastAsia="宋体" w:cs="宋体"/>
                <w:b/>
                <w:bCs w:val="0"/>
                <w:color w:val="auto"/>
                <w:sz w:val="24"/>
                <w:szCs w:val="24"/>
                <w:lang w:eastAsia="zh-CN"/>
              </w:rPr>
              <w:t>复印件加盖公章，</w:t>
            </w:r>
            <w:r>
              <w:rPr>
                <w:rFonts w:hint="eastAsia" w:ascii="宋体" w:hAnsi="宋体" w:eastAsia="宋体" w:cs="宋体"/>
                <w:b/>
                <w:bCs w:val="0"/>
                <w:color w:val="auto"/>
                <w:sz w:val="24"/>
                <w:szCs w:val="24"/>
                <w:lang w:val="en-US" w:eastAsia="zh-CN"/>
              </w:rPr>
              <w:t>否则</w:t>
            </w:r>
            <w:r>
              <w:rPr>
                <w:rFonts w:hint="eastAsia" w:ascii="宋体" w:hAnsi="宋体" w:eastAsia="宋体" w:cs="宋体"/>
                <w:b/>
                <w:bCs w:val="0"/>
                <w:color w:val="auto"/>
                <w:sz w:val="24"/>
                <w:szCs w:val="24"/>
              </w:rPr>
              <w:t>不得分</w:t>
            </w:r>
            <w:r>
              <w:rPr>
                <w:rFonts w:hint="eastAsia" w:ascii="宋体" w:hAnsi="宋体" w:eastAsia="宋体" w:cs="宋体"/>
                <w:b/>
                <w:bCs w:val="0"/>
                <w:color w:val="auto"/>
                <w:sz w:val="24"/>
                <w:szCs w:val="24"/>
                <w:lang w:eastAsia="zh-CN"/>
              </w:rPr>
              <w:t>。</w:t>
            </w:r>
          </w:p>
        </w:tc>
        <w:tc>
          <w:tcPr>
            <w:tcW w:w="958" w:type="dxa"/>
            <w:noWrap w:val="0"/>
            <w:vAlign w:val="center"/>
          </w:tcPr>
          <w:p w14:paraId="086D93AA">
            <w:pPr>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cs="宋体"/>
                <w:b w:val="0"/>
                <w:bCs/>
                <w:snapToGrid w:val="0"/>
                <w:color w:val="auto"/>
                <w:sz w:val="24"/>
                <w:szCs w:val="24"/>
                <w:lang w:val="en-US" w:eastAsia="zh-CN"/>
              </w:rPr>
              <w:t>6</w:t>
            </w:r>
          </w:p>
        </w:tc>
      </w:tr>
      <w:tr w14:paraId="016E7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72" w:type="dxa"/>
            <w:vMerge w:val="continue"/>
            <w:noWrap w:val="0"/>
            <w:vAlign w:val="center"/>
          </w:tcPr>
          <w:p w14:paraId="1157AEDC">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val="0"/>
                <w:bCs/>
                <w:snapToGrid w:val="0"/>
                <w:color w:val="auto"/>
                <w:sz w:val="24"/>
                <w:szCs w:val="24"/>
                <w:lang w:val="en-US" w:eastAsia="zh-CN"/>
              </w:rPr>
            </w:pPr>
          </w:p>
        </w:tc>
        <w:tc>
          <w:tcPr>
            <w:tcW w:w="506" w:type="dxa"/>
            <w:vMerge w:val="continue"/>
            <w:noWrap w:val="0"/>
            <w:vAlign w:val="center"/>
          </w:tcPr>
          <w:p w14:paraId="5C1EEDAB">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rPr>
            </w:pPr>
          </w:p>
        </w:tc>
        <w:tc>
          <w:tcPr>
            <w:tcW w:w="858" w:type="dxa"/>
            <w:gridSpan w:val="2"/>
            <w:noWrap w:val="0"/>
            <w:vAlign w:val="center"/>
          </w:tcPr>
          <w:p w14:paraId="77623403">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控制</w:t>
            </w:r>
          </w:p>
          <w:p w14:paraId="25EFB729">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系统</w:t>
            </w:r>
          </w:p>
        </w:tc>
        <w:tc>
          <w:tcPr>
            <w:tcW w:w="6265" w:type="dxa"/>
            <w:noWrap w:val="0"/>
            <w:vAlign w:val="center"/>
          </w:tcPr>
          <w:p w14:paraId="0CACD6C0">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根据所投电梯控制柜的综合性能配置的先进性、可靠性、使用寿命等指标</w:t>
            </w:r>
            <w:r>
              <w:rPr>
                <w:rFonts w:hint="eastAsia" w:ascii="宋体" w:hAnsi="宋体" w:eastAsia="宋体" w:cs="宋体"/>
                <w:b w:val="0"/>
                <w:bCs/>
                <w:color w:val="auto"/>
                <w:sz w:val="24"/>
                <w:szCs w:val="24"/>
              </w:rPr>
              <w:t>综合评分</w:t>
            </w:r>
            <w:r>
              <w:rPr>
                <w:rFonts w:hint="eastAsia" w:ascii="宋体" w:hAnsi="宋体" w:eastAsia="宋体" w:cs="宋体"/>
                <w:b w:val="0"/>
                <w:bCs/>
                <w:color w:val="auto"/>
                <w:sz w:val="24"/>
                <w:szCs w:val="24"/>
                <w:lang w:val="en-US" w:eastAsia="zh-CN"/>
              </w:rPr>
              <w:t>，评分范围（6、5、4、3、2、1、0分）。</w:t>
            </w:r>
            <w:r>
              <w:rPr>
                <w:rFonts w:hint="eastAsia" w:ascii="宋体" w:hAnsi="宋体" w:eastAsia="宋体" w:cs="宋体"/>
                <w:b/>
                <w:bCs w:val="0"/>
                <w:color w:val="auto"/>
                <w:sz w:val="24"/>
                <w:szCs w:val="24"/>
                <w:highlight w:val="none"/>
                <w:lang w:eastAsia="zh-CN"/>
              </w:rPr>
              <w:t>注</w:t>
            </w:r>
            <w:r>
              <w:rPr>
                <w:rFonts w:hint="eastAsia" w:ascii="宋体" w:hAnsi="宋体" w:eastAsia="宋体" w:cs="宋体"/>
                <w:b/>
                <w:bCs w:val="0"/>
                <w:color w:val="auto"/>
                <w:sz w:val="24"/>
                <w:szCs w:val="24"/>
                <w:lang w:eastAsia="zh-CN"/>
              </w:rPr>
              <w:t>：提供</w:t>
            </w:r>
            <w:r>
              <w:rPr>
                <w:rFonts w:hint="eastAsia" w:ascii="宋体" w:hAnsi="宋体" w:eastAsia="宋体" w:cs="宋体"/>
                <w:b/>
                <w:bCs w:val="0"/>
                <w:color w:val="auto"/>
                <w:sz w:val="24"/>
                <w:szCs w:val="24"/>
                <w:lang w:val="en-US" w:eastAsia="zh-CN"/>
              </w:rPr>
              <w:t>上述相关</w:t>
            </w:r>
            <w:r>
              <w:rPr>
                <w:rFonts w:hint="eastAsia" w:ascii="宋体" w:hAnsi="宋体" w:eastAsia="宋体" w:cs="宋体"/>
                <w:b/>
                <w:bCs w:val="0"/>
                <w:color w:val="auto"/>
                <w:sz w:val="24"/>
                <w:szCs w:val="24"/>
                <w:lang w:eastAsia="zh-CN"/>
              </w:rPr>
              <w:t>证明</w:t>
            </w:r>
            <w:r>
              <w:rPr>
                <w:rFonts w:hint="eastAsia" w:ascii="宋体" w:hAnsi="宋体" w:eastAsia="宋体" w:cs="宋体"/>
                <w:b/>
                <w:bCs w:val="0"/>
                <w:color w:val="auto"/>
                <w:sz w:val="24"/>
                <w:szCs w:val="24"/>
                <w:lang w:val="en-US" w:eastAsia="zh-CN"/>
              </w:rPr>
              <w:t>或者型式试验报告</w:t>
            </w:r>
            <w:r>
              <w:rPr>
                <w:rFonts w:hint="eastAsia" w:ascii="宋体" w:hAnsi="宋体" w:eastAsia="宋体" w:cs="宋体"/>
                <w:b/>
                <w:bCs w:val="0"/>
                <w:color w:val="auto"/>
                <w:sz w:val="24"/>
                <w:szCs w:val="24"/>
                <w:lang w:eastAsia="zh-CN"/>
              </w:rPr>
              <w:t>复印件加盖公章，</w:t>
            </w:r>
            <w:r>
              <w:rPr>
                <w:rFonts w:hint="eastAsia" w:ascii="宋体" w:hAnsi="宋体" w:eastAsia="宋体" w:cs="宋体"/>
                <w:b/>
                <w:bCs w:val="0"/>
                <w:color w:val="auto"/>
                <w:sz w:val="24"/>
                <w:szCs w:val="24"/>
                <w:lang w:val="en-US" w:eastAsia="zh-CN"/>
              </w:rPr>
              <w:t>否则</w:t>
            </w:r>
            <w:r>
              <w:rPr>
                <w:rFonts w:hint="eastAsia" w:ascii="宋体" w:hAnsi="宋体" w:eastAsia="宋体" w:cs="宋体"/>
                <w:b/>
                <w:bCs w:val="0"/>
                <w:color w:val="auto"/>
                <w:sz w:val="24"/>
                <w:szCs w:val="24"/>
              </w:rPr>
              <w:t>不得分</w:t>
            </w:r>
            <w:r>
              <w:rPr>
                <w:rFonts w:hint="eastAsia" w:ascii="宋体" w:hAnsi="宋体" w:eastAsia="宋体" w:cs="宋体"/>
                <w:b/>
                <w:bCs w:val="0"/>
                <w:color w:val="auto"/>
                <w:sz w:val="24"/>
                <w:szCs w:val="24"/>
                <w:lang w:eastAsia="zh-CN"/>
              </w:rPr>
              <w:t>。</w:t>
            </w:r>
          </w:p>
        </w:tc>
        <w:tc>
          <w:tcPr>
            <w:tcW w:w="958" w:type="dxa"/>
            <w:noWrap w:val="0"/>
            <w:vAlign w:val="center"/>
          </w:tcPr>
          <w:p w14:paraId="6C73C20E">
            <w:pPr>
              <w:snapToGrid w:val="0"/>
              <w:spacing w:line="440" w:lineRule="exact"/>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6</w:t>
            </w:r>
          </w:p>
        </w:tc>
      </w:tr>
      <w:tr w14:paraId="301958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572" w:type="dxa"/>
            <w:vMerge w:val="continue"/>
            <w:noWrap w:val="0"/>
            <w:vAlign w:val="center"/>
          </w:tcPr>
          <w:p w14:paraId="26A9B89D">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val="0"/>
                <w:bCs/>
                <w:snapToGrid w:val="0"/>
                <w:color w:val="auto"/>
                <w:sz w:val="24"/>
                <w:szCs w:val="24"/>
                <w:lang w:val="en-US" w:eastAsia="zh-CN"/>
              </w:rPr>
            </w:pPr>
          </w:p>
        </w:tc>
        <w:tc>
          <w:tcPr>
            <w:tcW w:w="506" w:type="dxa"/>
            <w:vMerge w:val="continue"/>
            <w:noWrap w:val="0"/>
            <w:vAlign w:val="center"/>
          </w:tcPr>
          <w:p w14:paraId="57FB586D">
            <w:pPr>
              <w:keepNext w:val="0"/>
              <w:keepLines w:val="0"/>
              <w:pageBreakBefore w:val="0"/>
              <w:widowControl w:val="0"/>
              <w:kinsoku/>
              <w:wordWrap/>
              <w:overflowPunct/>
              <w:topLinePunct w:val="0"/>
              <w:autoSpaceDE/>
              <w:autoSpaceDN/>
              <w:bidi w:val="0"/>
              <w:spacing w:line="380" w:lineRule="exact"/>
              <w:jc w:val="center"/>
              <w:textAlignment w:val="auto"/>
              <w:rPr>
                <w:rFonts w:hint="eastAsia" w:ascii="宋体" w:hAnsi="宋体" w:eastAsia="宋体" w:cs="宋体"/>
                <w:b w:val="0"/>
                <w:bCs/>
                <w:color w:val="auto"/>
                <w:sz w:val="24"/>
                <w:szCs w:val="24"/>
              </w:rPr>
            </w:pPr>
          </w:p>
        </w:tc>
        <w:tc>
          <w:tcPr>
            <w:tcW w:w="858" w:type="dxa"/>
            <w:gridSpan w:val="2"/>
            <w:noWrap w:val="0"/>
            <w:vAlign w:val="center"/>
          </w:tcPr>
          <w:p w14:paraId="3F98927E">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门机系统</w:t>
            </w:r>
          </w:p>
        </w:tc>
        <w:tc>
          <w:tcPr>
            <w:tcW w:w="6265" w:type="dxa"/>
            <w:noWrap w:val="0"/>
            <w:vAlign w:val="center"/>
          </w:tcPr>
          <w:p w14:paraId="42B07FFA">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根据所投电梯</w:t>
            </w:r>
            <w:r>
              <w:rPr>
                <w:rFonts w:hint="eastAsia" w:ascii="宋体" w:hAnsi="宋体" w:eastAsia="宋体" w:cs="宋体"/>
                <w:color w:val="auto"/>
                <w:sz w:val="24"/>
                <w:szCs w:val="24"/>
                <w:highlight w:val="none"/>
                <w:lang w:val="en-US" w:eastAsia="zh-CN"/>
              </w:rPr>
              <w:t>门机</w:t>
            </w:r>
            <w:r>
              <w:rPr>
                <w:rFonts w:hint="eastAsia" w:ascii="宋体" w:hAnsi="宋体" w:eastAsia="宋体" w:cs="宋体"/>
                <w:color w:val="auto"/>
                <w:sz w:val="24"/>
                <w:szCs w:val="24"/>
                <w:lang w:val="en-US" w:eastAsia="zh-CN"/>
              </w:rPr>
              <w:t>的综合性能配置的先进性、可靠性、使用寿命等指标</w:t>
            </w:r>
            <w:r>
              <w:rPr>
                <w:rFonts w:hint="eastAsia" w:ascii="宋体" w:hAnsi="宋体" w:eastAsia="宋体" w:cs="宋体"/>
                <w:b w:val="0"/>
                <w:bCs/>
                <w:color w:val="auto"/>
                <w:sz w:val="24"/>
                <w:szCs w:val="24"/>
              </w:rPr>
              <w:t>综合评分</w:t>
            </w:r>
            <w:r>
              <w:rPr>
                <w:rFonts w:hint="eastAsia" w:ascii="宋体" w:hAnsi="宋体" w:eastAsia="宋体" w:cs="宋体"/>
                <w:b w:val="0"/>
                <w:bCs/>
                <w:color w:val="auto"/>
                <w:sz w:val="24"/>
                <w:szCs w:val="24"/>
                <w:lang w:val="en-US" w:eastAsia="zh-CN"/>
              </w:rPr>
              <w:t>，评分范围（6、5、4、3、2、1、0分）。</w:t>
            </w:r>
            <w:r>
              <w:rPr>
                <w:rFonts w:hint="eastAsia" w:ascii="宋体" w:hAnsi="宋体" w:eastAsia="宋体" w:cs="宋体"/>
                <w:b/>
                <w:bCs w:val="0"/>
                <w:color w:val="auto"/>
                <w:sz w:val="24"/>
                <w:szCs w:val="24"/>
                <w:highlight w:val="none"/>
                <w:lang w:eastAsia="zh-CN"/>
              </w:rPr>
              <w:t>注：</w:t>
            </w:r>
            <w:r>
              <w:rPr>
                <w:rFonts w:hint="eastAsia" w:ascii="宋体" w:hAnsi="宋体" w:eastAsia="宋体" w:cs="宋体"/>
                <w:b/>
                <w:bCs w:val="0"/>
                <w:color w:val="auto"/>
                <w:sz w:val="24"/>
                <w:szCs w:val="24"/>
                <w:lang w:eastAsia="zh-CN"/>
              </w:rPr>
              <w:t>提供</w:t>
            </w:r>
            <w:r>
              <w:rPr>
                <w:rFonts w:hint="eastAsia" w:ascii="宋体" w:hAnsi="宋体" w:eastAsia="宋体" w:cs="宋体"/>
                <w:b/>
                <w:bCs w:val="0"/>
                <w:color w:val="auto"/>
                <w:sz w:val="24"/>
                <w:szCs w:val="24"/>
                <w:lang w:val="en-US" w:eastAsia="zh-CN"/>
              </w:rPr>
              <w:t>上述相关</w:t>
            </w:r>
            <w:r>
              <w:rPr>
                <w:rFonts w:hint="eastAsia" w:ascii="宋体" w:hAnsi="宋体" w:eastAsia="宋体" w:cs="宋体"/>
                <w:b/>
                <w:bCs w:val="0"/>
                <w:color w:val="auto"/>
                <w:sz w:val="24"/>
                <w:szCs w:val="24"/>
                <w:lang w:eastAsia="zh-CN"/>
              </w:rPr>
              <w:t>证明</w:t>
            </w:r>
            <w:r>
              <w:rPr>
                <w:rFonts w:hint="eastAsia" w:ascii="宋体" w:hAnsi="宋体" w:eastAsia="宋体" w:cs="宋体"/>
                <w:b/>
                <w:bCs w:val="0"/>
                <w:color w:val="auto"/>
                <w:sz w:val="24"/>
                <w:szCs w:val="24"/>
                <w:lang w:val="en-US" w:eastAsia="zh-CN"/>
              </w:rPr>
              <w:t>或者型式试验报告</w:t>
            </w:r>
            <w:r>
              <w:rPr>
                <w:rFonts w:hint="eastAsia" w:ascii="宋体" w:hAnsi="宋体" w:eastAsia="宋体" w:cs="宋体"/>
                <w:b/>
                <w:bCs w:val="0"/>
                <w:color w:val="auto"/>
                <w:sz w:val="24"/>
                <w:szCs w:val="24"/>
                <w:lang w:eastAsia="zh-CN"/>
              </w:rPr>
              <w:t>复印件加盖公章，</w:t>
            </w:r>
            <w:r>
              <w:rPr>
                <w:rFonts w:hint="eastAsia" w:ascii="宋体" w:hAnsi="宋体" w:eastAsia="宋体" w:cs="宋体"/>
                <w:b/>
                <w:bCs w:val="0"/>
                <w:color w:val="auto"/>
                <w:sz w:val="24"/>
                <w:szCs w:val="24"/>
                <w:lang w:val="en-US" w:eastAsia="zh-CN"/>
              </w:rPr>
              <w:t>否则</w:t>
            </w:r>
            <w:r>
              <w:rPr>
                <w:rFonts w:hint="eastAsia" w:ascii="宋体" w:hAnsi="宋体" w:eastAsia="宋体" w:cs="宋体"/>
                <w:b/>
                <w:bCs w:val="0"/>
                <w:color w:val="auto"/>
                <w:sz w:val="24"/>
                <w:szCs w:val="24"/>
              </w:rPr>
              <w:t>不得分</w:t>
            </w:r>
            <w:r>
              <w:rPr>
                <w:rFonts w:hint="eastAsia" w:ascii="宋体" w:hAnsi="宋体" w:eastAsia="宋体" w:cs="宋体"/>
                <w:b/>
                <w:bCs w:val="0"/>
                <w:color w:val="auto"/>
                <w:sz w:val="24"/>
                <w:szCs w:val="24"/>
                <w:lang w:eastAsia="zh-CN"/>
              </w:rPr>
              <w:t>。</w:t>
            </w:r>
          </w:p>
        </w:tc>
        <w:tc>
          <w:tcPr>
            <w:tcW w:w="958" w:type="dxa"/>
            <w:noWrap w:val="0"/>
            <w:vAlign w:val="center"/>
          </w:tcPr>
          <w:p w14:paraId="4CBAB1AC">
            <w:pPr>
              <w:snapToGrid w:val="0"/>
              <w:spacing w:line="440" w:lineRule="exact"/>
              <w:jc w:val="center"/>
              <w:rPr>
                <w:rFonts w:hint="eastAsia"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6</w:t>
            </w:r>
          </w:p>
        </w:tc>
      </w:tr>
      <w:tr w14:paraId="47FE81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2" w:type="dxa"/>
            <w:vMerge w:val="continue"/>
            <w:noWrap w:val="0"/>
            <w:vAlign w:val="center"/>
          </w:tcPr>
          <w:p w14:paraId="23EC886E">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rPr>
                <w:rFonts w:hint="eastAsia" w:ascii="宋体" w:hAnsi="宋体" w:eastAsia="宋体" w:cs="宋体"/>
                <w:b w:val="0"/>
                <w:bCs/>
                <w:snapToGrid w:val="0"/>
                <w:color w:val="auto"/>
                <w:sz w:val="24"/>
                <w:szCs w:val="24"/>
                <w:lang w:val="en-US" w:eastAsia="zh-CN"/>
              </w:rPr>
            </w:pPr>
          </w:p>
        </w:tc>
        <w:tc>
          <w:tcPr>
            <w:tcW w:w="506" w:type="dxa"/>
            <w:vMerge w:val="continue"/>
            <w:noWrap w:val="0"/>
            <w:vAlign w:val="center"/>
          </w:tcPr>
          <w:p w14:paraId="6C185A79">
            <w:pPr>
              <w:keepNext w:val="0"/>
              <w:keepLines w:val="0"/>
              <w:pageBreakBefore w:val="0"/>
              <w:widowControl w:val="0"/>
              <w:kinsoku/>
              <w:wordWrap/>
              <w:overflowPunct/>
              <w:topLinePunct w:val="0"/>
              <w:autoSpaceDE/>
              <w:autoSpaceDN/>
              <w:bidi w:val="0"/>
              <w:spacing w:line="380" w:lineRule="exact"/>
              <w:textAlignment w:val="auto"/>
              <w:rPr>
                <w:rFonts w:hint="eastAsia" w:ascii="宋体" w:hAnsi="宋体" w:eastAsia="宋体" w:cs="宋体"/>
                <w:b w:val="0"/>
                <w:bCs/>
                <w:color w:val="auto"/>
                <w:sz w:val="24"/>
                <w:szCs w:val="24"/>
              </w:rPr>
            </w:pPr>
          </w:p>
        </w:tc>
        <w:tc>
          <w:tcPr>
            <w:tcW w:w="858" w:type="dxa"/>
            <w:gridSpan w:val="2"/>
            <w:noWrap w:val="0"/>
            <w:vAlign w:val="center"/>
          </w:tcPr>
          <w:p w14:paraId="79CD4F35">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安全</w:t>
            </w:r>
            <w:r>
              <w:rPr>
                <w:rFonts w:hint="eastAsia" w:ascii="宋体" w:hAnsi="宋体" w:eastAsia="宋体" w:cs="宋体"/>
                <w:color w:val="auto"/>
                <w:sz w:val="24"/>
                <w:szCs w:val="24"/>
                <w:lang w:val="en-US" w:eastAsia="zh-CN"/>
              </w:rPr>
              <w:t>部件</w:t>
            </w:r>
          </w:p>
        </w:tc>
        <w:tc>
          <w:tcPr>
            <w:tcW w:w="6265" w:type="dxa"/>
            <w:noWrap w:val="0"/>
            <w:vAlign w:val="center"/>
          </w:tcPr>
          <w:p w14:paraId="7614C267">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pacing w:line="240" w:lineRule="auto"/>
              <w:ind w:leftChars="0"/>
              <w:textAlignment w:val="auto"/>
              <w:rPr>
                <w:rFonts w:hint="eastAsia" w:ascii="宋体" w:hAnsi="宋体" w:eastAsia="宋体" w:cs="宋体"/>
                <w:b w:val="0"/>
                <w:bCs/>
                <w:color w:val="auto"/>
                <w:sz w:val="24"/>
                <w:szCs w:val="24"/>
                <w:lang w:eastAsia="zh-CN"/>
              </w:rPr>
            </w:pPr>
            <w:r>
              <w:rPr>
                <w:rFonts w:hint="eastAsia" w:ascii="宋体" w:hAnsi="宋体" w:eastAsia="宋体" w:cs="宋体"/>
                <w:color w:val="auto"/>
                <w:sz w:val="24"/>
                <w:szCs w:val="24"/>
                <w:lang w:val="en-US" w:eastAsia="zh-CN"/>
              </w:rPr>
              <w:t>根据所投产品的电梯运行安全监管系统、电梯钢丝绳实际破断拉力检测能力、安全双重保护等性能的先进性、可靠性</w:t>
            </w:r>
            <w:r>
              <w:rPr>
                <w:rFonts w:hint="eastAsia" w:ascii="宋体" w:hAnsi="宋体" w:eastAsia="宋体" w:cs="宋体"/>
                <w:b w:val="0"/>
                <w:bCs/>
                <w:color w:val="auto"/>
                <w:sz w:val="24"/>
                <w:szCs w:val="24"/>
              </w:rPr>
              <w:t>综合评分</w:t>
            </w:r>
            <w:r>
              <w:rPr>
                <w:rFonts w:hint="eastAsia" w:ascii="宋体" w:hAnsi="宋体" w:eastAsia="宋体" w:cs="宋体"/>
                <w:b w:val="0"/>
                <w:bCs/>
                <w:color w:val="auto"/>
                <w:sz w:val="24"/>
                <w:szCs w:val="24"/>
                <w:lang w:val="en-US" w:eastAsia="zh-CN"/>
              </w:rPr>
              <w:t>，评分范围（8、7、6、5、4、3、2、1、0分）。</w:t>
            </w:r>
          </w:p>
          <w:p w14:paraId="652B0661">
            <w:pPr>
              <w:pStyle w:val="2"/>
              <w:keepNext w:val="0"/>
              <w:keepLines w:val="0"/>
              <w:pageBreakBefore w:val="0"/>
              <w:widowControl w:val="0"/>
              <w:numPr>
                <w:ilvl w:val="0"/>
                <w:numId w:val="0"/>
              </w:numPr>
              <w:tabs>
                <w:tab w:val="left" w:pos="0"/>
                <w:tab w:val="left" w:pos="993"/>
                <w:tab w:val="left" w:pos="1134"/>
              </w:tabs>
              <w:kinsoku/>
              <w:wordWrap/>
              <w:overflowPunct/>
              <w:topLinePunct w:val="0"/>
              <w:autoSpaceDE/>
              <w:autoSpaceDN/>
              <w:bidi w:val="0"/>
              <w:adjustRightInd/>
              <w:spacing w:line="240" w:lineRule="auto"/>
              <w:ind w:leftChars="0"/>
              <w:textAlignment w:val="auto"/>
              <w:rPr>
                <w:rFonts w:hint="eastAsia" w:ascii="宋体" w:hAnsi="宋体" w:eastAsia="宋体" w:cs="宋体"/>
                <w:color w:val="auto"/>
                <w:sz w:val="24"/>
                <w:szCs w:val="24"/>
                <w:lang w:val="en-US"/>
              </w:rPr>
            </w:pPr>
            <w:r>
              <w:rPr>
                <w:rFonts w:hint="eastAsia" w:ascii="宋体" w:hAnsi="宋体" w:eastAsia="宋体" w:cs="宋体"/>
                <w:b/>
                <w:bCs w:val="0"/>
                <w:color w:val="auto"/>
                <w:sz w:val="24"/>
                <w:szCs w:val="24"/>
                <w:lang w:eastAsia="zh-CN"/>
              </w:rPr>
              <w:t>注：提供</w:t>
            </w:r>
            <w:r>
              <w:rPr>
                <w:rFonts w:hint="eastAsia" w:ascii="宋体" w:hAnsi="宋体" w:eastAsia="宋体" w:cs="宋体"/>
                <w:b/>
                <w:bCs w:val="0"/>
                <w:color w:val="auto"/>
                <w:sz w:val="24"/>
                <w:szCs w:val="24"/>
                <w:lang w:val="en-US" w:eastAsia="zh-CN"/>
              </w:rPr>
              <w:t>上述相关</w:t>
            </w:r>
            <w:r>
              <w:rPr>
                <w:rFonts w:hint="eastAsia" w:ascii="宋体" w:hAnsi="宋体" w:eastAsia="宋体" w:cs="宋体"/>
                <w:b/>
                <w:bCs w:val="0"/>
                <w:color w:val="auto"/>
                <w:sz w:val="24"/>
                <w:szCs w:val="24"/>
                <w:lang w:eastAsia="zh-CN"/>
              </w:rPr>
              <w:t>证明</w:t>
            </w:r>
            <w:r>
              <w:rPr>
                <w:rFonts w:hint="eastAsia" w:ascii="宋体" w:hAnsi="宋体" w:eastAsia="宋体" w:cs="宋体"/>
                <w:b/>
                <w:bCs w:val="0"/>
                <w:color w:val="auto"/>
                <w:sz w:val="24"/>
                <w:szCs w:val="24"/>
                <w:lang w:val="en-US" w:eastAsia="zh-CN"/>
              </w:rPr>
              <w:t>文件或者型式试验报告</w:t>
            </w:r>
            <w:r>
              <w:rPr>
                <w:rFonts w:hint="eastAsia" w:ascii="宋体" w:hAnsi="宋体" w:eastAsia="宋体" w:cs="宋体"/>
                <w:b/>
                <w:bCs w:val="0"/>
                <w:color w:val="auto"/>
                <w:sz w:val="24"/>
                <w:szCs w:val="24"/>
                <w:lang w:eastAsia="zh-CN"/>
              </w:rPr>
              <w:t>复印件加盖公章，</w:t>
            </w:r>
            <w:r>
              <w:rPr>
                <w:rFonts w:hint="eastAsia" w:ascii="宋体" w:hAnsi="宋体" w:eastAsia="宋体" w:cs="宋体"/>
                <w:b/>
                <w:bCs w:val="0"/>
                <w:color w:val="auto"/>
                <w:sz w:val="24"/>
                <w:szCs w:val="24"/>
                <w:lang w:val="en-US" w:eastAsia="zh-CN"/>
              </w:rPr>
              <w:t>否则</w:t>
            </w:r>
            <w:r>
              <w:rPr>
                <w:rFonts w:hint="eastAsia" w:ascii="宋体" w:hAnsi="宋体" w:eastAsia="宋体" w:cs="宋体"/>
                <w:b/>
                <w:bCs w:val="0"/>
                <w:color w:val="auto"/>
                <w:sz w:val="24"/>
                <w:szCs w:val="24"/>
              </w:rPr>
              <w:t>不得分</w:t>
            </w:r>
            <w:r>
              <w:rPr>
                <w:rFonts w:hint="eastAsia" w:ascii="宋体" w:hAnsi="宋体" w:eastAsia="宋体" w:cs="宋体"/>
                <w:b/>
                <w:bCs w:val="0"/>
                <w:color w:val="auto"/>
                <w:sz w:val="24"/>
                <w:szCs w:val="24"/>
                <w:lang w:eastAsia="zh-CN"/>
              </w:rPr>
              <w:t>。</w:t>
            </w:r>
          </w:p>
        </w:tc>
        <w:tc>
          <w:tcPr>
            <w:tcW w:w="958" w:type="dxa"/>
            <w:noWrap w:val="0"/>
            <w:vAlign w:val="center"/>
          </w:tcPr>
          <w:p w14:paraId="0A6ADED7">
            <w:pPr>
              <w:snapToGrid w:val="0"/>
              <w:spacing w:line="44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8</w:t>
            </w:r>
          </w:p>
        </w:tc>
      </w:tr>
      <w:tr w14:paraId="2660B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72" w:type="dxa"/>
            <w:vMerge w:val="restart"/>
            <w:noWrap w:val="0"/>
            <w:vAlign w:val="center"/>
          </w:tcPr>
          <w:p w14:paraId="7864CA97">
            <w:pPr>
              <w:adjustRightInd w:val="0"/>
              <w:snapToGrid w:val="0"/>
              <w:spacing w:line="440" w:lineRule="exact"/>
              <w:jc w:val="center"/>
              <w:rPr>
                <w:rFonts w:hint="eastAsia" w:ascii="宋体" w:hAnsi="宋体" w:eastAsia="宋体" w:cs="宋体"/>
                <w:b w:val="0"/>
                <w:bCs/>
                <w:snapToGrid w:val="0"/>
                <w:color w:val="auto"/>
                <w:kern w:val="2"/>
                <w:sz w:val="24"/>
                <w:szCs w:val="24"/>
                <w:lang w:val="en-US" w:eastAsia="zh-CN" w:bidi="ar-SA"/>
              </w:rPr>
            </w:pPr>
            <w:r>
              <w:rPr>
                <w:rFonts w:hint="eastAsia" w:ascii="宋体" w:hAnsi="宋体" w:eastAsia="宋体" w:cs="宋体"/>
                <w:b w:val="0"/>
                <w:bCs/>
                <w:snapToGrid w:val="0"/>
                <w:color w:val="auto"/>
                <w:kern w:val="2"/>
                <w:sz w:val="24"/>
                <w:szCs w:val="24"/>
                <w:lang w:val="en-US" w:eastAsia="zh-CN" w:bidi="ar-SA"/>
              </w:rPr>
              <w:t>5</w:t>
            </w:r>
          </w:p>
        </w:tc>
        <w:tc>
          <w:tcPr>
            <w:tcW w:w="1364" w:type="dxa"/>
            <w:gridSpan w:val="3"/>
            <w:vMerge w:val="restart"/>
            <w:noWrap w:val="0"/>
            <w:vAlign w:val="center"/>
          </w:tcPr>
          <w:p w14:paraId="5FDFE859">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 w:val="24"/>
                <w:szCs w:val="24"/>
                <w:lang w:eastAsia="zh-CN"/>
              </w:rPr>
            </w:pPr>
            <w:r>
              <w:rPr>
                <w:rFonts w:hint="eastAsia" w:ascii="宋体" w:hAnsi="宋体" w:eastAsia="宋体" w:cs="宋体"/>
                <w:sz w:val="24"/>
                <w:szCs w:val="24"/>
              </w:rPr>
              <w:t>项目实施方案</w:t>
            </w:r>
          </w:p>
        </w:tc>
        <w:tc>
          <w:tcPr>
            <w:tcW w:w="6265" w:type="dxa"/>
            <w:noWrap w:val="0"/>
            <w:vAlign w:val="center"/>
          </w:tcPr>
          <w:p w14:paraId="100CA00F">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jc w:val="both"/>
              <w:textAlignment w:val="auto"/>
              <w:rPr>
                <w:rFonts w:hint="eastAsia" w:ascii="宋体" w:hAnsi="宋体" w:eastAsia="宋体" w:cs="宋体"/>
                <w:b w:val="0"/>
                <w:bCs/>
                <w:color w:val="auto"/>
                <w:kern w:val="44"/>
                <w:sz w:val="24"/>
                <w:szCs w:val="24"/>
                <w:lang w:val="en-US" w:eastAsia="zh-CN" w:bidi="ar-SA"/>
              </w:rPr>
            </w:pPr>
            <w:r>
              <w:rPr>
                <w:rFonts w:hint="eastAsia" w:ascii="宋体" w:hAnsi="宋体" w:eastAsia="宋体" w:cs="宋体"/>
                <w:b w:val="0"/>
                <w:bCs/>
                <w:color w:val="auto"/>
                <w:sz w:val="24"/>
                <w:szCs w:val="24"/>
              </w:rPr>
              <w:t>根据</w:t>
            </w:r>
            <w:r>
              <w:rPr>
                <w:rFonts w:hint="eastAsia" w:ascii="宋体" w:hAnsi="宋体" w:eastAsia="宋体" w:cs="宋体"/>
                <w:b w:val="0"/>
                <w:bCs/>
                <w:color w:val="auto"/>
                <w:sz w:val="24"/>
                <w:szCs w:val="24"/>
                <w:lang w:eastAsia="zh-CN"/>
              </w:rPr>
              <w:t>电梯安装</w:t>
            </w:r>
            <w:r>
              <w:rPr>
                <w:rFonts w:hint="eastAsia" w:ascii="宋体" w:hAnsi="宋体" w:eastAsia="宋体" w:cs="宋体"/>
                <w:b w:val="0"/>
                <w:bCs/>
                <w:color w:val="auto"/>
                <w:sz w:val="24"/>
                <w:szCs w:val="24"/>
              </w:rPr>
              <w:t>方案、质量保证、工期保</w:t>
            </w:r>
            <w:r>
              <w:rPr>
                <w:rFonts w:hint="eastAsia" w:ascii="宋体" w:hAnsi="宋体" w:eastAsia="宋体" w:cs="宋体"/>
                <w:b w:val="0"/>
                <w:bCs/>
                <w:color w:val="auto"/>
                <w:spacing w:val="-4"/>
                <w:sz w:val="24"/>
                <w:szCs w:val="24"/>
              </w:rPr>
              <w:t>证措施</w:t>
            </w:r>
            <w:r>
              <w:rPr>
                <w:rFonts w:hint="eastAsia" w:ascii="宋体" w:hAnsi="宋体" w:eastAsia="宋体" w:cs="宋体"/>
                <w:b w:val="0"/>
                <w:bCs/>
                <w:color w:val="auto"/>
                <w:spacing w:val="-4"/>
                <w:sz w:val="24"/>
                <w:szCs w:val="24"/>
                <w:lang w:eastAsia="zh-CN"/>
              </w:rPr>
              <w:t>、应急处理措施，</w:t>
            </w:r>
            <w:r>
              <w:rPr>
                <w:rFonts w:hint="eastAsia" w:ascii="宋体" w:hAnsi="宋体" w:eastAsia="宋体" w:cs="宋体"/>
                <w:b w:val="0"/>
                <w:bCs/>
                <w:color w:val="auto"/>
                <w:sz w:val="24"/>
                <w:szCs w:val="24"/>
              </w:rPr>
              <w:t>调试方案可行</w:t>
            </w:r>
            <w:r>
              <w:rPr>
                <w:rFonts w:hint="eastAsia" w:ascii="宋体" w:hAnsi="宋体" w:eastAsia="宋体" w:cs="宋体"/>
                <w:b w:val="0"/>
                <w:bCs/>
                <w:color w:val="auto"/>
                <w:sz w:val="24"/>
                <w:szCs w:val="24"/>
                <w:lang w:val="en-US" w:eastAsia="zh-CN"/>
              </w:rPr>
              <w:t>性</w:t>
            </w:r>
            <w:r>
              <w:rPr>
                <w:rFonts w:hint="eastAsia" w:ascii="宋体" w:hAnsi="宋体" w:eastAsia="宋体" w:cs="宋体"/>
                <w:b w:val="0"/>
                <w:bCs/>
                <w:color w:val="auto"/>
                <w:sz w:val="24"/>
                <w:szCs w:val="24"/>
              </w:rPr>
              <w:t>，调试设备清单，调试难点针对性</w:t>
            </w:r>
            <w:r>
              <w:rPr>
                <w:rFonts w:hint="eastAsia" w:ascii="宋体" w:hAnsi="宋体" w:eastAsia="宋体" w:cs="宋体"/>
                <w:b w:val="0"/>
                <w:bCs/>
                <w:color w:val="auto"/>
                <w:sz w:val="24"/>
                <w:szCs w:val="24"/>
                <w:lang w:val="en-US" w:eastAsia="zh-CN"/>
              </w:rPr>
              <w:t>等</w:t>
            </w:r>
            <w:r>
              <w:rPr>
                <w:rFonts w:hint="eastAsia" w:ascii="宋体" w:hAnsi="宋体" w:eastAsia="宋体" w:cs="宋体"/>
                <w:b w:val="0"/>
                <w:bCs/>
                <w:color w:val="auto"/>
                <w:sz w:val="24"/>
                <w:szCs w:val="24"/>
              </w:rPr>
              <w:t>进行综合评分</w:t>
            </w:r>
            <w:r>
              <w:rPr>
                <w:rFonts w:hint="eastAsia" w:ascii="宋体" w:hAnsi="宋体" w:eastAsia="宋体" w:cs="宋体"/>
                <w:b w:val="0"/>
                <w:bCs/>
                <w:color w:val="auto"/>
                <w:sz w:val="24"/>
                <w:szCs w:val="24"/>
                <w:lang w:val="en-US" w:eastAsia="zh-CN"/>
              </w:rPr>
              <w:t>，评分范围（6、5、4、3、2、1、0分）。</w:t>
            </w:r>
          </w:p>
        </w:tc>
        <w:tc>
          <w:tcPr>
            <w:tcW w:w="958" w:type="dxa"/>
            <w:noWrap w:val="0"/>
            <w:vAlign w:val="center"/>
          </w:tcPr>
          <w:p w14:paraId="4428A6F0">
            <w:pPr>
              <w:snapToGrid w:val="0"/>
              <w:spacing w:line="440" w:lineRule="exact"/>
              <w:jc w:val="center"/>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6</w:t>
            </w:r>
          </w:p>
        </w:tc>
      </w:tr>
      <w:tr w14:paraId="714E56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572" w:type="dxa"/>
            <w:vMerge w:val="continue"/>
            <w:noWrap w:val="0"/>
            <w:vAlign w:val="center"/>
          </w:tcPr>
          <w:p w14:paraId="550EC121">
            <w:pPr>
              <w:adjustRightInd w:val="0"/>
              <w:snapToGrid w:val="0"/>
              <w:spacing w:line="440" w:lineRule="exact"/>
              <w:jc w:val="center"/>
              <w:rPr>
                <w:rFonts w:hint="eastAsia" w:ascii="宋体" w:hAnsi="宋体" w:eastAsia="宋体" w:cs="宋体"/>
                <w:b w:val="0"/>
                <w:bCs/>
                <w:snapToGrid w:val="0"/>
                <w:color w:val="auto"/>
                <w:sz w:val="24"/>
                <w:szCs w:val="24"/>
                <w:lang w:val="en-US" w:eastAsia="zh-CN"/>
              </w:rPr>
            </w:pPr>
          </w:p>
        </w:tc>
        <w:tc>
          <w:tcPr>
            <w:tcW w:w="1364" w:type="dxa"/>
            <w:gridSpan w:val="3"/>
            <w:vMerge w:val="continue"/>
            <w:noWrap w:val="0"/>
            <w:vAlign w:val="center"/>
          </w:tcPr>
          <w:p w14:paraId="7D2E8C8B">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宋体" w:hAnsi="宋体" w:eastAsia="宋体" w:cs="宋体"/>
                <w:b w:val="0"/>
                <w:bCs/>
                <w:color w:val="auto"/>
                <w:sz w:val="24"/>
                <w:szCs w:val="24"/>
                <w:lang w:eastAsia="zh-CN"/>
              </w:rPr>
            </w:pPr>
          </w:p>
        </w:tc>
        <w:tc>
          <w:tcPr>
            <w:tcW w:w="6265" w:type="dxa"/>
            <w:noWrap w:val="0"/>
            <w:vAlign w:val="center"/>
          </w:tcPr>
          <w:p w14:paraId="5EF4294F">
            <w:pPr>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exact"/>
              <w:jc w:val="both"/>
              <w:textAlignment w:val="auto"/>
              <w:rPr>
                <w:rFonts w:hint="eastAsia" w:ascii="宋体" w:hAnsi="宋体" w:eastAsia="宋体" w:cs="宋体"/>
                <w:b w:val="0"/>
                <w:bCs/>
                <w:color w:val="auto"/>
                <w:sz w:val="24"/>
                <w:szCs w:val="24"/>
              </w:rPr>
            </w:pPr>
            <w:r>
              <w:rPr>
                <w:rFonts w:hint="eastAsia" w:ascii="宋体" w:hAnsi="宋体" w:eastAsia="宋体" w:cs="宋体"/>
                <w:sz w:val="24"/>
                <w:szCs w:val="24"/>
              </w:rPr>
              <w:t>根据供应商提供的拆除方案（不能影响院方大楼的垂直运输）的科学性、合理性进行打分（</w:t>
            </w:r>
            <w:r>
              <w:rPr>
                <w:rFonts w:hint="eastAsia" w:ascii="宋体" w:hAnsi="宋体" w:eastAsia="宋体" w:cs="宋体"/>
                <w:sz w:val="24"/>
                <w:szCs w:val="24"/>
                <w:lang w:val="en-US" w:eastAsia="zh-CN"/>
              </w:rPr>
              <w:t>5</w:t>
            </w:r>
            <w:r>
              <w:rPr>
                <w:rFonts w:hint="eastAsia" w:ascii="宋体" w:hAnsi="宋体" w:eastAsia="宋体" w:cs="宋体"/>
                <w:sz w:val="24"/>
                <w:szCs w:val="24"/>
              </w:rPr>
              <w:t>、4、3、2、1、0）；</w:t>
            </w:r>
          </w:p>
        </w:tc>
        <w:tc>
          <w:tcPr>
            <w:tcW w:w="958" w:type="dxa"/>
            <w:noWrap w:val="0"/>
            <w:vAlign w:val="center"/>
          </w:tcPr>
          <w:p w14:paraId="7C3813A9">
            <w:pPr>
              <w:snapToGrid w:val="0"/>
              <w:spacing w:line="440" w:lineRule="exact"/>
              <w:jc w:val="center"/>
              <w:rPr>
                <w:rFonts w:hint="eastAsia" w:ascii="宋体" w:hAnsi="宋体" w:eastAsia="宋体" w:cs="宋体"/>
                <w:b w:val="0"/>
                <w:bCs/>
                <w:color w:val="auto"/>
                <w:sz w:val="24"/>
                <w:szCs w:val="24"/>
                <w:lang w:val="en-US" w:eastAsia="zh-CN"/>
              </w:rPr>
            </w:pPr>
            <w:r>
              <w:rPr>
                <w:rFonts w:hint="eastAsia" w:ascii="宋体" w:hAnsi="宋体" w:eastAsia="宋体" w:cs="宋体"/>
                <w:sz w:val="24"/>
                <w:szCs w:val="24"/>
                <w:lang w:val="en-US" w:eastAsia="zh-CN"/>
              </w:rPr>
              <w:t>5</w:t>
            </w:r>
          </w:p>
        </w:tc>
      </w:tr>
      <w:tr w14:paraId="720082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2" w:type="dxa"/>
            <w:vMerge w:val="restart"/>
            <w:noWrap w:val="0"/>
            <w:vAlign w:val="center"/>
          </w:tcPr>
          <w:p w14:paraId="42B1C614">
            <w:pPr>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6</w:t>
            </w:r>
          </w:p>
        </w:tc>
        <w:tc>
          <w:tcPr>
            <w:tcW w:w="566" w:type="dxa"/>
            <w:gridSpan w:val="2"/>
            <w:vMerge w:val="restart"/>
            <w:noWrap w:val="0"/>
            <w:vAlign w:val="top"/>
          </w:tcPr>
          <w:p w14:paraId="34B2008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napToGrid w:val="0"/>
                <w:color w:val="auto"/>
                <w:sz w:val="24"/>
                <w:szCs w:val="24"/>
                <w:lang w:val="en-US" w:eastAsia="zh-CN"/>
              </w:rPr>
            </w:pPr>
          </w:p>
          <w:p w14:paraId="0057DD4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售后能力评定</w:t>
            </w:r>
          </w:p>
        </w:tc>
        <w:tc>
          <w:tcPr>
            <w:tcW w:w="798" w:type="dxa"/>
            <w:noWrap w:val="0"/>
            <w:vAlign w:val="top"/>
          </w:tcPr>
          <w:p w14:paraId="4B3A3980">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售后</w:t>
            </w:r>
          </w:p>
          <w:p w14:paraId="631DF4AB">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服务</w:t>
            </w:r>
          </w:p>
        </w:tc>
        <w:tc>
          <w:tcPr>
            <w:tcW w:w="6265" w:type="dxa"/>
            <w:noWrap w:val="0"/>
            <w:vAlign w:val="center"/>
          </w:tcPr>
          <w:p w14:paraId="034C2656">
            <w:pPr>
              <w:spacing w:line="300" w:lineRule="exact"/>
              <w:jc w:val="left"/>
              <w:rPr>
                <w:rFonts w:hint="eastAsia" w:ascii="宋体" w:hAnsi="宋体" w:eastAsia="宋体" w:cs="宋体"/>
                <w:b w:val="0"/>
                <w:bCs/>
                <w:color w:val="auto"/>
                <w:sz w:val="24"/>
                <w:szCs w:val="24"/>
                <w:lang w:val="en-US" w:eastAsia="zh-CN"/>
              </w:rPr>
            </w:pPr>
            <w:r>
              <w:rPr>
                <w:rFonts w:hint="eastAsia" w:ascii="Arial Unicode MS" w:hAnsi="Arial Unicode MS" w:cs="宋体"/>
                <w:color w:val="auto"/>
                <w:highlight w:val="none"/>
              </w:rPr>
              <w:t>根据申请人为本项目提供本地化快捷便捷的服务情况及对本项目服务</w:t>
            </w:r>
            <w:r>
              <w:rPr>
                <w:rFonts w:hint="eastAsia" w:ascii="Arial Unicode MS" w:hAnsi="Arial Unicode MS" w:cs="宋体"/>
                <w:color w:val="auto"/>
                <w:highlight w:val="none"/>
                <w:lang w:eastAsia="zh-CN"/>
              </w:rPr>
              <w:t>、</w:t>
            </w:r>
            <w:r>
              <w:rPr>
                <w:rFonts w:hint="eastAsia" w:ascii="Arial Unicode MS" w:hAnsi="Arial Unicode MS" w:cs="宋体"/>
                <w:color w:val="auto"/>
                <w:highlight w:val="none"/>
                <w:lang w:val="en-US" w:eastAsia="zh-CN"/>
              </w:rPr>
              <w:t>售后</w:t>
            </w:r>
            <w:r>
              <w:rPr>
                <w:rFonts w:hint="eastAsia" w:ascii="Arial Unicode MS" w:hAnsi="Arial Unicode MS" w:cs="宋体"/>
                <w:color w:val="auto"/>
                <w:highlight w:val="none"/>
              </w:rPr>
              <w:t>保障措施进行综合评价</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评分范围（5、4、3、2、1、0分）。</w:t>
            </w:r>
          </w:p>
        </w:tc>
        <w:tc>
          <w:tcPr>
            <w:tcW w:w="958" w:type="dxa"/>
            <w:noWrap w:val="0"/>
            <w:vAlign w:val="center"/>
          </w:tcPr>
          <w:p w14:paraId="2860D8F2">
            <w:pPr>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5</w:t>
            </w:r>
          </w:p>
        </w:tc>
      </w:tr>
      <w:tr w14:paraId="6DEFB1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72" w:type="dxa"/>
            <w:vMerge w:val="continue"/>
            <w:noWrap w:val="0"/>
            <w:vAlign w:val="center"/>
          </w:tcPr>
          <w:p w14:paraId="592C6F70">
            <w:pPr>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auto"/>
                <w:sz w:val="24"/>
                <w:szCs w:val="24"/>
                <w:lang w:val="en-US" w:eastAsia="zh-CN"/>
              </w:rPr>
            </w:pPr>
          </w:p>
        </w:tc>
        <w:tc>
          <w:tcPr>
            <w:tcW w:w="566" w:type="dxa"/>
            <w:gridSpan w:val="2"/>
            <w:vMerge w:val="continue"/>
            <w:noWrap w:val="0"/>
            <w:vAlign w:val="top"/>
          </w:tcPr>
          <w:p w14:paraId="086EBE0E">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napToGrid w:val="0"/>
                <w:color w:val="auto"/>
                <w:sz w:val="24"/>
                <w:szCs w:val="24"/>
                <w:lang w:val="en-US" w:eastAsia="zh-CN"/>
              </w:rPr>
            </w:pPr>
          </w:p>
        </w:tc>
        <w:tc>
          <w:tcPr>
            <w:tcW w:w="798" w:type="dxa"/>
            <w:noWrap w:val="0"/>
            <w:vAlign w:val="top"/>
          </w:tcPr>
          <w:p w14:paraId="53A04691">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质保期</w:t>
            </w:r>
          </w:p>
        </w:tc>
        <w:tc>
          <w:tcPr>
            <w:tcW w:w="6265" w:type="dxa"/>
            <w:noWrap w:val="0"/>
            <w:vAlign w:val="top"/>
          </w:tcPr>
          <w:p w14:paraId="1AAE68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在满足招标文件最低质保期要求基础上每增加1年加1分，本项最多得2分。</w:t>
            </w:r>
          </w:p>
          <w:p w14:paraId="600D344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val="0"/>
                <w:color w:val="auto"/>
                <w:sz w:val="24"/>
                <w:szCs w:val="24"/>
                <w:lang w:val="en-US" w:eastAsia="zh-CN"/>
              </w:rPr>
              <w:t>注：须提供承诺函加盖公章，否则不得分。</w:t>
            </w:r>
          </w:p>
        </w:tc>
        <w:tc>
          <w:tcPr>
            <w:tcW w:w="958" w:type="dxa"/>
            <w:noWrap w:val="0"/>
            <w:vAlign w:val="center"/>
          </w:tcPr>
          <w:p w14:paraId="1C44DF55">
            <w:pPr>
              <w:snapToGrid w:val="0"/>
              <w:spacing w:line="440" w:lineRule="exact"/>
              <w:jc w:val="center"/>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2</w:t>
            </w:r>
          </w:p>
        </w:tc>
      </w:tr>
      <w:tr w14:paraId="0CD4F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72" w:type="dxa"/>
            <w:noWrap w:val="0"/>
            <w:vAlign w:val="center"/>
          </w:tcPr>
          <w:p w14:paraId="14886924">
            <w:pPr>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7</w:t>
            </w:r>
          </w:p>
        </w:tc>
        <w:tc>
          <w:tcPr>
            <w:tcW w:w="1364" w:type="dxa"/>
            <w:gridSpan w:val="3"/>
            <w:noWrap w:val="0"/>
            <w:vAlign w:val="center"/>
          </w:tcPr>
          <w:p w14:paraId="231D9EBA">
            <w:pPr>
              <w:rPr>
                <w:rFonts w:hint="eastAsia" w:ascii="宋体" w:hAnsi="宋体" w:eastAsia="宋体" w:cs="宋体"/>
                <w:b w:val="0"/>
                <w:bCs/>
                <w:snapToGrid w:val="0"/>
                <w:color w:val="auto"/>
                <w:sz w:val="24"/>
                <w:szCs w:val="24"/>
                <w:lang w:val="en-US" w:eastAsia="zh-CN"/>
              </w:rPr>
            </w:pPr>
            <w:r>
              <w:rPr>
                <w:rFonts w:hint="eastAsia" w:ascii="宋体" w:hAnsi="宋体" w:eastAsia="宋体" w:cs="宋体"/>
                <w:color w:val="auto"/>
                <w:sz w:val="24"/>
                <w:szCs w:val="24"/>
              </w:rPr>
              <w:t>节能环保认证</w:t>
            </w:r>
          </w:p>
        </w:tc>
        <w:tc>
          <w:tcPr>
            <w:tcW w:w="6265" w:type="dxa"/>
            <w:noWrap w:val="0"/>
            <w:vAlign w:val="center"/>
          </w:tcPr>
          <w:p w14:paraId="473FE4E0">
            <w:pPr>
              <w:rPr>
                <w:rFonts w:hint="eastAsia" w:ascii="宋体" w:hAnsi="宋体" w:eastAsia="宋体" w:cs="宋体"/>
                <w:bCs/>
                <w:color w:val="auto"/>
                <w:sz w:val="24"/>
                <w:szCs w:val="24"/>
              </w:rPr>
            </w:pPr>
            <w:r>
              <w:rPr>
                <w:rFonts w:hint="eastAsia" w:ascii="宋体" w:hAnsi="宋体" w:eastAsia="宋体" w:cs="宋体"/>
                <w:color w:val="auto"/>
                <w:sz w:val="24"/>
                <w:szCs w:val="24"/>
              </w:rPr>
              <w:t>所投产品</w:t>
            </w:r>
            <w:r>
              <w:rPr>
                <w:rFonts w:hint="eastAsia" w:ascii="宋体" w:hAnsi="宋体" w:eastAsia="宋体" w:cs="宋体"/>
                <w:bCs/>
                <w:color w:val="auto"/>
                <w:sz w:val="24"/>
                <w:szCs w:val="24"/>
              </w:rPr>
              <w:t>获得政府采购节能、环境产品认证，每符合一项得</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分，</w:t>
            </w:r>
            <w:r>
              <w:rPr>
                <w:rFonts w:hint="eastAsia" w:ascii="宋体" w:hAnsi="宋体" w:eastAsia="宋体" w:cs="宋体"/>
                <w:b w:val="0"/>
                <w:bCs/>
                <w:color w:val="auto"/>
                <w:sz w:val="24"/>
                <w:szCs w:val="24"/>
                <w:lang w:val="en-US" w:eastAsia="zh-CN"/>
              </w:rPr>
              <w:t>最多得2分。</w:t>
            </w:r>
          </w:p>
          <w:p w14:paraId="4C8174C8">
            <w:pPr>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rPr>
              <w:t>需提供投标产品节能、环境标志认证证书或证明（扫描件）。认证机构以国家市场监管总局发布的参与实施政府采购节能产品、环境标志产品认证机构名录为准。</w:t>
            </w:r>
          </w:p>
        </w:tc>
        <w:tc>
          <w:tcPr>
            <w:tcW w:w="958" w:type="dxa"/>
            <w:noWrap w:val="0"/>
            <w:vAlign w:val="center"/>
          </w:tcPr>
          <w:p w14:paraId="3BBF4E60">
            <w:pPr>
              <w:jc w:val="center"/>
              <w:rPr>
                <w:rFonts w:hint="eastAsia" w:ascii="宋体" w:hAnsi="宋体" w:eastAsia="宋体" w:cs="宋体"/>
                <w:b w:val="0"/>
                <w:bCs/>
                <w:snapToGrid w:val="0"/>
                <w:color w:val="auto"/>
                <w:sz w:val="24"/>
                <w:szCs w:val="24"/>
                <w:lang w:val="en-US" w:eastAsia="zh-CN"/>
              </w:rPr>
            </w:pPr>
            <w:r>
              <w:rPr>
                <w:rFonts w:hint="eastAsia" w:ascii="宋体" w:hAnsi="宋体" w:eastAsia="宋体" w:cs="宋体"/>
                <w:b w:val="0"/>
                <w:bCs/>
                <w:snapToGrid w:val="0"/>
                <w:color w:val="auto"/>
                <w:sz w:val="24"/>
                <w:szCs w:val="24"/>
                <w:lang w:val="en-US" w:eastAsia="zh-CN"/>
              </w:rPr>
              <w:t>2</w:t>
            </w:r>
          </w:p>
        </w:tc>
      </w:tr>
    </w:tbl>
    <w:p w14:paraId="5A832515">
      <w:pPr>
        <w:spacing w:line="360" w:lineRule="auto"/>
        <w:ind w:left="439" w:leftChars="209"/>
        <w:rPr>
          <w:rFonts w:hint="eastAsia" w:ascii="宋体" w:hAnsi="宋体"/>
          <w:sz w:val="22"/>
          <w:szCs w:val="22"/>
          <w:highlight w:val="none"/>
        </w:rPr>
      </w:pPr>
    </w:p>
    <w:p w14:paraId="31A68A54">
      <w:pPr>
        <w:spacing w:line="360" w:lineRule="auto"/>
        <w:rPr>
          <w:rFonts w:hint="eastAsia" w:ascii="宋体" w:hAnsi="宋体"/>
          <w:sz w:val="22"/>
          <w:szCs w:val="22"/>
          <w:highlight w:val="none"/>
        </w:rPr>
      </w:pPr>
      <w:r>
        <w:rPr>
          <w:rFonts w:hint="eastAsia" w:ascii="宋体" w:hAnsi="宋体"/>
          <w:sz w:val="22"/>
          <w:szCs w:val="22"/>
          <w:highlight w:val="none"/>
        </w:rPr>
        <w:t>2、报价分（30分）：</w:t>
      </w:r>
    </w:p>
    <w:p w14:paraId="196BBE08">
      <w:pPr>
        <w:pStyle w:val="3"/>
        <w:spacing w:after="0" w:line="360" w:lineRule="auto"/>
        <w:ind w:firstLine="358" w:firstLineChars="163"/>
        <w:rPr>
          <w:rFonts w:hint="eastAsia" w:ascii="宋体" w:hAnsi="宋体" w:eastAsia="宋体"/>
          <w:b/>
          <w:sz w:val="22"/>
          <w:szCs w:val="22"/>
          <w:highlight w:val="none"/>
        </w:rPr>
      </w:pPr>
      <w:r>
        <w:rPr>
          <w:rFonts w:hint="eastAsia" w:ascii="宋体" w:hAnsi="宋体" w:eastAsia="宋体"/>
          <w:sz w:val="22"/>
          <w:szCs w:val="22"/>
          <w:highlight w:val="none"/>
        </w:rPr>
        <w:t>报价</w:t>
      </w:r>
      <w:r>
        <w:rPr>
          <w:rFonts w:ascii="宋体" w:hAnsi="宋体" w:eastAsia="宋体"/>
          <w:sz w:val="22"/>
          <w:szCs w:val="22"/>
          <w:highlight w:val="none"/>
        </w:rPr>
        <w:t>分采用低价优先法计算，即满足招标文件要求且投标价格最低的投标报价为评标基准价，其价格分为满分。其他投标人的价格分统一按照下列公式计算：报价得分=（评标基准价／投标报价）×</w:t>
      </w:r>
      <w:r>
        <w:rPr>
          <w:rFonts w:hint="eastAsia" w:ascii="宋体" w:hAnsi="宋体" w:eastAsia="宋体"/>
          <w:sz w:val="22"/>
          <w:szCs w:val="22"/>
          <w:highlight w:val="none"/>
        </w:rPr>
        <w:t>30%</w:t>
      </w:r>
      <w:r>
        <w:rPr>
          <w:rFonts w:ascii="宋体" w:hAnsi="宋体" w:eastAsia="宋体"/>
          <w:sz w:val="22"/>
          <w:szCs w:val="22"/>
          <w:highlight w:val="none"/>
        </w:rPr>
        <w:t>×100</w:t>
      </w:r>
      <w:r>
        <w:rPr>
          <w:rFonts w:hint="eastAsia" w:ascii="宋体" w:hAnsi="宋体" w:eastAsia="宋体"/>
          <w:sz w:val="22"/>
          <w:szCs w:val="22"/>
          <w:highlight w:val="none"/>
        </w:rPr>
        <w:t>（小数点后按四舍五入保留2位）</w:t>
      </w:r>
      <w:r>
        <w:rPr>
          <w:rFonts w:ascii="宋体" w:hAnsi="宋体" w:eastAsia="宋体"/>
          <w:sz w:val="22"/>
          <w:szCs w:val="22"/>
          <w:highlight w:val="none"/>
        </w:rPr>
        <w:t>。</w:t>
      </w:r>
    </w:p>
    <w:p w14:paraId="5B904501">
      <w:pPr>
        <w:spacing w:line="360" w:lineRule="auto"/>
        <w:rPr>
          <w:rFonts w:hint="eastAsia" w:ascii="宋体" w:hAnsi="宋体"/>
          <w:sz w:val="22"/>
          <w:szCs w:val="22"/>
          <w:highlight w:val="none"/>
        </w:rPr>
      </w:pPr>
      <w:r>
        <w:rPr>
          <w:rFonts w:hint="eastAsia" w:ascii="宋体" w:hAnsi="宋体"/>
          <w:sz w:val="22"/>
          <w:szCs w:val="22"/>
          <w:highlight w:val="none"/>
        </w:rPr>
        <w:t>3、 有效投标人的综合得分为商务技术分和报价分的总和。</w:t>
      </w:r>
    </w:p>
    <w:p w14:paraId="2AF9A3E7">
      <w:pPr>
        <w:pStyle w:val="3"/>
        <w:spacing w:after="0" w:line="360" w:lineRule="auto"/>
        <w:rPr>
          <w:rFonts w:hint="eastAsia" w:ascii="宋体" w:hAnsi="宋体" w:eastAsia="宋体"/>
          <w:sz w:val="22"/>
          <w:szCs w:val="22"/>
          <w:highlight w:val="none"/>
        </w:rPr>
      </w:pPr>
      <w:r>
        <w:rPr>
          <w:rFonts w:hint="eastAsia" w:ascii="宋体" w:hAnsi="宋体" w:eastAsia="宋体"/>
          <w:sz w:val="22"/>
          <w:szCs w:val="22"/>
          <w:highlight w:val="none"/>
        </w:rPr>
        <w:t>4、</w:t>
      </w:r>
      <w:r>
        <w:rPr>
          <w:rFonts w:hint="eastAsia" w:ascii="宋体" w:hAnsi="宋体" w:eastAsia="宋体"/>
          <w:sz w:val="22"/>
          <w:highlight w:val="none"/>
        </w:rPr>
        <w:t>评标委员会按综合得分高低顺序排列，综合得分前两名投标人依次作为该项目第一中标候选人和第二中标候选人向采购人推荐，并提交评标报告。综合得分相同的，按投标报价由低到高顺序排列；综合得分且投标报价相同的，抽签决定。</w:t>
      </w:r>
    </w:p>
    <w:p w14:paraId="39EA75A2">
      <w:pPr>
        <w:pStyle w:val="3"/>
        <w:spacing w:after="0" w:line="360" w:lineRule="auto"/>
        <w:rPr>
          <w:rFonts w:hint="eastAsia" w:ascii="宋体" w:hAnsi="宋体" w:eastAsia="宋体"/>
          <w:b/>
          <w:sz w:val="22"/>
          <w:szCs w:val="22"/>
          <w:highlight w:val="none"/>
        </w:rPr>
      </w:pPr>
      <w:r>
        <w:rPr>
          <w:rFonts w:hint="eastAsia" w:ascii="宋体" w:hAnsi="宋体" w:eastAsia="宋体"/>
          <w:b/>
          <w:sz w:val="22"/>
          <w:szCs w:val="22"/>
          <w:highlight w:val="none"/>
        </w:rPr>
        <w:t>五、定标办法</w:t>
      </w:r>
    </w:p>
    <w:p w14:paraId="30A37699">
      <w:pPr>
        <w:spacing w:line="360" w:lineRule="auto"/>
        <w:ind w:left="439" w:leftChars="209"/>
        <w:rPr>
          <w:rFonts w:hint="eastAsia" w:ascii="宋体" w:hAnsi="宋体"/>
          <w:sz w:val="22"/>
          <w:highlight w:val="none"/>
        </w:rPr>
      </w:pPr>
      <w:r>
        <w:rPr>
          <w:rFonts w:hint="eastAsia" w:ascii="宋体" w:hAnsi="宋体"/>
          <w:sz w:val="22"/>
          <w:highlight w:val="none"/>
        </w:rPr>
        <w:t>本次采购由评标委员会推荐中标候选人，采购人根据评标委员会的推荐结果进行最终确认。</w:t>
      </w:r>
      <w:r>
        <w:rPr>
          <w:rFonts w:ascii="宋体" w:hAnsi="宋体"/>
          <w:sz w:val="22"/>
          <w:highlight w:val="none"/>
        </w:rPr>
        <w:t>如中标人放弃中标、或因不可抗力提出不能履行合同；或未能在规定时间内与采购人签订合同的；或者经质疑，采购人审查后，确因排名第一的候选人在本次</w:t>
      </w:r>
      <w:r>
        <w:rPr>
          <w:rFonts w:hint="eastAsia" w:ascii="宋体" w:hAnsi="宋体"/>
          <w:sz w:val="22"/>
          <w:highlight w:val="none"/>
        </w:rPr>
        <w:t>采购</w:t>
      </w:r>
      <w:r>
        <w:rPr>
          <w:rFonts w:ascii="宋体" w:hAnsi="宋体"/>
          <w:sz w:val="22"/>
          <w:highlight w:val="none"/>
        </w:rPr>
        <w:t>活动中存在违法违规行为或其他原因使质疑成立的，采购人可以视具体情况确定是否由排名第二的中标候选人为中标人。如第二中标候选人因前款规定的同样原因不能签订合同的，本次</w:t>
      </w:r>
      <w:r>
        <w:rPr>
          <w:rFonts w:hint="eastAsia" w:ascii="宋体" w:hAnsi="宋体"/>
          <w:sz w:val="22"/>
          <w:highlight w:val="none"/>
        </w:rPr>
        <w:t>采购</w:t>
      </w:r>
      <w:r>
        <w:rPr>
          <w:rFonts w:ascii="宋体" w:hAnsi="宋体"/>
          <w:sz w:val="22"/>
          <w:highlight w:val="none"/>
        </w:rPr>
        <w:t>失败，重新组织</w:t>
      </w:r>
      <w:r>
        <w:rPr>
          <w:rFonts w:hint="eastAsia" w:ascii="宋体" w:hAnsi="宋体"/>
          <w:sz w:val="22"/>
          <w:highlight w:val="none"/>
        </w:rPr>
        <w:t>采购</w:t>
      </w:r>
      <w:r>
        <w:rPr>
          <w:rFonts w:ascii="宋体" w:hAnsi="宋体"/>
          <w:sz w:val="22"/>
          <w:highlight w:val="none"/>
        </w:rPr>
        <w:t>。</w:t>
      </w:r>
    </w:p>
    <w:p w14:paraId="686B7A37">
      <w:pPr>
        <w:pStyle w:val="3"/>
        <w:spacing w:after="0" w:line="360" w:lineRule="auto"/>
        <w:rPr>
          <w:rFonts w:hint="eastAsia" w:ascii="宋体" w:hAnsi="宋体" w:eastAsia="宋体"/>
          <w:b/>
          <w:sz w:val="22"/>
          <w:szCs w:val="22"/>
          <w:highlight w:val="none"/>
        </w:rPr>
      </w:pPr>
      <w:bookmarkStart w:id="269" w:name="_Toc221356905"/>
      <w:bookmarkStart w:id="270" w:name="_Toc221356968"/>
      <w:r>
        <w:rPr>
          <w:rFonts w:hint="eastAsia" w:ascii="宋体" w:hAnsi="宋体" w:eastAsia="宋体"/>
          <w:b/>
          <w:sz w:val="22"/>
          <w:szCs w:val="22"/>
          <w:highlight w:val="none"/>
        </w:rPr>
        <w:t>六、投标人义务</w:t>
      </w:r>
      <w:bookmarkEnd w:id="269"/>
      <w:bookmarkEnd w:id="270"/>
    </w:p>
    <w:p w14:paraId="0EBE3433">
      <w:pPr>
        <w:spacing w:line="360" w:lineRule="auto"/>
        <w:ind w:left="439" w:leftChars="209"/>
        <w:rPr>
          <w:rFonts w:hint="eastAsia" w:ascii="宋体" w:hAnsi="宋体"/>
          <w:sz w:val="22"/>
          <w:szCs w:val="22"/>
          <w:highlight w:val="none"/>
        </w:rPr>
      </w:pPr>
      <w:r>
        <w:rPr>
          <w:rFonts w:hint="eastAsia" w:ascii="宋体" w:hAnsi="宋体"/>
          <w:sz w:val="22"/>
          <w:szCs w:val="22"/>
          <w:highlight w:val="none"/>
        </w:rPr>
        <w:t>投标人应随时接受评标委员会的询标，解答包括有关的商务、技术问题等。评标结束，所有评标资料存招标采购单位备查。</w:t>
      </w:r>
    </w:p>
    <w:sectPr>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宋体,Verdana,Arial">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Univers LT Std 57 Cn">
    <w:altName w:val="Arial"/>
    <w:panose1 w:val="00000000000000000000"/>
    <w:charset w:val="00"/>
    <w:family w:val="swiss"/>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幼圆">
    <w:altName w:val="宋体"/>
    <w:panose1 w:val="0201050906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FCD2">
    <w:pPr>
      <w:pStyle w:val="22"/>
      <w:tabs>
        <w:tab w:val="center" w:pos="4678"/>
        <w:tab w:val="right" w:pos="9638"/>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4362D">
    <w:pPr>
      <w:pStyle w:val="22"/>
      <w:ind w:right="360" w:firstLine="4410" w:firstLineChars="245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35BE7F">
                          <w:pPr>
                            <w:pStyle w:val="22"/>
                            <w:ind w:firstLine="36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0135BE7F">
                    <w:pPr>
                      <w:pStyle w:val="22"/>
                      <w:ind w:firstLine="360"/>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C0B2D">
    <w:pPr>
      <w:pStyle w:val="22"/>
      <w:pBdr>
        <w:top w:val="single" w:color="auto" w:sz="4" w:space="1"/>
      </w:pBdr>
      <w:tabs>
        <w:tab w:val="center" w:pos="4819"/>
        <w:tab w:val="right" w:pos="9498"/>
        <w:tab w:val="clear" w:pos="4153"/>
        <w:tab w:val="clear" w:pos="8306"/>
      </w:tabs>
      <w:rPr>
        <w:rFonts w:hint="eastAsia" w:ascii="楷体" w:hAnsi="楷体" w:eastAsia="楷体"/>
      </w:rPr>
    </w:pPr>
    <w:r>
      <w:tab/>
    </w:r>
    <w:r>
      <w:rPr>
        <w:rFonts w:ascii="楷体" w:hAnsi="楷体" w:eastAsia="楷体"/>
      </w:rPr>
      <w:fldChar w:fldCharType="begin"/>
    </w:r>
    <w:r>
      <w:rPr>
        <w:rFonts w:ascii="楷体" w:hAnsi="楷体" w:eastAsia="楷体"/>
      </w:rPr>
      <w:instrText xml:space="preserve">PAGE   \* MERGEFORMAT</w:instrText>
    </w:r>
    <w:r>
      <w:rPr>
        <w:rFonts w:ascii="楷体" w:hAnsi="楷体" w:eastAsia="楷体"/>
      </w:rPr>
      <w:fldChar w:fldCharType="separate"/>
    </w:r>
    <w:r>
      <w:rPr>
        <w:rFonts w:ascii="楷体" w:hAnsi="楷体" w:eastAsia="楷体"/>
      </w:rPr>
      <w:t>2</w:t>
    </w:r>
    <w:r>
      <w:rPr>
        <w:rFonts w:ascii="楷体" w:hAnsi="楷体" w:eastAsia="楷体"/>
      </w:rPr>
      <w:fldChar w:fldCharType="end"/>
    </w:r>
    <w:r>
      <w:rPr>
        <w:rFonts w:ascii="楷体" w:hAnsi="楷体" w:eastAsia="楷体"/>
      </w:rPr>
      <w:tab/>
    </w:r>
    <w:r>
      <w:rPr>
        <w:rFonts w:hint="eastAsia" w:ascii="楷体" w:hAnsi="楷体" w:eastAsia="楷体"/>
      </w:rPr>
      <w:t>浙江立创项目管理有限公司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3B2C">
    <w:pPr>
      <w:pStyle w:val="22"/>
      <w:pBdr>
        <w:top w:val="single" w:color="auto" w:sz="4" w:space="1"/>
      </w:pBdr>
      <w:tabs>
        <w:tab w:val="center" w:pos="4678"/>
        <w:tab w:val="right" w:pos="9638"/>
        <w:tab w:val="clear" w:pos="4153"/>
        <w:tab w:val="clear" w:pos="8306"/>
      </w:tabs>
    </w:pPr>
    <w:r>
      <w:tab/>
    </w:r>
    <w:r>
      <w:fldChar w:fldCharType="begin"/>
    </w:r>
    <w:r>
      <w:instrText xml:space="preserve">PAGE   \* MERGEFORMAT</w:instrText>
    </w:r>
    <w:r>
      <w:fldChar w:fldCharType="separate"/>
    </w:r>
    <w:r>
      <w:t>42</w:t>
    </w:r>
    <w:r>
      <w:fldChar w:fldCharType="end"/>
    </w:r>
    <w:r>
      <w:tab/>
    </w:r>
    <w:r>
      <w:rPr>
        <w:rFonts w:hint="eastAsia" w:ascii="楷体_GB2312" w:eastAsia="楷体_GB2312"/>
      </w:rPr>
      <w:t>浙江立创项目管理有限公司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C48C7">
    <w:pPr>
      <w:pStyle w:val="23"/>
      <w:jc w:val="both"/>
      <w:rPr>
        <w:rFonts w:hint="eastAsia" w:ascii="楷体" w:hAnsi="楷体" w:eastAsia="楷体"/>
      </w:rPr>
    </w:pPr>
    <w:r>
      <w:rPr>
        <w:rFonts w:hint="eastAsia" w:ascii="楷体" w:hAnsi="楷体" w:eastAsia="楷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026A7">
    <w:pPr>
      <w:pStyle w:val="23"/>
      <w:ind w:left="0" w:leftChars="0" w:firstLine="0" w:firstLineChars="0"/>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A6330">
    <w:pPr>
      <w:pStyle w:val="23"/>
      <w:jc w:val="both"/>
      <w:rPr>
        <w:rFonts w:ascii="楷体_GB2312" w:eastAsia="楷体_GB2312"/>
      </w:rPr>
    </w:pPr>
    <w:r>
      <w:rPr>
        <w:rFonts w:hint="eastAsia" w:ascii="楷体_GB2312" w:eastAsia="楷体_GB2312"/>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91A7">
    <w:pPr>
      <w:pStyle w:val="23"/>
      <w:jc w:val="both"/>
      <w:rPr>
        <w:lang w:val="en-US"/>
      </w:rPr>
    </w:pPr>
    <w:r>
      <w:rPr>
        <w:rFonts w:hint="eastAsia" w:ascii="楷体" w:hAnsi="楷体" w:eastAsia="楷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A70F5"/>
    <w:multiLevelType w:val="singleLevel"/>
    <w:tmpl w:val="E6AA70F5"/>
    <w:lvl w:ilvl="0" w:tentative="0">
      <w:start w:val="1"/>
      <w:numFmt w:val="decimal"/>
      <w:pStyle w:val="9"/>
      <w:lvlText w:val="%1."/>
      <w:lvlJc w:val="left"/>
      <w:pPr>
        <w:tabs>
          <w:tab w:val="left" w:pos="360"/>
        </w:tabs>
        <w:ind w:left="360" w:hanging="360"/>
      </w:pPr>
    </w:lvl>
  </w:abstractNum>
  <w:abstractNum w:abstractNumId="1">
    <w:nsid w:val="0000000B"/>
    <w:multiLevelType w:val="multilevel"/>
    <w:tmpl w:val="0000000B"/>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5"/>
    <w:multiLevelType w:val="multilevel"/>
    <w:tmpl w:val="00000015"/>
    <w:lvl w:ilvl="0" w:tentative="0">
      <w:start w:val="1"/>
      <w:numFmt w:val="decimal"/>
      <w:lvlText w:val="%1)"/>
      <w:lvlJc w:val="left"/>
      <w:pPr>
        <w:tabs>
          <w:tab w:val="left" w:pos="7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8"/>
    <w:multiLevelType w:val="multilevel"/>
    <w:tmpl w:val="00000018"/>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B"/>
    <w:multiLevelType w:val="multilevel"/>
    <w:tmpl w:val="0000002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D04ED0"/>
    <w:multiLevelType w:val="multilevel"/>
    <w:tmpl w:val="00D04ED0"/>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1D621D3"/>
    <w:multiLevelType w:val="multilevel"/>
    <w:tmpl w:val="01D621D3"/>
    <w:lvl w:ilvl="0" w:tentative="0">
      <w:start w:val="1"/>
      <w:numFmt w:val="decimal"/>
      <w:lvlText w:val="%1）"/>
      <w:lvlJc w:val="left"/>
      <w:pPr>
        <w:ind w:left="887" w:hanging="360"/>
      </w:pPr>
      <w:rPr>
        <w:rFonts w:hint="default"/>
      </w:rPr>
    </w:lvl>
    <w:lvl w:ilvl="1" w:tentative="0">
      <w:start w:val="1"/>
      <w:numFmt w:val="lowerLetter"/>
      <w:lvlText w:val="%2)"/>
      <w:lvlJc w:val="left"/>
      <w:pPr>
        <w:ind w:left="1367" w:hanging="420"/>
      </w:pPr>
    </w:lvl>
    <w:lvl w:ilvl="2" w:tentative="0">
      <w:start w:val="1"/>
      <w:numFmt w:val="lowerRoman"/>
      <w:lvlText w:val="%3."/>
      <w:lvlJc w:val="right"/>
      <w:pPr>
        <w:ind w:left="1787" w:hanging="420"/>
      </w:pPr>
    </w:lvl>
    <w:lvl w:ilvl="3" w:tentative="0">
      <w:start w:val="1"/>
      <w:numFmt w:val="decimal"/>
      <w:lvlText w:val="%4."/>
      <w:lvlJc w:val="left"/>
      <w:pPr>
        <w:ind w:left="2207" w:hanging="420"/>
      </w:pPr>
    </w:lvl>
    <w:lvl w:ilvl="4" w:tentative="0">
      <w:start w:val="1"/>
      <w:numFmt w:val="lowerLetter"/>
      <w:lvlText w:val="%5)"/>
      <w:lvlJc w:val="left"/>
      <w:pPr>
        <w:ind w:left="2627" w:hanging="420"/>
      </w:pPr>
    </w:lvl>
    <w:lvl w:ilvl="5" w:tentative="0">
      <w:start w:val="1"/>
      <w:numFmt w:val="lowerRoman"/>
      <w:lvlText w:val="%6."/>
      <w:lvlJc w:val="right"/>
      <w:pPr>
        <w:ind w:left="3047" w:hanging="420"/>
      </w:pPr>
    </w:lvl>
    <w:lvl w:ilvl="6" w:tentative="0">
      <w:start w:val="1"/>
      <w:numFmt w:val="decimal"/>
      <w:lvlText w:val="%7."/>
      <w:lvlJc w:val="left"/>
      <w:pPr>
        <w:ind w:left="3467" w:hanging="420"/>
      </w:pPr>
    </w:lvl>
    <w:lvl w:ilvl="7" w:tentative="0">
      <w:start w:val="1"/>
      <w:numFmt w:val="lowerLetter"/>
      <w:lvlText w:val="%8)"/>
      <w:lvlJc w:val="left"/>
      <w:pPr>
        <w:ind w:left="3887" w:hanging="420"/>
      </w:pPr>
    </w:lvl>
    <w:lvl w:ilvl="8" w:tentative="0">
      <w:start w:val="1"/>
      <w:numFmt w:val="lowerRoman"/>
      <w:lvlText w:val="%9."/>
      <w:lvlJc w:val="right"/>
      <w:pPr>
        <w:ind w:left="4307" w:hanging="420"/>
      </w:pPr>
    </w:lvl>
  </w:abstractNum>
  <w:abstractNum w:abstractNumId="7">
    <w:nsid w:val="15434DED"/>
    <w:multiLevelType w:val="multilevel"/>
    <w:tmpl w:val="15434DED"/>
    <w:lvl w:ilvl="0" w:tentative="0">
      <w:start w:val="1"/>
      <w:numFmt w:val="decimal"/>
      <w:lvlText w:val="%1."/>
      <w:lvlJc w:val="left"/>
      <w:pPr>
        <w:ind w:left="170" w:hanging="57"/>
      </w:pPr>
      <w:rPr>
        <w:rFonts w:hint="eastAsia" w:ascii="宋体" w:hAnsi="宋体" w:eastAsia="宋体"/>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6D34A53"/>
    <w:multiLevelType w:val="multilevel"/>
    <w:tmpl w:val="16D34A53"/>
    <w:lvl w:ilvl="0" w:tentative="0">
      <w:start w:val="1"/>
      <w:numFmt w:val="decimal"/>
      <w:lvlText w:val="%1)"/>
      <w:lvlJc w:val="left"/>
      <w:pPr>
        <w:tabs>
          <w:tab w:val="left" w:pos="420"/>
        </w:tabs>
        <w:ind w:left="420" w:hanging="420"/>
      </w:pPr>
      <w:rPr>
        <w:rFonts w:hint="eastAsia"/>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9DD6FE2"/>
    <w:multiLevelType w:val="multilevel"/>
    <w:tmpl w:val="19DD6FE2"/>
    <w:lvl w:ilvl="0" w:tentative="0">
      <w:start w:val="1"/>
      <w:numFmt w:val="japaneseCounting"/>
      <w:lvlText w:val="（%1）"/>
      <w:lvlJc w:val="left"/>
      <w:pPr>
        <w:ind w:left="1079" w:hanging="720"/>
      </w:pPr>
      <w:rPr>
        <w:rFonts w:hint="default"/>
        <w:lang w:val="en-US"/>
      </w:rPr>
    </w:lvl>
    <w:lvl w:ilvl="1" w:tentative="0">
      <w:start w:val="1"/>
      <w:numFmt w:val="japaneseCounting"/>
      <w:lvlText w:val="（%2）"/>
      <w:lvlJc w:val="left"/>
      <w:pPr>
        <w:ind w:left="1499" w:hanging="720"/>
      </w:pPr>
      <w:rPr>
        <w:rFonts w:hint="default"/>
      </w:r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0">
    <w:nsid w:val="20D1378C"/>
    <w:multiLevelType w:val="multilevel"/>
    <w:tmpl w:val="20D1378C"/>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24602FF9"/>
    <w:multiLevelType w:val="multilevel"/>
    <w:tmpl w:val="24602FF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25530E96"/>
    <w:multiLevelType w:val="multilevel"/>
    <w:tmpl w:val="25530E96"/>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277D2EDD"/>
    <w:multiLevelType w:val="multilevel"/>
    <w:tmpl w:val="277D2EDD"/>
    <w:lvl w:ilvl="0" w:tentative="0">
      <w:start w:val="1"/>
      <w:numFmt w:val="decimal"/>
      <w:lvlText w:val="%1."/>
      <w:lvlJc w:val="left"/>
      <w:pPr>
        <w:tabs>
          <w:tab w:val="left" w:pos="635"/>
        </w:tabs>
        <w:ind w:left="567" w:hanging="567"/>
      </w:pPr>
      <w:rPr>
        <w:rFonts w:hint="eastAsia" w:ascii="宋体" w:hAnsi="宋体" w:eastAsia="宋体"/>
        <w:b w:val="0"/>
        <w:sz w:val="22"/>
        <w:szCs w:val="22"/>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ascii="宋体" w:hAnsi="宋体" w:eastAsia="宋体"/>
        <w:sz w:val="22"/>
        <w:szCs w:val="22"/>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2D525B6B"/>
    <w:multiLevelType w:val="multilevel"/>
    <w:tmpl w:val="2D525B6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C8F7E87"/>
    <w:multiLevelType w:val="multilevel"/>
    <w:tmpl w:val="3C8F7E87"/>
    <w:lvl w:ilvl="0" w:tentative="0">
      <w:start w:val="1"/>
      <w:numFmt w:val="decimal"/>
      <w:lvlText w:val="%1."/>
      <w:lvlJc w:val="left"/>
      <w:pPr>
        <w:tabs>
          <w:tab w:val="left" w:pos="905"/>
        </w:tabs>
        <w:ind w:left="905" w:hanging="420"/>
      </w:pPr>
      <w:rPr>
        <w:rFonts w:hint="default" w:ascii="黑体" w:hAnsi="黑体"/>
        <w:b/>
        <w:i w:val="0"/>
        <w:sz w:val="21"/>
        <w:szCs w:val="21"/>
      </w:rPr>
    </w:lvl>
    <w:lvl w:ilvl="1" w:tentative="0">
      <w:start w:val="1"/>
      <w:numFmt w:val="decimal"/>
      <w:lvlText w:val="%2."/>
      <w:lvlJc w:val="left"/>
      <w:pPr>
        <w:tabs>
          <w:tab w:val="left" w:pos="840"/>
        </w:tabs>
        <w:ind w:left="840" w:hanging="420"/>
      </w:pPr>
      <w:rPr>
        <w:rFonts w:hint="default" w:ascii="黑体" w:hAnsi="黑体"/>
        <w:b w:val="0"/>
        <w:i w:val="0"/>
        <w:sz w:val="21"/>
        <w:szCs w:val="21"/>
      </w:rPr>
    </w:lvl>
    <w:lvl w:ilvl="2" w:tentative="0">
      <w:start w:val="1"/>
      <w:numFmt w:val="decimal"/>
      <w:lvlText w:val="（%3）"/>
      <w:lvlJc w:val="left"/>
      <w:pPr>
        <w:tabs>
          <w:tab w:val="left" w:pos="1560"/>
        </w:tabs>
        <w:ind w:left="1237" w:hanging="397"/>
      </w:pPr>
      <w:rPr>
        <w:rFonts w:hint="default" w:ascii="黑体" w:hAnsi="黑体"/>
        <w:b/>
        <w:i w:val="0"/>
        <w:sz w:val="21"/>
        <w:szCs w:val="21"/>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CDD2BE7"/>
    <w:multiLevelType w:val="multilevel"/>
    <w:tmpl w:val="3CDD2BE7"/>
    <w:lvl w:ilvl="0" w:tentative="0">
      <w:start w:val="1"/>
      <w:numFmt w:val="decimal"/>
      <w:lvlText w:val="（%1）"/>
      <w:lvlJc w:val="left"/>
      <w:pPr>
        <w:tabs>
          <w:tab w:val="left" w:pos="1287"/>
        </w:tabs>
        <w:ind w:left="964" w:hanging="397"/>
      </w:pPr>
      <w:rPr>
        <w:rFonts w:hint="default" w:ascii="Arial" w:hAnsi="Arial"/>
        <w:b w:val="0"/>
        <w:i w:val="0"/>
      </w:rPr>
    </w:lvl>
    <w:lvl w:ilvl="1" w:tentative="0">
      <w:start w:val="1"/>
      <w:numFmt w:val="japaneseCounting"/>
      <w:lvlText w:val="%2."/>
      <w:lvlJc w:val="left"/>
      <w:pPr>
        <w:tabs>
          <w:tab w:val="left" w:pos="855"/>
        </w:tabs>
        <w:ind w:left="855" w:hanging="435"/>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japaneseCounting"/>
      <w:lvlText w:val="（%4）"/>
      <w:lvlJc w:val="left"/>
      <w:pPr>
        <w:tabs>
          <w:tab w:val="left" w:pos="3960"/>
        </w:tabs>
        <w:ind w:left="396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BB92A8A"/>
    <w:multiLevelType w:val="multilevel"/>
    <w:tmpl w:val="4BB92A8A"/>
    <w:lvl w:ilvl="0" w:tentative="0">
      <w:start w:val="1"/>
      <w:numFmt w:val="decimal"/>
      <w:lvlText w:val="%1)"/>
      <w:lvlJc w:val="left"/>
      <w:pPr>
        <w:tabs>
          <w:tab w:val="left" w:pos="780"/>
        </w:tabs>
        <w:ind w:left="780" w:hanging="420"/>
      </w:pPr>
      <w:rPr>
        <w:rFonts w:hint="eastAsia"/>
        <w:b w:val="0"/>
      </w:rPr>
    </w:lvl>
    <w:lvl w:ilvl="1" w:tentative="0">
      <w:start w:val="1"/>
      <w:numFmt w:val="lowerLetter"/>
      <w:lvlText w:val="%2)"/>
      <w:lvlJc w:val="left"/>
      <w:pPr>
        <w:tabs>
          <w:tab w:val="left" w:pos="840"/>
        </w:tabs>
        <w:ind w:left="840" w:hanging="420"/>
      </w:pPr>
      <w:rPr>
        <w:b w:val="0"/>
      </w:rPr>
    </w:lvl>
    <w:lvl w:ilvl="2" w:tentative="0">
      <w:start w:val="1"/>
      <w:numFmt w:val="chineseCountingThousand"/>
      <w:lvlText w:val="(%3)"/>
      <w:lvlJc w:val="left"/>
      <w:pPr>
        <w:tabs>
          <w:tab w:val="left" w:pos="600"/>
        </w:tabs>
        <w:ind w:left="600" w:hanging="420"/>
      </w:pPr>
      <w:rPr>
        <w:rFonts w:hint="eastAsia"/>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CCF6BB0"/>
    <w:multiLevelType w:val="multilevel"/>
    <w:tmpl w:val="4CCF6BB0"/>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E7D5079"/>
    <w:multiLevelType w:val="multilevel"/>
    <w:tmpl w:val="4E7D5079"/>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5B674D8C"/>
    <w:multiLevelType w:val="multilevel"/>
    <w:tmpl w:val="5B674D8C"/>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1">
    <w:nsid w:val="71D25FB7"/>
    <w:multiLevelType w:val="multilevel"/>
    <w:tmpl w:val="71D25FB7"/>
    <w:lvl w:ilvl="0" w:tentative="0">
      <w:start w:val="1"/>
      <w:numFmt w:val="decimal"/>
      <w:lvlText w:val="%1)"/>
      <w:lvlJc w:val="left"/>
      <w:pPr>
        <w:tabs>
          <w:tab w:val="left" w:pos="1319"/>
        </w:tabs>
        <w:ind w:left="1319" w:hanging="420"/>
      </w:pPr>
    </w:lvl>
    <w:lvl w:ilvl="1" w:tentative="0">
      <w:start w:val="1"/>
      <w:numFmt w:val="decimal"/>
      <w:lvlText w:val="%2、"/>
      <w:lvlJc w:val="left"/>
      <w:pPr>
        <w:tabs>
          <w:tab w:val="left" w:pos="1679"/>
        </w:tabs>
        <w:ind w:left="1679" w:hanging="360"/>
      </w:pPr>
      <w:rPr>
        <w:rFonts w:hint="default"/>
      </w:r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22">
    <w:nsid w:val="72516D77"/>
    <w:multiLevelType w:val="multilevel"/>
    <w:tmpl w:val="72516D77"/>
    <w:lvl w:ilvl="0" w:tentative="0">
      <w:start w:val="1"/>
      <w:numFmt w:val="decimal"/>
      <w:lvlText w:val="%1"/>
      <w:lvlJc w:val="center"/>
      <w:pPr>
        <w:ind w:left="227" w:hanging="29"/>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7CE402D8"/>
    <w:multiLevelType w:val="multilevel"/>
    <w:tmpl w:val="7CE402D8"/>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2"/>
  </w:num>
  <w:num w:numId="3">
    <w:abstractNumId w:val="13"/>
  </w:num>
  <w:num w:numId="4">
    <w:abstractNumId w:val="1"/>
  </w:num>
  <w:num w:numId="5">
    <w:abstractNumId w:val="2"/>
  </w:num>
  <w:num w:numId="6">
    <w:abstractNumId w:val="4"/>
  </w:num>
  <w:num w:numId="7">
    <w:abstractNumId w:val="7"/>
  </w:num>
  <w:num w:numId="8">
    <w:abstractNumId w:val="14"/>
  </w:num>
  <w:num w:numId="9">
    <w:abstractNumId w:val="6"/>
  </w:num>
  <w:num w:numId="10">
    <w:abstractNumId w:val="3"/>
  </w:num>
  <w:num w:numId="11">
    <w:abstractNumId w:val="12"/>
  </w:num>
  <w:num w:numId="12">
    <w:abstractNumId w:val="18"/>
  </w:num>
  <w:num w:numId="13">
    <w:abstractNumId w:val="5"/>
  </w:num>
  <w:num w:numId="14">
    <w:abstractNumId w:val="23"/>
  </w:num>
  <w:num w:numId="15">
    <w:abstractNumId w:val="8"/>
  </w:num>
  <w:num w:numId="16">
    <w:abstractNumId w:val="19"/>
  </w:num>
  <w:num w:numId="17">
    <w:abstractNumId w:val="10"/>
  </w:num>
  <w:num w:numId="18">
    <w:abstractNumId w:val="11"/>
  </w:num>
  <w:num w:numId="19">
    <w:abstractNumId w:val="15"/>
  </w:num>
  <w:num w:numId="20">
    <w:abstractNumId w:val="16"/>
  </w:num>
  <w:num w:numId="21">
    <w:abstractNumId w:val="21"/>
  </w:num>
  <w:num w:numId="22">
    <w:abstractNumId w:val="9"/>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NDdhMmM5YjkyYjgyM2ZkMzNjMmNhYTgxZWE0ZjQifQ=="/>
  </w:docVars>
  <w:rsids>
    <w:rsidRoot w:val="00172A27"/>
    <w:rsid w:val="00001124"/>
    <w:rsid w:val="000042BF"/>
    <w:rsid w:val="000049A1"/>
    <w:rsid w:val="00005104"/>
    <w:rsid w:val="00005D60"/>
    <w:rsid w:val="00006724"/>
    <w:rsid w:val="00006B06"/>
    <w:rsid w:val="000070F5"/>
    <w:rsid w:val="00007145"/>
    <w:rsid w:val="0000724D"/>
    <w:rsid w:val="00007289"/>
    <w:rsid w:val="000076BE"/>
    <w:rsid w:val="00007A5D"/>
    <w:rsid w:val="00007A6A"/>
    <w:rsid w:val="00007C6F"/>
    <w:rsid w:val="00007F41"/>
    <w:rsid w:val="00007F7C"/>
    <w:rsid w:val="0001030D"/>
    <w:rsid w:val="000107C7"/>
    <w:rsid w:val="00010969"/>
    <w:rsid w:val="00012B7F"/>
    <w:rsid w:val="00012D56"/>
    <w:rsid w:val="00013B2D"/>
    <w:rsid w:val="000146E5"/>
    <w:rsid w:val="000148F4"/>
    <w:rsid w:val="000153CE"/>
    <w:rsid w:val="00015D0C"/>
    <w:rsid w:val="00020E30"/>
    <w:rsid w:val="00021819"/>
    <w:rsid w:val="00022303"/>
    <w:rsid w:val="000224E6"/>
    <w:rsid w:val="00022796"/>
    <w:rsid w:val="00022AA6"/>
    <w:rsid w:val="00022C7E"/>
    <w:rsid w:val="00023C28"/>
    <w:rsid w:val="0002477A"/>
    <w:rsid w:val="00024F37"/>
    <w:rsid w:val="0002526B"/>
    <w:rsid w:val="00025316"/>
    <w:rsid w:val="00026153"/>
    <w:rsid w:val="00026B79"/>
    <w:rsid w:val="00027336"/>
    <w:rsid w:val="00030DCE"/>
    <w:rsid w:val="00032F0C"/>
    <w:rsid w:val="000351E0"/>
    <w:rsid w:val="00035934"/>
    <w:rsid w:val="0003594B"/>
    <w:rsid w:val="000377AB"/>
    <w:rsid w:val="00037DC2"/>
    <w:rsid w:val="000405BD"/>
    <w:rsid w:val="00040B81"/>
    <w:rsid w:val="0004202D"/>
    <w:rsid w:val="000423C8"/>
    <w:rsid w:val="0004330E"/>
    <w:rsid w:val="00043521"/>
    <w:rsid w:val="00043AFE"/>
    <w:rsid w:val="00043D10"/>
    <w:rsid w:val="00043E85"/>
    <w:rsid w:val="00044C3D"/>
    <w:rsid w:val="00044ED3"/>
    <w:rsid w:val="00045734"/>
    <w:rsid w:val="00045735"/>
    <w:rsid w:val="00045B72"/>
    <w:rsid w:val="00046908"/>
    <w:rsid w:val="00046CB1"/>
    <w:rsid w:val="000500D2"/>
    <w:rsid w:val="000507E7"/>
    <w:rsid w:val="00051196"/>
    <w:rsid w:val="00051991"/>
    <w:rsid w:val="00051C45"/>
    <w:rsid w:val="0005242B"/>
    <w:rsid w:val="00052673"/>
    <w:rsid w:val="00052B69"/>
    <w:rsid w:val="000532CE"/>
    <w:rsid w:val="0005433D"/>
    <w:rsid w:val="00055022"/>
    <w:rsid w:val="000550C8"/>
    <w:rsid w:val="0005568D"/>
    <w:rsid w:val="0005737E"/>
    <w:rsid w:val="00060E2D"/>
    <w:rsid w:val="00064D68"/>
    <w:rsid w:val="000668DD"/>
    <w:rsid w:val="00067019"/>
    <w:rsid w:val="000679DA"/>
    <w:rsid w:val="00067C95"/>
    <w:rsid w:val="000718F4"/>
    <w:rsid w:val="00072730"/>
    <w:rsid w:val="00074563"/>
    <w:rsid w:val="00074E9C"/>
    <w:rsid w:val="0007533B"/>
    <w:rsid w:val="00076600"/>
    <w:rsid w:val="000771D9"/>
    <w:rsid w:val="00080787"/>
    <w:rsid w:val="0008093E"/>
    <w:rsid w:val="00081DDB"/>
    <w:rsid w:val="00081FF1"/>
    <w:rsid w:val="000835C9"/>
    <w:rsid w:val="00083887"/>
    <w:rsid w:val="0008437B"/>
    <w:rsid w:val="0008455B"/>
    <w:rsid w:val="00084A22"/>
    <w:rsid w:val="00087153"/>
    <w:rsid w:val="0008788F"/>
    <w:rsid w:val="00090B70"/>
    <w:rsid w:val="00091ECB"/>
    <w:rsid w:val="000920E5"/>
    <w:rsid w:val="00092869"/>
    <w:rsid w:val="00092D47"/>
    <w:rsid w:val="00093061"/>
    <w:rsid w:val="000931E3"/>
    <w:rsid w:val="000937CA"/>
    <w:rsid w:val="00094D9C"/>
    <w:rsid w:val="00095AD0"/>
    <w:rsid w:val="00096370"/>
    <w:rsid w:val="00097075"/>
    <w:rsid w:val="0009731A"/>
    <w:rsid w:val="00097BAE"/>
    <w:rsid w:val="000A0A70"/>
    <w:rsid w:val="000A2CE0"/>
    <w:rsid w:val="000A3AD6"/>
    <w:rsid w:val="000A3B32"/>
    <w:rsid w:val="000A4CC3"/>
    <w:rsid w:val="000A51C7"/>
    <w:rsid w:val="000A5608"/>
    <w:rsid w:val="000A61C1"/>
    <w:rsid w:val="000A6350"/>
    <w:rsid w:val="000A63F8"/>
    <w:rsid w:val="000A74B2"/>
    <w:rsid w:val="000A7537"/>
    <w:rsid w:val="000A7CB9"/>
    <w:rsid w:val="000A7F78"/>
    <w:rsid w:val="000B1989"/>
    <w:rsid w:val="000B22E1"/>
    <w:rsid w:val="000B30F8"/>
    <w:rsid w:val="000B3A52"/>
    <w:rsid w:val="000B3C01"/>
    <w:rsid w:val="000B40A2"/>
    <w:rsid w:val="000B5103"/>
    <w:rsid w:val="000B51E2"/>
    <w:rsid w:val="000B52AE"/>
    <w:rsid w:val="000B561F"/>
    <w:rsid w:val="000B5A9D"/>
    <w:rsid w:val="000B6D79"/>
    <w:rsid w:val="000C011B"/>
    <w:rsid w:val="000C16F2"/>
    <w:rsid w:val="000C2AE8"/>
    <w:rsid w:val="000C3B9F"/>
    <w:rsid w:val="000C3CB1"/>
    <w:rsid w:val="000C48E4"/>
    <w:rsid w:val="000C4A9A"/>
    <w:rsid w:val="000C4B4C"/>
    <w:rsid w:val="000C4F32"/>
    <w:rsid w:val="000C507D"/>
    <w:rsid w:val="000C5357"/>
    <w:rsid w:val="000C5540"/>
    <w:rsid w:val="000C5E99"/>
    <w:rsid w:val="000C6BA3"/>
    <w:rsid w:val="000C764C"/>
    <w:rsid w:val="000C777C"/>
    <w:rsid w:val="000C7DE6"/>
    <w:rsid w:val="000D05F0"/>
    <w:rsid w:val="000D0FE5"/>
    <w:rsid w:val="000D2173"/>
    <w:rsid w:val="000D4B96"/>
    <w:rsid w:val="000D4D5C"/>
    <w:rsid w:val="000D580A"/>
    <w:rsid w:val="000D5DA2"/>
    <w:rsid w:val="000D6CD7"/>
    <w:rsid w:val="000D72D7"/>
    <w:rsid w:val="000E1CEF"/>
    <w:rsid w:val="000E2314"/>
    <w:rsid w:val="000E3AED"/>
    <w:rsid w:val="000E3FEB"/>
    <w:rsid w:val="000E49DF"/>
    <w:rsid w:val="000E50C0"/>
    <w:rsid w:val="000E5AA1"/>
    <w:rsid w:val="000E6A51"/>
    <w:rsid w:val="000F01FD"/>
    <w:rsid w:val="000F06F3"/>
    <w:rsid w:val="000F07E4"/>
    <w:rsid w:val="000F1996"/>
    <w:rsid w:val="000F1A29"/>
    <w:rsid w:val="000F1ABB"/>
    <w:rsid w:val="000F239F"/>
    <w:rsid w:val="000F398A"/>
    <w:rsid w:val="000F4602"/>
    <w:rsid w:val="000F4BD6"/>
    <w:rsid w:val="000F5188"/>
    <w:rsid w:val="000F5595"/>
    <w:rsid w:val="000F5E68"/>
    <w:rsid w:val="000F6DBD"/>
    <w:rsid w:val="000F7F4C"/>
    <w:rsid w:val="00101064"/>
    <w:rsid w:val="0010137B"/>
    <w:rsid w:val="00101546"/>
    <w:rsid w:val="00101E1A"/>
    <w:rsid w:val="00102CC3"/>
    <w:rsid w:val="00105130"/>
    <w:rsid w:val="00105E7C"/>
    <w:rsid w:val="00106006"/>
    <w:rsid w:val="001063B4"/>
    <w:rsid w:val="001064BD"/>
    <w:rsid w:val="0010687D"/>
    <w:rsid w:val="001077AD"/>
    <w:rsid w:val="0011050B"/>
    <w:rsid w:val="001106F2"/>
    <w:rsid w:val="00110F19"/>
    <w:rsid w:val="00111A7E"/>
    <w:rsid w:val="00111C99"/>
    <w:rsid w:val="00111F74"/>
    <w:rsid w:val="001120D8"/>
    <w:rsid w:val="001128B7"/>
    <w:rsid w:val="00112C51"/>
    <w:rsid w:val="00114DC3"/>
    <w:rsid w:val="00114E3F"/>
    <w:rsid w:val="00114FBB"/>
    <w:rsid w:val="001154B9"/>
    <w:rsid w:val="00121E3B"/>
    <w:rsid w:val="0012209B"/>
    <w:rsid w:val="00122B40"/>
    <w:rsid w:val="00122E27"/>
    <w:rsid w:val="00122F46"/>
    <w:rsid w:val="0012389D"/>
    <w:rsid w:val="001257CB"/>
    <w:rsid w:val="001259D6"/>
    <w:rsid w:val="001259D7"/>
    <w:rsid w:val="001267A2"/>
    <w:rsid w:val="00126F89"/>
    <w:rsid w:val="001301C9"/>
    <w:rsid w:val="00130B07"/>
    <w:rsid w:val="001343E7"/>
    <w:rsid w:val="00134CD5"/>
    <w:rsid w:val="00135D56"/>
    <w:rsid w:val="001364F1"/>
    <w:rsid w:val="0013685F"/>
    <w:rsid w:val="0013724A"/>
    <w:rsid w:val="00140639"/>
    <w:rsid w:val="00141B23"/>
    <w:rsid w:val="00142F8B"/>
    <w:rsid w:val="00144668"/>
    <w:rsid w:val="00145333"/>
    <w:rsid w:val="001454C1"/>
    <w:rsid w:val="00145860"/>
    <w:rsid w:val="00145B02"/>
    <w:rsid w:val="00146823"/>
    <w:rsid w:val="00146922"/>
    <w:rsid w:val="00146A3E"/>
    <w:rsid w:val="00146D21"/>
    <w:rsid w:val="0015071E"/>
    <w:rsid w:val="00150CFD"/>
    <w:rsid w:val="0015160F"/>
    <w:rsid w:val="0015198D"/>
    <w:rsid w:val="00151D6E"/>
    <w:rsid w:val="00152AB8"/>
    <w:rsid w:val="00152F33"/>
    <w:rsid w:val="001535BD"/>
    <w:rsid w:val="0015384C"/>
    <w:rsid w:val="00153BDB"/>
    <w:rsid w:val="0015497A"/>
    <w:rsid w:val="00157795"/>
    <w:rsid w:val="001578BA"/>
    <w:rsid w:val="0016034D"/>
    <w:rsid w:val="001604EC"/>
    <w:rsid w:val="0016075D"/>
    <w:rsid w:val="00160F4C"/>
    <w:rsid w:val="001614F4"/>
    <w:rsid w:val="001619BF"/>
    <w:rsid w:val="00161D28"/>
    <w:rsid w:val="00161DE1"/>
    <w:rsid w:val="0016314E"/>
    <w:rsid w:val="0016320B"/>
    <w:rsid w:val="00163D02"/>
    <w:rsid w:val="00163DC6"/>
    <w:rsid w:val="00163EA5"/>
    <w:rsid w:val="001662AE"/>
    <w:rsid w:val="00166C17"/>
    <w:rsid w:val="00167678"/>
    <w:rsid w:val="001707CB"/>
    <w:rsid w:val="00170982"/>
    <w:rsid w:val="00170D81"/>
    <w:rsid w:val="00170F38"/>
    <w:rsid w:val="00171F6F"/>
    <w:rsid w:val="0017210A"/>
    <w:rsid w:val="0017223E"/>
    <w:rsid w:val="00172A27"/>
    <w:rsid w:val="00172B78"/>
    <w:rsid w:val="00172D36"/>
    <w:rsid w:val="00173016"/>
    <w:rsid w:val="00173D31"/>
    <w:rsid w:val="00175BC6"/>
    <w:rsid w:val="00175C3B"/>
    <w:rsid w:val="00175D04"/>
    <w:rsid w:val="001767B2"/>
    <w:rsid w:val="00177581"/>
    <w:rsid w:val="00177CD3"/>
    <w:rsid w:val="001800E4"/>
    <w:rsid w:val="0018027C"/>
    <w:rsid w:val="0018184A"/>
    <w:rsid w:val="00181F67"/>
    <w:rsid w:val="00182930"/>
    <w:rsid w:val="001830F6"/>
    <w:rsid w:val="00183325"/>
    <w:rsid w:val="00183B11"/>
    <w:rsid w:val="001845E5"/>
    <w:rsid w:val="00184737"/>
    <w:rsid w:val="00185299"/>
    <w:rsid w:val="00185C38"/>
    <w:rsid w:val="00186FA2"/>
    <w:rsid w:val="00191615"/>
    <w:rsid w:val="001920EA"/>
    <w:rsid w:val="00192829"/>
    <w:rsid w:val="0019374B"/>
    <w:rsid w:val="00193D9E"/>
    <w:rsid w:val="00193E97"/>
    <w:rsid w:val="001941A3"/>
    <w:rsid w:val="001958E5"/>
    <w:rsid w:val="00195F03"/>
    <w:rsid w:val="00196279"/>
    <w:rsid w:val="001964FD"/>
    <w:rsid w:val="0019773D"/>
    <w:rsid w:val="001A04C3"/>
    <w:rsid w:val="001A11C7"/>
    <w:rsid w:val="001A14E1"/>
    <w:rsid w:val="001A17DB"/>
    <w:rsid w:val="001A1BC8"/>
    <w:rsid w:val="001A24D7"/>
    <w:rsid w:val="001A2878"/>
    <w:rsid w:val="001A2B6E"/>
    <w:rsid w:val="001A3EEE"/>
    <w:rsid w:val="001A40E9"/>
    <w:rsid w:val="001A436A"/>
    <w:rsid w:val="001A5F30"/>
    <w:rsid w:val="001A6564"/>
    <w:rsid w:val="001A77FC"/>
    <w:rsid w:val="001A7F20"/>
    <w:rsid w:val="001B3B2F"/>
    <w:rsid w:val="001B4108"/>
    <w:rsid w:val="001B418C"/>
    <w:rsid w:val="001B583C"/>
    <w:rsid w:val="001B58F2"/>
    <w:rsid w:val="001B6B88"/>
    <w:rsid w:val="001B78B4"/>
    <w:rsid w:val="001B7C4B"/>
    <w:rsid w:val="001B7D08"/>
    <w:rsid w:val="001C075D"/>
    <w:rsid w:val="001C0783"/>
    <w:rsid w:val="001C0BA1"/>
    <w:rsid w:val="001C18BD"/>
    <w:rsid w:val="001C1901"/>
    <w:rsid w:val="001C1A55"/>
    <w:rsid w:val="001C4A1E"/>
    <w:rsid w:val="001C549F"/>
    <w:rsid w:val="001C5789"/>
    <w:rsid w:val="001C5D7D"/>
    <w:rsid w:val="001C63F6"/>
    <w:rsid w:val="001C6DA0"/>
    <w:rsid w:val="001C6E60"/>
    <w:rsid w:val="001C6FF7"/>
    <w:rsid w:val="001C7476"/>
    <w:rsid w:val="001C7537"/>
    <w:rsid w:val="001C77C9"/>
    <w:rsid w:val="001D0021"/>
    <w:rsid w:val="001D1528"/>
    <w:rsid w:val="001D2D09"/>
    <w:rsid w:val="001D3220"/>
    <w:rsid w:val="001D33EE"/>
    <w:rsid w:val="001D347A"/>
    <w:rsid w:val="001D3F50"/>
    <w:rsid w:val="001D4D13"/>
    <w:rsid w:val="001D4D9F"/>
    <w:rsid w:val="001D5A6D"/>
    <w:rsid w:val="001D5D78"/>
    <w:rsid w:val="001D638D"/>
    <w:rsid w:val="001D71ED"/>
    <w:rsid w:val="001D7317"/>
    <w:rsid w:val="001E02BE"/>
    <w:rsid w:val="001E040C"/>
    <w:rsid w:val="001E208D"/>
    <w:rsid w:val="001E2CDF"/>
    <w:rsid w:val="001E2F2B"/>
    <w:rsid w:val="001E3511"/>
    <w:rsid w:val="001E35A6"/>
    <w:rsid w:val="001E41FE"/>
    <w:rsid w:val="001E584B"/>
    <w:rsid w:val="001E66BC"/>
    <w:rsid w:val="001E76AE"/>
    <w:rsid w:val="001F0375"/>
    <w:rsid w:val="001F1795"/>
    <w:rsid w:val="001F1E93"/>
    <w:rsid w:val="001F237D"/>
    <w:rsid w:val="001F403A"/>
    <w:rsid w:val="001F53EE"/>
    <w:rsid w:val="001F655D"/>
    <w:rsid w:val="001F68AE"/>
    <w:rsid w:val="001F6B2F"/>
    <w:rsid w:val="00200873"/>
    <w:rsid w:val="00200A1C"/>
    <w:rsid w:val="0020173A"/>
    <w:rsid w:val="00201EF8"/>
    <w:rsid w:val="002023C5"/>
    <w:rsid w:val="00202584"/>
    <w:rsid w:val="0020327D"/>
    <w:rsid w:val="00204CCB"/>
    <w:rsid w:val="00205096"/>
    <w:rsid w:val="00206327"/>
    <w:rsid w:val="002069F1"/>
    <w:rsid w:val="00206B3F"/>
    <w:rsid w:val="00206FE5"/>
    <w:rsid w:val="00210089"/>
    <w:rsid w:val="00210139"/>
    <w:rsid w:val="00210D6F"/>
    <w:rsid w:val="00210F19"/>
    <w:rsid w:val="002124E5"/>
    <w:rsid w:val="002125CF"/>
    <w:rsid w:val="00213202"/>
    <w:rsid w:val="00213A6D"/>
    <w:rsid w:val="00213CBC"/>
    <w:rsid w:val="0021415F"/>
    <w:rsid w:val="002141E1"/>
    <w:rsid w:val="002164C3"/>
    <w:rsid w:val="00216F08"/>
    <w:rsid w:val="00217250"/>
    <w:rsid w:val="00217CE4"/>
    <w:rsid w:val="00217E22"/>
    <w:rsid w:val="00220AEA"/>
    <w:rsid w:val="00220D1A"/>
    <w:rsid w:val="00221159"/>
    <w:rsid w:val="0022140B"/>
    <w:rsid w:val="0022164D"/>
    <w:rsid w:val="00221C25"/>
    <w:rsid w:val="0022297F"/>
    <w:rsid w:val="002231A9"/>
    <w:rsid w:val="002235CE"/>
    <w:rsid w:val="00224C9C"/>
    <w:rsid w:val="00225873"/>
    <w:rsid w:val="0022637E"/>
    <w:rsid w:val="00226629"/>
    <w:rsid w:val="00227BD3"/>
    <w:rsid w:val="00227D9E"/>
    <w:rsid w:val="00230999"/>
    <w:rsid w:val="00231911"/>
    <w:rsid w:val="00231D2E"/>
    <w:rsid w:val="00232999"/>
    <w:rsid w:val="00234FAC"/>
    <w:rsid w:val="002355D1"/>
    <w:rsid w:val="00235704"/>
    <w:rsid w:val="002365FB"/>
    <w:rsid w:val="002369B1"/>
    <w:rsid w:val="00237061"/>
    <w:rsid w:val="00237263"/>
    <w:rsid w:val="002372A1"/>
    <w:rsid w:val="00237E0B"/>
    <w:rsid w:val="00240BB5"/>
    <w:rsid w:val="00241C53"/>
    <w:rsid w:val="002430D3"/>
    <w:rsid w:val="002433EA"/>
    <w:rsid w:val="00243F0A"/>
    <w:rsid w:val="002440A6"/>
    <w:rsid w:val="002453A1"/>
    <w:rsid w:val="002458DB"/>
    <w:rsid w:val="0024666C"/>
    <w:rsid w:val="00246E25"/>
    <w:rsid w:val="00250519"/>
    <w:rsid w:val="002506CA"/>
    <w:rsid w:val="002519F4"/>
    <w:rsid w:val="00251BE8"/>
    <w:rsid w:val="00251CCD"/>
    <w:rsid w:val="002535AF"/>
    <w:rsid w:val="002537A3"/>
    <w:rsid w:val="0025464F"/>
    <w:rsid w:val="00254A6D"/>
    <w:rsid w:val="0025538D"/>
    <w:rsid w:val="00255670"/>
    <w:rsid w:val="00255CB9"/>
    <w:rsid w:val="0026027F"/>
    <w:rsid w:val="002603F3"/>
    <w:rsid w:val="002608E7"/>
    <w:rsid w:val="0026115D"/>
    <w:rsid w:val="00262C0A"/>
    <w:rsid w:val="002633ED"/>
    <w:rsid w:val="002636A7"/>
    <w:rsid w:val="00263EEB"/>
    <w:rsid w:val="00264E01"/>
    <w:rsid w:val="0026576D"/>
    <w:rsid w:val="0026611D"/>
    <w:rsid w:val="0026696D"/>
    <w:rsid w:val="0026754A"/>
    <w:rsid w:val="00270496"/>
    <w:rsid w:val="00271296"/>
    <w:rsid w:val="0027189D"/>
    <w:rsid w:val="0027219A"/>
    <w:rsid w:val="00272922"/>
    <w:rsid w:val="00273F8A"/>
    <w:rsid w:val="00275952"/>
    <w:rsid w:val="0027764A"/>
    <w:rsid w:val="002807EB"/>
    <w:rsid w:val="00280E12"/>
    <w:rsid w:val="00281102"/>
    <w:rsid w:val="0028196D"/>
    <w:rsid w:val="00281B78"/>
    <w:rsid w:val="00281D68"/>
    <w:rsid w:val="002823C3"/>
    <w:rsid w:val="00282450"/>
    <w:rsid w:val="00282BE6"/>
    <w:rsid w:val="00282CC8"/>
    <w:rsid w:val="00282DA8"/>
    <w:rsid w:val="0028317A"/>
    <w:rsid w:val="00283E72"/>
    <w:rsid w:val="002842D9"/>
    <w:rsid w:val="00284427"/>
    <w:rsid w:val="00285126"/>
    <w:rsid w:val="00286869"/>
    <w:rsid w:val="00290232"/>
    <w:rsid w:val="002905E5"/>
    <w:rsid w:val="00290EE2"/>
    <w:rsid w:val="002914EB"/>
    <w:rsid w:val="00291679"/>
    <w:rsid w:val="00292B02"/>
    <w:rsid w:val="00293348"/>
    <w:rsid w:val="002941A9"/>
    <w:rsid w:val="0029444D"/>
    <w:rsid w:val="002947DC"/>
    <w:rsid w:val="00295BFE"/>
    <w:rsid w:val="0029685E"/>
    <w:rsid w:val="002972D6"/>
    <w:rsid w:val="00297A51"/>
    <w:rsid w:val="002A034A"/>
    <w:rsid w:val="002A0520"/>
    <w:rsid w:val="002A11AC"/>
    <w:rsid w:val="002A128C"/>
    <w:rsid w:val="002A1823"/>
    <w:rsid w:val="002A1F9B"/>
    <w:rsid w:val="002A24FF"/>
    <w:rsid w:val="002A3872"/>
    <w:rsid w:val="002A402B"/>
    <w:rsid w:val="002A4AC9"/>
    <w:rsid w:val="002A4E2A"/>
    <w:rsid w:val="002A558A"/>
    <w:rsid w:val="002A5988"/>
    <w:rsid w:val="002A77CE"/>
    <w:rsid w:val="002B11B6"/>
    <w:rsid w:val="002B3646"/>
    <w:rsid w:val="002B5CF4"/>
    <w:rsid w:val="002B5DD1"/>
    <w:rsid w:val="002B679E"/>
    <w:rsid w:val="002C015C"/>
    <w:rsid w:val="002C06BD"/>
    <w:rsid w:val="002C096F"/>
    <w:rsid w:val="002C0976"/>
    <w:rsid w:val="002C0CF4"/>
    <w:rsid w:val="002C2A47"/>
    <w:rsid w:val="002C2E03"/>
    <w:rsid w:val="002C2E10"/>
    <w:rsid w:val="002C3677"/>
    <w:rsid w:val="002C3C8D"/>
    <w:rsid w:val="002C3D13"/>
    <w:rsid w:val="002C482E"/>
    <w:rsid w:val="002C5761"/>
    <w:rsid w:val="002C6073"/>
    <w:rsid w:val="002C6124"/>
    <w:rsid w:val="002C650F"/>
    <w:rsid w:val="002C6E55"/>
    <w:rsid w:val="002C7E5F"/>
    <w:rsid w:val="002D05DA"/>
    <w:rsid w:val="002D0D95"/>
    <w:rsid w:val="002D0F29"/>
    <w:rsid w:val="002D1041"/>
    <w:rsid w:val="002D10C4"/>
    <w:rsid w:val="002D1735"/>
    <w:rsid w:val="002D1A1E"/>
    <w:rsid w:val="002D2669"/>
    <w:rsid w:val="002D2B46"/>
    <w:rsid w:val="002D50B6"/>
    <w:rsid w:val="002D5174"/>
    <w:rsid w:val="002D54EB"/>
    <w:rsid w:val="002D56FD"/>
    <w:rsid w:val="002D5E20"/>
    <w:rsid w:val="002D6F0F"/>
    <w:rsid w:val="002D7CD7"/>
    <w:rsid w:val="002E062C"/>
    <w:rsid w:val="002E2D7B"/>
    <w:rsid w:val="002E2FC3"/>
    <w:rsid w:val="002E3275"/>
    <w:rsid w:val="002E3EEA"/>
    <w:rsid w:val="002E460F"/>
    <w:rsid w:val="002E5D50"/>
    <w:rsid w:val="002E5FE0"/>
    <w:rsid w:val="002E6184"/>
    <w:rsid w:val="002E64BA"/>
    <w:rsid w:val="002E68FC"/>
    <w:rsid w:val="002E6B67"/>
    <w:rsid w:val="002E71EE"/>
    <w:rsid w:val="002E75B7"/>
    <w:rsid w:val="002E77D8"/>
    <w:rsid w:val="002F1107"/>
    <w:rsid w:val="002F136F"/>
    <w:rsid w:val="002F17F7"/>
    <w:rsid w:val="002F210E"/>
    <w:rsid w:val="002F47E5"/>
    <w:rsid w:val="002F4AA7"/>
    <w:rsid w:val="002F58A8"/>
    <w:rsid w:val="002F5B25"/>
    <w:rsid w:val="002F6728"/>
    <w:rsid w:val="002F786B"/>
    <w:rsid w:val="003005C0"/>
    <w:rsid w:val="003006E6"/>
    <w:rsid w:val="0030121B"/>
    <w:rsid w:val="00302C8B"/>
    <w:rsid w:val="00304A4B"/>
    <w:rsid w:val="00304E9F"/>
    <w:rsid w:val="0030504E"/>
    <w:rsid w:val="003053AE"/>
    <w:rsid w:val="00305462"/>
    <w:rsid w:val="00305C5D"/>
    <w:rsid w:val="00306B19"/>
    <w:rsid w:val="0030789A"/>
    <w:rsid w:val="00307AA9"/>
    <w:rsid w:val="00307B07"/>
    <w:rsid w:val="00310049"/>
    <w:rsid w:val="0031008C"/>
    <w:rsid w:val="00310462"/>
    <w:rsid w:val="00310584"/>
    <w:rsid w:val="003111A8"/>
    <w:rsid w:val="0031314A"/>
    <w:rsid w:val="00314064"/>
    <w:rsid w:val="003143BB"/>
    <w:rsid w:val="0031568C"/>
    <w:rsid w:val="003159CD"/>
    <w:rsid w:val="003164B4"/>
    <w:rsid w:val="0031681D"/>
    <w:rsid w:val="003210EF"/>
    <w:rsid w:val="00321670"/>
    <w:rsid w:val="0032188D"/>
    <w:rsid w:val="00322A23"/>
    <w:rsid w:val="00323F16"/>
    <w:rsid w:val="00324C17"/>
    <w:rsid w:val="003258DF"/>
    <w:rsid w:val="00325BEA"/>
    <w:rsid w:val="003302C8"/>
    <w:rsid w:val="00331F2E"/>
    <w:rsid w:val="00332216"/>
    <w:rsid w:val="00333302"/>
    <w:rsid w:val="003342B0"/>
    <w:rsid w:val="00334E7E"/>
    <w:rsid w:val="00336B1C"/>
    <w:rsid w:val="00337CA3"/>
    <w:rsid w:val="00340A01"/>
    <w:rsid w:val="00342009"/>
    <w:rsid w:val="00342360"/>
    <w:rsid w:val="00342EAE"/>
    <w:rsid w:val="0034312A"/>
    <w:rsid w:val="003437D1"/>
    <w:rsid w:val="00343864"/>
    <w:rsid w:val="00343E11"/>
    <w:rsid w:val="003444E9"/>
    <w:rsid w:val="00344D53"/>
    <w:rsid w:val="00344DB7"/>
    <w:rsid w:val="00344E68"/>
    <w:rsid w:val="003478AA"/>
    <w:rsid w:val="00347E5B"/>
    <w:rsid w:val="0035100F"/>
    <w:rsid w:val="0035118E"/>
    <w:rsid w:val="0035169F"/>
    <w:rsid w:val="00352CF9"/>
    <w:rsid w:val="00352F45"/>
    <w:rsid w:val="003532F7"/>
    <w:rsid w:val="003535C0"/>
    <w:rsid w:val="0035370F"/>
    <w:rsid w:val="00354921"/>
    <w:rsid w:val="00354CBC"/>
    <w:rsid w:val="003565B0"/>
    <w:rsid w:val="00356CBD"/>
    <w:rsid w:val="00356CE3"/>
    <w:rsid w:val="00356F08"/>
    <w:rsid w:val="00360711"/>
    <w:rsid w:val="00362C31"/>
    <w:rsid w:val="003634D7"/>
    <w:rsid w:val="00363B38"/>
    <w:rsid w:val="0036415D"/>
    <w:rsid w:val="00364BCF"/>
    <w:rsid w:val="00365566"/>
    <w:rsid w:val="003658D8"/>
    <w:rsid w:val="0036599E"/>
    <w:rsid w:val="00365DC5"/>
    <w:rsid w:val="00367005"/>
    <w:rsid w:val="00370212"/>
    <w:rsid w:val="00370D45"/>
    <w:rsid w:val="00370E3E"/>
    <w:rsid w:val="00371214"/>
    <w:rsid w:val="0037148D"/>
    <w:rsid w:val="003715EE"/>
    <w:rsid w:val="0037276B"/>
    <w:rsid w:val="0037282B"/>
    <w:rsid w:val="00374061"/>
    <w:rsid w:val="00374A29"/>
    <w:rsid w:val="00374B15"/>
    <w:rsid w:val="003758B5"/>
    <w:rsid w:val="00375C1D"/>
    <w:rsid w:val="0037600F"/>
    <w:rsid w:val="00377419"/>
    <w:rsid w:val="003775DE"/>
    <w:rsid w:val="0038058B"/>
    <w:rsid w:val="003809EB"/>
    <w:rsid w:val="00380B59"/>
    <w:rsid w:val="003810AF"/>
    <w:rsid w:val="00381DE8"/>
    <w:rsid w:val="00383575"/>
    <w:rsid w:val="003845B1"/>
    <w:rsid w:val="00385A92"/>
    <w:rsid w:val="00386216"/>
    <w:rsid w:val="0039118D"/>
    <w:rsid w:val="003919F9"/>
    <w:rsid w:val="003942FA"/>
    <w:rsid w:val="00394875"/>
    <w:rsid w:val="0039508D"/>
    <w:rsid w:val="0039513C"/>
    <w:rsid w:val="00396B5B"/>
    <w:rsid w:val="00397A2C"/>
    <w:rsid w:val="00397A3E"/>
    <w:rsid w:val="003A1DC8"/>
    <w:rsid w:val="003A26A9"/>
    <w:rsid w:val="003A39EB"/>
    <w:rsid w:val="003A4B44"/>
    <w:rsid w:val="003A5625"/>
    <w:rsid w:val="003A5782"/>
    <w:rsid w:val="003A5A5E"/>
    <w:rsid w:val="003A5F2A"/>
    <w:rsid w:val="003A664C"/>
    <w:rsid w:val="003A69B0"/>
    <w:rsid w:val="003A6F04"/>
    <w:rsid w:val="003B0265"/>
    <w:rsid w:val="003B08F3"/>
    <w:rsid w:val="003B0D14"/>
    <w:rsid w:val="003B1E8A"/>
    <w:rsid w:val="003B263C"/>
    <w:rsid w:val="003B2735"/>
    <w:rsid w:val="003B3722"/>
    <w:rsid w:val="003B4079"/>
    <w:rsid w:val="003B4711"/>
    <w:rsid w:val="003B5E80"/>
    <w:rsid w:val="003B7E6C"/>
    <w:rsid w:val="003C1521"/>
    <w:rsid w:val="003C160B"/>
    <w:rsid w:val="003C2FF5"/>
    <w:rsid w:val="003C3305"/>
    <w:rsid w:val="003C356A"/>
    <w:rsid w:val="003C3B52"/>
    <w:rsid w:val="003C4074"/>
    <w:rsid w:val="003C58C0"/>
    <w:rsid w:val="003C5E1B"/>
    <w:rsid w:val="003C5ED2"/>
    <w:rsid w:val="003C607A"/>
    <w:rsid w:val="003C656F"/>
    <w:rsid w:val="003C6ED0"/>
    <w:rsid w:val="003C6F0C"/>
    <w:rsid w:val="003C7231"/>
    <w:rsid w:val="003C7541"/>
    <w:rsid w:val="003D075B"/>
    <w:rsid w:val="003D10FA"/>
    <w:rsid w:val="003D11F8"/>
    <w:rsid w:val="003D13DD"/>
    <w:rsid w:val="003D1441"/>
    <w:rsid w:val="003D1E5F"/>
    <w:rsid w:val="003D35BB"/>
    <w:rsid w:val="003D3869"/>
    <w:rsid w:val="003D40BF"/>
    <w:rsid w:val="003D4B05"/>
    <w:rsid w:val="003D60D1"/>
    <w:rsid w:val="003D66F0"/>
    <w:rsid w:val="003D6A46"/>
    <w:rsid w:val="003E07A3"/>
    <w:rsid w:val="003E0E79"/>
    <w:rsid w:val="003E1697"/>
    <w:rsid w:val="003E1ADA"/>
    <w:rsid w:val="003E1C7A"/>
    <w:rsid w:val="003E35DA"/>
    <w:rsid w:val="003E3CF6"/>
    <w:rsid w:val="003E63EF"/>
    <w:rsid w:val="003E6D37"/>
    <w:rsid w:val="003E750F"/>
    <w:rsid w:val="003E7707"/>
    <w:rsid w:val="003E785B"/>
    <w:rsid w:val="003E7B31"/>
    <w:rsid w:val="003E7BD4"/>
    <w:rsid w:val="003F0B9E"/>
    <w:rsid w:val="003F0CF5"/>
    <w:rsid w:val="003F1FFA"/>
    <w:rsid w:val="003F2150"/>
    <w:rsid w:val="003F219E"/>
    <w:rsid w:val="003F2F84"/>
    <w:rsid w:val="003F38A6"/>
    <w:rsid w:val="003F564C"/>
    <w:rsid w:val="003F772C"/>
    <w:rsid w:val="003F7B5A"/>
    <w:rsid w:val="00401078"/>
    <w:rsid w:val="004017C2"/>
    <w:rsid w:val="00401C4C"/>
    <w:rsid w:val="004022AB"/>
    <w:rsid w:val="0040273E"/>
    <w:rsid w:val="00402A9D"/>
    <w:rsid w:val="00403B11"/>
    <w:rsid w:val="00403B52"/>
    <w:rsid w:val="00403D68"/>
    <w:rsid w:val="00404AF3"/>
    <w:rsid w:val="00404E23"/>
    <w:rsid w:val="00405689"/>
    <w:rsid w:val="00406DD7"/>
    <w:rsid w:val="004075D6"/>
    <w:rsid w:val="00411A55"/>
    <w:rsid w:val="00413D90"/>
    <w:rsid w:val="0041443D"/>
    <w:rsid w:val="00414488"/>
    <w:rsid w:val="00414735"/>
    <w:rsid w:val="00414B29"/>
    <w:rsid w:val="004150DB"/>
    <w:rsid w:val="0041537D"/>
    <w:rsid w:val="004154E6"/>
    <w:rsid w:val="00415A94"/>
    <w:rsid w:val="004165C7"/>
    <w:rsid w:val="00416778"/>
    <w:rsid w:val="0041763B"/>
    <w:rsid w:val="00417DF5"/>
    <w:rsid w:val="004204F9"/>
    <w:rsid w:val="00420A28"/>
    <w:rsid w:val="00421DE4"/>
    <w:rsid w:val="004228CD"/>
    <w:rsid w:val="00422CDF"/>
    <w:rsid w:val="00422FCD"/>
    <w:rsid w:val="00423A40"/>
    <w:rsid w:val="00423BB5"/>
    <w:rsid w:val="00423C2C"/>
    <w:rsid w:val="0042479B"/>
    <w:rsid w:val="00425228"/>
    <w:rsid w:val="004252D5"/>
    <w:rsid w:val="00425570"/>
    <w:rsid w:val="00425607"/>
    <w:rsid w:val="00425B4A"/>
    <w:rsid w:val="00426DA5"/>
    <w:rsid w:val="00427C2B"/>
    <w:rsid w:val="00430BDF"/>
    <w:rsid w:val="004311F6"/>
    <w:rsid w:val="00431B51"/>
    <w:rsid w:val="00431EB0"/>
    <w:rsid w:val="00431EE6"/>
    <w:rsid w:val="00433643"/>
    <w:rsid w:val="0043445D"/>
    <w:rsid w:val="004347EB"/>
    <w:rsid w:val="004348D0"/>
    <w:rsid w:val="00435215"/>
    <w:rsid w:val="00435846"/>
    <w:rsid w:val="00436232"/>
    <w:rsid w:val="00436E82"/>
    <w:rsid w:val="00437B6D"/>
    <w:rsid w:val="00440904"/>
    <w:rsid w:val="00441471"/>
    <w:rsid w:val="00441822"/>
    <w:rsid w:val="0044296C"/>
    <w:rsid w:val="00442B6F"/>
    <w:rsid w:val="004433A1"/>
    <w:rsid w:val="004441EC"/>
    <w:rsid w:val="00444769"/>
    <w:rsid w:val="00444EE7"/>
    <w:rsid w:val="0044585D"/>
    <w:rsid w:val="00446451"/>
    <w:rsid w:val="00446CD3"/>
    <w:rsid w:val="00446FCB"/>
    <w:rsid w:val="00447109"/>
    <w:rsid w:val="00447914"/>
    <w:rsid w:val="00451C15"/>
    <w:rsid w:val="00452078"/>
    <w:rsid w:val="004523B6"/>
    <w:rsid w:val="0045274E"/>
    <w:rsid w:val="004557A3"/>
    <w:rsid w:val="004561AA"/>
    <w:rsid w:val="0045712D"/>
    <w:rsid w:val="00457808"/>
    <w:rsid w:val="00461354"/>
    <w:rsid w:val="00461CE4"/>
    <w:rsid w:val="004620CE"/>
    <w:rsid w:val="00462186"/>
    <w:rsid w:val="0046309F"/>
    <w:rsid w:val="00464351"/>
    <w:rsid w:val="0046498E"/>
    <w:rsid w:val="00465A71"/>
    <w:rsid w:val="004673CC"/>
    <w:rsid w:val="0047058D"/>
    <w:rsid w:val="004707E5"/>
    <w:rsid w:val="00470FC5"/>
    <w:rsid w:val="00471D1C"/>
    <w:rsid w:val="004724F2"/>
    <w:rsid w:val="00472B79"/>
    <w:rsid w:val="00472D8D"/>
    <w:rsid w:val="0047368D"/>
    <w:rsid w:val="004738FF"/>
    <w:rsid w:val="00473AB0"/>
    <w:rsid w:val="00473B82"/>
    <w:rsid w:val="00474DB4"/>
    <w:rsid w:val="00476DEE"/>
    <w:rsid w:val="00477574"/>
    <w:rsid w:val="00477613"/>
    <w:rsid w:val="004778BE"/>
    <w:rsid w:val="00477ABA"/>
    <w:rsid w:val="00481077"/>
    <w:rsid w:val="00481E28"/>
    <w:rsid w:val="00484ACC"/>
    <w:rsid w:val="00485F42"/>
    <w:rsid w:val="00485F76"/>
    <w:rsid w:val="00487451"/>
    <w:rsid w:val="00490498"/>
    <w:rsid w:val="00490A15"/>
    <w:rsid w:val="00491A5B"/>
    <w:rsid w:val="0049212F"/>
    <w:rsid w:val="00493E69"/>
    <w:rsid w:val="00495A11"/>
    <w:rsid w:val="00496409"/>
    <w:rsid w:val="004965BD"/>
    <w:rsid w:val="00496C60"/>
    <w:rsid w:val="00496CF3"/>
    <w:rsid w:val="004A030B"/>
    <w:rsid w:val="004A11F7"/>
    <w:rsid w:val="004A3359"/>
    <w:rsid w:val="004A3654"/>
    <w:rsid w:val="004A3ADF"/>
    <w:rsid w:val="004A40C4"/>
    <w:rsid w:val="004A5485"/>
    <w:rsid w:val="004A5652"/>
    <w:rsid w:val="004A58B0"/>
    <w:rsid w:val="004A623A"/>
    <w:rsid w:val="004B0FFD"/>
    <w:rsid w:val="004B11DB"/>
    <w:rsid w:val="004B15D4"/>
    <w:rsid w:val="004B17FF"/>
    <w:rsid w:val="004B1ECD"/>
    <w:rsid w:val="004B1F09"/>
    <w:rsid w:val="004B7F66"/>
    <w:rsid w:val="004C05DB"/>
    <w:rsid w:val="004C075A"/>
    <w:rsid w:val="004C1BDA"/>
    <w:rsid w:val="004C23B9"/>
    <w:rsid w:val="004C2678"/>
    <w:rsid w:val="004C34A8"/>
    <w:rsid w:val="004C5284"/>
    <w:rsid w:val="004C559A"/>
    <w:rsid w:val="004C5B07"/>
    <w:rsid w:val="004C6008"/>
    <w:rsid w:val="004C671F"/>
    <w:rsid w:val="004C73C3"/>
    <w:rsid w:val="004C7EF2"/>
    <w:rsid w:val="004D0D87"/>
    <w:rsid w:val="004D1340"/>
    <w:rsid w:val="004D1B08"/>
    <w:rsid w:val="004D25BF"/>
    <w:rsid w:val="004D2BE8"/>
    <w:rsid w:val="004D36E9"/>
    <w:rsid w:val="004D3704"/>
    <w:rsid w:val="004D3D5A"/>
    <w:rsid w:val="004D435B"/>
    <w:rsid w:val="004D50D9"/>
    <w:rsid w:val="004D5145"/>
    <w:rsid w:val="004D5D87"/>
    <w:rsid w:val="004D698A"/>
    <w:rsid w:val="004D6BF6"/>
    <w:rsid w:val="004D6EA4"/>
    <w:rsid w:val="004D7453"/>
    <w:rsid w:val="004D74AF"/>
    <w:rsid w:val="004D77AB"/>
    <w:rsid w:val="004D7A3C"/>
    <w:rsid w:val="004E07A8"/>
    <w:rsid w:val="004E10F8"/>
    <w:rsid w:val="004E262B"/>
    <w:rsid w:val="004E2C63"/>
    <w:rsid w:val="004E3113"/>
    <w:rsid w:val="004E62D0"/>
    <w:rsid w:val="004E72A8"/>
    <w:rsid w:val="004E77DB"/>
    <w:rsid w:val="004E7CAB"/>
    <w:rsid w:val="004E7DF4"/>
    <w:rsid w:val="004F060C"/>
    <w:rsid w:val="004F1854"/>
    <w:rsid w:val="004F1F3B"/>
    <w:rsid w:val="004F2408"/>
    <w:rsid w:val="004F2A17"/>
    <w:rsid w:val="004F2C74"/>
    <w:rsid w:val="004F33E4"/>
    <w:rsid w:val="004F4EBE"/>
    <w:rsid w:val="004F50F3"/>
    <w:rsid w:val="004F6776"/>
    <w:rsid w:val="004F71F8"/>
    <w:rsid w:val="004F7404"/>
    <w:rsid w:val="00500E72"/>
    <w:rsid w:val="00501A1A"/>
    <w:rsid w:val="00502DFE"/>
    <w:rsid w:val="00503434"/>
    <w:rsid w:val="00503B6A"/>
    <w:rsid w:val="00504176"/>
    <w:rsid w:val="00504B06"/>
    <w:rsid w:val="00505029"/>
    <w:rsid w:val="005050E5"/>
    <w:rsid w:val="00505252"/>
    <w:rsid w:val="0050640C"/>
    <w:rsid w:val="00506CCC"/>
    <w:rsid w:val="00512B8D"/>
    <w:rsid w:val="00513397"/>
    <w:rsid w:val="00513922"/>
    <w:rsid w:val="00513AA0"/>
    <w:rsid w:val="00514840"/>
    <w:rsid w:val="00516716"/>
    <w:rsid w:val="0051723E"/>
    <w:rsid w:val="005172EC"/>
    <w:rsid w:val="005175C5"/>
    <w:rsid w:val="00517681"/>
    <w:rsid w:val="00517CC8"/>
    <w:rsid w:val="0052123A"/>
    <w:rsid w:val="005212B8"/>
    <w:rsid w:val="0052165F"/>
    <w:rsid w:val="005226A7"/>
    <w:rsid w:val="00524492"/>
    <w:rsid w:val="005269B1"/>
    <w:rsid w:val="00527C3B"/>
    <w:rsid w:val="00527D42"/>
    <w:rsid w:val="00530863"/>
    <w:rsid w:val="00530D16"/>
    <w:rsid w:val="00532095"/>
    <w:rsid w:val="00532849"/>
    <w:rsid w:val="00532AFC"/>
    <w:rsid w:val="00534288"/>
    <w:rsid w:val="005347EC"/>
    <w:rsid w:val="00534B4A"/>
    <w:rsid w:val="0053514A"/>
    <w:rsid w:val="005356EC"/>
    <w:rsid w:val="00535725"/>
    <w:rsid w:val="00536A03"/>
    <w:rsid w:val="00536A30"/>
    <w:rsid w:val="00541483"/>
    <w:rsid w:val="00542D3B"/>
    <w:rsid w:val="00543E5D"/>
    <w:rsid w:val="00544A0B"/>
    <w:rsid w:val="00544D1B"/>
    <w:rsid w:val="00546512"/>
    <w:rsid w:val="005467C7"/>
    <w:rsid w:val="005468C9"/>
    <w:rsid w:val="00546915"/>
    <w:rsid w:val="00546B91"/>
    <w:rsid w:val="00546C98"/>
    <w:rsid w:val="00547136"/>
    <w:rsid w:val="0054731B"/>
    <w:rsid w:val="00547AAB"/>
    <w:rsid w:val="00547E5F"/>
    <w:rsid w:val="0055022E"/>
    <w:rsid w:val="0055070A"/>
    <w:rsid w:val="00551A9B"/>
    <w:rsid w:val="00551BC2"/>
    <w:rsid w:val="00552EBD"/>
    <w:rsid w:val="0055321F"/>
    <w:rsid w:val="0055337C"/>
    <w:rsid w:val="005538B1"/>
    <w:rsid w:val="005539CD"/>
    <w:rsid w:val="00554062"/>
    <w:rsid w:val="005541C0"/>
    <w:rsid w:val="0055427D"/>
    <w:rsid w:val="005544CD"/>
    <w:rsid w:val="0055503F"/>
    <w:rsid w:val="005561C4"/>
    <w:rsid w:val="00556299"/>
    <w:rsid w:val="00557393"/>
    <w:rsid w:val="00557629"/>
    <w:rsid w:val="00557CC2"/>
    <w:rsid w:val="0056082F"/>
    <w:rsid w:val="005609F1"/>
    <w:rsid w:val="00562A68"/>
    <w:rsid w:val="00564AA0"/>
    <w:rsid w:val="00566060"/>
    <w:rsid w:val="005670A8"/>
    <w:rsid w:val="005677A0"/>
    <w:rsid w:val="00567DF0"/>
    <w:rsid w:val="0057169B"/>
    <w:rsid w:val="005726EC"/>
    <w:rsid w:val="005728D9"/>
    <w:rsid w:val="00572BB3"/>
    <w:rsid w:val="00572E25"/>
    <w:rsid w:val="005744E2"/>
    <w:rsid w:val="00575715"/>
    <w:rsid w:val="00575AAE"/>
    <w:rsid w:val="0057609A"/>
    <w:rsid w:val="005766F4"/>
    <w:rsid w:val="00576902"/>
    <w:rsid w:val="00576CF7"/>
    <w:rsid w:val="00577162"/>
    <w:rsid w:val="00577DD6"/>
    <w:rsid w:val="0058014B"/>
    <w:rsid w:val="005805A8"/>
    <w:rsid w:val="00580B39"/>
    <w:rsid w:val="00580BE7"/>
    <w:rsid w:val="0058188C"/>
    <w:rsid w:val="00582C03"/>
    <w:rsid w:val="00582F92"/>
    <w:rsid w:val="0058341A"/>
    <w:rsid w:val="005864AD"/>
    <w:rsid w:val="005871DC"/>
    <w:rsid w:val="0059001F"/>
    <w:rsid w:val="00590418"/>
    <w:rsid w:val="00590F3C"/>
    <w:rsid w:val="005914BF"/>
    <w:rsid w:val="00592857"/>
    <w:rsid w:val="00592AEE"/>
    <w:rsid w:val="005932E6"/>
    <w:rsid w:val="005934B3"/>
    <w:rsid w:val="005934C2"/>
    <w:rsid w:val="00594A55"/>
    <w:rsid w:val="00594C2D"/>
    <w:rsid w:val="00594EA5"/>
    <w:rsid w:val="0059636C"/>
    <w:rsid w:val="00596593"/>
    <w:rsid w:val="00596F47"/>
    <w:rsid w:val="005A0A0A"/>
    <w:rsid w:val="005A0C51"/>
    <w:rsid w:val="005A0D2E"/>
    <w:rsid w:val="005A1EF0"/>
    <w:rsid w:val="005A23F8"/>
    <w:rsid w:val="005A2555"/>
    <w:rsid w:val="005A26FA"/>
    <w:rsid w:val="005A390D"/>
    <w:rsid w:val="005A39B5"/>
    <w:rsid w:val="005A3C84"/>
    <w:rsid w:val="005A3F96"/>
    <w:rsid w:val="005A4015"/>
    <w:rsid w:val="005A53EB"/>
    <w:rsid w:val="005A5BFE"/>
    <w:rsid w:val="005A72FD"/>
    <w:rsid w:val="005A778D"/>
    <w:rsid w:val="005B0491"/>
    <w:rsid w:val="005B1347"/>
    <w:rsid w:val="005B1553"/>
    <w:rsid w:val="005B2175"/>
    <w:rsid w:val="005B2406"/>
    <w:rsid w:val="005B2733"/>
    <w:rsid w:val="005B3461"/>
    <w:rsid w:val="005B3747"/>
    <w:rsid w:val="005B571C"/>
    <w:rsid w:val="005B5DB5"/>
    <w:rsid w:val="005B7A15"/>
    <w:rsid w:val="005C0A0C"/>
    <w:rsid w:val="005C0A65"/>
    <w:rsid w:val="005C121A"/>
    <w:rsid w:val="005C1F28"/>
    <w:rsid w:val="005C2108"/>
    <w:rsid w:val="005C236C"/>
    <w:rsid w:val="005C2E94"/>
    <w:rsid w:val="005C3037"/>
    <w:rsid w:val="005C31F0"/>
    <w:rsid w:val="005C32D0"/>
    <w:rsid w:val="005C53B6"/>
    <w:rsid w:val="005C59B1"/>
    <w:rsid w:val="005C61C8"/>
    <w:rsid w:val="005C6211"/>
    <w:rsid w:val="005C68B0"/>
    <w:rsid w:val="005C7CA9"/>
    <w:rsid w:val="005D006D"/>
    <w:rsid w:val="005D0110"/>
    <w:rsid w:val="005D0639"/>
    <w:rsid w:val="005D1878"/>
    <w:rsid w:val="005D3C24"/>
    <w:rsid w:val="005D3C39"/>
    <w:rsid w:val="005D4247"/>
    <w:rsid w:val="005D49AE"/>
    <w:rsid w:val="005D51C8"/>
    <w:rsid w:val="005D6CFB"/>
    <w:rsid w:val="005D7D4A"/>
    <w:rsid w:val="005E067C"/>
    <w:rsid w:val="005E1CF6"/>
    <w:rsid w:val="005E2720"/>
    <w:rsid w:val="005E29D1"/>
    <w:rsid w:val="005E3A22"/>
    <w:rsid w:val="005E4D87"/>
    <w:rsid w:val="005E5EC6"/>
    <w:rsid w:val="005F19AA"/>
    <w:rsid w:val="005F24FC"/>
    <w:rsid w:val="005F2C23"/>
    <w:rsid w:val="005F5819"/>
    <w:rsid w:val="005F5FF6"/>
    <w:rsid w:val="005F764A"/>
    <w:rsid w:val="00600131"/>
    <w:rsid w:val="006001B0"/>
    <w:rsid w:val="00600C29"/>
    <w:rsid w:val="006017E7"/>
    <w:rsid w:val="00601DA9"/>
    <w:rsid w:val="006036B7"/>
    <w:rsid w:val="00603EF2"/>
    <w:rsid w:val="0060457B"/>
    <w:rsid w:val="0060464B"/>
    <w:rsid w:val="00605362"/>
    <w:rsid w:val="00606C6A"/>
    <w:rsid w:val="00606DE0"/>
    <w:rsid w:val="00606F66"/>
    <w:rsid w:val="00607CD2"/>
    <w:rsid w:val="0061283F"/>
    <w:rsid w:val="00612A87"/>
    <w:rsid w:val="00614BDD"/>
    <w:rsid w:val="00615566"/>
    <w:rsid w:val="00615B0F"/>
    <w:rsid w:val="00616389"/>
    <w:rsid w:val="00616CD8"/>
    <w:rsid w:val="00620000"/>
    <w:rsid w:val="00620473"/>
    <w:rsid w:val="00620A14"/>
    <w:rsid w:val="00622197"/>
    <w:rsid w:val="00622E86"/>
    <w:rsid w:val="00623017"/>
    <w:rsid w:val="006233F8"/>
    <w:rsid w:val="0062496A"/>
    <w:rsid w:val="006258C8"/>
    <w:rsid w:val="006269A0"/>
    <w:rsid w:val="00626ADA"/>
    <w:rsid w:val="00626D92"/>
    <w:rsid w:val="00627D64"/>
    <w:rsid w:val="00630A82"/>
    <w:rsid w:val="0063175A"/>
    <w:rsid w:val="00632428"/>
    <w:rsid w:val="00634299"/>
    <w:rsid w:val="006357B4"/>
    <w:rsid w:val="0063597A"/>
    <w:rsid w:val="00636402"/>
    <w:rsid w:val="00636DE6"/>
    <w:rsid w:val="006372CA"/>
    <w:rsid w:val="006373A3"/>
    <w:rsid w:val="006406F4"/>
    <w:rsid w:val="0064091D"/>
    <w:rsid w:val="006409F8"/>
    <w:rsid w:val="00642C59"/>
    <w:rsid w:val="00642E31"/>
    <w:rsid w:val="006457AF"/>
    <w:rsid w:val="006463CA"/>
    <w:rsid w:val="00646639"/>
    <w:rsid w:val="00646DF6"/>
    <w:rsid w:val="00647816"/>
    <w:rsid w:val="00647834"/>
    <w:rsid w:val="006501BA"/>
    <w:rsid w:val="00650396"/>
    <w:rsid w:val="00650693"/>
    <w:rsid w:val="00650737"/>
    <w:rsid w:val="006521F4"/>
    <w:rsid w:val="006546CA"/>
    <w:rsid w:val="00656283"/>
    <w:rsid w:val="006563A7"/>
    <w:rsid w:val="00656B67"/>
    <w:rsid w:val="00657F8B"/>
    <w:rsid w:val="006610B7"/>
    <w:rsid w:val="006610C8"/>
    <w:rsid w:val="006623CB"/>
    <w:rsid w:val="00662B1D"/>
    <w:rsid w:val="006633E1"/>
    <w:rsid w:val="006636E6"/>
    <w:rsid w:val="00663D3B"/>
    <w:rsid w:val="00665029"/>
    <w:rsid w:val="0066527C"/>
    <w:rsid w:val="006665F2"/>
    <w:rsid w:val="00666C03"/>
    <w:rsid w:val="006671B9"/>
    <w:rsid w:val="00667ADD"/>
    <w:rsid w:val="0067050B"/>
    <w:rsid w:val="006711C3"/>
    <w:rsid w:val="006713D9"/>
    <w:rsid w:val="00671F2C"/>
    <w:rsid w:val="00672554"/>
    <w:rsid w:val="00673463"/>
    <w:rsid w:val="00674B1E"/>
    <w:rsid w:val="006751B0"/>
    <w:rsid w:val="00675F81"/>
    <w:rsid w:val="00676A53"/>
    <w:rsid w:val="00681055"/>
    <w:rsid w:val="006821C6"/>
    <w:rsid w:val="00682538"/>
    <w:rsid w:val="00682E49"/>
    <w:rsid w:val="00683187"/>
    <w:rsid w:val="0068398B"/>
    <w:rsid w:val="00683BD8"/>
    <w:rsid w:val="0068542D"/>
    <w:rsid w:val="00685DBF"/>
    <w:rsid w:val="00686AB1"/>
    <w:rsid w:val="00686B3D"/>
    <w:rsid w:val="00686F13"/>
    <w:rsid w:val="00687153"/>
    <w:rsid w:val="00687B89"/>
    <w:rsid w:val="00687C75"/>
    <w:rsid w:val="00690461"/>
    <w:rsid w:val="006908B9"/>
    <w:rsid w:val="0069341B"/>
    <w:rsid w:val="006934C4"/>
    <w:rsid w:val="00695780"/>
    <w:rsid w:val="00695BCA"/>
    <w:rsid w:val="00696029"/>
    <w:rsid w:val="00696133"/>
    <w:rsid w:val="006967A4"/>
    <w:rsid w:val="006A07B1"/>
    <w:rsid w:val="006A0BE1"/>
    <w:rsid w:val="006A1D93"/>
    <w:rsid w:val="006A31BA"/>
    <w:rsid w:val="006A32C9"/>
    <w:rsid w:val="006A3413"/>
    <w:rsid w:val="006A3568"/>
    <w:rsid w:val="006A3B82"/>
    <w:rsid w:val="006A3BC7"/>
    <w:rsid w:val="006A3F9E"/>
    <w:rsid w:val="006A3FBB"/>
    <w:rsid w:val="006A4542"/>
    <w:rsid w:val="006A7C8E"/>
    <w:rsid w:val="006A7D48"/>
    <w:rsid w:val="006A7F9F"/>
    <w:rsid w:val="006B05A6"/>
    <w:rsid w:val="006B2623"/>
    <w:rsid w:val="006B3E3D"/>
    <w:rsid w:val="006B4F1F"/>
    <w:rsid w:val="006B5D77"/>
    <w:rsid w:val="006B5F85"/>
    <w:rsid w:val="006B604F"/>
    <w:rsid w:val="006B6C18"/>
    <w:rsid w:val="006C1928"/>
    <w:rsid w:val="006C19E2"/>
    <w:rsid w:val="006C1ACF"/>
    <w:rsid w:val="006C20BB"/>
    <w:rsid w:val="006C21CB"/>
    <w:rsid w:val="006C2743"/>
    <w:rsid w:val="006C2B4A"/>
    <w:rsid w:val="006C315B"/>
    <w:rsid w:val="006C332F"/>
    <w:rsid w:val="006C43AE"/>
    <w:rsid w:val="006C48C4"/>
    <w:rsid w:val="006C5562"/>
    <w:rsid w:val="006C5EEF"/>
    <w:rsid w:val="006C66F1"/>
    <w:rsid w:val="006C7B79"/>
    <w:rsid w:val="006D0E47"/>
    <w:rsid w:val="006D2389"/>
    <w:rsid w:val="006D292D"/>
    <w:rsid w:val="006D35A9"/>
    <w:rsid w:val="006D38AB"/>
    <w:rsid w:val="006D3B40"/>
    <w:rsid w:val="006D4357"/>
    <w:rsid w:val="006D4E77"/>
    <w:rsid w:val="006D4EF6"/>
    <w:rsid w:val="006D4F2F"/>
    <w:rsid w:val="006D75C1"/>
    <w:rsid w:val="006E12F6"/>
    <w:rsid w:val="006E1C94"/>
    <w:rsid w:val="006E6ADC"/>
    <w:rsid w:val="006F086B"/>
    <w:rsid w:val="006F096A"/>
    <w:rsid w:val="006F09D1"/>
    <w:rsid w:val="006F0ACC"/>
    <w:rsid w:val="006F225C"/>
    <w:rsid w:val="006F244B"/>
    <w:rsid w:val="006F2DE3"/>
    <w:rsid w:val="006F35AE"/>
    <w:rsid w:val="006F3B35"/>
    <w:rsid w:val="006F3F85"/>
    <w:rsid w:val="006F5211"/>
    <w:rsid w:val="006F5C07"/>
    <w:rsid w:val="006F6265"/>
    <w:rsid w:val="006F6A85"/>
    <w:rsid w:val="006F7037"/>
    <w:rsid w:val="006F7568"/>
    <w:rsid w:val="006F76ED"/>
    <w:rsid w:val="006F7D6F"/>
    <w:rsid w:val="0070226D"/>
    <w:rsid w:val="007030C4"/>
    <w:rsid w:val="007036DB"/>
    <w:rsid w:val="007038F3"/>
    <w:rsid w:val="007043A9"/>
    <w:rsid w:val="00706343"/>
    <w:rsid w:val="00706D26"/>
    <w:rsid w:val="00706F20"/>
    <w:rsid w:val="00706F42"/>
    <w:rsid w:val="00707650"/>
    <w:rsid w:val="0071133A"/>
    <w:rsid w:val="007113C3"/>
    <w:rsid w:val="0071195E"/>
    <w:rsid w:val="00711B35"/>
    <w:rsid w:val="007127D3"/>
    <w:rsid w:val="0071293F"/>
    <w:rsid w:val="00713250"/>
    <w:rsid w:val="0071388D"/>
    <w:rsid w:val="0071411E"/>
    <w:rsid w:val="007148B1"/>
    <w:rsid w:val="00714D51"/>
    <w:rsid w:val="00715195"/>
    <w:rsid w:val="0071618E"/>
    <w:rsid w:val="00716375"/>
    <w:rsid w:val="00717328"/>
    <w:rsid w:val="00720932"/>
    <w:rsid w:val="00721344"/>
    <w:rsid w:val="00722011"/>
    <w:rsid w:val="00723657"/>
    <w:rsid w:val="00723A23"/>
    <w:rsid w:val="00724788"/>
    <w:rsid w:val="007250DF"/>
    <w:rsid w:val="00725C93"/>
    <w:rsid w:val="0072624B"/>
    <w:rsid w:val="00726743"/>
    <w:rsid w:val="00730ED5"/>
    <w:rsid w:val="00731884"/>
    <w:rsid w:val="00731ED8"/>
    <w:rsid w:val="00734974"/>
    <w:rsid w:val="00734EBD"/>
    <w:rsid w:val="00735780"/>
    <w:rsid w:val="00737740"/>
    <w:rsid w:val="0074039E"/>
    <w:rsid w:val="00741043"/>
    <w:rsid w:val="00741502"/>
    <w:rsid w:val="00741A85"/>
    <w:rsid w:val="00741DC4"/>
    <w:rsid w:val="00742078"/>
    <w:rsid w:val="007420D5"/>
    <w:rsid w:val="007422F1"/>
    <w:rsid w:val="007425A1"/>
    <w:rsid w:val="0074398A"/>
    <w:rsid w:val="00743C7A"/>
    <w:rsid w:val="00745054"/>
    <w:rsid w:val="007460B5"/>
    <w:rsid w:val="00746186"/>
    <w:rsid w:val="007464CA"/>
    <w:rsid w:val="007507C6"/>
    <w:rsid w:val="00750962"/>
    <w:rsid w:val="00750DA6"/>
    <w:rsid w:val="00751128"/>
    <w:rsid w:val="00752D35"/>
    <w:rsid w:val="00752D6D"/>
    <w:rsid w:val="0075357E"/>
    <w:rsid w:val="00753A61"/>
    <w:rsid w:val="007543DA"/>
    <w:rsid w:val="0075459A"/>
    <w:rsid w:val="00755747"/>
    <w:rsid w:val="00755CF5"/>
    <w:rsid w:val="00755E9A"/>
    <w:rsid w:val="00756599"/>
    <w:rsid w:val="0075675D"/>
    <w:rsid w:val="007567B0"/>
    <w:rsid w:val="00756FD6"/>
    <w:rsid w:val="00757330"/>
    <w:rsid w:val="007618AB"/>
    <w:rsid w:val="007620A5"/>
    <w:rsid w:val="00762A09"/>
    <w:rsid w:val="0076329F"/>
    <w:rsid w:val="007646A9"/>
    <w:rsid w:val="00764740"/>
    <w:rsid w:val="0076557C"/>
    <w:rsid w:val="00766347"/>
    <w:rsid w:val="00766FBC"/>
    <w:rsid w:val="00767049"/>
    <w:rsid w:val="007670DE"/>
    <w:rsid w:val="00767AE0"/>
    <w:rsid w:val="00767F97"/>
    <w:rsid w:val="00770507"/>
    <w:rsid w:val="007705E0"/>
    <w:rsid w:val="00771F0C"/>
    <w:rsid w:val="007728E1"/>
    <w:rsid w:val="00773725"/>
    <w:rsid w:val="007750C9"/>
    <w:rsid w:val="00775329"/>
    <w:rsid w:val="00775926"/>
    <w:rsid w:val="00775977"/>
    <w:rsid w:val="00775B4E"/>
    <w:rsid w:val="00777E1D"/>
    <w:rsid w:val="00780A89"/>
    <w:rsid w:val="00780DDE"/>
    <w:rsid w:val="00781B42"/>
    <w:rsid w:val="0078294E"/>
    <w:rsid w:val="00783E14"/>
    <w:rsid w:val="00783E40"/>
    <w:rsid w:val="0078595B"/>
    <w:rsid w:val="00785B25"/>
    <w:rsid w:val="0078644B"/>
    <w:rsid w:val="0078676D"/>
    <w:rsid w:val="007877A7"/>
    <w:rsid w:val="00787E35"/>
    <w:rsid w:val="0079038D"/>
    <w:rsid w:val="00790BD4"/>
    <w:rsid w:val="00792E5E"/>
    <w:rsid w:val="007933C6"/>
    <w:rsid w:val="00793493"/>
    <w:rsid w:val="00793A2F"/>
    <w:rsid w:val="00793CEE"/>
    <w:rsid w:val="00793FCA"/>
    <w:rsid w:val="007942A7"/>
    <w:rsid w:val="007944C1"/>
    <w:rsid w:val="007949E1"/>
    <w:rsid w:val="00794D74"/>
    <w:rsid w:val="00796D1F"/>
    <w:rsid w:val="00797116"/>
    <w:rsid w:val="007A0985"/>
    <w:rsid w:val="007A0FA2"/>
    <w:rsid w:val="007A23D2"/>
    <w:rsid w:val="007A2996"/>
    <w:rsid w:val="007A2EE3"/>
    <w:rsid w:val="007A306D"/>
    <w:rsid w:val="007A36FF"/>
    <w:rsid w:val="007A3D93"/>
    <w:rsid w:val="007A424F"/>
    <w:rsid w:val="007A5142"/>
    <w:rsid w:val="007A6900"/>
    <w:rsid w:val="007B06E1"/>
    <w:rsid w:val="007B0EA4"/>
    <w:rsid w:val="007B1508"/>
    <w:rsid w:val="007B1513"/>
    <w:rsid w:val="007B1EA9"/>
    <w:rsid w:val="007B2625"/>
    <w:rsid w:val="007B2674"/>
    <w:rsid w:val="007B49DF"/>
    <w:rsid w:val="007B4B8F"/>
    <w:rsid w:val="007B4DD2"/>
    <w:rsid w:val="007B5339"/>
    <w:rsid w:val="007B5C50"/>
    <w:rsid w:val="007B5F59"/>
    <w:rsid w:val="007B689D"/>
    <w:rsid w:val="007B716F"/>
    <w:rsid w:val="007B769A"/>
    <w:rsid w:val="007C0220"/>
    <w:rsid w:val="007C1691"/>
    <w:rsid w:val="007C22CA"/>
    <w:rsid w:val="007C3148"/>
    <w:rsid w:val="007C3793"/>
    <w:rsid w:val="007C4192"/>
    <w:rsid w:val="007C41B5"/>
    <w:rsid w:val="007C42FC"/>
    <w:rsid w:val="007C492F"/>
    <w:rsid w:val="007C4AD6"/>
    <w:rsid w:val="007C5199"/>
    <w:rsid w:val="007C5751"/>
    <w:rsid w:val="007C6A08"/>
    <w:rsid w:val="007C7865"/>
    <w:rsid w:val="007C7D0E"/>
    <w:rsid w:val="007C7D55"/>
    <w:rsid w:val="007D0445"/>
    <w:rsid w:val="007D0470"/>
    <w:rsid w:val="007D1538"/>
    <w:rsid w:val="007D34D0"/>
    <w:rsid w:val="007D367D"/>
    <w:rsid w:val="007D372A"/>
    <w:rsid w:val="007D3812"/>
    <w:rsid w:val="007D44BF"/>
    <w:rsid w:val="007D4908"/>
    <w:rsid w:val="007D493D"/>
    <w:rsid w:val="007D4A2E"/>
    <w:rsid w:val="007D505A"/>
    <w:rsid w:val="007D541F"/>
    <w:rsid w:val="007D675F"/>
    <w:rsid w:val="007D74E8"/>
    <w:rsid w:val="007D77D0"/>
    <w:rsid w:val="007D7B9B"/>
    <w:rsid w:val="007E17C2"/>
    <w:rsid w:val="007E1A2D"/>
    <w:rsid w:val="007E1F1C"/>
    <w:rsid w:val="007E35C1"/>
    <w:rsid w:val="007E44AF"/>
    <w:rsid w:val="007E5C0D"/>
    <w:rsid w:val="007E6337"/>
    <w:rsid w:val="007E6750"/>
    <w:rsid w:val="007E68CB"/>
    <w:rsid w:val="007E6996"/>
    <w:rsid w:val="007E7E66"/>
    <w:rsid w:val="007F074B"/>
    <w:rsid w:val="007F1223"/>
    <w:rsid w:val="007F19EA"/>
    <w:rsid w:val="007F1C5D"/>
    <w:rsid w:val="007F2C54"/>
    <w:rsid w:val="007F3003"/>
    <w:rsid w:val="007F35A7"/>
    <w:rsid w:val="007F4200"/>
    <w:rsid w:val="007F499C"/>
    <w:rsid w:val="007F5030"/>
    <w:rsid w:val="007F5830"/>
    <w:rsid w:val="007F65B2"/>
    <w:rsid w:val="007F74F4"/>
    <w:rsid w:val="008002F9"/>
    <w:rsid w:val="0080055C"/>
    <w:rsid w:val="00801F1D"/>
    <w:rsid w:val="00802437"/>
    <w:rsid w:val="008030AD"/>
    <w:rsid w:val="008038D8"/>
    <w:rsid w:val="008040A1"/>
    <w:rsid w:val="00804107"/>
    <w:rsid w:val="00804783"/>
    <w:rsid w:val="00805496"/>
    <w:rsid w:val="00806323"/>
    <w:rsid w:val="008065E4"/>
    <w:rsid w:val="00806B49"/>
    <w:rsid w:val="00807594"/>
    <w:rsid w:val="008076D8"/>
    <w:rsid w:val="00807B7E"/>
    <w:rsid w:val="00810923"/>
    <w:rsid w:val="00811E9B"/>
    <w:rsid w:val="008124DC"/>
    <w:rsid w:val="008129E8"/>
    <w:rsid w:val="00812F24"/>
    <w:rsid w:val="00813828"/>
    <w:rsid w:val="008142B3"/>
    <w:rsid w:val="00814489"/>
    <w:rsid w:val="0081468E"/>
    <w:rsid w:val="0081480C"/>
    <w:rsid w:val="00814B65"/>
    <w:rsid w:val="00814D5A"/>
    <w:rsid w:val="00815A9B"/>
    <w:rsid w:val="00816170"/>
    <w:rsid w:val="00816469"/>
    <w:rsid w:val="00816762"/>
    <w:rsid w:val="00817513"/>
    <w:rsid w:val="00821477"/>
    <w:rsid w:val="00821C35"/>
    <w:rsid w:val="00821F94"/>
    <w:rsid w:val="0082213A"/>
    <w:rsid w:val="008225A7"/>
    <w:rsid w:val="00823121"/>
    <w:rsid w:val="008234AA"/>
    <w:rsid w:val="00823F0A"/>
    <w:rsid w:val="00825BE3"/>
    <w:rsid w:val="00826623"/>
    <w:rsid w:val="00826896"/>
    <w:rsid w:val="008278C0"/>
    <w:rsid w:val="00830FB2"/>
    <w:rsid w:val="00831B25"/>
    <w:rsid w:val="00832253"/>
    <w:rsid w:val="00832E83"/>
    <w:rsid w:val="0083326E"/>
    <w:rsid w:val="0083362C"/>
    <w:rsid w:val="00833F90"/>
    <w:rsid w:val="00834683"/>
    <w:rsid w:val="008346D1"/>
    <w:rsid w:val="00834782"/>
    <w:rsid w:val="008347B3"/>
    <w:rsid w:val="00834EB1"/>
    <w:rsid w:val="00835502"/>
    <w:rsid w:val="008375B7"/>
    <w:rsid w:val="00840BF7"/>
    <w:rsid w:val="00840F85"/>
    <w:rsid w:val="00841BD6"/>
    <w:rsid w:val="00841D9C"/>
    <w:rsid w:val="00841F7B"/>
    <w:rsid w:val="0084346C"/>
    <w:rsid w:val="00843DA9"/>
    <w:rsid w:val="008448BD"/>
    <w:rsid w:val="008453DD"/>
    <w:rsid w:val="00845876"/>
    <w:rsid w:val="00845E0D"/>
    <w:rsid w:val="00846C49"/>
    <w:rsid w:val="00846C98"/>
    <w:rsid w:val="00847282"/>
    <w:rsid w:val="00850043"/>
    <w:rsid w:val="00851E2C"/>
    <w:rsid w:val="0085272C"/>
    <w:rsid w:val="00852D59"/>
    <w:rsid w:val="00852D97"/>
    <w:rsid w:val="0085462B"/>
    <w:rsid w:val="00855370"/>
    <w:rsid w:val="0085547B"/>
    <w:rsid w:val="008556D2"/>
    <w:rsid w:val="00855F25"/>
    <w:rsid w:val="00857A69"/>
    <w:rsid w:val="00860122"/>
    <w:rsid w:val="00860667"/>
    <w:rsid w:val="008606B2"/>
    <w:rsid w:val="0086144C"/>
    <w:rsid w:val="00861BF3"/>
    <w:rsid w:val="00861D7E"/>
    <w:rsid w:val="00862634"/>
    <w:rsid w:val="00862AC7"/>
    <w:rsid w:val="008657A6"/>
    <w:rsid w:val="008657E8"/>
    <w:rsid w:val="0086582E"/>
    <w:rsid w:val="008663DE"/>
    <w:rsid w:val="008666DE"/>
    <w:rsid w:val="00866ED5"/>
    <w:rsid w:val="00867584"/>
    <w:rsid w:val="00867886"/>
    <w:rsid w:val="00867B45"/>
    <w:rsid w:val="0087184F"/>
    <w:rsid w:val="00872BFE"/>
    <w:rsid w:val="0087387B"/>
    <w:rsid w:val="00873A56"/>
    <w:rsid w:val="00873D10"/>
    <w:rsid w:val="00875F00"/>
    <w:rsid w:val="0088151D"/>
    <w:rsid w:val="00881723"/>
    <w:rsid w:val="00881D4D"/>
    <w:rsid w:val="00881E2C"/>
    <w:rsid w:val="00881FAD"/>
    <w:rsid w:val="008826B4"/>
    <w:rsid w:val="00882B62"/>
    <w:rsid w:val="00882E6D"/>
    <w:rsid w:val="0088695F"/>
    <w:rsid w:val="00890394"/>
    <w:rsid w:val="008905B7"/>
    <w:rsid w:val="008916F1"/>
    <w:rsid w:val="00891F1B"/>
    <w:rsid w:val="00892223"/>
    <w:rsid w:val="00892472"/>
    <w:rsid w:val="008929AE"/>
    <w:rsid w:val="00893AB6"/>
    <w:rsid w:val="00894399"/>
    <w:rsid w:val="0089579C"/>
    <w:rsid w:val="008959C2"/>
    <w:rsid w:val="00895DDB"/>
    <w:rsid w:val="0089684F"/>
    <w:rsid w:val="00896F4C"/>
    <w:rsid w:val="00897369"/>
    <w:rsid w:val="00897EE4"/>
    <w:rsid w:val="008A05AD"/>
    <w:rsid w:val="008A13C2"/>
    <w:rsid w:val="008A1CB6"/>
    <w:rsid w:val="008A3032"/>
    <w:rsid w:val="008A3BEE"/>
    <w:rsid w:val="008A3F4B"/>
    <w:rsid w:val="008A4265"/>
    <w:rsid w:val="008A4803"/>
    <w:rsid w:val="008A4A78"/>
    <w:rsid w:val="008A53B1"/>
    <w:rsid w:val="008A5557"/>
    <w:rsid w:val="008A5CCD"/>
    <w:rsid w:val="008A644C"/>
    <w:rsid w:val="008A6987"/>
    <w:rsid w:val="008A770B"/>
    <w:rsid w:val="008A78EB"/>
    <w:rsid w:val="008B03EB"/>
    <w:rsid w:val="008B10FD"/>
    <w:rsid w:val="008B15C5"/>
    <w:rsid w:val="008B1795"/>
    <w:rsid w:val="008B1F00"/>
    <w:rsid w:val="008B238C"/>
    <w:rsid w:val="008B26CB"/>
    <w:rsid w:val="008B2DF0"/>
    <w:rsid w:val="008B30AB"/>
    <w:rsid w:val="008B3A0C"/>
    <w:rsid w:val="008B419E"/>
    <w:rsid w:val="008B52B5"/>
    <w:rsid w:val="008B5495"/>
    <w:rsid w:val="008B65D6"/>
    <w:rsid w:val="008B6E03"/>
    <w:rsid w:val="008B730A"/>
    <w:rsid w:val="008B7316"/>
    <w:rsid w:val="008B7691"/>
    <w:rsid w:val="008B7ABC"/>
    <w:rsid w:val="008B7B34"/>
    <w:rsid w:val="008B7F82"/>
    <w:rsid w:val="008C0504"/>
    <w:rsid w:val="008C07B5"/>
    <w:rsid w:val="008C0C2F"/>
    <w:rsid w:val="008C0FA4"/>
    <w:rsid w:val="008C2828"/>
    <w:rsid w:val="008C40A7"/>
    <w:rsid w:val="008C57E6"/>
    <w:rsid w:val="008C6462"/>
    <w:rsid w:val="008C68EE"/>
    <w:rsid w:val="008C6F46"/>
    <w:rsid w:val="008C760D"/>
    <w:rsid w:val="008D0F30"/>
    <w:rsid w:val="008D10F0"/>
    <w:rsid w:val="008D2851"/>
    <w:rsid w:val="008D2B25"/>
    <w:rsid w:val="008D3F26"/>
    <w:rsid w:val="008D43B9"/>
    <w:rsid w:val="008D5218"/>
    <w:rsid w:val="008D569F"/>
    <w:rsid w:val="008D594D"/>
    <w:rsid w:val="008D5DDE"/>
    <w:rsid w:val="008D6626"/>
    <w:rsid w:val="008D6708"/>
    <w:rsid w:val="008D7884"/>
    <w:rsid w:val="008E0FF7"/>
    <w:rsid w:val="008E1F79"/>
    <w:rsid w:val="008E1F8A"/>
    <w:rsid w:val="008E2403"/>
    <w:rsid w:val="008E2976"/>
    <w:rsid w:val="008E3C20"/>
    <w:rsid w:val="008E5713"/>
    <w:rsid w:val="008E5A08"/>
    <w:rsid w:val="008E6383"/>
    <w:rsid w:val="008E6919"/>
    <w:rsid w:val="008E69AD"/>
    <w:rsid w:val="008E6E13"/>
    <w:rsid w:val="008F1438"/>
    <w:rsid w:val="008F2712"/>
    <w:rsid w:val="008F32B9"/>
    <w:rsid w:val="008F3648"/>
    <w:rsid w:val="008F3743"/>
    <w:rsid w:val="008F3B1A"/>
    <w:rsid w:val="008F3ED5"/>
    <w:rsid w:val="008F425B"/>
    <w:rsid w:val="008F48DA"/>
    <w:rsid w:val="008F4C2F"/>
    <w:rsid w:val="008F5228"/>
    <w:rsid w:val="008F5467"/>
    <w:rsid w:val="008F5EB9"/>
    <w:rsid w:val="008F7EDE"/>
    <w:rsid w:val="00900A03"/>
    <w:rsid w:val="00901F48"/>
    <w:rsid w:val="00903242"/>
    <w:rsid w:val="0090395A"/>
    <w:rsid w:val="00903E7C"/>
    <w:rsid w:val="00904118"/>
    <w:rsid w:val="0090468D"/>
    <w:rsid w:val="00904E0E"/>
    <w:rsid w:val="00906310"/>
    <w:rsid w:val="00907533"/>
    <w:rsid w:val="0090756A"/>
    <w:rsid w:val="00907C14"/>
    <w:rsid w:val="00907E91"/>
    <w:rsid w:val="00907EDD"/>
    <w:rsid w:val="0091036F"/>
    <w:rsid w:val="009115FA"/>
    <w:rsid w:val="009117F7"/>
    <w:rsid w:val="0091228B"/>
    <w:rsid w:val="00912A9A"/>
    <w:rsid w:val="00912EB7"/>
    <w:rsid w:val="00912F6A"/>
    <w:rsid w:val="00915277"/>
    <w:rsid w:val="009154FF"/>
    <w:rsid w:val="00916080"/>
    <w:rsid w:val="009162D4"/>
    <w:rsid w:val="00917453"/>
    <w:rsid w:val="009201B7"/>
    <w:rsid w:val="009212BC"/>
    <w:rsid w:val="009213B7"/>
    <w:rsid w:val="009226A3"/>
    <w:rsid w:val="0092298E"/>
    <w:rsid w:val="0092307A"/>
    <w:rsid w:val="00923670"/>
    <w:rsid w:val="00925064"/>
    <w:rsid w:val="009254E4"/>
    <w:rsid w:val="009256BB"/>
    <w:rsid w:val="00927882"/>
    <w:rsid w:val="00931233"/>
    <w:rsid w:val="00931D92"/>
    <w:rsid w:val="009327FF"/>
    <w:rsid w:val="009328D8"/>
    <w:rsid w:val="00932D1A"/>
    <w:rsid w:val="00934089"/>
    <w:rsid w:val="009350E6"/>
    <w:rsid w:val="00935F71"/>
    <w:rsid w:val="0093628B"/>
    <w:rsid w:val="00936EA2"/>
    <w:rsid w:val="009378DB"/>
    <w:rsid w:val="00940404"/>
    <w:rsid w:val="00940AE3"/>
    <w:rsid w:val="00940DE6"/>
    <w:rsid w:val="00941338"/>
    <w:rsid w:val="00941FCA"/>
    <w:rsid w:val="0094207D"/>
    <w:rsid w:val="009426A3"/>
    <w:rsid w:val="00942B27"/>
    <w:rsid w:val="00942C5F"/>
    <w:rsid w:val="00942D61"/>
    <w:rsid w:val="00944A75"/>
    <w:rsid w:val="009452AB"/>
    <w:rsid w:val="009476E1"/>
    <w:rsid w:val="00947914"/>
    <w:rsid w:val="00951F10"/>
    <w:rsid w:val="009523F9"/>
    <w:rsid w:val="00952ADD"/>
    <w:rsid w:val="009532FB"/>
    <w:rsid w:val="009539AF"/>
    <w:rsid w:val="009543D6"/>
    <w:rsid w:val="00954C13"/>
    <w:rsid w:val="0095534B"/>
    <w:rsid w:val="00955693"/>
    <w:rsid w:val="0095572F"/>
    <w:rsid w:val="00955A22"/>
    <w:rsid w:val="00955AC0"/>
    <w:rsid w:val="009600FD"/>
    <w:rsid w:val="00960EBE"/>
    <w:rsid w:val="009611DF"/>
    <w:rsid w:val="00961309"/>
    <w:rsid w:val="009616E9"/>
    <w:rsid w:val="009619E8"/>
    <w:rsid w:val="00962074"/>
    <w:rsid w:val="00963708"/>
    <w:rsid w:val="009640AC"/>
    <w:rsid w:val="00964294"/>
    <w:rsid w:val="009645A0"/>
    <w:rsid w:val="00964799"/>
    <w:rsid w:val="00964A9F"/>
    <w:rsid w:val="00964CED"/>
    <w:rsid w:val="00965504"/>
    <w:rsid w:val="009658AE"/>
    <w:rsid w:val="00966F2B"/>
    <w:rsid w:val="009678A0"/>
    <w:rsid w:val="0097008A"/>
    <w:rsid w:val="009703DE"/>
    <w:rsid w:val="00970CC1"/>
    <w:rsid w:val="00970DE0"/>
    <w:rsid w:val="0097142E"/>
    <w:rsid w:val="00971C8A"/>
    <w:rsid w:val="009743EE"/>
    <w:rsid w:val="0097695B"/>
    <w:rsid w:val="0097785F"/>
    <w:rsid w:val="00981492"/>
    <w:rsid w:val="009815AD"/>
    <w:rsid w:val="00981893"/>
    <w:rsid w:val="00981F84"/>
    <w:rsid w:val="009820D6"/>
    <w:rsid w:val="00982E9D"/>
    <w:rsid w:val="009830A6"/>
    <w:rsid w:val="0098343F"/>
    <w:rsid w:val="009839C3"/>
    <w:rsid w:val="0098448B"/>
    <w:rsid w:val="009848FC"/>
    <w:rsid w:val="00984EEF"/>
    <w:rsid w:val="0098515C"/>
    <w:rsid w:val="009859ED"/>
    <w:rsid w:val="009863FA"/>
    <w:rsid w:val="0098659F"/>
    <w:rsid w:val="00987776"/>
    <w:rsid w:val="00987B5C"/>
    <w:rsid w:val="00987F1A"/>
    <w:rsid w:val="00990D79"/>
    <w:rsid w:val="00992349"/>
    <w:rsid w:val="0099305A"/>
    <w:rsid w:val="00994A19"/>
    <w:rsid w:val="00994DE5"/>
    <w:rsid w:val="00995D95"/>
    <w:rsid w:val="00995EF7"/>
    <w:rsid w:val="00996B1F"/>
    <w:rsid w:val="0099741B"/>
    <w:rsid w:val="009A0946"/>
    <w:rsid w:val="009A0A93"/>
    <w:rsid w:val="009A1102"/>
    <w:rsid w:val="009A1F88"/>
    <w:rsid w:val="009A2932"/>
    <w:rsid w:val="009A2B90"/>
    <w:rsid w:val="009A2B9E"/>
    <w:rsid w:val="009A2F80"/>
    <w:rsid w:val="009A3D29"/>
    <w:rsid w:val="009A525A"/>
    <w:rsid w:val="009A7556"/>
    <w:rsid w:val="009A766A"/>
    <w:rsid w:val="009B067F"/>
    <w:rsid w:val="009B41AF"/>
    <w:rsid w:val="009B41C2"/>
    <w:rsid w:val="009B4586"/>
    <w:rsid w:val="009B45C2"/>
    <w:rsid w:val="009B49FA"/>
    <w:rsid w:val="009B66A8"/>
    <w:rsid w:val="009B6AB0"/>
    <w:rsid w:val="009B7D1C"/>
    <w:rsid w:val="009C0F8C"/>
    <w:rsid w:val="009C1091"/>
    <w:rsid w:val="009C3D48"/>
    <w:rsid w:val="009C3D8D"/>
    <w:rsid w:val="009C4CBB"/>
    <w:rsid w:val="009C5F12"/>
    <w:rsid w:val="009C63C8"/>
    <w:rsid w:val="009C64FC"/>
    <w:rsid w:val="009C7380"/>
    <w:rsid w:val="009D0901"/>
    <w:rsid w:val="009D0A7E"/>
    <w:rsid w:val="009D0FE2"/>
    <w:rsid w:val="009D125C"/>
    <w:rsid w:val="009D13DF"/>
    <w:rsid w:val="009D16ED"/>
    <w:rsid w:val="009D1916"/>
    <w:rsid w:val="009D2FF0"/>
    <w:rsid w:val="009D3218"/>
    <w:rsid w:val="009D35C0"/>
    <w:rsid w:val="009D476E"/>
    <w:rsid w:val="009D4772"/>
    <w:rsid w:val="009D58B9"/>
    <w:rsid w:val="009D5909"/>
    <w:rsid w:val="009D67D8"/>
    <w:rsid w:val="009D691D"/>
    <w:rsid w:val="009D7FDD"/>
    <w:rsid w:val="009E19E5"/>
    <w:rsid w:val="009E21F9"/>
    <w:rsid w:val="009E2B31"/>
    <w:rsid w:val="009E3386"/>
    <w:rsid w:val="009E3962"/>
    <w:rsid w:val="009E39E9"/>
    <w:rsid w:val="009E65A1"/>
    <w:rsid w:val="009E7BDE"/>
    <w:rsid w:val="009E7F0C"/>
    <w:rsid w:val="009E7F81"/>
    <w:rsid w:val="009F030B"/>
    <w:rsid w:val="009F0F36"/>
    <w:rsid w:val="009F3C29"/>
    <w:rsid w:val="009F3CE9"/>
    <w:rsid w:val="009F3FB0"/>
    <w:rsid w:val="009F45CD"/>
    <w:rsid w:val="009F49BB"/>
    <w:rsid w:val="009F560A"/>
    <w:rsid w:val="009F5AA9"/>
    <w:rsid w:val="009F5FAF"/>
    <w:rsid w:val="009F6B8E"/>
    <w:rsid w:val="00A02297"/>
    <w:rsid w:val="00A034FF"/>
    <w:rsid w:val="00A03BEE"/>
    <w:rsid w:val="00A04172"/>
    <w:rsid w:val="00A05741"/>
    <w:rsid w:val="00A062DA"/>
    <w:rsid w:val="00A06B24"/>
    <w:rsid w:val="00A10882"/>
    <w:rsid w:val="00A113C8"/>
    <w:rsid w:val="00A11C2B"/>
    <w:rsid w:val="00A129DD"/>
    <w:rsid w:val="00A12CB6"/>
    <w:rsid w:val="00A13315"/>
    <w:rsid w:val="00A13A2B"/>
    <w:rsid w:val="00A14658"/>
    <w:rsid w:val="00A14872"/>
    <w:rsid w:val="00A14FE8"/>
    <w:rsid w:val="00A151D6"/>
    <w:rsid w:val="00A15FC6"/>
    <w:rsid w:val="00A1625F"/>
    <w:rsid w:val="00A177D6"/>
    <w:rsid w:val="00A201A8"/>
    <w:rsid w:val="00A20F13"/>
    <w:rsid w:val="00A21101"/>
    <w:rsid w:val="00A21D1D"/>
    <w:rsid w:val="00A21F98"/>
    <w:rsid w:val="00A24CEF"/>
    <w:rsid w:val="00A24F3E"/>
    <w:rsid w:val="00A25B15"/>
    <w:rsid w:val="00A267A4"/>
    <w:rsid w:val="00A30BFA"/>
    <w:rsid w:val="00A32303"/>
    <w:rsid w:val="00A33D1C"/>
    <w:rsid w:val="00A347A1"/>
    <w:rsid w:val="00A354D5"/>
    <w:rsid w:val="00A35659"/>
    <w:rsid w:val="00A35972"/>
    <w:rsid w:val="00A35E06"/>
    <w:rsid w:val="00A35F78"/>
    <w:rsid w:val="00A360DF"/>
    <w:rsid w:val="00A36AA5"/>
    <w:rsid w:val="00A372FF"/>
    <w:rsid w:val="00A4047A"/>
    <w:rsid w:val="00A424B9"/>
    <w:rsid w:val="00A42746"/>
    <w:rsid w:val="00A43294"/>
    <w:rsid w:val="00A448B7"/>
    <w:rsid w:val="00A44A1E"/>
    <w:rsid w:val="00A45460"/>
    <w:rsid w:val="00A45D96"/>
    <w:rsid w:val="00A4626F"/>
    <w:rsid w:val="00A463F7"/>
    <w:rsid w:val="00A46FF6"/>
    <w:rsid w:val="00A52132"/>
    <w:rsid w:val="00A527DB"/>
    <w:rsid w:val="00A52AAD"/>
    <w:rsid w:val="00A53072"/>
    <w:rsid w:val="00A54620"/>
    <w:rsid w:val="00A54745"/>
    <w:rsid w:val="00A5484F"/>
    <w:rsid w:val="00A56686"/>
    <w:rsid w:val="00A56728"/>
    <w:rsid w:val="00A56857"/>
    <w:rsid w:val="00A56A4E"/>
    <w:rsid w:val="00A6084F"/>
    <w:rsid w:val="00A615BC"/>
    <w:rsid w:val="00A61EAD"/>
    <w:rsid w:val="00A6277C"/>
    <w:rsid w:val="00A6292B"/>
    <w:rsid w:val="00A62F32"/>
    <w:rsid w:val="00A642C0"/>
    <w:rsid w:val="00A64C04"/>
    <w:rsid w:val="00A6583D"/>
    <w:rsid w:val="00A661B4"/>
    <w:rsid w:val="00A67058"/>
    <w:rsid w:val="00A670CE"/>
    <w:rsid w:val="00A71977"/>
    <w:rsid w:val="00A719AC"/>
    <w:rsid w:val="00A71A6E"/>
    <w:rsid w:val="00A73F33"/>
    <w:rsid w:val="00A74183"/>
    <w:rsid w:val="00A75881"/>
    <w:rsid w:val="00A767B7"/>
    <w:rsid w:val="00A77359"/>
    <w:rsid w:val="00A7789B"/>
    <w:rsid w:val="00A77E36"/>
    <w:rsid w:val="00A80BC4"/>
    <w:rsid w:val="00A80FD3"/>
    <w:rsid w:val="00A81441"/>
    <w:rsid w:val="00A82137"/>
    <w:rsid w:val="00A82E16"/>
    <w:rsid w:val="00A83512"/>
    <w:rsid w:val="00A83914"/>
    <w:rsid w:val="00A83ECF"/>
    <w:rsid w:val="00A8608B"/>
    <w:rsid w:val="00A8666C"/>
    <w:rsid w:val="00A86734"/>
    <w:rsid w:val="00A87045"/>
    <w:rsid w:val="00A90220"/>
    <w:rsid w:val="00A90E19"/>
    <w:rsid w:val="00A9251E"/>
    <w:rsid w:val="00A93B9B"/>
    <w:rsid w:val="00A94F1C"/>
    <w:rsid w:val="00A951B9"/>
    <w:rsid w:val="00A953E3"/>
    <w:rsid w:val="00A95426"/>
    <w:rsid w:val="00A95B4D"/>
    <w:rsid w:val="00A9699E"/>
    <w:rsid w:val="00A96C09"/>
    <w:rsid w:val="00A97C83"/>
    <w:rsid w:val="00AA02E3"/>
    <w:rsid w:val="00AA070D"/>
    <w:rsid w:val="00AA0830"/>
    <w:rsid w:val="00AA194B"/>
    <w:rsid w:val="00AA1A9F"/>
    <w:rsid w:val="00AA4971"/>
    <w:rsid w:val="00AA5D4C"/>
    <w:rsid w:val="00AA6988"/>
    <w:rsid w:val="00AA732C"/>
    <w:rsid w:val="00AA7761"/>
    <w:rsid w:val="00AB2174"/>
    <w:rsid w:val="00AB338F"/>
    <w:rsid w:val="00AB46A8"/>
    <w:rsid w:val="00AB47CB"/>
    <w:rsid w:val="00AB514F"/>
    <w:rsid w:val="00AB536E"/>
    <w:rsid w:val="00AB56DB"/>
    <w:rsid w:val="00AB7028"/>
    <w:rsid w:val="00AB7489"/>
    <w:rsid w:val="00AB7E78"/>
    <w:rsid w:val="00AC0E4C"/>
    <w:rsid w:val="00AC22A9"/>
    <w:rsid w:val="00AC3437"/>
    <w:rsid w:val="00AC41F2"/>
    <w:rsid w:val="00AC437E"/>
    <w:rsid w:val="00AC45C1"/>
    <w:rsid w:val="00AC516C"/>
    <w:rsid w:val="00AC5277"/>
    <w:rsid w:val="00AC54B4"/>
    <w:rsid w:val="00AC576D"/>
    <w:rsid w:val="00AC57A1"/>
    <w:rsid w:val="00AC5B86"/>
    <w:rsid w:val="00AC64AF"/>
    <w:rsid w:val="00AC6CAE"/>
    <w:rsid w:val="00AC6FF1"/>
    <w:rsid w:val="00AC7240"/>
    <w:rsid w:val="00AD1474"/>
    <w:rsid w:val="00AD22AD"/>
    <w:rsid w:val="00AD2A6E"/>
    <w:rsid w:val="00AD380C"/>
    <w:rsid w:val="00AD3BA1"/>
    <w:rsid w:val="00AD43C3"/>
    <w:rsid w:val="00AD4608"/>
    <w:rsid w:val="00AD4EFE"/>
    <w:rsid w:val="00AD535D"/>
    <w:rsid w:val="00AD7447"/>
    <w:rsid w:val="00AD778A"/>
    <w:rsid w:val="00AE0193"/>
    <w:rsid w:val="00AE024A"/>
    <w:rsid w:val="00AE0718"/>
    <w:rsid w:val="00AE0958"/>
    <w:rsid w:val="00AE0CE0"/>
    <w:rsid w:val="00AE1BB2"/>
    <w:rsid w:val="00AE1E7D"/>
    <w:rsid w:val="00AE3517"/>
    <w:rsid w:val="00AE3C70"/>
    <w:rsid w:val="00AE4FB0"/>
    <w:rsid w:val="00AE54C8"/>
    <w:rsid w:val="00AE576D"/>
    <w:rsid w:val="00AE6763"/>
    <w:rsid w:val="00AE6FF5"/>
    <w:rsid w:val="00AE749E"/>
    <w:rsid w:val="00AF00BB"/>
    <w:rsid w:val="00AF039C"/>
    <w:rsid w:val="00AF134E"/>
    <w:rsid w:val="00AF1B4D"/>
    <w:rsid w:val="00AF259D"/>
    <w:rsid w:val="00AF3133"/>
    <w:rsid w:val="00AF36C5"/>
    <w:rsid w:val="00AF38AD"/>
    <w:rsid w:val="00AF437D"/>
    <w:rsid w:val="00AF4DA0"/>
    <w:rsid w:val="00AF4E7B"/>
    <w:rsid w:val="00AF66B2"/>
    <w:rsid w:val="00AF6EAA"/>
    <w:rsid w:val="00B00221"/>
    <w:rsid w:val="00B00BDA"/>
    <w:rsid w:val="00B00EE4"/>
    <w:rsid w:val="00B0106C"/>
    <w:rsid w:val="00B010B3"/>
    <w:rsid w:val="00B02120"/>
    <w:rsid w:val="00B02EDB"/>
    <w:rsid w:val="00B03B2D"/>
    <w:rsid w:val="00B03DD0"/>
    <w:rsid w:val="00B04064"/>
    <w:rsid w:val="00B05AC8"/>
    <w:rsid w:val="00B06320"/>
    <w:rsid w:val="00B07C79"/>
    <w:rsid w:val="00B1000A"/>
    <w:rsid w:val="00B11247"/>
    <w:rsid w:val="00B11BB2"/>
    <w:rsid w:val="00B11EE7"/>
    <w:rsid w:val="00B12220"/>
    <w:rsid w:val="00B1306A"/>
    <w:rsid w:val="00B133BE"/>
    <w:rsid w:val="00B13AC0"/>
    <w:rsid w:val="00B14727"/>
    <w:rsid w:val="00B15A3F"/>
    <w:rsid w:val="00B17189"/>
    <w:rsid w:val="00B22B97"/>
    <w:rsid w:val="00B23907"/>
    <w:rsid w:val="00B23E21"/>
    <w:rsid w:val="00B244D7"/>
    <w:rsid w:val="00B24C81"/>
    <w:rsid w:val="00B25780"/>
    <w:rsid w:val="00B2581E"/>
    <w:rsid w:val="00B26536"/>
    <w:rsid w:val="00B26DD1"/>
    <w:rsid w:val="00B303FB"/>
    <w:rsid w:val="00B30CAB"/>
    <w:rsid w:val="00B320BC"/>
    <w:rsid w:val="00B32B0E"/>
    <w:rsid w:val="00B32C5C"/>
    <w:rsid w:val="00B33C39"/>
    <w:rsid w:val="00B34988"/>
    <w:rsid w:val="00B3656E"/>
    <w:rsid w:val="00B365A8"/>
    <w:rsid w:val="00B3715B"/>
    <w:rsid w:val="00B3722C"/>
    <w:rsid w:val="00B372B6"/>
    <w:rsid w:val="00B411AB"/>
    <w:rsid w:val="00B41CC1"/>
    <w:rsid w:val="00B42BD9"/>
    <w:rsid w:val="00B43132"/>
    <w:rsid w:val="00B43238"/>
    <w:rsid w:val="00B442B2"/>
    <w:rsid w:val="00B44B3A"/>
    <w:rsid w:val="00B44D86"/>
    <w:rsid w:val="00B45AE1"/>
    <w:rsid w:val="00B46A92"/>
    <w:rsid w:val="00B50E44"/>
    <w:rsid w:val="00B52BC4"/>
    <w:rsid w:val="00B52E82"/>
    <w:rsid w:val="00B537D2"/>
    <w:rsid w:val="00B5466D"/>
    <w:rsid w:val="00B54E61"/>
    <w:rsid w:val="00B5548B"/>
    <w:rsid w:val="00B554F9"/>
    <w:rsid w:val="00B570F0"/>
    <w:rsid w:val="00B579B9"/>
    <w:rsid w:val="00B60B97"/>
    <w:rsid w:val="00B61300"/>
    <w:rsid w:val="00B618BE"/>
    <w:rsid w:val="00B62553"/>
    <w:rsid w:val="00B63CDD"/>
    <w:rsid w:val="00B64422"/>
    <w:rsid w:val="00B64BCB"/>
    <w:rsid w:val="00B652DC"/>
    <w:rsid w:val="00B658B8"/>
    <w:rsid w:val="00B6781D"/>
    <w:rsid w:val="00B67BE1"/>
    <w:rsid w:val="00B71DF0"/>
    <w:rsid w:val="00B721ED"/>
    <w:rsid w:val="00B75BC1"/>
    <w:rsid w:val="00B75D04"/>
    <w:rsid w:val="00B762A1"/>
    <w:rsid w:val="00B76D80"/>
    <w:rsid w:val="00B76F1E"/>
    <w:rsid w:val="00B775FF"/>
    <w:rsid w:val="00B77810"/>
    <w:rsid w:val="00B77E1E"/>
    <w:rsid w:val="00B802B9"/>
    <w:rsid w:val="00B81B89"/>
    <w:rsid w:val="00B81FAB"/>
    <w:rsid w:val="00B82161"/>
    <w:rsid w:val="00B82AEC"/>
    <w:rsid w:val="00B82CD5"/>
    <w:rsid w:val="00B83A5A"/>
    <w:rsid w:val="00B83CE1"/>
    <w:rsid w:val="00B840A1"/>
    <w:rsid w:val="00B8492E"/>
    <w:rsid w:val="00B84A81"/>
    <w:rsid w:val="00B858FF"/>
    <w:rsid w:val="00B86A52"/>
    <w:rsid w:val="00B87AAA"/>
    <w:rsid w:val="00B9045B"/>
    <w:rsid w:val="00B905C8"/>
    <w:rsid w:val="00B91729"/>
    <w:rsid w:val="00B91776"/>
    <w:rsid w:val="00B92A30"/>
    <w:rsid w:val="00B92C15"/>
    <w:rsid w:val="00B92C76"/>
    <w:rsid w:val="00B92CE3"/>
    <w:rsid w:val="00B9310B"/>
    <w:rsid w:val="00B9359B"/>
    <w:rsid w:val="00B94113"/>
    <w:rsid w:val="00B94909"/>
    <w:rsid w:val="00B94921"/>
    <w:rsid w:val="00B949DE"/>
    <w:rsid w:val="00B94ADA"/>
    <w:rsid w:val="00B9605A"/>
    <w:rsid w:val="00BA0A2D"/>
    <w:rsid w:val="00BA0DB4"/>
    <w:rsid w:val="00BA0DFB"/>
    <w:rsid w:val="00BA14A2"/>
    <w:rsid w:val="00BA275F"/>
    <w:rsid w:val="00BA295D"/>
    <w:rsid w:val="00BA2F4F"/>
    <w:rsid w:val="00BA3522"/>
    <w:rsid w:val="00BA41C0"/>
    <w:rsid w:val="00BA4CA8"/>
    <w:rsid w:val="00BA4DEE"/>
    <w:rsid w:val="00BA56E5"/>
    <w:rsid w:val="00BA602D"/>
    <w:rsid w:val="00BA626D"/>
    <w:rsid w:val="00BA6A6F"/>
    <w:rsid w:val="00BB07A4"/>
    <w:rsid w:val="00BB0E71"/>
    <w:rsid w:val="00BB10FA"/>
    <w:rsid w:val="00BB1315"/>
    <w:rsid w:val="00BB1BCD"/>
    <w:rsid w:val="00BB2353"/>
    <w:rsid w:val="00BB2A30"/>
    <w:rsid w:val="00BB2AE6"/>
    <w:rsid w:val="00BB3611"/>
    <w:rsid w:val="00BB3876"/>
    <w:rsid w:val="00BB3914"/>
    <w:rsid w:val="00BB3E66"/>
    <w:rsid w:val="00BB4F25"/>
    <w:rsid w:val="00BB7005"/>
    <w:rsid w:val="00BB74EE"/>
    <w:rsid w:val="00BB7C26"/>
    <w:rsid w:val="00BC047C"/>
    <w:rsid w:val="00BC0920"/>
    <w:rsid w:val="00BC10A7"/>
    <w:rsid w:val="00BC164E"/>
    <w:rsid w:val="00BC2EB1"/>
    <w:rsid w:val="00BC3212"/>
    <w:rsid w:val="00BC40AB"/>
    <w:rsid w:val="00BC47AA"/>
    <w:rsid w:val="00BC5562"/>
    <w:rsid w:val="00BC6112"/>
    <w:rsid w:val="00BC65B5"/>
    <w:rsid w:val="00BC6CC8"/>
    <w:rsid w:val="00BC7FD1"/>
    <w:rsid w:val="00BD0989"/>
    <w:rsid w:val="00BD139D"/>
    <w:rsid w:val="00BD1932"/>
    <w:rsid w:val="00BD23BA"/>
    <w:rsid w:val="00BD266E"/>
    <w:rsid w:val="00BD3DFE"/>
    <w:rsid w:val="00BD4096"/>
    <w:rsid w:val="00BD42BD"/>
    <w:rsid w:val="00BD46DC"/>
    <w:rsid w:val="00BD52D0"/>
    <w:rsid w:val="00BD567D"/>
    <w:rsid w:val="00BD5ACB"/>
    <w:rsid w:val="00BD60D3"/>
    <w:rsid w:val="00BD71D9"/>
    <w:rsid w:val="00BD7C3A"/>
    <w:rsid w:val="00BE03D4"/>
    <w:rsid w:val="00BE0A5B"/>
    <w:rsid w:val="00BE0C94"/>
    <w:rsid w:val="00BE0F01"/>
    <w:rsid w:val="00BE10BB"/>
    <w:rsid w:val="00BE1263"/>
    <w:rsid w:val="00BE128C"/>
    <w:rsid w:val="00BE1433"/>
    <w:rsid w:val="00BE2351"/>
    <w:rsid w:val="00BE2790"/>
    <w:rsid w:val="00BE2D47"/>
    <w:rsid w:val="00BE30CD"/>
    <w:rsid w:val="00BE4830"/>
    <w:rsid w:val="00BE5AE0"/>
    <w:rsid w:val="00BE733F"/>
    <w:rsid w:val="00BF0084"/>
    <w:rsid w:val="00BF012F"/>
    <w:rsid w:val="00BF0D07"/>
    <w:rsid w:val="00BF2EEA"/>
    <w:rsid w:val="00BF3886"/>
    <w:rsid w:val="00BF42F8"/>
    <w:rsid w:val="00BF4666"/>
    <w:rsid w:val="00BF5285"/>
    <w:rsid w:val="00BF6328"/>
    <w:rsid w:val="00BF7200"/>
    <w:rsid w:val="00BF77A5"/>
    <w:rsid w:val="00BF7861"/>
    <w:rsid w:val="00BF7EC5"/>
    <w:rsid w:val="00C002EA"/>
    <w:rsid w:val="00C00B25"/>
    <w:rsid w:val="00C00B8D"/>
    <w:rsid w:val="00C01B35"/>
    <w:rsid w:val="00C03386"/>
    <w:rsid w:val="00C037EF"/>
    <w:rsid w:val="00C03CEB"/>
    <w:rsid w:val="00C041FF"/>
    <w:rsid w:val="00C0450E"/>
    <w:rsid w:val="00C04B53"/>
    <w:rsid w:val="00C04EEB"/>
    <w:rsid w:val="00C051FA"/>
    <w:rsid w:val="00C0584C"/>
    <w:rsid w:val="00C058F0"/>
    <w:rsid w:val="00C05BCE"/>
    <w:rsid w:val="00C06338"/>
    <w:rsid w:val="00C067DC"/>
    <w:rsid w:val="00C077A7"/>
    <w:rsid w:val="00C1021A"/>
    <w:rsid w:val="00C105E3"/>
    <w:rsid w:val="00C108CB"/>
    <w:rsid w:val="00C11D63"/>
    <w:rsid w:val="00C120BC"/>
    <w:rsid w:val="00C14022"/>
    <w:rsid w:val="00C17010"/>
    <w:rsid w:val="00C17E1A"/>
    <w:rsid w:val="00C221DD"/>
    <w:rsid w:val="00C2292B"/>
    <w:rsid w:val="00C22B3B"/>
    <w:rsid w:val="00C235F6"/>
    <w:rsid w:val="00C24000"/>
    <w:rsid w:val="00C2464E"/>
    <w:rsid w:val="00C24E58"/>
    <w:rsid w:val="00C25A53"/>
    <w:rsid w:val="00C25ABD"/>
    <w:rsid w:val="00C25EE3"/>
    <w:rsid w:val="00C2743A"/>
    <w:rsid w:val="00C3001D"/>
    <w:rsid w:val="00C3050D"/>
    <w:rsid w:val="00C31203"/>
    <w:rsid w:val="00C31BFE"/>
    <w:rsid w:val="00C33219"/>
    <w:rsid w:val="00C333E8"/>
    <w:rsid w:val="00C33DB3"/>
    <w:rsid w:val="00C33DE6"/>
    <w:rsid w:val="00C33E5D"/>
    <w:rsid w:val="00C365BE"/>
    <w:rsid w:val="00C3674F"/>
    <w:rsid w:val="00C40559"/>
    <w:rsid w:val="00C4299A"/>
    <w:rsid w:val="00C42D34"/>
    <w:rsid w:val="00C45BEF"/>
    <w:rsid w:val="00C45DD6"/>
    <w:rsid w:val="00C46C1B"/>
    <w:rsid w:val="00C46CE5"/>
    <w:rsid w:val="00C46DCA"/>
    <w:rsid w:val="00C5158F"/>
    <w:rsid w:val="00C519A9"/>
    <w:rsid w:val="00C52D4A"/>
    <w:rsid w:val="00C52E0F"/>
    <w:rsid w:val="00C54370"/>
    <w:rsid w:val="00C5468F"/>
    <w:rsid w:val="00C550ED"/>
    <w:rsid w:val="00C5536F"/>
    <w:rsid w:val="00C553E5"/>
    <w:rsid w:val="00C55FCC"/>
    <w:rsid w:val="00C566CA"/>
    <w:rsid w:val="00C57627"/>
    <w:rsid w:val="00C57CBF"/>
    <w:rsid w:val="00C603A8"/>
    <w:rsid w:val="00C603BB"/>
    <w:rsid w:val="00C61E15"/>
    <w:rsid w:val="00C622AE"/>
    <w:rsid w:val="00C62443"/>
    <w:rsid w:val="00C636D4"/>
    <w:rsid w:val="00C64927"/>
    <w:rsid w:val="00C64E96"/>
    <w:rsid w:val="00C64EDF"/>
    <w:rsid w:val="00C653AD"/>
    <w:rsid w:val="00C65816"/>
    <w:rsid w:val="00C6650B"/>
    <w:rsid w:val="00C66553"/>
    <w:rsid w:val="00C67470"/>
    <w:rsid w:val="00C67C0E"/>
    <w:rsid w:val="00C67E72"/>
    <w:rsid w:val="00C71AFB"/>
    <w:rsid w:val="00C74327"/>
    <w:rsid w:val="00C75220"/>
    <w:rsid w:val="00C772A6"/>
    <w:rsid w:val="00C77AFA"/>
    <w:rsid w:val="00C77BBD"/>
    <w:rsid w:val="00C77C60"/>
    <w:rsid w:val="00C805C5"/>
    <w:rsid w:val="00C81BBB"/>
    <w:rsid w:val="00C82CF4"/>
    <w:rsid w:val="00C8369B"/>
    <w:rsid w:val="00C8399C"/>
    <w:rsid w:val="00C84169"/>
    <w:rsid w:val="00C86062"/>
    <w:rsid w:val="00C86546"/>
    <w:rsid w:val="00C8667C"/>
    <w:rsid w:val="00C9016E"/>
    <w:rsid w:val="00C9071A"/>
    <w:rsid w:val="00C90A51"/>
    <w:rsid w:val="00C92329"/>
    <w:rsid w:val="00C92512"/>
    <w:rsid w:val="00C93249"/>
    <w:rsid w:val="00C9355D"/>
    <w:rsid w:val="00C9378B"/>
    <w:rsid w:val="00C93C24"/>
    <w:rsid w:val="00C94F81"/>
    <w:rsid w:val="00C9587D"/>
    <w:rsid w:val="00C95BF7"/>
    <w:rsid w:val="00C96091"/>
    <w:rsid w:val="00C966BC"/>
    <w:rsid w:val="00C97336"/>
    <w:rsid w:val="00C97741"/>
    <w:rsid w:val="00C97913"/>
    <w:rsid w:val="00C97BF2"/>
    <w:rsid w:val="00CA06ED"/>
    <w:rsid w:val="00CA08B8"/>
    <w:rsid w:val="00CA0F20"/>
    <w:rsid w:val="00CA11F5"/>
    <w:rsid w:val="00CA1548"/>
    <w:rsid w:val="00CA2AC0"/>
    <w:rsid w:val="00CA2D57"/>
    <w:rsid w:val="00CA3899"/>
    <w:rsid w:val="00CA3AD8"/>
    <w:rsid w:val="00CA3F9D"/>
    <w:rsid w:val="00CA45DC"/>
    <w:rsid w:val="00CA49DB"/>
    <w:rsid w:val="00CA4CB4"/>
    <w:rsid w:val="00CA5D67"/>
    <w:rsid w:val="00CA6970"/>
    <w:rsid w:val="00CA714A"/>
    <w:rsid w:val="00CA714F"/>
    <w:rsid w:val="00CA7449"/>
    <w:rsid w:val="00CA7759"/>
    <w:rsid w:val="00CA7E50"/>
    <w:rsid w:val="00CB0F45"/>
    <w:rsid w:val="00CB2DA1"/>
    <w:rsid w:val="00CB31BF"/>
    <w:rsid w:val="00CB365E"/>
    <w:rsid w:val="00CB39C3"/>
    <w:rsid w:val="00CB437F"/>
    <w:rsid w:val="00CB59CB"/>
    <w:rsid w:val="00CB67CA"/>
    <w:rsid w:val="00CB6D0E"/>
    <w:rsid w:val="00CB6E5E"/>
    <w:rsid w:val="00CB7557"/>
    <w:rsid w:val="00CC016F"/>
    <w:rsid w:val="00CC0E2E"/>
    <w:rsid w:val="00CC1BB5"/>
    <w:rsid w:val="00CC2034"/>
    <w:rsid w:val="00CC2A3B"/>
    <w:rsid w:val="00CC33B5"/>
    <w:rsid w:val="00CC4945"/>
    <w:rsid w:val="00CC494B"/>
    <w:rsid w:val="00CC4E30"/>
    <w:rsid w:val="00CC5618"/>
    <w:rsid w:val="00CC663A"/>
    <w:rsid w:val="00CC72E6"/>
    <w:rsid w:val="00CC78A8"/>
    <w:rsid w:val="00CD0240"/>
    <w:rsid w:val="00CD0C90"/>
    <w:rsid w:val="00CD162E"/>
    <w:rsid w:val="00CD1CAE"/>
    <w:rsid w:val="00CD2499"/>
    <w:rsid w:val="00CD299E"/>
    <w:rsid w:val="00CD4B1C"/>
    <w:rsid w:val="00CD576B"/>
    <w:rsid w:val="00CD6959"/>
    <w:rsid w:val="00CD6A90"/>
    <w:rsid w:val="00CD7E04"/>
    <w:rsid w:val="00CE056F"/>
    <w:rsid w:val="00CE093E"/>
    <w:rsid w:val="00CE0949"/>
    <w:rsid w:val="00CE1438"/>
    <w:rsid w:val="00CE1D2E"/>
    <w:rsid w:val="00CE2419"/>
    <w:rsid w:val="00CE263D"/>
    <w:rsid w:val="00CE37FC"/>
    <w:rsid w:val="00CE4658"/>
    <w:rsid w:val="00CE58DC"/>
    <w:rsid w:val="00CE619D"/>
    <w:rsid w:val="00CE63AB"/>
    <w:rsid w:val="00CE6963"/>
    <w:rsid w:val="00CE7287"/>
    <w:rsid w:val="00CE756D"/>
    <w:rsid w:val="00CF177E"/>
    <w:rsid w:val="00CF20AC"/>
    <w:rsid w:val="00CF23EA"/>
    <w:rsid w:val="00CF2D88"/>
    <w:rsid w:val="00CF43DF"/>
    <w:rsid w:val="00CF5087"/>
    <w:rsid w:val="00CF69F8"/>
    <w:rsid w:val="00CF6BFB"/>
    <w:rsid w:val="00CF7094"/>
    <w:rsid w:val="00CF7958"/>
    <w:rsid w:val="00D001B3"/>
    <w:rsid w:val="00D007B0"/>
    <w:rsid w:val="00D00FF6"/>
    <w:rsid w:val="00D01208"/>
    <w:rsid w:val="00D01CA9"/>
    <w:rsid w:val="00D022CA"/>
    <w:rsid w:val="00D03069"/>
    <w:rsid w:val="00D0344C"/>
    <w:rsid w:val="00D038C9"/>
    <w:rsid w:val="00D038FA"/>
    <w:rsid w:val="00D03C9B"/>
    <w:rsid w:val="00D05207"/>
    <w:rsid w:val="00D0551D"/>
    <w:rsid w:val="00D06B97"/>
    <w:rsid w:val="00D06E25"/>
    <w:rsid w:val="00D10C28"/>
    <w:rsid w:val="00D1120E"/>
    <w:rsid w:val="00D123AC"/>
    <w:rsid w:val="00D12576"/>
    <w:rsid w:val="00D135D9"/>
    <w:rsid w:val="00D15E73"/>
    <w:rsid w:val="00D17AAE"/>
    <w:rsid w:val="00D20539"/>
    <w:rsid w:val="00D21262"/>
    <w:rsid w:val="00D21D2B"/>
    <w:rsid w:val="00D223D0"/>
    <w:rsid w:val="00D239A2"/>
    <w:rsid w:val="00D2481E"/>
    <w:rsid w:val="00D24826"/>
    <w:rsid w:val="00D26700"/>
    <w:rsid w:val="00D2787B"/>
    <w:rsid w:val="00D30062"/>
    <w:rsid w:val="00D3099B"/>
    <w:rsid w:val="00D30A5C"/>
    <w:rsid w:val="00D30BDE"/>
    <w:rsid w:val="00D32D93"/>
    <w:rsid w:val="00D337D2"/>
    <w:rsid w:val="00D339B8"/>
    <w:rsid w:val="00D33BB8"/>
    <w:rsid w:val="00D35A5E"/>
    <w:rsid w:val="00D36DB4"/>
    <w:rsid w:val="00D371AA"/>
    <w:rsid w:val="00D37DD3"/>
    <w:rsid w:val="00D41240"/>
    <w:rsid w:val="00D4233C"/>
    <w:rsid w:val="00D45075"/>
    <w:rsid w:val="00D4522F"/>
    <w:rsid w:val="00D464B9"/>
    <w:rsid w:val="00D4673A"/>
    <w:rsid w:val="00D473BB"/>
    <w:rsid w:val="00D47E7E"/>
    <w:rsid w:val="00D507C6"/>
    <w:rsid w:val="00D50AB3"/>
    <w:rsid w:val="00D50F94"/>
    <w:rsid w:val="00D5197E"/>
    <w:rsid w:val="00D5277F"/>
    <w:rsid w:val="00D53468"/>
    <w:rsid w:val="00D53E23"/>
    <w:rsid w:val="00D544AD"/>
    <w:rsid w:val="00D55903"/>
    <w:rsid w:val="00D55CCF"/>
    <w:rsid w:val="00D57D10"/>
    <w:rsid w:val="00D57E4D"/>
    <w:rsid w:val="00D57F2B"/>
    <w:rsid w:val="00D60610"/>
    <w:rsid w:val="00D60DCD"/>
    <w:rsid w:val="00D6215C"/>
    <w:rsid w:val="00D6303B"/>
    <w:rsid w:val="00D63225"/>
    <w:rsid w:val="00D63F80"/>
    <w:rsid w:val="00D64C07"/>
    <w:rsid w:val="00D65204"/>
    <w:rsid w:val="00D656FA"/>
    <w:rsid w:val="00D65F5E"/>
    <w:rsid w:val="00D66E68"/>
    <w:rsid w:val="00D67016"/>
    <w:rsid w:val="00D678B7"/>
    <w:rsid w:val="00D67C5A"/>
    <w:rsid w:val="00D7057B"/>
    <w:rsid w:val="00D7105F"/>
    <w:rsid w:val="00D73C40"/>
    <w:rsid w:val="00D73E12"/>
    <w:rsid w:val="00D744B5"/>
    <w:rsid w:val="00D746F6"/>
    <w:rsid w:val="00D777E3"/>
    <w:rsid w:val="00D77D84"/>
    <w:rsid w:val="00D80065"/>
    <w:rsid w:val="00D808F7"/>
    <w:rsid w:val="00D81725"/>
    <w:rsid w:val="00D82242"/>
    <w:rsid w:val="00D82B9C"/>
    <w:rsid w:val="00D83AAC"/>
    <w:rsid w:val="00D83EAA"/>
    <w:rsid w:val="00D858E8"/>
    <w:rsid w:val="00D86D05"/>
    <w:rsid w:val="00D86D51"/>
    <w:rsid w:val="00D87437"/>
    <w:rsid w:val="00D87B97"/>
    <w:rsid w:val="00D91FDB"/>
    <w:rsid w:val="00D935B5"/>
    <w:rsid w:val="00D935C4"/>
    <w:rsid w:val="00D94947"/>
    <w:rsid w:val="00D952AB"/>
    <w:rsid w:val="00D95EE9"/>
    <w:rsid w:val="00D96018"/>
    <w:rsid w:val="00D9716E"/>
    <w:rsid w:val="00D9754F"/>
    <w:rsid w:val="00D97CF9"/>
    <w:rsid w:val="00DA16A6"/>
    <w:rsid w:val="00DA1BCC"/>
    <w:rsid w:val="00DA22E9"/>
    <w:rsid w:val="00DA2C1D"/>
    <w:rsid w:val="00DA4308"/>
    <w:rsid w:val="00DA5AD0"/>
    <w:rsid w:val="00DA6161"/>
    <w:rsid w:val="00DA6428"/>
    <w:rsid w:val="00DA66B3"/>
    <w:rsid w:val="00DA6D46"/>
    <w:rsid w:val="00DA7820"/>
    <w:rsid w:val="00DB04FB"/>
    <w:rsid w:val="00DB10D4"/>
    <w:rsid w:val="00DB1C60"/>
    <w:rsid w:val="00DB1E58"/>
    <w:rsid w:val="00DB2D69"/>
    <w:rsid w:val="00DB2FD7"/>
    <w:rsid w:val="00DB38F8"/>
    <w:rsid w:val="00DB3CE0"/>
    <w:rsid w:val="00DB3D30"/>
    <w:rsid w:val="00DB4195"/>
    <w:rsid w:val="00DB54F0"/>
    <w:rsid w:val="00DB5FDA"/>
    <w:rsid w:val="00DB68EA"/>
    <w:rsid w:val="00DB713A"/>
    <w:rsid w:val="00DB75E3"/>
    <w:rsid w:val="00DB7964"/>
    <w:rsid w:val="00DB7FC0"/>
    <w:rsid w:val="00DC0C16"/>
    <w:rsid w:val="00DC14EA"/>
    <w:rsid w:val="00DC1BCA"/>
    <w:rsid w:val="00DC1D56"/>
    <w:rsid w:val="00DC245A"/>
    <w:rsid w:val="00DC4AEE"/>
    <w:rsid w:val="00DC5939"/>
    <w:rsid w:val="00DC6799"/>
    <w:rsid w:val="00DC69F1"/>
    <w:rsid w:val="00DC6A07"/>
    <w:rsid w:val="00DC7E1C"/>
    <w:rsid w:val="00DD0470"/>
    <w:rsid w:val="00DD06FF"/>
    <w:rsid w:val="00DD0709"/>
    <w:rsid w:val="00DD262C"/>
    <w:rsid w:val="00DD29E2"/>
    <w:rsid w:val="00DD3DCE"/>
    <w:rsid w:val="00DD5F8C"/>
    <w:rsid w:val="00DD6D76"/>
    <w:rsid w:val="00DD709C"/>
    <w:rsid w:val="00DD7380"/>
    <w:rsid w:val="00DD78AD"/>
    <w:rsid w:val="00DE0166"/>
    <w:rsid w:val="00DE0708"/>
    <w:rsid w:val="00DE0D31"/>
    <w:rsid w:val="00DE1DE5"/>
    <w:rsid w:val="00DE27BB"/>
    <w:rsid w:val="00DE2F29"/>
    <w:rsid w:val="00DE35CE"/>
    <w:rsid w:val="00DE394B"/>
    <w:rsid w:val="00DE4B45"/>
    <w:rsid w:val="00DE5027"/>
    <w:rsid w:val="00DE572B"/>
    <w:rsid w:val="00DE59F2"/>
    <w:rsid w:val="00DE5A95"/>
    <w:rsid w:val="00DE5AAB"/>
    <w:rsid w:val="00DE6007"/>
    <w:rsid w:val="00DE635A"/>
    <w:rsid w:val="00DE742C"/>
    <w:rsid w:val="00DF07E1"/>
    <w:rsid w:val="00DF135B"/>
    <w:rsid w:val="00DF168A"/>
    <w:rsid w:val="00DF1A9D"/>
    <w:rsid w:val="00DF1F88"/>
    <w:rsid w:val="00DF25BE"/>
    <w:rsid w:val="00DF2779"/>
    <w:rsid w:val="00DF3BCE"/>
    <w:rsid w:val="00DF4233"/>
    <w:rsid w:val="00DF4EB6"/>
    <w:rsid w:val="00DF6B63"/>
    <w:rsid w:val="00DF7420"/>
    <w:rsid w:val="00DF7839"/>
    <w:rsid w:val="00DF7947"/>
    <w:rsid w:val="00DF7BCA"/>
    <w:rsid w:val="00E01762"/>
    <w:rsid w:val="00E01799"/>
    <w:rsid w:val="00E01B67"/>
    <w:rsid w:val="00E021BB"/>
    <w:rsid w:val="00E03104"/>
    <w:rsid w:val="00E0337F"/>
    <w:rsid w:val="00E03496"/>
    <w:rsid w:val="00E036B3"/>
    <w:rsid w:val="00E03897"/>
    <w:rsid w:val="00E0399A"/>
    <w:rsid w:val="00E03DCF"/>
    <w:rsid w:val="00E040D4"/>
    <w:rsid w:val="00E05252"/>
    <w:rsid w:val="00E055B2"/>
    <w:rsid w:val="00E0681A"/>
    <w:rsid w:val="00E07153"/>
    <w:rsid w:val="00E109C4"/>
    <w:rsid w:val="00E10E83"/>
    <w:rsid w:val="00E11B58"/>
    <w:rsid w:val="00E11D82"/>
    <w:rsid w:val="00E11EEF"/>
    <w:rsid w:val="00E12505"/>
    <w:rsid w:val="00E128BB"/>
    <w:rsid w:val="00E139BC"/>
    <w:rsid w:val="00E13EBB"/>
    <w:rsid w:val="00E14A87"/>
    <w:rsid w:val="00E1502E"/>
    <w:rsid w:val="00E16049"/>
    <w:rsid w:val="00E16DFE"/>
    <w:rsid w:val="00E17848"/>
    <w:rsid w:val="00E17C2E"/>
    <w:rsid w:val="00E2262D"/>
    <w:rsid w:val="00E2381E"/>
    <w:rsid w:val="00E243F9"/>
    <w:rsid w:val="00E24591"/>
    <w:rsid w:val="00E24912"/>
    <w:rsid w:val="00E256C0"/>
    <w:rsid w:val="00E27401"/>
    <w:rsid w:val="00E2762D"/>
    <w:rsid w:val="00E27B1D"/>
    <w:rsid w:val="00E31DCE"/>
    <w:rsid w:val="00E3251A"/>
    <w:rsid w:val="00E32526"/>
    <w:rsid w:val="00E328D1"/>
    <w:rsid w:val="00E33CC9"/>
    <w:rsid w:val="00E3487F"/>
    <w:rsid w:val="00E34BC6"/>
    <w:rsid w:val="00E40B9A"/>
    <w:rsid w:val="00E418C2"/>
    <w:rsid w:val="00E43537"/>
    <w:rsid w:val="00E44076"/>
    <w:rsid w:val="00E440ED"/>
    <w:rsid w:val="00E44583"/>
    <w:rsid w:val="00E4484D"/>
    <w:rsid w:val="00E44D4D"/>
    <w:rsid w:val="00E4585A"/>
    <w:rsid w:val="00E468CD"/>
    <w:rsid w:val="00E475C0"/>
    <w:rsid w:val="00E47F54"/>
    <w:rsid w:val="00E504DD"/>
    <w:rsid w:val="00E510F7"/>
    <w:rsid w:val="00E511D7"/>
    <w:rsid w:val="00E51330"/>
    <w:rsid w:val="00E51521"/>
    <w:rsid w:val="00E527B6"/>
    <w:rsid w:val="00E53781"/>
    <w:rsid w:val="00E53932"/>
    <w:rsid w:val="00E53AC6"/>
    <w:rsid w:val="00E5431F"/>
    <w:rsid w:val="00E548FE"/>
    <w:rsid w:val="00E54B75"/>
    <w:rsid w:val="00E54C88"/>
    <w:rsid w:val="00E555BE"/>
    <w:rsid w:val="00E56343"/>
    <w:rsid w:val="00E56B74"/>
    <w:rsid w:val="00E56C1E"/>
    <w:rsid w:val="00E56EDE"/>
    <w:rsid w:val="00E57AC0"/>
    <w:rsid w:val="00E6001C"/>
    <w:rsid w:val="00E60914"/>
    <w:rsid w:val="00E60B81"/>
    <w:rsid w:val="00E62B3D"/>
    <w:rsid w:val="00E6398A"/>
    <w:rsid w:val="00E6484A"/>
    <w:rsid w:val="00E64F3A"/>
    <w:rsid w:val="00E651C2"/>
    <w:rsid w:val="00E655A6"/>
    <w:rsid w:val="00E66159"/>
    <w:rsid w:val="00E67E3D"/>
    <w:rsid w:val="00E702BA"/>
    <w:rsid w:val="00E71817"/>
    <w:rsid w:val="00E72434"/>
    <w:rsid w:val="00E729AD"/>
    <w:rsid w:val="00E735D4"/>
    <w:rsid w:val="00E73823"/>
    <w:rsid w:val="00E73DA6"/>
    <w:rsid w:val="00E75287"/>
    <w:rsid w:val="00E7679C"/>
    <w:rsid w:val="00E76820"/>
    <w:rsid w:val="00E77550"/>
    <w:rsid w:val="00E77902"/>
    <w:rsid w:val="00E77938"/>
    <w:rsid w:val="00E80584"/>
    <w:rsid w:val="00E816DD"/>
    <w:rsid w:val="00E8203E"/>
    <w:rsid w:val="00E82588"/>
    <w:rsid w:val="00E82D29"/>
    <w:rsid w:val="00E830ED"/>
    <w:rsid w:val="00E83F2E"/>
    <w:rsid w:val="00E8425F"/>
    <w:rsid w:val="00E84B35"/>
    <w:rsid w:val="00E8512E"/>
    <w:rsid w:val="00E85237"/>
    <w:rsid w:val="00E85648"/>
    <w:rsid w:val="00E85B8F"/>
    <w:rsid w:val="00E8642B"/>
    <w:rsid w:val="00E8714A"/>
    <w:rsid w:val="00E87244"/>
    <w:rsid w:val="00E93868"/>
    <w:rsid w:val="00E93AFC"/>
    <w:rsid w:val="00E944E9"/>
    <w:rsid w:val="00E946D6"/>
    <w:rsid w:val="00E950FC"/>
    <w:rsid w:val="00E955A0"/>
    <w:rsid w:val="00E959E1"/>
    <w:rsid w:val="00E95CBE"/>
    <w:rsid w:val="00E95F82"/>
    <w:rsid w:val="00E964B4"/>
    <w:rsid w:val="00EA019D"/>
    <w:rsid w:val="00EA0861"/>
    <w:rsid w:val="00EA12B4"/>
    <w:rsid w:val="00EA19C8"/>
    <w:rsid w:val="00EA1ED0"/>
    <w:rsid w:val="00EA24FA"/>
    <w:rsid w:val="00EA318A"/>
    <w:rsid w:val="00EA3C2C"/>
    <w:rsid w:val="00EA3FE0"/>
    <w:rsid w:val="00EA4BFC"/>
    <w:rsid w:val="00EA5485"/>
    <w:rsid w:val="00EA55E1"/>
    <w:rsid w:val="00EA5E1E"/>
    <w:rsid w:val="00EA61CA"/>
    <w:rsid w:val="00EA629F"/>
    <w:rsid w:val="00EA66DA"/>
    <w:rsid w:val="00EA685C"/>
    <w:rsid w:val="00EA7FF7"/>
    <w:rsid w:val="00EB018F"/>
    <w:rsid w:val="00EB0EDE"/>
    <w:rsid w:val="00EB16B5"/>
    <w:rsid w:val="00EB1FA2"/>
    <w:rsid w:val="00EB260D"/>
    <w:rsid w:val="00EB4408"/>
    <w:rsid w:val="00EB4AF2"/>
    <w:rsid w:val="00EB4C01"/>
    <w:rsid w:val="00EB5258"/>
    <w:rsid w:val="00EB5B84"/>
    <w:rsid w:val="00EB68CE"/>
    <w:rsid w:val="00EB6AA8"/>
    <w:rsid w:val="00EB7D09"/>
    <w:rsid w:val="00EC010D"/>
    <w:rsid w:val="00EC183B"/>
    <w:rsid w:val="00EC2982"/>
    <w:rsid w:val="00EC2B2F"/>
    <w:rsid w:val="00EC2B7D"/>
    <w:rsid w:val="00EC2DD3"/>
    <w:rsid w:val="00EC30E0"/>
    <w:rsid w:val="00EC3BB2"/>
    <w:rsid w:val="00EC6629"/>
    <w:rsid w:val="00EC694B"/>
    <w:rsid w:val="00EC71DD"/>
    <w:rsid w:val="00ED1090"/>
    <w:rsid w:val="00ED25CC"/>
    <w:rsid w:val="00ED2E9C"/>
    <w:rsid w:val="00ED2E9F"/>
    <w:rsid w:val="00ED2F85"/>
    <w:rsid w:val="00ED3FCA"/>
    <w:rsid w:val="00ED4589"/>
    <w:rsid w:val="00ED4C3B"/>
    <w:rsid w:val="00ED4CBC"/>
    <w:rsid w:val="00ED508E"/>
    <w:rsid w:val="00ED52F1"/>
    <w:rsid w:val="00ED6506"/>
    <w:rsid w:val="00ED73EC"/>
    <w:rsid w:val="00EE0C2C"/>
    <w:rsid w:val="00EE10CD"/>
    <w:rsid w:val="00EE16DD"/>
    <w:rsid w:val="00EE320A"/>
    <w:rsid w:val="00EE33F9"/>
    <w:rsid w:val="00EE3AAF"/>
    <w:rsid w:val="00EE43EF"/>
    <w:rsid w:val="00EE7069"/>
    <w:rsid w:val="00EE770B"/>
    <w:rsid w:val="00EE7768"/>
    <w:rsid w:val="00EF0170"/>
    <w:rsid w:val="00EF09D3"/>
    <w:rsid w:val="00EF0C36"/>
    <w:rsid w:val="00EF3033"/>
    <w:rsid w:val="00EF38CF"/>
    <w:rsid w:val="00EF38FD"/>
    <w:rsid w:val="00EF4B1E"/>
    <w:rsid w:val="00EF4C9B"/>
    <w:rsid w:val="00EF4CA7"/>
    <w:rsid w:val="00EF4D1B"/>
    <w:rsid w:val="00EF619A"/>
    <w:rsid w:val="00EF6BDB"/>
    <w:rsid w:val="00EF6E04"/>
    <w:rsid w:val="00EF7018"/>
    <w:rsid w:val="00EF707D"/>
    <w:rsid w:val="00EF72A4"/>
    <w:rsid w:val="00EF79A2"/>
    <w:rsid w:val="00F00041"/>
    <w:rsid w:val="00F0054F"/>
    <w:rsid w:val="00F00615"/>
    <w:rsid w:val="00F00755"/>
    <w:rsid w:val="00F00EBD"/>
    <w:rsid w:val="00F01095"/>
    <w:rsid w:val="00F0109D"/>
    <w:rsid w:val="00F01418"/>
    <w:rsid w:val="00F05900"/>
    <w:rsid w:val="00F069B2"/>
    <w:rsid w:val="00F07E4D"/>
    <w:rsid w:val="00F10AF7"/>
    <w:rsid w:val="00F10B75"/>
    <w:rsid w:val="00F10C37"/>
    <w:rsid w:val="00F11FBB"/>
    <w:rsid w:val="00F12C2E"/>
    <w:rsid w:val="00F12C39"/>
    <w:rsid w:val="00F14136"/>
    <w:rsid w:val="00F14869"/>
    <w:rsid w:val="00F14CCF"/>
    <w:rsid w:val="00F14CE1"/>
    <w:rsid w:val="00F17303"/>
    <w:rsid w:val="00F173E6"/>
    <w:rsid w:val="00F20052"/>
    <w:rsid w:val="00F21600"/>
    <w:rsid w:val="00F22890"/>
    <w:rsid w:val="00F22F3C"/>
    <w:rsid w:val="00F23089"/>
    <w:rsid w:val="00F2460F"/>
    <w:rsid w:val="00F24E6E"/>
    <w:rsid w:val="00F250B8"/>
    <w:rsid w:val="00F26D6A"/>
    <w:rsid w:val="00F275D3"/>
    <w:rsid w:val="00F27F47"/>
    <w:rsid w:val="00F301BF"/>
    <w:rsid w:val="00F308D8"/>
    <w:rsid w:val="00F3157F"/>
    <w:rsid w:val="00F31946"/>
    <w:rsid w:val="00F36081"/>
    <w:rsid w:val="00F37D96"/>
    <w:rsid w:val="00F40A76"/>
    <w:rsid w:val="00F411FE"/>
    <w:rsid w:val="00F423DA"/>
    <w:rsid w:val="00F428AC"/>
    <w:rsid w:val="00F431A0"/>
    <w:rsid w:val="00F436F7"/>
    <w:rsid w:val="00F43794"/>
    <w:rsid w:val="00F44B27"/>
    <w:rsid w:val="00F44E91"/>
    <w:rsid w:val="00F4522B"/>
    <w:rsid w:val="00F45AC3"/>
    <w:rsid w:val="00F4621E"/>
    <w:rsid w:val="00F471A1"/>
    <w:rsid w:val="00F5083D"/>
    <w:rsid w:val="00F51208"/>
    <w:rsid w:val="00F5171B"/>
    <w:rsid w:val="00F525C0"/>
    <w:rsid w:val="00F52DF3"/>
    <w:rsid w:val="00F532CA"/>
    <w:rsid w:val="00F537DB"/>
    <w:rsid w:val="00F53C42"/>
    <w:rsid w:val="00F545C2"/>
    <w:rsid w:val="00F556CF"/>
    <w:rsid w:val="00F558A8"/>
    <w:rsid w:val="00F55C38"/>
    <w:rsid w:val="00F55EBF"/>
    <w:rsid w:val="00F57411"/>
    <w:rsid w:val="00F5749C"/>
    <w:rsid w:val="00F57B7A"/>
    <w:rsid w:val="00F602F1"/>
    <w:rsid w:val="00F604FE"/>
    <w:rsid w:val="00F6070B"/>
    <w:rsid w:val="00F60A90"/>
    <w:rsid w:val="00F6251B"/>
    <w:rsid w:val="00F62B36"/>
    <w:rsid w:val="00F632FC"/>
    <w:rsid w:val="00F6484E"/>
    <w:rsid w:val="00F655A9"/>
    <w:rsid w:val="00F65BEB"/>
    <w:rsid w:val="00F67219"/>
    <w:rsid w:val="00F675D7"/>
    <w:rsid w:val="00F700F0"/>
    <w:rsid w:val="00F70721"/>
    <w:rsid w:val="00F70A98"/>
    <w:rsid w:val="00F71CC9"/>
    <w:rsid w:val="00F7214D"/>
    <w:rsid w:val="00F72E94"/>
    <w:rsid w:val="00F7382B"/>
    <w:rsid w:val="00F73CEC"/>
    <w:rsid w:val="00F757CF"/>
    <w:rsid w:val="00F75809"/>
    <w:rsid w:val="00F75DF2"/>
    <w:rsid w:val="00F76554"/>
    <w:rsid w:val="00F76834"/>
    <w:rsid w:val="00F76B0C"/>
    <w:rsid w:val="00F77D79"/>
    <w:rsid w:val="00F77F6C"/>
    <w:rsid w:val="00F8058C"/>
    <w:rsid w:val="00F80A8C"/>
    <w:rsid w:val="00F810B4"/>
    <w:rsid w:val="00F811B8"/>
    <w:rsid w:val="00F81C57"/>
    <w:rsid w:val="00F822B6"/>
    <w:rsid w:val="00F82C5B"/>
    <w:rsid w:val="00F83A38"/>
    <w:rsid w:val="00F83E81"/>
    <w:rsid w:val="00F844FC"/>
    <w:rsid w:val="00F84525"/>
    <w:rsid w:val="00F84F5C"/>
    <w:rsid w:val="00F851BC"/>
    <w:rsid w:val="00F85386"/>
    <w:rsid w:val="00F85919"/>
    <w:rsid w:val="00F85F12"/>
    <w:rsid w:val="00F8642A"/>
    <w:rsid w:val="00F86878"/>
    <w:rsid w:val="00F87FE2"/>
    <w:rsid w:val="00F90A67"/>
    <w:rsid w:val="00F927E8"/>
    <w:rsid w:val="00F933C6"/>
    <w:rsid w:val="00F93E22"/>
    <w:rsid w:val="00F95B75"/>
    <w:rsid w:val="00F95BDC"/>
    <w:rsid w:val="00F96791"/>
    <w:rsid w:val="00F96B5B"/>
    <w:rsid w:val="00F9708E"/>
    <w:rsid w:val="00F97A59"/>
    <w:rsid w:val="00FA0D33"/>
    <w:rsid w:val="00FA21C6"/>
    <w:rsid w:val="00FA24DA"/>
    <w:rsid w:val="00FA3806"/>
    <w:rsid w:val="00FA40E4"/>
    <w:rsid w:val="00FA4141"/>
    <w:rsid w:val="00FA414D"/>
    <w:rsid w:val="00FA5705"/>
    <w:rsid w:val="00FA622F"/>
    <w:rsid w:val="00FA6880"/>
    <w:rsid w:val="00FA6AA8"/>
    <w:rsid w:val="00FA727F"/>
    <w:rsid w:val="00FB0868"/>
    <w:rsid w:val="00FB1137"/>
    <w:rsid w:val="00FB15A1"/>
    <w:rsid w:val="00FB2369"/>
    <w:rsid w:val="00FB3385"/>
    <w:rsid w:val="00FB367F"/>
    <w:rsid w:val="00FB50AE"/>
    <w:rsid w:val="00FB5CA5"/>
    <w:rsid w:val="00FB5DD8"/>
    <w:rsid w:val="00FB5FDE"/>
    <w:rsid w:val="00FC03CC"/>
    <w:rsid w:val="00FC1029"/>
    <w:rsid w:val="00FC12C1"/>
    <w:rsid w:val="00FC2956"/>
    <w:rsid w:val="00FC34BE"/>
    <w:rsid w:val="00FC3983"/>
    <w:rsid w:val="00FC4815"/>
    <w:rsid w:val="00FC4E1A"/>
    <w:rsid w:val="00FC6CEB"/>
    <w:rsid w:val="00FC6E5E"/>
    <w:rsid w:val="00FD000F"/>
    <w:rsid w:val="00FD00F1"/>
    <w:rsid w:val="00FD0A8C"/>
    <w:rsid w:val="00FD11BE"/>
    <w:rsid w:val="00FD1FF0"/>
    <w:rsid w:val="00FD2700"/>
    <w:rsid w:val="00FD3A11"/>
    <w:rsid w:val="00FD3FEA"/>
    <w:rsid w:val="00FD4330"/>
    <w:rsid w:val="00FD48FC"/>
    <w:rsid w:val="00FD53CC"/>
    <w:rsid w:val="00FD54A8"/>
    <w:rsid w:val="00FD603F"/>
    <w:rsid w:val="00FD606C"/>
    <w:rsid w:val="00FD622E"/>
    <w:rsid w:val="00FD6940"/>
    <w:rsid w:val="00FD707E"/>
    <w:rsid w:val="00FD7220"/>
    <w:rsid w:val="00FE08FE"/>
    <w:rsid w:val="00FE173F"/>
    <w:rsid w:val="00FE203D"/>
    <w:rsid w:val="00FE4438"/>
    <w:rsid w:val="00FE5F5E"/>
    <w:rsid w:val="00FE6AC1"/>
    <w:rsid w:val="00FE72D3"/>
    <w:rsid w:val="00FF0C8E"/>
    <w:rsid w:val="00FF2DBC"/>
    <w:rsid w:val="00FF3BD5"/>
    <w:rsid w:val="00FF3CFA"/>
    <w:rsid w:val="00FF6515"/>
    <w:rsid w:val="00FF75C2"/>
    <w:rsid w:val="01425A8E"/>
    <w:rsid w:val="014D28C9"/>
    <w:rsid w:val="01DA6C88"/>
    <w:rsid w:val="02125D48"/>
    <w:rsid w:val="027F1432"/>
    <w:rsid w:val="02890D3B"/>
    <w:rsid w:val="029A4DDE"/>
    <w:rsid w:val="02C87D97"/>
    <w:rsid w:val="02E124C4"/>
    <w:rsid w:val="02FE36A5"/>
    <w:rsid w:val="0314073D"/>
    <w:rsid w:val="031B2171"/>
    <w:rsid w:val="0345124A"/>
    <w:rsid w:val="040973CE"/>
    <w:rsid w:val="04830CEC"/>
    <w:rsid w:val="05BE2460"/>
    <w:rsid w:val="064C738A"/>
    <w:rsid w:val="064E3A38"/>
    <w:rsid w:val="06893D94"/>
    <w:rsid w:val="07107A01"/>
    <w:rsid w:val="073B6DE4"/>
    <w:rsid w:val="074B4581"/>
    <w:rsid w:val="08CD563E"/>
    <w:rsid w:val="093738EA"/>
    <w:rsid w:val="096A51B2"/>
    <w:rsid w:val="0A031800"/>
    <w:rsid w:val="0A541D36"/>
    <w:rsid w:val="0A8235E3"/>
    <w:rsid w:val="0AA64715"/>
    <w:rsid w:val="0AA96DC2"/>
    <w:rsid w:val="0AD53615"/>
    <w:rsid w:val="0B1C4BEC"/>
    <w:rsid w:val="0DB51BC8"/>
    <w:rsid w:val="0E200A92"/>
    <w:rsid w:val="0E981675"/>
    <w:rsid w:val="0EF0055F"/>
    <w:rsid w:val="0EF04BEC"/>
    <w:rsid w:val="0F7B3941"/>
    <w:rsid w:val="0F8971C2"/>
    <w:rsid w:val="0F9A1908"/>
    <w:rsid w:val="10FD43F6"/>
    <w:rsid w:val="11006C26"/>
    <w:rsid w:val="116964A2"/>
    <w:rsid w:val="121D3BF2"/>
    <w:rsid w:val="12CF3334"/>
    <w:rsid w:val="136B01A6"/>
    <w:rsid w:val="13DA5A2E"/>
    <w:rsid w:val="14473FAF"/>
    <w:rsid w:val="146B54FE"/>
    <w:rsid w:val="147C72F5"/>
    <w:rsid w:val="14E85C03"/>
    <w:rsid w:val="14F04815"/>
    <w:rsid w:val="15B03422"/>
    <w:rsid w:val="15F83E6B"/>
    <w:rsid w:val="165C7696"/>
    <w:rsid w:val="16AC7CE9"/>
    <w:rsid w:val="16CC7B79"/>
    <w:rsid w:val="16DC407B"/>
    <w:rsid w:val="170D6986"/>
    <w:rsid w:val="17932FC3"/>
    <w:rsid w:val="17994B59"/>
    <w:rsid w:val="18225867"/>
    <w:rsid w:val="182A4D8F"/>
    <w:rsid w:val="18584266"/>
    <w:rsid w:val="186D7272"/>
    <w:rsid w:val="18927F88"/>
    <w:rsid w:val="18E97483"/>
    <w:rsid w:val="18EB281E"/>
    <w:rsid w:val="1ACF0721"/>
    <w:rsid w:val="1BBB7566"/>
    <w:rsid w:val="1C151F43"/>
    <w:rsid w:val="1D387F55"/>
    <w:rsid w:val="1D3B73E7"/>
    <w:rsid w:val="1D7F1C04"/>
    <w:rsid w:val="1DC43C61"/>
    <w:rsid w:val="1E144E18"/>
    <w:rsid w:val="1E691F94"/>
    <w:rsid w:val="1E9D6D8E"/>
    <w:rsid w:val="20177E25"/>
    <w:rsid w:val="208D07B9"/>
    <w:rsid w:val="210063D6"/>
    <w:rsid w:val="210A16BF"/>
    <w:rsid w:val="21322302"/>
    <w:rsid w:val="216B5A17"/>
    <w:rsid w:val="21781BB8"/>
    <w:rsid w:val="220849D9"/>
    <w:rsid w:val="22413873"/>
    <w:rsid w:val="238D008A"/>
    <w:rsid w:val="2390786E"/>
    <w:rsid w:val="252E1EC1"/>
    <w:rsid w:val="257F647C"/>
    <w:rsid w:val="258C4BD0"/>
    <w:rsid w:val="25CE578A"/>
    <w:rsid w:val="26012632"/>
    <w:rsid w:val="2616606B"/>
    <w:rsid w:val="263934FE"/>
    <w:rsid w:val="26473182"/>
    <w:rsid w:val="268A78EE"/>
    <w:rsid w:val="26F01971"/>
    <w:rsid w:val="272A2024"/>
    <w:rsid w:val="283F20E2"/>
    <w:rsid w:val="285718C3"/>
    <w:rsid w:val="28B66E5F"/>
    <w:rsid w:val="28E57F77"/>
    <w:rsid w:val="295C2DFA"/>
    <w:rsid w:val="2991410B"/>
    <w:rsid w:val="29E21671"/>
    <w:rsid w:val="2A26675B"/>
    <w:rsid w:val="2A562671"/>
    <w:rsid w:val="2AC119E6"/>
    <w:rsid w:val="2ACC4C3E"/>
    <w:rsid w:val="2AEC0F6F"/>
    <w:rsid w:val="2B112D5A"/>
    <w:rsid w:val="2B442C52"/>
    <w:rsid w:val="2B707A83"/>
    <w:rsid w:val="2C493B09"/>
    <w:rsid w:val="2D2B0F66"/>
    <w:rsid w:val="2DCB6A78"/>
    <w:rsid w:val="2EC56DAD"/>
    <w:rsid w:val="2EE10169"/>
    <w:rsid w:val="2EF0528F"/>
    <w:rsid w:val="2F184082"/>
    <w:rsid w:val="2F1A7E75"/>
    <w:rsid w:val="2F78597F"/>
    <w:rsid w:val="2FC2570E"/>
    <w:rsid w:val="30234AEB"/>
    <w:rsid w:val="30900E1C"/>
    <w:rsid w:val="3094686B"/>
    <w:rsid w:val="30C6074A"/>
    <w:rsid w:val="318A4265"/>
    <w:rsid w:val="319D1D2F"/>
    <w:rsid w:val="325B1302"/>
    <w:rsid w:val="326D71D8"/>
    <w:rsid w:val="33027866"/>
    <w:rsid w:val="33036DF4"/>
    <w:rsid w:val="35101668"/>
    <w:rsid w:val="35456F21"/>
    <w:rsid w:val="35663D6D"/>
    <w:rsid w:val="35973066"/>
    <w:rsid w:val="361E7DB5"/>
    <w:rsid w:val="36392E40"/>
    <w:rsid w:val="365F4162"/>
    <w:rsid w:val="36FC6348"/>
    <w:rsid w:val="37C32090"/>
    <w:rsid w:val="385E30D3"/>
    <w:rsid w:val="389F7C10"/>
    <w:rsid w:val="38AA3B82"/>
    <w:rsid w:val="38C213F9"/>
    <w:rsid w:val="38C4197A"/>
    <w:rsid w:val="3976677C"/>
    <w:rsid w:val="39835940"/>
    <w:rsid w:val="3A37232F"/>
    <w:rsid w:val="3AF06BA9"/>
    <w:rsid w:val="3AF546C1"/>
    <w:rsid w:val="3C38119D"/>
    <w:rsid w:val="3CDB27DA"/>
    <w:rsid w:val="3DB3549C"/>
    <w:rsid w:val="3E005586"/>
    <w:rsid w:val="3E783E43"/>
    <w:rsid w:val="3EFD739F"/>
    <w:rsid w:val="3F423F4F"/>
    <w:rsid w:val="40184052"/>
    <w:rsid w:val="4037237A"/>
    <w:rsid w:val="405368AD"/>
    <w:rsid w:val="409958BB"/>
    <w:rsid w:val="40D145D3"/>
    <w:rsid w:val="412505DC"/>
    <w:rsid w:val="413552BE"/>
    <w:rsid w:val="416F7C6F"/>
    <w:rsid w:val="4177231B"/>
    <w:rsid w:val="41A609DE"/>
    <w:rsid w:val="41BE24F6"/>
    <w:rsid w:val="41D74A58"/>
    <w:rsid w:val="424A7D55"/>
    <w:rsid w:val="425665D3"/>
    <w:rsid w:val="42E73F37"/>
    <w:rsid w:val="43087E22"/>
    <w:rsid w:val="43346E69"/>
    <w:rsid w:val="43433EB2"/>
    <w:rsid w:val="4371478A"/>
    <w:rsid w:val="43DB6E9E"/>
    <w:rsid w:val="43E36B40"/>
    <w:rsid w:val="43F42F8D"/>
    <w:rsid w:val="445175A7"/>
    <w:rsid w:val="44A40C59"/>
    <w:rsid w:val="452930AD"/>
    <w:rsid w:val="455D4534"/>
    <w:rsid w:val="45676984"/>
    <w:rsid w:val="45C97296"/>
    <w:rsid w:val="45DA2D7C"/>
    <w:rsid w:val="47AC7602"/>
    <w:rsid w:val="47F836EF"/>
    <w:rsid w:val="4875178E"/>
    <w:rsid w:val="49044886"/>
    <w:rsid w:val="49BB45C8"/>
    <w:rsid w:val="49BD7C90"/>
    <w:rsid w:val="49EA0282"/>
    <w:rsid w:val="4A195BCC"/>
    <w:rsid w:val="4A597A57"/>
    <w:rsid w:val="4A815D6D"/>
    <w:rsid w:val="4AB1007E"/>
    <w:rsid w:val="4AE97E40"/>
    <w:rsid w:val="4B0E2736"/>
    <w:rsid w:val="4B252554"/>
    <w:rsid w:val="4BBC759B"/>
    <w:rsid w:val="4C282859"/>
    <w:rsid w:val="4CC705CE"/>
    <w:rsid w:val="4CE66081"/>
    <w:rsid w:val="4D696669"/>
    <w:rsid w:val="4D895BDF"/>
    <w:rsid w:val="4E13505A"/>
    <w:rsid w:val="4EC073FC"/>
    <w:rsid w:val="4FC3058A"/>
    <w:rsid w:val="4FFA7DAA"/>
    <w:rsid w:val="518C5515"/>
    <w:rsid w:val="51BE68CE"/>
    <w:rsid w:val="51D95AD6"/>
    <w:rsid w:val="51E65300"/>
    <w:rsid w:val="52142A3F"/>
    <w:rsid w:val="52252053"/>
    <w:rsid w:val="53BF45C4"/>
    <w:rsid w:val="54420E94"/>
    <w:rsid w:val="54813932"/>
    <w:rsid w:val="549E6958"/>
    <w:rsid w:val="54AA0321"/>
    <w:rsid w:val="5566704B"/>
    <w:rsid w:val="55791389"/>
    <w:rsid w:val="55C9638F"/>
    <w:rsid w:val="55E004F5"/>
    <w:rsid w:val="55FC63BA"/>
    <w:rsid w:val="562552BC"/>
    <w:rsid w:val="565421F0"/>
    <w:rsid w:val="5727495C"/>
    <w:rsid w:val="57E11D9D"/>
    <w:rsid w:val="58775FF5"/>
    <w:rsid w:val="588C5984"/>
    <w:rsid w:val="58AC2E10"/>
    <w:rsid w:val="58BF1335"/>
    <w:rsid w:val="58C82CC6"/>
    <w:rsid w:val="590D7D83"/>
    <w:rsid w:val="594F4CAE"/>
    <w:rsid w:val="5A3B1010"/>
    <w:rsid w:val="5A673298"/>
    <w:rsid w:val="5A931B9C"/>
    <w:rsid w:val="5AC7098A"/>
    <w:rsid w:val="5B775876"/>
    <w:rsid w:val="5C5F6C22"/>
    <w:rsid w:val="5C674F6F"/>
    <w:rsid w:val="5C7F3605"/>
    <w:rsid w:val="5CEA2BCF"/>
    <w:rsid w:val="5D4174AC"/>
    <w:rsid w:val="5D95600F"/>
    <w:rsid w:val="5DF86D4D"/>
    <w:rsid w:val="5E0832F4"/>
    <w:rsid w:val="5E8D033A"/>
    <w:rsid w:val="5EBF695C"/>
    <w:rsid w:val="5EC21603"/>
    <w:rsid w:val="5F50315D"/>
    <w:rsid w:val="5F7E6154"/>
    <w:rsid w:val="5F962473"/>
    <w:rsid w:val="603C6849"/>
    <w:rsid w:val="60673224"/>
    <w:rsid w:val="60FA5B41"/>
    <w:rsid w:val="60FD04F5"/>
    <w:rsid w:val="61134C29"/>
    <w:rsid w:val="616E74B4"/>
    <w:rsid w:val="62790AD5"/>
    <w:rsid w:val="62934689"/>
    <w:rsid w:val="62DA3768"/>
    <w:rsid w:val="62F37D50"/>
    <w:rsid w:val="631544B0"/>
    <w:rsid w:val="648F640C"/>
    <w:rsid w:val="64FB0B4D"/>
    <w:rsid w:val="65E77BB3"/>
    <w:rsid w:val="65F82D58"/>
    <w:rsid w:val="65FE43CF"/>
    <w:rsid w:val="66A41B8F"/>
    <w:rsid w:val="66ED5211"/>
    <w:rsid w:val="670965B7"/>
    <w:rsid w:val="67D77F19"/>
    <w:rsid w:val="68AF64C7"/>
    <w:rsid w:val="68FC0DC8"/>
    <w:rsid w:val="6AD6266F"/>
    <w:rsid w:val="6B3233DF"/>
    <w:rsid w:val="6B43383E"/>
    <w:rsid w:val="6D2A0812"/>
    <w:rsid w:val="6D3E2A81"/>
    <w:rsid w:val="6D435584"/>
    <w:rsid w:val="6D942BDD"/>
    <w:rsid w:val="6D9E6164"/>
    <w:rsid w:val="6DFA4326"/>
    <w:rsid w:val="6EF636A8"/>
    <w:rsid w:val="6F1C349A"/>
    <w:rsid w:val="6FC248D7"/>
    <w:rsid w:val="6FDF6D82"/>
    <w:rsid w:val="70A36E1C"/>
    <w:rsid w:val="70C42D2B"/>
    <w:rsid w:val="70C552E2"/>
    <w:rsid w:val="72B00A55"/>
    <w:rsid w:val="72C65396"/>
    <w:rsid w:val="730A53F0"/>
    <w:rsid w:val="735B7197"/>
    <w:rsid w:val="74225E02"/>
    <w:rsid w:val="747B3A08"/>
    <w:rsid w:val="74FD79F9"/>
    <w:rsid w:val="75721991"/>
    <w:rsid w:val="75D629D6"/>
    <w:rsid w:val="75F47C0F"/>
    <w:rsid w:val="7647291E"/>
    <w:rsid w:val="76637406"/>
    <w:rsid w:val="76A21A9B"/>
    <w:rsid w:val="76DD6C63"/>
    <w:rsid w:val="77FC3EA4"/>
    <w:rsid w:val="784B5631"/>
    <w:rsid w:val="789255CB"/>
    <w:rsid w:val="78AA6AAA"/>
    <w:rsid w:val="791F155A"/>
    <w:rsid w:val="792D1F3A"/>
    <w:rsid w:val="79435739"/>
    <w:rsid w:val="79866BFD"/>
    <w:rsid w:val="79E13BB0"/>
    <w:rsid w:val="7B0A5C15"/>
    <w:rsid w:val="7E7C22CD"/>
    <w:rsid w:val="7E800F66"/>
    <w:rsid w:val="7EE5497C"/>
    <w:rsid w:val="7EF4611B"/>
    <w:rsid w:val="7F0F5AB9"/>
    <w:rsid w:val="7F350DA4"/>
    <w:rsid w:val="7F400FBA"/>
    <w:rsid w:val="7F6A45DE"/>
    <w:rsid w:val="7F8A15E4"/>
    <w:rsid w:val="7FF05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qFormat="1" w:unhideWhenUsed="0" w:uiPriority="0" w:semiHidden="0" w:name="toc 6"/>
    <w:lsdException w:uiPriority="0" w:name="toc 7"/>
    <w:lsdException w:qFormat="1" w:unhideWhenUsed="0" w:uiPriority="35" w:semiHidden="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5">
    <w:name w:val="heading 1"/>
    <w:basedOn w:val="1"/>
    <w:next w:val="1"/>
    <w:link w:val="44"/>
    <w:qFormat/>
    <w:uiPriority w:val="9"/>
    <w:pPr>
      <w:keepNext/>
      <w:jc w:val="center"/>
      <w:outlineLvl w:val="0"/>
    </w:pPr>
    <w:rPr>
      <w:rFonts w:ascii="Tahoma" w:eastAsia="Tahoma" w:cs="Times New Roman"/>
      <w:b/>
      <w:bCs/>
      <w:lang w:val="zh-CN"/>
    </w:rPr>
  </w:style>
  <w:style w:type="paragraph" w:styleId="6">
    <w:name w:val="heading 2"/>
    <w:basedOn w:val="1"/>
    <w:next w:val="1"/>
    <w:link w:val="45"/>
    <w:autoRedefine/>
    <w:qFormat/>
    <w:uiPriority w:val="0"/>
    <w:pPr>
      <w:keepNext/>
      <w:keepLines/>
      <w:spacing w:before="260" w:after="260" w:line="415" w:lineRule="auto"/>
      <w:outlineLvl w:val="1"/>
    </w:pPr>
    <w:rPr>
      <w:rFonts w:ascii="Arial Unicode MS" w:hAnsi="Arial Unicode MS" w:eastAsia="Wingdings" w:cs="Times New Roman"/>
      <w:b/>
      <w:bCs/>
      <w:sz w:val="32"/>
      <w:szCs w:val="32"/>
      <w:lang w:val="zh-CN"/>
    </w:rPr>
  </w:style>
  <w:style w:type="paragraph" w:styleId="7">
    <w:name w:val="heading 3"/>
    <w:basedOn w:val="1"/>
    <w:next w:val="1"/>
    <w:link w:val="46"/>
    <w:autoRedefine/>
    <w:qFormat/>
    <w:uiPriority w:val="9"/>
    <w:pPr>
      <w:keepLines/>
      <w:widowControl/>
      <w:autoSpaceDE w:val="0"/>
      <w:autoSpaceDN w:val="0"/>
      <w:adjustRightInd w:val="0"/>
      <w:spacing w:before="60"/>
      <w:jc w:val="left"/>
      <w:outlineLvl w:val="2"/>
    </w:pPr>
    <w:rPr>
      <w:rFonts w:eastAsia="Wingdings"/>
      <w:kern w:val="0"/>
      <w:sz w:val="24"/>
      <w:szCs w:val="20"/>
    </w:rPr>
  </w:style>
  <w:style w:type="paragraph" w:styleId="8">
    <w:name w:val="heading 4"/>
    <w:basedOn w:val="1"/>
    <w:next w:val="1"/>
    <w:link w:val="47"/>
    <w:qFormat/>
    <w:uiPriority w:val="0"/>
    <w:pPr>
      <w:keepLines/>
      <w:widowControl/>
      <w:autoSpaceDE w:val="0"/>
      <w:autoSpaceDN w:val="0"/>
      <w:adjustRightInd w:val="0"/>
      <w:snapToGrid w:val="0"/>
      <w:jc w:val="left"/>
      <w:outlineLvl w:val="3"/>
    </w:pPr>
    <w:rPr>
      <w:rFonts w:eastAsia="Tahoma" w:cs="Times New Roman"/>
      <w:b/>
      <w:kern w:val="0"/>
      <w:sz w:val="24"/>
      <w:szCs w:val="20"/>
      <w:lang w:val="zh-CN"/>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9"/>
    <w:qFormat/>
    <w:uiPriority w:val="0"/>
    <w:pPr>
      <w:ind w:firstLine="420" w:firstLineChars="100"/>
    </w:pPr>
    <w:rPr>
      <w:rFonts w:eastAsia="宋体"/>
    </w:rPr>
  </w:style>
  <w:style w:type="paragraph" w:styleId="3">
    <w:name w:val="Body Text"/>
    <w:basedOn w:val="1"/>
    <w:next w:val="2"/>
    <w:link w:val="50"/>
    <w:qFormat/>
    <w:uiPriority w:val="0"/>
    <w:pPr>
      <w:spacing w:after="120"/>
    </w:pPr>
    <w:rPr>
      <w:rFonts w:eastAsia="宋体,Verdana,Arial"/>
    </w:rPr>
  </w:style>
  <w:style w:type="paragraph" w:styleId="4">
    <w:name w:val="toc 6"/>
    <w:basedOn w:val="1"/>
    <w:next w:val="1"/>
    <w:qFormat/>
    <w:uiPriority w:val="0"/>
    <w:pPr>
      <w:ind w:left="2100" w:leftChars="1000"/>
    </w:pPr>
    <w:rPr>
      <w:rFonts w:ascii="Times New Roman" w:hAnsi="Times New Roman" w:cs="Times New Roman"/>
    </w:rPr>
  </w:style>
  <w:style w:type="paragraph" w:styleId="9">
    <w:name w:val="List Number"/>
    <w:basedOn w:val="1"/>
    <w:next w:val="10"/>
    <w:semiHidden/>
    <w:unhideWhenUsed/>
    <w:qFormat/>
    <w:uiPriority w:val="0"/>
    <w:pPr>
      <w:numPr>
        <w:ilvl w:val="0"/>
        <w:numId w:val="1"/>
      </w:numPr>
    </w:pPr>
  </w:style>
  <w:style w:type="paragraph" w:styleId="10">
    <w:name w:val="Balloon Text"/>
    <w:basedOn w:val="1"/>
    <w:next w:val="11"/>
    <w:link w:val="52"/>
    <w:qFormat/>
    <w:uiPriority w:val="0"/>
    <w:rPr>
      <w:rFonts w:cs="Times New Roman"/>
      <w:sz w:val="18"/>
      <w:szCs w:val="18"/>
      <w:lang w:val="zh-CN"/>
    </w:rPr>
  </w:style>
  <w:style w:type="paragraph" w:styleId="11">
    <w:name w:val="toc 8"/>
    <w:basedOn w:val="1"/>
    <w:next w:val="1"/>
    <w:qFormat/>
    <w:uiPriority w:val="35"/>
    <w:pPr>
      <w:ind w:left="2940" w:leftChars="1400"/>
    </w:pPr>
  </w:style>
  <w:style w:type="paragraph" w:styleId="12">
    <w:name w:val="Normal Indent"/>
    <w:basedOn w:val="1"/>
    <w:link w:val="48"/>
    <w:qFormat/>
    <w:uiPriority w:val="99"/>
    <w:pPr>
      <w:adjustRightInd w:val="0"/>
      <w:spacing w:line="312" w:lineRule="atLeast"/>
      <w:ind w:firstLine="420"/>
      <w:textAlignment w:val="baseline"/>
    </w:pPr>
    <w:rPr>
      <w:rFonts w:eastAsia="宋体,Verdana,Arial"/>
      <w:kern w:val="0"/>
      <w:szCs w:val="20"/>
    </w:rPr>
  </w:style>
  <w:style w:type="paragraph" w:styleId="13">
    <w:name w:val="caption"/>
    <w:basedOn w:val="1"/>
    <w:next w:val="1"/>
    <w:unhideWhenUsed/>
    <w:qFormat/>
    <w:uiPriority w:val="0"/>
    <w:rPr>
      <w:rFonts w:eastAsia="黑体" w:asciiTheme="majorHAnsi" w:hAnsiTheme="majorHAnsi" w:cstheme="majorBidi"/>
      <w:sz w:val="20"/>
      <w:szCs w:val="20"/>
    </w:rPr>
  </w:style>
  <w:style w:type="paragraph" w:styleId="14">
    <w:name w:val="Document Map"/>
    <w:basedOn w:val="1"/>
    <w:link w:val="247"/>
    <w:qFormat/>
    <w:uiPriority w:val="0"/>
    <w:pPr>
      <w:shd w:val="clear" w:color="auto" w:fill="000080"/>
    </w:pPr>
  </w:style>
  <w:style w:type="paragraph" w:styleId="15">
    <w:name w:val="annotation text"/>
    <w:basedOn w:val="1"/>
    <w:link w:val="49"/>
    <w:qFormat/>
    <w:uiPriority w:val="0"/>
    <w:pPr>
      <w:jc w:val="left"/>
    </w:pPr>
    <w:rPr>
      <w:rFonts w:cs="Times New Roman"/>
      <w:lang w:val="zh-CN"/>
    </w:rPr>
  </w:style>
  <w:style w:type="paragraph" w:styleId="16">
    <w:name w:val="Salutation"/>
    <w:basedOn w:val="1"/>
    <w:next w:val="1"/>
    <w:link w:val="248"/>
    <w:autoRedefine/>
    <w:qFormat/>
    <w:uiPriority w:val="0"/>
    <w:rPr>
      <w:sz w:val="24"/>
    </w:rPr>
  </w:style>
  <w:style w:type="paragraph" w:styleId="17">
    <w:name w:val="Body Text Indent"/>
    <w:basedOn w:val="1"/>
    <w:next w:val="1"/>
    <w:link w:val="249"/>
    <w:qFormat/>
    <w:uiPriority w:val="99"/>
    <w:pPr>
      <w:spacing w:after="120"/>
      <w:ind w:left="420"/>
    </w:pPr>
  </w:style>
  <w:style w:type="paragraph" w:styleId="18">
    <w:name w:val="toc 3"/>
    <w:basedOn w:val="1"/>
    <w:next w:val="1"/>
    <w:qFormat/>
    <w:uiPriority w:val="39"/>
    <w:pPr>
      <w:ind w:left="840" w:leftChars="400"/>
    </w:pPr>
  </w:style>
  <w:style w:type="paragraph" w:styleId="19">
    <w:name w:val="Plain Text"/>
    <w:basedOn w:val="1"/>
    <w:link w:val="51"/>
    <w:qFormat/>
    <w:uiPriority w:val="0"/>
    <w:pPr>
      <w:widowControl/>
      <w:overflowPunct w:val="0"/>
      <w:autoSpaceDE w:val="0"/>
      <w:autoSpaceDN w:val="0"/>
      <w:adjustRightInd w:val="0"/>
      <w:jc w:val="left"/>
      <w:textAlignment w:val="baseline"/>
    </w:pPr>
    <w:rPr>
      <w:rFonts w:ascii="宋体,Verdana,Arial" w:hAnsi="Tahoma" w:eastAsia="宋体,Verdana,Arial"/>
      <w:kern w:val="0"/>
      <w:szCs w:val="21"/>
    </w:rPr>
  </w:style>
  <w:style w:type="paragraph" w:styleId="20">
    <w:name w:val="Date"/>
    <w:basedOn w:val="1"/>
    <w:next w:val="1"/>
    <w:link w:val="250"/>
    <w:qFormat/>
    <w:uiPriority w:val="0"/>
    <w:rPr>
      <w:rFonts w:hint="eastAsia" w:ascii="宋体,Verdana,Arial"/>
      <w:sz w:val="24"/>
      <w:szCs w:val="20"/>
    </w:rPr>
  </w:style>
  <w:style w:type="paragraph" w:styleId="21">
    <w:name w:val="Body Text Indent 2"/>
    <w:basedOn w:val="1"/>
    <w:link w:val="251"/>
    <w:qFormat/>
    <w:uiPriority w:val="0"/>
    <w:pPr>
      <w:spacing w:line="500" w:lineRule="exact"/>
      <w:ind w:firstLine="511" w:firstLineChars="213"/>
    </w:pPr>
    <w:rPr>
      <w:sz w:val="24"/>
    </w:rPr>
  </w:style>
  <w:style w:type="paragraph" w:styleId="22">
    <w:name w:val="footer"/>
    <w:basedOn w:val="1"/>
    <w:link w:val="53"/>
    <w:qFormat/>
    <w:uiPriority w:val="0"/>
    <w:pPr>
      <w:tabs>
        <w:tab w:val="center" w:pos="4153"/>
        <w:tab w:val="right" w:pos="8306"/>
      </w:tabs>
      <w:snapToGrid w:val="0"/>
      <w:jc w:val="left"/>
    </w:pPr>
    <w:rPr>
      <w:rFonts w:cs="Times New Roman"/>
      <w:sz w:val="18"/>
      <w:szCs w:val="18"/>
      <w:lang w:val="zh-CN"/>
    </w:rPr>
  </w:style>
  <w:style w:type="paragraph" w:styleId="23">
    <w:name w:val="header"/>
    <w:basedOn w:val="1"/>
    <w:link w:val="54"/>
    <w:autoRedefine/>
    <w:qFormat/>
    <w:uiPriority w:val="0"/>
    <w:pPr>
      <w:pBdr>
        <w:bottom w:val="single" w:color="auto" w:sz="6" w:space="1"/>
      </w:pBdr>
      <w:tabs>
        <w:tab w:val="center" w:pos="4153"/>
        <w:tab w:val="right" w:pos="8306"/>
      </w:tabs>
      <w:snapToGrid w:val="0"/>
      <w:jc w:val="center"/>
    </w:pPr>
    <w:rPr>
      <w:rFonts w:cs="Times New Roman"/>
      <w:sz w:val="18"/>
      <w:szCs w:val="18"/>
      <w:lang w:val="zh-CN"/>
    </w:rPr>
  </w:style>
  <w:style w:type="paragraph" w:styleId="24">
    <w:name w:val="toc 1"/>
    <w:basedOn w:val="1"/>
    <w:next w:val="1"/>
    <w:autoRedefine/>
    <w:qFormat/>
    <w:uiPriority w:val="39"/>
    <w:pPr>
      <w:tabs>
        <w:tab w:val="right" w:leader="dot" w:pos="9660"/>
      </w:tabs>
      <w:spacing w:line="480" w:lineRule="auto"/>
    </w:pPr>
  </w:style>
  <w:style w:type="paragraph" w:styleId="25">
    <w:name w:val="List"/>
    <w:basedOn w:val="1"/>
    <w:qFormat/>
    <w:uiPriority w:val="0"/>
    <w:pPr>
      <w:ind w:left="200" w:hanging="200" w:hangingChars="200"/>
    </w:pPr>
    <w:rPr>
      <w:rFonts w:ascii="Times New Roman" w:hAnsi="Times New Roman" w:cs="Times New Roman"/>
      <w:szCs w:val="22"/>
    </w:rPr>
  </w:style>
  <w:style w:type="paragraph" w:styleId="26">
    <w:name w:val="Body Text Indent 3"/>
    <w:basedOn w:val="1"/>
    <w:link w:val="55"/>
    <w:autoRedefine/>
    <w:qFormat/>
    <w:uiPriority w:val="0"/>
    <w:pPr>
      <w:spacing w:line="500" w:lineRule="exact"/>
      <w:ind w:left="511" w:hanging="511" w:hangingChars="213"/>
    </w:pPr>
    <w:rPr>
      <w:rFonts w:cs="Times New Roman"/>
      <w:sz w:val="24"/>
      <w:lang w:val="zh-CN"/>
    </w:rPr>
  </w:style>
  <w:style w:type="paragraph" w:styleId="27">
    <w:name w:val="toc 2"/>
    <w:basedOn w:val="1"/>
    <w:next w:val="1"/>
    <w:qFormat/>
    <w:uiPriority w:val="39"/>
    <w:pPr>
      <w:ind w:left="420" w:leftChars="200"/>
    </w:pPr>
  </w:style>
  <w:style w:type="paragraph" w:styleId="28">
    <w:name w:val="Body Text 2"/>
    <w:basedOn w:val="1"/>
    <w:link w:val="56"/>
    <w:autoRedefine/>
    <w:qFormat/>
    <w:uiPriority w:val="0"/>
    <w:pPr>
      <w:spacing w:after="120" w:line="480" w:lineRule="auto"/>
    </w:pPr>
  </w:style>
  <w:style w:type="paragraph" w:styleId="29">
    <w:name w:val="HTML Preformatted"/>
    <w:basedOn w:val="1"/>
    <w:link w:val="246"/>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rPr>
  </w:style>
  <w:style w:type="paragraph" w:styleId="30">
    <w:name w:val="Normal (Web)"/>
    <w:basedOn w:val="1"/>
    <w:qFormat/>
    <w:uiPriority w:val="99"/>
    <w:pPr>
      <w:widowControl/>
      <w:spacing w:before="100" w:beforeAutospacing="1" w:after="100" w:afterAutospacing="1"/>
      <w:jc w:val="left"/>
    </w:pPr>
    <w:rPr>
      <w:rFonts w:ascii="宋体,Verdana,Arial" w:hAnsi="宋体,Verdana,Arial" w:cs="宋体,Verdana,Arial"/>
      <w:kern w:val="0"/>
      <w:sz w:val="24"/>
    </w:rPr>
  </w:style>
  <w:style w:type="paragraph" w:styleId="31">
    <w:name w:val="Title"/>
    <w:basedOn w:val="1"/>
    <w:link w:val="57"/>
    <w:autoRedefine/>
    <w:qFormat/>
    <w:uiPriority w:val="10"/>
    <w:pPr>
      <w:spacing w:before="240" w:after="60"/>
      <w:jc w:val="center"/>
      <w:outlineLvl w:val="0"/>
    </w:pPr>
    <w:rPr>
      <w:rFonts w:ascii="Arial" w:hAnsi="Arial" w:cs="Times New Roman"/>
      <w:b/>
      <w:bCs/>
      <w:sz w:val="32"/>
      <w:szCs w:val="32"/>
      <w:lang w:val="zh-CN"/>
    </w:rPr>
  </w:style>
  <w:style w:type="paragraph" w:styleId="32">
    <w:name w:val="annotation subject"/>
    <w:basedOn w:val="15"/>
    <w:next w:val="15"/>
    <w:link w:val="58"/>
    <w:autoRedefine/>
    <w:qFormat/>
    <w:uiPriority w:val="0"/>
    <w:rPr>
      <w:b/>
      <w:bCs/>
    </w:rPr>
  </w:style>
  <w:style w:type="paragraph" w:styleId="33">
    <w:name w:val="Body Text First Indent 2"/>
    <w:basedOn w:val="17"/>
    <w:next w:val="34"/>
    <w:link w:val="257"/>
    <w:autoRedefine/>
    <w:qFormat/>
    <w:uiPriority w:val="0"/>
    <w:pPr>
      <w:ind w:left="200" w:leftChars="200" w:firstLine="420" w:firstLineChars="200"/>
    </w:pPr>
    <w:rPr>
      <w:rFonts w:ascii="Times New Roman" w:hAnsi="Times New Roman" w:cs="Times New Roman"/>
    </w:rPr>
  </w:style>
  <w:style w:type="paragraph" w:customStyle="1" w:styleId="34">
    <w:name w:val="xl53"/>
    <w:basedOn w:val="1"/>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table" w:styleId="36">
    <w:name w:val="Table Grid"/>
    <w:basedOn w:val="35"/>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22"/>
    <w:rPr>
      <w:b/>
      <w:bCs/>
    </w:rPr>
  </w:style>
  <w:style w:type="character" w:styleId="39">
    <w:name w:val="page number"/>
    <w:basedOn w:val="37"/>
    <w:autoRedefine/>
    <w:qFormat/>
    <w:uiPriority w:val="0"/>
  </w:style>
  <w:style w:type="character" w:styleId="40">
    <w:name w:val="FollowedHyperlink"/>
    <w:unhideWhenUsed/>
    <w:qFormat/>
    <w:uiPriority w:val="99"/>
    <w:rPr>
      <w:color w:val="800080"/>
      <w:u w:val="single"/>
    </w:rPr>
  </w:style>
  <w:style w:type="character" w:styleId="41">
    <w:name w:val="Emphasis"/>
    <w:autoRedefine/>
    <w:qFormat/>
    <w:uiPriority w:val="0"/>
  </w:style>
  <w:style w:type="character" w:styleId="42">
    <w:name w:val="Hyperlink"/>
    <w:autoRedefine/>
    <w:qFormat/>
    <w:uiPriority w:val="99"/>
    <w:rPr>
      <w:color w:val="0000FF"/>
      <w:u w:val="single"/>
    </w:rPr>
  </w:style>
  <w:style w:type="character" w:styleId="43">
    <w:name w:val="annotation reference"/>
    <w:autoRedefine/>
    <w:qFormat/>
    <w:uiPriority w:val="0"/>
    <w:rPr>
      <w:sz w:val="21"/>
      <w:szCs w:val="21"/>
    </w:rPr>
  </w:style>
  <w:style w:type="character" w:customStyle="1" w:styleId="44">
    <w:name w:val="标题 1 字符"/>
    <w:link w:val="5"/>
    <w:autoRedefine/>
    <w:qFormat/>
    <w:uiPriority w:val="0"/>
    <w:rPr>
      <w:rFonts w:ascii="Tahoma" w:eastAsia="Tahoma"/>
      <w:b/>
      <w:bCs/>
      <w:kern w:val="2"/>
      <w:sz w:val="21"/>
      <w:szCs w:val="24"/>
    </w:rPr>
  </w:style>
  <w:style w:type="character" w:customStyle="1" w:styleId="45">
    <w:name w:val="标题 2 字符"/>
    <w:link w:val="6"/>
    <w:autoRedefine/>
    <w:qFormat/>
    <w:uiPriority w:val="9"/>
    <w:rPr>
      <w:rFonts w:ascii="Arial Unicode MS" w:hAnsi="Arial Unicode MS" w:eastAsia="Wingdings"/>
      <w:b/>
      <w:bCs/>
      <w:kern w:val="2"/>
      <w:sz w:val="32"/>
      <w:szCs w:val="32"/>
    </w:rPr>
  </w:style>
  <w:style w:type="character" w:customStyle="1" w:styleId="46">
    <w:name w:val="标题 3 字符"/>
    <w:link w:val="7"/>
    <w:qFormat/>
    <w:uiPriority w:val="0"/>
    <w:rPr>
      <w:rFonts w:eastAsia="Wingdings"/>
      <w:sz w:val="24"/>
      <w:lang w:val="en-US" w:eastAsia="zh-CN" w:bidi="ar-SA"/>
    </w:rPr>
  </w:style>
  <w:style w:type="character" w:customStyle="1" w:styleId="47">
    <w:name w:val="标题 4 字符1"/>
    <w:link w:val="8"/>
    <w:qFormat/>
    <w:uiPriority w:val="0"/>
    <w:rPr>
      <w:rFonts w:eastAsia="Tahoma"/>
      <w:b/>
      <w:sz w:val="24"/>
    </w:rPr>
  </w:style>
  <w:style w:type="character" w:customStyle="1" w:styleId="48">
    <w:name w:val="正文缩进 字符"/>
    <w:link w:val="12"/>
    <w:autoRedefine/>
    <w:qFormat/>
    <w:uiPriority w:val="0"/>
    <w:rPr>
      <w:rFonts w:eastAsia="宋体,Verdana,Arial"/>
      <w:sz w:val="21"/>
      <w:lang w:val="en-US" w:eastAsia="zh-CN" w:bidi="ar-SA"/>
    </w:rPr>
  </w:style>
  <w:style w:type="character" w:customStyle="1" w:styleId="49">
    <w:name w:val="批注文字 字符"/>
    <w:link w:val="15"/>
    <w:qFormat/>
    <w:uiPriority w:val="0"/>
    <w:rPr>
      <w:kern w:val="2"/>
      <w:sz w:val="21"/>
      <w:szCs w:val="24"/>
    </w:rPr>
  </w:style>
  <w:style w:type="character" w:customStyle="1" w:styleId="50">
    <w:name w:val="正文文本 字符"/>
    <w:link w:val="3"/>
    <w:autoRedefine/>
    <w:qFormat/>
    <w:uiPriority w:val="99"/>
    <w:rPr>
      <w:rFonts w:eastAsia="宋体,Verdana,Arial"/>
      <w:kern w:val="2"/>
      <w:sz w:val="21"/>
      <w:szCs w:val="24"/>
      <w:lang w:val="en-US" w:eastAsia="zh-CN" w:bidi="ar-SA"/>
    </w:rPr>
  </w:style>
  <w:style w:type="character" w:customStyle="1" w:styleId="51">
    <w:name w:val="纯文本 字符"/>
    <w:link w:val="19"/>
    <w:qFormat/>
    <w:uiPriority w:val="0"/>
    <w:rPr>
      <w:rFonts w:ascii="宋体,Verdana,Arial" w:hAnsi="Tahoma" w:eastAsia="宋体,Verdana,Arial"/>
      <w:sz w:val="21"/>
      <w:szCs w:val="21"/>
      <w:lang w:val="en-US" w:eastAsia="zh-CN" w:bidi="ar-SA"/>
    </w:rPr>
  </w:style>
  <w:style w:type="character" w:customStyle="1" w:styleId="52">
    <w:name w:val="批注框文本 字符1"/>
    <w:link w:val="10"/>
    <w:autoRedefine/>
    <w:qFormat/>
    <w:uiPriority w:val="99"/>
    <w:rPr>
      <w:kern w:val="2"/>
      <w:sz w:val="18"/>
      <w:szCs w:val="18"/>
    </w:rPr>
  </w:style>
  <w:style w:type="character" w:customStyle="1" w:styleId="53">
    <w:name w:val="页脚 字符1"/>
    <w:link w:val="22"/>
    <w:qFormat/>
    <w:uiPriority w:val="99"/>
    <w:rPr>
      <w:kern w:val="2"/>
      <w:sz w:val="18"/>
      <w:szCs w:val="18"/>
    </w:rPr>
  </w:style>
  <w:style w:type="character" w:customStyle="1" w:styleId="54">
    <w:name w:val="页眉 字符1"/>
    <w:link w:val="23"/>
    <w:autoRedefine/>
    <w:qFormat/>
    <w:locked/>
    <w:uiPriority w:val="99"/>
    <w:rPr>
      <w:kern w:val="2"/>
      <w:sz w:val="18"/>
      <w:szCs w:val="18"/>
    </w:rPr>
  </w:style>
  <w:style w:type="character" w:customStyle="1" w:styleId="55">
    <w:name w:val="正文文本缩进 3 字符1"/>
    <w:link w:val="26"/>
    <w:autoRedefine/>
    <w:qFormat/>
    <w:uiPriority w:val="0"/>
    <w:rPr>
      <w:kern w:val="2"/>
      <w:sz w:val="24"/>
      <w:szCs w:val="24"/>
    </w:rPr>
  </w:style>
  <w:style w:type="character" w:customStyle="1" w:styleId="56">
    <w:name w:val="正文文本 2 字符"/>
    <w:basedOn w:val="37"/>
    <w:link w:val="28"/>
    <w:autoRedefine/>
    <w:qFormat/>
    <w:uiPriority w:val="0"/>
    <w:rPr>
      <w:kern w:val="2"/>
      <w:sz w:val="21"/>
      <w:szCs w:val="24"/>
    </w:rPr>
  </w:style>
  <w:style w:type="character" w:customStyle="1" w:styleId="57">
    <w:name w:val="标题 字符"/>
    <w:link w:val="31"/>
    <w:autoRedefine/>
    <w:qFormat/>
    <w:uiPriority w:val="10"/>
    <w:rPr>
      <w:rFonts w:ascii="Arial" w:hAnsi="Arial"/>
      <w:b/>
      <w:bCs/>
      <w:kern w:val="2"/>
      <w:sz w:val="32"/>
      <w:szCs w:val="32"/>
    </w:rPr>
  </w:style>
  <w:style w:type="character" w:customStyle="1" w:styleId="58">
    <w:name w:val="批注主题 字符"/>
    <w:link w:val="32"/>
    <w:autoRedefine/>
    <w:qFormat/>
    <w:uiPriority w:val="0"/>
    <w:rPr>
      <w:b/>
      <w:bCs/>
      <w:kern w:val="2"/>
      <w:sz w:val="21"/>
      <w:szCs w:val="24"/>
    </w:rPr>
  </w:style>
  <w:style w:type="character" w:customStyle="1" w:styleId="59">
    <w:name w:val="正文文本首行缩进 字符"/>
    <w:basedOn w:val="50"/>
    <w:link w:val="2"/>
    <w:autoRedefine/>
    <w:qFormat/>
    <w:uiPriority w:val="0"/>
    <w:rPr>
      <w:rFonts w:eastAsia="宋体,Verdana,Arial"/>
      <w:kern w:val="2"/>
      <w:sz w:val="21"/>
      <w:szCs w:val="24"/>
      <w:lang w:val="en-US" w:eastAsia="zh-CN" w:bidi="ar-SA"/>
    </w:rPr>
  </w:style>
  <w:style w:type="character" w:customStyle="1" w:styleId="60">
    <w:name w:val="正文缩进 Char"/>
    <w:autoRedefine/>
    <w:qFormat/>
    <w:uiPriority w:val="0"/>
    <w:rPr>
      <w:rFonts w:eastAsia="宋体,Verdana,Arial"/>
      <w:sz w:val="21"/>
      <w:lang w:val="en-US" w:eastAsia="zh-CN"/>
    </w:rPr>
  </w:style>
  <w:style w:type="character" w:customStyle="1" w:styleId="61">
    <w:name w:val="Texte Char Char"/>
    <w:autoRedefine/>
    <w:qFormat/>
    <w:uiPriority w:val="0"/>
    <w:rPr>
      <w:rFonts w:ascii="宋体" w:hAnsi="Courier New" w:eastAsia="宋体"/>
      <w:sz w:val="21"/>
      <w:szCs w:val="21"/>
      <w:lang w:val="en-US" w:eastAsia="zh-CN" w:bidi="ar-SA"/>
    </w:rPr>
  </w:style>
  <w:style w:type="character" w:customStyle="1" w:styleId="62">
    <w:name w:val="列出段落 Char"/>
    <w:link w:val="63"/>
    <w:autoRedefine/>
    <w:qFormat/>
    <w:uiPriority w:val="34"/>
    <w:rPr>
      <w:rFonts w:ascii="Courier New" w:hAnsi="Courier New"/>
      <w:kern w:val="2"/>
      <w:sz w:val="21"/>
      <w:szCs w:val="22"/>
    </w:rPr>
  </w:style>
  <w:style w:type="paragraph" w:customStyle="1" w:styleId="63">
    <w:name w:val="列出段落1"/>
    <w:basedOn w:val="1"/>
    <w:link w:val="62"/>
    <w:qFormat/>
    <w:uiPriority w:val="34"/>
    <w:pPr>
      <w:ind w:firstLine="420" w:firstLineChars="200"/>
    </w:pPr>
    <w:rPr>
      <w:rFonts w:ascii="Courier New" w:hAnsi="Courier New" w:cs="Times New Roman"/>
      <w:szCs w:val="22"/>
      <w:lang w:val="zh-CN"/>
    </w:rPr>
  </w:style>
  <w:style w:type="character" w:customStyle="1" w:styleId="64">
    <w:name w:val="Char Char2"/>
    <w:qFormat/>
    <w:uiPriority w:val="0"/>
    <w:rPr>
      <w:rFonts w:ascii="Univers LT Std 57 Cn" w:hAnsi="宋体,Verdana,Arial" w:eastAsia="Univers LT Std 57 Cn"/>
      <w:kern w:val="2"/>
      <w:sz w:val="21"/>
      <w:lang w:val="en-US" w:eastAsia="zh-CN" w:bidi="ar-SA"/>
    </w:rPr>
  </w:style>
  <w:style w:type="character" w:customStyle="1" w:styleId="65">
    <w:name w:val="p141"/>
    <w:qFormat/>
    <w:uiPriority w:val="0"/>
    <w:rPr>
      <w:sz w:val="21"/>
      <w:szCs w:val="21"/>
    </w:rPr>
  </w:style>
  <w:style w:type="character" w:customStyle="1" w:styleId="66">
    <w:name w:val="纯文本 Char1"/>
    <w:autoRedefine/>
    <w:qFormat/>
    <w:uiPriority w:val="0"/>
    <w:rPr>
      <w:rFonts w:ascii="宋体,Verdana,Arial" w:hAnsi="Tahoma" w:eastAsia="宋体,Verdana,Arial"/>
      <w:sz w:val="21"/>
      <w:szCs w:val="21"/>
    </w:rPr>
  </w:style>
  <w:style w:type="character" w:customStyle="1" w:styleId="67">
    <w:name w:val="正文文本 (2)_"/>
    <w:link w:val="68"/>
    <w:autoRedefine/>
    <w:qFormat/>
    <w:uiPriority w:val="99"/>
    <w:rPr>
      <w:rFonts w:ascii="Times New Roman" w:hAnsi="Times New Roman" w:cs="Times New Roman"/>
      <w:shd w:val="clear" w:color="auto" w:fill="FFFFFF"/>
    </w:rPr>
  </w:style>
  <w:style w:type="paragraph" w:customStyle="1" w:styleId="68">
    <w:name w:val="正文文本 (2)"/>
    <w:basedOn w:val="1"/>
    <w:link w:val="67"/>
    <w:autoRedefine/>
    <w:qFormat/>
    <w:uiPriority w:val="99"/>
    <w:pPr>
      <w:shd w:val="clear" w:color="auto" w:fill="FFFFFF"/>
      <w:jc w:val="left"/>
    </w:pPr>
    <w:rPr>
      <w:rFonts w:ascii="Times New Roman" w:hAnsi="Times New Roman" w:cs="Times New Roman"/>
      <w:kern w:val="0"/>
      <w:sz w:val="20"/>
      <w:szCs w:val="20"/>
      <w:lang w:val="zh-CN"/>
    </w:rPr>
  </w:style>
  <w:style w:type="character" w:customStyle="1" w:styleId="69">
    <w:name w:val="正文文本 (2) + MingLiU1"/>
    <w:autoRedefine/>
    <w:qFormat/>
    <w:uiPriority w:val="99"/>
    <w:rPr>
      <w:rFonts w:ascii="MingLiU" w:hAnsi="Times New Roman" w:eastAsia="MingLiU" w:cs="MingLiU"/>
      <w:w w:val="100"/>
      <w:sz w:val="13"/>
      <w:szCs w:val="13"/>
      <w:shd w:val="clear" w:color="auto" w:fill="FFFFFF"/>
      <w:lang w:val="en-US" w:eastAsia="en-US"/>
    </w:rPr>
  </w:style>
  <w:style w:type="character" w:customStyle="1" w:styleId="70">
    <w:name w:val="ändrad Char"/>
    <w:autoRedefine/>
    <w:qFormat/>
    <w:uiPriority w:val="0"/>
    <w:rPr>
      <w:rFonts w:eastAsia="Univers LT Std 57 Cn"/>
      <w:kern w:val="2"/>
      <w:sz w:val="21"/>
      <w:szCs w:val="24"/>
      <w:lang w:val="en-US" w:eastAsia="zh-CN" w:bidi="ar-SA"/>
    </w:rPr>
  </w:style>
  <w:style w:type="character" w:customStyle="1" w:styleId="71">
    <w:name w:val="正文文本 (2) + MingLiU"/>
    <w:autoRedefine/>
    <w:qFormat/>
    <w:uiPriority w:val="99"/>
    <w:rPr>
      <w:rFonts w:ascii="MingLiU" w:hAnsi="Times New Roman" w:eastAsia="MingLiU" w:cs="MingLiU"/>
      <w:sz w:val="13"/>
      <w:szCs w:val="13"/>
      <w:shd w:val="clear" w:color="auto" w:fill="FFFFFF"/>
    </w:rPr>
  </w:style>
  <w:style w:type="character" w:customStyle="1" w:styleId="72">
    <w:name w:val="font31"/>
    <w:qFormat/>
    <w:uiPriority w:val="0"/>
    <w:rPr>
      <w:rFonts w:hint="eastAsia" w:ascii="宋体" w:hAnsi="宋体" w:eastAsia="宋体" w:cs="宋体"/>
      <w:color w:val="000000"/>
      <w:sz w:val="24"/>
      <w:szCs w:val="24"/>
    </w:rPr>
  </w:style>
  <w:style w:type="character" w:customStyle="1" w:styleId="73">
    <w:name w:val="正文文本缩进 3 Char1"/>
    <w:autoRedefine/>
    <w:semiHidden/>
    <w:qFormat/>
    <w:uiPriority w:val="99"/>
    <w:rPr>
      <w:rFonts w:ascii="Times New Roman" w:hAnsi="Times New Roman"/>
      <w:kern w:val="2"/>
      <w:sz w:val="16"/>
      <w:szCs w:val="16"/>
    </w:rPr>
  </w:style>
  <w:style w:type="character" w:customStyle="1" w:styleId="74">
    <w:name w:val="页脚 字符"/>
    <w:qFormat/>
    <w:uiPriority w:val="0"/>
    <w:rPr>
      <w:rFonts w:ascii="Times New Roman" w:hAnsi="Times New Roman" w:eastAsia="宋体" w:cs="Times New Roman"/>
      <w:sz w:val="18"/>
      <w:szCs w:val="18"/>
    </w:rPr>
  </w:style>
  <w:style w:type="character" w:customStyle="1" w:styleId="75">
    <w:name w:val="apple-converted-space"/>
    <w:autoRedefine/>
    <w:qFormat/>
    <w:uiPriority w:val="0"/>
  </w:style>
  <w:style w:type="character" w:customStyle="1" w:styleId="76">
    <w:name w:val="页眉 字符"/>
    <w:autoRedefine/>
    <w:qFormat/>
    <w:uiPriority w:val="0"/>
    <w:rPr>
      <w:rFonts w:ascii="Times New Roman" w:hAnsi="Times New Roman" w:eastAsia="宋体" w:cs="Times New Roman"/>
      <w:sz w:val="18"/>
      <w:szCs w:val="18"/>
    </w:rPr>
  </w:style>
  <w:style w:type="character" w:customStyle="1" w:styleId="77">
    <w:name w:val="批注框文本 字符"/>
    <w:qFormat/>
    <w:uiPriority w:val="0"/>
    <w:rPr>
      <w:rFonts w:ascii="Times New Roman" w:hAnsi="Times New Roman" w:eastAsia="宋体" w:cs="Times New Roman"/>
      <w:sz w:val="18"/>
      <w:szCs w:val="18"/>
    </w:rPr>
  </w:style>
  <w:style w:type="character" w:customStyle="1" w:styleId="78">
    <w:name w:val="标题 4 字符"/>
    <w:qFormat/>
    <w:uiPriority w:val="0"/>
    <w:rPr>
      <w:rFonts w:ascii="Arial" w:hAnsi="Arial" w:eastAsia="黑体" w:cs="Times New Roman"/>
      <w:b/>
      <w:sz w:val="28"/>
      <w:szCs w:val="20"/>
    </w:rPr>
  </w:style>
  <w:style w:type="character" w:customStyle="1" w:styleId="79">
    <w:name w:val="正文文本缩进 3 字符"/>
    <w:autoRedefine/>
    <w:qFormat/>
    <w:locked/>
    <w:uiPriority w:val="0"/>
    <w:rPr>
      <w:rFonts w:ascii="仿宋_GB2312" w:hAnsi="宋体" w:eastAsia="仿宋_GB2312"/>
      <w:color w:val="000000"/>
      <w:sz w:val="24"/>
      <w:szCs w:val="24"/>
    </w:rPr>
  </w:style>
  <w:style w:type="paragraph" w:customStyle="1" w:styleId="80">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82">
    <w:name w:val="正文1"/>
    <w:basedOn w:val="1"/>
    <w:qFormat/>
    <w:uiPriority w:val="0"/>
    <w:pPr>
      <w:adjustRightInd w:val="0"/>
      <w:spacing w:line="360" w:lineRule="atLeast"/>
      <w:jc w:val="left"/>
    </w:pPr>
    <w:rPr>
      <w:rFonts w:eastAsia="Tahoma"/>
      <w:kern w:val="0"/>
      <w:sz w:val="24"/>
      <w:szCs w:val="20"/>
    </w:rPr>
  </w:style>
  <w:style w:type="paragraph" w:customStyle="1" w:styleId="83">
    <w:name w:val="保留正文"/>
    <w:basedOn w:val="3"/>
    <w:autoRedefine/>
    <w:qFormat/>
    <w:uiPriority w:val="0"/>
    <w:pPr>
      <w:keepNext/>
      <w:spacing w:after="160"/>
    </w:pPr>
    <w:rPr>
      <w:rFonts w:ascii="Arial" w:hAnsi="Arial" w:eastAsia="Univers LT Std 57 Cn"/>
    </w:rPr>
  </w:style>
  <w:style w:type="paragraph" w:customStyle="1" w:styleId="84">
    <w:name w:val="Char Char Char Char Char Char Char Char Char Char Char Char Char"/>
    <w:basedOn w:val="1"/>
    <w:autoRedefine/>
    <w:qFormat/>
    <w:uiPriority w:val="0"/>
    <w:rPr>
      <w:rFonts w:ascii="Arial Unicode MS" w:hAnsi="Arial Unicode MS"/>
      <w:sz w:val="24"/>
      <w:szCs w:val="20"/>
    </w:rPr>
  </w:style>
  <w:style w:type="paragraph" w:customStyle="1" w:styleId="85">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Verdana,Arial" w:hAnsi="宋体,Verdana,Arial" w:eastAsia="宋体,Verdana,Arial"/>
      <w:kern w:val="0"/>
      <w:sz w:val="24"/>
    </w:rPr>
  </w:style>
  <w:style w:type="paragraph" w:customStyle="1" w:styleId="86">
    <w:name w:val="xl90"/>
    <w:basedOn w:val="1"/>
    <w:qFormat/>
    <w:uiPriority w:val="0"/>
    <w:pPr>
      <w:widowControl/>
      <w:spacing w:before="100" w:beforeAutospacing="1" w:after="100" w:afterAutospacing="1"/>
      <w:jc w:val="left"/>
    </w:pPr>
    <w:rPr>
      <w:rFonts w:ascii="Arial" w:hAnsi="Arial"/>
      <w:kern w:val="0"/>
      <w:sz w:val="24"/>
    </w:rPr>
  </w:style>
  <w:style w:type="paragraph" w:customStyle="1" w:styleId="87">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cs="Times New Roman"/>
      <w:color w:val="000000"/>
      <w:kern w:val="0"/>
      <w:sz w:val="18"/>
      <w:szCs w:val="18"/>
    </w:rPr>
  </w:style>
  <w:style w:type="paragraph" w:customStyle="1" w:styleId="88">
    <w:name w:val="正文2"/>
    <w:next w:val="24"/>
    <w:autoRedefine/>
    <w:qFormat/>
    <w:uiPriority w:val="0"/>
    <w:pPr>
      <w:widowControl w:val="0"/>
      <w:spacing w:before="156"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89">
    <w:name w:val="Char Char Char Char"/>
    <w:basedOn w:val="1"/>
    <w:autoRedefine/>
    <w:qFormat/>
    <w:uiPriority w:val="0"/>
    <w:rPr>
      <w:rFonts w:ascii="Arial Unicode MS" w:hAnsi="Arial Unicode MS"/>
      <w:sz w:val="24"/>
      <w:szCs w:val="20"/>
    </w:rPr>
  </w:style>
  <w:style w:type="paragraph" w:customStyle="1" w:styleId="90">
    <w:name w:val="aspnumfaautoadjustrightr"/>
    <w:qFormat/>
    <w:uiPriority w:val="0"/>
    <w:pPr>
      <w:widowControl w:val="0"/>
      <w:autoSpaceDE w:val="0"/>
      <w:autoSpaceDN w:val="0"/>
      <w:adjustRightInd w:val="0"/>
      <w:ind w:firstLine="720"/>
      <w:jc w:val="both"/>
    </w:pPr>
    <w:rPr>
      <w:rFonts w:ascii="Calibri" w:hAnsi="Calibri" w:eastAsia="宋体" w:cs="Arial"/>
      <w:lang w:val="en-US" w:eastAsia="zh-CN" w:bidi="ar-SA"/>
    </w:rPr>
  </w:style>
  <w:style w:type="paragraph" w:customStyle="1" w:styleId="91">
    <w:name w:val="msolistparagraph"/>
    <w:basedOn w:val="1"/>
    <w:autoRedefine/>
    <w:qFormat/>
    <w:uiPriority w:val="0"/>
    <w:pPr>
      <w:widowControl/>
      <w:ind w:firstLine="420"/>
      <w:jc w:val="left"/>
    </w:pPr>
    <w:rPr>
      <w:rFonts w:ascii="宋体" w:hAnsi="宋体" w:cs="宋体"/>
      <w:kern w:val="0"/>
      <w:sz w:val="24"/>
    </w:rPr>
  </w:style>
  <w:style w:type="paragraph" w:customStyle="1" w:styleId="92">
    <w:name w:val="xl55"/>
    <w:basedOn w:val="1"/>
    <w:autoRedefine/>
    <w:qFormat/>
    <w:uiPriority w:val="0"/>
    <w:pPr>
      <w:widowControl/>
      <w:spacing w:before="100" w:beforeAutospacing="1" w:after="100" w:afterAutospacing="1"/>
      <w:textAlignment w:val="center"/>
    </w:pPr>
    <w:rPr>
      <w:rFonts w:ascii="宋体,Verdana,Arial" w:hAnsi="宋体,Verdana,Arial" w:eastAsia="Tahoma"/>
      <w:kern w:val="0"/>
      <w:sz w:val="24"/>
      <w:szCs w:val="20"/>
    </w:rPr>
  </w:style>
  <w:style w:type="paragraph" w:customStyle="1" w:styleId="9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94">
    <w:name w:val="xl9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95">
    <w:name w:val="Char Char Char Char1"/>
    <w:basedOn w:val="14"/>
    <w:autoRedefine/>
    <w:qFormat/>
    <w:uiPriority w:val="0"/>
    <w:rPr>
      <w:rFonts w:ascii="Arial Unicode MS" w:hAnsi="Arial Unicode MS"/>
      <w:sz w:val="24"/>
    </w:rPr>
  </w:style>
  <w:style w:type="paragraph" w:customStyle="1" w:styleId="9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97">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8">
    <w:name w:val="xl15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9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0">
    <w:name w:val="font9"/>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01">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02">
    <w:name w:val="Char Char7 Char"/>
    <w:basedOn w:val="1"/>
    <w:qFormat/>
    <w:uiPriority w:val="0"/>
    <w:pPr>
      <w:tabs>
        <w:tab w:val="left" w:pos="425"/>
      </w:tabs>
      <w:ind w:left="420" w:leftChars="200" w:firstLine="270" w:firstLineChars="150"/>
    </w:pPr>
    <w:rPr>
      <w:rFonts w:ascii="Times New Roman" w:hAnsi="Times New Roman" w:cs="Times New Roman"/>
    </w:rPr>
  </w:style>
  <w:style w:type="paragraph" w:customStyle="1" w:styleId="103">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Verdana,Arial"/>
      <w:b/>
      <w:kern w:val="0"/>
      <w:sz w:val="24"/>
      <w:szCs w:val="20"/>
    </w:rPr>
  </w:style>
  <w:style w:type="paragraph" w:customStyle="1" w:styleId="104">
    <w:name w:val="xl10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06">
    <w:name w:val="修订1"/>
    <w:autoRedefine/>
    <w:semiHidden/>
    <w:qFormat/>
    <w:uiPriority w:val="99"/>
    <w:rPr>
      <w:rFonts w:ascii="Calibri" w:hAnsi="Calibri" w:eastAsia="宋体" w:cs="Arial"/>
      <w:kern w:val="2"/>
      <w:sz w:val="21"/>
      <w:szCs w:val="24"/>
      <w:lang w:val="en-US" w:eastAsia="zh-CN" w:bidi="ar-SA"/>
    </w:rPr>
  </w:style>
  <w:style w:type="paragraph" w:customStyle="1" w:styleId="107">
    <w:name w:val="Char Char"/>
    <w:basedOn w:val="1"/>
    <w:qFormat/>
    <w:uiPriority w:val="0"/>
    <w:rPr>
      <w:rFonts w:ascii="Courier New" w:eastAsia="Courier New"/>
      <w:b/>
      <w:sz w:val="32"/>
      <w:szCs w:val="32"/>
    </w:rPr>
  </w:style>
  <w:style w:type="paragraph" w:customStyle="1" w:styleId="108">
    <w:name w:val="表内文字"/>
    <w:basedOn w:val="1"/>
    <w:autoRedefine/>
    <w:qFormat/>
    <w:uiPriority w:val="0"/>
    <w:pPr>
      <w:spacing w:line="240" w:lineRule="atLeast"/>
      <w:jc w:val="center"/>
    </w:pPr>
    <w:rPr>
      <w:rFonts w:ascii="Arial Unicode MS" w:hAnsi="Arial Unicode MS" w:cs="Arial Unicode MS"/>
      <w:b/>
      <w:bCs/>
    </w:rPr>
  </w:style>
  <w:style w:type="paragraph" w:customStyle="1" w:styleId="109">
    <w:name w:val="xl13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10">
    <w:name w:val="_Style 5"/>
    <w:basedOn w:val="14"/>
    <w:qFormat/>
    <w:uiPriority w:val="0"/>
    <w:rPr>
      <w:rFonts w:ascii="Times New Roman" w:hAnsi="Times New Roman" w:cs="Times New Roman"/>
    </w:rPr>
  </w:style>
  <w:style w:type="paragraph" w:customStyle="1" w:styleId="111">
    <w:name w:val="Char Char6 Char Char"/>
    <w:basedOn w:val="14"/>
    <w:autoRedefine/>
    <w:qFormat/>
    <w:uiPriority w:val="0"/>
    <w:rPr>
      <w:rFonts w:ascii="Times New Roman" w:hAnsi="Times New Roman" w:cs="Times New Roman"/>
    </w:rPr>
  </w:style>
  <w:style w:type="paragraph" w:customStyle="1" w:styleId="112">
    <w:name w:val="font16"/>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3">
    <w:name w:val="xl9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4">
    <w:name w:val="font5"/>
    <w:basedOn w:val="1"/>
    <w:qFormat/>
    <w:uiPriority w:val="0"/>
    <w:pPr>
      <w:widowControl/>
      <w:spacing w:before="100" w:beforeAutospacing="1" w:after="100" w:afterAutospacing="1"/>
      <w:jc w:val="left"/>
    </w:pPr>
    <w:rPr>
      <w:rFonts w:ascii="Arial" w:hAnsi="Arial"/>
      <w:kern w:val="0"/>
      <w:sz w:val="18"/>
      <w:szCs w:val="18"/>
    </w:rPr>
  </w:style>
  <w:style w:type="paragraph" w:customStyle="1" w:styleId="115">
    <w:name w:val="font6"/>
    <w:basedOn w:val="1"/>
    <w:autoRedefine/>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16">
    <w:name w:val="font7"/>
    <w:basedOn w:val="1"/>
    <w:autoRedefine/>
    <w:qFormat/>
    <w:uiPriority w:val="0"/>
    <w:pPr>
      <w:widowControl/>
      <w:spacing w:before="100" w:beforeAutospacing="1" w:after="100" w:afterAutospacing="1"/>
      <w:jc w:val="left"/>
    </w:pPr>
    <w:rPr>
      <w:rFonts w:ascii="Arial" w:hAnsi="Arial"/>
      <w:b/>
      <w:bCs/>
      <w:color w:val="000000"/>
      <w:kern w:val="0"/>
      <w:sz w:val="18"/>
      <w:szCs w:val="18"/>
    </w:rPr>
  </w:style>
  <w:style w:type="paragraph" w:customStyle="1" w:styleId="117">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18">
    <w:name w:val="font8"/>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119">
    <w:name w:val="font10"/>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0">
    <w:name w:val="font11"/>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1">
    <w:name w:val="font12"/>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22">
    <w:name w:val="font13"/>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24">
    <w:name w:val="font14"/>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5">
    <w:name w:val="font1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6">
    <w:name w:val="font18"/>
    <w:basedOn w:val="1"/>
    <w:autoRedefine/>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7">
    <w:name w:val="font19"/>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8">
    <w:name w:val="font20"/>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129">
    <w:name w:val="font21"/>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30">
    <w:name w:val="xl69"/>
    <w:basedOn w:val="1"/>
    <w:autoRedefine/>
    <w:qFormat/>
    <w:uiPriority w:val="0"/>
    <w:pPr>
      <w:widowControl/>
      <w:spacing w:before="100" w:beforeAutospacing="1" w:after="100" w:afterAutospacing="1"/>
      <w:jc w:val="left"/>
    </w:pPr>
    <w:rPr>
      <w:rFonts w:ascii="Arial" w:hAnsi="Arial"/>
      <w:kern w:val="0"/>
      <w:sz w:val="20"/>
      <w:szCs w:val="20"/>
    </w:rPr>
  </w:style>
  <w:style w:type="paragraph" w:customStyle="1" w:styleId="131">
    <w:name w:val="xl70"/>
    <w:basedOn w:val="1"/>
    <w:autoRedefine/>
    <w:qFormat/>
    <w:uiPriority w:val="0"/>
    <w:pPr>
      <w:widowControl/>
      <w:spacing w:before="100" w:beforeAutospacing="1" w:after="100" w:afterAutospacing="1"/>
      <w:jc w:val="center"/>
    </w:pPr>
    <w:rPr>
      <w:rFonts w:ascii="Times New Roman" w:hAnsi="Times New Roman" w:cs="Times New Roman"/>
      <w:color w:val="000000"/>
      <w:kern w:val="0"/>
      <w:sz w:val="20"/>
      <w:szCs w:val="20"/>
    </w:rPr>
  </w:style>
  <w:style w:type="paragraph" w:customStyle="1" w:styleId="132">
    <w:name w:val="xl71"/>
    <w:basedOn w:val="1"/>
    <w:autoRedefine/>
    <w:qFormat/>
    <w:uiPriority w:val="0"/>
    <w:pPr>
      <w:widowControl/>
      <w:spacing w:before="100" w:beforeAutospacing="1" w:after="100" w:afterAutospacing="1"/>
      <w:jc w:val="left"/>
    </w:pPr>
    <w:rPr>
      <w:rFonts w:ascii="Times New Roman" w:hAnsi="Times New Roman" w:cs="Times New Roman"/>
      <w:color w:val="000000"/>
      <w:kern w:val="0"/>
      <w:sz w:val="20"/>
      <w:szCs w:val="20"/>
    </w:rPr>
  </w:style>
  <w:style w:type="paragraph" w:customStyle="1" w:styleId="13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3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35">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36">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37">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39">
    <w:name w:val="xl79"/>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14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4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2">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kern w:val="0"/>
      <w:sz w:val="18"/>
      <w:szCs w:val="18"/>
    </w:rPr>
  </w:style>
  <w:style w:type="paragraph" w:customStyle="1" w:styleId="143">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44">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4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4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47">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49">
    <w:name w:val="xl91"/>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50">
    <w:name w:val="xl15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b/>
      <w:bCs/>
      <w:color w:val="000000"/>
      <w:kern w:val="0"/>
      <w:sz w:val="20"/>
      <w:szCs w:val="20"/>
    </w:rPr>
  </w:style>
  <w:style w:type="paragraph" w:customStyle="1" w:styleId="15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3">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55">
    <w:name w:val="xl1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6">
    <w:name w:val="xl10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5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59">
    <w:name w:val="xl123"/>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6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6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62">
    <w:name w:val="xl110"/>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163">
    <w:name w:val="xl15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64">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65">
    <w:name w:val="xl154"/>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66">
    <w:name w:val="xl12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67">
    <w:name w:val="xl11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68">
    <w:name w:val="xl156"/>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69">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kern w:val="0"/>
      <w:sz w:val="18"/>
      <w:szCs w:val="18"/>
    </w:rPr>
  </w:style>
  <w:style w:type="paragraph" w:customStyle="1" w:styleId="170">
    <w:name w:val="xl157"/>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71">
    <w:name w:val="xl11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72">
    <w:name w:val="xl158"/>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73">
    <w:name w:val="xl12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74">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75">
    <w:name w:val="xl159"/>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76">
    <w:name w:val="Default"/>
    <w:qFormat/>
    <w:uiPriority w:val="0"/>
    <w:pPr>
      <w:widowControl w:val="0"/>
      <w:autoSpaceDE w:val="0"/>
      <w:autoSpaceDN w:val="0"/>
      <w:adjustRightInd w:val="0"/>
    </w:pPr>
    <w:rPr>
      <w:rFonts w:ascii="Cambria" w:hAnsi="黑体" w:eastAsia="宋体" w:cs="Cambria"/>
      <w:color w:val="000000"/>
      <w:sz w:val="24"/>
      <w:szCs w:val="24"/>
      <w:lang w:val="en-US" w:eastAsia="zh-CN" w:bidi="ar-SA"/>
    </w:rPr>
  </w:style>
  <w:style w:type="paragraph" w:customStyle="1" w:styleId="177">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8">
    <w:name w:val="xl160"/>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79">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20"/>
      <w:szCs w:val="20"/>
    </w:rPr>
  </w:style>
  <w:style w:type="paragraph" w:customStyle="1" w:styleId="180">
    <w:name w:val="xl161"/>
    <w:basedOn w:val="1"/>
    <w:qFormat/>
    <w:uiPriority w:val="0"/>
    <w:pPr>
      <w:widowControl/>
      <w:pBdr>
        <w:bottom w:val="single" w:color="auto" w:sz="8" w:space="0"/>
      </w:pBdr>
      <w:spacing w:before="100" w:beforeAutospacing="1" w:after="100" w:afterAutospacing="1"/>
      <w:jc w:val="center"/>
    </w:pPr>
    <w:rPr>
      <w:rFonts w:ascii="宋体" w:hAnsi="宋体" w:cs="宋体"/>
      <w:b/>
      <w:bCs/>
      <w:color w:val="000000"/>
      <w:kern w:val="0"/>
      <w:sz w:val="32"/>
      <w:szCs w:val="32"/>
    </w:rPr>
  </w:style>
  <w:style w:type="paragraph" w:customStyle="1" w:styleId="181">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kern w:val="0"/>
      <w:sz w:val="18"/>
      <w:szCs w:val="18"/>
    </w:rPr>
  </w:style>
  <w:style w:type="paragraph" w:customStyle="1" w:styleId="182">
    <w:name w:val="xl162"/>
    <w:basedOn w:val="1"/>
    <w:qFormat/>
    <w:uiPriority w:val="0"/>
    <w:pPr>
      <w:widowControl/>
      <w:pBdr>
        <w:top w:val="single" w:color="auto" w:sz="8" w:space="0"/>
        <w:left w:val="single" w:color="auto" w:sz="4"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3">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b/>
      <w:bCs/>
      <w:color w:val="000000"/>
      <w:kern w:val="0"/>
      <w:sz w:val="18"/>
      <w:szCs w:val="18"/>
    </w:rPr>
  </w:style>
  <w:style w:type="paragraph" w:customStyle="1" w:styleId="184">
    <w:name w:val="xl163"/>
    <w:basedOn w:val="1"/>
    <w:qFormat/>
    <w:uiPriority w:val="0"/>
    <w:pPr>
      <w:widowControl/>
      <w:pBdr>
        <w:top w:val="single" w:color="auto" w:sz="8" w:space="0"/>
        <w:bottom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5">
    <w:name w:val="xl12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w:hAnsi="Arial"/>
      <w:color w:val="000000"/>
      <w:kern w:val="0"/>
      <w:sz w:val="18"/>
      <w:szCs w:val="18"/>
    </w:rPr>
  </w:style>
  <w:style w:type="paragraph" w:customStyle="1" w:styleId="186">
    <w:name w:val="define_text001"/>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xl164"/>
    <w:basedOn w:val="1"/>
    <w:qFormat/>
    <w:uiPriority w:val="0"/>
    <w:pPr>
      <w:widowControl/>
      <w:pBdr>
        <w:top w:val="single" w:color="auto" w:sz="8" w:space="0"/>
        <w:bottom w:val="single" w:color="auto" w:sz="4" w:space="0"/>
        <w:right w:val="single" w:color="auto" w:sz="4" w:space="0"/>
      </w:pBdr>
      <w:shd w:val="clear" w:color="000000" w:fill="C0C0C0"/>
      <w:spacing w:before="100" w:beforeAutospacing="1" w:after="100" w:afterAutospacing="1"/>
      <w:jc w:val="left"/>
    </w:pPr>
    <w:rPr>
      <w:rFonts w:ascii="宋体" w:hAnsi="宋体" w:cs="宋体"/>
      <w:b/>
      <w:bCs/>
      <w:kern w:val="0"/>
      <w:sz w:val="18"/>
      <w:szCs w:val="18"/>
    </w:rPr>
  </w:style>
  <w:style w:type="paragraph" w:customStyle="1" w:styleId="188">
    <w:name w:val="xl12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89">
    <w:name w:val="xl12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w:hAnsi="Arial"/>
      <w:color w:val="000000"/>
      <w:kern w:val="0"/>
      <w:sz w:val="18"/>
      <w:szCs w:val="18"/>
    </w:rPr>
  </w:style>
  <w:style w:type="paragraph" w:customStyle="1" w:styleId="190">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19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24"/>
    </w:rPr>
  </w:style>
  <w:style w:type="paragraph" w:customStyle="1" w:styleId="192">
    <w:name w:val="xl131"/>
    <w:basedOn w:val="1"/>
    <w:autoRedefine/>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3">
    <w:name w:val="xl13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4">
    <w:name w:val="xl133"/>
    <w:basedOn w:val="1"/>
    <w:autoRedefine/>
    <w:qFormat/>
    <w:uiPriority w:val="0"/>
    <w:pPr>
      <w:widowControl/>
      <w:pBdr>
        <w:left w:val="single" w:color="auto" w:sz="4" w:space="0"/>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5">
    <w:name w:val="xl134"/>
    <w:basedOn w:val="1"/>
    <w:autoRedefine/>
    <w:qFormat/>
    <w:uiPriority w:val="0"/>
    <w:pPr>
      <w:widowControl/>
      <w:pBdr>
        <w:bottom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6">
    <w:name w:val="xl135"/>
    <w:basedOn w:val="1"/>
    <w:autoRedefine/>
    <w:qFormat/>
    <w:uiPriority w:val="0"/>
    <w:pPr>
      <w:widowControl/>
      <w:pBdr>
        <w:bottom w:val="single" w:color="auto" w:sz="4" w:space="0"/>
        <w:right w:val="single" w:color="auto" w:sz="4" w:space="0"/>
      </w:pBdr>
      <w:shd w:val="clear" w:color="000000" w:fill="C0C0C0"/>
      <w:spacing w:before="100" w:beforeAutospacing="1" w:after="100" w:afterAutospacing="1"/>
      <w:jc w:val="left"/>
    </w:pPr>
    <w:rPr>
      <w:rFonts w:ascii="Arial" w:hAnsi="Arial"/>
      <w:b/>
      <w:bCs/>
      <w:kern w:val="0"/>
      <w:sz w:val="18"/>
      <w:szCs w:val="18"/>
    </w:rPr>
  </w:style>
  <w:style w:type="paragraph" w:customStyle="1" w:styleId="197">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8">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olor w:val="000000"/>
      <w:kern w:val="0"/>
      <w:sz w:val="18"/>
      <w:szCs w:val="18"/>
    </w:rPr>
  </w:style>
  <w:style w:type="paragraph" w:customStyle="1" w:styleId="199">
    <w:name w:val="xl13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0">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1">
    <w:name w:val="xl140"/>
    <w:basedOn w:val="1"/>
    <w:qFormat/>
    <w:uiPriority w:val="0"/>
    <w:pPr>
      <w:widowControl/>
      <w:pBdr>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0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03">
    <w:name w:val="xl142"/>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4">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5">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6">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7">
    <w:name w:val="xl1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w:hAnsi="Arial"/>
      <w:color w:val="000000"/>
      <w:kern w:val="0"/>
      <w:sz w:val="18"/>
      <w:szCs w:val="18"/>
    </w:rPr>
  </w:style>
  <w:style w:type="paragraph" w:customStyle="1" w:styleId="208">
    <w:name w:val="xl14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w:hAnsi="Arial"/>
      <w:kern w:val="0"/>
      <w:sz w:val="18"/>
      <w:szCs w:val="18"/>
    </w:rPr>
  </w:style>
  <w:style w:type="paragraph" w:customStyle="1" w:styleId="209">
    <w:name w:val="xl1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10">
    <w:name w:val="xl151"/>
    <w:basedOn w:val="1"/>
    <w:autoRedefine/>
    <w:qFormat/>
    <w:uiPriority w:val="0"/>
    <w:pPr>
      <w:widowControl/>
      <w:pBdr>
        <w:bottom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211">
    <w:name w:val="xl152"/>
    <w:basedOn w:val="1"/>
    <w:qFormat/>
    <w:uiPriority w:val="0"/>
    <w:pPr>
      <w:widowControl/>
      <w:pBdr>
        <w:bottom w:val="single" w:color="auto" w:sz="4" w:space="0"/>
      </w:pBdr>
      <w:spacing w:before="100" w:beforeAutospacing="1" w:after="100" w:afterAutospacing="1"/>
      <w:jc w:val="center"/>
    </w:pPr>
    <w:rPr>
      <w:rFonts w:ascii="Arial" w:hAnsi="Arial"/>
      <w:b/>
      <w:bCs/>
      <w:color w:val="000000"/>
      <w:kern w:val="0"/>
      <w:sz w:val="32"/>
      <w:szCs w:val="32"/>
    </w:rPr>
  </w:style>
  <w:style w:type="paragraph" w:customStyle="1" w:styleId="212">
    <w:name w:val="define_head000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13">
    <w:name w:val="列出段落3"/>
    <w:autoRedefine/>
    <w:qFormat/>
    <w:uiPriority w:val="0"/>
    <w:pPr>
      <w:ind w:firstLine="420" w:firstLineChars="200"/>
    </w:pPr>
    <w:rPr>
      <w:rFonts w:ascii="Times New Roman" w:hAnsi="Times New Roman" w:eastAsia="宋体" w:cs="Times New Roman"/>
      <w:lang w:val="en-US" w:eastAsia="zh-CN" w:bidi="ar-SA"/>
    </w:rPr>
  </w:style>
  <w:style w:type="paragraph" w:customStyle="1" w:styleId="214">
    <w:name w:val="列出段落11"/>
    <w:basedOn w:val="1"/>
    <w:qFormat/>
    <w:uiPriority w:val="34"/>
    <w:pPr>
      <w:ind w:firstLine="420" w:firstLineChars="200"/>
    </w:pPr>
    <w:rPr>
      <w:rFonts w:cs="Times New Roman"/>
    </w:rPr>
  </w:style>
  <w:style w:type="character" w:customStyle="1" w:styleId="215">
    <w:name w:val="普通文字 Char Char2"/>
    <w:autoRedefine/>
    <w:qFormat/>
    <w:uiPriority w:val="0"/>
    <w:rPr>
      <w:rFonts w:ascii="宋体" w:hAnsi="Courier New" w:eastAsia="宋体"/>
      <w:kern w:val="2"/>
      <w:sz w:val="21"/>
      <w:lang w:val="en-US" w:eastAsia="zh-CN" w:bidi="ar-SA"/>
    </w:rPr>
  </w:style>
  <w:style w:type="paragraph" w:customStyle="1" w:styleId="216">
    <w:name w:val="列出段落2"/>
    <w:basedOn w:val="1"/>
    <w:autoRedefine/>
    <w:qFormat/>
    <w:uiPriority w:val="34"/>
    <w:pPr>
      <w:ind w:firstLine="420" w:firstLineChars="200"/>
    </w:pPr>
    <w:rPr>
      <w:rFonts w:ascii="Times New Roman" w:hAnsi="Times New Roman" w:cs="Times New Roman"/>
      <w:szCs w:val="20"/>
    </w:rPr>
  </w:style>
  <w:style w:type="paragraph" w:customStyle="1" w:styleId="217">
    <w:name w:val="样式2"/>
    <w:basedOn w:val="3"/>
    <w:autoRedefine/>
    <w:qFormat/>
    <w:uiPriority w:val="0"/>
    <w:pPr>
      <w:spacing w:before="100" w:beforeAutospacing="1" w:after="100" w:afterAutospacing="1" w:line="500" w:lineRule="exact"/>
      <w:jc w:val="center"/>
    </w:pPr>
    <w:rPr>
      <w:rFonts w:ascii="宋体" w:hAnsi="宋体" w:eastAsia="宋体" w:cs="Times New Roman"/>
      <w:kern w:val="44"/>
      <w:sz w:val="28"/>
      <w:szCs w:val="28"/>
      <w:lang w:val="en-GB"/>
    </w:rPr>
  </w:style>
  <w:style w:type="paragraph" w:customStyle="1" w:styleId="218">
    <w:name w:val="列出段落4"/>
    <w:basedOn w:val="1"/>
    <w:autoRedefine/>
    <w:qFormat/>
    <w:uiPriority w:val="34"/>
    <w:pPr>
      <w:ind w:firstLine="420" w:firstLineChars="200"/>
    </w:pPr>
  </w:style>
  <w:style w:type="character" w:customStyle="1" w:styleId="219">
    <w:name w:val="占位符文本1"/>
    <w:basedOn w:val="37"/>
    <w:semiHidden/>
    <w:qFormat/>
    <w:uiPriority w:val="99"/>
    <w:rPr>
      <w:color w:val="808080"/>
    </w:rPr>
  </w:style>
  <w:style w:type="paragraph" w:customStyle="1" w:styleId="220">
    <w:name w:val="TOC 标题1"/>
    <w:basedOn w:val="5"/>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221">
    <w:name w:val="列表段落1"/>
    <w:basedOn w:val="1"/>
    <w:link w:val="222"/>
    <w:autoRedefine/>
    <w:qFormat/>
    <w:uiPriority w:val="34"/>
    <w:pPr>
      <w:ind w:firstLine="420" w:firstLineChars="200"/>
    </w:pPr>
  </w:style>
  <w:style w:type="character" w:customStyle="1" w:styleId="222">
    <w:name w:val="列表段落 字符"/>
    <w:link w:val="221"/>
    <w:qFormat/>
    <w:uiPriority w:val="34"/>
    <w:rPr>
      <w:kern w:val="2"/>
      <w:sz w:val="21"/>
      <w:szCs w:val="24"/>
    </w:rPr>
  </w:style>
  <w:style w:type="paragraph" w:customStyle="1" w:styleId="223">
    <w:name w:val="[Normal]"/>
    <w:autoRedefine/>
    <w:qFormat/>
    <w:uiPriority w:val="0"/>
    <w:rPr>
      <w:rFonts w:ascii="宋体" w:hAnsi="宋体" w:eastAsia="宋体" w:cs="Times New Roman"/>
      <w:sz w:val="24"/>
      <w:szCs w:val="22"/>
      <w:lang w:val="zh-CN" w:eastAsia="zh-CN" w:bidi="ar-SA"/>
    </w:rPr>
  </w:style>
  <w:style w:type="character" w:customStyle="1" w:styleId="224">
    <w:name w:val="纯文本 字符1"/>
    <w:autoRedefine/>
    <w:qFormat/>
    <w:uiPriority w:val="0"/>
    <w:rPr>
      <w:rFonts w:ascii="??" w:hAnsi="??" w:eastAsia="??" w:cs="宋体"/>
      <w:kern w:val="2"/>
      <w:sz w:val="21"/>
      <w:szCs w:val="21"/>
    </w:rPr>
  </w:style>
  <w:style w:type="paragraph" w:customStyle="1" w:styleId="225">
    <w:name w:val="_Style 214"/>
    <w:basedOn w:val="3"/>
    <w:next w:val="2"/>
    <w:link w:val="226"/>
    <w:autoRedefine/>
    <w:qFormat/>
    <w:uiPriority w:val="0"/>
    <w:pPr>
      <w:ind w:firstLine="420" w:firstLineChars="100"/>
    </w:pPr>
    <w:rPr>
      <w:rFonts w:eastAsia="宋体"/>
    </w:rPr>
  </w:style>
  <w:style w:type="character" w:customStyle="1" w:styleId="226">
    <w:name w:val="正文首行缩进 字符"/>
    <w:link w:val="225"/>
    <w:autoRedefine/>
    <w:qFormat/>
    <w:uiPriority w:val="0"/>
    <w:rPr>
      <w:kern w:val="2"/>
      <w:sz w:val="21"/>
      <w:szCs w:val="24"/>
    </w:rPr>
  </w:style>
  <w:style w:type="paragraph" w:customStyle="1" w:styleId="227">
    <w:name w:val="默认段落字体 Para Char Char Char Char Char Char Char Char Char1 Char Char Char Char"/>
    <w:basedOn w:val="1"/>
    <w:autoRedefine/>
    <w:qFormat/>
    <w:uiPriority w:val="0"/>
    <w:rPr>
      <w:rFonts w:ascii="Tahoma" w:hAnsi="Tahoma" w:eastAsia="仿宋_GB2312" w:cs="宋体"/>
      <w:b/>
      <w:bCs/>
      <w:color w:val="000000"/>
      <w:kern w:val="0"/>
      <w:sz w:val="24"/>
      <w:szCs w:val="20"/>
    </w:rPr>
  </w:style>
  <w:style w:type="character" w:customStyle="1" w:styleId="228">
    <w:name w:val="style91"/>
    <w:autoRedefine/>
    <w:qFormat/>
    <w:uiPriority w:val="0"/>
    <w:rPr>
      <w:sz w:val="24"/>
      <w:szCs w:val="24"/>
    </w:rPr>
  </w:style>
  <w:style w:type="paragraph" w:customStyle="1" w:styleId="229">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character" w:customStyle="1" w:styleId="230">
    <w:name w:val="未处理的提及1"/>
    <w:basedOn w:val="37"/>
    <w:autoRedefine/>
    <w:unhideWhenUsed/>
    <w:qFormat/>
    <w:uiPriority w:val="99"/>
    <w:rPr>
      <w:color w:val="605E5C"/>
      <w:shd w:val="clear" w:color="auto" w:fill="E1DFDD"/>
    </w:rPr>
  </w:style>
  <w:style w:type="table" w:customStyle="1" w:styleId="231">
    <w:name w:val="Table Normal"/>
    <w:unhideWhenUsed/>
    <w:qFormat/>
    <w:uiPriority w:val="2"/>
    <w:pPr>
      <w:widowControl w:val="0"/>
      <w:autoSpaceDE w:val="0"/>
      <w:autoSpaceDN w:val="0"/>
    </w:pPr>
    <w:rPr>
      <w:rFonts w:asciiTheme="minorHAnsi" w:hAnsiTheme="minorHAnsi" w:cstheme="minorBidi"/>
      <w:sz w:val="22"/>
      <w:szCs w:val="22"/>
      <w:lang w:eastAsia="en-US"/>
    </w:rPr>
    <w:tblPr>
      <w:tblCellMar>
        <w:top w:w="0" w:type="dxa"/>
        <w:left w:w="0" w:type="dxa"/>
        <w:bottom w:w="0" w:type="dxa"/>
        <w:right w:w="0" w:type="dxa"/>
      </w:tblCellMar>
    </w:tblPr>
  </w:style>
  <w:style w:type="paragraph" w:customStyle="1" w:styleId="232">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233">
    <w:name w:val="List Paragraph"/>
    <w:basedOn w:val="1"/>
    <w:autoRedefine/>
    <w:qFormat/>
    <w:uiPriority w:val="34"/>
    <w:pPr>
      <w:ind w:firstLine="420" w:firstLineChars="200"/>
    </w:pPr>
  </w:style>
  <w:style w:type="paragraph" w:customStyle="1" w:styleId="234">
    <w:name w:val="无间隔1"/>
    <w:autoRedefine/>
    <w:qFormat/>
    <w:uiPriority w:val="1"/>
    <w:pPr>
      <w:widowControl w:val="0"/>
      <w:snapToGrid w:val="0"/>
      <w:jc w:val="both"/>
    </w:pPr>
    <w:rPr>
      <w:rFonts w:ascii="Calibri" w:hAnsi="Calibri" w:eastAsia="宋体" w:cs="Times New Roman"/>
      <w:kern w:val="2"/>
      <w:sz w:val="21"/>
      <w:szCs w:val="24"/>
      <w:lang w:val="en-US" w:eastAsia="zh-CN" w:bidi="ar-SA"/>
    </w:rPr>
  </w:style>
  <w:style w:type="character" w:customStyle="1" w:styleId="235">
    <w:name w:val="font41"/>
    <w:basedOn w:val="37"/>
    <w:autoRedefine/>
    <w:qFormat/>
    <w:uiPriority w:val="0"/>
    <w:rPr>
      <w:rFonts w:hint="eastAsia" w:ascii="宋体" w:hAnsi="宋体" w:eastAsia="宋体" w:cs="宋体"/>
      <w:color w:val="000000"/>
      <w:sz w:val="18"/>
      <w:szCs w:val="18"/>
      <w:u w:val="none"/>
    </w:rPr>
  </w:style>
  <w:style w:type="paragraph" w:customStyle="1" w:styleId="236">
    <w:name w:val="正文 New New New New"/>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237">
    <w:name w:val="纯文本1"/>
    <w:basedOn w:val="1"/>
    <w:qFormat/>
    <w:uiPriority w:val="0"/>
    <w:rPr>
      <w:rFonts w:ascii="宋体" w:hAnsi="Courier New" w:cs="Times New Roman"/>
      <w:kern w:val="0"/>
      <w:sz w:val="20"/>
      <w:szCs w:val="20"/>
    </w:rPr>
  </w:style>
  <w:style w:type="paragraph" w:customStyle="1" w:styleId="238">
    <w:name w:val="正文缩进1"/>
    <w:basedOn w:val="1"/>
    <w:next w:val="17"/>
    <w:autoRedefine/>
    <w:qFormat/>
    <w:uiPriority w:val="0"/>
    <w:pPr>
      <w:autoSpaceDE w:val="0"/>
      <w:autoSpaceDN w:val="0"/>
      <w:adjustRightInd w:val="0"/>
      <w:snapToGrid w:val="0"/>
      <w:spacing w:after="120" w:line="360" w:lineRule="auto"/>
      <w:ind w:left="420" w:leftChars="200" w:firstLine="480" w:firstLineChars="200"/>
    </w:pPr>
    <w:rPr>
      <w:rFonts w:ascii="Times New Roman" w:hAnsi="Times New Roman" w:cs="Times New Roman"/>
      <w:sz w:val="24"/>
      <w:szCs w:val="20"/>
    </w:rPr>
  </w:style>
  <w:style w:type="paragraph" w:customStyle="1" w:styleId="239">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0">
    <w:name w:val="xl63"/>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41">
    <w:name w:val="xl64"/>
    <w:basedOn w:val="1"/>
    <w:autoRedefine/>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242">
    <w:name w:val="xl65"/>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3">
    <w:name w:val="xl66"/>
    <w:basedOn w:val="1"/>
    <w:autoRedefine/>
    <w:qFormat/>
    <w:uiPriority w:val="0"/>
    <w:pPr>
      <w:widowControl/>
      <w:pBdr>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244">
    <w:name w:val="xl6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45">
    <w:name w:val="xl68"/>
    <w:basedOn w:val="1"/>
    <w:autoRedefine/>
    <w:qFormat/>
    <w:uiPriority w:val="0"/>
    <w:pPr>
      <w:widowControl/>
      <w:pBdr>
        <w:right w:val="single" w:color="000000" w:sz="8" w:space="0"/>
      </w:pBdr>
      <w:spacing w:before="100" w:beforeAutospacing="1" w:after="100" w:afterAutospacing="1"/>
      <w:jc w:val="left"/>
    </w:pPr>
    <w:rPr>
      <w:rFonts w:ascii="宋体" w:hAnsi="宋体" w:cs="宋体"/>
      <w:color w:val="000000"/>
      <w:kern w:val="0"/>
      <w:sz w:val="20"/>
      <w:szCs w:val="20"/>
    </w:rPr>
  </w:style>
  <w:style w:type="character" w:customStyle="1" w:styleId="246">
    <w:name w:val="HTML 预设格式 字符"/>
    <w:basedOn w:val="37"/>
    <w:link w:val="29"/>
    <w:autoRedefine/>
    <w:qFormat/>
    <w:uiPriority w:val="0"/>
    <w:rPr>
      <w:rFonts w:ascii="宋体" w:hAnsi="宋体"/>
      <w:sz w:val="24"/>
      <w:szCs w:val="24"/>
    </w:rPr>
  </w:style>
  <w:style w:type="character" w:customStyle="1" w:styleId="247">
    <w:name w:val="文档结构图 字符"/>
    <w:basedOn w:val="37"/>
    <w:link w:val="14"/>
    <w:qFormat/>
    <w:uiPriority w:val="0"/>
    <w:rPr>
      <w:rFonts w:cs="Arial"/>
      <w:kern w:val="2"/>
      <w:sz w:val="21"/>
      <w:szCs w:val="24"/>
      <w:shd w:val="clear" w:color="auto" w:fill="000080"/>
    </w:rPr>
  </w:style>
  <w:style w:type="character" w:customStyle="1" w:styleId="248">
    <w:name w:val="称呼 字符"/>
    <w:basedOn w:val="37"/>
    <w:link w:val="16"/>
    <w:autoRedefine/>
    <w:qFormat/>
    <w:uiPriority w:val="0"/>
    <w:rPr>
      <w:rFonts w:cs="Arial"/>
      <w:kern w:val="2"/>
      <w:sz w:val="24"/>
      <w:szCs w:val="24"/>
    </w:rPr>
  </w:style>
  <w:style w:type="character" w:customStyle="1" w:styleId="249">
    <w:name w:val="正文文本缩进 字符"/>
    <w:basedOn w:val="37"/>
    <w:link w:val="17"/>
    <w:autoRedefine/>
    <w:qFormat/>
    <w:uiPriority w:val="0"/>
    <w:rPr>
      <w:rFonts w:cs="Arial"/>
      <w:kern w:val="2"/>
      <w:sz w:val="21"/>
      <w:szCs w:val="24"/>
    </w:rPr>
  </w:style>
  <w:style w:type="character" w:customStyle="1" w:styleId="250">
    <w:name w:val="日期 字符"/>
    <w:basedOn w:val="37"/>
    <w:link w:val="20"/>
    <w:qFormat/>
    <w:uiPriority w:val="0"/>
    <w:rPr>
      <w:rFonts w:ascii="宋体,Verdana,Arial" w:cs="Arial"/>
      <w:kern w:val="2"/>
      <w:sz w:val="24"/>
    </w:rPr>
  </w:style>
  <w:style w:type="character" w:customStyle="1" w:styleId="251">
    <w:name w:val="正文文本缩进 2 字符"/>
    <w:basedOn w:val="37"/>
    <w:link w:val="21"/>
    <w:autoRedefine/>
    <w:qFormat/>
    <w:uiPriority w:val="0"/>
    <w:rPr>
      <w:rFonts w:cs="Arial"/>
      <w:kern w:val="2"/>
      <w:sz w:val="24"/>
      <w:szCs w:val="24"/>
    </w:rPr>
  </w:style>
  <w:style w:type="paragraph" w:customStyle="1" w:styleId="252">
    <w:name w:val="正文段"/>
    <w:basedOn w:val="1"/>
    <w:autoRedefine/>
    <w:qFormat/>
    <w:uiPriority w:val="0"/>
    <w:pPr>
      <w:widowControl/>
      <w:snapToGrid w:val="0"/>
      <w:spacing w:afterLines="50"/>
      <w:ind w:firstLine="200" w:firstLineChars="200"/>
    </w:pPr>
    <w:rPr>
      <w:rFonts w:ascii="Times New Roman" w:hAnsi="Times New Roman" w:cs="Times New Roman"/>
      <w:kern w:val="0"/>
      <w:sz w:val="24"/>
      <w:szCs w:val="20"/>
    </w:rPr>
  </w:style>
  <w:style w:type="character" w:customStyle="1" w:styleId="253">
    <w:name w:val="纯文本 字符2"/>
    <w:autoRedefine/>
    <w:qFormat/>
    <w:uiPriority w:val="0"/>
    <w:rPr>
      <w:rFonts w:ascii="宋体" w:hAnsi="Courier New" w:eastAsia="宋体"/>
      <w:sz w:val="21"/>
      <w:szCs w:val="21"/>
      <w:lang w:val="en-US" w:eastAsia="zh-CN" w:bidi="ar-SA"/>
    </w:rPr>
  </w:style>
  <w:style w:type="character" w:customStyle="1" w:styleId="254">
    <w:name w:val="NormalCharacter"/>
    <w:semiHidden/>
    <w:qFormat/>
    <w:uiPriority w:val="0"/>
    <w:rPr>
      <w:rFonts w:ascii="Calibri" w:hAnsi="Calibri" w:eastAsia="宋体" w:cs="Arial"/>
      <w:kern w:val="2"/>
      <w:sz w:val="21"/>
      <w:szCs w:val="24"/>
      <w:lang w:val="en-US" w:eastAsia="zh-CN" w:bidi="ar-SA"/>
    </w:rPr>
  </w:style>
  <w:style w:type="paragraph" w:customStyle="1" w:styleId="255">
    <w:name w:val="表 靠左"/>
    <w:basedOn w:val="256"/>
    <w:autoRedefine/>
    <w:qFormat/>
    <w:uiPriority w:val="0"/>
    <w:pPr>
      <w:jc w:val="left"/>
    </w:pPr>
    <w:rPr>
      <w:rFonts w:asciiTheme="minorEastAsia" w:hAnsiTheme="minorEastAsia"/>
    </w:rPr>
  </w:style>
  <w:style w:type="paragraph" w:customStyle="1" w:styleId="256">
    <w:name w:val="表"/>
    <w:basedOn w:val="1"/>
    <w:next w:val="1"/>
    <w:autoRedefine/>
    <w:qFormat/>
    <w:uiPriority w:val="7"/>
    <w:pPr>
      <w:jc w:val="center"/>
    </w:pPr>
  </w:style>
  <w:style w:type="character" w:customStyle="1" w:styleId="257">
    <w:name w:val="正文文本首行缩进 2 字符"/>
    <w:basedOn w:val="249"/>
    <w:link w:val="33"/>
    <w:autoRedefine/>
    <w:qFormat/>
    <w:uiPriority w:val="0"/>
    <w:rPr>
      <w:rFonts w:ascii="Times New Roman" w:hAnsi="Times New Roman" w:cs="Times New Roman"/>
      <w:kern w:val="2"/>
      <w:sz w:val="21"/>
      <w:szCs w:val="24"/>
    </w:rPr>
  </w:style>
  <w:style w:type="character" w:customStyle="1" w:styleId="258">
    <w:name w:val="bookmark-item"/>
    <w:basedOn w:val="37"/>
    <w:autoRedefine/>
    <w:qFormat/>
    <w:uiPriority w:val="0"/>
  </w:style>
  <w:style w:type="paragraph" w:customStyle="1" w:styleId="259">
    <w:name w:val="表格文字"/>
    <w:basedOn w:val="19"/>
    <w:next w:val="3"/>
    <w:autoRedefine/>
    <w:qFormat/>
    <w:uiPriority w:val="0"/>
    <w:pPr>
      <w:spacing w:line="240" w:lineRule="atLeast"/>
    </w:pPr>
    <w:rPr>
      <w:rFonts w:eastAsia="仿宋_GB2312"/>
      <w:sz w:val="24"/>
    </w:rPr>
  </w:style>
  <w:style w:type="character" w:customStyle="1" w:styleId="260">
    <w:name w:val="fontstyle01"/>
    <w:basedOn w:val="37"/>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1868575"/>
        <w:style w:val=""/>
        <w:category>
          <w:name w:val="常规"/>
          <w:gallery w:val="placeholder"/>
        </w:category>
        <w:types>
          <w:type w:val="bbPlcHdr"/>
        </w:types>
        <w:behaviors>
          <w:behavior w:val="content"/>
        </w:behaviors>
        <w:description w:val=""/>
        <w:guid w:val="{9485DD43-7715-4659-BEB2-0773A2F6DF8F}"/>
      </w:docPartPr>
      <w:docPartBody>
        <w:p w14:paraId="6B311DAB">
          <w:pPr>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5E"/>
    <w:rsid w:val="00007BD3"/>
    <w:rsid w:val="000374DC"/>
    <w:rsid w:val="00043004"/>
    <w:rsid w:val="000531E7"/>
    <w:rsid w:val="000700B2"/>
    <w:rsid w:val="00080623"/>
    <w:rsid w:val="00081D99"/>
    <w:rsid w:val="00083E29"/>
    <w:rsid w:val="00086036"/>
    <w:rsid w:val="00092C28"/>
    <w:rsid w:val="000A1219"/>
    <w:rsid w:val="000A5FA1"/>
    <w:rsid w:val="000A7C64"/>
    <w:rsid w:val="000B0C51"/>
    <w:rsid w:val="000B23D4"/>
    <w:rsid w:val="000C2996"/>
    <w:rsid w:val="000C5CDB"/>
    <w:rsid w:val="000D2ED8"/>
    <w:rsid w:val="000D642C"/>
    <w:rsid w:val="000D7A28"/>
    <w:rsid w:val="000E4A03"/>
    <w:rsid w:val="000E6186"/>
    <w:rsid w:val="000F0E0D"/>
    <w:rsid w:val="000F1048"/>
    <w:rsid w:val="000F4466"/>
    <w:rsid w:val="000F7584"/>
    <w:rsid w:val="00115895"/>
    <w:rsid w:val="00135402"/>
    <w:rsid w:val="001418A4"/>
    <w:rsid w:val="0014425E"/>
    <w:rsid w:val="00147658"/>
    <w:rsid w:val="001538E5"/>
    <w:rsid w:val="00153B63"/>
    <w:rsid w:val="00154F4E"/>
    <w:rsid w:val="00170FA1"/>
    <w:rsid w:val="00171650"/>
    <w:rsid w:val="00182FB2"/>
    <w:rsid w:val="001900DD"/>
    <w:rsid w:val="00193B3B"/>
    <w:rsid w:val="00194A95"/>
    <w:rsid w:val="001A716F"/>
    <w:rsid w:val="001B6DE8"/>
    <w:rsid w:val="001B745E"/>
    <w:rsid w:val="001C62D2"/>
    <w:rsid w:val="001C701B"/>
    <w:rsid w:val="001C712D"/>
    <w:rsid w:val="001E56F3"/>
    <w:rsid w:val="001E7862"/>
    <w:rsid w:val="001E7E68"/>
    <w:rsid w:val="001F60BD"/>
    <w:rsid w:val="001F6A7B"/>
    <w:rsid w:val="002044AC"/>
    <w:rsid w:val="00205BFF"/>
    <w:rsid w:val="00210380"/>
    <w:rsid w:val="00234FA2"/>
    <w:rsid w:val="00234FAC"/>
    <w:rsid w:val="00242A8C"/>
    <w:rsid w:val="0025734C"/>
    <w:rsid w:val="00262AFF"/>
    <w:rsid w:val="00272A65"/>
    <w:rsid w:val="0028038B"/>
    <w:rsid w:val="002912BE"/>
    <w:rsid w:val="00294DA0"/>
    <w:rsid w:val="002A555A"/>
    <w:rsid w:val="002B2738"/>
    <w:rsid w:val="002B38C7"/>
    <w:rsid w:val="002B7725"/>
    <w:rsid w:val="002C0118"/>
    <w:rsid w:val="002C2CE6"/>
    <w:rsid w:val="002D56C3"/>
    <w:rsid w:val="002E0952"/>
    <w:rsid w:val="002E299B"/>
    <w:rsid w:val="002E3D82"/>
    <w:rsid w:val="00300157"/>
    <w:rsid w:val="003071AD"/>
    <w:rsid w:val="00310E78"/>
    <w:rsid w:val="0031250A"/>
    <w:rsid w:val="00313604"/>
    <w:rsid w:val="0031380B"/>
    <w:rsid w:val="00340C93"/>
    <w:rsid w:val="00342BA3"/>
    <w:rsid w:val="0034644C"/>
    <w:rsid w:val="00346657"/>
    <w:rsid w:val="00354901"/>
    <w:rsid w:val="00366F3A"/>
    <w:rsid w:val="00370752"/>
    <w:rsid w:val="003745E5"/>
    <w:rsid w:val="003756F9"/>
    <w:rsid w:val="003832E6"/>
    <w:rsid w:val="00383B60"/>
    <w:rsid w:val="00391DD2"/>
    <w:rsid w:val="0039695E"/>
    <w:rsid w:val="003A54A0"/>
    <w:rsid w:val="003A741F"/>
    <w:rsid w:val="003B09CC"/>
    <w:rsid w:val="003C057E"/>
    <w:rsid w:val="003C0FEB"/>
    <w:rsid w:val="003C371E"/>
    <w:rsid w:val="003C40AC"/>
    <w:rsid w:val="003C4B25"/>
    <w:rsid w:val="003E3D3A"/>
    <w:rsid w:val="004010F5"/>
    <w:rsid w:val="00402307"/>
    <w:rsid w:val="00404555"/>
    <w:rsid w:val="00407A90"/>
    <w:rsid w:val="004113CD"/>
    <w:rsid w:val="00414132"/>
    <w:rsid w:val="0042121C"/>
    <w:rsid w:val="00424FE2"/>
    <w:rsid w:val="00426AA2"/>
    <w:rsid w:val="004329DE"/>
    <w:rsid w:val="00432E58"/>
    <w:rsid w:val="00433F4A"/>
    <w:rsid w:val="00434778"/>
    <w:rsid w:val="00435DF8"/>
    <w:rsid w:val="004562F9"/>
    <w:rsid w:val="0046561E"/>
    <w:rsid w:val="004664FC"/>
    <w:rsid w:val="004707BF"/>
    <w:rsid w:val="00473C07"/>
    <w:rsid w:val="00476802"/>
    <w:rsid w:val="00486844"/>
    <w:rsid w:val="00496409"/>
    <w:rsid w:val="004A79DB"/>
    <w:rsid w:val="004B09A5"/>
    <w:rsid w:val="004B6D5A"/>
    <w:rsid w:val="004C1C04"/>
    <w:rsid w:val="004C219A"/>
    <w:rsid w:val="004C4DD1"/>
    <w:rsid w:val="004C66D8"/>
    <w:rsid w:val="004D51D4"/>
    <w:rsid w:val="004D5553"/>
    <w:rsid w:val="004D5870"/>
    <w:rsid w:val="004D5E1E"/>
    <w:rsid w:val="004D69B4"/>
    <w:rsid w:val="004E59CE"/>
    <w:rsid w:val="00501606"/>
    <w:rsid w:val="00504CFA"/>
    <w:rsid w:val="00520211"/>
    <w:rsid w:val="00532B4A"/>
    <w:rsid w:val="00532ED8"/>
    <w:rsid w:val="005361FD"/>
    <w:rsid w:val="00546AA6"/>
    <w:rsid w:val="005529D5"/>
    <w:rsid w:val="00556E71"/>
    <w:rsid w:val="005607C6"/>
    <w:rsid w:val="00562536"/>
    <w:rsid w:val="00567B5F"/>
    <w:rsid w:val="0057125D"/>
    <w:rsid w:val="00583A42"/>
    <w:rsid w:val="00583B21"/>
    <w:rsid w:val="005856C3"/>
    <w:rsid w:val="005867A1"/>
    <w:rsid w:val="00586DDA"/>
    <w:rsid w:val="005973BF"/>
    <w:rsid w:val="005A0308"/>
    <w:rsid w:val="005A6178"/>
    <w:rsid w:val="005A696A"/>
    <w:rsid w:val="005B6B94"/>
    <w:rsid w:val="005C2EE1"/>
    <w:rsid w:val="005D0A62"/>
    <w:rsid w:val="005D7944"/>
    <w:rsid w:val="005E2705"/>
    <w:rsid w:val="005E5437"/>
    <w:rsid w:val="005E6C15"/>
    <w:rsid w:val="005F1E78"/>
    <w:rsid w:val="006011E6"/>
    <w:rsid w:val="00605ADC"/>
    <w:rsid w:val="0062565F"/>
    <w:rsid w:val="006275DF"/>
    <w:rsid w:val="00641CED"/>
    <w:rsid w:val="0064770D"/>
    <w:rsid w:val="00647BB1"/>
    <w:rsid w:val="00647EC8"/>
    <w:rsid w:val="006519D8"/>
    <w:rsid w:val="0065357D"/>
    <w:rsid w:val="00656C63"/>
    <w:rsid w:val="00675CCC"/>
    <w:rsid w:val="00681E6E"/>
    <w:rsid w:val="00686FA4"/>
    <w:rsid w:val="006C1CB0"/>
    <w:rsid w:val="006C537F"/>
    <w:rsid w:val="006D0F31"/>
    <w:rsid w:val="006D6C4D"/>
    <w:rsid w:val="006E0140"/>
    <w:rsid w:val="006E5B08"/>
    <w:rsid w:val="006F1EBB"/>
    <w:rsid w:val="006F3B9E"/>
    <w:rsid w:val="006F5E19"/>
    <w:rsid w:val="006F5E40"/>
    <w:rsid w:val="00700F46"/>
    <w:rsid w:val="007105ED"/>
    <w:rsid w:val="007361A9"/>
    <w:rsid w:val="0073661F"/>
    <w:rsid w:val="00743351"/>
    <w:rsid w:val="00760D88"/>
    <w:rsid w:val="007640EE"/>
    <w:rsid w:val="00783024"/>
    <w:rsid w:val="007A27B8"/>
    <w:rsid w:val="007B485D"/>
    <w:rsid w:val="007C7BC2"/>
    <w:rsid w:val="007E4CEB"/>
    <w:rsid w:val="00800E85"/>
    <w:rsid w:val="0080688A"/>
    <w:rsid w:val="00806A9D"/>
    <w:rsid w:val="00820F29"/>
    <w:rsid w:val="0082571C"/>
    <w:rsid w:val="00836A7A"/>
    <w:rsid w:val="0083797C"/>
    <w:rsid w:val="00840F4E"/>
    <w:rsid w:val="00841395"/>
    <w:rsid w:val="00847876"/>
    <w:rsid w:val="0085196E"/>
    <w:rsid w:val="00854121"/>
    <w:rsid w:val="008610DF"/>
    <w:rsid w:val="00870801"/>
    <w:rsid w:val="008A4E0A"/>
    <w:rsid w:val="008B0CDE"/>
    <w:rsid w:val="008C3822"/>
    <w:rsid w:val="008C56CA"/>
    <w:rsid w:val="008C6CB2"/>
    <w:rsid w:val="008D62DB"/>
    <w:rsid w:val="008D77EE"/>
    <w:rsid w:val="008E1D74"/>
    <w:rsid w:val="008E24E2"/>
    <w:rsid w:val="008E5FF8"/>
    <w:rsid w:val="008F219F"/>
    <w:rsid w:val="00901AA5"/>
    <w:rsid w:val="0092011B"/>
    <w:rsid w:val="00922265"/>
    <w:rsid w:val="00930D71"/>
    <w:rsid w:val="009330FE"/>
    <w:rsid w:val="00940949"/>
    <w:rsid w:val="00946BDA"/>
    <w:rsid w:val="009509FC"/>
    <w:rsid w:val="00953B7D"/>
    <w:rsid w:val="009572A4"/>
    <w:rsid w:val="00966A43"/>
    <w:rsid w:val="009942A0"/>
    <w:rsid w:val="009B1A97"/>
    <w:rsid w:val="009B2572"/>
    <w:rsid w:val="009B55FF"/>
    <w:rsid w:val="009C3C5E"/>
    <w:rsid w:val="009E30E1"/>
    <w:rsid w:val="009E4AFB"/>
    <w:rsid w:val="009F23A3"/>
    <w:rsid w:val="009F6C60"/>
    <w:rsid w:val="009F7A6E"/>
    <w:rsid w:val="00A03EEB"/>
    <w:rsid w:val="00A07AFD"/>
    <w:rsid w:val="00A12D19"/>
    <w:rsid w:val="00A137E7"/>
    <w:rsid w:val="00A1446C"/>
    <w:rsid w:val="00A241C7"/>
    <w:rsid w:val="00A316EC"/>
    <w:rsid w:val="00A46787"/>
    <w:rsid w:val="00A470A5"/>
    <w:rsid w:val="00A57D97"/>
    <w:rsid w:val="00A6581B"/>
    <w:rsid w:val="00A72DC1"/>
    <w:rsid w:val="00A8028D"/>
    <w:rsid w:val="00A81603"/>
    <w:rsid w:val="00A974C3"/>
    <w:rsid w:val="00AB19F8"/>
    <w:rsid w:val="00AB45C1"/>
    <w:rsid w:val="00AB49A2"/>
    <w:rsid w:val="00AC0C2D"/>
    <w:rsid w:val="00AC71D1"/>
    <w:rsid w:val="00AD00BD"/>
    <w:rsid w:val="00AD3A77"/>
    <w:rsid w:val="00B2249D"/>
    <w:rsid w:val="00B26217"/>
    <w:rsid w:val="00B3191A"/>
    <w:rsid w:val="00B32F8A"/>
    <w:rsid w:val="00B47BA0"/>
    <w:rsid w:val="00B50E75"/>
    <w:rsid w:val="00B52714"/>
    <w:rsid w:val="00B67B25"/>
    <w:rsid w:val="00B73AD7"/>
    <w:rsid w:val="00B74763"/>
    <w:rsid w:val="00B74C49"/>
    <w:rsid w:val="00B86240"/>
    <w:rsid w:val="00B86E30"/>
    <w:rsid w:val="00B87C88"/>
    <w:rsid w:val="00BA5758"/>
    <w:rsid w:val="00BB0F80"/>
    <w:rsid w:val="00BB3E2A"/>
    <w:rsid w:val="00BB7963"/>
    <w:rsid w:val="00BC1469"/>
    <w:rsid w:val="00BC71F8"/>
    <w:rsid w:val="00BE00B0"/>
    <w:rsid w:val="00BE56FB"/>
    <w:rsid w:val="00BF1302"/>
    <w:rsid w:val="00BF3657"/>
    <w:rsid w:val="00BF51F9"/>
    <w:rsid w:val="00BF6716"/>
    <w:rsid w:val="00C0371F"/>
    <w:rsid w:val="00C043EC"/>
    <w:rsid w:val="00C05386"/>
    <w:rsid w:val="00C13EF1"/>
    <w:rsid w:val="00C20E65"/>
    <w:rsid w:val="00C21B60"/>
    <w:rsid w:val="00C2743E"/>
    <w:rsid w:val="00C31C81"/>
    <w:rsid w:val="00C31F80"/>
    <w:rsid w:val="00C37A6A"/>
    <w:rsid w:val="00C4051E"/>
    <w:rsid w:val="00C51D08"/>
    <w:rsid w:val="00C52C84"/>
    <w:rsid w:val="00C84A73"/>
    <w:rsid w:val="00CA4525"/>
    <w:rsid w:val="00CB4550"/>
    <w:rsid w:val="00CD4267"/>
    <w:rsid w:val="00CF2FA4"/>
    <w:rsid w:val="00CF49B2"/>
    <w:rsid w:val="00D04540"/>
    <w:rsid w:val="00D10A48"/>
    <w:rsid w:val="00D1576B"/>
    <w:rsid w:val="00D16002"/>
    <w:rsid w:val="00D22447"/>
    <w:rsid w:val="00D25C8B"/>
    <w:rsid w:val="00D275E9"/>
    <w:rsid w:val="00D33605"/>
    <w:rsid w:val="00D35D2D"/>
    <w:rsid w:val="00D36B21"/>
    <w:rsid w:val="00D45130"/>
    <w:rsid w:val="00D47745"/>
    <w:rsid w:val="00D57D4A"/>
    <w:rsid w:val="00D627CA"/>
    <w:rsid w:val="00D667EF"/>
    <w:rsid w:val="00D7261D"/>
    <w:rsid w:val="00D74692"/>
    <w:rsid w:val="00D7602A"/>
    <w:rsid w:val="00D841A8"/>
    <w:rsid w:val="00D93375"/>
    <w:rsid w:val="00DA42F9"/>
    <w:rsid w:val="00DA7802"/>
    <w:rsid w:val="00DC4D13"/>
    <w:rsid w:val="00DC64D7"/>
    <w:rsid w:val="00DE1F70"/>
    <w:rsid w:val="00DE4729"/>
    <w:rsid w:val="00DF04FD"/>
    <w:rsid w:val="00DF0BC8"/>
    <w:rsid w:val="00DF533B"/>
    <w:rsid w:val="00E001BB"/>
    <w:rsid w:val="00E051E9"/>
    <w:rsid w:val="00E05D67"/>
    <w:rsid w:val="00E060C5"/>
    <w:rsid w:val="00E0779B"/>
    <w:rsid w:val="00E17533"/>
    <w:rsid w:val="00E2014C"/>
    <w:rsid w:val="00E23413"/>
    <w:rsid w:val="00E31BF0"/>
    <w:rsid w:val="00E36193"/>
    <w:rsid w:val="00E7230C"/>
    <w:rsid w:val="00E74856"/>
    <w:rsid w:val="00E81D71"/>
    <w:rsid w:val="00EA2A0F"/>
    <w:rsid w:val="00EB76E1"/>
    <w:rsid w:val="00EC5BB2"/>
    <w:rsid w:val="00ED00EB"/>
    <w:rsid w:val="00EE26FA"/>
    <w:rsid w:val="00F00105"/>
    <w:rsid w:val="00F054E3"/>
    <w:rsid w:val="00F07539"/>
    <w:rsid w:val="00F15B23"/>
    <w:rsid w:val="00F2143D"/>
    <w:rsid w:val="00F22D60"/>
    <w:rsid w:val="00F23803"/>
    <w:rsid w:val="00F23837"/>
    <w:rsid w:val="00F328C9"/>
    <w:rsid w:val="00F334BA"/>
    <w:rsid w:val="00F353E2"/>
    <w:rsid w:val="00F42911"/>
    <w:rsid w:val="00F43547"/>
    <w:rsid w:val="00F5550A"/>
    <w:rsid w:val="00F70DD1"/>
    <w:rsid w:val="00F70F52"/>
    <w:rsid w:val="00F72461"/>
    <w:rsid w:val="00F7307C"/>
    <w:rsid w:val="00F7354A"/>
    <w:rsid w:val="00F84999"/>
    <w:rsid w:val="00FA745F"/>
    <w:rsid w:val="00FB1850"/>
    <w:rsid w:val="00FC2F5B"/>
    <w:rsid w:val="00FC3FE4"/>
    <w:rsid w:val="00FD47E0"/>
    <w:rsid w:val="00FD5038"/>
    <w:rsid w:val="00FD74CF"/>
    <w:rsid w:val="00FF0061"/>
    <w:rsid w:val="00FF4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customStyle="1" w:styleId="4">
    <w:name w:val="占位符文本1"/>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75710-0E3B-4789-8D88-9428135F8CF5}">
  <ds:schemaRefs/>
</ds:datastoreItem>
</file>

<file path=docProps/app.xml><?xml version="1.0" encoding="utf-8"?>
<Properties xmlns="http://schemas.openxmlformats.org/officeDocument/2006/extended-properties" xmlns:vt="http://schemas.openxmlformats.org/officeDocument/2006/docPropsVTypes">
  <Template>Normal.dotm</Template>
  <Company>zjmy</Company>
  <Pages>58</Pages>
  <Words>13969</Words>
  <Characters>14695</Characters>
  <Lines>236</Lines>
  <Paragraphs>66</Paragraphs>
  <TotalTime>55</TotalTime>
  <ScaleCrop>false</ScaleCrop>
  <LinksUpToDate>false</LinksUpToDate>
  <CharactersWithSpaces>15157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2022-10-10T07:23:00Z</dcterms:created>
  <dc:creator>yun</dc:creator>
  <cp:lastModifiedBy>Karen金凯伦</cp:lastModifiedBy>
  <cp:lastPrinted>2022-09-19T11:39:00Z</cp:lastPrinted>
  <dcterms:modified xsi:type="dcterms:W3CDTF">2025-07-03T04:56:52Z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F69A6108C6E24325A8759938341F3594_13</vt:lpwstr>
  </property>
  <property fmtid="{D5CDD505-2E9C-101B-9397-08002B2CF9AE}" pid="4" name="KSOTemplateDocerSaveRecord">
    <vt:lpwstr>eyJoZGlkIjoiM2ZiYTQ2ZTAzOTE3ZGU0YTZiNzgyNzMxZWViYzQ4ZjciLCJ1c2VySWQiOiIzMzgwMDY2MTcifQ==</vt:lpwstr>
  </property>
</Properties>
</file>