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63EFE">
      <w:pPr>
        <w:spacing w:line="360" w:lineRule="auto"/>
        <w:jc w:val="center"/>
        <w:rPr>
          <w:rFonts w:hint="eastAsia" w:ascii="仿宋" w:hAnsi="仿宋" w:eastAsia="仿宋" w:cs="仿宋"/>
          <w:b/>
          <w:color w:val="FF0000"/>
          <w:sz w:val="24"/>
          <w:highlight w:val="none"/>
        </w:rPr>
      </w:pPr>
    </w:p>
    <w:p w14:paraId="7149E57E">
      <w:pPr>
        <w:adjustRightInd/>
        <w:spacing w:line="360" w:lineRule="auto"/>
        <w:rPr>
          <w:rFonts w:ascii="仿宋" w:hAnsi="仿宋" w:eastAsia="仿宋" w:cs="仿宋"/>
          <w:b/>
          <w:sz w:val="44"/>
          <w:szCs w:val="44"/>
          <w:highlight w:val="none"/>
        </w:rPr>
      </w:pPr>
    </w:p>
    <w:p w14:paraId="2228E0A4">
      <w:pPr>
        <w:adjustRightInd/>
        <w:spacing w:line="360" w:lineRule="auto"/>
        <w:jc w:val="center"/>
        <w:rPr>
          <w:rFonts w:hint="eastAsia" w:ascii="仿宋" w:hAnsi="仿宋" w:eastAsia="仿宋" w:cs="仿宋"/>
          <w:b/>
          <w:sz w:val="60"/>
          <w:szCs w:val="60"/>
          <w:highlight w:val="none"/>
          <w:lang w:eastAsia="zh-CN"/>
        </w:rPr>
      </w:pPr>
      <w:r>
        <w:rPr>
          <w:rFonts w:hint="eastAsia" w:ascii="仿宋" w:hAnsi="仿宋" w:eastAsia="仿宋" w:cs="仿宋"/>
          <w:b/>
          <w:sz w:val="60"/>
          <w:szCs w:val="60"/>
          <w:highlight w:val="none"/>
          <w:lang w:eastAsia="zh-CN"/>
        </w:rPr>
        <w:t>萧山区通惠初级中学2025年暑期疗休养服务采购</w:t>
      </w:r>
    </w:p>
    <w:p w14:paraId="18A1699F">
      <w:pPr>
        <w:pStyle w:val="10"/>
        <w:rPr>
          <w:rFonts w:ascii="仿宋" w:hAnsi="仿宋" w:eastAsia="仿宋" w:cs="仿宋"/>
          <w:color w:val="auto"/>
          <w:highlight w:val="none"/>
        </w:rPr>
      </w:pPr>
    </w:p>
    <w:p w14:paraId="48D513E2">
      <w:pPr>
        <w:adjustRightInd/>
        <w:spacing w:line="360" w:lineRule="auto"/>
        <w:jc w:val="center"/>
        <w:rPr>
          <w:rFonts w:ascii="仿宋" w:hAnsi="仿宋" w:eastAsia="仿宋" w:cs="仿宋"/>
          <w:b/>
          <w:sz w:val="84"/>
          <w:szCs w:val="84"/>
          <w:highlight w:val="none"/>
        </w:rPr>
      </w:pPr>
      <w:r>
        <w:rPr>
          <w:rFonts w:hint="eastAsia" w:ascii="仿宋" w:hAnsi="仿宋" w:eastAsia="仿宋" w:cs="仿宋"/>
          <w:b/>
          <w:sz w:val="84"/>
          <w:szCs w:val="84"/>
          <w:highlight w:val="none"/>
        </w:rPr>
        <w:t>交易文件</w:t>
      </w:r>
    </w:p>
    <w:p w14:paraId="7B8A7FE8">
      <w:pPr>
        <w:adjustRightInd/>
        <w:spacing w:line="360" w:lineRule="auto"/>
        <w:jc w:val="center"/>
        <w:rPr>
          <w:rFonts w:ascii="仿宋" w:hAnsi="仿宋" w:eastAsia="仿宋" w:cs="仿宋"/>
          <w:b/>
          <w:sz w:val="56"/>
          <w:szCs w:val="72"/>
          <w:highlight w:val="none"/>
        </w:rPr>
      </w:pPr>
      <w:r>
        <w:rPr>
          <w:rFonts w:hint="eastAsia" w:ascii="仿宋" w:hAnsi="仿宋" w:eastAsia="仿宋" w:cs="仿宋"/>
          <w:b/>
          <w:sz w:val="56"/>
          <w:szCs w:val="72"/>
          <w:highlight w:val="none"/>
        </w:rPr>
        <w:t>（电子交易标）</w:t>
      </w:r>
    </w:p>
    <w:p w14:paraId="3466ABDF">
      <w:pPr>
        <w:snapToGrid w:val="0"/>
        <w:spacing w:line="360" w:lineRule="auto"/>
        <w:ind w:firstLine="3012" w:firstLineChars="1000"/>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 xml:space="preserve">编号: </w:t>
      </w:r>
      <w:r>
        <w:rPr>
          <w:rFonts w:hint="eastAsia" w:ascii="仿宋" w:hAnsi="仿宋" w:eastAsia="仿宋" w:cs="仿宋"/>
          <w:b/>
          <w:bCs/>
          <w:sz w:val="30"/>
          <w:szCs w:val="30"/>
          <w:highlight w:val="none"/>
          <w:lang w:val="en-US" w:eastAsia="zh-CN"/>
        </w:rPr>
        <w:t>THCZLXY-2025-0702</w:t>
      </w:r>
    </w:p>
    <w:p w14:paraId="2E663EBB">
      <w:pPr>
        <w:adjustRightInd/>
        <w:spacing w:line="360" w:lineRule="auto"/>
        <w:jc w:val="center"/>
        <w:rPr>
          <w:rFonts w:ascii="仿宋" w:hAnsi="仿宋" w:eastAsia="仿宋" w:cs="仿宋"/>
          <w:b/>
          <w:sz w:val="56"/>
          <w:szCs w:val="72"/>
          <w:highlight w:val="none"/>
        </w:rPr>
      </w:pPr>
    </w:p>
    <w:p w14:paraId="50327E2D">
      <w:pPr>
        <w:spacing w:line="360" w:lineRule="auto"/>
        <w:jc w:val="center"/>
        <w:rPr>
          <w:rFonts w:ascii="仿宋" w:hAnsi="仿宋" w:eastAsia="仿宋" w:cs="仿宋"/>
          <w:b/>
          <w:sz w:val="24"/>
          <w:highlight w:val="none"/>
        </w:rPr>
      </w:pPr>
    </w:p>
    <w:p w14:paraId="36B2FF73">
      <w:pPr>
        <w:pStyle w:val="8"/>
        <w:numPr>
          <w:ilvl w:val="2"/>
          <w:numId w:val="0"/>
        </w:numPr>
        <w:rPr>
          <w:rFonts w:ascii="仿宋" w:hAnsi="仿宋" w:eastAsia="仿宋" w:cs="仿宋"/>
          <w:highlight w:val="none"/>
        </w:rPr>
      </w:pPr>
    </w:p>
    <w:p w14:paraId="7B3F07BE">
      <w:pPr>
        <w:pStyle w:val="8"/>
        <w:numPr>
          <w:ilvl w:val="2"/>
          <w:numId w:val="0"/>
        </w:numPr>
        <w:rPr>
          <w:rFonts w:ascii="仿宋" w:hAnsi="仿宋" w:eastAsia="仿宋" w:cs="仿宋"/>
          <w:highlight w:val="none"/>
        </w:rPr>
      </w:pPr>
    </w:p>
    <w:p w14:paraId="2D9E6C00">
      <w:pPr>
        <w:rPr>
          <w:rFonts w:ascii="仿宋" w:hAnsi="仿宋" w:eastAsia="仿宋" w:cs="仿宋"/>
          <w:highlight w:val="none"/>
        </w:rPr>
      </w:pPr>
    </w:p>
    <w:p w14:paraId="1F7BA820">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萧山区通惠初级中学</w:t>
      </w:r>
    </w:p>
    <w:p w14:paraId="6BBDF963">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浙江经济建设投资咨询中心有限公司</w:t>
      </w:r>
    </w:p>
    <w:p w14:paraId="2EBDDFAD">
      <w:pPr>
        <w:snapToGrid w:val="0"/>
        <w:spacing w:line="360" w:lineRule="auto"/>
        <w:jc w:val="center"/>
        <w:rPr>
          <w:rFonts w:ascii="仿宋" w:hAnsi="仿宋" w:eastAsia="仿宋" w:cs="仿宋"/>
          <w:sz w:val="24"/>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五</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月</w:t>
      </w:r>
      <w:r>
        <w:rPr>
          <w:rFonts w:hint="eastAsia" w:ascii="仿宋" w:hAnsi="仿宋" w:eastAsia="仿宋" w:cs="仿宋"/>
          <w:sz w:val="24"/>
          <w:highlight w:val="none"/>
        </w:rPr>
        <w:br w:type="page"/>
      </w:r>
      <w:bookmarkStart w:id="0" w:name="_Hlt67893495"/>
      <w:bookmarkEnd w:id="0"/>
    </w:p>
    <w:p w14:paraId="3B280E4E">
      <w:pPr>
        <w:spacing w:line="360" w:lineRule="auto"/>
        <w:jc w:val="center"/>
        <w:rPr>
          <w:rFonts w:ascii="仿宋" w:hAnsi="仿宋" w:eastAsia="仿宋" w:cs="仿宋"/>
          <w:sz w:val="24"/>
          <w:highlight w:val="none"/>
        </w:rPr>
      </w:pPr>
    </w:p>
    <w:p w14:paraId="765D9EDA">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0C55198D">
      <w:pPr>
        <w:spacing w:line="360" w:lineRule="auto"/>
        <w:rPr>
          <w:rFonts w:ascii="仿宋" w:hAnsi="仿宋" w:eastAsia="仿宋" w:cs="仿宋"/>
          <w:sz w:val="32"/>
          <w:szCs w:val="32"/>
          <w:highlight w:val="none"/>
        </w:rPr>
      </w:pPr>
    </w:p>
    <w:p w14:paraId="41A666C3">
      <w:pPr>
        <w:spacing w:line="360" w:lineRule="auto"/>
        <w:rPr>
          <w:rFonts w:ascii="仿宋" w:hAnsi="仿宋" w:eastAsia="仿宋" w:cs="仿宋"/>
          <w:sz w:val="32"/>
          <w:szCs w:val="32"/>
          <w:highlight w:val="none"/>
        </w:rPr>
      </w:pPr>
    </w:p>
    <w:p w14:paraId="08D141F4">
      <w:pPr>
        <w:spacing w:line="360" w:lineRule="auto"/>
        <w:ind w:firstLine="1280" w:firstLineChars="400"/>
        <w:rPr>
          <w:rFonts w:ascii="仿宋" w:hAnsi="仿宋" w:eastAsia="仿宋" w:cs="仿宋"/>
          <w:sz w:val="32"/>
          <w:szCs w:val="32"/>
          <w:highlight w:val="none"/>
        </w:rPr>
      </w:pPr>
      <w:bookmarkStart w:id="1" w:name="_Hlt91233176"/>
      <w:bookmarkEnd w:id="1"/>
      <w:bookmarkStart w:id="2" w:name="_Toc91899869"/>
      <w:r>
        <w:rPr>
          <w:rFonts w:hint="eastAsia" w:ascii="仿宋" w:hAnsi="仿宋" w:eastAsia="仿宋" w:cs="仿宋"/>
          <w:sz w:val="32"/>
          <w:szCs w:val="32"/>
          <w:highlight w:val="none"/>
        </w:rPr>
        <w:t>第一部分      交易公告</w:t>
      </w:r>
    </w:p>
    <w:p w14:paraId="4047AF52">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供应商须知</w:t>
      </w:r>
    </w:p>
    <w:p w14:paraId="112EF4FA">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7D67ADBB">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评审办法</w:t>
      </w:r>
    </w:p>
    <w:p w14:paraId="37664663">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4ADA7361">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6E88314F">
      <w:pPr>
        <w:spacing w:line="360" w:lineRule="auto"/>
        <w:ind w:firstLine="549" w:firstLineChars="229"/>
        <w:rPr>
          <w:rFonts w:ascii="仿宋" w:hAnsi="仿宋" w:eastAsia="仿宋" w:cs="仿宋"/>
          <w:sz w:val="24"/>
          <w:highlight w:val="none"/>
        </w:rPr>
      </w:pPr>
    </w:p>
    <w:p w14:paraId="14856B2D">
      <w:pPr>
        <w:spacing w:line="360" w:lineRule="auto"/>
        <w:ind w:firstLine="549" w:firstLineChars="229"/>
        <w:rPr>
          <w:rFonts w:ascii="仿宋" w:hAnsi="仿宋" w:eastAsia="仿宋" w:cs="仿宋"/>
          <w:sz w:val="24"/>
          <w:highlight w:val="none"/>
        </w:rPr>
      </w:pPr>
    </w:p>
    <w:p w14:paraId="1235C953">
      <w:pPr>
        <w:spacing w:line="360" w:lineRule="auto"/>
        <w:ind w:firstLine="549" w:firstLineChars="229"/>
        <w:rPr>
          <w:rFonts w:ascii="仿宋" w:hAnsi="仿宋" w:eastAsia="仿宋" w:cs="仿宋"/>
          <w:sz w:val="24"/>
          <w:highlight w:val="none"/>
        </w:rPr>
      </w:pPr>
    </w:p>
    <w:p w14:paraId="1353A345">
      <w:pPr>
        <w:spacing w:line="360" w:lineRule="auto"/>
        <w:ind w:firstLine="549" w:firstLineChars="229"/>
        <w:rPr>
          <w:rFonts w:ascii="仿宋" w:hAnsi="仿宋" w:eastAsia="仿宋" w:cs="仿宋"/>
          <w:sz w:val="24"/>
          <w:highlight w:val="none"/>
        </w:rPr>
      </w:pPr>
    </w:p>
    <w:p w14:paraId="2E1CB4C6">
      <w:pPr>
        <w:spacing w:line="360" w:lineRule="auto"/>
        <w:ind w:firstLine="549" w:firstLineChars="229"/>
        <w:rPr>
          <w:rFonts w:ascii="仿宋" w:hAnsi="仿宋" w:eastAsia="仿宋" w:cs="仿宋"/>
          <w:sz w:val="24"/>
          <w:highlight w:val="none"/>
        </w:rPr>
      </w:pPr>
    </w:p>
    <w:p w14:paraId="0D28320D">
      <w:pPr>
        <w:spacing w:line="360" w:lineRule="auto"/>
        <w:ind w:firstLine="549" w:firstLineChars="229"/>
        <w:rPr>
          <w:rFonts w:ascii="仿宋" w:hAnsi="仿宋" w:eastAsia="仿宋" w:cs="仿宋"/>
          <w:sz w:val="24"/>
          <w:highlight w:val="none"/>
        </w:rPr>
      </w:pPr>
    </w:p>
    <w:p w14:paraId="7C6D381C">
      <w:pPr>
        <w:spacing w:line="360" w:lineRule="auto"/>
        <w:ind w:firstLine="549" w:firstLineChars="229"/>
        <w:rPr>
          <w:rFonts w:ascii="仿宋" w:hAnsi="仿宋" w:eastAsia="仿宋" w:cs="仿宋"/>
          <w:sz w:val="24"/>
          <w:highlight w:val="none"/>
        </w:rPr>
      </w:pPr>
    </w:p>
    <w:p w14:paraId="7C1EA4A9">
      <w:pPr>
        <w:spacing w:line="360" w:lineRule="auto"/>
        <w:ind w:firstLine="549" w:firstLineChars="229"/>
        <w:rPr>
          <w:rFonts w:ascii="仿宋" w:hAnsi="仿宋" w:eastAsia="仿宋" w:cs="仿宋"/>
          <w:sz w:val="24"/>
          <w:highlight w:val="none"/>
        </w:rPr>
      </w:pPr>
    </w:p>
    <w:p w14:paraId="11D9F84D">
      <w:pPr>
        <w:spacing w:line="360" w:lineRule="auto"/>
        <w:ind w:firstLine="549" w:firstLineChars="229"/>
        <w:rPr>
          <w:rFonts w:ascii="仿宋" w:hAnsi="仿宋" w:eastAsia="仿宋" w:cs="仿宋"/>
          <w:sz w:val="24"/>
          <w:highlight w:val="none"/>
        </w:rPr>
      </w:pPr>
    </w:p>
    <w:p w14:paraId="12893D99">
      <w:pPr>
        <w:spacing w:line="360" w:lineRule="auto"/>
        <w:ind w:firstLine="549" w:firstLineChars="229"/>
        <w:rPr>
          <w:rFonts w:ascii="仿宋" w:hAnsi="仿宋" w:eastAsia="仿宋" w:cs="仿宋"/>
          <w:sz w:val="24"/>
          <w:highlight w:val="none"/>
        </w:rPr>
      </w:pPr>
    </w:p>
    <w:p w14:paraId="01DF7F76">
      <w:pPr>
        <w:spacing w:line="360" w:lineRule="auto"/>
        <w:ind w:firstLine="549" w:firstLineChars="229"/>
        <w:rPr>
          <w:rFonts w:ascii="仿宋" w:hAnsi="仿宋" w:eastAsia="仿宋" w:cs="仿宋"/>
          <w:sz w:val="24"/>
          <w:highlight w:val="none"/>
        </w:rPr>
      </w:pPr>
    </w:p>
    <w:p w14:paraId="4359771E">
      <w:pPr>
        <w:spacing w:line="360" w:lineRule="auto"/>
        <w:ind w:firstLine="549" w:firstLineChars="229"/>
        <w:rPr>
          <w:rFonts w:ascii="仿宋" w:hAnsi="仿宋" w:eastAsia="仿宋" w:cs="仿宋"/>
          <w:sz w:val="24"/>
          <w:highlight w:val="none"/>
        </w:rPr>
      </w:pPr>
    </w:p>
    <w:p w14:paraId="341C2E3C">
      <w:pPr>
        <w:spacing w:line="360" w:lineRule="auto"/>
        <w:ind w:firstLine="549" w:firstLineChars="229"/>
        <w:rPr>
          <w:rFonts w:ascii="仿宋" w:hAnsi="仿宋" w:eastAsia="仿宋" w:cs="仿宋"/>
          <w:sz w:val="24"/>
          <w:highlight w:val="none"/>
        </w:rPr>
      </w:pPr>
    </w:p>
    <w:p w14:paraId="103017D5">
      <w:pPr>
        <w:spacing w:line="360" w:lineRule="auto"/>
        <w:rPr>
          <w:rFonts w:ascii="仿宋" w:hAnsi="仿宋" w:eastAsia="仿宋" w:cs="仿宋"/>
          <w:sz w:val="24"/>
          <w:highlight w:val="none"/>
        </w:rPr>
      </w:pPr>
    </w:p>
    <w:p w14:paraId="4FAFEEB1">
      <w:pPr>
        <w:pStyle w:val="6"/>
        <w:rPr>
          <w:rFonts w:cs="仿宋"/>
          <w:color w:val="auto"/>
          <w:highlight w:val="none"/>
        </w:rPr>
      </w:pPr>
      <w:bookmarkStart w:id="3" w:name="第一部分"/>
      <w:r>
        <w:rPr>
          <w:rFonts w:hint="eastAsia" w:cs="仿宋"/>
          <w:color w:val="auto"/>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
          <w:color w:val="auto"/>
          <w:highlight w:val="none"/>
        </w:rPr>
        <w:t>第一部分 交易公告</w:t>
      </w:r>
    </w:p>
    <w:p w14:paraId="71D67D5A">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highlight w:val="none"/>
        </w:rPr>
      </w:pPr>
      <w:r>
        <w:rPr>
          <w:rFonts w:hint="eastAsia" w:ascii="仿宋" w:hAnsi="仿宋" w:eastAsia="仿宋" w:cs="仿宋"/>
          <w:sz w:val="24"/>
          <w:szCs w:val="28"/>
          <w:highlight w:val="none"/>
        </w:rPr>
        <w:t>项目概况：</w:t>
      </w:r>
    </w:p>
    <w:p w14:paraId="52A5F0AE">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highlight w:val="none"/>
        </w:rPr>
      </w:pPr>
      <w:r>
        <w:rPr>
          <w:rFonts w:hint="eastAsia" w:ascii="仿宋" w:hAnsi="仿宋" w:eastAsia="仿宋" w:cs="仿宋"/>
          <w:sz w:val="24"/>
          <w:highlight w:val="none"/>
          <w:lang w:eastAsia="zh-CN"/>
        </w:rPr>
        <w:t>萧山区通惠初级中学2025年暑期疗休养服务采购</w:t>
      </w:r>
      <w:r>
        <w:rPr>
          <w:rFonts w:hint="eastAsia" w:ascii="仿宋" w:hAnsi="仿宋" w:eastAsia="仿宋" w:cs="仿宋"/>
          <w:sz w:val="24"/>
          <w:highlight w:val="none"/>
        </w:rPr>
        <w:t>的潜在供应商应在乐采云平台（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1"/>
          <w:rFonts w:hint="eastAsia" w:ascii="仿宋" w:hAnsi="仿宋" w:eastAsia="仿宋" w:cs="仿宋"/>
          <w:color w:val="auto"/>
          <w:sz w:val="24"/>
          <w:szCs w:val="24"/>
          <w:highlight w:val="none"/>
        </w:rPr>
        <w:t>https∶//xsnbsc.lecaiyun.com）获取（下载）交易文件，并于</w:t>
      </w:r>
      <w:r>
        <w:rPr>
          <w:rStyle w:val="71"/>
          <w:rFonts w:hint="eastAsia" w:ascii="仿宋" w:hAnsi="仿宋" w:eastAsia="仿宋" w:cs="仿宋"/>
          <w:color w:val="auto"/>
          <w:sz w:val="24"/>
          <w:szCs w:val="24"/>
          <w:highlight w:val="none"/>
          <w:u w:val="single"/>
          <w:lang w:eastAsia="zh-CN"/>
        </w:rPr>
        <w:t>202</w:t>
      </w:r>
      <w:r>
        <w:rPr>
          <w:rStyle w:val="71"/>
          <w:rFonts w:hint="eastAsia" w:ascii="仿宋" w:hAnsi="仿宋" w:eastAsia="仿宋" w:cs="仿宋"/>
          <w:color w:val="auto"/>
          <w:sz w:val="24"/>
          <w:szCs w:val="24"/>
          <w:highlight w:val="none"/>
          <w:u w:val="single"/>
          <w:lang w:val="en-US" w:eastAsia="zh-CN"/>
        </w:rPr>
        <w:t>5</w:t>
      </w:r>
      <w:r>
        <w:rPr>
          <w:rStyle w:val="71"/>
          <w:rFonts w:hint="eastAsia" w:ascii="仿宋" w:hAnsi="仿宋" w:eastAsia="仿宋" w:cs="仿宋"/>
          <w:color w:val="auto"/>
          <w:sz w:val="24"/>
          <w:szCs w:val="24"/>
          <w:highlight w:val="none"/>
        </w:rPr>
        <w:t>年</w:t>
      </w:r>
      <w:r>
        <w:rPr>
          <w:rStyle w:val="71"/>
          <w:rFonts w:hint="eastAsia" w:ascii="仿宋" w:hAnsi="仿宋" w:eastAsia="仿宋" w:cs="仿宋"/>
          <w:color w:val="auto"/>
          <w:sz w:val="24"/>
          <w:szCs w:val="24"/>
          <w:highlight w:val="none"/>
        </w:rPr>
        <w:fldChar w:fldCharType="end"/>
      </w:r>
      <w:r>
        <w:rPr>
          <w:rStyle w:val="71"/>
          <w:rFonts w:hint="eastAsia" w:ascii="仿宋" w:hAnsi="仿宋" w:eastAsia="仿宋" w:cs="仿宋"/>
          <w:color w:val="auto"/>
          <w:sz w:val="24"/>
          <w:szCs w:val="24"/>
          <w:highlight w:val="none"/>
          <w:lang w:val="en-US" w:eastAsia="zh-CN"/>
        </w:rPr>
        <w:t>07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分00 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2E0609C7">
      <w:pPr>
        <w:pStyle w:val="7"/>
        <w:numPr>
          <w:ilvl w:val="0"/>
          <w:numId w:val="0"/>
        </w:numPr>
        <w:rPr>
          <w:rFonts w:ascii="仿宋" w:eastAsia="仿宋" w:cs="仿宋"/>
          <w:sz w:val="24"/>
          <w:szCs w:val="28"/>
          <w:highlight w:val="none"/>
        </w:rPr>
      </w:pPr>
      <w:bookmarkStart w:id="11" w:name="_Toc28359002"/>
      <w:bookmarkStart w:id="12" w:name="_Toc35393621"/>
      <w:bookmarkStart w:id="13" w:name="_Toc28359079"/>
      <w:bookmarkStart w:id="14" w:name="_Toc35393790"/>
      <w:bookmarkStart w:id="15" w:name="_Hlk24379207"/>
      <w:r>
        <w:rPr>
          <w:rFonts w:hint="eastAsia" w:ascii="仿宋" w:eastAsia="仿宋" w:cs="仿宋"/>
          <w:sz w:val="24"/>
          <w:szCs w:val="28"/>
          <w:highlight w:val="none"/>
        </w:rPr>
        <w:t>一、项目基本情况</w:t>
      </w:r>
      <w:bookmarkEnd w:id="11"/>
      <w:bookmarkEnd w:id="12"/>
      <w:bookmarkEnd w:id="13"/>
      <w:bookmarkEnd w:id="14"/>
    </w:p>
    <w:p w14:paraId="75B77A0C">
      <w:pPr>
        <w:spacing w:line="360" w:lineRule="auto"/>
        <w:ind w:left="420" w:leftChars="200"/>
        <w:jc w:val="left"/>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rPr>
        <w:t>项目编号：THCZLXY-2025-0</w:t>
      </w:r>
      <w:r>
        <w:rPr>
          <w:rFonts w:hint="eastAsia" w:ascii="仿宋" w:hAnsi="仿宋" w:eastAsia="仿宋" w:cs="仿宋"/>
          <w:sz w:val="24"/>
          <w:szCs w:val="28"/>
          <w:highlight w:val="none"/>
          <w:lang w:val="en-US" w:eastAsia="zh-CN"/>
        </w:rPr>
        <w:t>702</w:t>
      </w:r>
    </w:p>
    <w:p w14:paraId="6E9D3F5A">
      <w:pPr>
        <w:spacing w:line="360" w:lineRule="auto"/>
        <w:ind w:left="1620" w:leftChars="200" w:hanging="1200" w:hangingChars="5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lang w:eastAsia="zh-CN"/>
        </w:rPr>
        <w:t>萧山区通惠初级中学2025年暑期疗休养服务采购</w:t>
      </w:r>
    </w:p>
    <w:p w14:paraId="18230AA6">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val="en-US" w:eastAsia="zh-CN"/>
        </w:rPr>
        <w:t xml:space="preserve">29.4 </w:t>
      </w:r>
      <w:r>
        <w:rPr>
          <w:rFonts w:hint="eastAsia" w:ascii="仿宋" w:hAnsi="仿宋" w:eastAsia="仿宋" w:cs="仿宋"/>
          <w:sz w:val="24"/>
          <w:szCs w:val="28"/>
          <w:highlight w:val="none"/>
        </w:rPr>
        <w:t>万元</w:t>
      </w:r>
    </w:p>
    <w:p w14:paraId="35C006AB">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最高限价：</w:t>
      </w:r>
      <w:r>
        <w:rPr>
          <w:rFonts w:hint="eastAsia" w:ascii="仿宋" w:hAnsi="仿宋" w:eastAsia="仿宋" w:cs="仿宋"/>
          <w:sz w:val="24"/>
          <w:szCs w:val="28"/>
          <w:highlight w:val="none"/>
          <w:lang w:val="en-US" w:eastAsia="zh-CN"/>
        </w:rPr>
        <w:t xml:space="preserve"> 29.4</w:t>
      </w:r>
      <w:r>
        <w:rPr>
          <w:rFonts w:hint="eastAsia" w:ascii="仿宋" w:hAnsi="仿宋" w:eastAsia="仿宋" w:cs="仿宋"/>
          <w:sz w:val="24"/>
          <w:szCs w:val="28"/>
          <w:highlight w:val="none"/>
        </w:rPr>
        <w:t>万元</w:t>
      </w:r>
    </w:p>
    <w:p w14:paraId="098A7284">
      <w:pPr>
        <w:spacing w:line="360" w:lineRule="auto"/>
        <w:ind w:left="420" w:leftChars="200"/>
        <w:jc w:val="left"/>
        <w:rPr>
          <w:rFonts w:ascii="仿宋" w:hAnsi="仿宋" w:eastAsia="仿宋" w:cs="仿宋"/>
          <w:sz w:val="24"/>
          <w:szCs w:val="28"/>
          <w:highlight w:val="none"/>
          <w:u w:val="single"/>
        </w:rPr>
      </w:pPr>
      <w:r>
        <w:rPr>
          <w:rFonts w:hint="eastAsia" w:ascii="仿宋" w:hAnsi="仿宋" w:eastAsia="仿宋" w:cs="仿宋"/>
          <w:sz w:val="24"/>
          <w:szCs w:val="28"/>
          <w:highlight w:val="none"/>
        </w:rPr>
        <w:t>采购需求：详见交易需求。</w:t>
      </w:r>
    </w:p>
    <w:p w14:paraId="25B713A4">
      <w:pPr>
        <w:spacing w:line="360" w:lineRule="auto"/>
        <w:ind w:left="420" w:left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标项名称:</w:t>
      </w:r>
      <w:r>
        <w:rPr>
          <w:rFonts w:hint="eastAsia" w:ascii="仿宋" w:hAnsi="仿宋" w:eastAsia="仿宋" w:cs="仿宋"/>
          <w:sz w:val="24"/>
          <w:highlight w:val="none"/>
          <w:lang w:eastAsia="zh-CN"/>
        </w:rPr>
        <w:t>萧山区通惠初级中学2025年暑期疗休养服务采购</w:t>
      </w:r>
    </w:p>
    <w:p w14:paraId="439BBCDC">
      <w:pPr>
        <w:pStyle w:val="1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261898A1">
      <w:pPr>
        <w:pStyle w:val="1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29.4</w:t>
      </w:r>
      <w:r>
        <w:rPr>
          <w:rFonts w:hint="eastAsia" w:ascii="仿宋" w:hAnsi="仿宋" w:eastAsia="仿宋" w:cs="仿宋"/>
          <w:color w:val="auto"/>
          <w:sz w:val="24"/>
          <w:szCs w:val="28"/>
          <w:highlight w:val="none"/>
        </w:rPr>
        <w:t>万元</w:t>
      </w:r>
    </w:p>
    <w:p w14:paraId="744F36C2">
      <w:pPr>
        <w:pStyle w:val="1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简要规格描述或项目基本概况介绍、用途：详见交易需求</w:t>
      </w:r>
    </w:p>
    <w:p w14:paraId="11DC3EFB">
      <w:pPr>
        <w:pStyle w:val="1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备注：/</w:t>
      </w:r>
    </w:p>
    <w:p w14:paraId="2E2B2D95">
      <w:pPr>
        <w:pStyle w:val="10"/>
        <w:spacing w:line="360" w:lineRule="auto"/>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rPr>
        <w:t>详见交易需求</w:t>
      </w:r>
    </w:p>
    <w:p w14:paraId="51C0456F">
      <w:pPr>
        <w:spacing w:line="360" w:lineRule="auto"/>
        <w:ind w:firstLine="480"/>
        <w:rPr>
          <w:rFonts w:ascii="仿宋" w:hAnsi="仿宋" w:eastAsia="仿宋" w:cs="仿宋"/>
          <w:b/>
          <w:sz w:val="24"/>
          <w:highlight w:val="none"/>
        </w:rPr>
      </w:pPr>
      <w:r>
        <w:rPr>
          <w:rFonts w:hint="eastAsia" w:ascii="仿宋" w:hAnsi="仿宋" w:eastAsia="仿宋" w:cs="仿宋"/>
          <w:b/>
          <w:sz w:val="24"/>
          <w:highlight w:val="none"/>
        </w:rPr>
        <w:t xml:space="preserve">本项目是否接受联合体投标：（ ）是；（√）否 </w:t>
      </w:r>
    </w:p>
    <w:p w14:paraId="7DF81465">
      <w:pPr>
        <w:pStyle w:val="7"/>
        <w:numPr>
          <w:ilvl w:val="0"/>
          <w:numId w:val="0"/>
        </w:numPr>
        <w:rPr>
          <w:rFonts w:ascii="仿宋" w:eastAsia="仿宋" w:cs="仿宋"/>
          <w:sz w:val="24"/>
          <w:szCs w:val="28"/>
          <w:highlight w:val="none"/>
        </w:rPr>
      </w:pPr>
      <w:r>
        <w:rPr>
          <w:rFonts w:hint="eastAsia" w:ascii="仿宋" w:eastAsia="仿宋" w:cs="仿宋"/>
          <w:sz w:val="24"/>
          <w:szCs w:val="28"/>
          <w:highlight w:val="none"/>
        </w:rPr>
        <w:t>二、</w:t>
      </w:r>
      <w:bookmarkStart w:id="16" w:name="_Toc28359080"/>
      <w:bookmarkStart w:id="17" w:name="_Toc28359003"/>
      <w:bookmarkStart w:id="18" w:name="_Toc35393622"/>
      <w:bookmarkStart w:id="19" w:name="_Toc35393791"/>
      <w:r>
        <w:rPr>
          <w:rFonts w:hint="eastAsia" w:ascii="仿宋" w:eastAsia="仿宋" w:cs="仿宋"/>
          <w:sz w:val="24"/>
          <w:szCs w:val="28"/>
          <w:highlight w:val="none"/>
        </w:rPr>
        <w:t>申请人的资格要求：</w:t>
      </w:r>
      <w:bookmarkEnd w:id="16"/>
      <w:bookmarkEnd w:id="17"/>
      <w:bookmarkEnd w:id="18"/>
      <w:bookmarkEnd w:id="19"/>
    </w:p>
    <w:p w14:paraId="0C8E1425">
      <w:pPr>
        <w:spacing w:line="360" w:lineRule="auto"/>
        <w:ind w:firstLine="480" w:firstLineChars="200"/>
        <w:rPr>
          <w:rFonts w:ascii="仿宋" w:hAnsi="仿宋" w:eastAsia="仿宋" w:cs="仿宋"/>
          <w:sz w:val="24"/>
          <w:highlight w:val="none"/>
        </w:rPr>
      </w:pPr>
      <w:bookmarkStart w:id="20" w:name="_Toc35393623"/>
      <w:bookmarkStart w:id="21" w:name="_Toc35393792"/>
      <w:bookmarkStart w:id="22" w:name="_Toc28359081"/>
      <w:bookmarkStart w:id="23" w:name="_Toc28359004"/>
      <w:r>
        <w:rPr>
          <w:rFonts w:hint="eastAsia" w:ascii="仿宋" w:hAnsi="仿宋" w:eastAsia="仿宋" w:cs="仿宋"/>
          <w:sz w:val="24"/>
          <w:highlight w:val="none"/>
        </w:rPr>
        <w:t>1.满足《中华人民共和国政府采购法》第二十二条规定；</w:t>
      </w:r>
    </w:p>
    <w:p w14:paraId="091EF7B5">
      <w:pPr>
        <w:pStyle w:val="7"/>
        <w:numPr>
          <w:ilvl w:val="0"/>
          <w:numId w:val="0"/>
        </w:numPr>
        <w:ind w:left="432"/>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2.单位负责人为同一人或者存在直接控股、管理关系的不同供应商，不得参加同一</w:t>
      </w:r>
    </w:p>
    <w:p w14:paraId="45FF9BA1">
      <w:pPr>
        <w:pStyle w:val="7"/>
        <w:numPr>
          <w:ilvl w:val="0"/>
          <w:numId w:val="0"/>
        </w:numPr>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合同项下的政府采购活动。</w:t>
      </w:r>
    </w:p>
    <w:p w14:paraId="414DBFD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3.未被“信用中国”（www.creditchina.gov.cn）、中国政府采购网（www.ccgp.gov.cn）列入失信被执行人、重大税收违法案件当事人名单、政府采购严重违法失信行为记录名单。</w:t>
      </w:r>
    </w:p>
    <w:p w14:paraId="3D18CF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4.落实政府采购政策需满足的资格要求：</w:t>
      </w:r>
    </w:p>
    <w:p w14:paraId="5538C793">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928616923"/>
        </w:sdtPr>
        <w:sdtEndPr>
          <w:rPr>
            <w:rFonts w:hint="eastAsia" w:ascii="仿宋" w:hAnsi="仿宋" w:eastAsia="仿宋" w:cs="仿宋"/>
            <w:sz w:val="24"/>
            <w:highlight w:val="none"/>
          </w:rPr>
        </w:sdtEndPr>
        <w:sdtContent>
          <w:r>
            <w:rPr>
              <w:rFonts w:hint="eastAsia" w:ascii="仿宋" w:hAnsi="仿宋" w:eastAsia="仿宋" w:cs="仿宋"/>
              <w:sz w:val="24"/>
              <w:highlight w:val="none"/>
            </w:rPr>
            <w:sym w:font="Wingdings" w:char="00A8"/>
          </w:r>
        </w:sdtContent>
      </w:sdt>
      <w:r>
        <w:rPr>
          <w:rFonts w:hint="eastAsia" w:ascii="仿宋" w:hAnsi="仿宋" w:eastAsia="仿宋" w:cs="仿宋"/>
          <w:sz w:val="24"/>
          <w:highlight w:val="none"/>
        </w:rPr>
        <w:t>无（注：不得限制大中型企业与小微企业组成联合体参与投标）；</w:t>
      </w:r>
    </w:p>
    <w:p w14:paraId="3236EB64">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47478574"/>
        </w:sdtPr>
        <w:sdtEndPr>
          <w:rPr>
            <w:rFonts w:hint="eastAsia" w:ascii="仿宋" w:hAnsi="仿宋" w:eastAsia="仿宋" w:cs="仿宋"/>
            <w:sz w:val="24"/>
            <w:highlight w:val="none"/>
          </w:rPr>
        </w:sdtEndPr>
        <w:sdtContent>
          <w:r>
            <w:rPr>
              <w:rFonts w:hint="eastAsia" w:ascii="仿宋" w:hAnsi="仿宋" w:eastAsia="仿宋" w:cs="仿宋"/>
              <w:sz w:val="24"/>
              <w:highlight w:val="none"/>
            </w:rPr>
            <w:sym w:font="Wingdings" w:char="00FE"/>
          </w:r>
        </w:sdtContent>
      </w:sdt>
      <w:r>
        <w:rPr>
          <w:rFonts w:hint="eastAsia" w:ascii="仿宋" w:hAnsi="仿宋" w:eastAsia="仿宋" w:cs="仿宋"/>
          <w:sz w:val="24"/>
          <w:highlight w:val="none"/>
        </w:rPr>
        <w:t>专门面向中小企业</w:t>
      </w:r>
      <w:sdt>
        <w:sdtPr>
          <w:rPr>
            <w:rFonts w:hint="eastAsia" w:ascii="仿宋" w:hAnsi="仿宋" w:eastAsia="仿宋" w:cs="仿宋"/>
            <w:sz w:val="24"/>
            <w:highlight w:val="none"/>
          </w:rPr>
          <w:id w:val="147460060"/>
          <w:showingPlcHdr/>
        </w:sdtPr>
        <w:sdtEndPr>
          <w:rPr>
            <w:rFonts w:hint="eastAsia" w:ascii="仿宋" w:hAnsi="仿宋" w:eastAsia="仿宋" w:cs="仿宋"/>
            <w:sz w:val="24"/>
            <w:highlight w:val="none"/>
          </w:rPr>
        </w:sdtEndPr>
        <w:sdtContent>
          <w:r>
            <w:rPr>
              <w:rFonts w:hint="eastAsia" w:ascii="仿宋" w:hAnsi="仿宋" w:eastAsia="仿宋" w:cs="仿宋"/>
              <w:sz w:val="24"/>
              <w:highlight w:val="none"/>
              <w:lang w:eastAsia="zh-CN"/>
            </w:rPr>
            <w:t xml:space="preserve">     </w:t>
          </w:r>
        </w:sdtContent>
      </w:sdt>
    </w:p>
    <w:p w14:paraId="75B6C397">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47456521"/>
        </w:sdtPr>
        <w:sdtEndPr>
          <w:rPr>
            <w:rFonts w:hint="eastAsia" w:ascii="仿宋" w:hAnsi="仿宋" w:eastAsia="仿宋" w:cs="仿宋"/>
            <w:sz w:val="24"/>
            <w:highlight w:val="none"/>
          </w:rPr>
        </w:sdtEndPr>
        <w:sdtContent>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sym w:font="Wingdings" w:char="00FE"/>
          </w:r>
        </w:sdtContent>
      </w:sdt>
      <w:r>
        <w:rPr>
          <w:rFonts w:hint="eastAsia" w:ascii="仿宋" w:hAnsi="仿宋" w:eastAsia="仿宋" w:cs="仿宋"/>
          <w:sz w:val="24"/>
          <w:highlight w:val="none"/>
        </w:rPr>
        <w:t>服务全部由符合政策要求的中小微企业承接，提供中小企业声明函；</w:t>
      </w:r>
      <w:sdt>
        <w:sdtPr>
          <w:rPr>
            <w:rFonts w:hint="eastAsia" w:ascii="仿宋" w:hAnsi="仿宋" w:eastAsia="仿宋" w:cs="仿宋"/>
            <w:sz w:val="24"/>
            <w:highlight w:val="none"/>
          </w:rPr>
          <w:id w:val="147477199"/>
          <w:showingPlcHdr/>
        </w:sdtPr>
        <w:sdtEndPr>
          <w:rPr>
            <w:rFonts w:hint="eastAsia" w:ascii="仿宋" w:hAnsi="仿宋" w:eastAsia="仿宋" w:cs="仿宋"/>
            <w:sz w:val="24"/>
            <w:highlight w:val="none"/>
          </w:rPr>
        </w:sdtEndPr>
        <w:sdtContent>
          <w:r>
            <w:rPr>
              <w:rFonts w:hint="eastAsia" w:ascii="仿宋" w:hAnsi="仿宋" w:eastAsia="仿宋" w:cs="仿宋"/>
              <w:sz w:val="24"/>
              <w:highlight w:val="none"/>
              <w:lang w:eastAsia="zh-CN"/>
            </w:rPr>
            <w:t xml:space="preserve">     </w:t>
          </w:r>
        </w:sdtContent>
      </w:sdt>
    </w:p>
    <w:p w14:paraId="057D8A85">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6"/>
        </w:sdtPr>
        <w:sdtEndPr>
          <w:rPr>
            <w:rFonts w:hint="eastAsia" w:ascii="仿宋" w:hAnsi="仿宋" w:eastAsia="仿宋" w:cs="仿宋"/>
            <w:sz w:val="24"/>
            <w:highlight w:val="none"/>
          </w:rPr>
        </w:sdtEndPr>
        <w:sdtContent>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6CDF5F25">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1"/>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bookmarkStart w:id="24" w:name="_Hlk101132524"/>
        </w:sdtContent>
      </w:sdt>
      <w:r>
        <w:rPr>
          <w:rFonts w:hint="eastAsia" w:ascii="仿宋" w:hAnsi="仿宋" w:eastAsia="仿宋" w:cs="仿宋"/>
          <w:sz w:val="24"/>
          <w:highlight w:val="none"/>
        </w:rPr>
        <w:t>供应商应以联合体形式参加，并按要求提供联合协议和中小企业声明函，联合协议中，中小企业合同金额应当达到  %，其中小微企业合同金额应当达到 %;如果供应商提供的所有标的均由中小企业制造、承建或承接，并相应达到了前述比例要求，无需再与其他中小企业组成联合体参加政府采购活动，按要求提供中小企业声明函；</w:t>
      </w:r>
    </w:p>
    <w:bookmarkEnd w:id="24"/>
    <w:p w14:paraId="3516B536">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sz w:val="24"/>
            <w:highlight w:val="none"/>
          </w:rPr>
          <w:id w:val="34630645"/>
        </w:sdtPr>
        <w:sdtEndPr>
          <w:rPr>
            <w:rFonts w:hint="eastAsia" w:ascii="仿宋" w:hAnsi="仿宋" w:eastAsia="仿宋" w:cs="仿宋"/>
            <w:sz w:val="24"/>
            <w:highlight w:val="none"/>
          </w:rPr>
        </w:sdtEndPr>
        <w:sdtContent>
          <w:r>
            <w:rPr>
              <w:rFonts w:hint="eastAsia" w:ascii="仿宋" w:hAnsi="仿宋" w:eastAsia="仿宋" w:cs="仿宋"/>
              <w:sz w:val="24"/>
              <w:highlight w:val="none"/>
            </w:rPr>
            <w:t>☐</w:t>
          </w:r>
        </w:sdtContent>
      </w:sdt>
      <w:r>
        <w:rPr>
          <w:rFonts w:hint="eastAsia" w:ascii="仿宋" w:hAnsi="仿宋" w:eastAsia="仿宋" w:cs="仿宋"/>
          <w:sz w:val="24"/>
          <w:highlight w:val="none"/>
        </w:rPr>
        <w:t>供应商应以合同分包形式参加，并按要求提供分包意向协议和中小企业声明函，分包意向协议中，中小企业合同金额应当达到  % ，其中小微企业合同金额应当达到 % ;如果供应商提供的所有标的均由中小企业制造、承建或承接，并相应达到了前述比例要求，无需再向中小企业分包，按要求提供中小企业声明函；</w:t>
      </w:r>
    </w:p>
    <w:p w14:paraId="2EF97F7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5.本项目的特定资格要求：具有旅行社业务经营许可（证书须在有效期内）；</w:t>
      </w:r>
    </w:p>
    <w:p w14:paraId="3E472DF2">
      <w:pPr>
        <w:pStyle w:val="7"/>
        <w:numPr>
          <w:ilvl w:val="0"/>
          <w:numId w:val="0"/>
        </w:numPr>
        <w:rPr>
          <w:rFonts w:ascii="仿宋" w:eastAsia="仿宋" w:cs="仿宋"/>
          <w:sz w:val="24"/>
          <w:szCs w:val="28"/>
          <w:highlight w:val="none"/>
        </w:rPr>
      </w:pPr>
      <w:r>
        <w:rPr>
          <w:rFonts w:hint="eastAsia" w:ascii="仿宋" w:eastAsia="仿宋" w:cs="仿宋"/>
          <w:sz w:val="24"/>
          <w:szCs w:val="28"/>
          <w:highlight w:val="none"/>
        </w:rPr>
        <w:t>三、获取交易文件</w:t>
      </w:r>
      <w:bookmarkEnd w:id="20"/>
      <w:bookmarkEnd w:id="21"/>
      <w:bookmarkEnd w:id="22"/>
      <w:bookmarkEnd w:id="23"/>
    </w:p>
    <w:p w14:paraId="3146FB71">
      <w:pPr>
        <w:spacing w:line="360" w:lineRule="auto"/>
        <w:ind w:firstLine="482" w:firstLineChars="200"/>
        <w:rPr>
          <w:rFonts w:ascii="仿宋" w:hAnsi="仿宋" w:eastAsia="仿宋" w:cs="仿宋"/>
          <w:sz w:val="24"/>
          <w:highlight w:val="none"/>
        </w:rPr>
      </w:pPr>
      <w:bookmarkStart w:id="25" w:name="_Toc28359005"/>
      <w:bookmarkStart w:id="26" w:name="_Toc28359082"/>
      <w:bookmarkStart w:id="27" w:name="_Toc35393793"/>
      <w:bookmarkStart w:id="28"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07E5579E">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乐采云平台（https∶//xsnbsc.lecaiyun.com） </w:t>
      </w:r>
    </w:p>
    <w:p w14:paraId="34C6E88D">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供应商登录乐采云平台https∶//xsnbsc.lecaiyun.com在线申请获取采购文件（进入“项目采购”应用，在获取采购文件菜单中选择项目，申请获取采购文件）。 </w:t>
      </w:r>
    </w:p>
    <w:p w14:paraId="3F62A44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0784DA85">
      <w:pPr>
        <w:pStyle w:val="7"/>
        <w:numPr>
          <w:ilvl w:val="0"/>
          <w:numId w:val="0"/>
        </w:numPr>
        <w:rPr>
          <w:rFonts w:ascii="仿宋" w:eastAsia="仿宋" w:cs="仿宋"/>
          <w:sz w:val="24"/>
          <w:szCs w:val="28"/>
          <w:highlight w:val="none"/>
        </w:rPr>
      </w:pPr>
      <w:r>
        <w:rPr>
          <w:rFonts w:hint="eastAsia" w:ascii="仿宋" w:eastAsia="仿宋" w:cs="仿宋"/>
          <w:sz w:val="24"/>
          <w:szCs w:val="28"/>
          <w:highlight w:val="none"/>
        </w:rPr>
        <w:t>四、提交投标文件</w:t>
      </w:r>
      <w:bookmarkEnd w:id="25"/>
      <w:bookmarkEnd w:id="26"/>
      <w:r>
        <w:rPr>
          <w:rFonts w:hint="eastAsia" w:ascii="仿宋" w:eastAsia="仿宋" w:cs="仿宋"/>
          <w:sz w:val="24"/>
          <w:szCs w:val="28"/>
          <w:highlight w:val="none"/>
        </w:rPr>
        <w:t>截止时间、开标时间和地点</w:t>
      </w:r>
      <w:bookmarkEnd w:id="27"/>
      <w:bookmarkEnd w:id="28"/>
    </w:p>
    <w:p w14:paraId="76469331">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szCs w:val="28"/>
          <w:highlight w:val="none"/>
          <w:lang w:eastAsia="zh-CN"/>
        </w:rPr>
        <w:t>20</w:t>
      </w:r>
      <w:r>
        <w:rPr>
          <w:rFonts w:hint="eastAsia" w:ascii="仿宋" w:hAnsi="仿宋" w:eastAsia="仿宋" w:cs="仿宋"/>
          <w:sz w:val="24"/>
          <w:szCs w:val="28"/>
          <w:highlight w:val="none"/>
          <w:lang w:val="en-US" w:eastAsia="zh-CN"/>
        </w:rPr>
        <w:t>25</w:t>
      </w:r>
      <w:r>
        <w:rPr>
          <w:rFonts w:hint="eastAsia" w:ascii="仿宋" w:hAnsi="仿宋" w:eastAsia="仿宋" w:cs="仿宋"/>
          <w:sz w:val="24"/>
          <w:szCs w:val="28"/>
          <w:highlight w:val="none"/>
        </w:rPr>
        <w:t>年</w:t>
      </w:r>
      <w:r>
        <w:rPr>
          <w:rFonts w:hint="eastAsia" w:ascii="仿宋" w:hAnsi="仿宋" w:eastAsia="仿宋" w:cs="仿宋"/>
          <w:sz w:val="24"/>
          <w:szCs w:val="28"/>
          <w:highlight w:val="none"/>
          <w:lang w:val="en-US" w:eastAsia="zh-CN"/>
        </w:rPr>
        <w:t xml:space="preserve">7 </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11</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 xml:space="preserve"> 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0</w:t>
      </w:r>
      <w:r>
        <w:rPr>
          <w:rFonts w:hint="eastAsia" w:ascii="仿宋" w:hAnsi="仿宋" w:eastAsia="仿宋" w:cs="仿宋"/>
          <w:sz w:val="24"/>
          <w:szCs w:val="28"/>
          <w:highlight w:val="none"/>
        </w:rPr>
        <w:t>0分00秒（</w:t>
      </w:r>
      <w:r>
        <w:rPr>
          <w:rFonts w:hint="eastAsia" w:ascii="仿宋" w:hAnsi="仿宋" w:eastAsia="仿宋" w:cs="仿宋"/>
          <w:sz w:val="24"/>
          <w:highlight w:val="none"/>
        </w:rPr>
        <w:t>北京时间）</w:t>
      </w:r>
    </w:p>
    <w:p w14:paraId="1580B958">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szCs w:val="28"/>
          <w:highlight w:val="none"/>
          <w:lang w:eastAsia="zh-CN"/>
        </w:rPr>
        <w:t>202</w:t>
      </w:r>
      <w:r>
        <w:rPr>
          <w:rFonts w:hint="eastAsia" w:ascii="仿宋" w:hAnsi="仿宋" w:eastAsia="仿宋" w:cs="仿宋"/>
          <w:sz w:val="24"/>
          <w:szCs w:val="28"/>
          <w:highlight w:val="none"/>
          <w:lang w:val="en-US" w:eastAsia="zh-CN"/>
        </w:rPr>
        <w:t>5</w:t>
      </w:r>
      <w:r>
        <w:rPr>
          <w:rFonts w:hint="eastAsia" w:ascii="仿宋" w:hAnsi="仿宋" w:eastAsia="仿宋" w:cs="仿宋"/>
          <w:sz w:val="24"/>
          <w:szCs w:val="28"/>
          <w:highlight w:val="none"/>
        </w:rPr>
        <w:t>年</w:t>
      </w:r>
      <w:r>
        <w:rPr>
          <w:rFonts w:hint="eastAsia" w:ascii="仿宋" w:hAnsi="仿宋" w:eastAsia="仿宋" w:cs="仿宋"/>
          <w:sz w:val="24"/>
          <w:szCs w:val="28"/>
          <w:highlight w:val="none"/>
          <w:lang w:val="en-US" w:eastAsia="zh-CN"/>
        </w:rPr>
        <w:t>7</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11</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0</w:t>
      </w:r>
      <w:r>
        <w:rPr>
          <w:rFonts w:hint="eastAsia" w:ascii="仿宋" w:hAnsi="仿宋" w:eastAsia="仿宋" w:cs="仿宋"/>
          <w:sz w:val="24"/>
          <w:szCs w:val="28"/>
          <w:highlight w:val="none"/>
        </w:rPr>
        <w:t>0分00秒</w:t>
      </w:r>
    </w:p>
    <w:p w14:paraId="1E5E171F">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w:t>
      </w:r>
      <w:r>
        <w:rPr>
          <w:rFonts w:hint="eastAsia" w:ascii="仿宋" w:hAnsi="仿宋" w:eastAsia="仿宋" w:cs="仿宋"/>
          <w:sz w:val="24"/>
          <w:szCs w:val="28"/>
          <w:highlight w:val="none"/>
        </w:rPr>
        <w:t>乐采云平台网上递交。</w:t>
      </w:r>
    </w:p>
    <w:p w14:paraId="6BCABF6E">
      <w:pPr>
        <w:pStyle w:val="7"/>
        <w:numPr>
          <w:ilvl w:val="0"/>
          <w:numId w:val="0"/>
        </w:numPr>
        <w:rPr>
          <w:rFonts w:ascii="仿宋" w:eastAsia="仿宋" w:cs="仿宋"/>
          <w:sz w:val="24"/>
          <w:szCs w:val="28"/>
          <w:highlight w:val="none"/>
        </w:rPr>
      </w:pPr>
      <w:bookmarkStart w:id="29" w:name="_Toc28359084"/>
      <w:bookmarkStart w:id="30" w:name="_Toc28359007"/>
      <w:bookmarkStart w:id="31" w:name="_Toc35393625"/>
      <w:bookmarkStart w:id="32" w:name="_Toc35393794"/>
      <w:r>
        <w:rPr>
          <w:rFonts w:hint="eastAsia" w:ascii="仿宋" w:eastAsia="仿宋" w:cs="仿宋"/>
          <w:sz w:val="24"/>
          <w:szCs w:val="28"/>
          <w:highlight w:val="none"/>
        </w:rPr>
        <w:t>五、公告期限</w:t>
      </w:r>
      <w:bookmarkEnd w:id="29"/>
      <w:bookmarkEnd w:id="30"/>
      <w:bookmarkEnd w:id="31"/>
      <w:bookmarkEnd w:id="32"/>
    </w:p>
    <w:p w14:paraId="5F227E93">
      <w:pPr>
        <w:spacing w:line="360" w:lineRule="auto"/>
        <w:ind w:firstLine="480" w:firstLineChars="200"/>
        <w:jc w:val="left"/>
        <w:rPr>
          <w:rFonts w:ascii="仿宋" w:hAnsi="仿宋" w:eastAsia="仿宋" w:cs="仿宋"/>
          <w:kern w:val="0"/>
          <w:sz w:val="24"/>
          <w:szCs w:val="28"/>
          <w:highlight w:val="none"/>
        </w:rPr>
      </w:pPr>
      <w:r>
        <w:rPr>
          <w:rFonts w:hint="eastAsia" w:ascii="仿宋" w:hAnsi="仿宋" w:eastAsia="仿宋" w:cs="仿宋"/>
          <w:kern w:val="0"/>
          <w:sz w:val="24"/>
          <w:szCs w:val="28"/>
          <w:highlight w:val="none"/>
        </w:rPr>
        <w:t>自本公告发布之日起5个工作日。</w:t>
      </w:r>
    </w:p>
    <w:p w14:paraId="4FE69477">
      <w:pPr>
        <w:pStyle w:val="7"/>
        <w:numPr>
          <w:ilvl w:val="0"/>
          <w:numId w:val="0"/>
        </w:numPr>
        <w:rPr>
          <w:rFonts w:ascii="仿宋" w:eastAsia="仿宋" w:cs="仿宋"/>
          <w:sz w:val="24"/>
          <w:szCs w:val="28"/>
          <w:highlight w:val="none"/>
        </w:rPr>
      </w:pPr>
      <w:bookmarkStart w:id="33" w:name="_Toc35393795"/>
      <w:bookmarkStart w:id="34" w:name="_Toc35393626"/>
      <w:r>
        <w:rPr>
          <w:rFonts w:hint="eastAsia" w:ascii="仿宋" w:eastAsia="仿宋" w:cs="仿宋"/>
          <w:sz w:val="24"/>
          <w:szCs w:val="28"/>
          <w:highlight w:val="none"/>
        </w:rPr>
        <w:t>六、其他补充事宜</w:t>
      </w:r>
      <w:bookmarkEnd w:id="33"/>
      <w:bookmarkEnd w:id="34"/>
    </w:p>
    <w:p w14:paraId="07C25D03">
      <w:pPr>
        <w:spacing w:line="360" w:lineRule="auto"/>
        <w:ind w:firstLine="480" w:firstLineChars="200"/>
        <w:rPr>
          <w:rFonts w:ascii="仿宋" w:hAnsi="仿宋" w:eastAsia="仿宋" w:cs="仿宋"/>
          <w:sz w:val="24"/>
          <w:highlight w:val="none"/>
        </w:rPr>
      </w:pPr>
      <w:bookmarkStart w:id="35" w:name="_Toc28359085"/>
      <w:bookmarkStart w:id="36" w:name="_Toc28359008"/>
      <w:bookmarkStart w:id="37" w:name="_Toc35393627"/>
      <w:bookmarkStart w:id="38" w:name="_Toc35393796"/>
      <w:r>
        <w:rPr>
          <w:rFonts w:hint="eastAsia" w:ascii="仿宋" w:hAnsi="仿宋" w:eastAsia="仿宋" w:cs="仿宋"/>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6CFFC55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2.需要落实的政府采购政策：包括节约资源、保护环境、支持创新、促进中小企业发展等。详见交易文件的第二部分总则。</w:t>
      </w:r>
    </w:p>
    <w:p w14:paraId="505F08A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46EEFCE4">
      <w:pPr>
        <w:pStyle w:val="7"/>
        <w:numPr>
          <w:ilvl w:val="0"/>
          <w:numId w:val="0"/>
        </w:numPr>
        <w:rPr>
          <w:rFonts w:ascii="仿宋" w:eastAsia="仿宋" w:cs="仿宋"/>
          <w:sz w:val="24"/>
          <w:szCs w:val="28"/>
          <w:highlight w:val="none"/>
        </w:rPr>
      </w:pPr>
      <w:r>
        <w:rPr>
          <w:rFonts w:hint="eastAsia" w:ascii="仿宋" w:eastAsia="仿宋" w:cs="仿宋"/>
          <w:sz w:val="24"/>
          <w:szCs w:val="28"/>
          <w:highlight w:val="none"/>
        </w:rPr>
        <w:t>七、对本次交易提出询问，请按以下方式联系。</w:t>
      </w:r>
      <w:bookmarkEnd w:id="35"/>
      <w:bookmarkEnd w:id="36"/>
      <w:bookmarkEnd w:id="37"/>
      <w:bookmarkEnd w:id="38"/>
    </w:p>
    <w:p w14:paraId="636B053C">
      <w:pPr>
        <w:widowControl/>
        <w:spacing w:line="360" w:lineRule="auto"/>
        <w:jc w:val="left"/>
        <w:rPr>
          <w:rFonts w:ascii="仿宋" w:hAnsi="仿宋" w:eastAsia="仿宋" w:cs="仿宋"/>
          <w:sz w:val="24"/>
          <w:szCs w:val="28"/>
          <w:highlight w:val="none"/>
        </w:rPr>
      </w:pPr>
      <w:r>
        <w:rPr>
          <w:rFonts w:hint="eastAsia" w:ascii="仿宋" w:hAnsi="仿宋" w:eastAsia="仿宋" w:cs="仿宋"/>
          <w:sz w:val="24"/>
          <w:szCs w:val="28"/>
          <w:highlight w:val="none"/>
        </w:rPr>
        <w:t>1.采购人信息</w:t>
      </w:r>
    </w:p>
    <w:p w14:paraId="29C686DE">
      <w:pPr>
        <w:spacing w:line="360" w:lineRule="auto"/>
        <w:jc w:val="left"/>
        <w:rPr>
          <w:rFonts w:hint="eastAsia" w:ascii="仿宋" w:hAnsi="仿宋" w:eastAsia="仿宋" w:cs="仿宋"/>
          <w:color w:val="FF0000"/>
          <w:sz w:val="24"/>
          <w:szCs w:val="28"/>
          <w:highlight w:val="none"/>
          <w:lang w:eastAsia="zh-CN"/>
        </w:rPr>
      </w:pPr>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萧山区通惠初级中学</w:t>
      </w:r>
    </w:p>
    <w:p w14:paraId="61ABE213">
      <w:pPr>
        <w:spacing w:line="360" w:lineRule="auto"/>
        <w:jc w:val="left"/>
        <w:rPr>
          <w:rFonts w:hint="default" w:ascii="仿宋" w:hAnsi="仿宋" w:eastAsia="仿宋" w:cs="仿宋"/>
          <w:color w:val="FF0000"/>
          <w:sz w:val="24"/>
          <w:szCs w:val="28"/>
          <w:highlight w:val="none"/>
          <w:lang w:val="en-US" w:eastAsia="zh-CN"/>
        </w:rPr>
      </w:pPr>
      <w:r>
        <w:rPr>
          <w:rFonts w:hint="eastAsia" w:ascii="仿宋" w:hAnsi="仿宋" w:eastAsia="仿宋" w:cs="仿宋"/>
          <w:sz w:val="24"/>
          <w:szCs w:val="28"/>
          <w:highlight w:val="none"/>
        </w:rPr>
        <w:t>地址</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 xml:space="preserve"> 浙江省杭州市萧山区新塘街道大通路1590号</w:t>
      </w:r>
    </w:p>
    <w:p w14:paraId="595094FF">
      <w:pPr>
        <w:spacing w:line="360" w:lineRule="auto"/>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项目联系人（询问）：</w:t>
      </w:r>
      <w:r>
        <w:rPr>
          <w:rFonts w:hint="eastAsia" w:ascii="仿宋" w:hAnsi="仿宋" w:eastAsia="仿宋" w:cs="仿宋"/>
          <w:sz w:val="24"/>
          <w:szCs w:val="28"/>
          <w:highlight w:val="none"/>
          <w:lang w:val="en-US" w:eastAsia="zh-CN"/>
        </w:rPr>
        <w:t xml:space="preserve"> 裘关庆</w:t>
      </w:r>
    </w:p>
    <w:p w14:paraId="6752E538">
      <w:pPr>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项目联系方式（询问）：</w:t>
      </w:r>
      <w:bookmarkStart w:id="39" w:name="_Toc28359009"/>
      <w:bookmarkStart w:id="40" w:name="_Toc28359086"/>
      <w:r>
        <w:rPr>
          <w:rFonts w:hint="eastAsia" w:ascii="仿宋" w:hAnsi="仿宋" w:eastAsia="仿宋" w:cs="仿宋"/>
          <w:sz w:val="24"/>
          <w:szCs w:val="28"/>
          <w:highlight w:val="none"/>
          <w:lang w:val="en-US" w:eastAsia="zh-CN"/>
        </w:rPr>
        <w:t xml:space="preserve">15356692086 </w:t>
      </w:r>
    </w:p>
    <w:p w14:paraId="7AADC379">
      <w:pPr>
        <w:spacing w:line="360" w:lineRule="auto"/>
        <w:jc w:val="left"/>
        <w:rPr>
          <w:rFonts w:ascii="仿宋" w:hAnsi="仿宋" w:eastAsia="仿宋" w:cs="仿宋"/>
          <w:sz w:val="24"/>
          <w:szCs w:val="28"/>
          <w:highlight w:val="none"/>
        </w:rPr>
      </w:pPr>
      <w:r>
        <w:rPr>
          <w:rFonts w:hint="eastAsia" w:ascii="仿宋" w:hAnsi="仿宋" w:eastAsia="仿宋" w:cs="仿宋"/>
          <w:sz w:val="24"/>
          <w:szCs w:val="28"/>
          <w:highlight w:val="none"/>
        </w:rPr>
        <w:t>2.采购代理机构信息</w:t>
      </w:r>
      <w:bookmarkEnd w:id="39"/>
      <w:bookmarkEnd w:id="40"/>
    </w:p>
    <w:p w14:paraId="12E7E14F">
      <w:pPr>
        <w:spacing w:line="360" w:lineRule="auto"/>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浙江经济建设投资咨询中心有限公司</w:t>
      </w:r>
    </w:p>
    <w:p w14:paraId="36C7AF0E">
      <w:pPr>
        <w:spacing w:line="360" w:lineRule="auto"/>
        <w:jc w:val="left"/>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rPr>
        <w:t>地址：萧山区</w:t>
      </w:r>
      <w:r>
        <w:rPr>
          <w:rFonts w:hint="eastAsia" w:ascii="仿宋" w:hAnsi="仿宋" w:eastAsia="仿宋" w:cs="仿宋"/>
          <w:sz w:val="24"/>
          <w:szCs w:val="28"/>
          <w:highlight w:val="none"/>
          <w:lang w:val="en-US" w:eastAsia="zh-CN"/>
        </w:rPr>
        <w:t>空间结构科技产业园3号楼317室</w:t>
      </w:r>
    </w:p>
    <w:p w14:paraId="4A1DAA2F">
      <w:pPr>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项目联系人（询问）：陈</w:t>
      </w:r>
      <w:r>
        <w:rPr>
          <w:rFonts w:hint="eastAsia" w:ascii="仿宋" w:hAnsi="仿宋" w:eastAsia="仿宋" w:cs="仿宋"/>
          <w:sz w:val="24"/>
          <w:szCs w:val="28"/>
          <w:highlight w:val="none"/>
          <w:lang w:val="en-US" w:eastAsia="zh-CN"/>
        </w:rPr>
        <w:t>炳</w:t>
      </w:r>
    </w:p>
    <w:p w14:paraId="3C21EFAB">
      <w:pPr>
        <w:spacing w:line="360" w:lineRule="auto"/>
        <w:jc w:val="left"/>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项目联系方式（询问）：</w:t>
      </w:r>
      <w:r>
        <w:rPr>
          <w:rFonts w:hint="eastAsia" w:ascii="仿宋" w:hAnsi="仿宋" w:eastAsia="仿宋" w:cs="仿宋"/>
          <w:sz w:val="24"/>
          <w:szCs w:val="28"/>
          <w:highlight w:val="none"/>
          <w:lang w:val="en-US" w:eastAsia="zh-CN"/>
        </w:rPr>
        <w:t>18368158101</w:t>
      </w:r>
    </w:p>
    <w:p w14:paraId="3978645D">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若对项目采购电子交易系统操作有疑问，可登录乐采云（https∶//xsnbsc.lecaiyun.com），点击右侧咨询小采，获取采小蜜智能服务管家帮助，或拨打乐采云服务热线400-881-7190获取热线服务帮助。       </w:t>
      </w:r>
    </w:p>
    <w:p w14:paraId="2115B52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6F4BAF23">
      <w:pPr>
        <w:rPr>
          <w:rFonts w:ascii="仿宋" w:hAnsi="仿宋" w:eastAsia="仿宋" w:cs="仿宋"/>
          <w:highlight w:val="none"/>
        </w:rPr>
      </w:pPr>
      <w:r>
        <w:rPr>
          <w:rFonts w:hint="eastAsia" w:ascii="仿宋" w:hAnsi="仿宋" w:eastAsia="仿宋" w:cs="仿宋"/>
          <w:highlight w:val="none"/>
        </w:rPr>
        <w:br w:type="page"/>
      </w:r>
    </w:p>
    <w:p w14:paraId="5BD86636">
      <w:pPr>
        <w:pStyle w:val="6"/>
        <w:rPr>
          <w:rFonts w:cs="仿宋"/>
          <w:color w:val="auto"/>
          <w:highlight w:val="none"/>
        </w:rPr>
      </w:pPr>
      <w:r>
        <w:rPr>
          <w:rFonts w:hint="eastAsia" w:cs="仿宋"/>
          <w:color w:val="auto"/>
          <w:highlight w:val="none"/>
        </w:rPr>
        <w:t>第二部分</w:t>
      </w:r>
      <w:bookmarkEnd w:id="8"/>
      <w:r>
        <w:rPr>
          <w:rFonts w:hint="eastAsia" w:cs="仿宋"/>
          <w:color w:val="auto"/>
          <w:highlight w:val="none"/>
        </w:rPr>
        <w:t xml:space="preserve"> 供应商须知</w:t>
      </w:r>
      <w:bookmarkEnd w:id="9"/>
    </w:p>
    <w:p w14:paraId="376056DE">
      <w:pPr>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6F0C7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749880">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A1FCEDE">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698D8111">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14:paraId="2F385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A08E7B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7FAC98DE">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79B32824">
            <w:pPr>
              <w:spacing w:line="360" w:lineRule="auto"/>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有关本项目开展所需的</w:t>
            </w:r>
            <w:r>
              <w:rPr>
                <w:rFonts w:hint="eastAsia" w:ascii="仿宋" w:hAnsi="仿宋" w:eastAsia="仿宋" w:cs="仿宋"/>
                <w:b/>
                <w:kern w:val="0"/>
                <w:sz w:val="24"/>
                <w:highlight w:val="none"/>
              </w:rPr>
              <w:t>所有</w:t>
            </w:r>
            <w:r>
              <w:rPr>
                <w:rFonts w:hint="eastAsia" w:ascii="仿宋" w:hAnsi="仿宋" w:eastAsia="仿宋" w:cs="仿宋"/>
                <w:b/>
                <w:kern w:val="0"/>
                <w:sz w:val="24"/>
                <w:highlight w:val="none"/>
                <w:lang w:val="zh-CN"/>
              </w:rPr>
              <w:t>费用均计入报价。</w:t>
            </w:r>
            <w:r>
              <w:rPr>
                <w:rFonts w:hint="eastAsia" w:ascii="仿宋" w:hAnsi="仿宋" w:eastAsia="仿宋" w:cs="仿宋"/>
                <w:b/>
                <w:kern w:val="0"/>
                <w:sz w:val="24"/>
                <w:highlight w:val="none"/>
              </w:rPr>
              <w:t>《投标（开标）一览表》是报价的唯一载体</w:t>
            </w:r>
            <w:r>
              <w:rPr>
                <w:rFonts w:hint="eastAsia" w:ascii="仿宋" w:hAnsi="仿宋" w:eastAsia="仿宋" w:cs="仿宋"/>
                <w:b/>
                <w:kern w:val="0"/>
                <w:sz w:val="24"/>
                <w:highlight w:val="none"/>
                <w:lang w:val="zh-CN"/>
              </w:rPr>
              <w:t>。投标文件中价格全部采用人民币报价。交易文件未列明，而供应商认为必需的费用也需列入报价。</w:t>
            </w:r>
          </w:p>
          <w:p w14:paraId="5D8DEAF8">
            <w:pPr>
              <w:spacing w:line="360" w:lineRule="auto"/>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23283131">
            <w:pPr>
              <w:spacing w:line="360" w:lineRule="auto"/>
              <w:rPr>
                <w:rFonts w:ascii="仿宋" w:hAnsi="仿宋" w:eastAsia="仿宋" w:cs="仿宋"/>
                <w:b/>
                <w:kern w:val="0"/>
                <w:sz w:val="24"/>
                <w:highlight w:val="none"/>
                <w:lang w:val="zh-CN"/>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zh-CN"/>
              </w:rPr>
              <w:t>投标文件出现不是唯一的、有选择性投标报价的；</w:t>
            </w:r>
          </w:p>
          <w:p w14:paraId="0788E0AE">
            <w:pPr>
              <w:spacing w:line="360" w:lineRule="auto"/>
              <w:rPr>
                <w:rFonts w:ascii="仿宋" w:hAnsi="仿宋" w:eastAsia="仿宋" w:cs="仿宋"/>
                <w:b/>
                <w:kern w:val="0"/>
                <w:sz w:val="24"/>
                <w:highlight w:val="none"/>
                <w:lang w:val="zh-CN"/>
              </w:rPr>
            </w:pPr>
            <w:r>
              <w:rPr>
                <w:rFonts w:hint="eastAsia" w:ascii="仿宋" w:hAnsi="仿宋" w:eastAsia="仿宋" w:cs="仿宋"/>
                <w:b/>
                <w:kern w:val="0"/>
                <w:sz w:val="24"/>
                <w:highlight w:val="none"/>
              </w:rPr>
              <w:t>▲投标报价高于本项目采购预算或者最高限价的;</w:t>
            </w:r>
          </w:p>
          <w:p w14:paraId="24901C08">
            <w:pPr>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3E302F1E">
            <w:pPr>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▲《投标（开标）一览表》填写不完整或字迹不能辨认或有漏项的；</w:t>
            </w:r>
          </w:p>
          <w:p w14:paraId="13A21D41">
            <w:pPr>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▲供应商对根据修正原则修正后的报价不确认的。</w:t>
            </w:r>
          </w:p>
          <w:p w14:paraId="07B0A6C9">
            <w:pPr>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▲资格文件、商务技术文件与报价文件未分开制作。</w:t>
            </w:r>
          </w:p>
        </w:tc>
      </w:tr>
      <w:tr w14:paraId="62A81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313F2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3584F69">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23A58A8">
            <w:pPr>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本项目不允许分包或转包。</w:t>
            </w:r>
          </w:p>
        </w:tc>
      </w:tr>
      <w:tr w14:paraId="33448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F53A6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61DB6E5">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128BEC94">
            <w:pPr>
              <w:spacing w:line="360" w:lineRule="auto"/>
              <w:jc w:val="left"/>
              <w:rPr>
                <w:rFonts w:ascii="仿宋" w:hAnsi="仿宋" w:eastAsia="仿宋" w:cs="仿宋"/>
                <w:sz w:val="24"/>
                <w:highlight w:val="none"/>
              </w:rPr>
            </w:pPr>
            <w:r>
              <w:rPr>
                <w:rFonts w:hint="eastAsia" w:ascii="仿宋" w:hAnsi="仿宋" w:eastAsia="仿宋" w:cs="仿宋"/>
                <w:sz w:val="24"/>
                <w:highlight w:val="none"/>
              </w:rPr>
              <w:t>（1）资格证明文件：</w:t>
            </w:r>
            <w:r>
              <w:rPr>
                <w:rFonts w:hint="eastAsia" w:ascii="仿宋" w:hAnsi="仿宋" w:eastAsia="仿宋" w:cs="仿宋"/>
                <w:kern w:val="0"/>
                <w:sz w:val="24"/>
                <w:highlight w:val="none"/>
              </w:rPr>
              <w:t>见交易文件第二部分11.1。</w:t>
            </w:r>
          </w:p>
          <w:p w14:paraId="1433C5CB">
            <w:pPr>
              <w:spacing w:line="360" w:lineRule="auto"/>
              <w:rPr>
                <w:rFonts w:ascii="仿宋" w:hAnsi="仿宋" w:eastAsia="仿宋" w:cs="仿宋"/>
                <w:sz w:val="24"/>
                <w:highlight w:val="none"/>
              </w:rPr>
            </w:pPr>
            <w:r>
              <w:rPr>
                <w:rFonts w:hint="eastAsia" w:ascii="仿宋" w:hAnsi="仿宋" w:eastAsia="仿宋" w:cs="仿宋"/>
                <w:sz w:val="24"/>
                <w:highlight w:val="none"/>
              </w:rPr>
              <w:t>（2）资信证明文件：根据交易文件第四部分评标标准提供。</w:t>
            </w:r>
          </w:p>
          <w:p w14:paraId="3BF338A7">
            <w:pPr>
              <w:spacing w:line="360" w:lineRule="auto"/>
              <w:rPr>
                <w:rFonts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供应商未提供（1）的有效的资格证明文件的，视为供应商不具备交易文件中规定的资格要求，投标无效。</w:t>
            </w:r>
          </w:p>
        </w:tc>
      </w:tr>
      <w:tr w14:paraId="1FA74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81BF330">
            <w:pPr>
              <w:snapToGrid w:val="0"/>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76261B02">
            <w:pPr>
              <w:spacing w:line="360" w:lineRule="auto"/>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418E1C8A">
            <w:pPr>
              <w:spacing w:line="360" w:lineRule="auto"/>
              <w:rPr>
                <w:rFonts w:ascii="仿宋" w:hAnsi="仿宋" w:eastAsia="仿宋" w:cs="仿宋"/>
                <w:sz w:val="24"/>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48E6A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513F59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D08C2FB">
            <w:pPr>
              <w:spacing w:line="360" w:lineRule="auto"/>
              <w:rPr>
                <w:rFonts w:ascii="仿宋" w:hAnsi="仿宋" w:eastAsia="仿宋" w:cs="仿宋"/>
                <w:b/>
                <w:sz w:val="24"/>
                <w:highlight w:val="none"/>
              </w:rPr>
            </w:pPr>
            <w:r>
              <w:rPr>
                <w:rFonts w:hint="eastAsia" w:ascii="仿宋" w:hAnsi="仿宋" w:eastAsia="仿宋" w:cs="仿宋"/>
                <w:b/>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46EE9505">
            <w:pPr>
              <w:spacing w:line="360" w:lineRule="auto"/>
              <w:rPr>
                <w:rFonts w:ascii="仿宋" w:hAnsi="仿宋" w:eastAsia="仿宋" w:cs="仿宋"/>
                <w:b/>
                <w:sz w:val="24"/>
                <w:highlight w:val="none"/>
              </w:rPr>
            </w:pPr>
            <w:r>
              <w:rPr>
                <w:rFonts w:hint="eastAsia" w:ascii="仿宋" w:hAnsi="仿宋" w:eastAsia="仿宋" w:cs="仿宋"/>
                <w:bCs/>
                <w:sz w:val="24"/>
                <w:highlight w:val="none"/>
              </w:rPr>
              <w:t>（√）A不要求提供。</w:t>
            </w:r>
          </w:p>
        </w:tc>
      </w:tr>
      <w:tr w14:paraId="5C404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E0B2DF6">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p w14:paraId="38AB25C5">
            <w:pPr>
              <w:snapToGrid w:val="0"/>
              <w:spacing w:line="360" w:lineRule="auto"/>
              <w:jc w:val="center"/>
              <w:rPr>
                <w:rFonts w:ascii="仿宋" w:hAnsi="仿宋" w:eastAsia="仿宋" w:cs="仿宋"/>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2DEE2F8F">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投标文件的</w:t>
            </w:r>
          </w:p>
          <w:p w14:paraId="532D32F9">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40E56EE6">
            <w:pPr>
              <w:pStyle w:val="34"/>
              <w:snapToGrid w:val="0"/>
              <w:spacing w:before="120" w:after="120" w:line="360" w:lineRule="auto"/>
              <w:rPr>
                <w:rFonts w:ascii="仿宋" w:hAnsi="仿宋" w:eastAsia="仿宋" w:cs="仿宋"/>
                <w:sz w:val="24"/>
                <w:highlight w:val="none"/>
              </w:rPr>
            </w:pPr>
            <w:r>
              <w:rPr>
                <w:rFonts w:hint="eastAsia" w:ascii="仿宋" w:hAnsi="仿宋" w:eastAsia="仿宋" w:cs="仿宋"/>
                <w:sz w:val="24"/>
                <w:highlight w:val="none"/>
              </w:rPr>
              <w:t>本项目实行电子投标。</w:t>
            </w:r>
          </w:p>
          <w:p w14:paraId="0DDE6BBC">
            <w:pPr>
              <w:pStyle w:val="34"/>
              <w:snapToGrid w:val="0"/>
              <w:spacing w:before="120" w:after="12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供应商应准备电子投标文件参与投标：</w:t>
            </w:r>
          </w:p>
          <w:p w14:paraId="401F3011">
            <w:pPr>
              <w:pStyle w:val="34"/>
              <w:snapToGrid w:val="0"/>
              <w:spacing w:before="120" w:after="120" w:line="360" w:lineRule="auto"/>
              <w:ind w:left="360"/>
              <w:rPr>
                <w:rFonts w:ascii="仿宋" w:hAnsi="仿宋" w:eastAsia="仿宋" w:cs="仿宋"/>
                <w:sz w:val="24"/>
                <w:highlight w:val="none"/>
              </w:rPr>
            </w:pPr>
            <w:r>
              <w:rPr>
                <w:rFonts w:hint="eastAsia" w:ascii="仿宋" w:hAnsi="仿宋" w:eastAsia="仿宋" w:cs="仿宋"/>
                <w:sz w:val="24"/>
                <w:highlight w:val="none"/>
              </w:rPr>
              <w:t>电子投标文件，按乐采云平台项目采购-电子招投标操作指南及本交易文件要求递交。</w:t>
            </w:r>
          </w:p>
          <w:p w14:paraId="7FD5C3EA">
            <w:pPr>
              <w:spacing w:line="360" w:lineRule="auto"/>
              <w:rPr>
                <w:rFonts w:ascii="仿宋" w:hAnsi="仿宋" w:eastAsia="仿宋" w:cs="仿宋"/>
                <w:b/>
                <w:sz w:val="24"/>
                <w:highlight w:val="none"/>
              </w:rPr>
            </w:pPr>
            <w:r>
              <w:rPr>
                <w:rFonts w:hint="eastAsia" w:ascii="仿宋" w:hAnsi="仿宋" w:eastAsia="仿宋" w:cs="仿宋"/>
                <w:b/>
                <w:sz w:val="24"/>
                <w:highlight w:val="none"/>
              </w:rPr>
              <w:t>▲未传输递交电子投标文件的，投标无效。</w:t>
            </w:r>
          </w:p>
          <w:p w14:paraId="388833D4">
            <w:pPr>
              <w:spacing w:line="360" w:lineRule="auto"/>
              <w:rPr>
                <w:rFonts w:ascii="仿宋" w:hAnsi="仿宋" w:eastAsia="仿宋" w:cs="仿宋"/>
                <w:b/>
                <w:sz w:val="24"/>
                <w:highlight w:val="none"/>
              </w:rPr>
            </w:pPr>
            <w:r>
              <w:rPr>
                <w:rFonts w:hint="eastAsia" w:ascii="仿宋" w:hAnsi="仿宋" w:eastAsia="仿宋" w:cs="仿宋"/>
                <w:b/>
                <w:sz w:val="24"/>
                <w:highlight w:val="none"/>
              </w:rPr>
              <w:t>▲未在系统解密时间内完成解密的，视为供应商自行放弃投标，投标无效。</w:t>
            </w:r>
          </w:p>
          <w:p w14:paraId="5DE4A510">
            <w:pPr>
              <w:spacing w:line="360" w:lineRule="auto"/>
              <w:rPr>
                <w:rFonts w:ascii="仿宋" w:hAnsi="仿宋" w:eastAsia="仿宋" w:cs="仿宋"/>
                <w:b/>
                <w:sz w:val="24"/>
                <w:highlight w:val="none"/>
              </w:rPr>
            </w:pPr>
            <w:r>
              <w:rPr>
                <w:rFonts w:hint="eastAsia" w:ascii="仿宋" w:hAnsi="仿宋" w:eastAsia="仿宋" w:cs="仿宋"/>
                <w:b/>
                <w:sz w:val="24"/>
                <w:highlight w:val="none"/>
              </w:rPr>
              <w:t>本项目备份投标文件：不提供。</w:t>
            </w:r>
          </w:p>
        </w:tc>
      </w:tr>
      <w:tr w14:paraId="6AE4C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5C27F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76E4DB2">
            <w:pPr>
              <w:spacing w:line="360" w:lineRule="auto"/>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4199931C">
            <w:pPr>
              <w:spacing w:line="360" w:lineRule="auto"/>
              <w:rPr>
                <w:rFonts w:ascii="仿宋" w:hAnsi="仿宋" w:eastAsia="仿宋" w:cs="仿宋"/>
                <w:sz w:val="24"/>
                <w:highlight w:val="none"/>
              </w:rPr>
            </w:pPr>
            <w:r>
              <w:rPr>
                <w:rFonts w:hint="eastAsia" w:ascii="仿宋" w:hAnsi="仿宋" w:eastAsia="仿宋" w:cs="仿宋"/>
                <w:sz w:val="24"/>
                <w:highlight w:val="none"/>
              </w:rPr>
              <w:t>（√）A不组织。</w:t>
            </w:r>
          </w:p>
        </w:tc>
      </w:tr>
      <w:tr w14:paraId="25542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A2533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6DC8701">
            <w:pPr>
              <w:spacing w:line="360" w:lineRule="auto"/>
              <w:rPr>
                <w:rFonts w:ascii="仿宋" w:hAnsi="仿宋" w:eastAsia="仿宋" w:cs="仿宋"/>
                <w:b/>
                <w:sz w:val="24"/>
                <w:highlight w:val="none"/>
              </w:rPr>
            </w:pPr>
            <w:r>
              <w:rPr>
                <w:rFonts w:hint="eastAsia" w:ascii="仿宋" w:hAnsi="仿宋" w:eastAsia="仿宋" w:cs="仿宋"/>
                <w:b/>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33EB3B87">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本项目的代理费</w:t>
            </w:r>
            <w:r>
              <w:rPr>
                <w:rFonts w:hint="eastAsia" w:ascii="仿宋" w:hAnsi="仿宋" w:eastAsia="仿宋" w:cs="仿宋"/>
                <w:sz w:val="24"/>
                <w:highlight w:val="none"/>
                <w:lang w:val="en-US" w:eastAsia="zh-CN"/>
              </w:rPr>
              <w:t>及专家评审费</w:t>
            </w:r>
            <w:r>
              <w:rPr>
                <w:rFonts w:hint="eastAsia" w:ascii="仿宋" w:hAnsi="仿宋" w:eastAsia="仿宋" w:cs="仿宋"/>
                <w:sz w:val="24"/>
                <w:highlight w:val="none"/>
              </w:rPr>
              <w:t>由</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支付。</w:t>
            </w:r>
            <w:r>
              <w:rPr>
                <w:rFonts w:hint="eastAsia" w:ascii="仿宋" w:hAnsi="仿宋" w:eastAsia="仿宋" w:cs="仿宋"/>
                <w:sz w:val="24"/>
                <w:highlight w:val="none"/>
                <w:lang w:eastAsia="zh-CN"/>
              </w:rPr>
              <w:t>中标单位支付</w:t>
            </w:r>
          </w:p>
        </w:tc>
      </w:tr>
      <w:tr w14:paraId="21A19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19926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820FD5F">
            <w:pPr>
              <w:spacing w:line="360" w:lineRule="auto"/>
              <w:rPr>
                <w:rFonts w:ascii="仿宋" w:hAnsi="仿宋" w:eastAsia="仿宋" w:cs="仿宋"/>
                <w:b/>
                <w:sz w:val="24"/>
                <w:highlight w:val="none"/>
              </w:rPr>
            </w:pPr>
            <w:r>
              <w:rPr>
                <w:rFonts w:hint="eastAsia" w:ascii="仿宋" w:hAnsi="仿宋" w:eastAsia="仿宋" w:cs="仿宋"/>
                <w:b/>
                <w:sz w:val="24"/>
                <w:highlight w:val="none"/>
              </w:rPr>
              <w:t>投标保证金</w:t>
            </w:r>
          </w:p>
          <w:p w14:paraId="44325407">
            <w:pPr>
              <w:spacing w:line="360" w:lineRule="auto"/>
              <w:rPr>
                <w:rFonts w:ascii="仿宋" w:hAnsi="仿宋" w:eastAsia="仿宋" w:cs="仿宋"/>
                <w:b/>
                <w:sz w:val="24"/>
                <w:highlight w:val="none"/>
              </w:rPr>
            </w:pPr>
            <w:r>
              <w:rPr>
                <w:rFonts w:hint="eastAsia" w:ascii="仿宋" w:hAnsi="仿宋" w:eastAsia="仿宋" w:cs="仿宋"/>
                <w:b/>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3320CBE5">
            <w:pPr>
              <w:pStyle w:val="10"/>
              <w:spacing w:line="360" w:lineRule="auto"/>
              <w:ind w:firstLine="0"/>
              <w:rPr>
                <w:rFonts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14:paraId="602B4F61">
            <w:pPr>
              <w:pStyle w:val="10"/>
              <w:spacing w:line="360" w:lineRule="auto"/>
              <w:ind w:firstLine="0"/>
              <w:rPr>
                <w:rFonts w:ascii="仿宋" w:hAnsi="仿宋" w:eastAsia="仿宋" w:cs="仿宋"/>
                <w:color w:val="auto"/>
                <w:sz w:val="24"/>
                <w:highlight w:val="none"/>
              </w:rPr>
            </w:pPr>
            <w:r>
              <w:rPr>
                <w:rFonts w:hint="eastAsia" w:ascii="仿宋" w:hAnsi="仿宋" w:eastAsia="仿宋" w:cs="仿宋"/>
                <w:color w:val="auto"/>
                <w:sz w:val="24"/>
                <w:highlight w:val="none"/>
              </w:rPr>
              <w:t>履约保证金：1%。</w:t>
            </w:r>
          </w:p>
        </w:tc>
      </w:tr>
      <w:tr w14:paraId="070A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CCD07C">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ACA720A">
            <w:pPr>
              <w:spacing w:line="360" w:lineRule="auto"/>
              <w:rPr>
                <w:rFonts w:ascii="仿宋" w:hAnsi="仿宋" w:eastAsia="仿宋" w:cs="仿宋"/>
                <w:b/>
                <w:sz w:val="24"/>
                <w:highlight w:val="none"/>
              </w:rPr>
            </w:pPr>
            <w:r>
              <w:rPr>
                <w:rFonts w:hint="eastAsia" w:ascii="仿宋" w:hAnsi="仿宋" w:eastAsia="仿宋" w:cs="仿宋"/>
                <w:b/>
                <w:sz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00E93587">
            <w:pPr>
              <w:pStyle w:val="10"/>
              <w:spacing w:line="360" w:lineRule="auto"/>
              <w:ind w:firstLine="0"/>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6141C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4ACE9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ECA066F">
            <w:pPr>
              <w:spacing w:line="360" w:lineRule="auto"/>
              <w:rPr>
                <w:rFonts w:ascii="仿宋" w:hAnsi="仿宋" w:eastAsia="仿宋" w:cs="仿宋"/>
                <w:b/>
                <w:sz w:val="24"/>
                <w:highlight w:val="none"/>
              </w:rPr>
            </w:pPr>
            <w:r>
              <w:rPr>
                <w:rFonts w:hint="eastAsia" w:ascii="仿宋" w:hAnsi="仿宋" w:eastAsia="仿宋" w:cs="仿宋"/>
                <w:b/>
                <w:sz w:val="24"/>
                <w:highlight w:val="none"/>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66E9BC88">
            <w:pPr>
              <w:spacing w:line="360" w:lineRule="auto"/>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采购标的</w:t>
            </w:r>
            <w:r>
              <w:rPr>
                <w:rFonts w:hint="eastAsia" w:ascii="仿宋" w:hAnsi="仿宋" w:eastAsia="仿宋" w:cs="仿宋"/>
                <w:kern w:val="0"/>
                <w:sz w:val="24"/>
                <w:highlight w:val="none"/>
                <w:u w:val="none"/>
              </w:rPr>
              <w:t>：</w:t>
            </w:r>
            <w:r>
              <w:rPr>
                <w:rFonts w:hint="eastAsia" w:ascii="仿宋" w:hAnsi="仿宋" w:eastAsia="仿宋" w:cs="仿宋"/>
                <w:sz w:val="24"/>
                <w:highlight w:val="none"/>
                <w:lang w:eastAsia="zh-CN"/>
              </w:rPr>
              <w:t>萧山区通惠初级中学2025年暑期疗休养服务采购</w:t>
            </w:r>
            <w:r>
              <w:rPr>
                <w:rFonts w:hint="eastAsia" w:ascii="仿宋" w:hAnsi="仿宋" w:eastAsia="仿宋" w:cs="仿宋"/>
                <w:kern w:val="0"/>
                <w:sz w:val="24"/>
                <w:highlight w:val="none"/>
              </w:rPr>
              <w:t>，所属行业：</w:t>
            </w:r>
            <w:r>
              <w:rPr>
                <w:rFonts w:hint="eastAsia" w:ascii="仿宋" w:hAnsi="仿宋" w:eastAsia="仿宋" w:cs="仿宋"/>
                <w:kern w:val="0"/>
                <w:sz w:val="24"/>
                <w:highlight w:val="none"/>
                <w:u w:val="single"/>
                <w:lang w:eastAsia="zh-CN"/>
              </w:rPr>
              <w:t>其他未列明行业</w:t>
            </w:r>
          </w:p>
          <w:p w14:paraId="5A30F250">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行业划分标准：</w:t>
            </w:r>
          </w:p>
          <w:p w14:paraId="63FCEFC1">
            <w:pPr>
              <w:spacing w:line="360" w:lineRule="auto"/>
              <w:rPr>
                <w:rFonts w:ascii="仿宋" w:hAnsi="仿宋" w:eastAsia="仿宋" w:cs="仿宋"/>
                <w:sz w:val="24"/>
                <w:highlight w:val="none"/>
              </w:rPr>
            </w:pPr>
            <w:r>
              <w:rPr>
                <w:rFonts w:hint="eastAsia" w:ascii="仿宋" w:hAnsi="仿宋" w:eastAsia="仿宋" w:cs="仿宋"/>
                <w:kern w:val="0"/>
                <w:sz w:val="24"/>
                <w:highlight w:val="none"/>
              </w:rPr>
              <w:t>《关于印发中小企业划型标准规定的通知》工信部联企业〔2011〕300号</w:t>
            </w:r>
          </w:p>
        </w:tc>
      </w:tr>
      <w:tr w14:paraId="5CD57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C68152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43A6C5A3">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质疑接收人</w:t>
            </w:r>
          </w:p>
          <w:p w14:paraId="22E7CEE3">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783E7414">
            <w:pPr>
              <w:snapToGrid w:val="0"/>
              <w:spacing w:line="360" w:lineRule="auto"/>
              <w:rPr>
                <w:rFonts w:ascii="仿宋" w:hAnsi="仿宋" w:eastAsia="仿宋"/>
                <w:sz w:val="24"/>
                <w:highlight w:val="none"/>
                <w:u w:val="single"/>
              </w:rPr>
            </w:pPr>
            <w:r>
              <w:rPr>
                <w:rFonts w:hint="eastAsia" w:ascii="仿宋" w:hAnsi="仿宋" w:eastAsia="仿宋"/>
                <w:sz w:val="24"/>
                <w:highlight w:val="none"/>
              </w:rPr>
              <w:t>采购</w:t>
            </w:r>
            <w:r>
              <w:rPr>
                <w:rFonts w:ascii="仿宋" w:hAnsi="仿宋" w:eastAsia="仿宋"/>
                <w:sz w:val="24"/>
                <w:highlight w:val="none"/>
              </w:rPr>
              <w:t>人、</w:t>
            </w:r>
            <w:r>
              <w:rPr>
                <w:rFonts w:hint="eastAsia" w:ascii="仿宋" w:hAnsi="仿宋" w:eastAsia="仿宋"/>
                <w:sz w:val="24"/>
                <w:highlight w:val="none"/>
              </w:rPr>
              <w:t>采购</w:t>
            </w:r>
            <w:r>
              <w:rPr>
                <w:rFonts w:ascii="仿宋" w:hAnsi="仿宋" w:eastAsia="仿宋"/>
                <w:sz w:val="24"/>
                <w:highlight w:val="none"/>
              </w:rPr>
              <w:t>机构质疑接收人</w:t>
            </w:r>
            <w:r>
              <w:rPr>
                <w:rFonts w:hint="eastAsia" w:ascii="仿宋" w:hAnsi="仿宋" w:eastAsia="仿宋"/>
                <w:sz w:val="24"/>
                <w:highlight w:val="none"/>
              </w:rPr>
              <w:t>、联系方式</w:t>
            </w:r>
            <w:r>
              <w:rPr>
                <w:rFonts w:ascii="仿宋" w:hAnsi="仿宋" w:eastAsia="仿宋"/>
                <w:sz w:val="24"/>
                <w:highlight w:val="none"/>
              </w:rPr>
              <w:t>：</w:t>
            </w:r>
            <w:r>
              <w:rPr>
                <w:rFonts w:hint="eastAsia" w:ascii="仿宋" w:hAnsi="仿宋" w:eastAsia="仿宋"/>
                <w:sz w:val="24"/>
                <w:highlight w:val="none"/>
              </w:rPr>
              <w:t>详见公告</w:t>
            </w:r>
          </w:p>
          <w:p w14:paraId="756D6300">
            <w:pPr>
              <w:snapToGrid w:val="0"/>
              <w:spacing w:line="360" w:lineRule="auto"/>
              <w:rPr>
                <w:rFonts w:ascii="仿宋" w:hAnsi="仿宋" w:eastAsia="仿宋"/>
                <w:b/>
                <w:sz w:val="24"/>
                <w:highlight w:val="none"/>
              </w:rPr>
            </w:pPr>
            <w:r>
              <w:rPr>
                <w:rFonts w:hint="eastAsia" w:ascii="仿宋" w:hAnsi="仿宋" w:eastAsia="仿宋"/>
                <w:b/>
                <w:sz w:val="24"/>
                <w:highlight w:val="none"/>
              </w:rPr>
              <w:t>线上提交质疑方式：乐采云线上质疑路径：项目采购-询问质疑投诉-质疑列表。请使用ca签章在每一页质疑文件中加盖电子公章，上传完整附件。</w:t>
            </w:r>
          </w:p>
          <w:p w14:paraId="6C723DB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本项目涉及资格条件、采购需求、评分办法及采购过程中有关现场考察或开标前答疑会事项由采购人进行答复。</w:t>
            </w:r>
          </w:p>
          <w:p w14:paraId="0254BD06">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涉及流程组织等相关事项，由采购机构进行答复。</w:t>
            </w:r>
          </w:p>
        </w:tc>
      </w:tr>
      <w:tr w14:paraId="79019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9CB35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538FDAF0">
            <w:pPr>
              <w:spacing w:line="360" w:lineRule="auto"/>
              <w:rPr>
                <w:rFonts w:ascii="仿宋" w:hAnsi="仿宋" w:eastAsia="仿宋" w:cs="仿宋"/>
                <w:b/>
                <w:sz w:val="24"/>
                <w:highlight w:val="none"/>
              </w:rPr>
            </w:pPr>
            <w:r>
              <w:rPr>
                <w:rFonts w:hint="eastAsia" w:ascii="仿宋" w:hAnsi="仿宋" w:eastAsia="仿宋" w:cs="仿宋"/>
                <w:b/>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6DFD488C">
            <w:pPr>
              <w:snapToGrid w:val="0"/>
              <w:spacing w:line="520" w:lineRule="exact"/>
              <w:rPr>
                <w:rFonts w:ascii="仿宋" w:hAnsi="仿宋" w:eastAsia="仿宋" w:cs="仿宋"/>
                <w:sz w:val="24"/>
                <w:highlight w:val="none"/>
              </w:rPr>
            </w:pPr>
            <w:r>
              <w:rPr>
                <w:rFonts w:hint="eastAsia" w:ascii="仿宋" w:hAnsi="仿宋" w:eastAsia="仿宋" w:cs="仿宋"/>
                <w:sz w:val="24"/>
                <w:highlight w:val="none"/>
              </w:rPr>
              <w:t>本项目为</w:t>
            </w:r>
            <w:r>
              <w:rPr>
                <w:rFonts w:hint="eastAsia" w:ascii="仿宋" w:hAnsi="仿宋" w:eastAsia="仿宋" w:cs="仿宋"/>
                <w:sz w:val="24"/>
                <w:highlight w:val="none"/>
                <w:u w:val="single"/>
              </w:rPr>
              <w:t>服务类</w:t>
            </w:r>
            <w:r>
              <w:rPr>
                <w:rFonts w:hint="eastAsia" w:ascii="仿宋" w:hAnsi="仿宋" w:eastAsia="仿宋" w:cs="仿宋"/>
                <w:sz w:val="24"/>
                <w:highlight w:val="none"/>
              </w:rPr>
              <w:t>采购项目</w:t>
            </w:r>
          </w:p>
        </w:tc>
      </w:tr>
      <w:tr w14:paraId="213C9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FDB62C">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4BEB762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080CE077">
            <w:pPr>
              <w:snapToGrid w:val="0"/>
              <w:spacing w:line="360" w:lineRule="auto"/>
              <w:rPr>
                <w:rFonts w:ascii="仿宋" w:hAnsi="仿宋" w:eastAsia="仿宋" w:cs="仿宋"/>
                <w:sz w:val="24"/>
                <w:highlight w:val="none"/>
              </w:rPr>
            </w:pPr>
            <w:r>
              <w:rPr>
                <w:rFonts w:hint="eastAsia" w:ascii="仿宋" w:hAnsi="仿宋" w:eastAsia="仿宋" w:cs="仿宋"/>
                <w:sz w:val="24"/>
                <w:highlight w:val="none"/>
                <w:u w:val="single"/>
              </w:rPr>
              <w:t>综合评分法</w:t>
            </w:r>
          </w:p>
        </w:tc>
      </w:tr>
      <w:tr w14:paraId="72F75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62BA26">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08884A31">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2A7618A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1F47F4D8">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注：本项目通用总则条款与前附表等专用特别规定有冲突之处，以专用条款（特别规定）为准</w:t>
      </w:r>
    </w:p>
    <w:p w14:paraId="614A9570">
      <w:pPr>
        <w:adjustRightInd/>
        <w:spacing w:line="360" w:lineRule="auto"/>
        <w:ind w:firstLine="3845" w:firstLineChars="1197"/>
        <w:outlineLvl w:val="0"/>
        <w:rPr>
          <w:rFonts w:ascii="仿宋" w:hAnsi="仿宋" w:eastAsia="仿宋" w:cs="仿宋"/>
          <w:b/>
          <w:sz w:val="32"/>
          <w:szCs w:val="20"/>
          <w:highlight w:val="none"/>
        </w:rPr>
      </w:pPr>
      <w:r>
        <w:rPr>
          <w:rFonts w:hint="eastAsia" w:ascii="仿宋" w:hAnsi="仿宋" w:eastAsia="仿宋" w:cs="仿宋"/>
          <w:b/>
          <w:sz w:val="32"/>
          <w:szCs w:val="20"/>
          <w:highlight w:val="none"/>
        </w:rPr>
        <w:br w:type="page"/>
      </w:r>
      <w:bookmarkEnd w:id="10"/>
      <w:bookmarkStart w:id="41" w:name="第三部分"/>
      <w:bookmarkStart w:id="42" w:name="_Toc164416483"/>
      <w:r>
        <w:rPr>
          <w:rFonts w:hint="eastAsia" w:ascii="仿宋" w:hAnsi="仿宋" w:eastAsia="仿宋" w:cs="仿宋"/>
          <w:b/>
          <w:sz w:val="32"/>
          <w:szCs w:val="20"/>
          <w:highlight w:val="none"/>
        </w:rPr>
        <w:t>一、总则</w:t>
      </w:r>
    </w:p>
    <w:p w14:paraId="5AB70341">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ascii="仿宋" w:hAnsi="仿宋" w:eastAsia="仿宋" w:cs="仿宋"/>
          <w:b/>
          <w:sz w:val="24"/>
          <w:highlight w:val="none"/>
        </w:rPr>
      </w:pPr>
      <w:r>
        <w:rPr>
          <w:rFonts w:hint="eastAsia" w:ascii="仿宋" w:hAnsi="仿宋" w:eastAsia="仿宋" w:cs="仿宋"/>
          <w:b/>
          <w:sz w:val="24"/>
          <w:highlight w:val="none"/>
        </w:rPr>
        <w:t>1.适用范围</w:t>
      </w:r>
    </w:p>
    <w:p w14:paraId="4C49FC30">
      <w:pPr>
        <w:keepNext w:val="0"/>
        <w:keepLines w:val="0"/>
        <w:pageBreakBefore w:val="0"/>
        <w:kinsoku/>
        <w:wordWrap/>
        <w:overflowPunct/>
        <w:topLinePunct w:val="0"/>
        <w:bidi w:val="0"/>
        <w:snapToGrid w:val="0"/>
        <w:spacing w:line="360"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本交易文件适用于该项目的交易、投标、开标、资格审查及信用信息查询、评标、定标、合同、验收等行为（法律、法规另有规定的，从其规定）。</w:t>
      </w:r>
    </w:p>
    <w:p w14:paraId="3D47DD3A">
      <w:pPr>
        <w:keepNext w:val="0"/>
        <w:keepLines w:val="0"/>
        <w:pageBreakBefore w:val="0"/>
        <w:kinsoku/>
        <w:wordWrap/>
        <w:overflowPunct/>
        <w:topLinePunct w:val="0"/>
        <w:bidi w:val="0"/>
        <w:adjustRightInd/>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2.定义</w:t>
      </w:r>
    </w:p>
    <w:p w14:paraId="2A6E3F9B">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 “采购人”系指交易公告中载明的本项目的采购人。</w:t>
      </w:r>
    </w:p>
    <w:p w14:paraId="5F10024C">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2.2 “采购机构”系指交易公告中载明的本项目的采购机构。</w:t>
      </w:r>
    </w:p>
    <w:p w14:paraId="019C456F">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 “供应商”系指是指响应交易、参加投标竞争的法人、其他组织或者自然人。</w:t>
      </w:r>
    </w:p>
    <w:p w14:paraId="742EED68">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6523EA81">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2.5 “▲” 系指实质性要求条款，“★”系产品采购项目中单一产品或核心产品。</w:t>
      </w:r>
    </w:p>
    <w:p w14:paraId="2A6F0054">
      <w:pPr>
        <w:keepNext w:val="0"/>
        <w:keepLines w:val="0"/>
        <w:pageBreakBefore w:val="0"/>
        <w:kinsoku/>
        <w:wordWrap/>
        <w:overflowPunct/>
        <w:topLinePunct w:val="0"/>
        <w:bidi w:val="0"/>
        <w:snapToGrid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w:t>
      </w:r>
      <w:r>
        <w:rPr>
          <w:rFonts w:hint="eastAsia" w:ascii="仿宋" w:hAnsi="仿宋" w:eastAsia="仿宋" w:cs="仿宋"/>
          <w:sz w:val="24"/>
          <w:highlight w:val="none"/>
        </w:rPr>
        <w:t>” 系指适用本项目的要求，“</w:t>
      </w:r>
      <w:r>
        <w:rPr>
          <w:rFonts w:hint="eastAsia" w:ascii="仿宋" w:hAnsi="仿宋" w:eastAsia="仿宋" w:cs="仿宋"/>
          <w:b/>
          <w:sz w:val="24"/>
          <w:highlight w:val="none"/>
        </w:rPr>
        <w:t>（  ）</w:t>
      </w:r>
      <w:r>
        <w:rPr>
          <w:rFonts w:hint="eastAsia" w:ascii="仿宋" w:hAnsi="仿宋" w:eastAsia="仿宋" w:cs="仿宋"/>
          <w:kern w:val="0"/>
          <w:sz w:val="24"/>
          <w:highlight w:val="none"/>
        </w:rPr>
        <w:t>”</w:t>
      </w:r>
      <w:r>
        <w:rPr>
          <w:rFonts w:hint="eastAsia" w:ascii="仿宋" w:hAnsi="仿宋" w:eastAsia="仿宋" w:cs="仿宋"/>
          <w:sz w:val="24"/>
          <w:highlight w:val="none"/>
        </w:rPr>
        <w:t>系指不适用本项目的要求。</w:t>
      </w:r>
    </w:p>
    <w:p w14:paraId="5AB4932D">
      <w:pPr>
        <w:keepNext w:val="0"/>
        <w:keepLines w:val="0"/>
        <w:pageBreakBefore w:val="0"/>
        <w:kinsoku/>
        <w:wordWrap/>
        <w:overflowPunct/>
        <w:topLinePunct w:val="0"/>
        <w:bidi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3.采购项目需要落实的政府采购政策</w:t>
      </w:r>
    </w:p>
    <w:p w14:paraId="1E795B34">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0D29EED">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3.2 节能环保要求</w:t>
      </w:r>
    </w:p>
    <w:p w14:paraId="6DE92A7A">
      <w:pPr>
        <w:keepNext w:val="0"/>
        <w:keepLines w:val="0"/>
        <w:pageBreakBefore w:val="0"/>
        <w:kinsoku/>
        <w:wordWrap/>
        <w:overflowPunct/>
        <w:topLinePunct w:val="0"/>
        <w:bidi w:val="0"/>
        <w:spacing w:line="360" w:lineRule="auto"/>
        <w:ind w:firstLine="482" w:firstLineChars="200"/>
        <w:textAlignment w:val="auto"/>
        <w:rPr>
          <w:rFonts w:ascii="仿宋" w:hAnsi="仿宋" w:eastAsia="仿宋" w:cs="仿宋"/>
          <w:sz w:val="24"/>
          <w:highlight w:val="none"/>
        </w:rPr>
      </w:pPr>
      <w:r>
        <w:rPr>
          <w:rFonts w:hint="eastAsia" w:ascii="仿宋" w:hAnsi="仿宋" w:eastAsia="仿宋" w:cs="仿宋"/>
          <w:b/>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highlight w:val="none"/>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highlight w:val="none"/>
        </w:rPr>
        <w:t>▲</w:t>
      </w:r>
      <w:r>
        <w:rPr>
          <w:rFonts w:hint="eastAsia" w:ascii="仿宋" w:hAnsi="仿宋" w:eastAsia="仿宋" w:cs="仿宋"/>
          <w:b/>
          <w:sz w:val="24"/>
          <w:szCs w:val="21"/>
          <w:highlight w:val="none"/>
        </w:rPr>
        <w:t>本项目如需采购节能品目清单中的政府强制采购的节能产品的，必须以强制采购的品目清单内产品投标，供应商未按要求提供品目清单内的节能产品或相关证明，投标无效。</w:t>
      </w:r>
    </w:p>
    <w:p w14:paraId="6BCE23FC">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0B8E0D3B">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bCs/>
          <w:sz w:val="24"/>
          <w:highlight w:val="none"/>
        </w:rPr>
        <w:t>支持创新发展</w:t>
      </w:r>
    </w:p>
    <w:p w14:paraId="19D653D4">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3.3.1 采购人优先采购被认定为首台套产品和“制造精品”的自主创新产品。</w:t>
      </w:r>
    </w:p>
    <w:p w14:paraId="04AFC964">
      <w:pPr>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AD58CD3">
      <w:pPr>
        <w:keepNext w:val="0"/>
        <w:keepLines w:val="0"/>
        <w:pageBreakBefore w:val="0"/>
        <w:kinsoku/>
        <w:wordWrap/>
        <w:overflowPunct/>
        <w:topLinePunct w:val="0"/>
        <w:bidi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4.询问、质疑、投诉</w:t>
      </w:r>
      <w:r>
        <w:rPr>
          <w:rFonts w:hint="eastAsia" w:ascii="仿宋" w:hAnsi="仿宋" w:eastAsia="仿宋" w:cs="仿宋"/>
          <w:kern w:val="0"/>
          <w:sz w:val="24"/>
          <w:highlight w:val="none"/>
          <w:lang w:val="zh-CN"/>
        </w:rPr>
        <w:t xml:space="preserve"> </w:t>
      </w:r>
    </w:p>
    <w:p w14:paraId="10A9924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6956E7C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273437">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4.2供应商质疑</w:t>
      </w:r>
    </w:p>
    <w:p w14:paraId="661B4070">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.1提出质疑的供应商应当是参与所质疑项目采购活动的供应商。潜在供应商已依法获取其可质疑的采购文件的，可以对该文件提出质疑。</w:t>
      </w:r>
    </w:p>
    <w:p w14:paraId="318B229F">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9733A75">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65F19950">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117FE712">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.2.3对采购结果提出质疑的，质疑期限自采购结果公告期限届满之日起计算。对采购结果提出质疑的，采购人或采购机构负责答复。（详见前附表相关规定）</w:t>
      </w:r>
    </w:p>
    <w:p w14:paraId="11013F33">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w:t>
      </w:r>
      <w:r>
        <w:rPr>
          <w:rFonts w:hint="eastAsia" w:ascii="仿宋" w:hAnsi="仿宋" w:eastAsia="仿宋" w:cs="仿宋"/>
          <w:snapToGrid/>
          <w:color w:val="auto"/>
          <w:kern w:val="2"/>
          <w:sz w:val="24"/>
          <w:highlight w:val="none"/>
        </w:rPr>
        <w:t>供应商提出质疑应当提交质疑函和必要的证明材料。质疑函应当包括下列内容：</w:t>
      </w:r>
    </w:p>
    <w:p w14:paraId="2BD3BF47">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4.2.3.1</w:t>
      </w:r>
      <w:r>
        <w:rPr>
          <w:rFonts w:hint="eastAsia" w:ascii="仿宋" w:hAnsi="仿宋" w:eastAsia="仿宋" w:cs="仿宋"/>
          <w:snapToGrid/>
          <w:color w:val="auto"/>
          <w:kern w:val="2"/>
          <w:sz w:val="24"/>
          <w:highlight w:val="none"/>
        </w:rPr>
        <w:t>供应商的姓名或者名称、地址、邮编、联系人及联系电话；</w:t>
      </w:r>
    </w:p>
    <w:p w14:paraId="2696E54A">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4.2.3.2</w:t>
      </w:r>
      <w:r>
        <w:rPr>
          <w:rFonts w:hint="eastAsia" w:ascii="仿宋" w:hAnsi="仿宋" w:eastAsia="仿宋" w:cs="仿宋"/>
          <w:snapToGrid/>
          <w:color w:val="auto"/>
          <w:kern w:val="2"/>
          <w:sz w:val="24"/>
          <w:highlight w:val="none"/>
        </w:rPr>
        <w:t>质疑项目的名称、编号；</w:t>
      </w:r>
    </w:p>
    <w:p w14:paraId="49EEFA8F">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4.2.3.3</w:t>
      </w:r>
      <w:r>
        <w:rPr>
          <w:rFonts w:hint="eastAsia" w:ascii="仿宋" w:hAnsi="仿宋" w:eastAsia="仿宋" w:cs="仿宋"/>
          <w:snapToGrid/>
          <w:color w:val="auto"/>
          <w:kern w:val="2"/>
          <w:sz w:val="24"/>
          <w:highlight w:val="none"/>
        </w:rPr>
        <w:t>具体、明确的质疑事项和与质疑事项相关的请求；</w:t>
      </w:r>
    </w:p>
    <w:p w14:paraId="0E710384">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4.2.3.4</w:t>
      </w:r>
      <w:r>
        <w:rPr>
          <w:rFonts w:hint="eastAsia" w:ascii="仿宋" w:hAnsi="仿宋" w:eastAsia="仿宋" w:cs="仿宋"/>
          <w:snapToGrid/>
          <w:color w:val="auto"/>
          <w:kern w:val="2"/>
          <w:sz w:val="24"/>
          <w:highlight w:val="none"/>
        </w:rPr>
        <w:t>事实依据；</w:t>
      </w:r>
    </w:p>
    <w:p w14:paraId="2E7D29DB">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4.2.3.5</w:t>
      </w:r>
      <w:r>
        <w:rPr>
          <w:rFonts w:hint="eastAsia" w:ascii="仿宋" w:hAnsi="仿宋" w:eastAsia="仿宋" w:cs="仿宋"/>
          <w:snapToGrid/>
          <w:color w:val="auto"/>
          <w:kern w:val="2"/>
          <w:sz w:val="24"/>
          <w:highlight w:val="none"/>
        </w:rPr>
        <w:t>必要的法律依据；</w:t>
      </w:r>
    </w:p>
    <w:p w14:paraId="1B222C08">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4.2.3.6</w:t>
      </w:r>
      <w:r>
        <w:rPr>
          <w:rFonts w:hint="eastAsia" w:ascii="仿宋" w:hAnsi="仿宋" w:eastAsia="仿宋" w:cs="仿宋"/>
          <w:snapToGrid/>
          <w:color w:val="auto"/>
          <w:kern w:val="2"/>
          <w:sz w:val="24"/>
          <w:highlight w:val="none"/>
        </w:rPr>
        <w:t>提出质疑的日期。</w:t>
      </w:r>
    </w:p>
    <w:p w14:paraId="3F40FB1A">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30F3228">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454ECF47">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.5询问或者质疑事项可能影响采购结果的，采购人应当暂停签订合同，已经签订合同的，应当中止履行合同。</w:t>
      </w:r>
    </w:p>
    <w:p w14:paraId="6F403235">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4.2.6质疑接收人：详见前附表</w:t>
      </w:r>
    </w:p>
    <w:p w14:paraId="3102976D">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4.3供应商投诉</w:t>
      </w:r>
    </w:p>
    <w:p w14:paraId="543EA61F">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05A22179">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4.3.2供应商投诉的事项不得超出已质疑事项的范围，基于质疑答复内容提出的投诉事项除外。</w:t>
      </w:r>
    </w:p>
    <w:p w14:paraId="2734708F">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4.3.3供应商投诉应当有明确的请求和必要的证明材料。</w:t>
      </w:r>
    </w:p>
    <w:p w14:paraId="7EFAC808">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4.3.5 以联合体形式参加政府采购活动的，其投诉应当由组成联合体的所有供应商共同提出。</w:t>
      </w:r>
    </w:p>
    <w:p w14:paraId="626DF23E">
      <w:pPr>
        <w:pStyle w:val="10"/>
        <w:keepNext w:val="0"/>
        <w:keepLines w:val="0"/>
        <w:pageBreakBefore w:val="0"/>
        <w:kinsoku/>
        <w:wordWrap/>
        <w:overflowPunct/>
        <w:topLinePunct w:val="0"/>
        <w:bidi w:val="0"/>
        <w:spacing w:line="360" w:lineRule="auto"/>
        <w:ind w:firstLine="480" w:firstLineChars="200"/>
        <w:textAlignment w:val="auto"/>
        <w:rPr>
          <w:rFonts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投诉书范本及制作说明详见附件3。</w:t>
      </w:r>
    </w:p>
    <w:p w14:paraId="1E62C6D6">
      <w:pPr>
        <w:pStyle w:val="222"/>
        <w:keepNext w:val="0"/>
        <w:keepLines w:val="0"/>
        <w:pageBreakBefore w:val="0"/>
        <w:kinsoku/>
        <w:wordWrap/>
        <w:overflowPunct/>
        <w:topLinePunct w:val="0"/>
        <w:bidi w:val="0"/>
        <w:snapToGrid w:val="0"/>
        <w:spacing w:before="0"/>
        <w:ind w:firstLine="360" w:firstLineChars="200"/>
        <w:textAlignment w:val="auto"/>
        <w:rPr>
          <w:rFonts w:ascii="仿宋" w:hAnsi="仿宋" w:eastAsia="仿宋" w:cs="仿宋"/>
          <w:sz w:val="18"/>
          <w:szCs w:val="18"/>
          <w:highlight w:val="none"/>
        </w:rPr>
      </w:pPr>
    </w:p>
    <w:p w14:paraId="00B373B4">
      <w:pPr>
        <w:adjustRightInd/>
        <w:spacing w:line="360" w:lineRule="auto"/>
        <w:jc w:val="center"/>
        <w:outlineLvl w:val="0"/>
        <w:rPr>
          <w:rFonts w:ascii="仿宋" w:hAnsi="仿宋" w:eastAsia="仿宋" w:cs="仿宋"/>
          <w:b/>
          <w:sz w:val="32"/>
          <w:szCs w:val="20"/>
          <w:highlight w:val="none"/>
        </w:rPr>
      </w:pPr>
      <w:bookmarkStart w:id="43" w:name="_Hlt74707468"/>
      <w:bookmarkEnd w:id="43"/>
      <w:bookmarkStart w:id="44" w:name="_Hlt74714665"/>
      <w:bookmarkEnd w:id="44"/>
      <w:bookmarkStart w:id="45" w:name="_Hlt68072990"/>
      <w:bookmarkEnd w:id="45"/>
      <w:bookmarkStart w:id="46" w:name="_Hlt74729768"/>
      <w:bookmarkEnd w:id="46"/>
      <w:bookmarkStart w:id="47" w:name="_Hlt74730295"/>
      <w:bookmarkEnd w:id="47"/>
      <w:bookmarkStart w:id="48" w:name="_Hlt68057669"/>
      <w:bookmarkEnd w:id="48"/>
      <w:bookmarkStart w:id="49" w:name="_Hlt75236290"/>
      <w:bookmarkEnd w:id="49"/>
      <w:bookmarkStart w:id="50" w:name="_Toc91899879"/>
      <w:r>
        <w:rPr>
          <w:rFonts w:hint="eastAsia" w:ascii="仿宋" w:hAnsi="仿宋" w:eastAsia="仿宋" w:cs="仿宋"/>
          <w:b/>
          <w:sz w:val="32"/>
          <w:szCs w:val="20"/>
          <w:highlight w:val="none"/>
        </w:rPr>
        <w:t>二、交易文件</w:t>
      </w:r>
      <w:bookmarkEnd w:id="50"/>
      <w:r>
        <w:rPr>
          <w:rFonts w:hint="eastAsia" w:ascii="仿宋" w:hAnsi="仿宋" w:eastAsia="仿宋" w:cs="仿宋"/>
          <w:b/>
          <w:sz w:val="32"/>
          <w:szCs w:val="20"/>
          <w:highlight w:val="none"/>
        </w:rPr>
        <w:t>的构成、澄清、修改</w:t>
      </w:r>
    </w:p>
    <w:p w14:paraId="4F9765F7">
      <w:pPr>
        <w:pStyle w:val="34"/>
        <w:keepNext w:val="0"/>
        <w:keepLines w:val="0"/>
        <w:pageBreakBefore w:val="0"/>
        <w:widowControl w:val="0"/>
        <w:kinsoku/>
        <w:overflowPunct/>
        <w:topLinePunct w:val="0"/>
        <w:autoSpaceDE/>
        <w:autoSpaceDN/>
        <w:bidi w:val="0"/>
        <w:adjustRightInd w:val="0"/>
        <w:spacing w:line="360" w:lineRule="auto"/>
        <w:ind w:right="-512" w:firstLine="482" w:firstLineChars="200"/>
        <w:textAlignment w:val="auto"/>
        <w:rPr>
          <w:rFonts w:ascii="仿宋" w:hAnsi="仿宋" w:eastAsia="仿宋" w:cs="仿宋"/>
          <w:b/>
          <w:sz w:val="24"/>
          <w:szCs w:val="24"/>
          <w:highlight w:val="none"/>
        </w:rPr>
      </w:pPr>
      <w:bookmarkStart w:id="51" w:name="_Toc91899880"/>
      <w:bookmarkStart w:id="52" w:name="_Hlt74730307"/>
      <w:r>
        <w:rPr>
          <w:rFonts w:hint="eastAsia" w:ascii="仿宋" w:hAnsi="仿宋" w:eastAsia="仿宋" w:cs="仿宋"/>
          <w:b/>
          <w:sz w:val="24"/>
          <w:szCs w:val="24"/>
          <w:highlight w:val="none"/>
        </w:rPr>
        <w:t>5．交易文件的构成</w:t>
      </w:r>
      <w:bookmarkEnd w:id="51"/>
    </w:p>
    <w:bookmarkEnd w:id="52"/>
    <w:p w14:paraId="4DFDE022">
      <w:pPr>
        <w:pStyle w:val="34"/>
        <w:keepNext w:val="0"/>
        <w:keepLines w:val="0"/>
        <w:pageBreakBefore w:val="0"/>
        <w:widowControl w:val="0"/>
        <w:kinsoku/>
        <w:overflowPunct/>
        <w:topLinePunct w:val="0"/>
        <w:autoSpaceDE/>
        <w:autoSpaceDN/>
        <w:bidi w:val="0"/>
        <w:adjustRightInd w:val="0"/>
        <w:spacing w:line="360" w:lineRule="auto"/>
        <w:ind w:right="-512"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 交易文件包括下列文件及附件</w:t>
      </w:r>
    </w:p>
    <w:p w14:paraId="0196513F">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第一部分      交易公告</w:t>
      </w:r>
    </w:p>
    <w:p w14:paraId="3D65CDC3">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第二部分      供应商须知</w:t>
      </w:r>
    </w:p>
    <w:p w14:paraId="5B9212AB">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第三部分      采购需求</w:t>
      </w:r>
    </w:p>
    <w:p w14:paraId="5FB35082">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第四部分      评审办法</w:t>
      </w:r>
    </w:p>
    <w:p w14:paraId="777763A6">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第五部分      拟签订的合同文本</w:t>
      </w:r>
    </w:p>
    <w:p w14:paraId="0746BE94">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第六部分      应提交的有关格式范例</w:t>
      </w:r>
    </w:p>
    <w:p w14:paraId="03C1DE3D">
      <w:pPr>
        <w:keepNext w:val="0"/>
        <w:keepLines w:val="0"/>
        <w:pageBreakBefore w:val="0"/>
        <w:widowControl w:val="0"/>
        <w:kinsoku/>
        <w:wordWrap w:val="0"/>
        <w:overflowPunct/>
        <w:topLinePunct w:val="0"/>
        <w:autoSpaceDE/>
        <w:autoSpaceDN/>
        <w:bidi w:val="0"/>
        <w:adjustRightInd w:val="0"/>
        <w:spacing w:line="360" w:lineRule="auto"/>
        <w:ind w:firstLine="480" w:firstLineChars="200"/>
        <w:jc w:val="left"/>
        <w:textAlignment w:val="auto"/>
        <w:rPr>
          <w:rFonts w:ascii="仿宋" w:hAnsi="仿宋" w:eastAsia="仿宋" w:cs="仿宋"/>
          <w:bCs/>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澄清或者修改等公告、内容亦为交易文件的组成部分，供应商须自行于交易公告所在网站获取相关信息（浙江政府采购网）</w:t>
      </w:r>
      <w:r>
        <w:rPr>
          <w:rFonts w:hint="eastAsia" w:ascii="仿宋" w:hAnsi="仿宋" w:eastAsia="仿宋" w:cs="仿宋"/>
          <w:sz w:val="24"/>
          <w:highlight w:val="none"/>
        </w:rPr>
        <w:t>。</w:t>
      </w:r>
    </w:p>
    <w:p w14:paraId="17DFB571">
      <w:pPr>
        <w:pStyle w:val="34"/>
        <w:keepNext w:val="0"/>
        <w:keepLines w:val="0"/>
        <w:pageBreakBefore w:val="0"/>
        <w:widowControl w:val="0"/>
        <w:kinsoku/>
        <w:overflowPunct/>
        <w:topLinePunct w:val="0"/>
        <w:autoSpaceDE/>
        <w:autoSpaceDN/>
        <w:bidi w:val="0"/>
        <w:adjustRightInd w:val="0"/>
        <w:spacing w:line="360" w:lineRule="auto"/>
        <w:ind w:right="-512"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6.交易文件的澄清、修改</w:t>
      </w:r>
    </w:p>
    <w:p w14:paraId="060D9DE6">
      <w:pPr>
        <w:pStyle w:val="222"/>
        <w:keepNext w:val="0"/>
        <w:keepLines w:val="0"/>
        <w:pageBreakBefore w:val="0"/>
        <w:widowControl w:val="0"/>
        <w:kinsoku/>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6.1已获取交易文件的潜在供应商，若有问题需要澄清，应于投标截止时间前，以书面形式向采购机构提出，采购机构与采购人研究后，对认为有必要回答的问题，将以公告形式通知所有交易文件收受人。</w:t>
      </w:r>
    </w:p>
    <w:p w14:paraId="0844B9E7">
      <w:pPr>
        <w:pStyle w:val="222"/>
        <w:keepNext w:val="0"/>
        <w:keepLines w:val="0"/>
        <w:pageBreakBefore w:val="0"/>
        <w:widowControl w:val="0"/>
        <w:kinsoku/>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2538B82B">
      <w:pPr>
        <w:keepNext w:val="0"/>
        <w:keepLines w:val="0"/>
        <w:pageBreakBefore w:val="0"/>
        <w:widowControl w:val="0"/>
        <w:kinsoku/>
        <w:overflowPunct/>
        <w:topLinePunct w:val="0"/>
        <w:autoSpaceDE/>
        <w:autoSpaceDN/>
        <w:bidi w:val="0"/>
        <w:adjustRightInd w:val="0"/>
        <w:spacing w:line="360" w:lineRule="auto"/>
        <w:ind w:firstLine="482" w:firstLineChars="200"/>
        <w:textAlignment w:val="auto"/>
        <w:rPr>
          <w:rFonts w:ascii="仿宋" w:hAnsi="仿宋" w:eastAsia="仿宋" w:cs="仿宋"/>
          <w:b/>
          <w:sz w:val="24"/>
          <w:szCs w:val="21"/>
          <w:highlight w:val="none"/>
        </w:rPr>
      </w:pPr>
      <w:r>
        <w:rPr>
          <w:rFonts w:hint="eastAsia" w:ascii="仿宋" w:hAnsi="仿宋" w:eastAsia="仿宋" w:cs="仿宋"/>
          <w:b/>
          <w:sz w:val="24"/>
          <w:highlight w:val="none"/>
        </w:rPr>
        <w:t>▲</w:t>
      </w:r>
      <w:r>
        <w:rPr>
          <w:rFonts w:hint="eastAsia" w:ascii="仿宋" w:hAnsi="仿宋" w:eastAsia="仿宋" w:cs="仿宋"/>
          <w:b/>
          <w:sz w:val="24"/>
          <w:szCs w:val="21"/>
          <w:highlight w:val="none"/>
        </w:rPr>
        <w:t>投标文件未按交易文件更正、补遗公告的澄清、修改的内容编制，又不符合实质性要求的，投标无效。</w:t>
      </w:r>
    </w:p>
    <w:p w14:paraId="1AE4DFB2">
      <w:pPr>
        <w:pStyle w:val="2"/>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018EFFDC">
      <w:pPr>
        <w:adjustRightInd/>
        <w:spacing w:line="360" w:lineRule="auto"/>
        <w:jc w:val="center"/>
        <w:outlineLvl w:val="0"/>
        <w:rPr>
          <w:rFonts w:ascii="仿宋" w:hAnsi="仿宋" w:eastAsia="仿宋" w:cs="仿宋"/>
          <w:b/>
          <w:sz w:val="30"/>
          <w:szCs w:val="20"/>
          <w:highlight w:val="none"/>
        </w:rPr>
      </w:pPr>
      <w:bookmarkStart w:id="53" w:name="_Hlt75236011"/>
      <w:bookmarkEnd w:id="53"/>
      <w:bookmarkStart w:id="54" w:name="_Toc91899884"/>
      <w:r>
        <w:rPr>
          <w:rFonts w:hint="eastAsia" w:ascii="仿宋" w:hAnsi="仿宋" w:eastAsia="仿宋" w:cs="仿宋"/>
          <w:b/>
          <w:sz w:val="30"/>
          <w:szCs w:val="20"/>
          <w:highlight w:val="none"/>
        </w:rPr>
        <w:t>三、投标</w:t>
      </w:r>
      <w:bookmarkEnd w:id="54"/>
    </w:p>
    <w:p w14:paraId="4CDD2AD4">
      <w:pPr>
        <w:pStyle w:val="34"/>
        <w:keepNext w:val="0"/>
        <w:keepLines w:val="0"/>
        <w:pageBreakBefore w:val="0"/>
        <w:widowControl w:val="0"/>
        <w:kinsoku/>
        <w:wordWrap/>
        <w:overflowPunct/>
        <w:topLinePunct w:val="0"/>
        <w:bidi w:val="0"/>
        <w:adjustRightInd w:val="0"/>
        <w:spacing w:line="360" w:lineRule="auto"/>
        <w:ind w:right="-512" w:firstLine="482" w:firstLineChars="200"/>
        <w:textAlignment w:val="auto"/>
        <w:rPr>
          <w:rFonts w:ascii="仿宋" w:hAnsi="仿宋" w:eastAsia="仿宋" w:cs="仿宋"/>
          <w:b/>
          <w:sz w:val="24"/>
          <w:szCs w:val="24"/>
          <w:highlight w:val="none"/>
        </w:rPr>
      </w:pPr>
      <w:bookmarkStart w:id="55" w:name="_Toc91899892"/>
      <w:bookmarkStart w:id="56" w:name="_Toc86216991"/>
      <w:r>
        <w:rPr>
          <w:rFonts w:hint="eastAsia" w:ascii="仿宋" w:hAnsi="仿宋" w:eastAsia="仿宋" w:cs="仿宋"/>
          <w:b/>
          <w:sz w:val="24"/>
          <w:szCs w:val="24"/>
          <w:highlight w:val="none"/>
        </w:rPr>
        <w:t>7.交易文件的获取</w:t>
      </w:r>
    </w:p>
    <w:p w14:paraId="55CA557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详见交易公告中获取交易文件的时间期限、地点、方式。附件中直接下载仅供浏览使用。</w:t>
      </w:r>
    </w:p>
    <w:p w14:paraId="31403F9A">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仿宋" w:hAnsi="仿宋" w:eastAsia="仿宋" w:cs="仿宋"/>
          <w:b/>
          <w:sz w:val="24"/>
          <w:szCs w:val="21"/>
          <w:highlight w:val="none"/>
        </w:rPr>
      </w:pPr>
      <w:r>
        <w:rPr>
          <w:rFonts w:hint="eastAsia" w:ascii="仿宋" w:hAnsi="仿宋" w:eastAsia="仿宋" w:cs="仿宋"/>
          <w:b/>
          <w:sz w:val="24"/>
          <w:highlight w:val="none"/>
        </w:rPr>
        <w:t>▲</w:t>
      </w:r>
      <w:r>
        <w:rPr>
          <w:rFonts w:hint="eastAsia" w:ascii="仿宋" w:hAnsi="仿宋" w:eastAsia="仿宋" w:cs="仿宋"/>
          <w:b/>
          <w:sz w:val="24"/>
          <w:szCs w:val="21"/>
          <w:highlight w:val="none"/>
        </w:rPr>
        <w:t>未按照公告要求完成采购文件获取的，投标无效。</w:t>
      </w:r>
    </w:p>
    <w:p w14:paraId="19AAF52C">
      <w:pPr>
        <w:pStyle w:val="34"/>
        <w:keepNext w:val="0"/>
        <w:keepLines w:val="0"/>
        <w:pageBreakBefore w:val="0"/>
        <w:widowControl w:val="0"/>
        <w:kinsoku/>
        <w:wordWrap/>
        <w:overflowPunct/>
        <w:topLinePunct w:val="0"/>
        <w:bidi w:val="0"/>
        <w:adjustRightInd w:val="0"/>
        <w:spacing w:line="360" w:lineRule="auto"/>
        <w:ind w:right="-512"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3BA20514">
      <w:pPr>
        <w:pStyle w:val="34"/>
        <w:keepNext w:val="0"/>
        <w:keepLines w:val="0"/>
        <w:pageBreakBefore w:val="0"/>
        <w:widowControl w:val="0"/>
        <w:kinsoku/>
        <w:wordWrap/>
        <w:overflowPunct/>
        <w:topLinePunct w:val="0"/>
        <w:bidi w:val="0"/>
        <w:adjustRightInd w:val="0"/>
        <w:spacing w:line="360" w:lineRule="auto"/>
        <w:ind w:right="-512"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highlight w:val="none"/>
        </w:rPr>
        <w:t>采购人不单独或分别组织只有一个供应商参加的现场考察和答疑会。</w:t>
      </w:r>
    </w:p>
    <w:p w14:paraId="5E2D46BC">
      <w:pPr>
        <w:pStyle w:val="34"/>
        <w:keepNext w:val="0"/>
        <w:keepLines w:val="0"/>
        <w:pageBreakBefore w:val="0"/>
        <w:widowControl w:val="0"/>
        <w:kinsoku/>
        <w:wordWrap/>
        <w:overflowPunct/>
        <w:topLinePunct w:val="0"/>
        <w:bidi w:val="0"/>
        <w:adjustRightInd w:val="0"/>
        <w:spacing w:line="360" w:lineRule="auto"/>
        <w:ind w:right="-512" w:firstLine="482" w:firstLineChars="200"/>
        <w:textAlignment w:val="auto"/>
        <w:rPr>
          <w:rFonts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266E4708">
      <w:pPr>
        <w:pStyle w:val="222"/>
        <w:keepNext w:val="0"/>
        <w:keepLines w:val="0"/>
        <w:pageBreakBefore w:val="0"/>
        <w:widowControl w:val="0"/>
        <w:kinsoku/>
        <w:wordWrap/>
        <w:overflowPunct/>
        <w:topLinePunct w:val="0"/>
        <w:bidi w:val="0"/>
        <w:adjustRightInd w:val="0"/>
        <w:snapToGrid w:val="0"/>
        <w:spacing w:before="0"/>
        <w:ind w:firstLine="480" w:firstLineChars="200"/>
        <w:textAlignment w:val="auto"/>
        <w:rPr>
          <w:rFonts w:ascii="仿宋" w:hAnsi="仿宋" w:eastAsia="仿宋" w:cs="仿宋"/>
          <w:highlight w:val="none"/>
          <w:lang w:val="zh-CN"/>
        </w:rPr>
      </w:pPr>
      <w:r>
        <w:rPr>
          <w:rFonts w:hint="eastAsia" w:ascii="仿宋" w:hAnsi="仿宋" w:eastAsia="仿宋" w:cs="仿宋"/>
          <w:highlight w:val="none"/>
        </w:rPr>
        <w:t>本项目不收取投标保证金。</w:t>
      </w:r>
    </w:p>
    <w:p w14:paraId="7D096EB5">
      <w:pPr>
        <w:pStyle w:val="34"/>
        <w:keepNext w:val="0"/>
        <w:keepLines w:val="0"/>
        <w:pageBreakBefore w:val="0"/>
        <w:widowControl w:val="0"/>
        <w:kinsoku/>
        <w:wordWrap/>
        <w:overflowPunct/>
        <w:topLinePunct w:val="0"/>
        <w:bidi w:val="0"/>
        <w:adjustRightInd w:val="0"/>
        <w:spacing w:line="360" w:lineRule="auto"/>
        <w:ind w:right="-512"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78ED61A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 w:hAnsi="仿宋" w:eastAsia="仿宋" w:cs="仿宋"/>
          <w:sz w:val="24"/>
          <w:highlight w:val="none"/>
          <w:lang w:val="zh-CN"/>
        </w:rPr>
      </w:pPr>
      <w:r>
        <w:rPr>
          <w:rFonts w:hint="eastAsia" w:ascii="仿宋" w:hAnsi="仿宋" w:eastAsia="仿宋" w:cs="仿宋"/>
          <w:sz w:val="24"/>
          <w:highlight w:val="none"/>
        </w:rPr>
        <w:t>投标文件及供应商与采购有关的来往通知、函件和文件均应使用中文。</w:t>
      </w:r>
    </w:p>
    <w:p w14:paraId="3B5B42FB">
      <w:pPr>
        <w:pStyle w:val="34"/>
        <w:keepNext w:val="0"/>
        <w:keepLines w:val="0"/>
        <w:pageBreakBefore w:val="0"/>
        <w:widowControl w:val="0"/>
        <w:kinsoku/>
        <w:wordWrap/>
        <w:overflowPunct/>
        <w:topLinePunct w:val="0"/>
        <w:bidi w:val="0"/>
        <w:adjustRightInd w:val="0"/>
        <w:spacing w:line="360" w:lineRule="auto"/>
        <w:ind w:right="-512"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06C88D5F">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仿宋" w:hAnsi="仿宋" w:eastAsia="仿宋" w:cs="仿宋"/>
          <w:b/>
          <w:bCs/>
          <w:sz w:val="24"/>
          <w:highlight w:val="none"/>
        </w:rPr>
      </w:pPr>
      <w:bookmarkStart w:id="57" w:name="_Toc91899887"/>
      <w:r>
        <w:rPr>
          <w:rFonts w:hint="eastAsia" w:ascii="仿宋" w:hAnsi="仿宋" w:eastAsia="仿宋" w:cs="仿宋"/>
          <w:b/>
          <w:bCs/>
          <w:sz w:val="24"/>
          <w:highlight w:val="none"/>
        </w:rPr>
        <w:t>11.1资格文件：</w:t>
      </w:r>
    </w:p>
    <w:p w14:paraId="3780095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0CF12C4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11.1.2落实政府采购政策需满足的资格要求；</w:t>
      </w:r>
    </w:p>
    <w:p w14:paraId="1A86BFD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11.1.3本项目的特定资格要求。</w:t>
      </w:r>
    </w:p>
    <w:p w14:paraId="16746E6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0BE1DE5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2B3478F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6E5911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11.2.3符合性审查资料；</w:t>
      </w:r>
    </w:p>
    <w:p w14:paraId="2B5DA46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11.2.4评标标准相应的商务技术资料；</w:t>
      </w:r>
    </w:p>
    <w:p w14:paraId="574D13F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11.2.5商务技术偏离表；</w:t>
      </w:r>
    </w:p>
    <w:p w14:paraId="25E5DEA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p>
    <w:p w14:paraId="21209FA3">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14:paraId="083C0EA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11.3.1开标一览表（报价表）；</w:t>
      </w:r>
    </w:p>
    <w:p w14:paraId="7137CDA0">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61716015">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仿宋" w:hAnsi="仿宋" w:eastAsia="仿宋" w:cs="仿宋"/>
          <w:b/>
          <w:sz w:val="24"/>
          <w:szCs w:val="21"/>
          <w:highlight w:val="none"/>
        </w:rPr>
      </w:pPr>
      <w:r>
        <w:rPr>
          <w:rFonts w:hint="eastAsia" w:ascii="仿宋" w:hAnsi="仿宋" w:eastAsia="仿宋" w:cs="仿宋"/>
          <w:b/>
          <w:sz w:val="24"/>
          <w:highlight w:val="none"/>
        </w:rPr>
        <w:t>供应商提供虚假材料投标的，投标无效。</w:t>
      </w:r>
    </w:p>
    <w:p w14:paraId="701AF93C">
      <w:pPr>
        <w:pStyle w:val="222"/>
        <w:keepNext w:val="0"/>
        <w:keepLines w:val="0"/>
        <w:pageBreakBefore w:val="0"/>
        <w:widowControl w:val="0"/>
        <w:kinsoku/>
        <w:wordWrap/>
        <w:overflowPunct/>
        <w:topLinePunct w:val="0"/>
        <w:bidi w:val="0"/>
        <w:adjustRightInd w:val="0"/>
        <w:snapToGrid w:val="0"/>
        <w:spacing w:before="0"/>
        <w:ind w:firstLine="482" w:firstLineChars="200"/>
        <w:textAlignment w:val="auto"/>
        <w:outlineLvl w:val="0"/>
        <w:rPr>
          <w:rFonts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w:t>
      </w:r>
      <w:r>
        <w:rPr>
          <w:rFonts w:hint="eastAsia" w:ascii="仿宋" w:hAnsi="仿宋" w:eastAsia="仿宋" w:cs="仿宋"/>
          <w:b/>
          <w:szCs w:val="24"/>
          <w:highlight w:val="none"/>
        </w:rPr>
        <w:t>投标文件的编制</w:t>
      </w:r>
    </w:p>
    <w:p w14:paraId="725A557C">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仿宋" w:hAnsi="仿宋" w:eastAsia="仿宋" w:cs="仿宋"/>
          <w:b/>
          <w:sz w:val="24"/>
          <w:szCs w:val="21"/>
          <w:highlight w:val="none"/>
        </w:rPr>
      </w:pPr>
      <w:r>
        <w:rPr>
          <w:rFonts w:hint="eastAsia" w:ascii="仿宋" w:hAnsi="仿宋" w:eastAsia="仿宋" w:cs="仿宋"/>
          <w:b/>
          <w:sz w:val="24"/>
          <w:highlight w:val="none"/>
        </w:rPr>
        <w:t>▲投标文件未按本条规定的格式编制的，投标无效；</w:t>
      </w:r>
    </w:p>
    <w:p w14:paraId="484E75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79D7A71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7"/>
    <w:p w14:paraId="3B42F3F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12.3使用“乐采云电子交易客户端”需要提前申领CA数字证书，申领流程请自行前往“浙江政府采购网-下载专区-电子交易客户端-CA驱动和申领流程”进行查阅。</w:t>
      </w:r>
    </w:p>
    <w:p w14:paraId="2A8DA9C1">
      <w:pPr>
        <w:pStyle w:val="222"/>
        <w:keepNext w:val="0"/>
        <w:keepLines w:val="0"/>
        <w:pageBreakBefore w:val="0"/>
        <w:widowControl w:val="0"/>
        <w:kinsoku/>
        <w:wordWrap/>
        <w:overflowPunct/>
        <w:topLinePunct w:val="0"/>
        <w:bidi w:val="0"/>
        <w:adjustRightInd w:val="0"/>
        <w:snapToGrid w:val="0"/>
        <w:spacing w:before="0"/>
        <w:ind w:firstLine="482" w:firstLineChars="200"/>
        <w:textAlignment w:val="auto"/>
        <w:rPr>
          <w:rFonts w:ascii="仿宋" w:hAnsi="仿宋" w:eastAsia="仿宋" w:cs="仿宋"/>
          <w:b/>
          <w:szCs w:val="24"/>
          <w:highlight w:val="none"/>
        </w:rPr>
      </w:pPr>
      <w:r>
        <w:rPr>
          <w:rFonts w:hint="eastAsia" w:ascii="仿宋" w:hAnsi="仿宋" w:eastAsia="仿宋" w:cs="仿宋"/>
          <w:b/>
          <w:szCs w:val="24"/>
          <w:highlight w:val="none"/>
        </w:rPr>
        <w:t>12.4纸质备份文件（如有）的制作要求：</w:t>
      </w:r>
    </w:p>
    <w:p w14:paraId="296E501D">
      <w:pPr>
        <w:pStyle w:val="222"/>
        <w:keepNext w:val="0"/>
        <w:keepLines w:val="0"/>
        <w:pageBreakBefore w:val="0"/>
        <w:widowControl w:val="0"/>
        <w:kinsoku/>
        <w:wordWrap/>
        <w:overflowPunct/>
        <w:topLinePunct w:val="0"/>
        <w:bidi w:val="0"/>
        <w:adjustRightInd w:val="0"/>
        <w:snapToGri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12.4.1供应商制作纸质投标文件须在投标文件封面上标明“正本”与“副本”字样、项目名称与标项号，并加盖供应商公章。正本内容与副本不一致时，以正本为准。</w:t>
      </w:r>
    </w:p>
    <w:p w14:paraId="5192AD61">
      <w:pPr>
        <w:pStyle w:val="222"/>
        <w:keepNext w:val="0"/>
        <w:keepLines w:val="0"/>
        <w:pageBreakBefore w:val="0"/>
        <w:widowControl w:val="0"/>
        <w:kinsoku/>
        <w:wordWrap/>
        <w:overflowPunct/>
        <w:topLinePunct w:val="0"/>
        <w:bidi w:val="0"/>
        <w:adjustRightInd w:val="0"/>
        <w:snapToGri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12.4.2投标文件正本应使用不能擦去的墨水打印或书写</w:t>
      </w:r>
      <w:r>
        <w:rPr>
          <w:rFonts w:hint="eastAsia" w:ascii="仿宋" w:hAnsi="仿宋" w:eastAsia="仿宋" w:cs="仿宋"/>
          <w:highlight w:val="none"/>
        </w:rPr>
        <w:t>。</w:t>
      </w:r>
    </w:p>
    <w:p w14:paraId="14B86E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12.4.3全套投标文件应无涂改和行间插字，除非这些删改是根据采购机构要求进行，或者是供应商造成的必须修改的错误。所修改处应由法定代表人或其授权代表签字盖章予以确认。</w:t>
      </w:r>
    </w:p>
    <w:p w14:paraId="7FBE953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12.4.4 投标文件建议采用A4幅面，按顺序统一编目编码装订成册。</w:t>
      </w:r>
      <w:r>
        <w:rPr>
          <w:rFonts w:hint="eastAsia" w:ascii="仿宋" w:hAnsi="仿宋" w:eastAsia="仿宋" w:cs="仿宋"/>
          <w:b/>
          <w:sz w:val="24"/>
          <w:highlight w:val="none"/>
        </w:rPr>
        <w:t>提倡双面打印</w:t>
      </w:r>
      <w:r>
        <w:rPr>
          <w:rFonts w:hint="eastAsia" w:ascii="仿宋" w:hAnsi="仿宋" w:eastAsia="仿宋" w:cs="仿宋"/>
          <w:sz w:val="24"/>
          <w:highlight w:val="none"/>
        </w:rPr>
        <w:t>。</w:t>
      </w:r>
    </w:p>
    <w:p w14:paraId="105980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p>
    <w:p w14:paraId="15513BA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13.投标文件的装订、签署、盖章</w:t>
      </w:r>
    </w:p>
    <w:p w14:paraId="12CF43B0">
      <w:pPr>
        <w:pStyle w:val="222"/>
        <w:keepNext w:val="0"/>
        <w:keepLines w:val="0"/>
        <w:pageBreakBefore w:val="0"/>
        <w:widowControl w:val="0"/>
        <w:kinsoku/>
        <w:wordWrap/>
        <w:overflowPunct/>
        <w:topLinePunct w:val="0"/>
        <w:bidi w:val="0"/>
        <w:adjustRightInd w:val="0"/>
        <w:snapToGrid w:val="0"/>
        <w:spacing w:before="0"/>
        <w:ind w:firstLine="480" w:firstLineChars="200"/>
        <w:textAlignment w:val="auto"/>
        <w:rPr>
          <w:rFonts w:ascii="仿宋" w:hAnsi="仿宋" w:eastAsia="仿宋" w:cs="仿宋"/>
          <w:b/>
          <w:highlight w:val="none"/>
        </w:rPr>
      </w:pPr>
      <w:r>
        <w:rPr>
          <w:rFonts w:hint="eastAsia" w:ascii="仿宋" w:hAnsi="仿宋" w:eastAsia="仿宋" w:cs="仿宋"/>
          <w:szCs w:val="24"/>
          <w:highlight w:val="none"/>
        </w:rPr>
        <w:t>13.1投标文件按照交易文件第六部分格式要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▲供应商的投标文件未按照交易文件要求签署、盖章的，其投标无效</w:t>
      </w:r>
      <w:r>
        <w:rPr>
          <w:rFonts w:hint="eastAsia" w:ascii="仿宋" w:hAnsi="仿宋" w:eastAsia="仿宋" w:cs="仿宋"/>
          <w:szCs w:val="24"/>
          <w:highlight w:val="none"/>
        </w:rPr>
        <w:t>。</w:t>
      </w:r>
    </w:p>
    <w:p w14:paraId="7843C386">
      <w:pPr>
        <w:pStyle w:val="222"/>
        <w:keepNext w:val="0"/>
        <w:keepLines w:val="0"/>
        <w:pageBreakBefore w:val="0"/>
        <w:widowControl w:val="0"/>
        <w:kinsoku/>
        <w:wordWrap/>
        <w:overflowPunct/>
        <w:topLinePunct w:val="0"/>
        <w:bidi w:val="0"/>
        <w:adjustRightInd w:val="0"/>
        <w:snapToGrid w:val="0"/>
        <w:spacing w:before="0"/>
        <w:ind w:firstLine="480" w:firstLineChars="200"/>
        <w:textAlignment w:val="auto"/>
        <w:rPr>
          <w:rFonts w:ascii="仿宋" w:hAnsi="仿宋" w:eastAsia="仿宋" w:cs="仿宋"/>
          <w:szCs w:val="24"/>
          <w:highlight w:val="none"/>
        </w:rPr>
      </w:pPr>
      <w:r>
        <w:rPr>
          <w:rFonts w:hint="eastAsia" w:ascii="仿宋" w:hAnsi="仿宋" w:eastAsia="仿宋" w:cs="仿宋"/>
          <w:highlight w:val="none"/>
        </w:rPr>
        <w:t>13.2为确保网上操作合法、有效和安全，供应商应当在投标截止时间前完成在“政府采购云平台”的身份认证，确保在电子投标过程中能够对相关数据电文进行加密和使用电子签章。</w:t>
      </w:r>
    </w:p>
    <w:p w14:paraId="443A3F5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b/>
          <w:sz w:val="24"/>
          <w:highlight w:val="none"/>
        </w:rPr>
      </w:pPr>
      <w:r>
        <w:rPr>
          <w:rFonts w:hint="eastAsia" w:ascii="仿宋" w:hAnsi="仿宋" w:eastAsia="仿宋" w:cs="仿宋"/>
          <w:sz w:val="24"/>
          <w:highlight w:val="none"/>
        </w:rPr>
        <w:t>纸质备份文件（如有）须将投标文件的资格文件、商务技术文件、报价文件</w:t>
      </w:r>
      <w:r>
        <w:rPr>
          <w:rFonts w:hint="eastAsia" w:ascii="仿宋" w:hAnsi="仿宋" w:eastAsia="仿宋" w:cs="仿宋"/>
          <w:b/>
          <w:sz w:val="24"/>
          <w:highlight w:val="none"/>
        </w:rPr>
        <w:t>三</w:t>
      </w:r>
      <w:r>
        <w:rPr>
          <w:rFonts w:hint="eastAsia" w:ascii="仿宋" w:hAnsi="仿宋" w:eastAsia="仿宋" w:cs="仿宋"/>
          <w:sz w:val="24"/>
          <w:highlight w:val="none"/>
        </w:rPr>
        <w:t>部分分别装订成册，投标文件的装订必须采用</w:t>
      </w:r>
      <w:r>
        <w:rPr>
          <w:rFonts w:hint="eastAsia" w:ascii="仿宋" w:hAnsi="仿宋" w:eastAsia="仿宋" w:cs="仿宋"/>
          <w:b/>
          <w:sz w:val="24"/>
          <w:highlight w:val="none"/>
        </w:rPr>
        <w:t>胶订或线订</w:t>
      </w:r>
      <w:r>
        <w:rPr>
          <w:rFonts w:hint="eastAsia" w:ascii="仿宋" w:hAnsi="仿宋" w:eastAsia="仿宋" w:cs="仿宋"/>
          <w:sz w:val="24"/>
          <w:highlight w:val="none"/>
        </w:rPr>
        <w:t>形式，不得采用活页装订方式（胶订或线订以外装订形式视为活页装订）。</w:t>
      </w:r>
      <w:r>
        <w:rPr>
          <w:rFonts w:hint="eastAsia" w:ascii="仿宋" w:hAnsi="仿宋" w:eastAsia="仿宋" w:cs="仿宋"/>
          <w:b/>
          <w:sz w:val="24"/>
          <w:highlight w:val="none"/>
        </w:rPr>
        <w:t>▲对不符合装订要求的投标文件，按投标无效处理。</w:t>
      </w:r>
    </w:p>
    <w:p w14:paraId="495EDCC3">
      <w:pPr>
        <w:pStyle w:val="222"/>
        <w:keepNext w:val="0"/>
        <w:keepLines w:val="0"/>
        <w:pageBreakBefore w:val="0"/>
        <w:widowControl w:val="0"/>
        <w:kinsoku/>
        <w:wordWrap/>
        <w:overflowPunct/>
        <w:topLinePunct w:val="0"/>
        <w:bidi w:val="0"/>
        <w:adjustRightInd w:val="0"/>
        <w:snapToGrid w:val="0"/>
        <w:spacing w:before="0"/>
        <w:ind w:firstLine="480" w:firstLineChars="200"/>
        <w:textAlignment w:val="auto"/>
        <w:rPr>
          <w:rFonts w:ascii="仿宋" w:hAnsi="仿宋" w:eastAsia="仿宋" w:cs="仿宋"/>
          <w:szCs w:val="24"/>
          <w:highlight w:val="none"/>
        </w:rPr>
      </w:pPr>
      <w:r>
        <w:rPr>
          <w:rFonts w:hint="eastAsia" w:ascii="仿宋" w:hAnsi="仿宋" w:eastAsia="仿宋" w:cs="仿宋"/>
          <w:highlight w:val="none"/>
        </w:rPr>
        <w:t>13.3交易文件对投标文件签署、盖章的要求适用于电子签章（盖章）。</w:t>
      </w:r>
    </w:p>
    <w:p w14:paraId="7F92DBA1">
      <w:pPr>
        <w:pStyle w:val="222"/>
        <w:keepNext w:val="0"/>
        <w:keepLines w:val="0"/>
        <w:pageBreakBefore w:val="0"/>
        <w:widowControl w:val="0"/>
        <w:kinsoku/>
        <w:wordWrap/>
        <w:overflowPunct/>
        <w:topLinePunct w:val="0"/>
        <w:bidi w:val="0"/>
        <w:adjustRightInd w:val="0"/>
        <w:spacing w:before="0"/>
        <w:ind w:firstLine="482" w:firstLineChars="200"/>
        <w:textAlignment w:val="auto"/>
        <w:rPr>
          <w:rFonts w:ascii="仿宋" w:hAnsi="仿宋" w:eastAsia="仿宋" w:cs="仿宋"/>
          <w:b/>
          <w:szCs w:val="24"/>
          <w:highlight w:val="none"/>
        </w:rPr>
      </w:pPr>
      <w:r>
        <w:rPr>
          <w:rFonts w:hint="eastAsia" w:ascii="仿宋" w:hAnsi="仿宋" w:eastAsia="仿宋" w:cs="仿宋"/>
          <w:b/>
          <w:highlight w:val="none"/>
        </w:rPr>
        <w:t xml:space="preserve">14. </w:t>
      </w:r>
      <w:r>
        <w:rPr>
          <w:rFonts w:hint="eastAsia" w:ascii="仿宋" w:hAnsi="仿宋" w:eastAsia="仿宋" w:cs="仿宋"/>
          <w:b/>
          <w:szCs w:val="24"/>
          <w:highlight w:val="none"/>
        </w:rPr>
        <w:t>投标文件的提交、补充、修改、撤回</w:t>
      </w:r>
    </w:p>
    <w:p w14:paraId="3FAC687F">
      <w:pPr>
        <w:pStyle w:val="222"/>
        <w:keepNext w:val="0"/>
        <w:keepLines w:val="0"/>
        <w:pageBreakBefore w:val="0"/>
        <w:widowControl w:val="0"/>
        <w:kinsoku/>
        <w:wordWrap/>
        <w:overflowPunct/>
        <w:topLinePunct w:val="0"/>
        <w:bidi w:val="0"/>
        <w:adjustRightInd w:val="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5F4C88">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760C117">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14.3采购机构可以视情况延长投标文件提交的截止时间。在上述情况下，采购机构与供应商以前在投标截止期方面的全部权利、责任和义务，将适用于延长至新的投标截止期。</w:t>
      </w:r>
    </w:p>
    <w:p w14:paraId="5E720FD3">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1DF64691">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14.4.1 供应商的补充、修改文件，应按本须知规定编制、密封、标志和递交，如果一份投标文件有几份函件时，应注明哪一份有效，否则所作修改视为无效。</w:t>
      </w:r>
    </w:p>
    <w:p w14:paraId="30EA6331">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14.4.2供应商对投标文件的修改均要加以说明，否则其修改将被视为无效。</w:t>
      </w:r>
    </w:p>
    <w:p w14:paraId="12217F98">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238B8C02">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14.4.4</w:t>
      </w:r>
      <w:r>
        <w:rPr>
          <w:rFonts w:hint="eastAsia" w:ascii="仿宋" w:hAnsi="仿宋" w:eastAsia="仿宋" w:cs="仿宋"/>
          <w:highlight w:val="none"/>
        </w:rPr>
        <w:t>在开标后规定的投标有效期内</w:t>
      </w:r>
      <w:r>
        <w:rPr>
          <w:rFonts w:hint="eastAsia" w:ascii="仿宋" w:hAnsi="仿宋" w:eastAsia="仿宋" w:cs="仿宋"/>
          <w:szCs w:val="24"/>
          <w:highlight w:val="none"/>
        </w:rPr>
        <w:t>，供应商不能撤销投标文件。</w:t>
      </w:r>
    </w:p>
    <w:p w14:paraId="43A5FC6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bCs/>
          <w:sz w:val="24"/>
          <w:highlight w:val="none"/>
        </w:rPr>
      </w:pPr>
      <w:r>
        <w:rPr>
          <w:rFonts w:hint="eastAsia" w:ascii="仿宋" w:hAnsi="仿宋" w:eastAsia="仿宋" w:cs="仿宋"/>
          <w:bCs/>
          <w:sz w:val="24"/>
          <w:highlight w:val="none"/>
        </w:rPr>
        <w:t>15. 备份投标文件（如有）以及投标文件的递交</w:t>
      </w:r>
    </w:p>
    <w:p w14:paraId="1343E82E">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b/>
          <w:szCs w:val="24"/>
          <w:highlight w:val="none"/>
        </w:rPr>
      </w:pPr>
      <w:r>
        <w:rPr>
          <w:rFonts w:hint="eastAsia" w:ascii="仿宋" w:hAnsi="仿宋" w:eastAsia="仿宋" w:cs="仿宋"/>
          <w:szCs w:val="24"/>
          <w:highlight w:val="none"/>
        </w:rPr>
        <w:t>15.1备份投标文件须</w:t>
      </w:r>
      <w:r>
        <w:rPr>
          <w:rFonts w:hint="eastAsia" w:ascii="仿宋" w:hAnsi="仿宋" w:eastAsia="仿宋" w:cs="仿宋"/>
          <w:b/>
          <w:szCs w:val="24"/>
          <w:highlight w:val="none"/>
        </w:rPr>
        <w:t>密封包装</w:t>
      </w:r>
      <w:r>
        <w:rPr>
          <w:rFonts w:hint="eastAsia" w:ascii="仿宋" w:hAnsi="仿宋" w:eastAsia="仿宋" w:cs="仿宋"/>
          <w:szCs w:val="24"/>
          <w:highlight w:val="none"/>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highlight w:val="none"/>
        </w:rPr>
        <w:t>。没有密封包装的投标文件，将被拒收。</w:t>
      </w:r>
    </w:p>
    <w:p w14:paraId="1F3AF85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15.2所有备份投标文件包装封面物应写明项目名称、供应商名称(联合体投标的，包装物封面需注明联合体投标，并注明联合体成员各方的名称和联合体协议中约定的牵头人的名称)。</w:t>
      </w:r>
    </w:p>
    <w:p w14:paraId="6CDF358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6FBB2D5D">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▲不符合上述制作、存储、密封规定的备份投标文件将被视为无效或者被拒绝接收。</w:t>
      </w:r>
    </w:p>
    <w:p w14:paraId="5494B4E6">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仿宋" w:hAnsi="仿宋" w:eastAsia="仿宋" w:cs="仿宋"/>
          <w:sz w:val="24"/>
          <w:highlight w:val="none"/>
        </w:rPr>
      </w:pPr>
      <w:r>
        <w:rPr>
          <w:rFonts w:hint="eastAsia" w:ascii="仿宋" w:hAnsi="仿宋" w:eastAsia="仿宋" w:cs="仿宋"/>
          <w:b/>
          <w:sz w:val="24"/>
          <w:highlight w:val="none"/>
        </w:rPr>
        <w:t>▲供应商仅提交备份投标文件，没有在电子交易平台传输递交投标文件的，投标无效。</w:t>
      </w:r>
    </w:p>
    <w:p w14:paraId="149C5372">
      <w:pPr>
        <w:pStyle w:val="222"/>
        <w:keepNext w:val="0"/>
        <w:keepLines w:val="0"/>
        <w:pageBreakBefore w:val="0"/>
        <w:widowControl w:val="0"/>
        <w:kinsoku/>
        <w:wordWrap/>
        <w:overflowPunct/>
        <w:topLinePunct w:val="0"/>
        <w:bidi w:val="0"/>
        <w:adjustRightInd w:val="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D0A5C7">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15.5采购机构可以视情况延长投标文件提交的截止时间。在上述情况下，采购机构与供应商以前在投标截止期方面的全部权利、责任和义务，将适用于延长至新的投标截止期。</w:t>
      </w:r>
    </w:p>
    <w:p w14:paraId="09927F94">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szCs w:val="24"/>
          <w:highlight w:val="none"/>
        </w:rPr>
      </w:pPr>
      <w:r>
        <w:rPr>
          <w:rFonts w:hint="eastAsia" w:ascii="仿宋" w:hAnsi="仿宋" w:eastAsia="仿宋" w:cs="仿宋"/>
          <w:szCs w:val="24"/>
          <w:highlight w:val="none"/>
        </w:rPr>
        <w:t>15.6如项目须备份投标文件，</w:t>
      </w:r>
      <w:r>
        <w:rPr>
          <w:rFonts w:hint="eastAsia" w:ascii="仿宋" w:hAnsi="仿宋" w:eastAsia="仿宋" w:cs="仿宋"/>
          <w:highlight w:val="none"/>
        </w:rPr>
        <w:t>供应商应按“交易公告”及前附表规定的时间、地点完成采购文件获取手续并将投标文件提交给</w:t>
      </w:r>
      <w:r>
        <w:rPr>
          <w:rFonts w:hint="eastAsia" w:ascii="仿宋" w:hAnsi="仿宋" w:eastAsia="仿宋" w:cs="仿宋"/>
          <w:szCs w:val="24"/>
          <w:highlight w:val="none"/>
        </w:rPr>
        <w:t>采购机构</w:t>
      </w:r>
      <w:r>
        <w:rPr>
          <w:rFonts w:hint="eastAsia" w:ascii="仿宋" w:hAnsi="仿宋" w:eastAsia="仿宋" w:cs="仿宋"/>
          <w:highlight w:val="none"/>
        </w:rPr>
        <w:t>，</w:t>
      </w:r>
      <w:r>
        <w:rPr>
          <w:rFonts w:hint="eastAsia" w:ascii="仿宋" w:hAnsi="仿宋" w:eastAsia="仿宋" w:cs="仿宋"/>
          <w:szCs w:val="24"/>
          <w:highlight w:val="none"/>
        </w:rPr>
        <w:t>采购机构</w:t>
      </w:r>
      <w:r>
        <w:rPr>
          <w:rFonts w:hint="eastAsia" w:ascii="仿宋" w:hAnsi="仿宋" w:eastAsia="仿宋" w:cs="仿宋"/>
          <w:highlight w:val="none"/>
        </w:rPr>
        <w:t>将拒绝接受逾期送达的投标文件和未按公告要求完成采购文件获取的供应商递交的投标文件。</w:t>
      </w:r>
    </w:p>
    <w:bookmarkEnd w:id="55"/>
    <w:bookmarkEnd w:id="56"/>
    <w:p w14:paraId="6E41D85E">
      <w:pPr>
        <w:pStyle w:val="222"/>
        <w:keepNext w:val="0"/>
        <w:keepLines w:val="0"/>
        <w:pageBreakBefore w:val="0"/>
        <w:widowControl w:val="0"/>
        <w:kinsoku/>
        <w:wordWrap/>
        <w:overflowPunct/>
        <w:topLinePunct w:val="0"/>
        <w:bidi w:val="0"/>
        <w:adjustRightInd w:val="0"/>
        <w:spacing w:before="0"/>
        <w:ind w:firstLine="482" w:firstLineChars="200"/>
        <w:textAlignment w:val="auto"/>
        <w:rPr>
          <w:rFonts w:ascii="仿宋" w:hAnsi="仿宋" w:eastAsia="仿宋" w:cs="仿宋"/>
          <w:b/>
          <w:szCs w:val="24"/>
          <w:highlight w:val="none"/>
        </w:rPr>
      </w:pPr>
      <w:r>
        <w:rPr>
          <w:rFonts w:hint="eastAsia" w:ascii="仿宋" w:hAnsi="仿宋" w:eastAsia="仿宋" w:cs="仿宋"/>
          <w:b/>
          <w:szCs w:val="24"/>
          <w:highlight w:val="none"/>
        </w:rPr>
        <w:t>16.投标文件的无效处理</w:t>
      </w:r>
    </w:p>
    <w:p w14:paraId="79AFF89A">
      <w:pPr>
        <w:pStyle w:val="11"/>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Cs w:val="21"/>
          <w:highlight w:val="none"/>
        </w:rPr>
      </w:pPr>
      <w:r>
        <w:rPr>
          <w:rFonts w:hint="eastAsia" w:ascii="仿宋" w:hAnsi="仿宋" w:eastAsia="仿宋" w:cs="仿宋"/>
          <w:szCs w:val="21"/>
          <w:highlight w:val="none"/>
        </w:rPr>
        <w:t>有交易文件第四部分</w:t>
      </w:r>
      <w:r>
        <w:rPr>
          <w:rFonts w:hint="eastAsia" w:ascii="仿宋" w:hAnsi="仿宋" w:eastAsia="仿宋" w:cs="仿宋"/>
          <w:highlight w:val="none"/>
        </w:rPr>
        <w:t>第13项规定</w:t>
      </w:r>
      <w:r>
        <w:rPr>
          <w:rFonts w:hint="eastAsia" w:ascii="仿宋" w:hAnsi="仿宋" w:eastAsia="仿宋" w:cs="仿宋"/>
          <w:szCs w:val="21"/>
          <w:highlight w:val="none"/>
        </w:rPr>
        <w:t>的情形之一的，投标无效：</w:t>
      </w:r>
    </w:p>
    <w:p w14:paraId="0FC6B2A4">
      <w:pPr>
        <w:pStyle w:val="222"/>
        <w:keepNext w:val="0"/>
        <w:keepLines w:val="0"/>
        <w:pageBreakBefore w:val="0"/>
        <w:widowControl w:val="0"/>
        <w:kinsoku/>
        <w:wordWrap/>
        <w:overflowPunct/>
        <w:topLinePunct w:val="0"/>
        <w:bidi w:val="0"/>
        <w:adjustRightInd w:val="0"/>
        <w:spacing w:before="0"/>
        <w:ind w:firstLine="482" w:firstLineChars="200"/>
        <w:textAlignment w:val="auto"/>
        <w:rPr>
          <w:rFonts w:ascii="仿宋" w:hAnsi="仿宋" w:eastAsia="仿宋" w:cs="仿宋"/>
          <w:b/>
          <w:szCs w:val="24"/>
          <w:highlight w:val="none"/>
        </w:rPr>
      </w:pPr>
      <w:r>
        <w:rPr>
          <w:rFonts w:hint="eastAsia" w:ascii="仿宋" w:hAnsi="仿宋" w:eastAsia="仿宋" w:cs="仿宋"/>
          <w:b/>
          <w:szCs w:val="24"/>
          <w:highlight w:val="none"/>
        </w:rPr>
        <w:t>17.投标有效期</w:t>
      </w:r>
    </w:p>
    <w:p w14:paraId="0AFBBF6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供应商的投标文件中承</w:t>
      </w:r>
      <w:r>
        <w:rPr>
          <w:rFonts w:hint="eastAsia" w:ascii="仿宋" w:hAnsi="仿宋" w:eastAsia="仿宋" w:cs="仿宋"/>
          <w:b/>
          <w:sz w:val="24"/>
          <w:szCs w:val="21"/>
          <w:highlight w:val="none"/>
        </w:rPr>
        <w:t>诺的投标有效期少于交易文件中载明的投标有效期的，投标无效。</w:t>
      </w:r>
    </w:p>
    <w:p w14:paraId="4B8C4606">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1C3BFF8B">
      <w:pPr>
        <w:pStyle w:val="222"/>
        <w:keepNext w:val="0"/>
        <w:keepLines w:val="0"/>
        <w:pageBreakBefore w:val="0"/>
        <w:widowControl w:val="0"/>
        <w:kinsoku/>
        <w:wordWrap/>
        <w:overflowPunct/>
        <w:topLinePunct w:val="0"/>
        <w:bidi w:val="0"/>
        <w:adjustRightIn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17.3在原定投标有效期满之前，如果出现特殊情况，采购机构可以以公告形式通知供应商延长投标有效期。供应商同意延长的，不得要求或被允许修改其投标文件，供应商拒绝延长的，其投标无效。</w:t>
      </w:r>
    </w:p>
    <w:p w14:paraId="609404C7">
      <w:pPr>
        <w:pStyle w:val="222"/>
        <w:spacing w:before="0"/>
        <w:ind w:firstLine="643"/>
        <w:rPr>
          <w:rFonts w:ascii="仿宋" w:hAnsi="仿宋" w:eastAsia="仿宋" w:cs="仿宋"/>
          <w:b/>
          <w:sz w:val="32"/>
          <w:highlight w:val="none"/>
        </w:rPr>
      </w:pPr>
      <w:bookmarkStart w:id="58" w:name="_Toc91899897"/>
    </w:p>
    <w:p w14:paraId="12850C1C">
      <w:pPr>
        <w:pStyle w:val="222"/>
        <w:spacing w:before="0"/>
        <w:ind w:firstLine="1928" w:firstLineChars="600"/>
        <w:rPr>
          <w:rFonts w:ascii="仿宋" w:hAnsi="仿宋" w:eastAsia="仿宋" w:cs="仿宋"/>
          <w:b/>
          <w:sz w:val="32"/>
          <w:highlight w:val="none"/>
        </w:rPr>
      </w:pPr>
      <w:r>
        <w:rPr>
          <w:rFonts w:hint="eastAsia" w:ascii="仿宋" w:hAnsi="仿宋" w:eastAsia="仿宋" w:cs="仿宋"/>
          <w:b/>
          <w:sz w:val="32"/>
          <w:highlight w:val="none"/>
        </w:rPr>
        <w:br w:type="page"/>
      </w:r>
      <w:r>
        <w:rPr>
          <w:rFonts w:hint="eastAsia" w:ascii="仿宋" w:hAnsi="仿宋" w:eastAsia="仿宋" w:cs="仿宋"/>
          <w:b/>
          <w:sz w:val="32"/>
          <w:highlight w:val="none"/>
        </w:rPr>
        <w:t>四、开标</w:t>
      </w:r>
      <w:bookmarkEnd w:id="58"/>
      <w:r>
        <w:rPr>
          <w:rFonts w:hint="eastAsia" w:ascii="仿宋" w:hAnsi="仿宋" w:eastAsia="仿宋" w:cs="仿宋"/>
          <w:b/>
          <w:sz w:val="32"/>
          <w:highlight w:val="none"/>
        </w:rPr>
        <w:t>、资格审查与信用信息查询</w:t>
      </w:r>
    </w:p>
    <w:p w14:paraId="720EAD1A">
      <w:pPr>
        <w:pStyle w:val="498"/>
        <w:keepNext w:val="0"/>
        <w:keepLines w:val="0"/>
        <w:pageBreakBefore w:val="0"/>
        <w:kinsoku/>
        <w:wordWrap/>
        <w:overflowPunct/>
        <w:topLinePunct w:val="0"/>
        <w:bidi w:val="0"/>
        <w:adjustRightInd w:val="0"/>
        <w:spacing w:before="0" w:line="360" w:lineRule="auto"/>
        <w:ind w:left="0" w:firstLine="482" w:firstLineChars="200"/>
        <w:contextualSpacing/>
        <w:textAlignment w:val="auto"/>
        <w:rPr>
          <w:rFonts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13D6F6EF">
      <w:pPr>
        <w:pStyle w:val="498"/>
        <w:keepNext w:val="0"/>
        <w:keepLines w:val="0"/>
        <w:pageBreakBefore w:val="0"/>
        <w:kinsoku/>
        <w:wordWrap/>
        <w:overflowPunct/>
        <w:topLinePunct w:val="0"/>
        <w:bidi w:val="0"/>
        <w:adjustRightInd w:val="0"/>
        <w:spacing w:before="0" w:line="360" w:lineRule="auto"/>
        <w:ind w:left="0" w:firstLine="480" w:firstLineChars="200"/>
        <w:contextualSpacing/>
        <w:textAlignment w:val="auto"/>
        <w:rPr>
          <w:rFonts w:ascii="仿宋" w:hAnsi="仿宋" w:eastAsia="仿宋" w:cs="仿宋"/>
          <w:sz w:val="24"/>
          <w:highlight w:val="none"/>
        </w:rPr>
      </w:pPr>
      <w:r>
        <w:rPr>
          <w:rFonts w:hint="eastAsia" w:ascii="仿宋" w:hAnsi="仿宋" w:eastAsia="仿宋" w:cs="仿宋"/>
          <w:sz w:val="24"/>
          <w:highlight w:val="none"/>
        </w:rPr>
        <w:t>18.1采购机构按照交易文件规定的时间通过电子交易平台组织开标，所有供应商均应当准时在线参加。供应商不足3家的，不得开标。</w:t>
      </w:r>
    </w:p>
    <w:p w14:paraId="6E9A5F27">
      <w:pPr>
        <w:pStyle w:val="498"/>
        <w:keepNext w:val="0"/>
        <w:keepLines w:val="0"/>
        <w:pageBreakBefore w:val="0"/>
        <w:kinsoku/>
        <w:wordWrap/>
        <w:overflowPunct/>
        <w:topLinePunct w:val="0"/>
        <w:bidi w:val="0"/>
        <w:adjustRightInd w:val="0"/>
        <w:spacing w:before="0" w:line="360" w:lineRule="auto"/>
        <w:ind w:left="0" w:firstLine="480" w:firstLineChars="200"/>
        <w:contextualSpacing/>
        <w:textAlignment w:val="auto"/>
        <w:rPr>
          <w:rFonts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18.2开标时，电子交易平台按开标时间自动提取所有投标文件。采购机构依托电子交易平台发起开始解密指令，供应商按照平台提示和交易文件的规定在半小时内完成在线解密。</w:t>
      </w:r>
    </w:p>
    <w:p w14:paraId="1EB59164">
      <w:pPr>
        <w:pStyle w:val="498"/>
        <w:keepNext w:val="0"/>
        <w:keepLines w:val="0"/>
        <w:pageBreakBefore w:val="0"/>
        <w:kinsoku/>
        <w:wordWrap/>
        <w:overflowPunct/>
        <w:topLinePunct w:val="0"/>
        <w:bidi w:val="0"/>
        <w:adjustRightInd w:val="0"/>
        <w:spacing w:before="0" w:line="360" w:lineRule="auto"/>
        <w:ind w:left="0" w:firstLine="480" w:firstLineChars="200"/>
        <w:contextualSpacing/>
        <w:textAlignment w:val="auto"/>
        <w:rPr>
          <w:rFonts w:ascii="仿宋" w:hAnsi="仿宋" w:eastAsia="仿宋" w:cs="仿宋"/>
          <w:sz w:val="24"/>
          <w:highlight w:val="none"/>
        </w:rPr>
      </w:pPr>
      <w:r>
        <w:rPr>
          <w:rFonts w:hint="eastAsia" w:ascii="仿宋" w:hAnsi="仿宋" w:eastAsia="仿宋" w:cs="仿宋"/>
          <w:sz w:val="24"/>
          <w:highlight w:val="none"/>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highlight w:val="none"/>
        </w:rPr>
        <w:t>投标文件已按时解密的，备份投标文件自动失效。</w:t>
      </w:r>
    </w:p>
    <w:p w14:paraId="7A6372C9">
      <w:pPr>
        <w:pStyle w:val="498"/>
        <w:keepNext w:val="0"/>
        <w:keepLines w:val="0"/>
        <w:pageBreakBefore w:val="0"/>
        <w:kinsoku/>
        <w:wordWrap/>
        <w:overflowPunct/>
        <w:topLinePunct w:val="0"/>
        <w:bidi w:val="0"/>
        <w:adjustRightInd w:val="0"/>
        <w:spacing w:before="0" w:line="360" w:lineRule="auto"/>
        <w:ind w:left="0" w:firstLine="480" w:firstLineChars="200"/>
        <w:contextualSpacing/>
        <w:textAlignment w:val="auto"/>
        <w:rPr>
          <w:rFonts w:ascii="仿宋" w:hAnsi="仿宋" w:eastAsia="仿宋" w:cs="仿宋"/>
          <w:sz w:val="24"/>
          <w:highlight w:val="none"/>
        </w:rPr>
      </w:pPr>
      <w:r>
        <w:rPr>
          <w:rFonts w:hint="eastAsia" w:ascii="仿宋" w:hAnsi="仿宋" w:eastAsia="仿宋" w:cs="仿宋"/>
          <w:sz w:val="24"/>
          <w:highlight w:val="none"/>
        </w:rPr>
        <w:t>18.4 备份投标文件的接收在交易文件确定的时间、地点进行。</w:t>
      </w:r>
    </w:p>
    <w:p w14:paraId="56EFA3EC">
      <w:pPr>
        <w:pStyle w:val="498"/>
        <w:keepNext w:val="0"/>
        <w:keepLines w:val="0"/>
        <w:pageBreakBefore w:val="0"/>
        <w:kinsoku/>
        <w:wordWrap/>
        <w:overflowPunct/>
        <w:topLinePunct w:val="0"/>
        <w:bidi w:val="0"/>
        <w:adjustRightInd w:val="0"/>
        <w:spacing w:before="0" w:line="360" w:lineRule="auto"/>
        <w:ind w:left="0" w:firstLine="482" w:firstLineChars="200"/>
        <w:contextualSpacing/>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19.资格审查</w:t>
      </w:r>
    </w:p>
    <w:p w14:paraId="2B6AE8E5">
      <w:pPr>
        <w:pStyle w:val="222"/>
        <w:keepNext w:val="0"/>
        <w:keepLines w:val="0"/>
        <w:pageBreakBefore w:val="0"/>
        <w:kinsoku/>
        <w:wordWrap/>
        <w:overflowPunct/>
        <w:topLinePunct w:val="0"/>
        <w:bidi w:val="0"/>
        <w:adjustRightInd w:val="0"/>
        <w:spacing w:before="0" w:line="360" w:lineRule="auto"/>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19.1开标后，采购人将依法对供应商的资格进行审查。</w:t>
      </w:r>
    </w:p>
    <w:p w14:paraId="2A6C8B0F">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采购人或采购机构依据法律法规和交易文件的规定，对供应商的基本资格条件、特定资格条件进行审查。</w:t>
      </w:r>
    </w:p>
    <w:p w14:paraId="772A0E36">
      <w:pPr>
        <w:pStyle w:val="222"/>
        <w:keepNext w:val="0"/>
        <w:keepLines w:val="0"/>
        <w:pageBreakBefore w:val="0"/>
        <w:kinsoku/>
        <w:wordWrap/>
        <w:overflowPunct/>
        <w:topLinePunct w:val="0"/>
        <w:bidi w:val="0"/>
        <w:adjustRightInd w:val="0"/>
        <w:spacing w:before="0" w:line="360" w:lineRule="auto"/>
        <w:ind w:firstLine="480" w:firstLineChars="200"/>
        <w:textAlignment w:val="auto"/>
        <w:rPr>
          <w:rFonts w:ascii="仿宋" w:hAnsi="仿宋" w:eastAsia="仿宋" w:cs="仿宋"/>
          <w:highlight w:val="none"/>
        </w:rPr>
      </w:pPr>
      <w:r>
        <w:rPr>
          <w:rFonts w:hint="eastAsia" w:ascii="仿宋" w:hAnsi="仿宋" w:eastAsia="仿宋" w:cs="仿宋"/>
          <w:kern w:val="0"/>
          <w:szCs w:val="24"/>
          <w:highlight w:val="none"/>
        </w:rPr>
        <w:t>19.3供应商未按照交易文件要求提供与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供应商不具备交易文件中规定的资格要求，其投标无效。</w:t>
      </w:r>
    </w:p>
    <w:p w14:paraId="4A0F3705">
      <w:pPr>
        <w:pStyle w:val="222"/>
        <w:keepNext w:val="0"/>
        <w:keepLines w:val="0"/>
        <w:pageBreakBefore w:val="0"/>
        <w:kinsoku/>
        <w:wordWrap/>
        <w:overflowPunct/>
        <w:topLinePunct w:val="0"/>
        <w:bidi w:val="0"/>
        <w:adjustRightInd w:val="0"/>
        <w:spacing w:before="0"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19.4对未通过资格审查的供应商，采购人或采购机构告知其未通过的原因。</w:t>
      </w:r>
    </w:p>
    <w:p w14:paraId="47D5A181">
      <w:pPr>
        <w:pStyle w:val="222"/>
        <w:keepNext w:val="0"/>
        <w:keepLines w:val="0"/>
        <w:pageBreakBefore w:val="0"/>
        <w:kinsoku/>
        <w:wordWrap/>
        <w:overflowPunct/>
        <w:topLinePunct w:val="0"/>
        <w:bidi w:val="0"/>
        <w:adjustRightIn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19.5合格供应商不足3家的，不再评标。</w:t>
      </w:r>
    </w:p>
    <w:p w14:paraId="0D4B6787">
      <w:pPr>
        <w:pStyle w:val="222"/>
        <w:keepNext w:val="0"/>
        <w:keepLines w:val="0"/>
        <w:pageBreakBefore w:val="0"/>
        <w:kinsoku/>
        <w:wordWrap/>
        <w:overflowPunct/>
        <w:topLinePunct w:val="0"/>
        <w:bidi w:val="0"/>
        <w:adjustRightInd w:val="0"/>
        <w:spacing w:before="0"/>
        <w:ind w:firstLine="482" w:firstLineChars="200"/>
        <w:textAlignment w:val="auto"/>
        <w:rPr>
          <w:rFonts w:ascii="仿宋" w:hAnsi="仿宋" w:eastAsia="仿宋" w:cs="仿宋"/>
          <w:b/>
          <w:szCs w:val="24"/>
          <w:highlight w:val="none"/>
        </w:rPr>
      </w:pPr>
      <w:r>
        <w:rPr>
          <w:rFonts w:hint="eastAsia" w:ascii="仿宋" w:hAnsi="仿宋" w:eastAsia="仿宋" w:cs="仿宋"/>
          <w:b/>
          <w:szCs w:val="24"/>
          <w:highlight w:val="none"/>
        </w:rPr>
        <w:t>20.信用信息查询</w:t>
      </w:r>
    </w:p>
    <w:p w14:paraId="2E10C0E4">
      <w:pPr>
        <w:pStyle w:val="222"/>
        <w:keepNext w:val="0"/>
        <w:keepLines w:val="0"/>
        <w:pageBreakBefore w:val="0"/>
        <w:kinsoku/>
        <w:wordWrap/>
        <w:overflowPunct/>
        <w:topLinePunct w:val="0"/>
        <w:bidi w:val="0"/>
        <w:adjustRightInd w:val="0"/>
        <w:spacing w:before="0"/>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20.1信用信息查询渠道及截止时间：采购人或采购机构将通过“信用中国”网站(www.creditchina.gov.cn)、中国政府采购网(www.ccgp.gov.cn)渠道查询供应商投标截止时间前的信用记录。</w:t>
      </w:r>
    </w:p>
    <w:p w14:paraId="26A88F25">
      <w:pPr>
        <w:pStyle w:val="222"/>
        <w:keepNext w:val="0"/>
        <w:keepLines w:val="0"/>
        <w:pageBreakBefore w:val="0"/>
        <w:kinsoku/>
        <w:wordWrap/>
        <w:overflowPunct/>
        <w:topLinePunct w:val="0"/>
        <w:bidi w:val="0"/>
        <w:adjustRightInd w:val="0"/>
        <w:spacing w:before="0"/>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20.2信用信息查询记录和证据留存的具体方式：现场查询的供应商的信用记录、查询结果经确认后将与采购文件一起存档。</w:t>
      </w:r>
    </w:p>
    <w:p w14:paraId="4F8EBDBA">
      <w:pPr>
        <w:pStyle w:val="222"/>
        <w:keepNext w:val="0"/>
        <w:keepLines w:val="0"/>
        <w:pageBreakBefore w:val="0"/>
        <w:kinsoku/>
        <w:wordWrap/>
        <w:overflowPunct/>
        <w:topLinePunct w:val="0"/>
        <w:bidi w:val="0"/>
        <w:adjustRightInd w:val="0"/>
        <w:spacing w:before="0"/>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20.3信用信息的使用规则：经查询列入失信被执行人名单、重大税收违法案件当事人名单、政府采购严重违法失信行为记录名单的供应商将被拒绝参与政府采购活动。</w:t>
      </w:r>
    </w:p>
    <w:p w14:paraId="70C97FBF">
      <w:pPr>
        <w:pStyle w:val="222"/>
        <w:keepNext w:val="0"/>
        <w:keepLines w:val="0"/>
        <w:pageBreakBefore w:val="0"/>
        <w:kinsoku/>
        <w:wordWrap/>
        <w:overflowPunct/>
        <w:topLinePunct w:val="0"/>
        <w:bidi w:val="0"/>
        <w:adjustRightInd w:val="0"/>
        <w:spacing w:before="0"/>
        <w:ind w:firstLine="480" w:firstLineChars="200"/>
        <w:textAlignment w:val="auto"/>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7E0B2459">
      <w:pPr>
        <w:pStyle w:val="222"/>
        <w:spacing w:before="0"/>
        <w:ind w:firstLine="0" w:firstLineChars="0"/>
        <w:rPr>
          <w:rFonts w:ascii="仿宋" w:hAnsi="仿宋" w:eastAsia="仿宋" w:cs="仿宋"/>
          <w:kern w:val="0"/>
          <w:szCs w:val="24"/>
          <w:highlight w:val="none"/>
        </w:rPr>
      </w:pPr>
    </w:p>
    <w:p w14:paraId="365E9D50">
      <w:pPr>
        <w:snapToGrid w:val="0"/>
        <w:spacing w:line="360" w:lineRule="auto"/>
        <w:jc w:val="center"/>
        <w:outlineLvl w:val="0"/>
        <w:rPr>
          <w:rFonts w:ascii="仿宋" w:hAnsi="仿宋" w:eastAsia="仿宋" w:cs="仿宋"/>
          <w:b/>
          <w:sz w:val="36"/>
          <w:szCs w:val="36"/>
          <w:highlight w:val="none"/>
        </w:rPr>
      </w:pPr>
      <w:bookmarkStart w:id="59" w:name="_Hlt75236101"/>
      <w:bookmarkEnd w:id="59"/>
      <w:bookmarkStart w:id="60" w:name="_Toc91899902"/>
      <w:r>
        <w:rPr>
          <w:rFonts w:hint="eastAsia" w:ascii="仿宋" w:hAnsi="仿宋" w:eastAsia="仿宋" w:cs="仿宋"/>
          <w:b/>
          <w:sz w:val="36"/>
          <w:szCs w:val="36"/>
          <w:highlight w:val="none"/>
        </w:rPr>
        <w:t>五、评标</w:t>
      </w:r>
      <w:bookmarkEnd w:id="60"/>
    </w:p>
    <w:p w14:paraId="695BA64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21.</w:t>
      </w:r>
      <w:r>
        <w:rPr>
          <w:rFonts w:hint="eastAsia" w:ascii="仿宋" w:hAnsi="仿宋" w:eastAsia="仿宋" w:cs="仿宋"/>
          <w:sz w:val="24"/>
          <w:highlight w:val="none"/>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536CACE1">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六、定 标</w:t>
      </w:r>
    </w:p>
    <w:p w14:paraId="79BB2C9A">
      <w:pPr>
        <w:pStyle w:val="11"/>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b/>
          <w:highlight w:val="none"/>
        </w:rPr>
      </w:pPr>
      <w:r>
        <w:rPr>
          <w:rFonts w:hint="eastAsia" w:ascii="仿宋" w:hAnsi="仿宋" w:eastAsia="仿宋" w:cs="仿宋"/>
          <w:b/>
          <w:highlight w:val="none"/>
        </w:rPr>
        <w:t>22.确定中标供应商</w:t>
      </w:r>
    </w:p>
    <w:p w14:paraId="5DD35309">
      <w:pPr>
        <w:pStyle w:val="222"/>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b/>
          <w:szCs w:val="24"/>
          <w:highlight w:val="none"/>
        </w:rPr>
      </w:pPr>
      <w:r>
        <w:rPr>
          <w:rFonts w:hint="eastAsia" w:ascii="仿宋" w:hAnsi="仿宋" w:eastAsia="仿宋" w:cs="仿宋"/>
          <w:szCs w:val="24"/>
          <w:highlight w:val="none"/>
        </w:rPr>
        <w:t>采购机构将自评审结束之日起2个工作日内将评审报告送交采购人。采购人将自收到评审报告之日起5个工作日内在评审报告推荐的中标候选人中按顺序确定中标供应商。</w:t>
      </w:r>
    </w:p>
    <w:p w14:paraId="5AEA762C">
      <w:pPr>
        <w:pStyle w:val="222"/>
        <w:keepNext w:val="0"/>
        <w:keepLines w:val="0"/>
        <w:pageBreakBefore w:val="0"/>
        <w:kinsoku/>
        <w:wordWrap/>
        <w:overflowPunct/>
        <w:topLinePunct w:val="0"/>
        <w:autoSpaceDE/>
        <w:autoSpaceDN/>
        <w:bidi w:val="0"/>
        <w:adjustRightInd w:val="0"/>
        <w:snapToGrid w:val="0"/>
        <w:spacing w:before="0"/>
        <w:ind w:firstLine="482" w:firstLineChars="200"/>
        <w:textAlignment w:val="auto"/>
        <w:rPr>
          <w:rFonts w:ascii="仿宋" w:hAnsi="仿宋" w:eastAsia="仿宋" w:cs="仿宋"/>
          <w:b/>
          <w:szCs w:val="24"/>
          <w:highlight w:val="none"/>
        </w:rPr>
      </w:pPr>
      <w:r>
        <w:rPr>
          <w:rFonts w:hint="eastAsia" w:ascii="仿宋" w:hAnsi="仿宋" w:eastAsia="仿宋" w:cs="仿宋"/>
          <w:b/>
          <w:szCs w:val="24"/>
          <w:highlight w:val="none"/>
        </w:rPr>
        <w:t>23.中标通知与中标结果公告</w:t>
      </w:r>
    </w:p>
    <w:p w14:paraId="70A5FCB1">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23.1采购机构将在自成交人确定之日起2个工作日内，发布交易公告的网站上公告中标结果，同时发出中标通知书。</w:t>
      </w:r>
    </w:p>
    <w:p w14:paraId="0E98941D">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48315EFE">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23.3公告期限为1个工作日。</w:t>
      </w:r>
    </w:p>
    <w:p w14:paraId="0B1CF879">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七、合同授予</w:t>
      </w:r>
    </w:p>
    <w:p w14:paraId="2C1AE548">
      <w:pPr>
        <w:pStyle w:val="11"/>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b/>
          <w:highlight w:val="none"/>
        </w:rPr>
      </w:pPr>
      <w:r>
        <w:rPr>
          <w:rFonts w:hint="eastAsia" w:ascii="仿宋" w:hAnsi="仿宋" w:eastAsia="仿宋" w:cs="仿宋"/>
          <w:b/>
          <w:highlight w:val="none"/>
        </w:rPr>
        <w:t>24.</w:t>
      </w:r>
      <w:r>
        <w:rPr>
          <w:rFonts w:hint="eastAsia" w:ascii="仿宋" w:hAnsi="仿宋" w:eastAsia="仿宋" w:cs="仿宋"/>
          <w:highlight w:val="none"/>
        </w:rPr>
        <w:t>合同主要条款详见第五部分拟签订的合同文本。</w:t>
      </w:r>
    </w:p>
    <w:p w14:paraId="104FC142">
      <w:pPr>
        <w:pStyle w:val="11"/>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b/>
          <w:highlight w:val="none"/>
        </w:rPr>
      </w:pPr>
      <w:r>
        <w:rPr>
          <w:rFonts w:hint="eastAsia" w:ascii="仿宋" w:hAnsi="仿宋" w:eastAsia="仿宋" w:cs="仿宋"/>
          <w:b/>
          <w:highlight w:val="none"/>
        </w:rPr>
        <w:t>25.合同的签订</w:t>
      </w:r>
    </w:p>
    <w:p w14:paraId="2800471C">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采购人与成交人应当在中标通知书发出之日起三十日内，按照交易文件确定的事项签订政府采购合同。</w:t>
      </w:r>
    </w:p>
    <w:p w14:paraId="63EA33FC">
      <w:pPr>
        <w:pStyle w:val="222"/>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kern w:val="0"/>
          <w:highlight w:val="none"/>
        </w:rPr>
      </w:pPr>
      <w:r>
        <w:rPr>
          <w:rFonts w:hint="eastAsia" w:ascii="仿宋" w:hAnsi="仿宋" w:eastAsia="仿宋" w:cs="仿宋"/>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0BEA234D">
      <w:pPr>
        <w:pStyle w:val="222"/>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6A3D7500">
      <w:pPr>
        <w:pStyle w:val="222"/>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14:paraId="664C22EA">
      <w:pPr>
        <w:pStyle w:val="11"/>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b/>
          <w:highlight w:val="none"/>
        </w:rPr>
      </w:pPr>
      <w:r>
        <w:rPr>
          <w:rFonts w:hint="eastAsia" w:ascii="仿宋" w:hAnsi="仿宋" w:eastAsia="仿宋" w:cs="仿宋"/>
          <w:b/>
          <w:highlight w:val="none"/>
        </w:rPr>
        <w:t>26.履约保证金</w:t>
      </w:r>
    </w:p>
    <w:p w14:paraId="037039A0">
      <w:pPr>
        <w:keepNext w:val="0"/>
        <w:keepLines w:val="0"/>
        <w:pageBreakBefore w:val="0"/>
        <w:tabs>
          <w:tab w:val="left" w:pos="0"/>
        </w:tabs>
        <w:kinsoku/>
        <w:wordWrap/>
        <w:overflowPunct/>
        <w:topLinePunct w:val="0"/>
        <w:autoSpaceDE/>
        <w:autoSpaceDN/>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 xml:space="preserve">。履约保证金的数额不得超过政府采购合同金额的1%。 </w:t>
      </w:r>
    </w:p>
    <w:p w14:paraId="7CF74BB4">
      <w:pPr>
        <w:snapToGrid w:val="0"/>
        <w:spacing w:line="360" w:lineRule="auto"/>
        <w:ind w:firstLine="3357" w:firstLineChars="1045"/>
        <w:rPr>
          <w:rFonts w:ascii="仿宋" w:hAnsi="仿宋" w:eastAsia="仿宋" w:cs="仿宋"/>
          <w:b/>
          <w:sz w:val="24"/>
          <w:highlight w:val="none"/>
        </w:rPr>
      </w:pPr>
      <w:r>
        <w:rPr>
          <w:rFonts w:hint="eastAsia" w:ascii="仿宋" w:hAnsi="仿宋" w:eastAsia="仿宋" w:cs="仿宋"/>
          <w:b/>
          <w:sz w:val="32"/>
          <w:highlight w:val="none"/>
        </w:rPr>
        <w:t>八、电子交易活动的中止</w:t>
      </w:r>
    </w:p>
    <w:p w14:paraId="0DA9E73E">
      <w:pPr>
        <w:pStyle w:val="22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仿宋" w:hAnsi="仿宋" w:eastAsia="仿宋" w:cs="仿宋"/>
          <w:highlight w:val="none"/>
        </w:rPr>
      </w:pPr>
      <w:r>
        <w:rPr>
          <w:rFonts w:hint="eastAsia" w:ascii="仿宋" w:hAnsi="仿宋" w:eastAsia="仿宋" w:cs="仿宋"/>
          <w:b/>
          <w:highlight w:val="none"/>
        </w:rPr>
        <w:t>27</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68B7C617">
      <w:pPr>
        <w:pStyle w:val="22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3A76A308">
      <w:pPr>
        <w:pStyle w:val="22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79055889">
      <w:pPr>
        <w:pStyle w:val="22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418C8A6A">
      <w:pPr>
        <w:pStyle w:val="22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 xml:space="preserve">27.4病毒发作导致不能进行正常操作的； </w:t>
      </w:r>
    </w:p>
    <w:p w14:paraId="09B90503">
      <w:pPr>
        <w:pStyle w:val="22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27.5其他无法保证电子交易的公平、公正和安全的情况。</w:t>
      </w:r>
    </w:p>
    <w:p w14:paraId="0B6CEDF4">
      <w:pPr>
        <w:pStyle w:val="22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仿宋" w:hAnsi="仿宋" w:eastAsia="仿宋" w:cs="仿宋"/>
          <w:highlight w:val="none"/>
        </w:rPr>
      </w:pP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D44D6CF">
      <w:pPr>
        <w:snapToGrid w:val="0"/>
        <w:spacing w:line="360" w:lineRule="auto"/>
        <w:ind w:left="120" w:leftChars="57" w:firstLine="360" w:firstLineChars="150"/>
        <w:jc w:val="center"/>
        <w:rPr>
          <w:rFonts w:ascii="仿宋" w:hAnsi="仿宋" w:eastAsia="仿宋" w:cs="仿宋"/>
          <w:sz w:val="24"/>
          <w:highlight w:val="none"/>
        </w:rPr>
      </w:pPr>
      <w:r>
        <w:rPr>
          <w:rFonts w:hint="eastAsia" w:ascii="仿宋" w:hAnsi="仿宋" w:eastAsia="仿宋" w:cs="仿宋"/>
          <w:sz w:val="24"/>
          <w:highlight w:val="none"/>
        </w:rPr>
        <w:t xml:space="preserve"> </w:t>
      </w:r>
    </w:p>
    <w:p w14:paraId="6CB2F34A">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九、验收</w:t>
      </w:r>
    </w:p>
    <w:p w14:paraId="2BEFEF5A">
      <w:pPr>
        <w:pStyle w:val="11"/>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ascii="仿宋" w:hAnsi="仿宋" w:eastAsia="仿宋" w:cs="仿宋"/>
          <w:b/>
          <w:highlight w:val="none"/>
        </w:rPr>
      </w:pPr>
      <w:r>
        <w:rPr>
          <w:rFonts w:hint="eastAsia" w:ascii="仿宋" w:hAnsi="仿宋" w:eastAsia="仿宋" w:cs="仿宋"/>
          <w:b/>
          <w:highlight w:val="none"/>
        </w:rPr>
        <w:t>28.验收</w:t>
      </w:r>
    </w:p>
    <w:p w14:paraId="05502213">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jc w:val="left"/>
        <w:textAlignment w:val="auto"/>
        <w:rPr>
          <w:rFonts w:ascii="仿宋" w:hAnsi="仿宋" w:eastAsia="仿宋" w:cs="仿宋"/>
          <w:kern w:val="0"/>
          <w:sz w:val="24"/>
          <w:highlight w:val="none"/>
        </w:rPr>
      </w:pPr>
      <w:r>
        <w:rPr>
          <w:rFonts w:hint="eastAsia" w:ascii="仿宋" w:hAnsi="仿宋" w:eastAsia="仿宋" w:cs="仿宋"/>
          <w:kern w:val="0"/>
          <w:sz w:val="24"/>
          <w:highlight w:val="none"/>
        </w:rPr>
        <w:t>28.1采购人应当组织对供应商履约的验收。验收采用采购人自行组织验收，参照萧政办发[2014]217号文件执行。验收方成员应当在验收书上签字，并承担相应的法律责任。</w:t>
      </w:r>
    </w:p>
    <w:p w14:paraId="1B010C0F">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28.2除28.1规定情形外，采购人可以自行验收或邀请参加本项目的其他供应商或者第三方机构参与验收。</w:t>
      </w:r>
    </w:p>
    <w:p w14:paraId="3EB218A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ascii="仿宋" w:hAnsi="仿宋" w:eastAsia="仿宋" w:cs="仿宋"/>
          <w:b/>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1"/>
    <w:bookmarkEnd w:id="42"/>
    <w:p w14:paraId="13833EBA">
      <w:pPr>
        <w:pStyle w:val="6"/>
        <w:rPr>
          <w:rFonts w:cs="仿宋"/>
          <w:color w:val="auto"/>
          <w:highlight w:val="none"/>
        </w:rPr>
      </w:pPr>
      <w:bookmarkStart w:id="61" w:name="第四部分"/>
      <w:r>
        <w:rPr>
          <w:rFonts w:hint="eastAsia" w:cs="仿宋"/>
          <w:color w:val="auto"/>
          <w:highlight w:val="none"/>
        </w:rPr>
        <w:t>第三部分   采购需求</w:t>
      </w:r>
    </w:p>
    <w:p w14:paraId="7C4D54EA">
      <w:pPr>
        <w:snapToGrid w:val="0"/>
        <w:spacing w:line="360" w:lineRule="auto"/>
        <w:ind w:firstLine="240" w:firstLineChars="100"/>
        <w:jc w:val="center"/>
        <w:rPr>
          <w:rFonts w:ascii="仿宋" w:hAnsi="仿宋" w:eastAsia="仿宋" w:cs="仿宋"/>
          <w:sz w:val="24"/>
          <w:highlight w:val="none"/>
        </w:rPr>
      </w:pPr>
      <w:r>
        <w:rPr>
          <w:rFonts w:hint="eastAsia" w:ascii="仿宋" w:hAnsi="仿宋" w:eastAsia="仿宋" w:cs="仿宋"/>
          <w:sz w:val="24"/>
          <w:highlight w:val="none"/>
        </w:rPr>
        <w:t xml:space="preserve"> </w:t>
      </w:r>
    </w:p>
    <w:p w14:paraId="72C8155B">
      <w:pPr>
        <w:snapToGrid w:val="0"/>
        <w:spacing w:line="360" w:lineRule="auto"/>
        <w:ind w:firstLine="281" w:firstLineChars="10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一、交易一览表</w:t>
      </w:r>
    </w:p>
    <w:tbl>
      <w:tblPr>
        <w:tblStyle w:val="63"/>
        <w:tblW w:w="9180" w:type="dxa"/>
        <w:jc w:val="center"/>
        <w:tblLayout w:type="fixed"/>
        <w:tblCellMar>
          <w:top w:w="0" w:type="dxa"/>
          <w:left w:w="0" w:type="dxa"/>
          <w:bottom w:w="0" w:type="dxa"/>
          <w:right w:w="0" w:type="dxa"/>
        </w:tblCellMar>
      </w:tblPr>
      <w:tblGrid>
        <w:gridCol w:w="754"/>
        <w:gridCol w:w="4105"/>
        <w:gridCol w:w="2293"/>
        <w:gridCol w:w="1013"/>
        <w:gridCol w:w="1015"/>
      </w:tblGrid>
      <w:tr w14:paraId="6B178AA9">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B4CA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4FE46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06AB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D4F9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2C16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11B7060D">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02D21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09608C80">
            <w:pPr>
              <w:jc w:val="center"/>
              <w:rPr>
                <w:rFonts w:ascii="仿宋" w:hAnsi="仿宋" w:eastAsia="仿宋" w:cs="仿宋"/>
                <w:color w:val="auto"/>
                <w:sz w:val="24"/>
                <w:highlight w:val="none"/>
              </w:rPr>
            </w:pPr>
            <w:r>
              <w:rPr>
                <w:rFonts w:hint="eastAsia" w:ascii="仿宋" w:hAnsi="仿宋" w:eastAsia="仿宋" w:cs="仿宋"/>
                <w:sz w:val="24"/>
                <w:highlight w:val="none"/>
                <w:lang w:eastAsia="zh-CN"/>
              </w:rPr>
              <w:t>萧山区通惠初级中学2025年暑期疗休养服务采购</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14:paraId="17ADEB8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6CAFE7">
            <w:pPr>
              <w:jc w:val="center"/>
              <w:rPr>
                <w:rFonts w:hint="eastAsia" w:ascii="仿宋" w:hAnsi="仿宋" w:eastAsia="仿宋" w:cs="仿宋"/>
                <w:color w:val="auto"/>
                <w:sz w:val="24"/>
                <w:highlight w:val="none"/>
                <w:lang w:eastAsia="zh-CN"/>
              </w:rPr>
            </w:pPr>
            <w:r>
              <w:rPr>
                <w:rFonts w:hint="eastAsia" w:cs="仿宋"/>
                <w:color w:val="auto"/>
                <w:sz w:val="24"/>
                <w:highlight w:val="none"/>
                <w:lang w:eastAsia="zh-CN"/>
              </w:rPr>
              <w:t>人</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14:paraId="4CCFE484">
            <w:pPr>
              <w:jc w:val="center"/>
              <w:rPr>
                <w:rFonts w:hint="default" w:ascii="仿宋" w:hAnsi="仿宋" w:eastAsia="宋体" w:cs="仿宋"/>
                <w:color w:val="auto"/>
                <w:sz w:val="24"/>
                <w:highlight w:val="none"/>
                <w:lang w:val="en-US" w:eastAsia="zh-CN"/>
              </w:rPr>
            </w:pPr>
            <w:r>
              <w:rPr>
                <w:rFonts w:hint="eastAsia" w:cs="仿宋"/>
                <w:color w:val="auto"/>
                <w:sz w:val="24"/>
                <w:highlight w:val="none"/>
                <w:lang w:val="en-US" w:eastAsia="zh-CN"/>
              </w:rPr>
              <w:t>98</w:t>
            </w:r>
          </w:p>
        </w:tc>
      </w:tr>
    </w:tbl>
    <w:p w14:paraId="78451F07">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注：1、成交单位最终费用按实际人数（经业主认可后）与响应单价（单价不作调整）的乘积计算，供应商应自行承担报价风险。 </w:t>
      </w:r>
    </w:p>
    <w:p w14:paraId="44DF76EC">
      <w:pPr>
        <w:pStyle w:val="34"/>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2、该项目最高限价为：3000 元/人，响应报价超过最高限价按无效响应处理。</w:t>
      </w:r>
    </w:p>
    <w:p w14:paraId="495682AD">
      <w:pPr>
        <w:spacing w:line="360" w:lineRule="auto"/>
        <w:ind w:firstLine="281" w:firstLineChars="100"/>
        <w:jc w:val="center"/>
        <w:rPr>
          <w:rFonts w:ascii="仿宋" w:hAnsi="仿宋" w:eastAsia="仿宋" w:cs="仿宋"/>
          <w:b/>
          <w:color w:val="000000"/>
          <w:sz w:val="24"/>
          <w:highlight w:val="none"/>
        </w:rPr>
      </w:pPr>
      <w:r>
        <w:rPr>
          <w:rFonts w:hint="eastAsia" w:ascii="仿宋" w:hAnsi="仿宋" w:eastAsia="仿宋" w:cs="仿宋"/>
          <w:b/>
          <w:sz w:val="28"/>
          <w:szCs w:val="28"/>
          <w:highlight w:val="none"/>
        </w:rPr>
        <w:t>二、交易需求</w:t>
      </w:r>
    </w:p>
    <w:p w14:paraId="734218D7">
      <w:pPr>
        <w:ind w:firstLine="720" w:firstLineChars="300"/>
        <w:rPr>
          <w:sz w:val="24"/>
        </w:rPr>
      </w:pPr>
      <w:r>
        <w:rPr>
          <w:rFonts w:hint="eastAsia"/>
          <w:sz w:val="24"/>
        </w:rPr>
        <w:t>1. 出行时间：分批次出行，具体出行时间及人数等以交易人为准。</w:t>
      </w:r>
    </w:p>
    <w:p w14:paraId="403A4638">
      <w:pPr>
        <w:pStyle w:val="2"/>
        <w:ind w:firstLine="720" w:firstLineChars="300"/>
      </w:pPr>
      <w:r>
        <w:rPr>
          <w:rFonts w:eastAsia="Times New Roman"/>
        </w:rPr>
        <w:t>2</w:t>
      </w:r>
      <w:r>
        <w:rPr>
          <w:rFonts w:hint="eastAsia"/>
        </w:rPr>
        <w:t>. 目的地</w:t>
      </w:r>
      <w:r>
        <w:t>：</w:t>
      </w:r>
    </w:p>
    <w:p w14:paraId="4ED82FEC">
      <w:pPr>
        <w:pStyle w:val="2"/>
        <w:ind w:left="798" w:right="130"/>
        <w:rPr>
          <w:rFonts w:hint="eastAsia" w:eastAsia="宋体"/>
          <w:lang w:eastAsia="zh-CN"/>
        </w:rPr>
      </w:pPr>
      <w:r>
        <w:rPr>
          <w:rFonts w:hint="eastAsia"/>
        </w:rPr>
        <w:t>线路一：萧山--温州南麂岛--萧山</w:t>
      </w:r>
    </w:p>
    <w:p w14:paraId="0695A2D5">
      <w:pPr>
        <w:pStyle w:val="2"/>
        <w:ind w:left="798" w:right="130"/>
        <w:rPr>
          <w:rFonts w:hint="eastAsia"/>
        </w:rPr>
      </w:pPr>
      <w:r>
        <w:rPr>
          <w:rFonts w:hint="eastAsia"/>
        </w:rPr>
        <w:t xml:space="preserve">线路二：萧山--四川康定--萧山（大交通费按实结算） </w:t>
      </w:r>
    </w:p>
    <w:p w14:paraId="2E854182">
      <w:pPr>
        <w:pStyle w:val="2"/>
        <w:ind w:left="798" w:right="130"/>
        <w:rPr>
          <w:rFonts w:hint="eastAsia"/>
        </w:rPr>
      </w:pPr>
      <w:r>
        <w:rPr>
          <w:rFonts w:hint="eastAsia"/>
        </w:rPr>
        <w:t>线路三：萧山--吉林长春--萧山（大交通费按实结算）</w:t>
      </w:r>
    </w:p>
    <w:p w14:paraId="5E344608">
      <w:pPr>
        <w:keepNext w:val="0"/>
        <w:keepLines w:val="0"/>
        <w:widowControl/>
        <w:suppressLineNumbers w:val="0"/>
        <w:jc w:val="left"/>
        <w:rPr>
          <w:rFonts w:hint="eastAsia" w:ascii="宋体" w:hAnsi="Times New Roman" w:eastAsia="宋体" w:cs="Times New Roman"/>
          <w:spacing w:val="-3"/>
          <w:kern w:val="2"/>
          <w:sz w:val="24"/>
          <w:szCs w:val="21"/>
          <w:lang w:val="zh-CN" w:eastAsia="zh-CN" w:bidi="ar-SA"/>
        </w:rPr>
      </w:pPr>
      <w:r>
        <w:rPr>
          <w:rFonts w:hint="eastAsia" w:ascii="宋体" w:hAnsi="Times New Roman" w:eastAsia="宋体" w:cs="Times New Roman"/>
          <w:spacing w:val="-3"/>
          <w:kern w:val="2"/>
          <w:sz w:val="24"/>
          <w:szCs w:val="21"/>
          <w:lang w:val="zh-CN" w:eastAsia="zh-CN" w:bidi="ar-SA"/>
        </w:rPr>
        <w:t>（</w:t>
      </w:r>
      <w:r>
        <w:rPr>
          <w:rFonts w:hint="eastAsia" w:ascii="宋体" w:hAnsi="Times New Roman" w:eastAsia="宋体" w:cs="Times New Roman"/>
          <w:spacing w:val="-3"/>
          <w:kern w:val="2"/>
          <w:sz w:val="24"/>
          <w:szCs w:val="21"/>
          <w:lang w:val="en-US" w:eastAsia="zh-CN" w:bidi="ar-SA"/>
        </w:rPr>
        <w:t>出行时间在202</w:t>
      </w:r>
      <w:r>
        <w:rPr>
          <w:rFonts w:hint="eastAsia" w:ascii="宋体" w:cs="Times New Roman"/>
          <w:spacing w:val="-3"/>
          <w:kern w:val="2"/>
          <w:sz w:val="24"/>
          <w:szCs w:val="21"/>
          <w:lang w:val="en-US" w:eastAsia="zh-CN" w:bidi="ar-SA"/>
        </w:rPr>
        <w:t>5</w:t>
      </w:r>
      <w:r>
        <w:rPr>
          <w:rFonts w:hint="eastAsia" w:ascii="宋体" w:hAnsi="Times New Roman" w:eastAsia="宋体" w:cs="Times New Roman"/>
          <w:spacing w:val="-3"/>
          <w:kern w:val="2"/>
          <w:sz w:val="24"/>
          <w:szCs w:val="21"/>
          <w:lang w:val="en-US" w:eastAsia="zh-CN" w:bidi="ar-SA"/>
        </w:rPr>
        <w:t xml:space="preserve">-8月4日至 </w:t>
      </w:r>
      <w:r>
        <w:rPr>
          <w:rFonts w:hint="default" w:ascii="宋体" w:hAnsi="Times New Roman" w:eastAsia="宋体" w:cs="Times New Roman"/>
          <w:spacing w:val="-3"/>
          <w:kern w:val="2"/>
          <w:sz w:val="24"/>
          <w:szCs w:val="21"/>
          <w:lang w:val="en-US" w:eastAsia="zh-CN" w:bidi="ar-SA"/>
        </w:rPr>
        <w:t>202</w:t>
      </w:r>
      <w:r>
        <w:rPr>
          <w:rFonts w:hint="eastAsia" w:ascii="宋体" w:cs="Times New Roman"/>
          <w:spacing w:val="-3"/>
          <w:kern w:val="2"/>
          <w:sz w:val="24"/>
          <w:szCs w:val="21"/>
          <w:lang w:val="en-US" w:eastAsia="zh-CN" w:bidi="ar-SA"/>
        </w:rPr>
        <w:t>5</w:t>
      </w:r>
      <w:r>
        <w:rPr>
          <w:rFonts w:hint="default" w:ascii="宋体" w:hAnsi="Times New Roman" w:eastAsia="宋体" w:cs="Times New Roman"/>
          <w:spacing w:val="-3"/>
          <w:kern w:val="2"/>
          <w:sz w:val="24"/>
          <w:szCs w:val="21"/>
          <w:lang w:val="en-US" w:eastAsia="zh-CN" w:bidi="ar-SA"/>
        </w:rPr>
        <w:t>-08-</w:t>
      </w:r>
      <w:r>
        <w:rPr>
          <w:rFonts w:hint="eastAsia" w:ascii="宋体" w:hAnsi="Times New Roman" w:eastAsia="宋体" w:cs="Times New Roman"/>
          <w:spacing w:val="-3"/>
          <w:kern w:val="2"/>
          <w:sz w:val="24"/>
          <w:szCs w:val="21"/>
          <w:lang w:val="en-US" w:eastAsia="zh-CN" w:bidi="ar-SA"/>
        </w:rPr>
        <w:t>7日，</w:t>
      </w:r>
      <w:r>
        <w:rPr>
          <w:rFonts w:hint="eastAsia" w:ascii="宋体" w:hAnsi="Times New Roman" w:eastAsia="宋体" w:cs="Times New Roman"/>
          <w:spacing w:val="-3"/>
          <w:kern w:val="2"/>
          <w:sz w:val="24"/>
          <w:szCs w:val="21"/>
          <w:lang w:val="zh-CN" w:eastAsia="zh-CN" w:bidi="ar-SA"/>
        </w:rPr>
        <w:t>具体出行时间及人数等以交易人为准）</w:t>
      </w:r>
    </w:p>
    <w:p w14:paraId="78C28C1B">
      <w:pPr>
        <w:pStyle w:val="2"/>
        <w:spacing w:before="64" w:line="364" w:lineRule="auto"/>
        <w:ind w:left="318" w:right="324" w:firstLine="480"/>
      </w:pPr>
      <w:r>
        <w:rPr>
          <w:rFonts w:eastAsia="Times New Roman"/>
        </w:rPr>
        <w:t>3</w:t>
      </w:r>
      <w:r>
        <w:rPr>
          <w:rFonts w:hint="eastAsia"/>
          <w:spacing w:val="-3"/>
        </w:rPr>
        <w:t xml:space="preserve">. </w:t>
      </w:r>
      <w:r>
        <w:rPr>
          <w:spacing w:val="-3"/>
        </w:rPr>
        <w:t>餐标：早餐为酒店早餐，中餐不低于</w:t>
      </w:r>
      <w:r>
        <w:rPr>
          <w:rFonts w:hint="eastAsia"/>
          <w:spacing w:val="-3"/>
          <w:lang w:val="en-US" w:eastAsia="zh-CN"/>
        </w:rPr>
        <w:t>80</w:t>
      </w:r>
      <w:r>
        <w:t>元</w:t>
      </w:r>
      <w:r>
        <w:rPr>
          <w:rFonts w:eastAsia="Times New Roman"/>
        </w:rPr>
        <w:t>/</w:t>
      </w:r>
      <w:r>
        <w:rPr>
          <w:spacing w:val="-7"/>
        </w:rPr>
        <w:t>人，晚餐不低于</w:t>
      </w:r>
      <w:r>
        <w:rPr>
          <w:rFonts w:hint="eastAsia"/>
          <w:color w:val="0000FF"/>
          <w:lang w:val="en-US" w:eastAsia="zh-CN"/>
        </w:rPr>
        <w:t>12</w:t>
      </w:r>
      <w:r>
        <w:rPr>
          <w:rFonts w:hint="eastAsia"/>
          <w:color w:val="0000FF"/>
        </w:rPr>
        <w:t>0</w:t>
      </w:r>
      <w:r>
        <w:rPr>
          <w:rFonts w:eastAsia="Times New Roman"/>
          <w:color w:val="0000FF"/>
        </w:rPr>
        <w:t xml:space="preserve"> </w:t>
      </w:r>
      <w:r>
        <w:t>元</w:t>
      </w:r>
      <w:r>
        <w:rPr>
          <w:rFonts w:eastAsia="Times New Roman"/>
        </w:rPr>
        <w:t>/</w:t>
      </w:r>
      <w:r>
        <w:t>人，餐厅必须有接待资质、环境好的饭店就餐，允许团队等额退餐，自己点菜。中晚餐每桌提供一瓶可乐、雪碧、果粒橙各一瓶（</w:t>
      </w:r>
      <w:r>
        <w:rPr>
          <w:spacing w:val="-10"/>
        </w:rPr>
        <w:t xml:space="preserve">均为 </w:t>
      </w:r>
      <w:r>
        <w:rPr>
          <w:rFonts w:eastAsia="Times New Roman"/>
        </w:rPr>
        <w:t xml:space="preserve">5 </w:t>
      </w:r>
      <w:r>
        <w:t>升）。如交易人对菜品质量不满意的，有权更换菜品，成交人应当给予调换，直至交易人满意为止。</w:t>
      </w:r>
      <w:r>
        <w:rPr>
          <w:rFonts w:hint="eastAsia"/>
        </w:rPr>
        <w:t>（需提供8正3早）</w:t>
      </w:r>
    </w:p>
    <w:p w14:paraId="165819A7">
      <w:pPr>
        <w:pStyle w:val="2"/>
        <w:spacing w:line="364" w:lineRule="auto"/>
        <w:ind w:left="318" w:right="206" w:firstLine="480"/>
      </w:pPr>
      <w:r>
        <w:rPr>
          <w:rFonts w:eastAsia="Times New Roman"/>
        </w:rPr>
        <w:t>4</w:t>
      </w:r>
      <w:r>
        <w:rPr>
          <w:rFonts w:hint="eastAsia"/>
          <w:spacing w:val="-5"/>
        </w:rPr>
        <w:t xml:space="preserve">. </w:t>
      </w:r>
      <w:r>
        <w:rPr>
          <w:spacing w:val="-5"/>
        </w:rPr>
        <w:t>住宿：住宿综合环境好</w:t>
      </w:r>
      <w:r>
        <w:rPr>
          <w:b w:val="0"/>
          <w:bCs w:val="0"/>
          <w:color w:val="auto"/>
          <w:spacing w:val="-5"/>
        </w:rPr>
        <w:t>，要求</w:t>
      </w:r>
      <w:r>
        <w:rPr>
          <w:rFonts w:hint="eastAsia"/>
          <w:b w:val="0"/>
          <w:bCs w:val="0"/>
          <w:color w:val="auto"/>
          <w:spacing w:val="-5"/>
          <w:lang w:eastAsia="zh-CN"/>
        </w:rPr>
        <w:t>四钻及</w:t>
      </w:r>
      <w:r>
        <w:rPr>
          <w:b w:val="0"/>
          <w:bCs w:val="0"/>
          <w:color w:val="auto"/>
          <w:spacing w:val="-5"/>
        </w:rPr>
        <w:t>以上</w:t>
      </w:r>
      <w:r>
        <w:rPr>
          <w:b w:val="0"/>
          <w:bCs w:val="0"/>
          <w:color w:val="auto"/>
        </w:rPr>
        <w:t>（含</w:t>
      </w:r>
      <w:r>
        <w:rPr>
          <w:b w:val="0"/>
          <w:bCs w:val="0"/>
          <w:color w:val="auto"/>
          <w:spacing w:val="-5"/>
        </w:rPr>
        <w:t>）</w:t>
      </w:r>
      <w:r>
        <w:rPr>
          <w:b w:val="0"/>
          <w:bCs w:val="0"/>
          <w:color w:val="auto"/>
          <w:spacing w:val="-3"/>
        </w:rPr>
        <w:t>酒店，设施较好</w:t>
      </w:r>
      <w:r>
        <w:rPr>
          <w:spacing w:val="-3"/>
        </w:rPr>
        <w:t>的三年以内新装修的酒店</w:t>
      </w:r>
      <w:r>
        <w:t>。住宿酒店要求交通便利、环境较好、干净卫生、服务优质，有较强的接待能力，同时配套设施齐全、使用安全方便。若住宿不符合交易人要求，交易人有权更换，成交人应当给予调换，直至交易人满意为止。</w:t>
      </w:r>
    </w:p>
    <w:p w14:paraId="6AA8B316">
      <w:pPr>
        <w:pStyle w:val="2"/>
        <w:spacing w:line="306" w:lineRule="exact"/>
        <w:ind w:left="284"/>
      </w:pPr>
      <w:r>
        <w:rPr>
          <w:rFonts w:hint="eastAsia" w:hAnsi="宋体"/>
        </w:rPr>
        <w:t xml:space="preserve">    </w:t>
      </w:r>
      <w:r>
        <w:rPr>
          <w:rFonts w:eastAsia="Times New Roman"/>
        </w:rPr>
        <w:t>5</w:t>
      </w:r>
      <w:r>
        <w:rPr>
          <w:rFonts w:hint="eastAsia"/>
        </w:rPr>
        <w:t xml:space="preserve">. </w:t>
      </w:r>
      <w:r>
        <w:t>门票：必须包含各景区大门票及景区内的电瓶车、索道、缆车、游船票等费用。</w:t>
      </w:r>
    </w:p>
    <w:p w14:paraId="14E406A0">
      <w:pPr>
        <w:pStyle w:val="2"/>
        <w:spacing w:before="155" w:line="364" w:lineRule="auto"/>
        <w:ind w:left="318" w:right="319" w:firstLine="480"/>
      </w:pPr>
      <w:r>
        <w:rPr>
          <w:rFonts w:eastAsia="Times New Roman"/>
        </w:rPr>
        <w:t>6</w:t>
      </w:r>
      <w:r>
        <w:rPr>
          <w:rFonts w:hint="eastAsia"/>
          <w:spacing w:val="-11"/>
        </w:rPr>
        <w:t xml:space="preserve">. </w:t>
      </w:r>
      <w:r>
        <w:rPr>
          <w:spacing w:val="-11"/>
        </w:rPr>
        <w:t>用车要求：汽车统一为全程空调旅游车</w:t>
      </w:r>
      <w:r>
        <w:t>（</w:t>
      </w:r>
      <w:r>
        <w:rPr>
          <w:rFonts w:eastAsia="Times New Roman"/>
        </w:rPr>
        <w:t xml:space="preserve">3 </w:t>
      </w:r>
      <w:r>
        <w:t>年内购置</w:t>
      </w:r>
      <w:r>
        <w:rPr>
          <w:spacing w:val="-37"/>
        </w:rPr>
        <w:t>）</w:t>
      </w:r>
      <w:r>
        <w:rPr>
          <w:spacing w:val="-9"/>
        </w:rPr>
        <w:t>，必须保证每人一正座</w:t>
      </w:r>
      <w:r>
        <w:t>（</w:t>
      </w:r>
      <w:r>
        <w:rPr>
          <w:spacing w:val="-15"/>
        </w:rPr>
        <w:t>座</w:t>
      </w:r>
      <w:r>
        <w:rPr>
          <w:spacing w:val="-11"/>
        </w:rPr>
        <w:t xml:space="preserve">位按人数 </w:t>
      </w:r>
      <w:r>
        <w:rPr>
          <w:rFonts w:eastAsia="Times New Roman"/>
        </w:rPr>
        <w:t>1</w:t>
      </w:r>
      <w:r>
        <w:t>：</w:t>
      </w:r>
      <w:r>
        <w:rPr>
          <w:rFonts w:eastAsia="Times New Roman"/>
        </w:rPr>
        <w:t xml:space="preserve">1.2 </w:t>
      </w:r>
      <w:r>
        <w:t>比例配备）要求车况好，冷暖空调效果好，车内整洁、明亮，司机必须</w:t>
      </w:r>
      <w:r>
        <w:rPr>
          <w:spacing w:val="-7"/>
        </w:rPr>
        <w:t xml:space="preserve">安全行车 </w:t>
      </w:r>
      <w:r>
        <w:rPr>
          <w:rFonts w:eastAsia="Times New Roman"/>
        </w:rPr>
        <w:t xml:space="preserve">5 </w:t>
      </w:r>
      <w:r>
        <w:t>年或以上且无重大安全事故和严重交通违规记录，车上需配备晕车药和一次性塑料袋。</w:t>
      </w:r>
    </w:p>
    <w:p w14:paraId="1E81FF1F">
      <w:pPr>
        <w:pStyle w:val="2"/>
        <w:ind w:left="798"/>
      </w:pPr>
      <w:r>
        <w:rPr>
          <w:rFonts w:eastAsia="Times New Roman"/>
        </w:rPr>
        <w:t>7</w:t>
      </w:r>
      <w:r>
        <w:rPr>
          <w:rFonts w:hint="eastAsia"/>
          <w:spacing w:val="-14"/>
        </w:rPr>
        <w:t xml:space="preserve">. </w:t>
      </w:r>
      <w:r>
        <w:rPr>
          <w:spacing w:val="-14"/>
        </w:rPr>
        <w:t>导游：要求全程提供持证全陪、地陪导游服务</w:t>
      </w:r>
      <w:r>
        <w:t>（</w:t>
      </w:r>
      <w:r>
        <w:rPr>
          <w:spacing w:val="-6"/>
        </w:rPr>
        <w:t xml:space="preserve">全陪导游须持有导游证 </w:t>
      </w:r>
      <w:r>
        <w:rPr>
          <w:rFonts w:eastAsia="Times New Roman"/>
        </w:rPr>
        <w:t xml:space="preserve">3 </w:t>
      </w:r>
      <w:r>
        <w:t>年以上，</w:t>
      </w:r>
    </w:p>
    <w:p w14:paraId="3B8A346C">
      <w:pPr>
        <w:pStyle w:val="2"/>
        <w:spacing w:before="158"/>
        <w:ind w:left="318"/>
      </w:pPr>
      <w:r>
        <w:t xml:space="preserve">出团前 </w:t>
      </w:r>
      <w:r>
        <w:rPr>
          <w:rFonts w:eastAsia="Times New Roman"/>
        </w:rPr>
        <w:t xml:space="preserve">1 </w:t>
      </w:r>
      <w:r>
        <w:t>周提交疗休养方审核）。</w:t>
      </w:r>
    </w:p>
    <w:p w14:paraId="6C4C63D8">
      <w:pPr>
        <w:pStyle w:val="2"/>
        <w:spacing w:before="161" w:line="364" w:lineRule="auto"/>
        <w:ind w:left="318" w:right="321" w:firstLine="480"/>
      </w:pPr>
      <w:r>
        <w:rPr>
          <w:rFonts w:eastAsia="Times New Roman"/>
        </w:rPr>
        <w:t>8</w:t>
      </w:r>
      <w:r>
        <w:rPr>
          <w:rFonts w:hint="eastAsia"/>
          <w:spacing w:val="-5"/>
        </w:rPr>
        <w:t xml:space="preserve">. </w:t>
      </w:r>
      <w:r>
        <w:rPr>
          <w:spacing w:val="-5"/>
        </w:rPr>
        <w:t>保险：购买疗休养过程中的各类保险</w:t>
      </w:r>
      <w:r>
        <w:t>（</w:t>
      </w:r>
      <w:r>
        <w:rPr>
          <w:spacing w:val="-5"/>
        </w:rPr>
        <w:t>包括：旅行社责任险，旅游意外伤害保险</w:t>
      </w:r>
      <w:r>
        <w:t>等），做到应保则保，响应文件中应说明具体险种和单人保额。其中，旅行社责任险不</w:t>
      </w:r>
      <w:r>
        <w:rPr>
          <w:spacing w:val="-20"/>
        </w:rPr>
        <w:t xml:space="preserve">少于 </w:t>
      </w:r>
      <w:r>
        <w:rPr>
          <w:rFonts w:eastAsia="Times New Roman"/>
        </w:rPr>
        <w:t xml:space="preserve">100 </w:t>
      </w:r>
      <w:r>
        <w:t>万元</w:t>
      </w:r>
      <w:r>
        <w:rPr>
          <w:rFonts w:eastAsia="Times New Roman"/>
        </w:rPr>
        <w:t>/</w:t>
      </w:r>
      <w:r>
        <w:rPr>
          <w:spacing w:val="-8"/>
        </w:rPr>
        <w:t xml:space="preserve">人、旅游安全人身意外伤害保险不少于 </w:t>
      </w:r>
      <w:r>
        <w:rPr>
          <w:rFonts w:eastAsia="Times New Roman"/>
        </w:rPr>
        <w:t xml:space="preserve">100 </w:t>
      </w:r>
      <w:r>
        <w:t>万元</w:t>
      </w:r>
      <w:r>
        <w:rPr>
          <w:rFonts w:eastAsia="Times New Roman"/>
        </w:rPr>
        <w:t>/</w:t>
      </w:r>
      <w:r>
        <w:rPr>
          <w:spacing w:val="-7"/>
        </w:rPr>
        <w:t>人。实际实施过程中，旅</w:t>
      </w:r>
      <w:r>
        <w:t>行社必须提供每批休养人员购买保险的原始凭证的复印件给交易人。</w:t>
      </w:r>
    </w:p>
    <w:p w14:paraId="5130D7C2">
      <w:pPr>
        <w:pStyle w:val="2"/>
        <w:spacing w:line="364" w:lineRule="auto"/>
        <w:ind w:left="318" w:right="325" w:firstLine="480"/>
      </w:pPr>
      <w:r>
        <w:rPr>
          <w:rFonts w:eastAsia="Times New Roman"/>
        </w:rPr>
        <w:t>9</w:t>
      </w:r>
      <w:r>
        <w:rPr>
          <w:rFonts w:hint="eastAsia"/>
        </w:rPr>
        <w:t xml:space="preserve">. </w:t>
      </w:r>
      <w:r>
        <w:t xml:space="preserve">其他：要求为参加疗休养职工提供每人每天 </w:t>
      </w:r>
      <w:r>
        <w:rPr>
          <w:rFonts w:eastAsia="Times New Roman"/>
        </w:rPr>
        <w:t xml:space="preserve">2 </w:t>
      </w:r>
      <w:r>
        <w:t>瓶矿泉水，适当零食，水果 ，应急药物等；要求不进任何购物店</w:t>
      </w:r>
      <w:r>
        <w:rPr>
          <w:rFonts w:eastAsia="Times New Roman"/>
        </w:rPr>
        <w:t>,</w:t>
      </w:r>
      <w:r>
        <w:t>不组织任何自费项目。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6866423D">
      <w:pPr>
        <w:pStyle w:val="2"/>
        <w:spacing w:line="364" w:lineRule="auto"/>
        <w:ind w:left="318" w:right="205" w:firstLine="480"/>
        <w:rPr>
          <w:spacing w:val="-7"/>
        </w:rPr>
      </w:pPr>
      <w:r>
        <w:rPr>
          <w:rFonts w:eastAsia="Times New Roman"/>
        </w:rPr>
        <w:t>10</w:t>
      </w:r>
      <w:r>
        <w:rPr>
          <w:rFonts w:hint="eastAsia"/>
          <w:spacing w:val="-7"/>
        </w:rPr>
        <w:t xml:space="preserve">. </w:t>
      </w:r>
      <w:r>
        <w:rPr>
          <w:spacing w:val="-7"/>
        </w:rPr>
        <w:t>如遇政策性调整等各项不确定因素，交易人有权按照最新政策调整或终止合同。</w:t>
      </w:r>
    </w:p>
    <w:p w14:paraId="7C7FDD71">
      <w:pPr>
        <w:pStyle w:val="2"/>
        <w:spacing w:line="364" w:lineRule="auto"/>
        <w:ind w:left="318" w:right="205" w:firstLine="480"/>
        <w:rPr>
          <w:b/>
        </w:rPr>
      </w:pPr>
      <w:r>
        <w:rPr>
          <w:b/>
        </w:rPr>
        <w:t>（</w:t>
      </w:r>
      <w:r>
        <w:rPr>
          <w:rFonts w:hint="eastAsia"/>
          <w:b/>
        </w:rPr>
        <w:t>二</w:t>
      </w:r>
      <w:r>
        <w:rPr>
          <w:b/>
        </w:rPr>
        <w:t>）其他事项：</w:t>
      </w:r>
    </w:p>
    <w:p w14:paraId="02E050B5">
      <w:pPr>
        <w:pStyle w:val="2"/>
        <w:spacing w:before="64" w:line="362" w:lineRule="auto"/>
        <w:ind w:left="318" w:right="326"/>
      </w:pPr>
      <w:r>
        <w:rPr>
          <w:rFonts w:hint="eastAsia"/>
        </w:rPr>
        <w:t xml:space="preserve">    </w:t>
      </w:r>
      <w:r>
        <w:t>响应报价包括供应商完成本项目所需的一切费用，包括但不限于：交通费（含燃油费、过路费、景点交通费等）、住宿费、伙食费、景点门票、导游费、保险费及涉及的</w:t>
      </w:r>
      <w:r>
        <w:rPr>
          <w:spacing w:val="-7"/>
        </w:rPr>
        <w:t>其他所有费用、税金。</w:t>
      </w:r>
      <w:r>
        <w:rPr>
          <w:rFonts w:hint="eastAsia"/>
          <w:spacing w:val="-7"/>
          <w:lang w:val="en-US" w:eastAsia="zh-CN"/>
        </w:rPr>
        <w:t xml:space="preserve"> </w:t>
      </w:r>
      <w:r>
        <w:t>此项费用包含在响应报价内，供应商自行考虑相关报价风险。</w:t>
      </w:r>
    </w:p>
    <w:p w14:paraId="037A2E0E">
      <w:pPr>
        <w:pStyle w:val="2"/>
        <w:spacing w:before="5" w:line="364" w:lineRule="auto"/>
        <w:ind w:left="318" w:right="205" w:firstLine="480"/>
        <w:rPr>
          <w:rFonts w:hint="default" w:eastAsia="宋体"/>
          <w:spacing w:val="-7"/>
          <w:lang w:val="en-US" w:eastAsia="zh-CN"/>
        </w:rPr>
      </w:pPr>
      <w:r>
        <w:t>供应商需在响应文件中需提供具体行程、出行方式、就餐标准等具体明细，报价根据要求提供每人次的单价，结算时按实际参加人数*成交单价计算。响应单价为供应商综合考虑后的统一单价，不得再有</w:t>
      </w:r>
      <w:r>
        <w:rPr>
          <w:spacing w:val="-7"/>
        </w:rPr>
        <w:t>淡季旺季的价格区别。本项目各供应商须考虑出行时间、人数、目的地、淡旺季等情况，各供应商自行承担报价风险，均以响应单价为结算依据。</w:t>
      </w:r>
      <w:r>
        <w:rPr>
          <w:rFonts w:hint="eastAsia"/>
          <w:spacing w:val="-7"/>
          <w:lang w:val="en-US" w:eastAsia="zh-CN"/>
        </w:rPr>
        <w:t>允许携带家属，家属费用由旅行社先行垫付，等行程结束在做结算。</w:t>
      </w:r>
    </w:p>
    <w:p w14:paraId="2CF7B591">
      <w:pPr>
        <w:pStyle w:val="2"/>
        <w:spacing w:before="5" w:line="364" w:lineRule="auto"/>
        <w:ind w:left="318" w:right="205" w:firstLine="480"/>
        <w:rPr>
          <w:rFonts w:hint="eastAsia" w:ascii="宋体" w:hAnsi="宋体" w:eastAsia="宋体" w:cs="宋体"/>
          <w:b/>
        </w:rPr>
      </w:pPr>
      <w:r>
        <w:rPr>
          <w:rFonts w:hint="eastAsia" w:ascii="宋体" w:hAnsi="宋体" w:eastAsia="宋体" w:cs="宋体"/>
          <w:b/>
        </w:rPr>
        <w:t>（三）商务需求：</w:t>
      </w:r>
    </w:p>
    <w:p w14:paraId="52FE0D61">
      <w:pPr>
        <w:pStyle w:val="75"/>
        <w:numPr>
          <w:ilvl w:val="1"/>
          <w:numId w:val="7"/>
        </w:numPr>
        <w:tabs>
          <w:tab w:val="left" w:pos="1219"/>
        </w:tabs>
        <w:autoSpaceDE w:val="0"/>
        <w:autoSpaceDN w:val="0"/>
        <w:spacing w:line="306" w:lineRule="exact"/>
        <w:ind w:firstLineChars="0"/>
        <w:rPr>
          <w:rFonts w:hint="eastAsia" w:ascii="宋体" w:hAnsi="宋体" w:eastAsia="宋体" w:cs="宋体"/>
          <w:sz w:val="24"/>
        </w:rPr>
      </w:pPr>
      <w:r>
        <w:rPr>
          <w:rFonts w:hint="eastAsia" w:ascii="宋体" w:hAnsi="宋体" w:eastAsia="宋体" w:cs="宋体"/>
          <w:sz w:val="24"/>
        </w:rPr>
        <w:t>服务期限：分批疗养，具体以交易人要求为准。</w:t>
      </w:r>
    </w:p>
    <w:p w14:paraId="6347D0A0">
      <w:pPr>
        <w:pStyle w:val="75"/>
        <w:numPr>
          <w:ilvl w:val="1"/>
          <w:numId w:val="7"/>
        </w:numPr>
        <w:tabs>
          <w:tab w:val="left" w:pos="1219"/>
        </w:tabs>
        <w:autoSpaceDE w:val="0"/>
        <w:autoSpaceDN w:val="0"/>
        <w:spacing w:before="158"/>
        <w:ind w:firstLineChars="0"/>
        <w:rPr>
          <w:rFonts w:hint="eastAsia" w:ascii="宋体" w:hAnsi="宋体" w:eastAsia="宋体" w:cs="宋体"/>
          <w:sz w:val="24"/>
        </w:rPr>
      </w:pPr>
      <w:r>
        <w:rPr>
          <w:rFonts w:hint="eastAsia" w:ascii="宋体" w:hAnsi="宋体" w:eastAsia="宋体" w:cs="宋体"/>
          <w:sz w:val="24"/>
        </w:rPr>
        <w:t>服务质量承诺：</w:t>
      </w:r>
    </w:p>
    <w:p w14:paraId="394ED2A4">
      <w:pPr>
        <w:pStyle w:val="75"/>
        <w:numPr>
          <w:ilvl w:val="0"/>
          <w:numId w:val="8"/>
        </w:numPr>
        <w:tabs>
          <w:tab w:val="left" w:pos="1400"/>
        </w:tabs>
        <w:autoSpaceDE w:val="0"/>
        <w:autoSpaceDN w:val="0"/>
        <w:spacing w:before="160" w:line="362" w:lineRule="auto"/>
        <w:ind w:right="325" w:firstLine="480" w:firstLineChars="0"/>
        <w:rPr>
          <w:rFonts w:hint="eastAsia" w:ascii="宋体" w:hAnsi="宋体" w:eastAsia="宋体" w:cs="宋体"/>
          <w:sz w:val="24"/>
        </w:rPr>
      </w:pPr>
      <w:r>
        <w:rPr>
          <w:rFonts w:hint="eastAsia" w:ascii="宋体" w:hAnsi="宋体" w:eastAsia="宋体" w:cs="宋体"/>
          <w:spacing w:val="-3"/>
          <w:sz w:val="24"/>
        </w:rPr>
        <w:t>为确保服务质量及与交易人沟通联络，成交人须设置兼职主管，负责对承包项</w:t>
      </w:r>
      <w:r>
        <w:rPr>
          <w:rFonts w:hint="eastAsia" w:ascii="宋体" w:hAnsi="宋体" w:eastAsia="宋体" w:cs="宋体"/>
          <w:sz w:val="24"/>
        </w:rPr>
        <w:t>目、范围、服务质量的检查监督及与交易人日常业务联系；</w:t>
      </w:r>
    </w:p>
    <w:p w14:paraId="3D141751">
      <w:pPr>
        <w:pStyle w:val="75"/>
        <w:numPr>
          <w:ilvl w:val="0"/>
          <w:numId w:val="8"/>
        </w:numPr>
        <w:tabs>
          <w:tab w:val="left" w:pos="1400"/>
        </w:tabs>
        <w:autoSpaceDE w:val="0"/>
        <w:autoSpaceDN w:val="0"/>
        <w:spacing w:before="5"/>
        <w:ind w:left="1399" w:firstLineChars="0"/>
        <w:rPr>
          <w:rFonts w:hint="eastAsia" w:ascii="宋体" w:hAnsi="宋体" w:eastAsia="宋体" w:cs="宋体"/>
          <w:sz w:val="24"/>
        </w:rPr>
      </w:pPr>
      <w:r>
        <w:rPr>
          <w:rFonts w:hint="eastAsia" w:ascii="宋体" w:hAnsi="宋体" w:eastAsia="宋体" w:cs="宋体"/>
          <w:sz w:val="24"/>
        </w:rPr>
        <w:t>成交人需提供员工管理服务规范要求及确保服务质量达标的具体措施；</w:t>
      </w:r>
    </w:p>
    <w:p w14:paraId="3C76666F">
      <w:pPr>
        <w:pStyle w:val="75"/>
        <w:numPr>
          <w:ilvl w:val="0"/>
          <w:numId w:val="8"/>
        </w:numPr>
        <w:tabs>
          <w:tab w:val="left" w:pos="1400"/>
        </w:tabs>
        <w:autoSpaceDE w:val="0"/>
        <w:autoSpaceDN w:val="0"/>
        <w:spacing w:before="158"/>
        <w:ind w:left="1399" w:firstLineChars="0"/>
        <w:rPr>
          <w:rFonts w:hint="eastAsia" w:ascii="宋体" w:hAnsi="宋体" w:eastAsia="宋体" w:cs="宋体"/>
          <w:sz w:val="24"/>
        </w:rPr>
      </w:pPr>
      <w:r>
        <w:rPr>
          <w:rFonts w:hint="eastAsia" w:ascii="宋体" w:hAnsi="宋体" w:eastAsia="宋体" w:cs="宋体"/>
          <w:sz w:val="24"/>
        </w:rPr>
        <w:t>成交人需向交易人提供服务承诺；</w:t>
      </w:r>
    </w:p>
    <w:p w14:paraId="39C1350F">
      <w:pPr>
        <w:pStyle w:val="75"/>
        <w:numPr>
          <w:ilvl w:val="0"/>
          <w:numId w:val="8"/>
        </w:numPr>
        <w:tabs>
          <w:tab w:val="left" w:pos="1400"/>
        </w:tabs>
        <w:autoSpaceDE w:val="0"/>
        <w:autoSpaceDN w:val="0"/>
        <w:spacing w:before="161"/>
        <w:ind w:left="1399" w:firstLineChars="0"/>
        <w:rPr>
          <w:rFonts w:hint="eastAsia" w:ascii="宋体" w:hAnsi="宋体" w:eastAsia="宋体" w:cs="宋体"/>
          <w:sz w:val="24"/>
        </w:rPr>
      </w:pPr>
      <w:r>
        <w:rPr>
          <w:rFonts w:hint="eastAsia" w:ascii="宋体" w:hAnsi="宋体" w:eastAsia="宋体" w:cs="宋体"/>
          <w:sz w:val="24"/>
        </w:rPr>
        <w:t>成交人须主动接受交易人的指导、检查、监督及协调；</w:t>
      </w:r>
    </w:p>
    <w:p w14:paraId="5322B5F8">
      <w:pPr>
        <w:pStyle w:val="75"/>
        <w:numPr>
          <w:ilvl w:val="0"/>
          <w:numId w:val="8"/>
        </w:numPr>
        <w:tabs>
          <w:tab w:val="left" w:pos="1400"/>
        </w:tabs>
        <w:autoSpaceDE w:val="0"/>
        <w:autoSpaceDN w:val="0"/>
        <w:spacing w:before="160"/>
        <w:ind w:left="1399" w:firstLineChars="0"/>
        <w:rPr>
          <w:rFonts w:hint="eastAsia" w:ascii="宋体" w:hAnsi="宋体" w:eastAsia="宋体" w:cs="宋体"/>
          <w:sz w:val="24"/>
        </w:rPr>
      </w:pPr>
      <w:r>
        <w:rPr>
          <w:rFonts w:hint="eastAsia" w:ascii="宋体" w:hAnsi="宋体" w:eastAsia="宋体" w:cs="宋体"/>
          <w:sz w:val="24"/>
        </w:rPr>
        <w:t>现有服务范围内，由于调整而增加的工作量，不再增加费用；</w:t>
      </w:r>
    </w:p>
    <w:p w14:paraId="2547CC2C">
      <w:pPr>
        <w:pStyle w:val="75"/>
        <w:numPr>
          <w:ilvl w:val="0"/>
          <w:numId w:val="8"/>
        </w:numPr>
        <w:tabs>
          <w:tab w:val="left" w:pos="1400"/>
        </w:tabs>
        <w:autoSpaceDE w:val="0"/>
        <w:autoSpaceDN w:val="0"/>
        <w:spacing w:before="158"/>
        <w:ind w:left="1399" w:firstLineChars="0"/>
        <w:rPr>
          <w:rFonts w:hint="eastAsia" w:ascii="宋体" w:hAnsi="宋体" w:eastAsia="宋体" w:cs="宋体"/>
          <w:sz w:val="24"/>
        </w:rPr>
      </w:pPr>
      <w:r>
        <w:rPr>
          <w:rFonts w:hint="eastAsia" w:ascii="宋体" w:hAnsi="宋体" w:eastAsia="宋体" w:cs="宋体"/>
          <w:sz w:val="24"/>
        </w:rPr>
        <w:t>因成交人工作人员的失误造成的损失由成交人负责；</w:t>
      </w:r>
    </w:p>
    <w:p w14:paraId="55EDD5A2">
      <w:pPr>
        <w:pStyle w:val="75"/>
        <w:numPr>
          <w:ilvl w:val="0"/>
          <w:numId w:val="8"/>
        </w:numPr>
        <w:tabs>
          <w:tab w:val="left" w:pos="1400"/>
        </w:tabs>
        <w:autoSpaceDE w:val="0"/>
        <w:autoSpaceDN w:val="0"/>
        <w:spacing w:before="161" w:line="362" w:lineRule="auto"/>
        <w:ind w:right="325" w:firstLine="480" w:firstLineChars="0"/>
        <w:rPr>
          <w:rFonts w:hint="eastAsia" w:ascii="宋体" w:hAnsi="宋体" w:eastAsia="宋体" w:cs="宋体"/>
          <w:sz w:val="24"/>
        </w:rPr>
      </w:pPr>
      <w:r>
        <w:rPr>
          <w:rFonts w:hint="eastAsia" w:ascii="宋体" w:hAnsi="宋体" w:eastAsia="宋体" w:cs="宋体"/>
          <w:spacing w:val="-2"/>
          <w:sz w:val="24"/>
        </w:rPr>
        <w:t>成交人员工在工作及服务期间发生的一切安全事故由成交人负责，与交易人无</w:t>
      </w:r>
      <w:r>
        <w:rPr>
          <w:rFonts w:hint="eastAsia" w:ascii="宋体" w:hAnsi="宋体" w:eastAsia="宋体" w:cs="宋体"/>
          <w:sz w:val="24"/>
        </w:rPr>
        <w:t>关。</w:t>
      </w:r>
    </w:p>
    <w:p w14:paraId="6F418F66">
      <w:pPr>
        <w:pStyle w:val="75"/>
        <w:numPr>
          <w:ilvl w:val="1"/>
          <w:numId w:val="7"/>
        </w:numPr>
        <w:tabs>
          <w:tab w:val="left" w:pos="1219"/>
        </w:tabs>
        <w:autoSpaceDE w:val="0"/>
        <w:autoSpaceDN w:val="0"/>
        <w:spacing w:before="2"/>
        <w:ind w:firstLineChars="0"/>
        <w:rPr>
          <w:rFonts w:hint="eastAsia" w:ascii="宋体" w:hAnsi="宋体" w:eastAsia="宋体" w:cs="宋体"/>
          <w:sz w:val="24"/>
        </w:rPr>
      </w:pPr>
      <w:r>
        <w:rPr>
          <w:rFonts w:hint="eastAsia" w:ascii="宋体" w:hAnsi="宋体" w:eastAsia="宋体" w:cs="宋体"/>
          <w:sz w:val="24"/>
        </w:rPr>
        <w:t>考核标准</w:t>
      </w:r>
    </w:p>
    <w:p w14:paraId="2F1D784C">
      <w:pPr>
        <w:pStyle w:val="2"/>
        <w:spacing w:before="161" w:line="364" w:lineRule="auto"/>
        <w:ind w:left="318" w:right="321" w:firstLine="480"/>
        <w:rPr>
          <w:rFonts w:hint="eastAsia" w:ascii="宋体" w:hAnsi="宋体" w:eastAsia="宋体" w:cs="宋体"/>
        </w:rPr>
      </w:pPr>
      <w:r>
        <w:rPr>
          <w:rFonts w:hint="eastAsia" w:ascii="宋体" w:hAnsi="宋体" w:eastAsia="宋体" w:cs="宋体"/>
          <w:spacing w:val="-6"/>
        </w:rPr>
        <w:t xml:space="preserve">当次满意度平均分高于 </w:t>
      </w:r>
      <w:r>
        <w:rPr>
          <w:rFonts w:hint="eastAsia" w:ascii="宋体" w:hAnsi="宋体" w:eastAsia="宋体" w:cs="宋体"/>
        </w:rPr>
        <w:t>85</w:t>
      </w:r>
      <w:r>
        <w:rPr>
          <w:rFonts w:hint="eastAsia" w:ascii="宋体" w:hAnsi="宋体" w:eastAsia="宋体" w:cs="宋体"/>
          <w:spacing w:val="-42"/>
        </w:rPr>
        <w:t xml:space="preserve"> 分</w:t>
      </w:r>
      <w:r>
        <w:rPr>
          <w:rFonts w:hint="eastAsia" w:ascii="宋体" w:hAnsi="宋体" w:eastAsia="宋体" w:cs="宋体"/>
        </w:rPr>
        <w:t>（含</w:t>
      </w:r>
      <w:r>
        <w:rPr>
          <w:rFonts w:hint="eastAsia" w:ascii="宋体" w:hAnsi="宋体" w:eastAsia="宋体" w:cs="宋体"/>
          <w:spacing w:val="-26"/>
        </w:rPr>
        <w:t>）</w:t>
      </w:r>
      <w:r>
        <w:rPr>
          <w:rFonts w:hint="eastAsia" w:ascii="宋体" w:hAnsi="宋体" w:eastAsia="宋体" w:cs="宋体"/>
          <w:spacing w:val="-10"/>
        </w:rPr>
        <w:t xml:space="preserve">，支付当次疗休养费用的 </w:t>
      </w:r>
      <w:r>
        <w:rPr>
          <w:rFonts w:hint="eastAsia" w:ascii="宋体" w:hAnsi="宋体" w:eastAsia="宋体" w:cs="宋体"/>
          <w:spacing w:val="-6"/>
        </w:rPr>
        <w:t>100%</w:t>
      </w:r>
      <w:r>
        <w:rPr>
          <w:rFonts w:hint="eastAsia" w:ascii="宋体" w:hAnsi="宋体" w:eastAsia="宋体" w:cs="宋体"/>
          <w:spacing w:val="-4"/>
        </w:rPr>
        <w:t>；当次满意度平均</w:t>
      </w:r>
      <w:r>
        <w:rPr>
          <w:rFonts w:hint="eastAsia" w:ascii="宋体" w:hAnsi="宋体" w:eastAsia="宋体" w:cs="宋体"/>
          <w:spacing w:val="-15"/>
        </w:rPr>
        <w:t xml:space="preserve">分高于 </w:t>
      </w:r>
      <w:r>
        <w:rPr>
          <w:rFonts w:hint="eastAsia" w:ascii="宋体" w:hAnsi="宋体" w:eastAsia="宋体" w:cs="宋体"/>
        </w:rPr>
        <w:t>75</w:t>
      </w:r>
      <w:r>
        <w:rPr>
          <w:rFonts w:hint="eastAsia" w:ascii="宋体" w:hAnsi="宋体" w:eastAsia="宋体" w:cs="宋体"/>
          <w:spacing w:val="-40"/>
        </w:rPr>
        <w:t xml:space="preserve"> 分</w:t>
      </w:r>
      <w:r>
        <w:rPr>
          <w:rFonts w:hint="eastAsia" w:ascii="宋体" w:hAnsi="宋体" w:eastAsia="宋体" w:cs="宋体"/>
          <w:spacing w:val="-3"/>
        </w:rPr>
        <w:t>（</w:t>
      </w:r>
      <w:r>
        <w:rPr>
          <w:rFonts w:hint="eastAsia" w:ascii="宋体" w:hAnsi="宋体" w:eastAsia="宋体" w:cs="宋体"/>
        </w:rPr>
        <w:t>含</w:t>
      </w:r>
      <w:r>
        <w:rPr>
          <w:rFonts w:hint="eastAsia" w:ascii="宋体" w:hAnsi="宋体" w:eastAsia="宋体" w:cs="宋体"/>
          <w:spacing w:val="-17"/>
        </w:rPr>
        <w:t>）</w:t>
      </w:r>
      <w:r>
        <w:rPr>
          <w:rFonts w:hint="eastAsia" w:ascii="宋体" w:hAnsi="宋体" w:eastAsia="宋体" w:cs="宋体"/>
          <w:spacing w:val="-20"/>
        </w:rPr>
        <w:t xml:space="preserve">低于 </w:t>
      </w:r>
      <w:r>
        <w:rPr>
          <w:rFonts w:hint="eastAsia" w:ascii="宋体" w:hAnsi="宋体" w:eastAsia="宋体" w:cs="宋体"/>
        </w:rPr>
        <w:t>85</w:t>
      </w:r>
      <w:r>
        <w:rPr>
          <w:rFonts w:hint="eastAsia" w:ascii="宋体" w:hAnsi="宋体" w:eastAsia="宋体" w:cs="宋体"/>
          <w:spacing w:val="-14"/>
        </w:rPr>
        <w:t xml:space="preserve"> 分，扣减当次疗休养费用 </w:t>
      </w:r>
      <w:r>
        <w:rPr>
          <w:rFonts w:hint="eastAsia" w:ascii="宋体" w:hAnsi="宋体" w:eastAsia="宋体" w:cs="宋体"/>
          <w:spacing w:val="-8"/>
        </w:rPr>
        <w:t xml:space="preserve">5%；当次满意度平均分低 </w:t>
      </w:r>
      <w:r>
        <w:rPr>
          <w:rFonts w:hint="eastAsia" w:ascii="宋体" w:hAnsi="宋体" w:eastAsia="宋体" w:cs="宋体"/>
        </w:rPr>
        <w:t>75</w:t>
      </w:r>
      <w:r>
        <w:rPr>
          <w:rFonts w:hint="eastAsia" w:ascii="宋体" w:hAnsi="宋体" w:eastAsia="宋体" w:cs="宋体"/>
          <w:spacing w:val="-24"/>
        </w:rPr>
        <w:t xml:space="preserve"> 分，扣</w:t>
      </w:r>
      <w:r>
        <w:rPr>
          <w:rFonts w:hint="eastAsia" w:ascii="宋体" w:hAnsi="宋体" w:eastAsia="宋体" w:cs="宋体"/>
          <w:spacing w:val="-7"/>
        </w:rPr>
        <w:t xml:space="preserve">减当次疗休养费用 </w:t>
      </w:r>
      <w:r>
        <w:rPr>
          <w:rFonts w:hint="eastAsia" w:ascii="宋体" w:hAnsi="宋体" w:eastAsia="宋体" w:cs="宋体"/>
        </w:rPr>
        <w:t>10%。</w:t>
      </w:r>
    </w:p>
    <w:p w14:paraId="6B75A597">
      <w:pPr>
        <w:pStyle w:val="75"/>
        <w:numPr>
          <w:ilvl w:val="1"/>
          <w:numId w:val="7"/>
        </w:numPr>
        <w:tabs>
          <w:tab w:val="left" w:pos="1219"/>
        </w:tabs>
        <w:autoSpaceDE w:val="0"/>
        <w:autoSpaceDN w:val="0"/>
        <w:spacing w:line="307" w:lineRule="exact"/>
        <w:ind w:firstLineChars="0"/>
        <w:rPr>
          <w:rFonts w:hint="eastAsia" w:ascii="宋体" w:hAnsi="宋体" w:eastAsia="宋体" w:cs="宋体"/>
          <w:sz w:val="24"/>
        </w:rPr>
      </w:pPr>
      <w:r>
        <w:rPr>
          <w:rFonts w:hint="eastAsia" w:ascii="宋体" w:hAnsi="宋体" w:eastAsia="宋体" w:cs="宋体"/>
          <w:sz w:val="24"/>
        </w:rPr>
        <w:t>付款方式</w:t>
      </w:r>
    </w:p>
    <w:p w14:paraId="794F4D46">
      <w:pPr>
        <w:pStyle w:val="2"/>
        <w:spacing w:before="158" w:line="364" w:lineRule="auto"/>
        <w:ind w:left="318" w:right="205" w:firstLine="480"/>
        <w:rPr>
          <w:rFonts w:hint="eastAsia" w:ascii="宋体" w:hAnsi="宋体" w:eastAsia="宋体" w:cs="宋体"/>
        </w:rPr>
      </w:pPr>
      <w:r>
        <w:rPr>
          <w:rFonts w:hint="eastAsia" w:ascii="宋体" w:hAnsi="宋体" w:eastAsia="宋体" w:cs="宋体"/>
          <w:spacing w:val="-9"/>
        </w:rPr>
        <w:t>按实际人员结算，最终结算价按照实际参加人数</w:t>
      </w:r>
      <w:r>
        <w:rPr>
          <w:rFonts w:hint="eastAsia" w:ascii="宋体" w:hAnsi="宋体" w:eastAsia="宋体" w:cs="宋体"/>
        </w:rPr>
        <w:t>*</w:t>
      </w:r>
      <w:r>
        <w:rPr>
          <w:rFonts w:hint="eastAsia" w:ascii="宋体" w:hAnsi="宋体" w:eastAsia="宋体" w:cs="宋体"/>
          <w:spacing w:val="-10"/>
        </w:rPr>
        <w:t xml:space="preserve">成交单价，结合考核内容按实结算， </w:t>
      </w:r>
      <w:r>
        <w:rPr>
          <w:rFonts w:hint="eastAsia" w:ascii="宋体" w:hAnsi="宋体" w:eastAsia="宋体" w:cs="宋体"/>
        </w:rPr>
        <w:t>返程后一个月内付清，具体在合同中明确。</w:t>
      </w:r>
    </w:p>
    <w:p w14:paraId="28625585">
      <w:pPr>
        <w:pStyle w:val="2"/>
        <w:spacing w:before="159" w:line="362" w:lineRule="auto"/>
        <w:ind w:left="318" w:right="324" w:firstLine="480"/>
        <w:rPr>
          <w:rFonts w:hint="eastAsia" w:ascii="宋体" w:hAnsi="宋体" w:eastAsia="宋体" w:cs="宋体"/>
        </w:rPr>
      </w:pPr>
      <w:r>
        <w:rPr>
          <w:rFonts w:hint="eastAsia" w:ascii="宋体" w:hAnsi="宋体" w:eastAsia="宋体" w:cs="宋体"/>
        </w:rPr>
        <w:t>注：交易文件中打</w:t>
      </w:r>
      <w:r>
        <w:rPr>
          <w:rFonts w:hint="eastAsia" w:ascii="宋体" w:hAnsi="宋体" w:eastAsia="宋体" w:cs="宋体"/>
          <w:b/>
        </w:rPr>
        <w:t>▲</w:t>
      </w:r>
      <w:r>
        <w:rPr>
          <w:rFonts w:hint="eastAsia" w:ascii="宋体" w:hAnsi="宋体" w:eastAsia="宋体" w:cs="宋体"/>
        </w:rPr>
        <w:t>内容为实质性要求，不允许有负偏离，否则将以涉及无效响应条款作无效响应。</w:t>
      </w:r>
    </w:p>
    <w:p w14:paraId="568F2D16">
      <w:pPr>
        <w:pStyle w:val="6"/>
        <w:rPr>
          <w:rFonts w:cs="仿宋"/>
          <w:color w:val="auto"/>
          <w:sz w:val="24"/>
          <w:szCs w:val="24"/>
          <w:highlight w:val="none"/>
        </w:rPr>
      </w:pPr>
    </w:p>
    <w:p w14:paraId="01C95371">
      <w:pPr>
        <w:rPr>
          <w:rFonts w:ascii="仿宋" w:hAnsi="仿宋" w:eastAsia="仿宋" w:cs="仿宋"/>
          <w:highlight w:val="none"/>
        </w:rPr>
      </w:pPr>
    </w:p>
    <w:p w14:paraId="0C9E4976">
      <w:pPr>
        <w:rPr>
          <w:rFonts w:hint="eastAsia" w:cs="仿宋"/>
          <w:color w:val="auto"/>
          <w:highlight w:val="none"/>
        </w:rPr>
      </w:pPr>
      <w:r>
        <w:rPr>
          <w:rFonts w:hint="eastAsia" w:cs="仿宋"/>
          <w:color w:val="auto"/>
          <w:highlight w:val="none"/>
        </w:rPr>
        <w:br w:type="page"/>
      </w:r>
    </w:p>
    <w:p w14:paraId="79CB7FD6">
      <w:pPr>
        <w:pStyle w:val="6"/>
        <w:rPr>
          <w:rFonts w:cs="仿宋"/>
          <w:color w:val="auto"/>
          <w:highlight w:val="none"/>
        </w:rPr>
      </w:pPr>
      <w:r>
        <w:rPr>
          <w:rFonts w:hint="eastAsia" w:cs="仿宋"/>
          <w:color w:val="auto"/>
          <w:highlight w:val="none"/>
        </w:rPr>
        <w:t xml:space="preserve">第四部分   </w:t>
      </w:r>
      <w:bookmarkStart w:id="62" w:name="_Toc184312121"/>
      <w:bookmarkEnd w:id="62"/>
      <w:bookmarkStart w:id="63" w:name="_Toc184314445"/>
      <w:bookmarkEnd w:id="63"/>
      <w:bookmarkStart w:id="64" w:name="_Toc184314470"/>
      <w:bookmarkEnd w:id="64"/>
      <w:bookmarkStart w:id="65" w:name="_Toc184310333"/>
      <w:bookmarkEnd w:id="65"/>
      <w:bookmarkStart w:id="66" w:name="_Toc184313267"/>
      <w:bookmarkEnd w:id="66"/>
      <w:bookmarkStart w:id="67" w:name="_Toc184308095"/>
      <w:bookmarkEnd w:id="67"/>
      <w:bookmarkStart w:id="68" w:name="_Toc184313286"/>
      <w:bookmarkEnd w:id="68"/>
      <w:bookmarkStart w:id="69" w:name="_Toc184312106"/>
      <w:bookmarkEnd w:id="69"/>
      <w:bookmarkStart w:id="70" w:name="_Toc184312092"/>
      <w:bookmarkEnd w:id="70"/>
      <w:bookmarkStart w:id="71" w:name="_Toc184313244"/>
      <w:bookmarkEnd w:id="71"/>
      <w:bookmarkStart w:id="72" w:name="_Toc184313238"/>
      <w:bookmarkEnd w:id="72"/>
      <w:bookmarkStart w:id="73" w:name="_Toc184312076"/>
      <w:bookmarkEnd w:id="73"/>
      <w:bookmarkStart w:id="74" w:name="_Toc184308039"/>
      <w:bookmarkEnd w:id="74"/>
      <w:bookmarkStart w:id="75" w:name="_Toc184312078"/>
      <w:bookmarkEnd w:id="75"/>
      <w:bookmarkStart w:id="76" w:name="_Toc184314423"/>
      <w:bookmarkEnd w:id="76"/>
      <w:bookmarkStart w:id="77" w:name="_Toc184308104"/>
      <w:bookmarkEnd w:id="77"/>
      <w:bookmarkStart w:id="78" w:name="_Toc184308073"/>
      <w:bookmarkEnd w:id="78"/>
      <w:bookmarkStart w:id="79" w:name="_Toc184312138"/>
      <w:bookmarkEnd w:id="79"/>
      <w:bookmarkStart w:id="80" w:name="_Toc184314471"/>
      <w:bookmarkEnd w:id="80"/>
      <w:bookmarkStart w:id="81" w:name="_Toc184310295"/>
      <w:bookmarkEnd w:id="81"/>
      <w:bookmarkStart w:id="82" w:name="_Toc184312087"/>
      <w:bookmarkEnd w:id="82"/>
      <w:bookmarkStart w:id="83" w:name="_Toc184312067"/>
      <w:bookmarkEnd w:id="83"/>
      <w:bookmarkStart w:id="84" w:name="_Toc184310315"/>
      <w:bookmarkEnd w:id="84"/>
      <w:bookmarkStart w:id="85" w:name="_Toc184310286"/>
      <w:bookmarkEnd w:id="85"/>
      <w:bookmarkStart w:id="86" w:name="_Toc184314474"/>
      <w:bookmarkEnd w:id="86"/>
      <w:bookmarkStart w:id="87" w:name="_Toc184308080"/>
      <w:bookmarkEnd w:id="87"/>
      <w:bookmarkStart w:id="88" w:name="_Toc184312091"/>
      <w:bookmarkEnd w:id="88"/>
      <w:bookmarkStart w:id="89" w:name="_Toc184313308"/>
      <w:bookmarkEnd w:id="89"/>
      <w:bookmarkStart w:id="90" w:name="_Toc184312085"/>
      <w:bookmarkEnd w:id="90"/>
      <w:bookmarkStart w:id="91" w:name="_Toc184312131"/>
      <w:bookmarkEnd w:id="91"/>
      <w:bookmarkStart w:id="92" w:name="_Toc184312070"/>
      <w:bookmarkEnd w:id="92"/>
      <w:bookmarkStart w:id="93" w:name="_Toc184308052"/>
      <w:bookmarkEnd w:id="93"/>
      <w:bookmarkStart w:id="94" w:name="_Toc184312119"/>
      <w:bookmarkEnd w:id="94"/>
      <w:bookmarkStart w:id="95" w:name="_Toc184310309"/>
      <w:bookmarkEnd w:id="95"/>
      <w:bookmarkStart w:id="96" w:name="_Toc184313309"/>
      <w:bookmarkEnd w:id="96"/>
      <w:bookmarkStart w:id="97" w:name="_Toc184308079"/>
      <w:bookmarkEnd w:id="97"/>
      <w:bookmarkStart w:id="98" w:name="_Toc184313248"/>
      <w:bookmarkEnd w:id="98"/>
      <w:bookmarkStart w:id="99" w:name="_Toc184313305"/>
      <w:bookmarkEnd w:id="99"/>
      <w:bookmarkStart w:id="100" w:name="_Toc184313254"/>
      <w:bookmarkEnd w:id="100"/>
      <w:bookmarkStart w:id="101" w:name="_Toc184308084"/>
      <w:bookmarkEnd w:id="101"/>
      <w:bookmarkStart w:id="102" w:name="_Toc184312082"/>
      <w:bookmarkEnd w:id="102"/>
      <w:bookmarkStart w:id="103" w:name="_Toc184312122"/>
      <w:bookmarkEnd w:id="103"/>
      <w:bookmarkStart w:id="104" w:name="_Toc184313272"/>
      <w:bookmarkEnd w:id="104"/>
      <w:bookmarkStart w:id="105" w:name="_Toc184312093"/>
      <w:bookmarkEnd w:id="105"/>
      <w:bookmarkStart w:id="106" w:name="_Toc184312095"/>
      <w:bookmarkEnd w:id="106"/>
      <w:bookmarkStart w:id="107" w:name="_Toc184313290"/>
      <w:bookmarkEnd w:id="107"/>
      <w:bookmarkStart w:id="108" w:name="_Toc184312136"/>
      <w:bookmarkEnd w:id="108"/>
      <w:bookmarkStart w:id="109" w:name="_Toc184308055"/>
      <w:bookmarkEnd w:id="109"/>
      <w:bookmarkStart w:id="110" w:name="_Toc184310344"/>
      <w:bookmarkEnd w:id="110"/>
      <w:bookmarkStart w:id="111" w:name="_Toc184310287"/>
      <w:bookmarkEnd w:id="111"/>
      <w:bookmarkStart w:id="112" w:name="_Toc184312105"/>
      <w:bookmarkEnd w:id="112"/>
      <w:bookmarkStart w:id="113" w:name="_Toc184308074"/>
      <w:bookmarkEnd w:id="113"/>
      <w:bookmarkStart w:id="114" w:name="_Toc184314437"/>
      <w:bookmarkEnd w:id="114"/>
      <w:bookmarkStart w:id="115" w:name="_Toc184314473"/>
      <w:bookmarkEnd w:id="115"/>
      <w:bookmarkStart w:id="116" w:name="_Toc184308056"/>
      <w:bookmarkEnd w:id="116"/>
      <w:bookmarkStart w:id="117" w:name="_Toc184313256"/>
      <w:bookmarkEnd w:id="117"/>
      <w:bookmarkStart w:id="118" w:name="_Toc184310279"/>
      <w:bookmarkEnd w:id="118"/>
      <w:bookmarkStart w:id="119" w:name="_Toc184313280"/>
      <w:bookmarkEnd w:id="119"/>
      <w:bookmarkStart w:id="120" w:name="_Toc184313296"/>
      <w:bookmarkEnd w:id="120"/>
      <w:bookmarkStart w:id="121" w:name="_Toc184308077"/>
      <w:bookmarkEnd w:id="121"/>
      <w:bookmarkStart w:id="122" w:name="_Toc184312071"/>
      <w:bookmarkEnd w:id="122"/>
      <w:bookmarkStart w:id="123" w:name="_Toc184308108"/>
      <w:bookmarkEnd w:id="123"/>
      <w:bookmarkStart w:id="124" w:name="_Toc184313301"/>
      <w:bookmarkEnd w:id="124"/>
      <w:bookmarkStart w:id="125" w:name="_Toc184310303"/>
      <w:bookmarkEnd w:id="125"/>
      <w:bookmarkStart w:id="126" w:name="_Toc184310293"/>
      <w:bookmarkEnd w:id="126"/>
      <w:bookmarkStart w:id="127" w:name="_Toc184314459"/>
      <w:bookmarkEnd w:id="127"/>
      <w:bookmarkStart w:id="128" w:name="_Toc184312137"/>
      <w:bookmarkEnd w:id="128"/>
      <w:bookmarkStart w:id="129" w:name="_Toc184308048"/>
      <w:bookmarkEnd w:id="129"/>
      <w:bookmarkStart w:id="130" w:name="_Toc184312086"/>
      <w:bookmarkEnd w:id="130"/>
      <w:bookmarkStart w:id="131" w:name="_Toc184312080"/>
      <w:bookmarkEnd w:id="131"/>
      <w:bookmarkStart w:id="132" w:name="_Toc184314475"/>
      <w:bookmarkEnd w:id="132"/>
      <w:bookmarkStart w:id="133" w:name="_Toc184314446"/>
      <w:bookmarkEnd w:id="133"/>
      <w:bookmarkStart w:id="134" w:name="_Toc184310289"/>
      <w:bookmarkEnd w:id="134"/>
      <w:bookmarkStart w:id="135" w:name="_Toc184314456"/>
      <w:bookmarkEnd w:id="135"/>
      <w:bookmarkStart w:id="136" w:name="_Toc184308063"/>
      <w:bookmarkEnd w:id="136"/>
      <w:bookmarkStart w:id="137" w:name="_Toc184310301"/>
      <w:bookmarkEnd w:id="137"/>
      <w:bookmarkStart w:id="138" w:name="_Toc184314447"/>
      <w:bookmarkEnd w:id="138"/>
      <w:bookmarkStart w:id="139" w:name="_Toc184313246"/>
      <w:bookmarkEnd w:id="139"/>
      <w:bookmarkStart w:id="140" w:name="_Toc184308105"/>
      <w:bookmarkEnd w:id="140"/>
      <w:bookmarkStart w:id="141" w:name="_Toc184314436"/>
      <w:bookmarkEnd w:id="141"/>
      <w:bookmarkStart w:id="142" w:name="_Toc184312128"/>
      <w:bookmarkEnd w:id="142"/>
      <w:bookmarkStart w:id="143" w:name="_Toc184308078"/>
      <w:bookmarkEnd w:id="143"/>
      <w:bookmarkStart w:id="144" w:name="_Toc184314433"/>
      <w:bookmarkEnd w:id="144"/>
      <w:bookmarkStart w:id="145" w:name="_Toc184308100"/>
      <w:bookmarkEnd w:id="145"/>
      <w:bookmarkStart w:id="146" w:name="_Toc184310291"/>
      <w:bookmarkEnd w:id="146"/>
      <w:bookmarkStart w:id="147" w:name="_Toc184308064"/>
      <w:bookmarkEnd w:id="147"/>
      <w:bookmarkStart w:id="148" w:name="_Toc184310318"/>
      <w:bookmarkEnd w:id="148"/>
      <w:bookmarkStart w:id="149" w:name="_Toc184314429"/>
      <w:bookmarkEnd w:id="149"/>
      <w:bookmarkStart w:id="150" w:name="_Toc184308071"/>
      <w:bookmarkEnd w:id="150"/>
      <w:bookmarkStart w:id="151" w:name="_Toc184313276"/>
      <w:bookmarkEnd w:id="151"/>
      <w:bookmarkStart w:id="152" w:name="_Toc184314467"/>
      <w:bookmarkEnd w:id="152"/>
      <w:bookmarkStart w:id="153" w:name="_Toc184312118"/>
      <w:bookmarkEnd w:id="153"/>
      <w:bookmarkStart w:id="154" w:name="_Toc184308107"/>
      <w:bookmarkEnd w:id="154"/>
      <w:bookmarkStart w:id="155" w:name="_Toc184312127"/>
      <w:bookmarkEnd w:id="155"/>
      <w:bookmarkStart w:id="156" w:name="_Toc184308092"/>
      <w:bookmarkEnd w:id="156"/>
      <w:bookmarkStart w:id="157" w:name="_Toc184314421"/>
      <w:bookmarkEnd w:id="157"/>
      <w:bookmarkStart w:id="158" w:name="_Toc184314435"/>
      <w:bookmarkEnd w:id="158"/>
      <w:bookmarkStart w:id="159" w:name="_Toc184314413"/>
      <w:bookmarkEnd w:id="159"/>
      <w:bookmarkStart w:id="160" w:name="_Toc184314461"/>
      <w:bookmarkEnd w:id="160"/>
      <w:bookmarkStart w:id="161" w:name="_Toc184312074"/>
      <w:bookmarkEnd w:id="161"/>
      <w:bookmarkStart w:id="162" w:name="_Toc184313285"/>
      <w:bookmarkEnd w:id="162"/>
      <w:bookmarkStart w:id="163" w:name="_Toc184310282"/>
      <w:bookmarkEnd w:id="163"/>
      <w:bookmarkStart w:id="164" w:name="_Toc184308062"/>
      <w:bookmarkEnd w:id="164"/>
      <w:bookmarkStart w:id="165" w:name="_Toc184313298"/>
      <w:bookmarkEnd w:id="165"/>
      <w:bookmarkStart w:id="166" w:name="_Toc184310319"/>
      <w:bookmarkEnd w:id="166"/>
      <w:bookmarkStart w:id="167" w:name="_Toc184308060"/>
      <w:bookmarkEnd w:id="167"/>
      <w:bookmarkStart w:id="168" w:name="_Toc184310330"/>
      <w:bookmarkEnd w:id="168"/>
      <w:bookmarkStart w:id="169" w:name="_Toc184313274"/>
      <w:bookmarkEnd w:id="169"/>
      <w:bookmarkStart w:id="170" w:name="_Toc184314430"/>
      <w:bookmarkEnd w:id="170"/>
      <w:bookmarkStart w:id="171" w:name="_Toc184310308"/>
      <w:bookmarkEnd w:id="171"/>
      <w:bookmarkStart w:id="172" w:name="_Toc184310332"/>
      <w:bookmarkEnd w:id="172"/>
      <w:bookmarkStart w:id="173" w:name="_Toc184314462"/>
      <w:bookmarkEnd w:id="173"/>
      <w:bookmarkStart w:id="174" w:name="_Toc184312108"/>
      <w:bookmarkEnd w:id="174"/>
      <w:bookmarkStart w:id="175" w:name="_Toc184313264"/>
      <w:bookmarkEnd w:id="175"/>
      <w:bookmarkStart w:id="176" w:name="_Toc184308087"/>
      <w:bookmarkEnd w:id="176"/>
      <w:bookmarkStart w:id="177" w:name="_Toc184308101"/>
      <w:bookmarkEnd w:id="177"/>
      <w:bookmarkStart w:id="178" w:name="_Toc184310323"/>
      <w:bookmarkEnd w:id="178"/>
      <w:bookmarkStart w:id="179" w:name="_Toc184312081"/>
      <w:bookmarkEnd w:id="179"/>
      <w:bookmarkStart w:id="180" w:name="_Toc184312075"/>
      <w:bookmarkEnd w:id="180"/>
      <w:bookmarkStart w:id="181" w:name="_Toc184308094"/>
      <w:bookmarkEnd w:id="181"/>
      <w:bookmarkStart w:id="182" w:name="_Toc184310328"/>
      <w:bookmarkEnd w:id="182"/>
      <w:bookmarkStart w:id="183" w:name="_Toc184314444"/>
      <w:bookmarkEnd w:id="183"/>
      <w:bookmarkStart w:id="184" w:name="_Toc184310273"/>
      <w:bookmarkEnd w:id="184"/>
      <w:bookmarkStart w:id="185" w:name="_Toc184310305"/>
      <w:bookmarkEnd w:id="185"/>
      <w:bookmarkStart w:id="186" w:name="_Toc184314412"/>
      <w:bookmarkEnd w:id="186"/>
      <w:bookmarkStart w:id="187" w:name="_Toc184310339"/>
      <w:bookmarkEnd w:id="187"/>
      <w:bookmarkStart w:id="188" w:name="_Toc184308103"/>
      <w:bookmarkEnd w:id="188"/>
      <w:bookmarkStart w:id="189" w:name="_Toc184308044"/>
      <w:bookmarkEnd w:id="189"/>
      <w:bookmarkStart w:id="190" w:name="_Toc184314455"/>
      <w:bookmarkEnd w:id="190"/>
      <w:bookmarkStart w:id="191" w:name="_Toc184308054"/>
      <w:bookmarkEnd w:id="191"/>
      <w:bookmarkStart w:id="192" w:name="_Toc184314422"/>
      <w:bookmarkEnd w:id="192"/>
      <w:bookmarkStart w:id="193" w:name="_Toc184310341"/>
      <w:bookmarkEnd w:id="193"/>
      <w:bookmarkStart w:id="194" w:name="_Toc184314472"/>
      <w:bookmarkEnd w:id="194"/>
      <w:bookmarkStart w:id="195" w:name="_Toc184310326"/>
      <w:bookmarkEnd w:id="195"/>
      <w:bookmarkStart w:id="196" w:name="_Toc184313268"/>
      <w:bookmarkEnd w:id="196"/>
      <w:bookmarkStart w:id="197" w:name="_Toc184313243"/>
      <w:bookmarkEnd w:id="197"/>
      <w:bookmarkStart w:id="198" w:name="_Toc184313240"/>
      <w:bookmarkEnd w:id="198"/>
      <w:bookmarkStart w:id="199" w:name="_Toc184313250"/>
      <w:bookmarkEnd w:id="199"/>
      <w:bookmarkStart w:id="200" w:name="_Toc184313257"/>
      <w:bookmarkEnd w:id="200"/>
      <w:bookmarkStart w:id="201" w:name="_Toc184314476"/>
      <w:bookmarkEnd w:id="201"/>
      <w:bookmarkStart w:id="202" w:name="_Toc184312135"/>
      <w:bookmarkEnd w:id="202"/>
      <w:bookmarkStart w:id="203" w:name="_Toc184310331"/>
      <w:bookmarkEnd w:id="203"/>
      <w:bookmarkStart w:id="204" w:name="_Toc184308058"/>
      <w:bookmarkEnd w:id="204"/>
      <w:bookmarkStart w:id="205" w:name="_Toc184310312"/>
      <w:bookmarkEnd w:id="205"/>
      <w:bookmarkStart w:id="206" w:name="_Toc184312103"/>
      <w:bookmarkEnd w:id="206"/>
      <w:bookmarkStart w:id="207" w:name="_Toc184313293"/>
      <w:bookmarkEnd w:id="207"/>
      <w:bookmarkStart w:id="208" w:name="_Toc184312134"/>
      <w:bookmarkEnd w:id="208"/>
      <w:bookmarkStart w:id="209" w:name="_Toc184314418"/>
      <w:bookmarkEnd w:id="209"/>
      <w:bookmarkStart w:id="210" w:name="_Toc184313249"/>
      <w:bookmarkEnd w:id="210"/>
      <w:bookmarkStart w:id="211" w:name="_Toc184308050"/>
      <w:bookmarkEnd w:id="211"/>
      <w:bookmarkStart w:id="212" w:name="_Toc184313241"/>
      <w:bookmarkEnd w:id="212"/>
      <w:bookmarkStart w:id="213" w:name="_Toc184312123"/>
      <w:bookmarkEnd w:id="213"/>
      <w:bookmarkStart w:id="214" w:name="_Toc184312130"/>
      <w:bookmarkEnd w:id="214"/>
      <w:bookmarkStart w:id="215" w:name="_Toc184312099"/>
      <w:bookmarkEnd w:id="215"/>
      <w:bookmarkStart w:id="216" w:name="_Toc184308099"/>
      <w:bookmarkEnd w:id="216"/>
      <w:bookmarkStart w:id="217" w:name="_Toc184313265"/>
      <w:bookmarkEnd w:id="217"/>
      <w:bookmarkStart w:id="218" w:name="_Toc184310298"/>
      <w:bookmarkEnd w:id="218"/>
      <w:bookmarkStart w:id="219" w:name="_Toc184313242"/>
      <w:bookmarkEnd w:id="219"/>
      <w:bookmarkStart w:id="220" w:name="_Toc184314439"/>
      <w:bookmarkEnd w:id="220"/>
      <w:bookmarkStart w:id="221" w:name="_Toc184308090"/>
      <w:bookmarkEnd w:id="221"/>
      <w:bookmarkStart w:id="222" w:name="_Toc184312068"/>
      <w:bookmarkEnd w:id="222"/>
      <w:bookmarkStart w:id="223" w:name="_Toc184313269"/>
      <w:bookmarkEnd w:id="223"/>
      <w:bookmarkStart w:id="224" w:name="_Toc184314419"/>
      <w:bookmarkEnd w:id="224"/>
      <w:bookmarkStart w:id="225" w:name="_Toc184308091"/>
      <w:bookmarkEnd w:id="225"/>
      <w:bookmarkStart w:id="226" w:name="_Toc184312094"/>
      <w:bookmarkEnd w:id="226"/>
      <w:bookmarkStart w:id="227" w:name="_Toc184314428"/>
      <w:bookmarkEnd w:id="227"/>
      <w:bookmarkStart w:id="228" w:name="_Toc184308088"/>
      <w:bookmarkEnd w:id="228"/>
      <w:bookmarkStart w:id="229" w:name="_Toc184314454"/>
      <w:bookmarkEnd w:id="229"/>
      <w:bookmarkStart w:id="230" w:name="_Toc184312124"/>
      <w:bookmarkEnd w:id="230"/>
      <w:bookmarkStart w:id="231" w:name="_Toc184308036"/>
      <w:bookmarkEnd w:id="231"/>
      <w:bookmarkStart w:id="232" w:name="_Toc184313306"/>
      <w:bookmarkEnd w:id="232"/>
      <w:bookmarkStart w:id="233" w:name="_Toc184312102"/>
      <w:bookmarkEnd w:id="233"/>
      <w:bookmarkStart w:id="234" w:name="_Toc184313303"/>
      <w:bookmarkEnd w:id="234"/>
      <w:bookmarkStart w:id="235" w:name="_Toc184312112"/>
      <w:bookmarkEnd w:id="235"/>
      <w:bookmarkStart w:id="236" w:name="_Toc184314417"/>
      <w:bookmarkEnd w:id="236"/>
      <w:bookmarkStart w:id="237" w:name="_Toc184313282"/>
      <w:bookmarkEnd w:id="237"/>
      <w:bookmarkStart w:id="238" w:name="_Toc184314468"/>
      <w:bookmarkEnd w:id="238"/>
      <w:bookmarkStart w:id="239" w:name="_Toc184308085"/>
      <w:bookmarkEnd w:id="239"/>
      <w:bookmarkStart w:id="240" w:name="_Toc184308049"/>
      <w:bookmarkEnd w:id="240"/>
      <w:bookmarkStart w:id="241" w:name="_Toc184314415"/>
      <w:bookmarkEnd w:id="241"/>
      <w:bookmarkStart w:id="242" w:name="_Toc184313310"/>
      <w:bookmarkEnd w:id="242"/>
      <w:bookmarkStart w:id="243" w:name="_Toc184314479"/>
      <w:bookmarkEnd w:id="243"/>
      <w:bookmarkStart w:id="244" w:name="_Toc184312083"/>
      <w:bookmarkEnd w:id="244"/>
      <w:bookmarkStart w:id="245" w:name="_Toc184314443"/>
      <w:bookmarkEnd w:id="245"/>
      <w:bookmarkStart w:id="246" w:name="_Toc184310296"/>
      <w:bookmarkEnd w:id="246"/>
      <w:bookmarkStart w:id="247" w:name="_Toc184310325"/>
      <w:bookmarkEnd w:id="247"/>
      <w:bookmarkStart w:id="248" w:name="_Toc184308045"/>
      <w:bookmarkEnd w:id="248"/>
      <w:bookmarkStart w:id="249" w:name="_Toc184312100"/>
      <w:bookmarkEnd w:id="249"/>
      <w:bookmarkStart w:id="250" w:name="_Toc184313263"/>
      <w:bookmarkEnd w:id="250"/>
      <w:bookmarkStart w:id="251" w:name="_Toc184312084"/>
      <w:bookmarkEnd w:id="251"/>
      <w:bookmarkStart w:id="252" w:name="_Toc184308069"/>
      <w:bookmarkEnd w:id="252"/>
      <w:bookmarkStart w:id="253" w:name="_Toc184313302"/>
      <w:bookmarkEnd w:id="253"/>
      <w:bookmarkStart w:id="254" w:name="_Toc184310284"/>
      <w:bookmarkEnd w:id="254"/>
      <w:bookmarkStart w:id="255" w:name="_Toc184310334"/>
      <w:bookmarkEnd w:id="255"/>
      <w:bookmarkStart w:id="256" w:name="_Toc184313271"/>
      <w:bookmarkEnd w:id="256"/>
      <w:bookmarkStart w:id="257" w:name="_Toc184313259"/>
      <w:bookmarkEnd w:id="257"/>
      <w:bookmarkStart w:id="258" w:name="_Toc184308093"/>
      <w:bookmarkEnd w:id="258"/>
      <w:bookmarkStart w:id="259" w:name="_Toc184313252"/>
      <w:bookmarkEnd w:id="259"/>
      <w:bookmarkStart w:id="260" w:name="_Toc184310340"/>
      <w:bookmarkEnd w:id="260"/>
      <w:bookmarkStart w:id="261" w:name="_Toc184310294"/>
      <w:bookmarkEnd w:id="261"/>
      <w:bookmarkStart w:id="262" w:name="_Toc184310302"/>
      <w:bookmarkEnd w:id="262"/>
      <w:bookmarkStart w:id="263" w:name="_Toc184312110"/>
      <w:bookmarkEnd w:id="263"/>
      <w:bookmarkStart w:id="264" w:name="_Toc184310329"/>
      <w:bookmarkEnd w:id="264"/>
      <w:bookmarkStart w:id="265" w:name="_Toc184313304"/>
      <w:bookmarkEnd w:id="265"/>
      <w:bookmarkStart w:id="266" w:name="_Toc184313292"/>
      <w:bookmarkEnd w:id="266"/>
      <w:bookmarkStart w:id="267" w:name="_Toc184313284"/>
      <w:bookmarkEnd w:id="267"/>
      <w:bookmarkStart w:id="268" w:name="_Toc184313283"/>
      <w:bookmarkEnd w:id="268"/>
      <w:bookmarkStart w:id="269" w:name="_Toc184313245"/>
      <w:bookmarkEnd w:id="269"/>
      <w:bookmarkStart w:id="270" w:name="_Toc184313258"/>
      <w:bookmarkEnd w:id="270"/>
      <w:bookmarkStart w:id="271" w:name="_Toc184308037"/>
      <w:bookmarkEnd w:id="271"/>
      <w:bookmarkStart w:id="272" w:name="_Toc184314450"/>
      <w:bookmarkEnd w:id="272"/>
      <w:bookmarkStart w:id="273" w:name="_Toc184308061"/>
      <w:bookmarkEnd w:id="273"/>
      <w:bookmarkStart w:id="274" w:name="_Toc184308057"/>
      <w:bookmarkEnd w:id="274"/>
      <w:bookmarkStart w:id="275" w:name="_Toc184310304"/>
      <w:bookmarkEnd w:id="275"/>
      <w:bookmarkStart w:id="276" w:name="_Toc184312096"/>
      <w:bookmarkEnd w:id="276"/>
      <w:bookmarkStart w:id="277" w:name="_Toc184313299"/>
      <w:bookmarkEnd w:id="277"/>
      <w:bookmarkStart w:id="278" w:name="_Toc184312104"/>
      <w:bookmarkEnd w:id="278"/>
      <w:bookmarkStart w:id="279" w:name="_Toc184310278"/>
      <w:bookmarkEnd w:id="279"/>
      <w:bookmarkStart w:id="280" w:name="_Toc184310297"/>
      <w:bookmarkEnd w:id="280"/>
      <w:bookmarkStart w:id="281" w:name="_Toc184313295"/>
      <w:bookmarkEnd w:id="281"/>
      <w:bookmarkStart w:id="282" w:name="_Toc184312116"/>
      <w:bookmarkEnd w:id="282"/>
      <w:bookmarkStart w:id="283" w:name="_Toc184308086"/>
      <w:bookmarkEnd w:id="283"/>
      <w:bookmarkStart w:id="284" w:name="_Toc184313253"/>
      <w:bookmarkEnd w:id="284"/>
      <w:bookmarkStart w:id="285" w:name="_Toc184310338"/>
      <w:bookmarkEnd w:id="285"/>
      <w:bookmarkStart w:id="286" w:name="_Toc184308106"/>
      <w:bookmarkEnd w:id="286"/>
      <w:bookmarkStart w:id="287" w:name="_Toc184310299"/>
      <w:bookmarkEnd w:id="287"/>
      <w:bookmarkStart w:id="288" w:name="_Toc184313281"/>
      <w:bookmarkEnd w:id="288"/>
      <w:bookmarkStart w:id="289" w:name="_Toc184313270"/>
      <w:bookmarkEnd w:id="289"/>
      <w:bookmarkStart w:id="290" w:name="_Toc184310327"/>
      <w:bookmarkEnd w:id="290"/>
      <w:bookmarkStart w:id="291" w:name="_Toc184308083"/>
      <w:bookmarkEnd w:id="291"/>
      <w:bookmarkStart w:id="292" w:name="_Toc184310272"/>
      <w:bookmarkEnd w:id="292"/>
      <w:bookmarkStart w:id="293" w:name="_Toc184312097"/>
      <w:bookmarkEnd w:id="293"/>
      <w:bookmarkStart w:id="294" w:name="_Toc184312098"/>
      <w:bookmarkEnd w:id="294"/>
      <w:bookmarkStart w:id="295" w:name="_Toc184310313"/>
      <w:bookmarkEnd w:id="295"/>
      <w:bookmarkStart w:id="296" w:name="_Toc184312107"/>
      <w:bookmarkEnd w:id="296"/>
      <w:bookmarkStart w:id="297" w:name="_Toc184310335"/>
      <w:bookmarkEnd w:id="297"/>
      <w:bookmarkStart w:id="298" w:name="_Toc184308053"/>
      <w:bookmarkEnd w:id="298"/>
      <w:bookmarkStart w:id="299" w:name="_Toc184314466"/>
      <w:bookmarkEnd w:id="299"/>
      <w:bookmarkStart w:id="300" w:name="_Toc184314469"/>
      <w:bookmarkEnd w:id="300"/>
      <w:bookmarkStart w:id="301" w:name="_Toc184310306"/>
      <w:bookmarkEnd w:id="301"/>
      <w:bookmarkStart w:id="302" w:name="_Toc184313262"/>
      <w:bookmarkEnd w:id="302"/>
      <w:bookmarkStart w:id="303" w:name="_Toc184308041"/>
      <w:bookmarkEnd w:id="303"/>
      <w:bookmarkStart w:id="304" w:name="_Toc184312089"/>
      <w:bookmarkEnd w:id="304"/>
      <w:bookmarkStart w:id="305" w:name="_Toc184314424"/>
      <w:bookmarkEnd w:id="305"/>
      <w:bookmarkStart w:id="306" w:name="_Toc184313266"/>
      <w:bookmarkEnd w:id="306"/>
      <w:bookmarkStart w:id="307" w:name="_Toc184314410"/>
      <w:bookmarkEnd w:id="307"/>
      <w:bookmarkStart w:id="308" w:name="_Toc184312079"/>
      <w:bookmarkEnd w:id="308"/>
      <w:bookmarkStart w:id="309" w:name="_Toc184310317"/>
      <w:bookmarkEnd w:id="309"/>
      <w:bookmarkStart w:id="310" w:name="_Toc184308042"/>
      <w:bookmarkEnd w:id="310"/>
      <w:bookmarkStart w:id="311" w:name="_Toc184312120"/>
      <w:bookmarkEnd w:id="311"/>
      <w:bookmarkStart w:id="312" w:name="_Toc184310311"/>
      <w:bookmarkEnd w:id="312"/>
      <w:bookmarkStart w:id="313" w:name="_Toc184308070"/>
      <w:bookmarkEnd w:id="313"/>
      <w:bookmarkStart w:id="314" w:name="_Toc184310314"/>
      <w:bookmarkEnd w:id="314"/>
      <w:bookmarkStart w:id="315" w:name="_Toc184312139"/>
      <w:bookmarkEnd w:id="315"/>
      <w:bookmarkStart w:id="316" w:name="_Toc184313297"/>
      <w:bookmarkEnd w:id="316"/>
      <w:bookmarkStart w:id="317" w:name="_Toc184310275"/>
      <w:bookmarkEnd w:id="317"/>
      <w:bookmarkStart w:id="318" w:name="_Toc184312114"/>
      <w:bookmarkEnd w:id="318"/>
      <w:bookmarkStart w:id="319" w:name="_Toc184312101"/>
      <w:bookmarkEnd w:id="319"/>
      <w:bookmarkStart w:id="320" w:name="_Toc184312126"/>
      <w:bookmarkEnd w:id="320"/>
      <w:bookmarkStart w:id="321" w:name="_Toc184313247"/>
      <w:bookmarkEnd w:id="321"/>
      <w:bookmarkStart w:id="322" w:name="_Toc184308043"/>
      <w:bookmarkEnd w:id="322"/>
      <w:bookmarkStart w:id="323" w:name="_Toc184314448"/>
      <w:bookmarkEnd w:id="323"/>
      <w:bookmarkStart w:id="324" w:name="_Toc184313278"/>
      <w:bookmarkEnd w:id="324"/>
      <w:bookmarkStart w:id="325" w:name="_Toc184314452"/>
      <w:bookmarkEnd w:id="325"/>
      <w:bookmarkStart w:id="326" w:name="_Toc184310283"/>
      <w:bookmarkEnd w:id="326"/>
      <w:bookmarkStart w:id="327" w:name="_Toc184314438"/>
      <w:bookmarkEnd w:id="327"/>
      <w:bookmarkStart w:id="328" w:name="_Toc184314465"/>
      <w:bookmarkEnd w:id="328"/>
      <w:bookmarkStart w:id="329" w:name="_Toc184312125"/>
      <w:bookmarkEnd w:id="329"/>
      <w:bookmarkStart w:id="330" w:name="_Toc184314451"/>
      <w:bookmarkEnd w:id="330"/>
      <w:bookmarkStart w:id="331" w:name="_Toc184313255"/>
      <w:bookmarkEnd w:id="331"/>
      <w:bookmarkStart w:id="332" w:name="_Toc184310322"/>
      <w:bookmarkEnd w:id="332"/>
      <w:bookmarkStart w:id="333" w:name="_Toc184313287"/>
      <w:bookmarkEnd w:id="333"/>
      <w:bookmarkStart w:id="334" w:name="_Toc184313277"/>
      <w:bookmarkEnd w:id="334"/>
      <w:bookmarkStart w:id="335" w:name="_Toc184308076"/>
      <w:bookmarkEnd w:id="335"/>
      <w:bookmarkStart w:id="336" w:name="_Toc184313251"/>
      <w:bookmarkEnd w:id="336"/>
      <w:bookmarkStart w:id="337" w:name="_Toc184314481"/>
      <w:bookmarkEnd w:id="337"/>
      <w:bookmarkStart w:id="338" w:name="_Toc184310300"/>
      <w:bookmarkEnd w:id="338"/>
      <w:bookmarkStart w:id="339" w:name="_Toc184308065"/>
      <w:bookmarkEnd w:id="339"/>
      <w:bookmarkStart w:id="340" w:name="_Toc184314453"/>
      <w:bookmarkEnd w:id="340"/>
      <w:bookmarkStart w:id="341" w:name="_Toc184314441"/>
      <w:bookmarkEnd w:id="341"/>
      <w:bookmarkStart w:id="342" w:name="_Toc184314458"/>
      <w:bookmarkEnd w:id="342"/>
      <w:bookmarkStart w:id="343" w:name="_Toc184313239"/>
      <w:bookmarkEnd w:id="343"/>
      <w:bookmarkStart w:id="344" w:name="_Toc184308102"/>
      <w:bookmarkEnd w:id="344"/>
      <w:bookmarkStart w:id="345" w:name="_Toc184308066"/>
      <w:bookmarkEnd w:id="345"/>
      <w:bookmarkStart w:id="346" w:name="_Toc184310310"/>
      <w:bookmarkEnd w:id="346"/>
      <w:bookmarkStart w:id="347" w:name="_Toc184308047"/>
      <w:bookmarkEnd w:id="347"/>
      <w:bookmarkStart w:id="348" w:name="_Toc184314411"/>
      <w:bookmarkEnd w:id="348"/>
      <w:bookmarkStart w:id="349" w:name="_Toc184312115"/>
      <w:bookmarkEnd w:id="349"/>
      <w:bookmarkStart w:id="350" w:name="_Toc184310274"/>
      <w:bookmarkEnd w:id="350"/>
      <w:bookmarkStart w:id="351" w:name="_Toc184313275"/>
      <w:bookmarkEnd w:id="351"/>
      <w:bookmarkStart w:id="352" w:name="_Toc184308096"/>
      <w:bookmarkEnd w:id="352"/>
      <w:bookmarkStart w:id="353" w:name="_Toc184314425"/>
      <w:bookmarkEnd w:id="353"/>
      <w:bookmarkStart w:id="354" w:name="_Toc184312077"/>
      <w:bookmarkEnd w:id="354"/>
      <w:bookmarkStart w:id="355" w:name="_Toc184314464"/>
      <w:bookmarkEnd w:id="355"/>
      <w:bookmarkStart w:id="356" w:name="_Toc184310280"/>
      <w:bookmarkEnd w:id="356"/>
      <w:bookmarkStart w:id="357" w:name="_Toc184314482"/>
      <w:bookmarkEnd w:id="357"/>
      <w:bookmarkStart w:id="358" w:name="_Toc184312069"/>
      <w:bookmarkEnd w:id="358"/>
      <w:bookmarkStart w:id="359" w:name="_Toc184308051"/>
      <w:bookmarkEnd w:id="359"/>
      <w:bookmarkStart w:id="360" w:name="_Toc184308059"/>
      <w:bookmarkEnd w:id="360"/>
      <w:bookmarkStart w:id="361" w:name="_Toc184312073"/>
      <w:bookmarkEnd w:id="361"/>
      <w:bookmarkStart w:id="362" w:name="_Toc184308067"/>
      <w:bookmarkEnd w:id="362"/>
      <w:bookmarkStart w:id="363" w:name="_Toc184308046"/>
      <w:bookmarkEnd w:id="363"/>
      <w:bookmarkStart w:id="364" w:name="_Toc184313261"/>
      <w:bookmarkEnd w:id="364"/>
      <w:bookmarkStart w:id="365" w:name="_Toc184314427"/>
      <w:bookmarkEnd w:id="365"/>
      <w:bookmarkStart w:id="366" w:name="_Toc184312109"/>
      <w:bookmarkEnd w:id="366"/>
      <w:bookmarkStart w:id="367" w:name="_Toc184308097"/>
      <w:bookmarkEnd w:id="367"/>
      <w:bookmarkStart w:id="368" w:name="_Toc184312129"/>
      <w:bookmarkEnd w:id="368"/>
      <w:bookmarkStart w:id="369" w:name="_Toc184313294"/>
      <w:bookmarkEnd w:id="369"/>
      <w:bookmarkStart w:id="370" w:name="_Toc184314449"/>
      <w:bookmarkEnd w:id="370"/>
      <w:bookmarkStart w:id="371" w:name="_Toc184313279"/>
      <w:bookmarkEnd w:id="371"/>
      <w:bookmarkStart w:id="372" w:name="_Toc184314440"/>
      <w:bookmarkEnd w:id="372"/>
      <w:bookmarkStart w:id="373" w:name="_Toc184314442"/>
      <w:bookmarkEnd w:id="373"/>
      <w:bookmarkStart w:id="374" w:name="_Toc184313273"/>
      <w:bookmarkEnd w:id="374"/>
      <w:bookmarkStart w:id="375" w:name="_Toc184312072"/>
      <w:bookmarkEnd w:id="375"/>
      <w:bookmarkStart w:id="376" w:name="_Toc184310343"/>
      <w:bookmarkEnd w:id="376"/>
      <w:bookmarkStart w:id="377" w:name="_Toc184313300"/>
      <w:bookmarkEnd w:id="377"/>
      <w:bookmarkStart w:id="378" w:name="_Toc184310316"/>
      <w:bookmarkEnd w:id="378"/>
      <w:bookmarkStart w:id="379" w:name="_Toc184312090"/>
      <w:bookmarkEnd w:id="379"/>
      <w:bookmarkStart w:id="380" w:name="_Toc184310342"/>
      <w:bookmarkEnd w:id="380"/>
      <w:bookmarkStart w:id="381" w:name="_Toc184310276"/>
      <w:bookmarkEnd w:id="381"/>
      <w:bookmarkStart w:id="382" w:name="_Toc184314463"/>
      <w:bookmarkEnd w:id="382"/>
      <w:bookmarkStart w:id="383" w:name="_Toc184310292"/>
      <w:bookmarkEnd w:id="383"/>
      <w:bookmarkStart w:id="384" w:name="_Toc184308089"/>
      <w:bookmarkEnd w:id="384"/>
      <w:bookmarkStart w:id="385" w:name="_Toc184313289"/>
      <w:bookmarkEnd w:id="385"/>
      <w:bookmarkStart w:id="386" w:name="_Toc184313288"/>
      <w:bookmarkEnd w:id="386"/>
      <w:bookmarkStart w:id="387" w:name="_Toc184314434"/>
      <w:bookmarkEnd w:id="387"/>
      <w:bookmarkStart w:id="388" w:name="_Toc184312133"/>
      <w:bookmarkEnd w:id="388"/>
      <w:bookmarkStart w:id="389" w:name="_Toc184310281"/>
      <w:bookmarkEnd w:id="389"/>
      <w:bookmarkStart w:id="390" w:name="_Toc184314432"/>
      <w:bookmarkEnd w:id="390"/>
      <w:bookmarkStart w:id="391" w:name="_Toc184314426"/>
      <w:bookmarkEnd w:id="391"/>
      <w:bookmarkStart w:id="392" w:name="_Toc184310307"/>
      <w:bookmarkEnd w:id="392"/>
      <w:bookmarkStart w:id="393" w:name="_Toc184314477"/>
      <w:bookmarkEnd w:id="393"/>
      <w:bookmarkStart w:id="394" w:name="_Toc184313260"/>
      <w:bookmarkEnd w:id="394"/>
      <w:bookmarkStart w:id="395" w:name="_Toc184314457"/>
      <w:bookmarkEnd w:id="395"/>
      <w:bookmarkStart w:id="396" w:name="_Toc184308068"/>
      <w:bookmarkEnd w:id="396"/>
      <w:bookmarkStart w:id="397" w:name="_Toc184314431"/>
      <w:bookmarkEnd w:id="397"/>
      <w:bookmarkStart w:id="398" w:name="_Toc184310336"/>
      <w:bookmarkEnd w:id="398"/>
      <w:bookmarkStart w:id="399" w:name="_Toc184312113"/>
      <w:bookmarkEnd w:id="399"/>
      <w:bookmarkStart w:id="400" w:name="_Toc184313291"/>
      <w:bookmarkEnd w:id="400"/>
      <w:bookmarkStart w:id="401" w:name="_Toc184310285"/>
      <w:bookmarkEnd w:id="401"/>
      <w:bookmarkStart w:id="402" w:name="_Toc184313307"/>
      <w:bookmarkEnd w:id="402"/>
      <w:bookmarkStart w:id="403" w:name="_Toc184312117"/>
      <w:bookmarkEnd w:id="403"/>
      <w:bookmarkStart w:id="404" w:name="_Toc184314420"/>
      <w:bookmarkEnd w:id="404"/>
      <w:bookmarkStart w:id="405" w:name="_Toc184310288"/>
      <w:bookmarkEnd w:id="405"/>
      <w:bookmarkStart w:id="406" w:name="_Toc184314480"/>
      <w:bookmarkEnd w:id="406"/>
      <w:bookmarkStart w:id="407" w:name="_Toc184312088"/>
      <w:bookmarkEnd w:id="407"/>
      <w:bookmarkStart w:id="408" w:name="_Toc184308040"/>
      <w:bookmarkEnd w:id="408"/>
      <w:bookmarkStart w:id="409" w:name="_Toc184308081"/>
      <w:bookmarkEnd w:id="409"/>
      <w:bookmarkStart w:id="410" w:name="_Toc184310337"/>
      <w:bookmarkEnd w:id="410"/>
      <w:bookmarkStart w:id="411" w:name="_Toc184308072"/>
      <w:bookmarkEnd w:id="411"/>
      <w:bookmarkStart w:id="412" w:name="_Toc184310324"/>
      <w:bookmarkEnd w:id="412"/>
      <w:bookmarkStart w:id="413" w:name="_Toc184308075"/>
      <w:bookmarkEnd w:id="413"/>
      <w:bookmarkStart w:id="414" w:name="_Toc184314460"/>
      <w:bookmarkEnd w:id="414"/>
      <w:bookmarkStart w:id="415" w:name="_Toc184312111"/>
      <w:bookmarkEnd w:id="415"/>
      <w:bookmarkStart w:id="416" w:name="_Toc184314414"/>
      <w:bookmarkEnd w:id="416"/>
      <w:bookmarkStart w:id="417" w:name="_Toc184308098"/>
      <w:bookmarkEnd w:id="417"/>
      <w:bookmarkStart w:id="418" w:name="_Toc184310321"/>
      <w:bookmarkEnd w:id="418"/>
      <w:bookmarkStart w:id="419" w:name="_Toc184310290"/>
      <w:bookmarkEnd w:id="419"/>
      <w:bookmarkStart w:id="420" w:name="_Toc184314478"/>
      <w:bookmarkEnd w:id="420"/>
      <w:bookmarkStart w:id="421" w:name="_Toc184314416"/>
      <w:bookmarkEnd w:id="421"/>
      <w:bookmarkStart w:id="422" w:name="_Toc184308082"/>
      <w:bookmarkEnd w:id="422"/>
      <w:bookmarkStart w:id="423" w:name="_Toc184310320"/>
      <w:bookmarkEnd w:id="423"/>
      <w:bookmarkStart w:id="424" w:name="_Toc184308038"/>
      <w:bookmarkEnd w:id="424"/>
      <w:bookmarkStart w:id="425" w:name="_Toc184310277"/>
      <w:bookmarkEnd w:id="425"/>
      <w:bookmarkStart w:id="426" w:name="_Toc184312132"/>
      <w:bookmarkEnd w:id="426"/>
      <w:r>
        <w:rPr>
          <w:rFonts w:hint="eastAsia" w:cs="仿宋"/>
          <w:color w:val="auto"/>
          <w:highlight w:val="none"/>
        </w:rPr>
        <w:t>评审办法</w:t>
      </w:r>
    </w:p>
    <w:p w14:paraId="6FB98775">
      <w:pPr>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2F40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04A49972">
            <w:pPr>
              <w:autoSpaceDE w:val="0"/>
              <w:autoSpaceDN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本项目采用综合评分法</w:t>
            </w:r>
            <w:r>
              <w:rPr>
                <w:rFonts w:hint="eastAsia" w:ascii="仿宋" w:hAnsi="仿宋" w:eastAsia="仿宋" w:cs="仿宋"/>
                <w:sz w:val="24"/>
                <w:highlight w:val="none"/>
              </w:rPr>
              <w:t>：</w:t>
            </w:r>
          </w:p>
          <w:p w14:paraId="3FEF9967">
            <w:pPr>
              <w:autoSpaceDE w:val="0"/>
              <w:autoSpaceDN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highlight w:val="none"/>
              </w:rPr>
              <w:t>得分且投标报价相同的并列</w:t>
            </w:r>
            <w:r>
              <w:rPr>
                <w:rFonts w:hint="eastAsia" w:ascii="仿宋" w:hAnsi="仿宋" w:eastAsia="仿宋" w:cs="仿宋"/>
                <w:sz w:val="24"/>
                <w:highlight w:val="none"/>
              </w:rPr>
              <w:t>，并形成评标意见。</w:t>
            </w:r>
          </w:p>
          <w:p w14:paraId="0E6C9041">
            <w:pPr>
              <w:spacing w:line="360" w:lineRule="auto"/>
              <w:ind w:left="105" w:leftChars="50" w:firstLine="427" w:firstLineChars="178"/>
              <w:rPr>
                <w:rFonts w:ascii="仿宋" w:hAnsi="仿宋" w:eastAsia="仿宋" w:cs="仿宋"/>
                <w:sz w:val="24"/>
                <w:highlight w:val="none"/>
              </w:rPr>
            </w:pPr>
            <w:r>
              <w:rPr>
                <w:rFonts w:hint="eastAsia" w:ascii="仿宋" w:hAnsi="仿宋" w:eastAsia="仿宋" w:cs="仿宋"/>
                <w:sz w:val="24"/>
                <w:highlight w:val="none"/>
              </w:rPr>
              <w:t>各供应商的综合得分为：商务资信</w:t>
            </w:r>
            <w:r>
              <w:rPr>
                <w:rFonts w:hint="eastAsia" w:ascii="仿宋" w:hAnsi="仿宋" w:eastAsia="仿宋" w:cs="仿宋"/>
                <w:bCs/>
                <w:sz w:val="24"/>
                <w:highlight w:val="none"/>
              </w:rPr>
              <w:t>部分</w:t>
            </w:r>
            <w:r>
              <w:rPr>
                <w:rFonts w:hint="eastAsia" w:ascii="仿宋" w:hAnsi="仿宋" w:eastAsia="仿宋" w:cs="仿宋"/>
                <w:sz w:val="24"/>
                <w:highlight w:val="none"/>
              </w:rPr>
              <w:t>得分+技术得分+投标价格得分，总和为</w:t>
            </w:r>
            <w:r>
              <w:rPr>
                <w:rFonts w:hint="eastAsia" w:ascii="仿宋" w:hAnsi="仿宋" w:eastAsia="仿宋" w:cs="仿宋"/>
                <w:sz w:val="24"/>
                <w:highlight w:val="none"/>
                <w:u w:val="single"/>
              </w:rPr>
              <w:t>100</w:t>
            </w:r>
            <w:r>
              <w:rPr>
                <w:rFonts w:hint="eastAsia" w:ascii="仿宋" w:hAnsi="仿宋" w:eastAsia="仿宋" w:cs="仿宋"/>
                <w:sz w:val="24"/>
                <w:highlight w:val="none"/>
              </w:rPr>
              <w:t>分。</w:t>
            </w:r>
          </w:p>
          <w:p w14:paraId="003AF1C9">
            <w:pPr>
              <w:autoSpaceDE w:val="0"/>
              <w:autoSpaceDN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highlight w:val="none"/>
              </w:rPr>
              <w:t>根据上述评标原则，分值安排如下：</w:t>
            </w:r>
          </w:p>
        </w:tc>
      </w:tr>
    </w:tbl>
    <w:p w14:paraId="03A33957">
      <w:pPr>
        <w:widowControl/>
        <w:adjustRightInd/>
        <w:jc w:val="left"/>
        <w:rPr>
          <w:rFonts w:ascii="仿宋" w:hAnsi="仿宋" w:eastAsia="仿宋" w:cs="仿宋"/>
          <w:b/>
          <w:sz w:val="32"/>
          <w:highlight w:val="none"/>
        </w:rPr>
      </w:pPr>
    </w:p>
    <w:p w14:paraId="57AA585A">
      <w:pPr>
        <w:spacing w:line="360" w:lineRule="auto"/>
        <w:ind w:firstLine="480" w:firstLineChars="200"/>
        <w:rPr>
          <w:rFonts w:ascii="宋体" w:hAnsi="宋体"/>
          <w:sz w:val="24"/>
        </w:rPr>
      </w:pPr>
      <w:r>
        <w:rPr>
          <w:rFonts w:hint="eastAsia" w:ascii="宋体" w:hAnsi="宋体"/>
          <w:sz w:val="24"/>
        </w:rPr>
        <w:t>1、商务资信部分（15分）</w:t>
      </w:r>
    </w:p>
    <w:tbl>
      <w:tblPr>
        <w:tblStyle w:val="63"/>
        <w:tblW w:w="8991" w:type="dxa"/>
        <w:tblInd w:w="392" w:type="dxa"/>
        <w:tblLayout w:type="autofit"/>
        <w:tblCellMar>
          <w:top w:w="0" w:type="dxa"/>
          <w:left w:w="108" w:type="dxa"/>
          <w:bottom w:w="0" w:type="dxa"/>
          <w:right w:w="108" w:type="dxa"/>
        </w:tblCellMar>
      </w:tblPr>
      <w:tblGrid>
        <w:gridCol w:w="1136"/>
        <w:gridCol w:w="423"/>
        <w:gridCol w:w="5662"/>
        <w:gridCol w:w="827"/>
        <w:gridCol w:w="943"/>
      </w:tblGrid>
      <w:tr w14:paraId="4D63BB02">
        <w:tblPrEx>
          <w:tblCellMar>
            <w:top w:w="0" w:type="dxa"/>
            <w:left w:w="108" w:type="dxa"/>
            <w:bottom w:w="0" w:type="dxa"/>
            <w:right w:w="108" w:type="dxa"/>
          </w:tblCellMar>
        </w:tblPrEx>
        <w:trPr>
          <w:trHeight w:val="990" w:hRule="atLeast"/>
        </w:trPr>
        <w:tc>
          <w:tcPr>
            <w:tcW w:w="1136" w:type="dxa"/>
            <w:tcBorders>
              <w:top w:val="single" w:color="auto" w:sz="8" w:space="0"/>
              <w:left w:val="single" w:color="auto" w:sz="8" w:space="0"/>
              <w:bottom w:val="single" w:color="auto" w:sz="4" w:space="0"/>
              <w:right w:val="single" w:color="auto" w:sz="4" w:space="0"/>
            </w:tcBorders>
            <w:vAlign w:val="center"/>
          </w:tcPr>
          <w:p w14:paraId="061161EF">
            <w:pPr>
              <w:widowControl/>
              <w:jc w:val="center"/>
              <w:rPr>
                <w:rFonts w:ascii="宋体" w:hAnsi="宋体"/>
                <w:sz w:val="24"/>
              </w:rPr>
            </w:pPr>
            <w:r>
              <w:rPr>
                <w:rFonts w:hint="eastAsia" w:ascii="宋体" w:hAnsi="宋体"/>
                <w:sz w:val="24"/>
              </w:rPr>
              <w:t>序号</w:t>
            </w:r>
          </w:p>
        </w:tc>
        <w:tc>
          <w:tcPr>
            <w:tcW w:w="6085" w:type="dxa"/>
            <w:gridSpan w:val="2"/>
            <w:tcBorders>
              <w:top w:val="single" w:color="auto" w:sz="8" w:space="0"/>
              <w:left w:val="nil"/>
              <w:bottom w:val="single" w:color="auto" w:sz="4" w:space="0"/>
              <w:right w:val="single" w:color="auto" w:sz="4" w:space="0"/>
            </w:tcBorders>
            <w:vAlign w:val="center"/>
          </w:tcPr>
          <w:p w14:paraId="35A222A3">
            <w:pPr>
              <w:widowControl/>
              <w:jc w:val="center"/>
              <w:rPr>
                <w:rFonts w:ascii="宋体" w:hAnsi="宋体"/>
                <w:sz w:val="24"/>
              </w:rPr>
            </w:pPr>
            <w:r>
              <w:rPr>
                <w:rFonts w:hint="eastAsia" w:ascii="宋体" w:hAnsi="宋体"/>
                <w:sz w:val="24"/>
              </w:rPr>
              <w:t>评分内容和标准</w:t>
            </w:r>
          </w:p>
        </w:tc>
        <w:tc>
          <w:tcPr>
            <w:tcW w:w="827" w:type="dxa"/>
            <w:tcBorders>
              <w:top w:val="single" w:color="auto" w:sz="8" w:space="0"/>
              <w:left w:val="nil"/>
              <w:bottom w:val="single" w:color="auto" w:sz="4" w:space="0"/>
              <w:right w:val="single" w:color="auto" w:sz="4" w:space="0"/>
            </w:tcBorders>
            <w:vAlign w:val="center"/>
          </w:tcPr>
          <w:p w14:paraId="4FE9AD1D">
            <w:pPr>
              <w:widowControl/>
              <w:jc w:val="center"/>
              <w:rPr>
                <w:rFonts w:ascii="宋体" w:hAnsi="宋体"/>
                <w:sz w:val="24"/>
              </w:rPr>
            </w:pPr>
            <w:r>
              <w:rPr>
                <w:rFonts w:hint="eastAsia" w:ascii="宋体" w:hAnsi="宋体"/>
                <w:sz w:val="24"/>
              </w:rPr>
              <w:t>分值区间</w:t>
            </w:r>
          </w:p>
        </w:tc>
        <w:tc>
          <w:tcPr>
            <w:tcW w:w="943" w:type="dxa"/>
            <w:tcBorders>
              <w:top w:val="single" w:color="auto" w:sz="8" w:space="0"/>
              <w:left w:val="nil"/>
              <w:bottom w:val="single" w:color="auto" w:sz="4" w:space="0"/>
              <w:right w:val="single" w:color="auto" w:sz="4" w:space="0"/>
            </w:tcBorders>
            <w:vAlign w:val="center"/>
          </w:tcPr>
          <w:p w14:paraId="094EB79C">
            <w:pPr>
              <w:widowControl/>
              <w:jc w:val="center"/>
              <w:rPr>
                <w:rFonts w:ascii="宋体" w:hAnsi="宋体"/>
                <w:sz w:val="24"/>
              </w:rPr>
            </w:pPr>
            <w:r>
              <w:rPr>
                <w:rFonts w:hint="eastAsia" w:ascii="宋体" w:hAnsi="宋体"/>
                <w:sz w:val="24"/>
              </w:rPr>
              <w:t>打分</w:t>
            </w:r>
          </w:p>
          <w:p w14:paraId="6C37B077">
            <w:pPr>
              <w:widowControl/>
              <w:jc w:val="center"/>
              <w:rPr>
                <w:rFonts w:ascii="宋体" w:hAnsi="宋体"/>
                <w:sz w:val="24"/>
              </w:rPr>
            </w:pPr>
            <w:r>
              <w:rPr>
                <w:rFonts w:hint="eastAsia" w:ascii="宋体" w:hAnsi="宋体"/>
                <w:sz w:val="24"/>
              </w:rPr>
              <w:t>方法</w:t>
            </w:r>
          </w:p>
        </w:tc>
      </w:tr>
      <w:tr w14:paraId="0778D48F">
        <w:tblPrEx>
          <w:tblCellMar>
            <w:top w:w="0" w:type="dxa"/>
            <w:left w:w="108" w:type="dxa"/>
            <w:bottom w:w="0" w:type="dxa"/>
            <w:right w:w="108" w:type="dxa"/>
          </w:tblCellMar>
        </w:tblPrEx>
        <w:trPr>
          <w:trHeight w:val="846" w:hRule="atLeast"/>
        </w:trPr>
        <w:tc>
          <w:tcPr>
            <w:tcW w:w="1136" w:type="dxa"/>
            <w:vMerge w:val="restart"/>
            <w:tcBorders>
              <w:top w:val="single" w:color="auto" w:sz="4" w:space="0"/>
              <w:left w:val="single" w:color="auto" w:sz="4" w:space="0"/>
              <w:right w:val="single" w:color="auto" w:sz="4" w:space="0"/>
            </w:tcBorders>
            <w:vAlign w:val="center"/>
          </w:tcPr>
          <w:p w14:paraId="037023A6">
            <w:pPr>
              <w:pStyle w:val="11"/>
              <w:snapToGrid w:val="0"/>
              <w:ind w:left="440" w:firstLine="0" w:firstLineChars="0"/>
              <w:rPr>
                <w:rFonts w:cs="仿宋_GB2312"/>
              </w:rPr>
            </w:pPr>
            <w:r>
              <w:rPr>
                <w:rFonts w:hint="eastAsia" w:cs="仿宋_GB2312"/>
              </w:rPr>
              <w:t>商务资信分</w:t>
            </w:r>
          </w:p>
          <w:p w14:paraId="0C0655E5">
            <w:pPr>
              <w:pStyle w:val="11"/>
              <w:snapToGrid w:val="0"/>
              <w:ind w:left="440" w:firstLine="0" w:firstLineChars="0"/>
              <w:rPr>
                <w:rFonts w:cs="宋体"/>
              </w:rPr>
            </w:pPr>
            <w:r>
              <w:rPr>
                <w:rFonts w:hint="eastAsia" w:cs="仿宋_GB2312"/>
              </w:rPr>
              <w:t>15分）</w:t>
            </w:r>
          </w:p>
        </w:tc>
        <w:tc>
          <w:tcPr>
            <w:tcW w:w="423" w:type="dxa"/>
            <w:tcBorders>
              <w:top w:val="nil"/>
              <w:left w:val="single" w:color="auto" w:sz="4" w:space="0"/>
              <w:bottom w:val="single" w:color="auto" w:sz="4" w:space="0"/>
              <w:right w:val="single" w:color="auto" w:sz="4" w:space="0"/>
            </w:tcBorders>
            <w:vAlign w:val="center"/>
          </w:tcPr>
          <w:p w14:paraId="786A5112">
            <w:pPr>
              <w:widowControl/>
              <w:jc w:val="center"/>
              <w:rPr>
                <w:rFonts w:ascii="宋体" w:hAnsi="宋体"/>
                <w:sz w:val="24"/>
              </w:rPr>
            </w:pPr>
            <w:r>
              <w:rPr>
                <w:rFonts w:hint="eastAsia" w:ascii="宋体" w:hAnsi="宋体"/>
                <w:sz w:val="24"/>
              </w:rPr>
              <w:t>1</w:t>
            </w:r>
          </w:p>
        </w:tc>
        <w:tc>
          <w:tcPr>
            <w:tcW w:w="5662" w:type="dxa"/>
            <w:tcBorders>
              <w:top w:val="nil"/>
              <w:left w:val="nil"/>
              <w:bottom w:val="single" w:color="auto" w:sz="4" w:space="0"/>
              <w:right w:val="single" w:color="auto" w:sz="4" w:space="0"/>
            </w:tcBorders>
            <w:vAlign w:val="center"/>
          </w:tcPr>
          <w:p w14:paraId="081D367D">
            <w:pPr>
              <w:pStyle w:val="11"/>
              <w:snapToGrid w:val="0"/>
              <w:ind w:firstLine="0" w:firstLineChars="0"/>
              <w:rPr>
                <w:rFonts w:cs="仿宋_GB2312"/>
              </w:rPr>
            </w:pPr>
            <w:r>
              <w:rPr>
                <w:rFonts w:hint="eastAsia" w:cs="宋体"/>
              </w:rPr>
              <w:t>根据响应人综合实力、履约能力等情况综合评定</w:t>
            </w:r>
          </w:p>
        </w:tc>
        <w:tc>
          <w:tcPr>
            <w:tcW w:w="827" w:type="dxa"/>
            <w:tcBorders>
              <w:top w:val="nil"/>
              <w:left w:val="nil"/>
              <w:bottom w:val="single" w:color="auto" w:sz="4" w:space="0"/>
              <w:right w:val="single" w:color="auto" w:sz="4" w:space="0"/>
            </w:tcBorders>
            <w:vAlign w:val="center"/>
          </w:tcPr>
          <w:p w14:paraId="2F153905">
            <w:pPr>
              <w:jc w:val="center"/>
              <w:rPr>
                <w:rFonts w:ascii="宋体" w:hAnsi="宋体"/>
                <w:sz w:val="24"/>
              </w:rPr>
            </w:pPr>
            <w:r>
              <w:rPr>
                <w:rFonts w:hint="eastAsia" w:ascii="宋体" w:hAnsi="宋体" w:cs="宋体"/>
                <w:sz w:val="24"/>
              </w:rPr>
              <w:t>1-2</w:t>
            </w:r>
          </w:p>
        </w:tc>
        <w:tc>
          <w:tcPr>
            <w:tcW w:w="943" w:type="dxa"/>
            <w:tcBorders>
              <w:top w:val="nil"/>
              <w:left w:val="nil"/>
              <w:bottom w:val="single" w:color="auto" w:sz="4" w:space="0"/>
              <w:right w:val="single" w:color="auto" w:sz="4" w:space="0"/>
            </w:tcBorders>
            <w:vAlign w:val="center"/>
          </w:tcPr>
          <w:p w14:paraId="21CEEBE3">
            <w:pPr>
              <w:jc w:val="center"/>
              <w:rPr>
                <w:rFonts w:ascii="宋体" w:hAnsi="宋体"/>
                <w:sz w:val="24"/>
              </w:rPr>
            </w:pPr>
            <w:r>
              <w:rPr>
                <w:rFonts w:hint="eastAsia" w:ascii="宋体" w:hAnsi="宋体" w:cs="宋体"/>
                <w:sz w:val="24"/>
              </w:rPr>
              <w:t>主观分</w:t>
            </w:r>
          </w:p>
        </w:tc>
      </w:tr>
      <w:tr w14:paraId="72DE88A1">
        <w:tblPrEx>
          <w:tblCellMar>
            <w:top w:w="0" w:type="dxa"/>
            <w:left w:w="108" w:type="dxa"/>
            <w:bottom w:w="0" w:type="dxa"/>
            <w:right w:w="108" w:type="dxa"/>
          </w:tblCellMar>
        </w:tblPrEx>
        <w:trPr>
          <w:trHeight w:val="985" w:hRule="atLeast"/>
        </w:trPr>
        <w:tc>
          <w:tcPr>
            <w:tcW w:w="1136" w:type="dxa"/>
            <w:vMerge w:val="continue"/>
            <w:tcBorders>
              <w:left w:val="single" w:color="auto" w:sz="4" w:space="0"/>
              <w:right w:val="single" w:color="auto" w:sz="4" w:space="0"/>
            </w:tcBorders>
            <w:vAlign w:val="center"/>
          </w:tcPr>
          <w:p w14:paraId="38EE57EE">
            <w:pPr>
              <w:widowControl/>
              <w:rPr>
                <w:rFonts w:ascii="宋体" w:hAnsi="宋体"/>
                <w:sz w:val="24"/>
              </w:rPr>
            </w:pPr>
          </w:p>
        </w:tc>
        <w:tc>
          <w:tcPr>
            <w:tcW w:w="423" w:type="dxa"/>
            <w:tcBorders>
              <w:top w:val="nil"/>
              <w:left w:val="single" w:color="auto" w:sz="4" w:space="0"/>
              <w:bottom w:val="single" w:color="auto" w:sz="4" w:space="0"/>
              <w:right w:val="single" w:color="auto" w:sz="4" w:space="0"/>
            </w:tcBorders>
            <w:vAlign w:val="center"/>
          </w:tcPr>
          <w:p w14:paraId="345F67FE">
            <w:pPr>
              <w:widowControl/>
              <w:jc w:val="center"/>
              <w:rPr>
                <w:rFonts w:ascii="宋体" w:hAnsi="宋体"/>
                <w:sz w:val="24"/>
              </w:rPr>
            </w:pPr>
            <w:r>
              <w:rPr>
                <w:rFonts w:hint="eastAsia" w:ascii="宋体" w:hAnsi="宋体"/>
                <w:sz w:val="24"/>
              </w:rPr>
              <w:t>2</w:t>
            </w:r>
          </w:p>
        </w:tc>
        <w:tc>
          <w:tcPr>
            <w:tcW w:w="5662" w:type="dxa"/>
            <w:tcBorders>
              <w:top w:val="nil"/>
              <w:left w:val="nil"/>
              <w:bottom w:val="single" w:color="auto" w:sz="4" w:space="0"/>
              <w:right w:val="single" w:color="auto" w:sz="4" w:space="0"/>
            </w:tcBorders>
            <w:vAlign w:val="center"/>
          </w:tcPr>
          <w:p w14:paraId="4AAD998E">
            <w:pPr>
              <w:pStyle w:val="11"/>
              <w:snapToGrid w:val="0"/>
              <w:ind w:firstLine="0" w:firstLineChars="0"/>
              <w:rPr>
                <w:rFonts w:cs="宋体"/>
              </w:rPr>
            </w:pPr>
            <w:r>
              <w:rPr>
                <w:rFonts w:hint="eastAsia" w:cs="宋体"/>
              </w:rPr>
              <w:t>响应人经营状况（根据响应人经营类似项目时间长短、获得荣誉等情况综合评定）</w:t>
            </w:r>
          </w:p>
        </w:tc>
        <w:tc>
          <w:tcPr>
            <w:tcW w:w="827" w:type="dxa"/>
            <w:tcBorders>
              <w:top w:val="nil"/>
              <w:left w:val="nil"/>
              <w:bottom w:val="single" w:color="auto" w:sz="4" w:space="0"/>
              <w:right w:val="single" w:color="auto" w:sz="4" w:space="0"/>
            </w:tcBorders>
            <w:vAlign w:val="center"/>
          </w:tcPr>
          <w:p w14:paraId="2FDFC47E">
            <w:pPr>
              <w:jc w:val="center"/>
              <w:rPr>
                <w:rFonts w:ascii="宋体" w:hAnsi="宋体"/>
                <w:sz w:val="24"/>
              </w:rPr>
            </w:pPr>
            <w:r>
              <w:rPr>
                <w:rFonts w:hint="eastAsia" w:ascii="宋体" w:hAnsi="宋体" w:cs="宋体"/>
                <w:sz w:val="24"/>
              </w:rPr>
              <w:t>1-2</w:t>
            </w:r>
          </w:p>
        </w:tc>
        <w:tc>
          <w:tcPr>
            <w:tcW w:w="943" w:type="dxa"/>
            <w:tcBorders>
              <w:top w:val="nil"/>
              <w:left w:val="nil"/>
              <w:bottom w:val="single" w:color="auto" w:sz="4" w:space="0"/>
              <w:right w:val="single" w:color="auto" w:sz="4" w:space="0"/>
            </w:tcBorders>
            <w:vAlign w:val="center"/>
          </w:tcPr>
          <w:p w14:paraId="56C1A66D">
            <w:pPr>
              <w:jc w:val="center"/>
              <w:rPr>
                <w:rFonts w:ascii="宋体" w:hAnsi="宋体"/>
                <w:sz w:val="24"/>
              </w:rPr>
            </w:pPr>
            <w:r>
              <w:rPr>
                <w:rFonts w:hint="eastAsia" w:ascii="宋体" w:hAnsi="宋体" w:cs="宋体"/>
                <w:sz w:val="24"/>
              </w:rPr>
              <w:t>主观分</w:t>
            </w:r>
          </w:p>
        </w:tc>
      </w:tr>
      <w:tr w14:paraId="4780D44B">
        <w:tblPrEx>
          <w:tblCellMar>
            <w:top w:w="0" w:type="dxa"/>
            <w:left w:w="108" w:type="dxa"/>
            <w:bottom w:w="0" w:type="dxa"/>
            <w:right w:w="108" w:type="dxa"/>
          </w:tblCellMar>
        </w:tblPrEx>
        <w:trPr>
          <w:trHeight w:val="1123" w:hRule="atLeast"/>
        </w:trPr>
        <w:tc>
          <w:tcPr>
            <w:tcW w:w="1136" w:type="dxa"/>
            <w:vMerge w:val="continue"/>
            <w:tcBorders>
              <w:left w:val="single" w:color="auto" w:sz="4" w:space="0"/>
              <w:right w:val="single" w:color="auto" w:sz="4" w:space="0"/>
            </w:tcBorders>
            <w:vAlign w:val="center"/>
          </w:tcPr>
          <w:p w14:paraId="60535DF7">
            <w:pPr>
              <w:widowControl/>
              <w:rPr>
                <w:rFonts w:ascii="宋体" w:hAnsi="宋体"/>
                <w:sz w:val="24"/>
              </w:rPr>
            </w:pPr>
          </w:p>
        </w:tc>
        <w:tc>
          <w:tcPr>
            <w:tcW w:w="423" w:type="dxa"/>
            <w:tcBorders>
              <w:top w:val="nil"/>
              <w:left w:val="single" w:color="auto" w:sz="4" w:space="0"/>
              <w:bottom w:val="single" w:color="auto" w:sz="4" w:space="0"/>
              <w:right w:val="single" w:color="auto" w:sz="4" w:space="0"/>
            </w:tcBorders>
            <w:vAlign w:val="center"/>
          </w:tcPr>
          <w:p w14:paraId="789E4FAD">
            <w:pPr>
              <w:widowControl/>
              <w:jc w:val="center"/>
              <w:rPr>
                <w:rFonts w:ascii="宋体" w:hAnsi="宋体"/>
                <w:sz w:val="24"/>
              </w:rPr>
            </w:pPr>
            <w:r>
              <w:rPr>
                <w:rFonts w:hint="eastAsia" w:ascii="宋体" w:hAnsi="宋体"/>
                <w:sz w:val="24"/>
              </w:rPr>
              <w:t>3</w:t>
            </w:r>
          </w:p>
        </w:tc>
        <w:tc>
          <w:tcPr>
            <w:tcW w:w="5662" w:type="dxa"/>
            <w:tcBorders>
              <w:top w:val="nil"/>
              <w:left w:val="nil"/>
              <w:bottom w:val="single" w:color="auto" w:sz="4" w:space="0"/>
              <w:right w:val="single" w:color="auto" w:sz="4" w:space="0"/>
            </w:tcBorders>
            <w:vAlign w:val="center"/>
          </w:tcPr>
          <w:p w14:paraId="49DB7678">
            <w:pPr>
              <w:rPr>
                <w:rFonts w:cs="仿宋_GB2312"/>
              </w:rPr>
            </w:pPr>
            <w:r>
              <w:rPr>
                <w:rFonts w:hint="eastAsia" w:ascii="宋体" w:hAnsi="宋体" w:cs="宋体"/>
                <w:sz w:val="24"/>
              </w:rPr>
              <w:t>响应人自</w:t>
            </w:r>
            <w:r>
              <w:rPr>
                <w:rFonts w:hint="eastAsia" w:ascii="宋体" w:hAnsi="宋体" w:cs="宋体"/>
                <w:color w:val="000000" w:themeColor="text1"/>
                <w:sz w:val="24"/>
                <w14:textFill>
                  <w14:solidFill>
                    <w14:schemeClr w14:val="tx1"/>
                  </w14:solidFill>
                </w14:textFill>
              </w:rPr>
              <w:t>2019年1月1日</w:t>
            </w:r>
            <w:r>
              <w:rPr>
                <w:rFonts w:hint="eastAsia" w:ascii="宋体" w:hAnsi="宋体" w:cs="宋体"/>
                <w:sz w:val="24"/>
              </w:rPr>
              <w:t>以来（以合同签订时间为准）完成类似项目合同业绩的每个得1分，最高得5分。（响应文件中提供合同复印件，加盖公章。）</w:t>
            </w:r>
          </w:p>
        </w:tc>
        <w:tc>
          <w:tcPr>
            <w:tcW w:w="827" w:type="dxa"/>
            <w:tcBorders>
              <w:top w:val="nil"/>
              <w:left w:val="nil"/>
              <w:bottom w:val="single" w:color="auto" w:sz="4" w:space="0"/>
              <w:right w:val="single" w:color="auto" w:sz="4" w:space="0"/>
            </w:tcBorders>
            <w:vAlign w:val="center"/>
          </w:tcPr>
          <w:p w14:paraId="115B67AB">
            <w:pPr>
              <w:jc w:val="center"/>
              <w:rPr>
                <w:rFonts w:ascii="宋体" w:hAnsi="宋体"/>
                <w:sz w:val="24"/>
              </w:rPr>
            </w:pPr>
            <w:r>
              <w:rPr>
                <w:rFonts w:hint="eastAsia" w:ascii="宋体" w:hAnsi="宋体" w:cs="宋体"/>
                <w:sz w:val="24"/>
              </w:rPr>
              <w:t>0-5</w:t>
            </w:r>
          </w:p>
        </w:tc>
        <w:tc>
          <w:tcPr>
            <w:tcW w:w="943" w:type="dxa"/>
            <w:tcBorders>
              <w:top w:val="nil"/>
              <w:left w:val="nil"/>
              <w:bottom w:val="single" w:color="auto" w:sz="4" w:space="0"/>
              <w:right w:val="single" w:color="auto" w:sz="4" w:space="0"/>
            </w:tcBorders>
            <w:vAlign w:val="center"/>
          </w:tcPr>
          <w:p w14:paraId="1D7C4A1D">
            <w:pPr>
              <w:jc w:val="center"/>
              <w:rPr>
                <w:rFonts w:ascii="宋体" w:hAnsi="宋体"/>
                <w:sz w:val="24"/>
              </w:rPr>
            </w:pPr>
            <w:r>
              <w:rPr>
                <w:rFonts w:hint="eastAsia" w:ascii="宋体" w:hAnsi="宋体" w:cs="宋体"/>
                <w:sz w:val="24"/>
              </w:rPr>
              <w:t>客观分</w:t>
            </w:r>
          </w:p>
        </w:tc>
      </w:tr>
      <w:tr w14:paraId="6DF784C0">
        <w:tblPrEx>
          <w:tblCellMar>
            <w:top w:w="0" w:type="dxa"/>
            <w:left w:w="108" w:type="dxa"/>
            <w:bottom w:w="0" w:type="dxa"/>
            <w:right w:w="108" w:type="dxa"/>
          </w:tblCellMar>
        </w:tblPrEx>
        <w:trPr>
          <w:trHeight w:val="1125" w:hRule="atLeast"/>
        </w:trPr>
        <w:tc>
          <w:tcPr>
            <w:tcW w:w="1136" w:type="dxa"/>
            <w:vMerge w:val="continue"/>
            <w:tcBorders>
              <w:left w:val="single" w:color="auto" w:sz="4" w:space="0"/>
              <w:right w:val="single" w:color="auto" w:sz="4" w:space="0"/>
            </w:tcBorders>
            <w:vAlign w:val="center"/>
          </w:tcPr>
          <w:p w14:paraId="462A9F58">
            <w:pPr>
              <w:widowControl/>
              <w:rPr>
                <w:rFonts w:ascii="宋体" w:hAnsi="宋体"/>
                <w:sz w:val="24"/>
              </w:rPr>
            </w:pPr>
          </w:p>
        </w:tc>
        <w:tc>
          <w:tcPr>
            <w:tcW w:w="423" w:type="dxa"/>
            <w:tcBorders>
              <w:top w:val="single" w:color="auto" w:sz="4" w:space="0"/>
              <w:left w:val="single" w:color="auto" w:sz="4" w:space="0"/>
              <w:bottom w:val="single" w:color="auto" w:sz="4" w:space="0"/>
              <w:right w:val="single" w:color="auto" w:sz="4" w:space="0"/>
            </w:tcBorders>
            <w:vAlign w:val="center"/>
          </w:tcPr>
          <w:p w14:paraId="257D365F">
            <w:pPr>
              <w:widowControl/>
              <w:jc w:val="center"/>
              <w:rPr>
                <w:rFonts w:ascii="宋体" w:hAnsi="宋体"/>
                <w:sz w:val="24"/>
              </w:rPr>
            </w:pPr>
            <w:r>
              <w:rPr>
                <w:rFonts w:hint="eastAsia" w:ascii="宋体" w:hAnsi="宋体"/>
                <w:sz w:val="24"/>
              </w:rPr>
              <w:t>4</w:t>
            </w:r>
          </w:p>
        </w:tc>
        <w:tc>
          <w:tcPr>
            <w:tcW w:w="5662" w:type="dxa"/>
            <w:tcBorders>
              <w:top w:val="single" w:color="auto" w:sz="4" w:space="0"/>
              <w:left w:val="single" w:color="auto" w:sz="4" w:space="0"/>
              <w:bottom w:val="single" w:color="auto" w:sz="4" w:space="0"/>
              <w:right w:val="single" w:color="auto" w:sz="4" w:space="0"/>
            </w:tcBorders>
            <w:vAlign w:val="center"/>
          </w:tcPr>
          <w:p w14:paraId="514A8A3E">
            <w:pPr>
              <w:rPr>
                <w:rFonts w:cs="仿宋_GB2312"/>
              </w:rPr>
            </w:pPr>
            <w:r>
              <w:rPr>
                <w:rFonts w:hint="eastAsia" w:ascii="宋体" w:hAnsi="宋体" w:cs="宋体"/>
                <w:sz w:val="24"/>
              </w:rPr>
              <w:t>响应人旅行社星级状况：响应人为三星级及以上旅行社的得3分。（响应文件中提供当地旅游局等单位颁发的相关文件，加盖公章。）</w:t>
            </w:r>
          </w:p>
        </w:tc>
        <w:tc>
          <w:tcPr>
            <w:tcW w:w="827" w:type="dxa"/>
            <w:tcBorders>
              <w:top w:val="single" w:color="auto" w:sz="4" w:space="0"/>
              <w:left w:val="single" w:color="auto" w:sz="4" w:space="0"/>
              <w:bottom w:val="single" w:color="auto" w:sz="4" w:space="0"/>
              <w:right w:val="single" w:color="auto" w:sz="4" w:space="0"/>
            </w:tcBorders>
            <w:vAlign w:val="center"/>
          </w:tcPr>
          <w:p w14:paraId="619B8EB3">
            <w:pPr>
              <w:jc w:val="center"/>
              <w:rPr>
                <w:rFonts w:ascii="宋体" w:hAnsi="宋体" w:cs="仿宋_GB2312"/>
                <w:sz w:val="24"/>
              </w:rPr>
            </w:pPr>
            <w:r>
              <w:rPr>
                <w:rFonts w:hint="eastAsia" w:ascii="宋体" w:hAnsi="宋体" w:cs="宋体"/>
                <w:sz w:val="24"/>
              </w:rPr>
              <w:t>0-3</w:t>
            </w:r>
          </w:p>
        </w:tc>
        <w:tc>
          <w:tcPr>
            <w:tcW w:w="943" w:type="dxa"/>
            <w:tcBorders>
              <w:top w:val="single" w:color="auto" w:sz="4" w:space="0"/>
              <w:left w:val="single" w:color="auto" w:sz="4" w:space="0"/>
              <w:bottom w:val="single" w:color="auto" w:sz="4" w:space="0"/>
              <w:right w:val="single" w:color="auto" w:sz="4" w:space="0"/>
            </w:tcBorders>
            <w:vAlign w:val="center"/>
          </w:tcPr>
          <w:p w14:paraId="2896B617">
            <w:pPr>
              <w:jc w:val="center"/>
              <w:rPr>
                <w:rFonts w:ascii="宋体" w:hAnsi="宋体"/>
                <w:sz w:val="24"/>
              </w:rPr>
            </w:pPr>
            <w:r>
              <w:rPr>
                <w:rFonts w:hint="eastAsia" w:ascii="宋体" w:hAnsi="宋体" w:cs="宋体"/>
                <w:sz w:val="24"/>
              </w:rPr>
              <w:t>客观分</w:t>
            </w:r>
          </w:p>
        </w:tc>
      </w:tr>
      <w:tr w14:paraId="5FB2F95A">
        <w:tblPrEx>
          <w:tblCellMar>
            <w:top w:w="0" w:type="dxa"/>
            <w:left w:w="108" w:type="dxa"/>
            <w:bottom w:w="0" w:type="dxa"/>
            <w:right w:w="108" w:type="dxa"/>
          </w:tblCellMar>
        </w:tblPrEx>
        <w:trPr>
          <w:trHeight w:val="1273" w:hRule="atLeast"/>
        </w:trPr>
        <w:tc>
          <w:tcPr>
            <w:tcW w:w="1136" w:type="dxa"/>
            <w:vMerge w:val="continue"/>
            <w:tcBorders>
              <w:left w:val="single" w:color="auto" w:sz="4" w:space="0"/>
              <w:bottom w:val="single" w:color="auto" w:sz="4" w:space="0"/>
              <w:right w:val="single" w:color="auto" w:sz="4" w:space="0"/>
            </w:tcBorders>
            <w:vAlign w:val="center"/>
          </w:tcPr>
          <w:p w14:paraId="10F07D92">
            <w:pPr>
              <w:widowControl/>
              <w:rPr>
                <w:rFonts w:ascii="宋体" w:hAnsi="宋体"/>
                <w:sz w:val="24"/>
              </w:rPr>
            </w:pPr>
          </w:p>
        </w:tc>
        <w:tc>
          <w:tcPr>
            <w:tcW w:w="423" w:type="dxa"/>
            <w:tcBorders>
              <w:top w:val="single" w:color="auto" w:sz="4" w:space="0"/>
              <w:left w:val="single" w:color="auto" w:sz="4" w:space="0"/>
              <w:bottom w:val="single" w:color="auto" w:sz="4" w:space="0"/>
              <w:right w:val="single" w:color="auto" w:sz="4" w:space="0"/>
            </w:tcBorders>
            <w:vAlign w:val="center"/>
          </w:tcPr>
          <w:p w14:paraId="4DF91253">
            <w:pPr>
              <w:widowControl/>
              <w:jc w:val="center"/>
              <w:rPr>
                <w:rFonts w:ascii="宋体" w:hAnsi="宋体"/>
                <w:sz w:val="24"/>
              </w:rPr>
            </w:pPr>
            <w:r>
              <w:rPr>
                <w:rFonts w:hint="eastAsia" w:ascii="宋体" w:hAnsi="宋体"/>
                <w:sz w:val="24"/>
              </w:rPr>
              <w:t>5</w:t>
            </w:r>
          </w:p>
        </w:tc>
        <w:tc>
          <w:tcPr>
            <w:tcW w:w="5662" w:type="dxa"/>
            <w:tcBorders>
              <w:top w:val="single" w:color="auto" w:sz="4" w:space="0"/>
              <w:left w:val="single" w:color="auto" w:sz="4" w:space="0"/>
              <w:bottom w:val="single" w:color="auto" w:sz="4" w:space="0"/>
              <w:right w:val="single" w:color="auto" w:sz="4" w:space="0"/>
            </w:tcBorders>
            <w:vAlign w:val="center"/>
          </w:tcPr>
          <w:p w14:paraId="2819C8C6">
            <w:pPr>
              <w:rPr>
                <w:rFonts w:ascii="宋体" w:hAnsi="宋体" w:cs="宋体"/>
                <w:sz w:val="24"/>
              </w:rPr>
            </w:pPr>
            <w:r>
              <w:rPr>
                <w:rFonts w:hint="eastAsia" w:ascii="宋体" w:hAnsi="宋体" w:cs="宋体"/>
                <w:sz w:val="24"/>
              </w:rPr>
              <w:t>响应人</w:t>
            </w:r>
            <w:r>
              <w:rPr>
                <w:rFonts w:ascii="宋体" w:hAnsi="宋体" w:cs="宋体"/>
                <w:sz w:val="24"/>
              </w:rPr>
              <w:t>具有质量管理体系认证、环境管理体系认证证书、职业健康安全管理体系认证证书，每一项得1分，最高得3分，没有的不得分。（证书须在有效期内，</w:t>
            </w:r>
            <w:r>
              <w:rPr>
                <w:rFonts w:hint="eastAsia" w:ascii="宋体" w:hAnsi="宋体" w:cs="宋体"/>
                <w:sz w:val="24"/>
              </w:rPr>
              <w:t>响应</w:t>
            </w:r>
            <w:r>
              <w:rPr>
                <w:rFonts w:ascii="宋体" w:hAnsi="宋体" w:cs="宋体"/>
                <w:sz w:val="24"/>
              </w:rPr>
              <w:t>文件中提供证书复印件，并加盖</w:t>
            </w:r>
            <w:r>
              <w:rPr>
                <w:rFonts w:hint="eastAsia" w:ascii="宋体" w:hAnsi="宋体" w:cs="宋体"/>
                <w:sz w:val="24"/>
              </w:rPr>
              <w:t>响应</w:t>
            </w:r>
            <w:r>
              <w:rPr>
                <w:rFonts w:ascii="宋体" w:hAnsi="宋体" w:cs="宋体"/>
                <w:sz w:val="24"/>
              </w:rPr>
              <w:t>人公章）。</w:t>
            </w:r>
          </w:p>
        </w:tc>
        <w:tc>
          <w:tcPr>
            <w:tcW w:w="827" w:type="dxa"/>
            <w:tcBorders>
              <w:top w:val="single" w:color="auto" w:sz="4" w:space="0"/>
              <w:left w:val="single" w:color="auto" w:sz="4" w:space="0"/>
              <w:bottom w:val="single" w:color="auto" w:sz="4" w:space="0"/>
              <w:right w:val="single" w:color="auto" w:sz="4" w:space="0"/>
            </w:tcBorders>
            <w:vAlign w:val="center"/>
          </w:tcPr>
          <w:p w14:paraId="5CB4A574">
            <w:pPr>
              <w:jc w:val="center"/>
              <w:rPr>
                <w:rFonts w:ascii="宋体" w:hAnsi="宋体" w:cs="宋体"/>
                <w:sz w:val="24"/>
              </w:rPr>
            </w:pPr>
            <w:r>
              <w:rPr>
                <w:rFonts w:hint="eastAsia" w:ascii="宋体" w:hAnsi="宋体" w:cs="宋体"/>
                <w:sz w:val="24"/>
              </w:rPr>
              <w:t>0-3</w:t>
            </w:r>
          </w:p>
        </w:tc>
        <w:tc>
          <w:tcPr>
            <w:tcW w:w="943" w:type="dxa"/>
            <w:tcBorders>
              <w:top w:val="single" w:color="auto" w:sz="4" w:space="0"/>
              <w:left w:val="single" w:color="auto" w:sz="4" w:space="0"/>
              <w:bottom w:val="single" w:color="auto" w:sz="4" w:space="0"/>
              <w:right w:val="single" w:color="auto" w:sz="4" w:space="0"/>
            </w:tcBorders>
            <w:vAlign w:val="center"/>
          </w:tcPr>
          <w:p w14:paraId="76A83FBA">
            <w:pPr>
              <w:jc w:val="center"/>
              <w:rPr>
                <w:rFonts w:ascii="宋体" w:hAnsi="宋体" w:cs="宋体"/>
                <w:sz w:val="24"/>
              </w:rPr>
            </w:pPr>
            <w:r>
              <w:rPr>
                <w:rFonts w:hint="eastAsia" w:ascii="宋体" w:hAnsi="宋体" w:cs="宋体"/>
                <w:sz w:val="24"/>
              </w:rPr>
              <w:t>客观分</w:t>
            </w:r>
          </w:p>
        </w:tc>
      </w:tr>
    </w:tbl>
    <w:p w14:paraId="2D54E431">
      <w:pPr>
        <w:widowControl/>
        <w:rPr>
          <w:rFonts w:ascii="宋体" w:hAnsi="宋体"/>
          <w:sz w:val="24"/>
        </w:rPr>
      </w:pPr>
    </w:p>
    <w:p w14:paraId="448CB6D7">
      <w:pPr>
        <w:widowControl/>
        <w:ind w:firstLine="720" w:firstLineChars="300"/>
        <w:rPr>
          <w:rFonts w:ascii="宋体" w:hAnsi="宋体"/>
          <w:sz w:val="24"/>
        </w:rPr>
      </w:pPr>
      <w:r>
        <w:rPr>
          <w:rFonts w:hint="eastAsia" w:ascii="宋体" w:hAnsi="宋体"/>
          <w:sz w:val="24"/>
        </w:rPr>
        <w:t>2、技术部分（75分）</w:t>
      </w:r>
    </w:p>
    <w:tbl>
      <w:tblPr>
        <w:tblStyle w:val="6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39"/>
        <w:gridCol w:w="2335"/>
        <w:gridCol w:w="4327"/>
        <w:gridCol w:w="851"/>
        <w:gridCol w:w="850"/>
      </w:tblGrid>
      <w:tr w14:paraId="635E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25" w:type="dxa"/>
            <w:vAlign w:val="center"/>
          </w:tcPr>
          <w:p w14:paraId="62D76AE9">
            <w:pPr>
              <w:jc w:val="center"/>
              <w:rPr>
                <w:rFonts w:ascii="宋体" w:hAnsi="宋体" w:cs="宋体"/>
                <w:sz w:val="24"/>
              </w:rPr>
            </w:pPr>
            <w:r>
              <w:rPr>
                <w:rFonts w:hint="eastAsia" w:ascii="宋体" w:hAnsi="宋体" w:cs="宋体"/>
                <w:sz w:val="24"/>
              </w:rPr>
              <w:t>序号</w:t>
            </w:r>
          </w:p>
        </w:tc>
        <w:tc>
          <w:tcPr>
            <w:tcW w:w="2774" w:type="dxa"/>
            <w:gridSpan w:val="2"/>
            <w:vAlign w:val="center"/>
          </w:tcPr>
          <w:p w14:paraId="180071D4">
            <w:pPr>
              <w:jc w:val="center"/>
              <w:rPr>
                <w:rFonts w:ascii="宋体" w:hAnsi="宋体" w:cs="宋体"/>
                <w:sz w:val="24"/>
              </w:rPr>
            </w:pPr>
            <w:r>
              <w:rPr>
                <w:rFonts w:hint="eastAsia" w:ascii="宋体" w:hAnsi="宋体" w:cs="宋体"/>
                <w:sz w:val="24"/>
              </w:rPr>
              <w:t>评分内容和标准</w:t>
            </w:r>
          </w:p>
        </w:tc>
        <w:tc>
          <w:tcPr>
            <w:tcW w:w="4327" w:type="dxa"/>
            <w:vAlign w:val="center"/>
          </w:tcPr>
          <w:p w14:paraId="6201CBCB">
            <w:pPr>
              <w:jc w:val="center"/>
              <w:rPr>
                <w:rFonts w:ascii="宋体" w:hAnsi="宋体" w:cs="宋体"/>
                <w:sz w:val="24"/>
              </w:rPr>
            </w:pPr>
            <w:r>
              <w:rPr>
                <w:rFonts w:hint="eastAsia" w:ascii="宋体" w:hAnsi="宋体" w:cs="宋体"/>
                <w:sz w:val="24"/>
              </w:rPr>
              <w:t>具体描述</w:t>
            </w:r>
          </w:p>
        </w:tc>
        <w:tc>
          <w:tcPr>
            <w:tcW w:w="851" w:type="dxa"/>
            <w:vAlign w:val="center"/>
          </w:tcPr>
          <w:p w14:paraId="54A34E46">
            <w:pPr>
              <w:jc w:val="center"/>
              <w:rPr>
                <w:rFonts w:ascii="宋体" w:hAnsi="宋体" w:cs="宋体"/>
                <w:sz w:val="24"/>
              </w:rPr>
            </w:pPr>
            <w:r>
              <w:rPr>
                <w:rFonts w:hint="eastAsia" w:ascii="宋体" w:hAnsi="宋体" w:cs="宋体"/>
                <w:sz w:val="24"/>
              </w:rPr>
              <w:t>分值区间</w:t>
            </w:r>
          </w:p>
        </w:tc>
        <w:tc>
          <w:tcPr>
            <w:tcW w:w="850" w:type="dxa"/>
            <w:vAlign w:val="center"/>
          </w:tcPr>
          <w:p w14:paraId="2A44A324">
            <w:pPr>
              <w:widowControl/>
              <w:jc w:val="center"/>
              <w:rPr>
                <w:rFonts w:ascii="宋体" w:hAnsi="宋体"/>
                <w:sz w:val="24"/>
              </w:rPr>
            </w:pPr>
            <w:r>
              <w:rPr>
                <w:rFonts w:hint="eastAsia" w:ascii="宋体" w:hAnsi="宋体"/>
                <w:sz w:val="24"/>
              </w:rPr>
              <w:t>打分</w:t>
            </w:r>
          </w:p>
          <w:p w14:paraId="70E061B8">
            <w:pPr>
              <w:jc w:val="center"/>
              <w:rPr>
                <w:rFonts w:ascii="宋体" w:hAnsi="宋体" w:cs="宋体"/>
                <w:sz w:val="24"/>
              </w:rPr>
            </w:pPr>
            <w:r>
              <w:rPr>
                <w:rFonts w:hint="eastAsia" w:ascii="宋体" w:hAnsi="宋体"/>
                <w:sz w:val="24"/>
              </w:rPr>
              <w:t>方法</w:t>
            </w:r>
          </w:p>
        </w:tc>
      </w:tr>
      <w:tr w14:paraId="0AD2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425" w:type="dxa"/>
            <w:vMerge w:val="restart"/>
            <w:vAlign w:val="center"/>
          </w:tcPr>
          <w:p w14:paraId="57CBDBB9">
            <w:pPr>
              <w:pStyle w:val="11"/>
              <w:snapToGrid w:val="0"/>
              <w:ind w:left="440"/>
              <w:jc w:val="center"/>
              <w:rPr>
                <w:rFonts w:cs="宋体"/>
              </w:rPr>
            </w:pPr>
            <w:r>
              <w:rPr>
                <w:rFonts w:hint="eastAsia" w:cs="宋体"/>
              </w:rPr>
              <w:t>技术分</w:t>
            </w:r>
          </w:p>
          <w:p w14:paraId="0180186E">
            <w:pPr>
              <w:pStyle w:val="11"/>
              <w:snapToGrid w:val="0"/>
              <w:ind w:left="440"/>
              <w:jc w:val="center"/>
              <w:rPr>
                <w:rFonts w:cs="宋体"/>
                <w:sz w:val="20"/>
              </w:rPr>
            </w:pPr>
            <w:r>
              <w:rPr>
                <w:rFonts w:hint="eastAsia" w:cs="宋体"/>
              </w:rPr>
              <w:t>（75分）</w:t>
            </w:r>
          </w:p>
        </w:tc>
        <w:tc>
          <w:tcPr>
            <w:tcW w:w="439" w:type="dxa"/>
            <w:vAlign w:val="center"/>
          </w:tcPr>
          <w:p w14:paraId="76413EFC">
            <w:pPr>
              <w:jc w:val="center"/>
              <w:rPr>
                <w:rFonts w:ascii="宋体" w:hAnsi="宋体" w:cs="宋体"/>
                <w:sz w:val="24"/>
              </w:rPr>
            </w:pPr>
            <w:r>
              <w:rPr>
                <w:rFonts w:hint="eastAsia" w:ascii="宋体" w:hAnsi="宋体" w:cs="宋体"/>
                <w:sz w:val="24"/>
              </w:rPr>
              <w:t>1</w:t>
            </w:r>
          </w:p>
        </w:tc>
        <w:tc>
          <w:tcPr>
            <w:tcW w:w="2335" w:type="dxa"/>
            <w:vAlign w:val="center"/>
          </w:tcPr>
          <w:p w14:paraId="74CC02B4">
            <w:pPr>
              <w:pStyle w:val="11"/>
              <w:snapToGrid w:val="0"/>
              <w:ind w:firstLine="0" w:firstLineChars="0"/>
              <w:rPr>
                <w:rFonts w:cs="宋体"/>
              </w:rPr>
            </w:pPr>
            <w:r>
              <w:rPr>
                <w:rFonts w:hint="eastAsia" w:cs="宋体"/>
              </w:rPr>
              <w:t>响应方案的合理性、科学性、全面性综合评定</w:t>
            </w:r>
          </w:p>
        </w:tc>
        <w:tc>
          <w:tcPr>
            <w:tcW w:w="4327" w:type="dxa"/>
            <w:vAlign w:val="center"/>
          </w:tcPr>
          <w:p w14:paraId="5C72A064">
            <w:pPr>
              <w:pStyle w:val="11"/>
              <w:snapToGrid w:val="0"/>
              <w:ind w:firstLine="0" w:firstLineChars="0"/>
              <w:rPr>
                <w:rFonts w:cs="宋体"/>
              </w:rPr>
            </w:pPr>
            <w:r>
              <w:rPr>
                <w:rFonts w:hint="eastAsia" w:cs="宋体"/>
              </w:rPr>
              <w:t>详细提供疗休养整体方案（包括</w:t>
            </w:r>
            <w:r>
              <w:rPr>
                <w:rFonts w:hint="eastAsia" w:cs="宋体"/>
                <w:lang w:val="zh-CN"/>
              </w:rPr>
              <w:t>用餐标准、住宿条件、交通车辆、行程线路策划等方案以及对本次</w:t>
            </w:r>
            <w:r>
              <w:rPr>
                <w:rFonts w:hint="eastAsia" w:cs="宋体"/>
              </w:rPr>
              <w:t>疗休养主题的吻合程度）综合评定</w:t>
            </w:r>
          </w:p>
        </w:tc>
        <w:tc>
          <w:tcPr>
            <w:tcW w:w="851" w:type="dxa"/>
            <w:vAlign w:val="center"/>
          </w:tcPr>
          <w:p w14:paraId="7539B2D4">
            <w:pPr>
              <w:jc w:val="center"/>
              <w:rPr>
                <w:rFonts w:ascii="宋体" w:hAnsi="宋体" w:cs="宋体"/>
                <w:b/>
                <w:bCs/>
                <w:sz w:val="20"/>
                <w:szCs w:val="21"/>
              </w:rPr>
            </w:pPr>
            <w:r>
              <w:rPr>
                <w:rFonts w:hint="eastAsia" w:ascii="宋体" w:hAnsi="宋体" w:cs="宋体"/>
                <w:sz w:val="24"/>
              </w:rPr>
              <w:t>5-15</w:t>
            </w:r>
          </w:p>
        </w:tc>
        <w:tc>
          <w:tcPr>
            <w:tcW w:w="850" w:type="dxa"/>
            <w:vAlign w:val="center"/>
          </w:tcPr>
          <w:p w14:paraId="7E95E79A">
            <w:pPr>
              <w:jc w:val="center"/>
              <w:rPr>
                <w:rFonts w:ascii="宋体" w:hAnsi="宋体" w:cs="宋体"/>
                <w:sz w:val="24"/>
              </w:rPr>
            </w:pPr>
            <w:r>
              <w:rPr>
                <w:rFonts w:hint="eastAsia" w:ascii="宋体" w:hAnsi="宋体" w:cs="宋体"/>
                <w:sz w:val="24"/>
              </w:rPr>
              <w:t>主观分</w:t>
            </w:r>
          </w:p>
        </w:tc>
      </w:tr>
      <w:tr w14:paraId="1A7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25" w:type="dxa"/>
            <w:vMerge w:val="continue"/>
            <w:vAlign w:val="center"/>
          </w:tcPr>
          <w:p w14:paraId="09BEB5DF">
            <w:pPr>
              <w:rPr>
                <w:rFonts w:ascii="宋体" w:hAnsi="宋体" w:cs="宋体"/>
                <w:sz w:val="20"/>
              </w:rPr>
            </w:pPr>
          </w:p>
        </w:tc>
        <w:tc>
          <w:tcPr>
            <w:tcW w:w="439" w:type="dxa"/>
            <w:vAlign w:val="center"/>
          </w:tcPr>
          <w:p w14:paraId="10FA08AA">
            <w:pPr>
              <w:jc w:val="center"/>
              <w:rPr>
                <w:rFonts w:ascii="宋体" w:hAnsi="宋体" w:cs="宋体"/>
                <w:sz w:val="24"/>
              </w:rPr>
            </w:pPr>
            <w:r>
              <w:rPr>
                <w:rFonts w:hint="eastAsia" w:ascii="宋体" w:hAnsi="宋体" w:cs="宋体"/>
                <w:sz w:val="24"/>
              </w:rPr>
              <w:t>2</w:t>
            </w:r>
          </w:p>
        </w:tc>
        <w:tc>
          <w:tcPr>
            <w:tcW w:w="2335" w:type="dxa"/>
            <w:vAlign w:val="center"/>
          </w:tcPr>
          <w:p w14:paraId="2D15BF2C">
            <w:pPr>
              <w:pStyle w:val="11"/>
              <w:snapToGrid w:val="0"/>
              <w:ind w:firstLine="0" w:firstLineChars="0"/>
              <w:rPr>
                <w:rFonts w:cs="宋体"/>
              </w:rPr>
            </w:pPr>
            <w:r>
              <w:rPr>
                <w:rFonts w:hint="eastAsia" w:cs="宋体"/>
              </w:rPr>
              <w:t>响应方案中提供或使用主要车辆、设备的优劣综合评定</w:t>
            </w:r>
          </w:p>
        </w:tc>
        <w:tc>
          <w:tcPr>
            <w:tcW w:w="4327" w:type="dxa"/>
            <w:vAlign w:val="center"/>
          </w:tcPr>
          <w:p w14:paraId="4ACE04E4">
            <w:pPr>
              <w:pStyle w:val="11"/>
              <w:snapToGrid w:val="0"/>
              <w:ind w:firstLine="0" w:firstLineChars="0"/>
              <w:rPr>
                <w:rFonts w:cs="宋体"/>
              </w:rPr>
            </w:pPr>
            <w:r>
              <w:rPr>
                <w:rFonts w:hint="eastAsia" w:cs="宋体"/>
              </w:rPr>
              <w:t xml:space="preserve">根据车队情况综合评定（包括车型、车况、当地用车情况、座位比、司机驾龄、车队本地化服务能力等） </w:t>
            </w:r>
          </w:p>
        </w:tc>
        <w:tc>
          <w:tcPr>
            <w:tcW w:w="851" w:type="dxa"/>
            <w:vAlign w:val="center"/>
          </w:tcPr>
          <w:p w14:paraId="3B32E3FE">
            <w:pPr>
              <w:jc w:val="center"/>
              <w:rPr>
                <w:rFonts w:ascii="宋体" w:hAnsi="宋体" w:cs="宋体"/>
                <w:b/>
                <w:bCs/>
                <w:sz w:val="20"/>
                <w:szCs w:val="21"/>
              </w:rPr>
            </w:pPr>
            <w:r>
              <w:rPr>
                <w:rFonts w:hint="eastAsia" w:ascii="宋体" w:hAnsi="宋体" w:cs="宋体"/>
                <w:sz w:val="24"/>
              </w:rPr>
              <w:t>4-10</w:t>
            </w:r>
          </w:p>
        </w:tc>
        <w:tc>
          <w:tcPr>
            <w:tcW w:w="850" w:type="dxa"/>
            <w:vAlign w:val="center"/>
          </w:tcPr>
          <w:p w14:paraId="17E26A96">
            <w:pPr>
              <w:jc w:val="center"/>
              <w:rPr>
                <w:rFonts w:ascii="宋体" w:hAnsi="宋体" w:cs="宋体"/>
                <w:sz w:val="24"/>
              </w:rPr>
            </w:pPr>
            <w:r>
              <w:rPr>
                <w:rFonts w:hint="eastAsia" w:ascii="宋体" w:hAnsi="宋体" w:cs="宋体"/>
                <w:sz w:val="24"/>
              </w:rPr>
              <w:t>主观分</w:t>
            </w:r>
          </w:p>
        </w:tc>
      </w:tr>
      <w:tr w14:paraId="382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25" w:type="dxa"/>
            <w:vMerge w:val="continue"/>
            <w:vAlign w:val="center"/>
          </w:tcPr>
          <w:p w14:paraId="64B8FE1F">
            <w:pPr>
              <w:rPr>
                <w:rFonts w:ascii="宋体" w:hAnsi="宋体" w:cs="宋体"/>
                <w:sz w:val="20"/>
              </w:rPr>
            </w:pPr>
          </w:p>
        </w:tc>
        <w:tc>
          <w:tcPr>
            <w:tcW w:w="439" w:type="dxa"/>
            <w:vAlign w:val="center"/>
          </w:tcPr>
          <w:p w14:paraId="3D563E2F">
            <w:pPr>
              <w:jc w:val="center"/>
              <w:rPr>
                <w:rFonts w:ascii="宋体" w:hAnsi="宋体" w:cs="宋体"/>
                <w:sz w:val="24"/>
              </w:rPr>
            </w:pPr>
            <w:r>
              <w:rPr>
                <w:rFonts w:hint="eastAsia" w:ascii="宋体" w:hAnsi="宋体" w:cs="宋体"/>
                <w:sz w:val="24"/>
              </w:rPr>
              <w:t>3</w:t>
            </w:r>
          </w:p>
        </w:tc>
        <w:tc>
          <w:tcPr>
            <w:tcW w:w="2335" w:type="dxa"/>
            <w:vAlign w:val="center"/>
          </w:tcPr>
          <w:p w14:paraId="3AD82596">
            <w:pPr>
              <w:pStyle w:val="11"/>
              <w:snapToGrid w:val="0"/>
              <w:ind w:firstLine="0" w:firstLineChars="0"/>
              <w:rPr>
                <w:rFonts w:cs="宋体"/>
              </w:rPr>
            </w:pPr>
            <w:r>
              <w:rPr>
                <w:rFonts w:hint="eastAsia" w:cs="宋体"/>
              </w:rPr>
              <w:t>保证进度和项目完成的方案和措施等综合评定</w:t>
            </w:r>
          </w:p>
        </w:tc>
        <w:tc>
          <w:tcPr>
            <w:tcW w:w="4327" w:type="dxa"/>
            <w:vAlign w:val="center"/>
          </w:tcPr>
          <w:p w14:paraId="391C8C58">
            <w:pPr>
              <w:pStyle w:val="11"/>
              <w:snapToGrid w:val="0"/>
              <w:ind w:firstLine="0" w:firstLineChars="0"/>
              <w:rPr>
                <w:rFonts w:cs="宋体"/>
              </w:rPr>
            </w:pPr>
            <w:r>
              <w:rPr>
                <w:rFonts w:hint="eastAsia" w:cs="宋体"/>
              </w:rPr>
              <w:t>本次疗休养实施工作程序和步骤、管理和协调方法以及关键步骤和要点等。</w:t>
            </w:r>
          </w:p>
        </w:tc>
        <w:tc>
          <w:tcPr>
            <w:tcW w:w="851" w:type="dxa"/>
            <w:vAlign w:val="center"/>
          </w:tcPr>
          <w:p w14:paraId="4C849EEE">
            <w:pPr>
              <w:jc w:val="center"/>
              <w:rPr>
                <w:rFonts w:ascii="宋体" w:hAnsi="宋体" w:cs="宋体"/>
                <w:sz w:val="24"/>
              </w:rPr>
            </w:pPr>
            <w:r>
              <w:rPr>
                <w:rFonts w:hint="eastAsia" w:ascii="宋体" w:hAnsi="宋体" w:cs="宋体"/>
                <w:sz w:val="24"/>
              </w:rPr>
              <w:t>4-10</w:t>
            </w:r>
          </w:p>
        </w:tc>
        <w:tc>
          <w:tcPr>
            <w:tcW w:w="850" w:type="dxa"/>
            <w:vAlign w:val="center"/>
          </w:tcPr>
          <w:p w14:paraId="1B31E7AF">
            <w:pPr>
              <w:jc w:val="center"/>
              <w:rPr>
                <w:rFonts w:ascii="宋体" w:hAnsi="宋体" w:cs="宋体"/>
                <w:sz w:val="24"/>
              </w:rPr>
            </w:pPr>
            <w:r>
              <w:rPr>
                <w:rFonts w:hint="eastAsia" w:ascii="宋体" w:hAnsi="宋体" w:cs="宋体"/>
                <w:sz w:val="24"/>
              </w:rPr>
              <w:t>主观分</w:t>
            </w:r>
          </w:p>
        </w:tc>
      </w:tr>
      <w:tr w14:paraId="1A83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25" w:type="dxa"/>
            <w:vMerge w:val="continue"/>
            <w:vAlign w:val="center"/>
          </w:tcPr>
          <w:p w14:paraId="07B8BDA1">
            <w:pPr>
              <w:rPr>
                <w:rFonts w:ascii="宋体" w:hAnsi="宋体" w:cs="宋体"/>
                <w:sz w:val="20"/>
              </w:rPr>
            </w:pPr>
          </w:p>
        </w:tc>
        <w:tc>
          <w:tcPr>
            <w:tcW w:w="439" w:type="dxa"/>
            <w:vAlign w:val="center"/>
          </w:tcPr>
          <w:p w14:paraId="12C80D9A">
            <w:pPr>
              <w:jc w:val="center"/>
              <w:rPr>
                <w:rFonts w:ascii="宋体" w:hAnsi="宋体" w:cs="宋体"/>
                <w:sz w:val="24"/>
              </w:rPr>
            </w:pPr>
            <w:r>
              <w:rPr>
                <w:rFonts w:hint="eastAsia" w:ascii="宋体" w:hAnsi="宋体" w:cs="宋体"/>
                <w:sz w:val="24"/>
              </w:rPr>
              <w:t>4</w:t>
            </w:r>
          </w:p>
        </w:tc>
        <w:tc>
          <w:tcPr>
            <w:tcW w:w="2335" w:type="dxa"/>
            <w:vAlign w:val="center"/>
          </w:tcPr>
          <w:p w14:paraId="04993EC6">
            <w:pPr>
              <w:pStyle w:val="11"/>
              <w:snapToGrid w:val="0"/>
              <w:ind w:firstLine="0" w:firstLineChars="0"/>
              <w:rPr>
                <w:rFonts w:cs="宋体"/>
              </w:rPr>
            </w:pPr>
            <w:r>
              <w:rPr>
                <w:rFonts w:hint="eastAsia" w:cs="宋体"/>
              </w:rPr>
              <w:t>项目负责人及技术力量安排、行程中安排导游等综合评定</w:t>
            </w:r>
          </w:p>
        </w:tc>
        <w:tc>
          <w:tcPr>
            <w:tcW w:w="4327" w:type="dxa"/>
            <w:vAlign w:val="center"/>
          </w:tcPr>
          <w:p w14:paraId="63102AC9">
            <w:pPr>
              <w:pStyle w:val="11"/>
              <w:snapToGrid w:val="0"/>
              <w:ind w:firstLine="0" w:firstLineChars="0"/>
              <w:rPr>
                <w:rFonts w:cs="宋体"/>
              </w:rPr>
            </w:pPr>
            <w:r>
              <w:rPr>
                <w:rFonts w:hint="eastAsia" w:cs="宋体"/>
              </w:rPr>
              <w:t>1、项目负责人的专业素质、技术能力、经验以及调动各项资源的能力、有否学历及职业证书；项目组成员专业素质、能力、经验等综合评定。（1-3分）</w:t>
            </w:r>
          </w:p>
          <w:p w14:paraId="5F95513D">
            <w:pPr>
              <w:pStyle w:val="11"/>
              <w:snapToGrid w:val="0"/>
              <w:ind w:firstLine="0" w:firstLineChars="0"/>
              <w:rPr>
                <w:rFonts w:cs="宋体"/>
              </w:rPr>
            </w:pPr>
            <w:r>
              <w:rPr>
                <w:rFonts w:hint="eastAsia" w:cs="宋体"/>
              </w:rPr>
              <w:t>2、响应人拥有中级导游员或杭州市优秀或金牌导游员得3分，拥有区县级金牌或优秀导游员得1分。（0-3分）</w:t>
            </w:r>
          </w:p>
        </w:tc>
        <w:tc>
          <w:tcPr>
            <w:tcW w:w="851" w:type="dxa"/>
            <w:vAlign w:val="center"/>
          </w:tcPr>
          <w:p w14:paraId="35E8EB75">
            <w:pPr>
              <w:jc w:val="center"/>
              <w:rPr>
                <w:rFonts w:ascii="宋体" w:hAnsi="宋体" w:cs="宋体"/>
                <w:b/>
                <w:bCs/>
                <w:sz w:val="20"/>
                <w:szCs w:val="21"/>
              </w:rPr>
            </w:pPr>
            <w:r>
              <w:rPr>
                <w:rFonts w:hint="eastAsia" w:ascii="宋体" w:hAnsi="宋体" w:cs="宋体"/>
                <w:sz w:val="24"/>
              </w:rPr>
              <w:t>1-6</w:t>
            </w:r>
          </w:p>
        </w:tc>
        <w:tc>
          <w:tcPr>
            <w:tcW w:w="850" w:type="dxa"/>
            <w:vAlign w:val="center"/>
          </w:tcPr>
          <w:p w14:paraId="73516D6C">
            <w:pPr>
              <w:jc w:val="center"/>
              <w:rPr>
                <w:rFonts w:ascii="宋体" w:hAnsi="宋体" w:cs="宋体"/>
                <w:sz w:val="24"/>
              </w:rPr>
            </w:pPr>
            <w:r>
              <w:rPr>
                <w:rFonts w:hint="eastAsia" w:ascii="宋体" w:hAnsi="宋体" w:cs="宋体"/>
                <w:sz w:val="24"/>
              </w:rPr>
              <w:t>主观分</w:t>
            </w:r>
          </w:p>
        </w:tc>
      </w:tr>
      <w:tr w14:paraId="4425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5" w:type="dxa"/>
            <w:vMerge w:val="continue"/>
            <w:vAlign w:val="center"/>
          </w:tcPr>
          <w:p w14:paraId="0C72B530">
            <w:pPr>
              <w:rPr>
                <w:rFonts w:ascii="宋体" w:hAnsi="宋体" w:cs="宋体"/>
                <w:sz w:val="20"/>
              </w:rPr>
            </w:pPr>
          </w:p>
        </w:tc>
        <w:tc>
          <w:tcPr>
            <w:tcW w:w="439" w:type="dxa"/>
            <w:vAlign w:val="center"/>
          </w:tcPr>
          <w:p w14:paraId="5FF951AD">
            <w:pPr>
              <w:jc w:val="center"/>
              <w:rPr>
                <w:rFonts w:ascii="宋体" w:hAnsi="宋体" w:cs="宋体"/>
                <w:sz w:val="24"/>
              </w:rPr>
            </w:pPr>
            <w:r>
              <w:rPr>
                <w:rFonts w:hint="eastAsia" w:ascii="宋体" w:hAnsi="宋体" w:cs="宋体"/>
                <w:sz w:val="24"/>
              </w:rPr>
              <w:t>5</w:t>
            </w:r>
          </w:p>
        </w:tc>
        <w:tc>
          <w:tcPr>
            <w:tcW w:w="6662" w:type="dxa"/>
            <w:gridSpan w:val="2"/>
            <w:vAlign w:val="center"/>
          </w:tcPr>
          <w:p w14:paraId="3C2A9F4D">
            <w:pPr>
              <w:pStyle w:val="11"/>
              <w:snapToGrid w:val="0"/>
              <w:ind w:left="440"/>
              <w:jc w:val="center"/>
              <w:rPr>
                <w:rFonts w:cs="宋体"/>
              </w:rPr>
            </w:pPr>
            <w:r>
              <w:rPr>
                <w:rFonts w:hint="eastAsia" w:cs="宋体"/>
              </w:rPr>
              <w:t>对本项目的合理化建议综合评定</w:t>
            </w:r>
          </w:p>
        </w:tc>
        <w:tc>
          <w:tcPr>
            <w:tcW w:w="851" w:type="dxa"/>
            <w:vAlign w:val="center"/>
          </w:tcPr>
          <w:p w14:paraId="40C5F3D0">
            <w:pPr>
              <w:jc w:val="center"/>
              <w:rPr>
                <w:rFonts w:ascii="宋体" w:hAnsi="宋体" w:cs="宋体"/>
                <w:b/>
                <w:bCs/>
                <w:sz w:val="20"/>
                <w:szCs w:val="21"/>
              </w:rPr>
            </w:pPr>
            <w:r>
              <w:rPr>
                <w:rFonts w:hint="eastAsia" w:ascii="宋体" w:hAnsi="宋体" w:cs="宋体"/>
                <w:sz w:val="24"/>
              </w:rPr>
              <w:t>1-4</w:t>
            </w:r>
          </w:p>
        </w:tc>
        <w:tc>
          <w:tcPr>
            <w:tcW w:w="850" w:type="dxa"/>
            <w:vAlign w:val="center"/>
          </w:tcPr>
          <w:p w14:paraId="3B3BB9F7">
            <w:pPr>
              <w:jc w:val="center"/>
              <w:rPr>
                <w:rFonts w:ascii="宋体" w:hAnsi="宋体" w:cs="宋体"/>
                <w:sz w:val="24"/>
              </w:rPr>
            </w:pPr>
            <w:r>
              <w:rPr>
                <w:rFonts w:hint="eastAsia" w:ascii="宋体" w:hAnsi="宋体" w:cs="宋体"/>
                <w:sz w:val="24"/>
              </w:rPr>
              <w:t>主观分</w:t>
            </w:r>
          </w:p>
        </w:tc>
      </w:tr>
      <w:tr w14:paraId="5CB9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25" w:type="dxa"/>
            <w:vMerge w:val="continue"/>
            <w:vAlign w:val="center"/>
          </w:tcPr>
          <w:p w14:paraId="61D07E40">
            <w:pPr>
              <w:rPr>
                <w:rFonts w:ascii="宋体" w:hAnsi="宋体" w:cs="宋体"/>
                <w:sz w:val="20"/>
              </w:rPr>
            </w:pPr>
          </w:p>
        </w:tc>
        <w:tc>
          <w:tcPr>
            <w:tcW w:w="439" w:type="dxa"/>
            <w:vAlign w:val="center"/>
          </w:tcPr>
          <w:p w14:paraId="63A9FB66">
            <w:pPr>
              <w:jc w:val="center"/>
              <w:rPr>
                <w:rFonts w:ascii="宋体" w:hAnsi="宋体" w:cs="宋体"/>
                <w:sz w:val="24"/>
              </w:rPr>
            </w:pPr>
            <w:r>
              <w:rPr>
                <w:rFonts w:hint="eastAsia" w:ascii="宋体" w:hAnsi="宋体" w:cs="宋体"/>
                <w:sz w:val="24"/>
              </w:rPr>
              <w:t>6</w:t>
            </w:r>
          </w:p>
        </w:tc>
        <w:tc>
          <w:tcPr>
            <w:tcW w:w="2335" w:type="dxa"/>
            <w:vAlign w:val="center"/>
          </w:tcPr>
          <w:p w14:paraId="340DE554">
            <w:pPr>
              <w:pStyle w:val="11"/>
              <w:snapToGrid w:val="0"/>
              <w:ind w:firstLine="0" w:firstLineChars="0"/>
              <w:rPr>
                <w:rFonts w:cs="宋体"/>
              </w:rPr>
            </w:pPr>
            <w:r>
              <w:rPr>
                <w:rFonts w:hint="eastAsia" w:cs="宋体"/>
              </w:rPr>
              <w:t>服务质量保证情况综合评定</w:t>
            </w:r>
          </w:p>
        </w:tc>
        <w:tc>
          <w:tcPr>
            <w:tcW w:w="4327" w:type="dxa"/>
            <w:vAlign w:val="center"/>
          </w:tcPr>
          <w:p w14:paraId="43AEB699">
            <w:pPr>
              <w:pStyle w:val="11"/>
              <w:snapToGrid w:val="0"/>
              <w:ind w:firstLine="0" w:firstLineChars="0"/>
              <w:rPr>
                <w:rFonts w:cs="宋体"/>
              </w:rPr>
            </w:pPr>
            <w:r>
              <w:rPr>
                <w:rFonts w:hint="eastAsia" w:cs="宋体"/>
              </w:rPr>
              <w:t xml:space="preserve">根据出行服务、人性化服务、与地接人员衔接服务、安排入住酒店、用餐服务等与本次疗休养有关的服务质量情况综合评定 </w:t>
            </w:r>
          </w:p>
        </w:tc>
        <w:tc>
          <w:tcPr>
            <w:tcW w:w="851" w:type="dxa"/>
            <w:vAlign w:val="center"/>
          </w:tcPr>
          <w:p w14:paraId="75AE22A0">
            <w:pPr>
              <w:jc w:val="center"/>
              <w:rPr>
                <w:rFonts w:ascii="宋体" w:hAnsi="宋体" w:cs="宋体"/>
                <w:b/>
                <w:bCs/>
                <w:sz w:val="20"/>
                <w:szCs w:val="21"/>
              </w:rPr>
            </w:pPr>
            <w:r>
              <w:rPr>
                <w:rFonts w:hint="eastAsia" w:ascii="宋体" w:hAnsi="宋体" w:cs="宋体"/>
                <w:sz w:val="24"/>
              </w:rPr>
              <w:t>5-15</w:t>
            </w:r>
          </w:p>
        </w:tc>
        <w:tc>
          <w:tcPr>
            <w:tcW w:w="850" w:type="dxa"/>
            <w:vAlign w:val="center"/>
          </w:tcPr>
          <w:p w14:paraId="650B9576">
            <w:pPr>
              <w:jc w:val="center"/>
              <w:rPr>
                <w:rFonts w:ascii="宋体" w:hAnsi="宋体" w:cs="宋体"/>
                <w:sz w:val="24"/>
              </w:rPr>
            </w:pPr>
            <w:r>
              <w:rPr>
                <w:rFonts w:hint="eastAsia" w:ascii="宋体" w:hAnsi="宋体" w:cs="宋体"/>
                <w:sz w:val="24"/>
              </w:rPr>
              <w:t>主观分</w:t>
            </w:r>
          </w:p>
        </w:tc>
      </w:tr>
      <w:tr w14:paraId="3C4D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25" w:type="dxa"/>
            <w:vMerge w:val="continue"/>
            <w:vAlign w:val="center"/>
          </w:tcPr>
          <w:p w14:paraId="463F28FB">
            <w:pPr>
              <w:rPr>
                <w:rFonts w:ascii="宋体" w:hAnsi="宋体" w:cs="宋体"/>
                <w:sz w:val="20"/>
              </w:rPr>
            </w:pPr>
          </w:p>
        </w:tc>
        <w:tc>
          <w:tcPr>
            <w:tcW w:w="439" w:type="dxa"/>
            <w:vAlign w:val="center"/>
          </w:tcPr>
          <w:p w14:paraId="644FA50E">
            <w:pPr>
              <w:jc w:val="center"/>
              <w:rPr>
                <w:rFonts w:ascii="宋体" w:hAnsi="宋体" w:cs="宋体"/>
                <w:sz w:val="24"/>
              </w:rPr>
            </w:pPr>
            <w:r>
              <w:rPr>
                <w:rFonts w:hint="eastAsia" w:ascii="宋体" w:hAnsi="宋体" w:cs="宋体"/>
                <w:sz w:val="24"/>
              </w:rPr>
              <w:t>7</w:t>
            </w:r>
          </w:p>
        </w:tc>
        <w:tc>
          <w:tcPr>
            <w:tcW w:w="2335" w:type="dxa"/>
            <w:vAlign w:val="center"/>
          </w:tcPr>
          <w:p w14:paraId="533862C6">
            <w:pPr>
              <w:pStyle w:val="11"/>
              <w:snapToGrid w:val="0"/>
              <w:ind w:firstLine="0" w:firstLineChars="0"/>
              <w:rPr>
                <w:rFonts w:cs="宋体"/>
              </w:rPr>
            </w:pPr>
            <w:r>
              <w:rPr>
                <w:rFonts w:hint="eastAsia" w:cs="宋体"/>
              </w:rPr>
              <w:t>服务承诺及本地化服务能力综合评定</w:t>
            </w:r>
          </w:p>
        </w:tc>
        <w:tc>
          <w:tcPr>
            <w:tcW w:w="4327" w:type="dxa"/>
            <w:vAlign w:val="center"/>
          </w:tcPr>
          <w:p w14:paraId="657CFDDD">
            <w:pPr>
              <w:pStyle w:val="11"/>
              <w:snapToGrid w:val="0"/>
              <w:ind w:firstLine="0" w:firstLineChars="0"/>
              <w:rPr>
                <w:rFonts w:cs="宋体"/>
              </w:rPr>
            </w:pPr>
            <w:r>
              <w:rPr>
                <w:rFonts w:hint="eastAsia" w:cs="宋体"/>
              </w:rPr>
              <w:t xml:space="preserve">根据响应人提供后续服务计划及响应人本地化等服务情况综合评定 </w:t>
            </w:r>
          </w:p>
        </w:tc>
        <w:tc>
          <w:tcPr>
            <w:tcW w:w="851" w:type="dxa"/>
            <w:vAlign w:val="center"/>
          </w:tcPr>
          <w:p w14:paraId="02E1C5B7">
            <w:pPr>
              <w:jc w:val="center"/>
              <w:rPr>
                <w:rFonts w:ascii="宋体" w:hAnsi="宋体" w:cs="宋体"/>
                <w:b/>
                <w:bCs/>
                <w:sz w:val="20"/>
                <w:szCs w:val="21"/>
              </w:rPr>
            </w:pPr>
            <w:r>
              <w:rPr>
                <w:rFonts w:hint="eastAsia" w:ascii="宋体" w:hAnsi="宋体" w:cs="宋体"/>
                <w:sz w:val="24"/>
              </w:rPr>
              <w:t>2-6</w:t>
            </w:r>
          </w:p>
        </w:tc>
        <w:tc>
          <w:tcPr>
            <w:tcW w:w="850" w:type="dxa"/>
            <w:vAlign w:val="center"/>
          </w:tcPr>
          <w:p w14:paraId="2B94FC45">
            <w:pPr>
              <w:jc w:val="center"/>
              <w:rPr>
                <w:rFonts w:ascii="宋体" w:hAnsi="宋体" w:cs="宋体"/>
                <w:sz w:val="24"/>
              </w:rPr>
            </w:pPr>
            <w:r>
              <w:rPr>
                <w:rFonts w:hint="eastAsia" w:ascii="宋体" w:hAnsi="宋体" w:cs="宋体"/>
                <w:sz w:val="24"/>
              </w:rPr>
              <w:t>主观分</w:t>
            </w:r>
          </w:p>
        </w:tc>
      </w:tr>
      <w:tr w14:paraId="0D3C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25" w:type="dxa"/>
            <w:vMerge w:val="continue"/>
            <w:vAlign w:val="center"/>
          </w:tcPr>
          <w:p w14:paraId="5102070C">
            <w:pPr>
              <w:rPr>
                <w:rFonts w:ascii="宋体" w:hAnsi="宋体" w:cs="宋体"/>
                <w:sz w:val="20"/>
              </w:rPr>
            </w:pPr>
          </w:p>
        </w:tc>
        <w:tc>
          <w:tcPr>
            <w:tcW w:w="439" w:type="dxa"/>
            <w:vAlign w:val="center"/>
          </w:tcPr>
          <w:p w14:paraId="1E6EB354">
            <w:pPr>
              <w:jc w:val="center"/>
              <w:rPr>
                <w:rFonts w:ascii="宋体" w:hAnsi="宋体" w:cs="宋体"/>
                <w:sz w:val="24"/>
              </w:rPr>
            </w:pPr>
            <w:r>
              <w:rPr>
                <w:rFonts w:hint="eastAsia" w:ascii="宋体" w:hAnsi="宋体" w:cs="宋体"/>
                <w:sz w:val="24"/>
              </w:rPr>
              <w:t>8</w:t>
            </w:r>
          </w:p>
        </w:tc>
        <w:tc>
          <w:tcPr>
            <w:tcW w:w="2335" w:type="dxa"/>
            <w:vAlign w:val="center"/>
          </w:tcPr>
          <w:p w14:paraId="254EF220">
            <w:pPr>
              <w:pStyle w:val="11"/>
              <w:snapToGrid w:val="0"/>
              <w:ind w:firstLine="0" w:firstLineChars="0"/>
              <w:rPr>
                <w:rFonts w:cs="宋体"/>
              </w:rPr>
            </w:pPr>
            <w:r>
              <w:rPr>
                <w:rFonts w:hint="eastAsia" w:cs="宋体"/>
              </w:rPr>
              <w:t>保证服务质量、突发事件处理等情况综合评定</w:t>
            </w:r>
          </w:p>
        </w:tc>
        <w:tc>
          <w:tcPr>
            <w:tcW w:w="4327" w:type="dxa"/>
            <w:vAlign w:val="center"/>
          </w:tcPr>
          <w:p w14:paraId="340130B8">
            <w:pPr>
              <w:pStyle w:val="11"/>
              <w:snapToGrid w:val="0"/>
              <w:ind w:firstLine="0" w:firstLineChars="0"/>
              <w:rPr>
                <w:rFonts w:cs="宋体"/>
              </w:rPr>
            </w:pPr>
            <w:r>
              <w:rPr>
                <w:rFonts w:hint="eastAsia" w:cs="宋体"/>
              </w:rPr>
              <w:t>根据响应人提供详细的突发事件处理方案、疫情应对措施、安防措施、投诉、纠纷处理方案，增值（特色）服务、优惠措施等情况综合评定</w:t>
            </w:r>
          </w:p>
        </w:tc>
        <w:tc>
          <w:tcPr>
            <w:tcW w:w="851" w:type="dxa"/>
            <w:vAlign w:val="center"/>
          </w:tcPr>
          <w:p w14:paraId="4E0AFAD5">
            <w:pPr>
              <w:jc w:val="center"/>
              <w:rPr>
                <w:rFonts w:ascii="宋体" w:hAnsi="宋体" w:cs="宋体"/>
                <w:b/>
                <w:bCs/>
                <w:szCs w:val="21"/>
              </w:rPr>
            </w:pPr>
            <w:r>
              <w:rPr>
                <w:rFonts w:hint="eastAsia" w:ascii="宋体" w:hAnsi="宋体" w:cs="宋体"/>
                <w:sz w:val="24"/>
              </w:rPr>
              <w:t>2-6</w:t>
            </w:r>
          </w:p>
        </w:tc>
        <w:tc>
          <w:tcPr>
            <w:tcW w:w="850" w:type="dxa"/>
            <w:vAlign w:val="center"/>
          </w:tcPr>
          <w:p w14:paraId="66100D4C">
            <w:pPr>
              <w:jc w:val="center"/>
              <w:rPr>
                <w:rFonts w:ascii="宋体" w:hAnsi="宋体" w:cs="宋体"/>
                <w:sz w:val="24"/>
              </w:rPr>
            </w:pPr>
            <w:r>
              <w:rPr>
                <w:rFonts w:hint="eastAsia" w:ascii="宋体" w:hAnsi="宋体" w:cs="宋体"/>
                <w:sz w:val="24"/>
              </w:rPr>
              <w:t>主观分</w:t>
            </w:r>
          </w:p>
        </w:tc>
      </w:tr>
      <w:tr w14:paraId="7812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425" w:type="dxa"/>
            <w:vMerge w:val="continue"/>
            <w:vAlign w:val="center"/>
          </w:tcPr>
          <w:p w14:paraId="1BE86031">
            <w:pPr>
              <w:rPr>
                <w:rFonts w:ascii="宋体" w:hAnsi="宋体" w:cs="宋体"/>
                <w:sz w:val="20"/>
              </w:rPr>
            </w:pPr>
          </w:p>
        </w:tc>
        <w:tc>
          <w:tcPr>
            <w:tcW w:w="439" w:type="dxa"/>
            <w:vAlign w:val="center"/>
          </w:tcPr>
          <w:p w14:paraId="169337CA">
            <w:pPr>
              <w:jc w:val="center"/>
              <w:rPr>
                <w:rFonts w:ascii="宋体" w:hAnsi="宋体" w:cs="宋体"/>
                <w:sz w:val="24"/>
              </w:rPr>
            </w:pPr>
            <w:r>
              <w:rPr>
                <w:rFonts w:hint="eastAsia" w:ascii="宋体" w:hAnsi="宋体" w:cs="宋体"/>
                <w:sz w:val="24"/>
              </w:rPr>
              <w:t>9</w:t>
            </w:r>
          </w:p>
        </w:tc>
        <w:tc>
          <w:tcPr>
            <w:tcW w:w="2335" w:type="dxa"/>
            <w:vAlign w:val="center"/>
          </w:tcPr>
          <w:p w14:paraId="2D76D8EB">
            <w:pPr>
              <w:pStyle w:val="11"/>
              <w:snapToGrid w:val="0"/>
              <w:ind w:firstLine="0" w:firstLineChars="0"/>
              <w:rPr>
                <w:rFonts w:cs="宋体"/>
              </w:rPr>
            </w:pPr>
            <w:r>
              <w:rPr>
                <w:rFonts w:hint="eastAsia" w:cs="宋体"/>
              </w:rPr>
              <w:t>旅行社责任险</w:t>
            </w:r>
          </w:p>
        </w:tc>
        <w:tc>
          <w:tcPr>
            <w:tcW w:w="4327" w:type="dxa"/>
            <w:vAlign w:val="center"/>
          </w:tcPr>
          <w:p w14:paraId="39939999">
            <w:pPr>
              <w:pStyle w:val="11"/>
              <w:snapToGrid w:val="0"/>
              <w:ind w:firstLine="0" w:firstLineChars="0"/>
              <w:rPr>
                <w:rFonts w:cs="宋体"/>
              </w:rPr>
            </w:pPr>
            <w:r>
              <w:rPr>
                <w:rFonts w:hint="eastAsia" w:cs="宋体"/>
              </w:rPr>
              <w:t>每次事故累计责任限额2000万元（含）及以上且每人责任限额150万（含）及以上得3分；每次事故累计责任限额2000万（不含）以下--1000万元（含）且每人责任限额150万元（不含）以下--100万元（含）得2分；每次事故累计责任限额1000万元（不含）以下且每人责任限额100万（不含）以下得1分。</w:t>
            </w:r>
          </w:p>
          <w:p w14:paraId="4FE292BC">
            <w:pPr>
              <w:pStyle w:val="11"/>
              <w:snapToGrid w:val="0"/>
              <w:ind w:firstLine="0" w:firstLineChars="0"/>
              <w:rPr>
                <w:rFonts w:cs="宋体"/>
              </w:rPr>
            </w:pPr>
            <w:r>
              <w:rPr>
                <w:rFonts w:hint="eastAsia" w:cs="宋体"/>
              </w:rPr>
              <w:t>（响应文件中提供相关的保单。）</w:t>
            </w:r>
          </w:p>
        </w:tc>
        <w:tc>
          <w:tcPr>
            <w:tcW w:w="851" w:type="dxa"/>
            <w:vAlign w:val="center"/>
          </w:tcPr>
          <w:p w14:paraId="79796DB9">
            <w:pPr>
              <w:jc w:val="center"/>
              <w:rPr>
                <w:rFonts w:ascii="宋体" w:hAnsi="宋体" w:cs="宋体"/>
                <w:b/>
                <w:bCs/>
                <w:szCs w:val="21"/>
              </w:rPr>
            </w:pPr>
            <w:r>
              <w:rPr>
                <w:rFonts w:hint="eastAsia" w:ascii="宋体" w:hAnsi="宋体" w:cs="宋体"/>
                <w:sz w:val="24"/>
              </w:rPr>
              <w:t>0-3</w:t>
            </w:r>
          </w:p>
        </w:tc>
        <w:tc>
          <w:tcPr>
            <w:tcW w:w="850" w:type="dxa"/>
            <w:vAlign w:val="center"/>
          </w:tcPr>
          <w:p w14:paraId="0A7AA6D3">
            <w:pPr>
              <w:jc w:val="center"/>
              <w:rPr>
                <w:rFonts w:ascii="宋体" w:hAnsi="宋体" w:cs="宋体"/>
                <w:sz w:val="24"/>
              </w:rPr>
            </w:pPr>
            <w:r>
              <w:rPr>
                <w:rFonts w:hint="eastAsia" w:ascii="宋体" w:hAnsi="宋体" w:cs="宋体"/>
                <w:sz w:val="24"/>
              </w:rPr>
              <w:t>客观分</w:t>
            </w:r>
          </w:p>
        </w:tc>
      </w:tr>
    </w:tbl>
    <w:p w14:paraId="2E7129DC">
      <w:pPr>
        <w:pStyle w:val="43"/>
        <w:rPr>
          <w:rFonts w:ascii="仿宋" w:hAnsi="仿宋" w:eastAsia="仿宋" w:cs="仿宋"/>
          <w:highlight w:val="none"/>
        </w:rPr>
      </w:pPr>
    </w:p>
    <w:p w14:paraId="2BD5B71E">
      <w:pPr>
        <w:keepNext w:val="0"/>
        <w:keepLines w:val="0"/>
        <w:pageBreakBefore w:val="0"/>
        <w:widowControl/>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Cs/>
          <w:sz w:val="24"/>
          <w:highlight w:val="none"/>
          <w:lang w:val="en-US" w:eastAsia="zh-CN"/>
        </w:rPr>
      </w:pPr>
      <w:r>
        <w:rPr>
          <w:rFonts w:hint="eastAsia" w:ascii="仿宋" w:hAnsi="仿宋" w:eastAsia="仿宋" w:cs="仿宋"/>
          <w:b/>
          <w:bCs w:val="0"/>
          <w:sz w:val="24"/>
          <w:highlight w:val="none"/>
        </w:rPr>
        <w:t>注：</w:t>
      </w:r>
      <w:r>
        <w:rPr>
          <w:rFonts w:hint="eastAsia" w:ascii="仿宋" w:hAnsi="仿宋" w:eastAsia="仿宋" w:cs="仿宋"/>
          <w:bCs/>
          <w:sz w:val="24"/>
          <w:highlight w:val="none"/>
          <w:lang w:val="en-US" w:eastAsia="zh-CN"/>
        </w:rPr>
        <w:t>1、</w:t>
      </w:r>
      <w:r>
        <w:rPr>
          <w:rFonts w:hint="eastAsia" w:ascii="仿宋" w:hAnsi="仿宋" w:eastAsia="仿宋" w:cs="仿宋_GB2312"/>
          <w:color w:val="auto"/>
          <w:sz w:val="24"/>
          <w:highlight w:val="none"/>
        </w:rPr>
        <w:t>评分条款中涉及的业绩、荣誉、人员、社保等分公司均有效。</w:t>
      </w:r>
    </w:p>
    <w:p w14:paraId="26A08AF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196"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EB84AB4">
      <w:pPr>
        <w:pStyle w:val="11"/>
        <w:keepNext w:val="0"/>
        <w:keepLines w:val="0"/>
        <w:pageBreakBefore w:val="0"/>
        <w:numPr>
          <w:ilvl w:val="0"/>
          <w:numId w:val="0"/>
        </w:numPr>
        <w:kinsoku/>
        <w:wordWrap/>
        <w:overflowPunct/>
        <w:topLinePunct w:val="0"/>
        <w:autoSpaceDE/>
        <w:autoSpaceDN/>
        <w:bidi w:val="0"/>
        <w:adjustRightInd w:val="0"/>
        <w:snapToGrid/>
        <w:spacing w:line="360" w:lineRule="auto"/>
        <w:ind w:leftChars="196" w:firstLine="480" w:firstLineChars="200"/>
        <w:textAlignment w:val="auto"/>
        <w:rPr>
          <w:rFonts w:hint="eastAsia" w:ascii="仿宋" w:hAnsi="仿宋" w:eastAsia="仿宋" w:cs="仿宋_GB2312"/>
          <w:color w:val="auto"/>
          <w:sz w:val="24"/>
          <w:highlight w:val="none"/>
        </w:rPr>
      </w:pPr>
      <w:r>
        <w:rPr>
          <w:rFonts w:hint="eastAsia"/>
          <w:highlight w:val="none"/>
          <w:lang w:val="en-US" w:eastAsia="zh-CN"/>
        </w:rPr>
        <w:t>3、</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p>
    <w:p w14:paraId="4E3AB90D">
      <w:pPr>
        <w:rPr>
          <w:rFonts w:hint="default"/>
          <w:highlight w:val="none"/>
          <w:lang w:val="en-US" w:eastAsia="zh-CN"/>
        </w:rPr>
      </w:pPr>
    </w:p>
    <w:p w14:paraId="7D9A6EA4">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、价格分（10分）</w:t>
      </w:r>
    </w:p>
    <w:tbl>
      <w:tblPr>
        <w:tblStyle w:val="6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F8E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0C64E9C">
            <w:pPr>
              <w:widowControl/>
              <w:ind w:firstLine="480" w:firstLineChars="200"/>
              <w:rPr>
                <w:rFonts w:ascii="仿宋" w:hAnsi="仿宋" w:eastAsia="仿宋" w:cs="仿宋"/>
                <w:sz w:val="24"/>
                <w:highlight w:val="none"/>
              </w:rPr>
            </w:pPr>
            <w:r>
              <w:rPr>
                <w:rFonts w:hint="eastAsia" w:ascii="仿宋" w:hAnsi="仿宋" w:eastAsia="仿宋" w:cs="仿宋"/>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4D230E5C">
            <w:pPr>
              <w:widowControl/>
              <w:jc w:val="center"/>
              <w:rPr>
                <w:rFonts w:ascii="仿宋" w:hAnsi="仿宋" w:eastAsia="仿宋" w:cs="仿宋"/>
                <w:sz w:val="24"/>
                <w:highlight w:val="none"/>
              </w:rPr>
            </w:pPr>
            <w:r>
              <w:rPr>
                <w:rFonts w:hint="eastAsia" w:ascii="仿宋" w:hAnsi="仿宋" w:eastAsia="仿宋" w:cs="仿宋"/>
                <w:sz w:val="24"/>
                <w:highlight w:val="none"/>
              </w:rPr>
              <w:t>计算方法</w:t>
            </w:r>
          </w:p>
        </w:tc>
      </w:tr>
      <w:tr w14:paraId="5A28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F0CDC69">
            <w:pPr>
              <w:widowControl/>
              <w:jc w:val="center"/>
              <w:rPr>
                <w:rFonts w:ascii="仿宋" w:hAnsi="仿宋" w:eastAsia="仿宋" w:cs="仿宋"/>
                <w:sz w:val="24"/>
                <w:highlight w:val="none"/>
              </w:rPr>
            </w:pPr>
            <w:r>
              <w:rPr>
                <w:rFonts w:hint="eastAsia" w:ascii="仿宋" w:hAnsi="仿宋" w:eastAsia="仿宋" w:cs="仿宋"/>
                <w:sz w:val="24"/>
                <w:highlight w:val="none"/>
              </w:rPr>
              <w:t>价格权值=0.10</w:t>
            </w:r>
          </w:p>
        </w:tc>
        <w:tc>
          <w:tcPr>
            <w:tcW w:w="6599" w:type="dxa"/>
            <w:tcBorders>
              <w:top w:val="single" w:color="auto" w:sz="4" w:space="0"/>
              <w:left w:val="single" w:color="auto" w:sz="4" w:space="0"/>
              <w:bottom w:val="single" w:color="auto" w:sz="4" w:space="0"/>
              <w:right w:val="single" w:color="auto" w:sz="4" w:space="0"/>
            </w:tcBorders>
            <w:noWrap/>
            <w:vAlign w:val="center"/>
          </w:tcPr>
          <w:p w14:paraId="2A23F12F">
            <w:pPr>
              <w:widowControl/>
              <w:rPr>
                <w:rFonts w:ascii="仿宋" w:hAnsi="仿宋" w:eastAsia="仿宋" w:cs="仿宋"/>
                <w:sz w:val="24"/>
                <w:highlight w:val="none"/>
              </w:rPr>
            </w:pPr>
            <w:r>
              <w:rPr>
                <w:rFonts w:hint="eastAsia" w:ascii="仿宋" w:hAnsi="仿宋" w:eastAsia="仿宋" w:cs="仿宋"/>
                <w:sz w:val="24"/>
                <w:highlight w:val="none"/>
              </w:rPr>
              <w:t>最低有效投标价格为评标基准价</w:t>
            </w:r>
          </w:p>
          <w:p w14:paraId="2FC5C52B">
            <w:pPr>
              <w:widowControl/>
              <w:rPr>
                <w:rFonts w:ascii="仿宋" w:hAnsi="仿宋" w:eastAsia="仿宋" w:cs="仿宋"/>
                <w:sz w:val="24"/>
                <w:highlight w:val="none"/>
              </w:rPr>
            </w:pPr>
            <w:r>
              <w:rPr>
                <w:rFonts w:hint="eastAsia" w:ascii="仿宋" w:hAnsi="仿宋" w:eastAsia="仿宋" w:cs="仿宋"/>
                <w:sz w:val="24"/>
                <w:highlight w:val="none"/>
              </w:rPr>
              <w:t>投标报价得分=(评标基准价/投标人投标报价)×价格权值×100</w:t>
            </w:r>
          </w:p>
          <w:p w14:paraId="1B186909">
            <w:pPr>
              <w:widowControl/>
              <w:rPr>
                <w:rFonts w:ascii="仿宋" w:hAnsi="仿宋" w:eastAsia="仿宋" w:cs="仿宋"/>
                <w:sz w:val="24"/>
                <w:highlight w:val="none"/>
              </w:rPr>
            </w:pPr>
            <w:r>
              <w:rPr>
                <w:rFonts w:hint="eastAsia" w:ascii="仿宋" w:hAnsi="仿宋" w:eastAsia="仿宋" w:cs="仿宋"/>
                <w:sz w:val="24"/>
                <w:highlight w:val="none"/>
              </w:rPr>
              <w:t>（计算得分保留小数点后2位）</w:t>
            </w:r>
          </w:p>
        </w:tc>
      </w:tr>
    </w:tbl>
    <w:p w14:paraId="40295616">
      <w:pPr>
        <w:snapToGrid w:val="0"/>
        <w:spacing w:line="360" w:lineRule="auto"/>
        <w:rPr>
          <w:rFonts w:ascii="仿宋" w:hAnsi="仿宋" w:eastAsia="仿宋" w:cs="仿宋"/>
          <w:b/>
          <w:sz w:val="24"/>
          <w:highlight w:val="none"/>
        </w:rPr>
      </w:pPr>
    </w:p>
    <w:p w14:paraId="65DA01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供应商编制投标文件（商务技术文件部分）时，建议按此目录（序号和内容）提供评标标准相应的商务技术资料。</w:t>
      </w:r>
    </w:p>
    <w:p w14:paraId="724391E6">
      <w:pPr>
        <w:widowControl/>
        <w:adjustRightInd/>
        <w:jc w:val="left"/>
        <w:rPr>
          <w:rFonts w:ascii="仿宋" w:hAnsi="仿宋" w:eastAsia="仿宋" w:cs="仿宋"/>
          <w:b/>
          <w:sz w:val="32"/>
          <w:highlight w:val="none"/>
        </w:rPr>
      </w:pPr>
      <w:r>
        <w:rPr>
          <w:rFonts w:hint="eastAsia" w:ascii="仿宋" w:hAnsi="仿宋" w:eastAsia="仿宋" w:cs="仿宋"/>
          <w:b/>
          <w:sz w:val="32"/>
          <w:highlight w:val="none"/>
        </w:rPr>
        <w:br w:type="page"/>
      </w:r>
    </w:p>
    <w:p w14:paraId="6BCCBF8E">
      <w:pPr>
        <w:keepNext w:val="0"/>
        <w:keepLines w:val="0"/>
        <w:pageBreakBefore w:val="0"/>
        <w:kinsoku/>
        <w:wordWrap/>
        <w:overflowPunct/>
        <w:topLinePunct w:val="0"/>
        <w:autoSpaceDE/>
        <w:autoSpaceDN/>
        <w:bidi w:val="0"/>
        <w:snapToGrid w:val="0"/>
        <w:spacing w:line="360" w:lineRule="auto"/>
        <w:ind w:firstLine="643" w:firstLineChars="200"/>
        <w:textAlignment w:val="auto"/>
        <w:rPr>
          <w:rFonts w:ascii="仿宋" w:hAnsi="仿宋" w:eastAsia="仿宋" w:cs="仿宋"/>
          <w:b/>
          <w:sz w:val="28"/>
          <w:szCs w:val="28"/>
          <w:highlight w:val="none"/>
        </w:rPr>
      </w:pPr>
      <w:r>
        <w:rPr>
          <w:rFonts w:hint="eastAsia" w:ascii="仿宋" w:hAnsi="仿宋" w:eastAsia="仿宋" w:cs="仿宋"/>
          <w:b/>
          <w:sz w:val="32"/>
          <w:highlight w:val="none"/>
        </w:rPr>
        <w:t>一、评标方法</w:t>
      </w:r>
    </w:p>
    <w:p w14:paraId="6D50620C">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综合评分法，是指投标文件满足交易文件全部实质性要求，且按照评审因素的量化指标评审得分最高的供应商为中标候选人的评标方法。</w:t>
      </w:r>
    </w:p>
    <w:p w14:paraId="2140728E">
      <w:pPr>
        <w:keepNext w:val="0"/>
        <w:keepLines w:val="0"/>
        <w:pageBreakBefore w:val="0"/>
        <w:kinsoku/>
        <w:wordWrap/>
        <w:overflowPunct/>
        <w:topLinePunct w:val="0"/>
        <w:autoSpaceDE/>
        <w:autoSpaceDN/>
        <w:bidi w:val="0"/>
        <w:adjustRightInd/>
        <w:spacing w:line="360" w:lineRule="auto"/>
        <w:ind w:firstLine="643" w:firstLineChars="200"/>
        <w:textAlignment w:val="auto"/>
        <w:rPr>
          <w:rFonts w:ascii="仿宋" w:hAnsi="仿宋" w:eastAsia="仿宋" w:cs="仿宋"/>
          <w:kern w:val="0"/>
          <w:sz w:val="24"/>
          <w:highlight w:val="none"/>
        </w:rPr>
      </w:pPr>
      <w:r>
        <w:rPr>
          <w:rFonts w:hint="eastAsia" w:ascii="仿宋" w:hAnsi="仿宋" w:eastAsia="仿宋" w:cs="仿宋"/>
          <w:b/>
          <w:sz w:val="32"/>
          <w:highlight w:val="none"/>
        </w:rPr>
        <w:t>二、评标标准</w:t>
      </w:r>
    </w:p>
    <w:p w14:paraId="6D8B1F53">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4503B7FA">
      <w:pPr>
        <w:keepNext w:val="0"/>
        <w:keepLines w:val="0"/>
        <w:pageBreakBefore w:val="0"/>
        <w:kinsoku/>
        <w:wordWrap/>
        <w:overflowPunct/>
        <w:topLinePunct w:val="0"/>
        <w:autoSpaceDE/>
        <w:autoSpaceDN/>
        <w:bidi w:val="0"/>
        <w:adjustRightInd/>
        <w:spacing w:line="360" w:lineRule="auto"/>
        <w:ind w:firstLine="643" w:firstLineChars="200"/>
        <w:textAlignment w:val="auto"/>
        <w:rPr>
          <w:rFonts w:ascii="仿宋" w:hAnsi="仿宋" w:eastAsia="仿宋" w:cs="仿宋"/>
          <w:b/>
          <w:sz w:val="32"/>
          <w:highlight w:val="none"/>
        </w:rPr>
      </w:pPr>
      <w:r>
        <w:rPr>
          <w:rFonts w:hint="eastAsia" w:ascii="仿宋" w:hAnsi="仿宋" w:eastAsia="仿宋" w:cs="仿宋"/>
          <w:b/>
          <w:sz w:val="32"/>
          <w:highlight w:val="none"/>
        </w:rPr>
        <w:t>三、评标程序</w:t>
      </w:r>
    </w:p>
    <w:p w14:paraId="4C50FE9A">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评标委员会应当对符合资格的供应商的投标文件进行符合性审查，以确定其是否满足交易文件的实质性要求。不满足交易文件的实质性要求的，投标无效。</w:t>
      </w:r>
    </w:p>
    <w:p w14:paraId="57B82A03">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评标委员会应当按照交易文件中规定的评标方法和标准，对符合性审查合格的投标文件进行商务和技术评估，综合比较与评价。</w:t>
      </w:r>
    </w:p>
    <w:p w14:paraId="492ED53B">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评标委员会各成员应当独立对每个供应商的商务和技术文件进行评价，并汇总商务技术得分情况。</w:t>
      </w:r>
    </w:p>
    <w:p w14:paraId="63526517">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14:paraId="3D20A7F1">
      <w:pPr>
        <w:pStyle w:val="222"/>
        <w:keepNext w:val="0"/>
        <w:keepLines w:val="0"/>
        <w:pageBreakBefore w:val="0"/>
        <w:kinsoku/>
        <w:wordWrap/>
        <w:overflowPunct/>
        <w:topLinePunct w:val="0"/>
        <w:autoSpaceDE/>
        <w:autoSpaceDN/>
        <w:bidi w:val="0"/>
        <w:spacing w:before="0" w:line="360" w:lineRule="auto"/>
        <w:ind w:firstLine="482" w:firstLineChars="200"/>
        <w:textAlignment w:val="auto"/>
        <w:rPr>
          <w:rFonts w:ascii="仿宋" w:hAnsi="仿宋" w:eastAsia="仿宋" w:cs="仿宋"/>
          <w:b/>
          <w:kern w:val="0"/>
          <w:highlight w:val="none"/>
        </w:rPr>
      </w:pPr>
      <w:r>
        <w:rPr>
          <w:rFonts w:hint="eastAsia" w:ascii="仿宋" w:hAnsi="仿宋" w:eastAsia="仿宋" w:cs="仿宋"/>
          <w:b/>
          <w:kern w:val="0"/>
          <w:highlight w:val="none"/>
        </w:rPr>
        <w:t>3.4.1投标文件报价出现前后不一致的，按照下列规定修正：</w:t>
      </w:r>
    </w:p>
    <w:p w14:paraId="71830ACA">
      <w:pPr>
        <w:pStyle w:val="222"/>
        <w:keepNext w:val="0"/>
        <w:keepLines w:val="0"/>
        <w:pageBreakBefore w:val="0"/>
        <w:kinsoku/>
        <w:wordWrap/>
        <w:overflowPunct/>
        <w:topLinePunct w:val="0"/>
        <w:autoSpaceDE/>
        <w:autoSpaceDN/>
        <w:bidi w:val="0"/>
        <w:spacing w:before="0" w:line="360" w:lineRule="auto"/>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4D98F5CB">
      <w:pPr>
        <w:pStyle w:val="222"/>
        <w:keepNext w:val="0"/>
        <w:keepLines w:val="0"/>
        <w:pageBreakBefore w:val="0"/>
        <w:kinsoku/>
        <w:wordWrap/>
        <w:overflowPunct/>
        <w:topLinePunct w:val="0"/>
        <w:autoSpaceDE/>
        <w:autoSpaceDN/>
        <w:bidi w:val="0"/>
        <w:spacing w:before="0" w:line="360" w:lineRule="auto"/>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52B3FFD7">
      <w:pPr>
        <w:pStyle w:val="222"/>
        <w:keepNext w:val="0"/>
        <w:keepLines w:val="0"/>
        <w:pageBreakBefore w:val="0"/>
        <w:kinsoku/>
        <w:wordWrap/>
        <w:overflowPunct/>
        <w:topLinePunct w:val="0"/>
        <w:autoSpaceDE/>
        <w:autoSpaceDN/>
        <w:bidi w:val="0"/>
        <w:spacing w:before="0" w:line="360" w:lineRule="auto"/>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2DFDDD3C">
      <w:pPr>
        <w:pStyle w:val="222"/>
        <w:keepNext w:val="0"/>
        <w:keepLines w:val="0"/>
        <w:pageBreakBefore w:val="0"/>
        <w:kinsoku/>
        <w:wordWrap/>
        <w:overflowPunct/>
        <w:topLinePunct w:val="0"/>
        <w:autoSpaceDE/>
        <w:autoSpaceDN/>
        <w:bidi w:val="0"/>
        <w:spacing w:before="0" w:line="360" w:lineRule="auto"/>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659A00C2">
      <w:pPr>
        <w:pStyle w:val="222"/>
        <w:keepNext w:val="0"/>
        <w:keepLines w:val="0"/>
        <w:pageBreakBefore w:val="0"/>
        <w:kinsoku/>
        <w:wordWrap/>
        <w:overflowPunct/>
        <w:topLinePunct w:val="0"/>
        <w:autoSpaceDE/>
        <w:autoSpaceDN/>
        <w:bidi w:val="0"/>
        <w:spacing w:before="0" w:line="360" w:lineRule="auto"/>
        <w:ind w:firstLine="480" w:firstLineChars="20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《政府采购货物和服务交易投标管理办法》第五十一条第二款的规定经供应商确认后产生约束力。</w:t>
      </w:r>
    </w:p>
    <w:p w14:paraId="2B9050D4">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仿宋" w:hAnsi="仿宋" w:eastAsia="仿宋" w:cs="仿宋"/>
          <w:kern w:val="0"/>
          <w:sz w:val="24"/>
          <w:highlight w:val="none"/>
        </w:rPr>
      </w:pPr>
      <w:r>
        <w:rPr>
          <w:rFonts w:hint="eastAsia" w:ascii="仿宋" w:hAnsi="仿宋" w:eastAsia="仿宋" w:cs="仿宋"/>
          <w:b/>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29127139">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仿宋" w:hAnsi="仿宋" w:eastAsia="仿宋" w:cs="仿宋"/>
          <w:kern w:val="0"/>
          <w:sz w:val="24"/>
          <w:highlight w:val="none"/>
        </w:rPr>
      </w:pPr>
      <w:r>
        <w:rPr>
          <w:rFonts w:hint="eastAsia" w:ascii="仿宋" w:hAnsi="仿宋" w:eastAsia="仿宋" w:cs="仿宋"/>
          <w:b/>
          <w:kern w:val="0"/>
          <w:sz w:val="24"/>
          <w:highlight w:val="none"/>
        </w:rPr>
        <w:t>3.4.3</w:t>
      </w:r>
      <w:r>
        <w:rPr>
          <w:rFonts w:hint="eastAsia" w:ascii="仿宋" w:hAnsi="仿宋" w:eastAsia="仿宋" w:cs="仿宋"/>
          <w:kern w:val="0"/>
          <w:sz w:val="24"/>
          <w:highlight w:val="none"/>
        </w:rPr>
        <w:t>投标报价超过交易文件中规定的预算金额或者最高限价的，投标无效。</w:t>
      </w:r>
    </w:p>
    <w:p w14:paraId="6F6F31B6">
      <w:pPr>
        <w:pStyle w:val="222"/>
        <w:keepNext w:val="0"/>
        <w:keepLines w:val="0"/>
        <w:pageBreakBefore w:val="0"/>
        <w:kinsoku/>
        <w:wordWrap/>
        <w:overflowPunct/>
        <w:topLinePunct w:val="0"/>
        <w:autoSpaceDE/>
        <w:autoSpaceDN/>
        <w:bidi w:val="0"/>
        <w:spacing w:before="0" w:line="360" w:lineRule="auto"/>
        <w:ind w:firstLine="482" w:firstLineChars="200"/>
        <w:textAlignment w:val="auto"/>
        <w:rPr>
          <w:rFonts w:ascii="仿宋" w:hAnsi="仿宋" w:eastAsia="仿宋" w:cs="仿宋"/>
          <w:kern w:val="0"/>
          <w:szCs w:val="24"/>
          <w:highlight w:val="none"/>
        </w:rPr>
      </w:pPr>
      <w:r>
        <w:rPr>
          <w:rFonts w:hint="eastAsia" w:ascii="仿宋" w:hAnsi="仿宋" w:eastAsia="仿宋" w:cs="仿宋"/>
          <w:b/>
          <w:kern w:val="0"/>
          <w:szCs w:val="24"/>
          <w:highlight w:val="none"/>
        </w:rPr>
        <w:t>3.4.4</w:t>
      </w:r>
      <w:r>
        <w:rPr>
          <w:rFonts w:hint="eastAsia" w:ascii="仿宋" w:hAnsi="仿宋" w:eastAsia="仿宋" w:cs="仿宋"/>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4B166A28">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kern w:val="0"/>
          <w:sz w:val="24"/>
          <w:highlight w:val="none"/>
        </w:rPr>
      </w:pPr>
      <w:r>
        <w:rPr>
          <w:rFonts w:hint="eastAsia" w:ascii="仿宋" w:hAnsi="仿宋" w:eastAsia="仿宋" w:cs="仿宋"/>
          <w:b/>
          <w:bCs/>
          <w:kern w:val="0"/>
          <w:sz w:val="24"/>
          <w:highlight w:val="none"/>
        </w:rPr>
        <w:t>3.5排序与推荐</w:t>
      </w:r>
      <w:r>
        <w:rPr>
          <w:rFonts w:hint="eastAsia" w:ascii="仿宋" w:hAnsi="仿宋" w:eastAsia="仿宋" w:cs="仿宋"/>
          <w:b/>
          <w:kern w:val="0"/>
          <w:sz w:val="24"/>
          <w:highlight w:val="none"/>
        </w:rPr>
        <w:t>。</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2E4AEF3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5DDE34E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firstLineChars="200"/>
        <w:jc w:val="left"/>
        <w:textAlignment w:val="auto"/>
        <w:rPr>
          <w:rFonts w:ascii="仿宋" w:hAnsi="仿宋" w:eastAsia="仿宋" w:cs="仿宋"/>
          <w:kern w:val="0"/>
          <w:szCs w:val="21"/>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78475E">
      <w:pPr>
        <w:pageBreakBefore w:val="0"/>
        <w:widowControl/>
        <w:kinsoku/>
        <w:wordWrap/>
        <w:overflowPunct/>
        <w:topLinePunct w:val="0"/>
        <w:autoSpaceDE/>
        <w:autoSpaceDN/>
        <w:bidi w:val="0"/>
        <w:adjustRightInd/>
        <w:spacing w:after="225" w:line="360" w:lineRule="auto"/>
        <w:ind w:firstLine="643" w:firstLineChars="200"/>
        <w:jc w:val="left"/>
        <w:textAlignment w:val="auto"/>
        <w:rPr>
          <w:rFonts w:ascii="仿宋" w:hAnsi="仿宋" w:eastAsia="仿宋" w:cs="仿宋"/>
          <w:b/>
          <w:sz w:val="32"/>
          <w:highlight w:val="none"/>
        </w:rPr>
      </w:pPr>
      <w:r>
        <w:rPr>
          <w:rFonts w:hint="eastAsia" w:ascii="仿宋" w:hAnsi="仿宋" w:eastAsia="仿宋" w:cs="仿宋"/>
          <w:b/>
          <w:sz w:val="32"/>
          <w:highlight w:val="none"/>
        </w:rPr>
        <w:t>四、评标中的其他事项</w:t>
      </w:r>
    </w:p>
    <w:p w14:paraId="10A3FD93">
      <w:pPr>
        <w:pStyle w:val="222"/>
        <w:keepNext w:val="0"/>
        <w:keepLines w:val="0"/>
        <w:pageBreakBefore w:val="0"/>
        <w:widowControl w:val="0"/>
        <w:kinsoku/>
        <w:wordWrap/>
        <w:overflowPunct/>
        <w:topLinePunct w:val="0"/>
        <w:autoSpaceDE/>
        <w:autoSpaceDN/>
        <w:bidi w:val="0"/>
        <w:adjustRightInd w:val="0"/>
        <w:snapToGrid/>
        <w:spacing w:before="0" w:line="360" w:lineRule="auto"/>
        <w:ind w:firstLine="482" w:firstLineChars="200"/>
        <w:textAlignment w:val="auto"/>
        <w:rPr>
          <w:rFonts w:ascii="仿宋" w:hAnsi="仿宋" w:eastAsia="仿宋" w:cs="仿宋"/>
          <w:kern w:val="0"/>
          <w:szCs w:val="24"/>
          <w:highlight w:val="none"/>
        </w:rPr>
      </w:pPr>
      <w:r>
        <w:rPr>
          <w:rFonts w:hint="eastAsia" w:ascii="仿宋" w:hAnsi="仿宋" w:eastAsia="仿宋" w:cs="仿宋"/>
          <w:b/>
          <w:bCs/>
          <w:kern w:val="0"/>
          <w:szCs w:val="21"/>
          <w:highlight w:val="none"/>
        </w:rPr>
        <w:t>4.1</w:t>
      </w:r>
      <w:r>
        <w:rPr>
          <w:rFonts w:hint="eastAsia" w:ascii="仿宋" w:hAnsi="仿宋" w:eastAsia="仿宋" w:cs="仿宋"/>
          <w:b/>
          <w:bCs/>
          <w:kern w:val="0"/>
          <w:szCs w:val="24"/>
          <w:highlight w:val="none"/>
        </w:rPr>
        <w:t>供应商澄清、说明或者补正。</w:t>
      </w:r>
      <w:r>
        <w:rPr>
          <w:rFonts w:hint="eastAsia" w:ascii="仿宋" w:hAnsi="仿宋" w:eastAsia="仿宋" w:cs="仿宋"/>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3A849535">
      <w:pPr>
        <w:pStyle w:val="11"/>
        <w:keepNext w:val="0"/>
        <w:keepLines w:val="0"/>
        <w:pageBreakBefore w:val="0"/>
        <w:widowControl w:val="0"/>
        <w:kinsoku/>
        <w:wordWrap/>
        <w:overflowPunct/>
        <w:topLinePunct w:val="0"/>
        <w:autoSpaceDE/>
        <w:autoSpaceDN/>
        <w:bidi w:val="0"/>
        <w:adjustRightInd w:val="0"/>
        <w:snapToGrid/>
        <w:spacing w:line="360" w:lineRule="auto"/>
        <w:ind w:left="0" w:leftChars="0" w:firstLine="562" w:firstLineChars="200"/>
        <w:textAlignment w:val="auto"/>
        <w:rPr>
          <w:rFonts w:ascii="仿宋" w:hAnsi="仿宋" w:eastAsia="仿宋" w:cs="仿宋"/>
          <w:szCs w:val="21"/>
          <w:highlight w:val="none"/>
        </w:rPr>
      </w:pPr>
      <w:r>
        <w:rPr>
          <w:rFonts w:hint="eastAsia" w:ascii="仿宋" w:hAnsi="仿宋" w:eastAsia="仿宋" w:cs="仿宋"/>
          <w:b/>
          <w:spacing w:val="20"/>
          <w:highlight w:val="none"/>
        </w:rPr>
        <w:t>4.2投标无效。</w:t>
      </w:r>
      <w:r>
        <w:rPr>
          <w:rFonts w:hint="eastAsia" w:ascii="仿宋" w:hAnsi="仿宋" w:eastAsia="仿宋" w:cs="仿宋"/>
          <w:szCs w:val="21"/>
          <w:highlight w:val="none"/>
        </w:rPr>
        <w:t>有下列情况之一的，投标无效：</w:t>
      </w:r>
    </w:p>
    <w:p w14:paraId="6F6959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4.2.1供应商不具备交易文件中规定的资格要求的（供应商未提供有效的资格文件的，视为供应商不具备交易文件中规定的资格要求）；</w:t>
      </w:r>
    </w:p>
    <w:p w14:paraId="0909B3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4.2.2投标文件未按照交易文件要求签署、盖章的；</w:t>
      </w:r>
    </w:p>
    <w:p w14:paraId="1771B5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highlight w:val="none"/>
        </w:rPr>
        <w:t>、环境标志产品认证证书</w:t>
      </w:r>
      <w:r>
        <w:rPr>
          <w:rFonts w:hint="eastAsia" w:ascii="仿宋" w:hAnsi="仿宋" w:eastAsia="仿宋" w:cs="仿宋"/>
          <w:kern w:val="0"/>
          <w:sz w:val="24"/>
          <w:highlight w:val="none"/>
        </w:rPr>
        <w:t>的；</w:t>
      </w:r>
    </w:p>
    <w:p w14:paraId="60577768">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41592F82">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4.2.5投标文件中承诺的投标有效期少于交易文件中载明的投标有效期的；</w:t>
      </w:r>
    </w:p>
    <w:p w14:paraId="2193C937">
      <w:pPr>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kern w:val="0"/>
          <w:sz w:val="24"/>
          <w:highlight w:val="none"/>
        </w:rPr>
      </w:pPr>
      <w:r>
        <w:rPr>
          <w:rFonts w:hint="eastAsia" w:ascii="仿宋" w:hAnsi="仿宋" w:eastAsia="仿宋" w:cs="仿宋"/>
          <w:kern w:val="0"/>
          <w:sz w:val="24"/>
          <w:highlight w:val="none"/>
        </w:rPr>
        <w:t>4.2.6投标文件出现不是唯一的、有选择性投标报价的;</w:t>
      </w:r>
    </w:p>
    <w:p w14:paraId="27D5AB35">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4.2.7投标报价超过交易文件中规定的预算金额或者最高限价的;</w:t>
      </w:r>
    </w:p>
    <w:p w14:paraId="72A4B924">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9C840D">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4.2.9供应商对根据修正原则修正后的报价不确认的；</w:t>
      </w:r>
    </w:p>
    <w:p w14:paraId="5289B1BE">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4.2.10供应商提供虚假材料投标的；</w:t>
      </w:r>
    </w:p>
    <w:p w14:paraId="41101D39">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4.2.11供应商有恶意串通、妨碍其他供应商的竞争行为、损害采购人或者其他供应商的合法权益情形的；</w:t>
      </w:r>
    </w:p>
    <w:p w14:paraId="3E3E95D1">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4.2.12供应商仅提交备份投标文件，没有在电子交易平台传输递交投标文件的，投标无效；</w:t>
      </w:r>
    </w:p>
    <w:p w14:paraId="4AD473E9">
      <w:pPr>
        <w:pStyle w:val="7"/>
        <w:pageBreakBefore w:val="0"/>
        <w:numPr>
          <w:ilvl w:val="0"/>
          <w:numId w:val="0"/>
        </w:numPr>
        <w:kinsoku/>
        <w:wordWrap/>
        <w:overflowPunct/>
        <w:topLinePunct w:val="0"/>
        <w:autoSpaceDE/>
        <w:autoSpaceDN/>
        <w:bidi w:val="0"/>
        <w:spacing w:line="360" w:lineRule="auto"/>
        <w:ind w:firstLine="480" w:firstLineChars="200"/>
        <w:textAlignment w:val="auto"/>
        <w:rPr>
          <w:rFonts w:ascii="仿宋" w:eastAsia="仿宋" w:cs="仿宋"/>
          <w:b w:val="0"/>
          <w:bCs w:val="0"/>
          <w:kern w:val="0"/>
          <w:sz w:val="24"/>
          <w:szCs w:val="24"/>
          <w:highlight w:val="none"/>
          <w:lang w:val="en-US"/>
        </w:rPr>
      </w:pPr>
      <w:r>
        <w:rPr>
          <w:rFonts w:hint="eastAsia" w:ascii="仿宋" w:eastAsia="仿宋" w:cs="仿宋"/>
          <w:b w:val="0"/>
          <w:bCs w:val="0"/>
          <w:kern w:val="0"/>
          <w:sz w:val="24"/>
          <w:szCs w:val="24"/>
          <w:highlight w:val="none"/>
          <w:lang w:val="en-US"/>
        </w:rPr>
        <w:t>4.2.13 投标文件不满足交易文件的其它实质性要求的；</w:t>
      </w:r>
    </w:p>
    <w:p w14:paraId="4DD3A8A4">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7961C546">
      <w:pPr>
        <w:pStyle w:val="11"/>
        <w:pageBreakBefore w:val="0"/>
        <w:kinsoku/>
        <w:wordWrap/>
        <w:overflowPunct/>
        <w:topLinePunct w:val="0"/>
        <w:autoSpaceDE/>
        <w:autoSpaceDN/>
        <w:bidi w:val="0"/>
        <w:snapToGrid w:val="0"/>
        <w:spacing w:line="360" w:lineRule="auto"/>
        <w:ind w:firstLine="482" w:firstLineChars="200"/>
        <w:textAlignment w:val="auto"/>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761B763C">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5.1符合专业条件的供应商或者对交易文件作实质响应的供应商不足3家的；</w:t>
      </w:r>
    </w:p>
    <w:p w14:paraId="0F331231">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5.2出现影响采购公正的违法、违规行为的；</w:t>
      </w:r>
    </w:p>
    <w:p w14:paraId="7B2B865F">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5.3供应商的报价均超过了采购预算，采购人不能支付的；</w:t>
      </w:r>
    </w:p>
    <w:p w14:paraId="78745F51">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5.4因重大变故，采购任务取消的。</w:t>
      </w:r>
    </w:p>
    <w:p w14:paraId="782FA1F3">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废标后，采购机构应当将废标理由通知所有供应商。</w:t>
      </w:r>
    </w:p>
    <w:p w14:paraId="23475E7F">
      <w:pPr>
        <w:pStyle w:val="11"/>
        <w:pageBreakBefore w:val="0"/>
        <w:kinsoku/>
        <w:wordWrap/>
        <w:overflowPunct/>
        <w:topLinePunct w:val="0"/>
        <w:autoSpaceDE/>
        <w:autoSpaceDN/>
        <w:bidi w:val="0"/>
        <w:snapToGrid w:val="0"/>
        <w:spacing w:line="360" w:lineRule="auto"/>
        <w:ind w:firstLine="482" w:firstLineChars="200"/>
        <w:textAlignment w:val="auto"/>
        <w:rPr>
          <w:rFonts w:ascii="仿宋" w:hAnsi="仿宋" w:eastAsia="仿宋" w:cs="仿宋"/>
          <w:highlight w:val="none"/>
        </w:rPr>
      </w:pPr>
      <w:r>
        <w:rPr>
          <w:rFonts w:hint="eastAsia" w:ascii="仿宋" w:hAnsi="仿宋" w:eastAsia="仿宋" w:cs="仿宋"/>
          <w:b/>
          <w:highlight w:val="none"/>
        </w:rPr>
        <w:t>6.修改交易文件，重新组织采购活动。</w:t>
      </w:r>
      <w:r>
        <w:rPr>
          <w:rFonts w:hint="eastAsia" w:ascii="仿宋" w:hAnsi="仿宋" w:eastAsia="仿宋" w:cs="仿宋"/>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7BA079CF">
      <w:pPr>
        <w:pStyle w:val="11"/>
        <w:pageBreakBefore w:val="0"/>
        <w:kinsoku/>
        <w:wordWrap/>
        <w:overflowPunct/>
        <w:topLinePunct w:val="0"/>
        <w:autoSpaceDE/>
        <w:autoSpaceDN/>
        <w:bidi w:val="0"/>
        <w:snapToGrid w:val="0"/>
        <w:spacing w:line="360" w:lineRule="auto"/>
        <w:ind w:firstLine="482" w:firstLineChars="200"/>
        <w:textAlignment w:val="auto"/>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148780A0">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7.1未确定中标或者成交人的，终止本次政府采购活动，重新开展政府采购活动。</w:t>
      </w:r>
    </w:p>
    <w:p w14:paraId="2F26678A">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14:paraId="1686D3BA">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7.3政府采购合同已签订但尚未履行的，撤销合同，从合格的中标或者成交候选人中另行确定中标或者成交人；没有合格的中标或者成交候选人的，重新开展政府采购活动。</w:t>
      </w:r>
    </w:p>
    <w:p w14:paraId="6B398A96">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535997A1">
      <w:pPr>
        <w:pStyle w:val="11"/>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14:paraId="52FB9232">
      <w:pPr>
        <w:widowControl/>
        <w:spacing w:line="360" w:lineRule="auto"/>
        <w:ind w:firstLine="480" w:firstLineChars="200"/>
        <w:rPr>
          <w:rFonts w:ascii="仿宋" w:hAnsi="仿宋" w:eastAsia="仿宋" w:cs="仿宋"/>
          <w:sz w:val="24"/>
          <w:highlight w:val="none"/>
        </w:rPr>
      </w:pPr>
    </w:p>
    <w:p w14:paraId="53E05FCA">
      <w:pPr>
        <w:pStyle w:val="6"/>
        <w:rPr>
          <w:rFonts w:cs="仿宋"/>
          <w:color w:val="auto"/>
          <w:highlight w:val="none"/>
        </w:rPr>
      </w:pPr>
      <w:r>
        <w:rPr>
          <w:rFonts w:hint="eastAsia" w:cs="仿宋"/>
          <w:color w:val="auto"/>
          <w:sz w:val="24"/>
          <w:highlight w:val="none"/>
        </w:rPr>
        <w:br w:type="page"/>
      </w:r>
      <w:r>
        <w:rPr>
          <w:rFonts w:hint="eastAsia" w:cs="仿宋"/>
          <w:color w:val="auto"/>
          <w:highlight w:val="none"/>
        </w:rPr>
        <w:t>第五部分</w:t>
      </w:r>
      <w:bookmarkEnd w:id="61"/>
      <w:r>
        <w:rPr>
          <w:rFonts w:hint="eastAsia" w:cs="仿宋"/>
          <w:color w:val="auto"/>
          <w:highlight w:val="none"/>
        </w:rPr>
        <w:t xml:space="preserve"> 拟签订的合同文本</w:t>
      </w:r>
    </w:p>
    <w:p w14:paraId="0B6081AC">
      <w:pPr>
        <w:pStyle w:val="11"/>
        <w:snapToGrid w:val="0"/>
        <w:spacing w:line="360" w:lineRule="auto"/>
        <w:jc w:val="center"/>
        <w:rPr>
          <w:rFonts w:ascii="仿宋" w:hAnsi="仿宋" w:eastAsia="仿宋" w:cs="仿宋"/>
          <w:highlight w:val="none"/>
        </w:rPr>
      </w:pPr>
      <w:bookmarkStart w:id="427" w:name="第五部分"/>
      <w:bookmarkStart w:id="428" w:name="_Toc86217003"/>
      <w:r>
        <w:rPr>
          <w:rFonts w:hint="eastAsia" w:ascii="仿宋" w:hAnsi="仿宋" w:eastAsia="仿宋" w:cs="仿宋"/>
          <w:highlight w:val="none"/>
        </w:rPr>
        <w:t>（服务类参考样本,具体以交易人实际合同为准）</w:t>
      </w:r>
    </w:p>
    <w:p w14:paraId="5D918884">
      <w:pPr>
        <w:pStyle w:val="11"/>
        <w:snapToGrid w:val="0"/>
        <w:spacing w:line="360" w:lineRule="auto"/>
        <w:rPr>
          <w:rFonts w:ascii="仿宋" w:hAnsi="仿宋" w:eastAsia="仿宋" w:cs="仿宋"/>
          <w:highlight w:val="none"/>
        </w:rPr>
      </w:pPr>
      <w:r>
        <w:rPr>
          <w:rFonts w:hint="eastAsia" w:ascii="仿宋" w:hAnsi="仿宋" w:eastAsia="仿宋" w:cs="仿宋"/>
          <w:highlight w:val="none"/>
        </w:rPr>
        <w:t>合同编号：</w:t>
      </w:r>
    </w:p>
    <w:p w14:paraId="4F9CF2C1">
      <w:pPr>
        <w:pStyle w:val="11"/>
        <w:snapToGrid w:val="0"/>
        <w:spacing w:line="360" w:lineRule="auto"/>
        <w:rPr>
          <w:rFonts w:ascii="仿宋" w:hAnsi="仿宋" w:eastAsia="仿宋" w:cs="仿宋"/>
          <w:highlight w:val="none"/>
        </w:rPr>
      </w:pPr>
      <w:r>
        <w:rPr>
          <w:rFonts w:hint="eastAsia" w:ascii="仿宋" w:hAnsi="仿宋" w:eastAsia="仿宋" w:cs="仿宋"/>
          <w:highlight w:val="none"/>
        </w:rPr>
        <w:t>签订地点：                                 签订时间：2022年  月  日</w:t>
      </w:r>
    </w:p>
    <w:p w14:paraId="1E1B3666">
      <w:pPr>
        <w:pStyle w:val="11"/>
        <w:snapToGrid w:val="0"/>
        <w:spacing w:line="360" w:lineRule="auto"/>
        <w:rPr>
          <w:rFonts w:ascii="仿宋" w:hAnsi="仿宋" w:eastAsia="仿宋" w:cs="仿宋"/>
          <w:highlight w:val="none"/>
        </w:rPr>
      </w:pPr>
      <w:r>
        <w:rPr>
          <w:rFonts w:hint="eastAsia" w:ascii="仿宋" w:hAnsi="仿宋" w:eastAsia="仿宋" w:cs="仿宋"/>
          <w:highlight w:val="none"/>
        </w:rPr>
        <w:t>项目名称：</w:t>
      </w:r>
    </w:p>
    <w:p w14:paraId="38F49F27">
      <w:pPr>
        <w:pStyle w:val="11"/>
        <w:snapToGrid w:val="0"/>
        <w:spacing w:line="360" w:lineRule="auto"/>
        <w:rPr>
          <w:rFonts w:ascii="仿宋" w:hAnsi="仿宋" w:eastAsia="仿宋" w:cs="仿宋"/>
          <w:highlight w:val="none"/>
        </w:rPr>
      </w:pPr>
      <w:r>
        <w:rPr>
          <w:rFonts w:hint="eastAsia" w:ascii="仿宋" w:hAnsi="仿宋" w:eastAsia="仿宋" w:cs="仿宋"/>
          <w:highlight w:val="none"/>
        </w:rPr>
        <w:t xml:space="preserve">甲方（需方）：                                     </w:t>
      </w:r>
    </w:p>
    <w:p w14:paraId="0E5D5CF6">
      <w:pPr>
        <w:pStyle w:val="11"/>
        <w:snapToGrid w:val="0"/>
        <w:spacing w:line="360" w:lineRule="auto"/>
        <w:rPr>
          <w:rFonts w:ascii="仿宋" w:hAnsi="仿宋" w:eastAsia="仿宋" w:cs="仿宋"/>
          <w:highlight w:val="none"/>
        </w:rPr>
      </w:pPr>
      <w:r>
        <w:rPr>
          <w:rFonts w:hint="eastAsia" w:ascii="仿宋" w:hAnsi="仿宋" w:eastAsia="仿宋" w:cs="仿宋"/>
          <w:highlight w:val="none"/>
        </w:rPr>
        <w:t xml:space="preserve">乙方（供方）：                                     </w:t>
      </w:r>
    </w:p>
    <w:p w14:paraId="34CCBA87">
      <w:pPr>
        <w:pStyle w:val="11"/>
        <w:snapToGrid w:val="0"/>
        <w:spacing w:line="360" w:lineRule="auto"/>
        <w:rPr>
          <w:rFonts w:ascii="仿宋" w:hAnsi="仿宋" w:eastAsia="仿宋" w:cs="仿宋"/>
          <w:highlight w:val="none"/>
        </w:rPr>
      </w:pPr>
      <w:r>
        <w:rPr>
          <w:rFonts w:hint="eastAsia" w:ascii="仿宋" w:hAnsi="仿宋" w:eastAsia="仿宋" w:cs="仿宋"/>
          <w:highlight w:val="none"/>
        </w:rPr>
        <w:t>供、需双方根据杭州市萧山区                             项目（交易编号-  -  -   ）交易结果和交易文件的要求，并经双方协调一致，订立本采购合同。</w:t>
      </w:r>
    </w:p>
    <w:p w14:paraId="13F92A3E">
      <w:pPr>
        <w:pStyle w:val="11"/>
        <w:snapToGrid w:val="0"/>
        <w:spacing w:line="360" w:lineRule="auto"/>
        <w:rPr>
          <w:rFonts w:ascii="仿宋" w:hAnsi="仿宋" w:eastAsia="仿宋" w:cs="仿宋"/>
          <w:highlight w:val="none"/>
        </w:rPr>
      </w:pPr>
      <w:r>
        <w:rPr>
          <w:rFonts w:hint="eastAsia" w:ascii="仿宋" w:hAnsi="仿宋" w:eastAsia="仿宋" w:cs="仿宋"/>
          <w:highlight w:val="none"/>
        </w:rPr>
        <w:t>一、合同文件：</w:t>
      </w:r>
    </w:p>
    <w:p w14:paraId="4C9632E7">
      <w:pPr>
        <w:pStyle w:val="11"/>
        <w:snapToGrid w:val="0"/>
        <w:spacing w:line="360" w:lineRule="auto"/>
        <w:rPr>
          <w:rFonts w:ascii="仿宋" w:hAnsi="仿宋" w:eastAsia="仿宋" w:cs="仿宋"/>
          <w:highlight w:val="none"/>
        </w:rPr>
      </w:pPr>
      <w:r>
        <w:rPr>
          <w:rFonts w:hint="eastAsia" w:ascii="仿宋" w:hAnsi="仿宋" w:eastAsia="仿宋" w:cs="仿宋"/>
          <w:highlight w:val="none"/>
        </w:rPr>
        <w:t>1、合同条款。</w:t>
      </w:r>
    </w:p>
    <w:p w14:paraId="7E69B89F">
      <w:pPr>
        <w:pStyle w:val="11"/>
        <w:snapToGrid w:val="0"/>
        <w:spacing w:line="360" w:lineRule="auto"/>
        <w:rPr>
          <w:rFonts w:ascii="仿宋" w:hAnsi="仿宋" w:eastAsia="仿宋" w:cs="仿宋"/>
          <w:highlight w:val="none"/>
        </w:rPr>
      </w:pPr>
      <w:r>
        <w:rPr>
          <w:rFonts w:hint="eastAsia" w:ascii="仿宋" w:hAnsi="仿宋" w:eastAsia="仿宋" w:cs="仿宋"/>
          <w:highlight w:val="none"/>
        </w:rPr>
        <w:t>2、中标通知书。</w:t>
      </w:r>
    </w:p>
    <w:p w14:paraId="205A5D51">
      <w:pPr>
        <w:pStyle w:val="11"/>
        <w:snapToGrid w:val="0"/>
        <w:spacing w:line="360" w:lineRule="auto"/>
        <w:rPr>
          <w:rFonts w:ascii="仿宋" w:hAnsi="仿宋" w:eastAsia="仿宋" w:cs="仿宋"/>
          <w:highlight w:val="none"/>
        </w:rPr>
      </w:pPr>
      <w:r>
        <w:rPr>
          <w:rFonts w:hint="eastAsia" w:ascii="仿宋" w:hAnsi="仿宋" w:eastAsia="仿宋" w:cs="仿宋"/>
          <w:highlight w:val="none"/>
        </w:rPr>
        <w:t>3、交易文件。</w:t>
      </w:r>
    </w:p>
    <w:p w14:paraId="5B537685">
      <w:pPr>
        <w:pStyle w:val="11"/>
        <w:snapToGrid w:val="0"/>
        <w:spacing w:line="360" w:lineRule="auto"/>
        <w:rPr>
          <w:rFonts w:ascii="仿宋" w:hAnsi="仿宋" w:eastAsia="仿宋" w:cs="仿宋"/>
          <w:highlight w:val="none"/>
        </w:rPr>
      </w:pPr>
      <w:r>
        <w:rPr>
          <w:rFonts w:hint="eastAsia" w:ascii="仿宋" w:hAnsi="仿宋" w:eastAsia="仿宋" w:cs="仿宋"/>
          <w:highlight w:val="none"/>
        </w:rPr>
        <w:t>4、更正公告。</w:t>
      </w:r>
    </w:p>
    <w:p w14:paraId="31CFA2C8">
      <w:pPr>
        <w:pStyle w:val="11"/>
        <w:snapToGrid w:val="0"/>
        <w:spacing w:line="360" w:lineRule="auto"/>
        <w:rPr>
          <w:rFonts w:ascii="仿宋" w:hAnsi="仿宋" w:eastAsia="仿宋" w:cs="仿宋"/>
          <w:highlight w:val="none"/>
        </w:rPr>
      </w:pPr>
      <w:r>
        <w:rPr>
          <w:rFonts w:hint="eastAsia" w:ascii="仿宋" w:hAnsi="仿宋" w:eastAsia="仿宋" w:cs="仿宋"/>
          <w:highlight w:val="none"/>
        </w:rPr>
        <w:t>5、中标单位投标文件。</w:t>
      </w:r>
    </w:p>
    <w:p w14:paraId="0983DFB8">
      <w:pPr>
        <w:pStyle w:val="11"/>
        <w:snapToGrid w:val="0"/>
        <w:spacing w:line="360" w:lineRule="auto"/>
        <w:rPr>
          <w:rFonts w:ascii="仿宋" w:hAnsi="仿宋" w:eastAsia="仿宋" w:cs="仿宋"/>
          <w:highlight w:val="none"/>
        </w:rPr>
      </w:pPr>
      <w:r>
        <w:rPr>
          <w:rFonts w:hint="eastAsia" w:ascii="仿宋" w:hAnsi="仿宋" w:eastAsia="仿宋" w:cs="仿宋"/>
          <w:highlight w:val="none"/>
        </w:rPr>
        <w:t>6、其他。</w:t>
      </w:r>
    </w:p>
    <w:p w14:paraId="2A78EAC2">
      <w:pPr>
        <w:pStyle w:val="11"/>
        <w:snapToGrid w:val="0"/>
        <w:spacing w:line="360" w:lineRule="auto"/>
        <w:rPr>
          <w:rFonts w:ascii="仿宋" w:hAnsi="仿宋" w:eastAsia="仿宋" w:cs="仿宋"/>
          <w:highlight w:val="none"/>
        </w:rPr>
      </w:pPr>
      <w:r>
        <w:rPr>
          <w:rFonts w:hint="eastAsia" w:ascii="仿宋" w:hAnsi="仿宋" w:eastAsia="仿宋" w:cs="仿宋"/>
          <w:highlight w:val="none"/>
        </w:rPr>
        <w:t>二、合同金额: 本合同金额为(大写)_________________元（￥　　　　元）人民币附：《采购项目清单内容》</w:t>
      </w:r>
    </w:p>
    <w:tbl>
      <w:tblPr>
        <w:tblStyle w:val="6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539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75D13059">
            <w:pPr>
              <w:pStyle w:val="11"/>
              <w:snapToGrid w:val="0"/>
              <w:spacing w:line="360" w:lineRule="auto"/>
              <w:ind w:firstLine="0" w:firstLineChars="0"/>
              <w:rPr>
                <w:rFonts w:ascii="仿宋" w:hAnsi="仿宋" w:eastAsia="仿宋" w:cs="仿宋"/>
                <w:highlight w:val="none"/>
              </w:rPr>
            </w:pPr>
            <w:r>
              <w:rPr>
                <w:rFonts w:hint="eastAsia" w:ascii="仿宋" w:hAnsi="仿宋" w:eastAsia="仿宋" w:cs="仿宋"/>
                <w:highlight w:val="none"/>
              </w:rPr>
              <w:t>序号</w:t>
            </w:r>
          </w:p>
        </w:tc>
        <w:tc>
          <w:tcPr>
            <w:tcW w:w="1692" w:type="dxa"/>
            <w:vAlign w:val="center"/>
          </w:tcPr>
          <w:p w14:paraId="68772728">
            <w:pPr>
              <w:pStyle w:val="11"/>
              <w:snapToGrid w:val="0"/>
              <w:spacing w:line="360" w:lineRule="auto"/>
              <w:rPr>
                <w:rFonts w:ascii="仿宋" w:hAnsi="仿宋" w:eastAsia="仿宋" w:cs="仿宋"/>
                <w:highlight w:val="none"/>
              </w:rPr>
            </w:pPr>
            <w:r>
              <w:rPr>
                <w:rFonts w:hint="eastAsia" w:ascii="仿宋" w:hAnsi="仿宋" w:eastAsia="仿宋" w:cs="仿宋"/>
                <w:highlight w:val="none"/>
              </w:rPr>
              <w:t>采购项目</w:t>
            </w:r>
          </w:p>
        </w:tc>
        <w:tc>
          <w:tcPr>
            <w:tcW w:w="1800" w:type="dxa"/>
            <w:vAlign w:val="center"/>
          </w:tcPr>
          <w:p w14:paraId="13F5BB1B">
            <w:pPr>
              <w:pStyle w:val="11"/>
              <w:snapToGrid w:val="0"/>
              <w:spacing w:line="360" w:lineRule="auto"/>
              <w:rPr>
                <w:rFonts w:ascii="仿宋" w:hAnsi="仿宋" w:eastAsia="仿宋" w:cs="仿宋"/>
                <w:highlight w:val="none"/>
              </w:rPr>
            </w:pPr>
            <w:r>
              <w:rPr>
                <w:rFonts w:hint="eastAsia" w:ascii="仿宋" w:hAnsi="仿宋" w:eastAsia="仿宋" w:cs="仿宋"/>
                <w:highlight w:val="none"/>
              </w:rPr>
              <w:t>中标内容</w:t>
            </w:r>
          </w:p>
        </w:tc>
        <w:tc>
          <w:tcPr>
            <w:tcW w:w="1758" w:type="dxa"/>
            <w:vAlign w:val="center"/>
          </w:tcPr>
          <w:p w14:paraId="0F422345">
            <w:pPr>
              <w:pStyle w:val="11"/>
              <w:snapToGrid w:val="0"/>
              <w:spacing w:line="360" w:lineRule="auto"/>
              <w:ind w:firstLine="0" w:firstLineChars="0"/>
              <w:rPr>
                <w:rFonts w:ascii="仿宋" w:hAnsi="仿宋" w:eastAsia="仿宋" w:cs="仿宋"/>
                <w:highlight w:val="none"/>
              </w:rPr>
            </w:pPr>
            <w:r>
              <w:rPr>
                <w:rFonts w:hint="eastAsia" w:ascii="仿宋" w:hAnsi="仿宋" w:eastAsia="仿宋" w:cs="仿宋"/>
                <w:highlight w:val="none"/>
              </w:rPr>
              <w:t>中标单价（元）</w:t>
            </w:r>
          </w:p>
        </w:tc>
        <w:tc>
          <w:tcPr>
            <w:tcW w:w="762" w:type="dxa"/>
            <w:vAlign w:val="center"/>
          </w:tcPr>
          <w:p w14:paraId="71EC03D9">
            <w:pPr>
              <w:pStyle w:val="11"/>
              <w:snapToGrid w:val="0"/>
              <w:spacing w:line="360" w:lineRule="auto"/>
              <w:ind w:firstLine="0" w:firstLineChars="0"/>
              <w:rPr>
                <w:rFonts w:ascii="仿宋" w:hAnsi="仿宋" w:eastAsia="仿宋" w:cs="仿宋"/>
                <w:highlight w:val="none"/>
              </w:rPr>
            </w:pPr>
            <w:r>
              <w:rPr>
                <w:rFonts w:hint="eastAsia" w:ascii="仿宋" w:hAnsi="仿宋" w:eastAsia="仿宋" w:cs="仿宋"/>
                <w:highlight w:val="none"/>
              </w:rPr>
              <w:t>数量</w:t>
            </w:r>
          </w:p>
        </w:tc>
        <w:tc>
          <w:tcPr>
            <w:tcW w:w="1867" w:type="dxa"/>
            <w:vAlign w:val="center"/>
          </w:tcPr>
          <w:p w14:paraId="07595452">
            <w:pPr>
              <w:pStyle w:val="11"/>
              <w:snapToGrid w:val="0"/>
              <w:spacing w:line="360" w:lineRule="auto"/>
              <w:ind w:firstLine="0" w:firstLineChars="0"/>
              <w:rPr>
                <w:rFonts w:ascii="仿宋" w:hAnsi="仿宋" w:eastAsia="仿宋" w:cs="仿宋"/>
                <w:highlight w:val="none"/>
              </w:rPr>
            </w:pPr>
            <w:r>
              <w:rPr>
                <w:rFonts w:hint="eastAsia" w:ascii="仿宋" w:hAnsi="仿宋" w:eastAsia="仿宋" w:cs="仿宋"/>
                <w:highlight w:val="none"/>
              </w:rPr>
              <w:t>中标总价（元）</w:t>
            </w:r>
          </w:p>
        </w:tc>
      </w:tr>
      <w:tr w14:paraId="529B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702DF1D5">
            <w:pPr>
              <w:pStyle w:val="11"/>
              <w:snapToGrid w:val="0"/>
              <w:spacing w:line="360" w:lineRule="auto"/>
              <w:rPr>
                <w:rFonts w:ascii="仿宋" w:hAnsi="仿宋" w:eastAsia="仿宋" w:cs="仿宋"/>
                <w:highlight w:val="none"/>
              </w:rPr>
            </w:pPr>
            <w:r>
              <w:rPr>
                <w:rFonts w:hint="eastAsia" w:ascii="仿宋" w:hAnsi="仿宋" w:eastAsia="仿宋" w:cs="仿宋"/>
                <w:highlight w:val="none"/>
              </w:rPr>
              <w:t>1</w:t>
            </w:r>
          </w:p>
        </w:tc>
        <w:tc>
          <w:tcPr>
            <w:tcW w:w="1692" w:type="dxa"/>
            <w:vAlign w:val="center"/>
          </w:tcPr>
          <w:p w14:paraId="27F0E8CA">
            <w:pPr>
              <w:pStyle w:val="11"/>
              <w:snapToGrid w:val="0"/>
              <w:spacing w:line="360" w:lineRule="auto"/>
              <w:rPr>
                <w:rFonts w:ascii="仿宋" w:hAnsi="仿宋" w:eastAsia="仿宋" w:cs="仿宋"/>
                <w:highlight w:val="none"/>
              </w:rPr>
            </w:pPr>
          </w:p>
        </w:tc>
        <w:tc>
          <w:tcPr>
            <w:tcW w:w="1800" w:type="dxa"/>
            <w:vAlign w:val="center"/>
          </w:tcPr>
          <w:p w14:paraId="1D09AD2A">
            <w:pPr>
              <w:pStyle w:val="11"/>
              <w:snapToGrid w:val="0"/>
              <w:spacing w:line="360" w:lineRule="auto"/>
              <w:rPr>
                <w:rFonts w:ascii="仿宋" w:hAnsi="仿宋" w:eastAsia="仿宋" w:cs="仿宋"/>
                <w:highlight w:val="none"/>
              </w:rPr>
            </w:pPr>
          </w:p>
        </w:tc>
        <w:tc>
          <w:tcPr>
            <w:tcW w:w="1758" w:type="dxa"/>
            <w:vAlign w:val="center"/>
          </w:tcPr>
          <w:p w14:paraId="1D63E9AC">
            <w:pPr>
              <w:pStyle w:val="11"/>
              <w:snapToGrid w:val="0"/>
              <w:spacing w:line="360" w:lineRule="auto"/>
              <w:rPr>
                <w:rFonts w:ascii="仿宋" w:hAnsi="仿宋" w:eastAsia="仿宋" w:cs="仿宋"/>
                <w:highlight w:val="none"/>
              </w:rPr>
            </w:pPr>
          </w:p>
        </w:tc>
        <w:tc>
          <w:tcPr>
            <w:tcW w:w="762" w:type="dxa"/>
            <w:vAlign w:val="center"/>
          </w:tcPr>
          <w:p w14:paraId="7DE4D947">
            <w:pPr>
              <w:pStyle w:val="11"/>
              <w:snapToGrid w:val="0"/>
              <w:spacing w:line="360" w:lineRule="auto"/>
              <w:rPr>
                <w:rFonts w:ascii="仿宋" w:hAnsi="仿宋" w:eastAsia="仿宋" w:cs="仿宋"/>
                <w:highlight w:val="none"/>
              </w:rPr>
            </w:pPr>
          </w:p>
        </w:tc>
        <w:tc>
          <w:tcPr>
            <w:tcW w:w="1867" w:type="dxa"/>
            <w:vAlign w:val="center"/>
          </w:tcPr>
          <w:p w14:paraId="43E2A5AE">
            <w:pPr>
              <w:pStyle w:val="11"/>
              <w:snapToGrid w:val="0"/>
              <w:spacing w:line="360" w:lineRule="auto"/>
              <w:rPr>
                <w:rFonts w:ascii="仿宋" w:hAnsi="仿宋" w:eastAsia="仿宋" w:cs="仿宋"/>
                <w:highlight w:val="none"/>
              </w:rPr>
            </w:pPr>
          </w:p>
        </w:tc>
      </w:tr>
      <w:tr w14:paraId="7499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680C4785">
            <w:pPr>
              <w:pStyle w:val="11"/>
              <w:snapToGrid w:val="0"/>
              <w:spacing w:line="360" w:lineRule="auto"/>
              <w:rPr>
                <w:rFonts w:ascii="仿宋" w:hAnsi="仿宋" w:eastAsia="仿宋" w:cs="仿宋"/>
                <w:highlight w:val="none"/>
              </w:rPr>
            </w:pPr>
            <w:r>
              <w:rPr>
                <w:rFonts w:hint="eastAsia" w:ascii="仿宋" w:hAnsi="仿宋" w:eastAsia="仿宋" w:cs="仿宋"/>
                <w:highlight w:val="none"/>
              </w:rPr>
              <w:t>2</w:t>
            </w:r>
          </w:p>
        </w:tc>
        <w:tc>
          <w:tcPr>
            <w:tcW w:w="1692" w:type="dxa"/>
            <w:vAlign w:val="center"/>
          </w:tcPr>
          <w:p w14:paraId="10497CBC">
            <w:pPr>
              <w:pStyle w:val="11"/>
              <w:snapToGrid w:val="0"/>
              <w:spacing w:line="360" w:lineRule="auto"/>
              <w:rPr>
                <w:rFonts w:ascii="仿宋" w:hAnsi="仿宋" w:eastAsia="仿宋" w:cs="仿宋"/>
                <w:highlight w:val="none"/>
              </w:rPr>
            </w:pPr>
          </w:p>
        </w:tc>
        <w:tc>
          <w:tcPr>
            <w:tcW w:w="1800" w:type="dxa"/>
            <w:vAlign w:val="center"/>
          </w:tcPr>
          <w:p w14:paraId="39F41B07">
            <w:pPr>
              <w:pStyle w:val="11"/>
              <w:snapToGrid w:val="0"/>
              <w:spacing w:line="360" w:lineRule="auto"/>
              <w:rPr>
                <w:rFonts w:ascii="仿宋" w:hAnsi="仿宋" w:eastAsia="仿宋" w:cs="仿宋"/>
                <w:highlight w:val="none"/>
              </w:rPr>
            </w:pPr>
          </w:p>
        </w:tc>
        <w:tc>
          <w:tcPr>
            <w:tcW w:w="1758" w:type="dxa"/>
            <w:vAlign w:val="center"/>
          </w:tcPr>
          <w:p w14:paraId="218E22C2">
            <w:pPr>
              <w:pStyle w:val="11"/>
              <w:snapToGrid w:val="0"/>
              <w:spacing w:line="360" w:lineRule="auto"/>
              <w:rPr>
                <w:rFonts w:ascii="仿宋" w:hAnsi="仿宋" w:eastAsia="仿宋" w:cs="仿宋"/>
                <w:highlight w:val="none"/>
              </w:rPr>
            </w:pPr>
          </w:p>
        </w:tc>
        <w:tc>
          <w:tcPr>
            <w:tcW w:w="762" w:type="dxa"/>
            <w:vAlign w:val="center"/>
          </w:tcPr>
          <w:p w14:paraId="3A998EA4">
            <w:pPr>
              <w:pStyle w:val="11"/>
              <w:snapToGrid w:val="0"/>
              <w:spacing w:line="360" w:lineRule="auto"/>
              <w:rPr>
                <w:rFonts w:ascii="仿宋" w:hAnsi="仿宋" w:eastAsia="仿宋" w:cs="仿宋"/>
                <w:highlight w:val="none"/>
              </w:rPr>
            </w:pPr>
          </w:p>
        </w:tc>
        <w:tc>
          <w:tcPr>
            <w:tcW w:w="1867" w:type="dxa"/>
            <w:vAlign w:val="center"/>
          </w:tcPr>
          <w:p w14:paraId="29DA07A0">
            <w:pPr>
              <w:pStyle w:val="11"/>
              <w:snapToGrid w:val="0"/>
              <w:spacing w:line="360" w:lineRule="auto"/>
              <w:rPr>
                <w:rFonts w:ascii="仿宋" w:hAnsi="仿宋" w:eastAsia="仿宋" w:cs="仿宋"/>
                <w:highlight w:val="none"/>
              </w:rPr>
            </w:pPr>
          </w:p>
        </w:tc>
      </w:tr>
    </w:tbl>
    <w:p w14:paraId="36119AD1">
      <w:pPr>
        <w:pStyle w:val="11"/>
        <w:snapToGrid w:val="0"/>
        <w:spacing w:line="360" w:lineRule="auto"/>
        <w:rPr>
          <w:rFonts w:ascii="仿宋" w:hAnsi="仿宋" w:eastAsia="仿宋" w:cs="仿宋"/>
          <w:highlight w:val="none"/>
        </w:rPr>
      </w:pPr>
      <w:r>
        <w:rPr>
          <w:rFonts w:hint="eastAsia" w:ascii="仿宋" w:hAnsi="仿宋" w:eastAsia="仿宋" w:cs="仿宋"/>
          <w:highlight w:val="none"/>
        </w:rPr>
        <w:t>三、技术资料</w:t>
      </w:r>
    </w:p>
    <w:p w14:paraId="54F24D3C">
      <w:pPr>
        <w:pStyle w:val="11"/>
        <w:snapToGrid w:val="0"/>
        <w:spacing w:line="360" w:lineRule="auto"/>
        <w:rPr>
          <w:rFonts w:ascii="仿宋" w:hAnsi="仿宋" w:eastAsia="仿宋" w:cs="仿宋"/>
          <w:highlight w:val="none"/>
        </w:rPr>
      </w:pPr>
      <w:r>
        <w:rPr>
          <w:rFonts w:hint="eastAsia" w:ascii="仿宋" w:hAnsi="仿宋" w:eastAsia="仿宋" w:cs="仿宋"/>
          <w:highlight w:val="none"/>
        </w:rPr>
        <w:t>1.乙方应按交易文件规定的时间向甲方提供有关技术资料。</w:t>
      </w:r>
    </w:p>
    <w:p w14:paraId="7F52142E">
      <w:pPr>
        <w:pStyle w:val="11"/>
        <w:snapToGrid w:val="0"/>
        <w:spacing w:line="360" w:lineRule="auto"/>
        <w:rPr>
          <w:rFonts w:ascii="仿宋" w:hAnsi="仿宋" w:eastAsia="仿宋" w:cs="仿宋"/>
          <w:highlight w:val="none"/>
        </w:rPr>
      </w:pPr>
      <w:r>
        <w:rPr>
          <w:rFonts w:hint="eastAsia" w:ascii="仿宋" w:hAnsi="仿宋" w:eastAsia="仿宋" w:cs="仿宋"/>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5EE0B5">
      <w:pPr>
        <w:pStyle w:val="11"/>
        <w:snapToGrid w:val="0"/>
        <w:spacing w:line="360" w:lineRule="auto"/>
        <w:rPr>
          <w:rFonts w:ascii="仿宋" w:hAnsi="仿宋" w:eastAsia="仿宋" w:cs="仿宋"/>
          <w:highlight w:val="none"/>
        </w:rPr>
      </w:pPr>
      <w:r>
        <w:rPr>
          <w:rFonts w:hint="eastAsia" w:ascii="仿宋" w:hAnsi="仿宋" w:eastAsia="仿宋" w:cs="仿宋"/>
          <w:highlight w:val="none"/>
        </w:rPr>
        <w:t>四、知识产权</w:t>
      </w:r>
    </w:p>
    <w:p w14:paraId="4C55F74D">
      <w:pPr>
        <w:pStyle w:val="11"/>
        <w:snapToGrid w:val="0"/>
        <w:spacing w:line="360" w:lineRule="auto"/>
        <w:rPr>
          <w:rFonts w:ascii="仿宋" w:hAnsi="仿宋" w:eastAsia="仿宋" w:cs="仿宋"/>
          <w:highlight w:val="none"/>
        </w:rPr>
      </w:pPr>
      <w:r>
        <w:rPr>
          <w:rFonts w:hint="eastAsia" w:ascii="仿宋" w:hAnsi="仿宋" w:eastAsia="仿宋" w:cs="仿宋"/>
          <w:highlight w:val="none"/>
        </w:rPr>
        <w:t>乙方应保证提供服务过程中不会侵犯任何第三方的知识产权。</w:t>
      </w:r>
    </w:p>
    <w:p w14:paraId="19C56755">
      <w:pPr>
        <w:pStyle w:val="11"/>
        <w:snapToGrid w:val="0"/>
        <w:spacing w:line="360" w:lineRule="auto"/>
        <w:rPr>
          <w:rFonts w:ascii="仿宋" w:hAnsi="仿宋" w:eastAsia="仿宋" w:cs="仿宋"/>
          <w:highlight w:val="none"/>
        </w:rPr>
      </w:pPr>
      <w:r>
        <w:rPr>
          <w:rFonts w:hint="eastAsia" w:ascii="仿宋" w:hAnsi="仿宋" w:eastAsia="仿宋" w:cs="仿宋"/>
          <w:highlight w:val="none"/>
        </w:rPr>
        <w:t>五、履约保证金</w:t>
      </w:r>
    </w:p>
    <w:p w14:paraId="7F831F65">
      <w:pPr>
        <w:pStyle w:val="11"/>
        <w:snapToGrid w:val="0"/>
        <w:spacing w:line="360" w:lineRule="auto"/>
        <w:rPr>
          <w:rFonts w:ascii="仿宋" w:hAnsi="仿宋" w:eastAsia="仿宋" w:cs="仿宋"/>
          <w:highlight w:val="none"/>
        </w:rPr>
      </w:pPr>
      <w:r>
        <w:rPr>
          <w:rFonts w:hint="eastAsia" w:ascii="仿宋" w:hAnsi="仿宋" w:eastAsia="仿宋" w:cs="仿宋"/>
          <w:highlight w:val="none"/>
        </w:rPr>
        <w:t>乙方交纳人民币        元作为本合同的履约保证金。</w:t>
      </w:r>
    </w:p>
    <w:p w14:paraId="6A5FDF1F">
      <w:pPr>
        <w:pStyle w:val="11"/>
        <w:snapToGrid w:val="0"/>
        <w:spacing w:line="360" w:lineRule="auto"/>
        <w:rPr>
          <w:rFonts w:ascii="仿宋" w:hAnsi="仿宋" w:eastAsia="仿宋" w:cs="仿宋"/>
          <w:highlight w:val="none"/>
        </w:rPr>
      </w:pPr>
      <w:r>
        <w:rPr>
          <w:rFonts w:hint="eastAsia" w:ascii="仿宋" w:hAnsi="仿宋" w:eastAsia="仿宋" w:cs="仿宋"/>
          <w:highlight w:val="none"/>
        </w:rPr>
        <w:t>六、转包或分包</w:t>
      </w:r>
    </w:p>
    <w:p w14:paraId="30B64D2A">
      <w:pPr>
        <w:pStyle w:val="11"/>
        <w:snapToGrid w:val="0"/>
        <w:spacing w:line="360" w:lineRule="auto"/>
        <w:rPr>
          <w:rFonts w:ascii="仿宋" w:hAnsi="仿宋" w:eastAsia="仿宋" w:cs="仿宋"/>
          <w:highlight w:val="none"/>
        </w:rPr>
      </w:pPr>
      <w:r>
        <w:rPr>
          <w:rFonts w:hint="eastAsia" w:ascii="仿宋" w:hAnsi="仿宋" w:eastAsia="仿宋" w:cs="仿宋"/>
          <w:highlight w:val="none"/>
        </w:rPr>
        <w:t>1.本合同范围的服务，应由乙方直接供应，不得转让他人供应；</w:t>
      </w:r>
    </w:p>
    <w:p w14:paraId="09FC4F55">
      <w:pPr>
        <w:pStyle w:val="11"/>
        <w:snapToGrid w:val="0"/>
        <w:spacing w:line="360" w:lineRule="auto"/>
        <w:rPr>
          <w:rFonts w:ascii="仿宋" w:hAnsi="仿宋" w:eastAsia="仿宋" w:cs="仿宋"/>
          <w:highlight w:val="none"/>
        </w:rPr>
      </w:pPr>
      <w:r>
        <w:rPr>
          <w:rFonts w:hint="eastAsia" w:ascii="仿宋" w:hAnsi="仿宋" w:eastAsia="仿宋" w:cs="仿宋"/>
          <w:highlight w:val="none"/>
        </w:rPr>
        <w:t>2.除非得到甲方的书面同意，乙方不得将本合同范围的服务全部或部分分包给他人供应；</w:t>
      </w:r>
    </w:p>
    <w:p w14:paraId="4A2C9ECF">
      <w:pPr>
        <w:pStyle w:val="11"/>
        <w:snapToGrid w:val="0"/>
        <w:spacing w:line="360" w:lineRule="auto"/>
        <w:rPr>
          <w:rFonts w:ascii="仿宋" w:hAnsi="仿宋" w:eastAsia="仿宋" w:cs="仿宋"/>
          <w:highlight w:val="none"/>
        </w:rPr>
      </w:pPr>
      <w:r>
        <w:rPr>
          <w:rFonts w:hint="eastAsia" w:ascii="仿宋" w:hAnsi="仿宋" w:eastAsia="仿宋" w:cs="仿宋"/>
          <w:highlight w:val="none"/>
        </w:rPr>
        <w:t>3.如有转让和未经甲方同意的分包行为，甲方有权解除合同，没收履约保证金并追究乙方的违约责任。</w:t>
      </w:r>
    </w:p>
    <w:p w14:paraId="177C1106">
      <w:pPr>
        <w:pStyle w:val="11"/>
        <w:snapToGrid w:val="0"/>
        <w:spacing w:line="360" w:lineRule="auto"/>
        <w:rPr>
          <w:rFonts w:ascii="仿宋" w:hAnsi="仿宋" w:eastAsia="仿宋" w:cs="仿宋"/>
          <w:highlight w:val="none"/>
        </w:rPr>
      </w:pPr>
      <w:r>
        <w:rPr>
          <w:rFonts w:hint="eastAsia" w:ascii="仿宋" w:hAnsi="仿宋" w:eastAsia="仿宋" w:cs="仿宋"/>
          <w:highlight w:val="none"/>
        </w:rPr>
        <w:t>七、服务质量保证期</w:t>
      </w:r>
    </w:p>
    <w:p w14:paraId="28875192">
      <w:pPr>
        <w:pStyle w:val="11"/>
        <w:snapToGrid w:val="0"/>
        <w:spacing w:line="360" w:lineRule="auto"/>
        <w:rPr>
          <w:rFonts w:ascii="仿宋" w:hAnsi="仿宋" w:eastAsia="仿宋" w:cs="仿宋"/>
          <w:highlight w:val="none"/>
        </w:rPr>
      </w:pPr>
      <w:r>
        <w:rPr>
          <w:rFonts w:hint="eastAsia" w:ascii="仿宋" w:hAnsi="仿宋" w:eastAsia="仿宋" w:cs="仿宋"/>
          <w:highlight w:val="none"/>
        </w:rPr>
        <w:t>1. 服务质量保证期      年。（自验收合格之日起计）</w:t>
      </w:r>
    </w:p>
    <w:p w14:paraId="187D32AC">
      <w:pPr>
        <w:pStyle w:val="11"/>
        <w:snapToGrid w:val="0"/>
        <w:spacing w:line="360" w:lineRule="auto"/>
        <w:rPr>
          <w:rFonts w:ascii="仿宋" w:hAnsi="仿宋" w:eastAsia="仿宋" w:cs="仿宋"/>
          <w:highlight w:val="none"/>
        </w:rPr>
      </w:pPr>
      <w:r>
        <w:rPr>
          <w:rFonts w:hint="eastAsia" w:ascii="仿宋" w:hAnsi="仿宋" w:eastAsia="仿宋" w:cs="仿宋"/>
          <w:highlight w:val="none"/>
        </w:rPr>
        <w:t>八、合同履行时间、履行方式及履行地点</w:t>
      </w:r>
    </w:p>
    <w:p w14:paraId="38B30F4C">
      <w:pPr>
        <w:pStyle w:val="11"/>
        <w:snapToGrid w:val="0"/>
        <w:spacing w:line="360" w:lineRule="auto"/>
        <w:rPr>
          <w:rFonts w:ascii="仿宋" w:hAnsi="仿宋" w:eastAsia="仿宋" w:cs="仿宋"/>
          <w:highlight w:val="none"/>
        </w:rPr>
      </w:pPr>
      <w:r>
        <w:rPr>
          <w:rFonts w:hint="eastAsia" w:ascii="仿宋" w:hAnsi="仿宋" w:eastAsia="仿宋" w:cs="仿宋"/>
          <w:highlight w:val="none"/>
        </w:rPr>
        <w:t>1. 履行时间：</w:t>
      </w:r>
      <w:r>
        <w:rPr>
          <w:rFonts w:hint="eastAsia" w:ascii="仿宋" w:hAnsi="仿宋" w:eastAsia="仿宋" w:cs="仿宋"/>
          <w:highlight w:val="none"/>
          <w:lang w:eastAsia="zh-CN"/>
        </w:rPr>
        <w:t>2024</w:t>
      </w:r>
      <w:r>
        <w:rPr>
          <w:rFonts w:hint="eastAsia" w:ascii="仿宋" w:hAnsi="仿宋" w:eastAsia="仿宋" w:cs="仿宋"/>
          <w:highlight w:val="none"/>
        </w:rPr>
        <w:t>年1月到2025年12月（采购金额用完为止）</w:t>
      </w:r>
    </w:p>
    <w:p w14:paraId="75162F63">
      <w:pPr>
        <w:pStyle w:val="11"/>
        <w:snapToGrid w:val="0"/>
        <w:spacing w:line="360" w:lineRule="auto"/>
        <w:rPr>
          <w:rFonts w:ascii="仿宋" w:hAnsi="仿宋" w:eastAsia="仿宋" w:cs="仿宋"/>
          <w:highlight w:val="none"/>
        </w:rPr>
      </w:pPr>
      <w:r>
        <w:rPr>
          <w:rFonts w:hint="eastAsia" w:ascii="仿宋" w:hAnsi="仿宋" w:eastAsia="仿宋" w:cs="仿宋"/>
          <w:highlight w:val="none"/>
        </w:rPr>
        <w:t>2. 履行方式：分批次履行，提供货品并协助采购人进行积分兑换工作。</w:t>
      </w:r>
    </w:p>
    <w:p w14:paraId="23D63DBA">
      <w:pPr>
        <w:pStyle w:val="11"/>
        <w:snapToGrid w:val="0"/>
        <w:spacing w:line="360" w:lineRule="auto"/>
        <w:rPr>
          <w:rFonts w:ascii="仿宋" w:hAnsi="仿宋" w:eastAsia="仿宋" w:cs="仿宋"/>
          <w:highlight w:val="none"/>
        </w:rPr>
      </w:pPr>
      <w:r>
        <w:rPr>
          <w:rFonts w:hint="eastAsia" w:ascii="仿宋" w:hAnsi="仿宋" w:eastAsia="仿宋" w:cs="仿宋"/>
          <w:highlight w:val="none"/>
        </w:rPr>
        <w:t>3. 履行地点：开源村沥家园</w:t>
      </w:r>
    </w:p>
    <w:p w14:paraId="4035ECEB">
      <w:pPr>
        <w:pStyle w:val="11"/>
        <w:snapToGrid w:val="0"/>
        <w:spacing w:line="360" w:lineRule="auto"/>
        <w:rPr>
          <w:rFonts w:ascii="仿宋" w:hAnsi="仿宋" w:eastAsia="仿宋" w:cs="仿宋"/>
          <w:highlight w:val="none"/>
        </w:rPr>
      </w:pPr>
      <w:r>
        <w:rPr>
          <w:rFonts w:hint="eastAsia" w:ascii="仿宋" w:hAnsi="仿宋" w:eastAsia="仿宋" w:cs="仿宋"/>
          <w:highlight w:val="none"/>
        </w:rPr>
        <w:t>九、款项支付</w:t>
      </w:r>
    </w:p>
    <w:p w14:paraId="41829A31">
      <w:pPr>
        <w:pStyle w:val="11"/>
        <w:snapToGrid w:val="0"/>
        <w:spacing w:line="360" w:lineRule="auto"/>
        <w:rPr>
          <w:rFonts w:ascii="仿宋" w:hAnsi="仿宋" w:eastAsia="仿宋" w:cs="仿宋"/>
          <w:highlight w:val="none"/>
        </w:rPr>
      </w:pPr>
      <w:r>
        <w:rPr>
          <w:rFonts w:hint="eastAsia" w:ascii="仿宋" w:hAnsi="仿宋" w:eastAsia="仿宋" w:cs="仿宋"/>
          <w:highlight w:val="none"/>
        </w:rPr>
        <w:t>1.付款方式：</w:t>
      </w:r>
    </w:p>
    <w:p w14:paraId="6AF47043">
      <w:pPr>
        <w:pStyle w:val="11"/>
        <w:snapToGrid w:val="0"/>
        <w:spacing w:line="360" w:lineRule="auto"/>
        <w:rPr>
          <w:rFonts w:ascii="仿宋" w:hAnsi="仿宋" w:eastAsia="仿宋" w:cs="仿宋"/>
          <w:highlight w:val="none"/>
        </w:rPr>
      </w:pPr>
      <w:r>
        <w:rPr>
          <w:rFonts w:hint="eastAsia" w:ascii="仿宋" w:hAnsi="仿宋" w:eastAsia="仿宋" w:cs="仿宋"/>
          <w:highlight w:val="none"/>
        </w:rPr>
        <w:t>2.合同履行完毕，需方根据合同进行验收，验收合格后供应商按财政结算要求办理货款结算手续。</w:t>
      </w:r>
    </w:p>
    <w:p w14:paraId="477BAEDE">
      <w:pPr>
        <w:pStyle w:val="11"/>
        <w:snapToGrid w:val="0"/>
        <w:spacing w:line="360" w:lineRule="auto"/>
        <w:rPr>
          <w:rFonts w:ascii="仿宋" w:hAnsi="仿宋" w:eastAsia="仿宋" w:cs="仿宋"/>
          <w:highlight w:val="none"/>
        </w:rPr>
      </w:pPr>
      <w:r>
        <w:rPr>
          <w:rFonts w:hint="eastAsia" w:ascii="仿宋" w:hAnsi="仿宋" w:eastAsia="仿宋" w:cs="仿宋"/>
          <w:highlight w:val="none"/>
        </w:rPr>
        <w:t>十、税费</w:t>
      </w:r>
    </w:p>
    <w:p w14:paraId="16045A56">
      <w:pPr>
        <w:pStyle w:val="11"/>
        <w:snapToGrid w:val="0"/>
        <w:spacing w:line="360" w:lineRule="auto"/>
        <w:rPr>
          <w:rFonts w:ascii="仿宋" w:hAnsi="仿宋" w:eastAsia="仿宋" w:cs="仿宋"/>
          <w:highlight w:val="none"/>
        </w:rPr>
      </w:pPr>
      <w:r>
        <w:rPr>
          <w:rFonts w:hint="eastAsia" w:ascii="仿宋" w:hAnsi="仿宋" w:eastAsia="仿宋" w:cs="仿宋"/>
          <w:highlight w:val="none"/>
        </w:rPr>
        <w:t>本合同执行中相关的一切税费均由乙方负担。</w:t>
      </w:r>
    </w:p>
    <w:p w14:paraId="5DEAA3AA">
      <w:pPr>
        <w:pStyle w:val="11"/>
        <w:snapToGrid w:val="0"/>
        <w:spacing w:line="360" w:lineRule="auto"/>
        <w:rPr>
          <w:rFonts w:ascii="仿宋" w:hAnsi="仿宋" w:eastAsia="仿宋" w:cs="仿宋"/>
          <w:highlight w:val="none"/>
        </w:rPr>
      </w:pPr>
      <w:r>
        <w:rPr>
          <w:rFonts w:hint="eastAsia" w:ascii="仿宋" w:hAnsi="仿宋" w:eastAsia="仿宋" w:cs="仿宋"/>
          <w:highlight w:val="none"/>
        </w:rPr>
        <w:t>十一、质量保证及后续服务</w:t>
      </w:r>
    </w:p>
    <w:p w14:paraId="32F479FE">
      <w:pPr>
        <w:pStyle w:val="11"/>
        <w:snapToGrid w:val="0"/>
        <w:spacing w:line="360" w:lineRule="auto"/>
        <w:rPr>
          <w:rFonts w:ascii="仿宋" w:hAnsi="仿宋" w:eastAsia="仿宋" w:cs="仿宋"/>
          <w:highlight w:val="none"/>
        </w:rPr>
      </w:pPr>
      <w:r>
        <w:rPr>
          <w:rFonts w:hint="eastAsia" w:ascii="仿宋" w:hAnsi="仿宋" w:eastAsia="仿宋" w:cs="仿宋"/>
          <w:highlight w:val="none"/>
        </w:rPr>
        <w:t>1. 乙方应按交易文件规定向甲方提供服务。</w:t>
      </w:r>
    </w:p>
    <w:p w14:paraId="587C021A">
      <w:pPr>
        <w:pStyle w:val="11"/>
        <w:snapToGrid w:val="0"/>
        <w:spacing w:line="360" w:lineRule="auto"/>
        <w:rPr>
          <w:rFonts w:ascii="仿宋" w:hAnsi="仿宋" w:eastAsia="仿宋" w:cs="仿宋"/>
          <w:highlight w:val="none"/>
        </w:rPr>
      </w:pPr>
      <w:r>
        <w:rPr>
          <w:rFonts w:hint="eastAsia" w:ascii="仿宋" w:hAnsi="仿宋" w:eastAsia="仿宋" w:cs="仿宋"/>
          <w:highlight w:val="none"/>
        </w:rPr>
        <w:t>2. 乙方提供的服务成果在服务质量保证期内发生故障，乙方应负责免费提供后续服务。对达不到要求者，根据实际情况，经双方协商，可按以下办法处理：</w:t>
      </w:r>
    </w:p>
    <w:p w14:paraId="1E4BE129">
      <w:pPr>
        <w:pStyle w:val="11"/>
        <w:snapToGrid w:val="0"/>
        <w:spacing w:line="360" w:lineRule="auto"/>
        <w:rPr>
          <w:rFonts w:ascii="仿宋" w:hAnsi="仿宋" w:eastAsia="仿宋" w:cs="仿宋"/>
          <w:highlight w:val="none"/>
        </w:rPr>
      </w:pPr>
      <w:r>
        <w:rPr>
          <w:rFonts w:hint="eastAsia" w:ascii="仿宋" w:hAnsi="仿宋" w:eastAsia="仿宋" w:cs="仿宋"/>
          <w:highlight w:val="none"/>
        </w:rPr>
        <w:t>⑴重做：由乙方承担所发生的全部费用。</w:t>
      </w:r>
    </w:p>
    <w:p w14:paraId="07BFD305">
      <w:pPr>
        <w:pStyle w:val="11"/>
        <w:snapToGrid w:val="0"/>
        <w:spacing w:line="360" w:lineRule="auto"/>
        <w:rPr>
          <w:rFonts w:ascii="仿宋" w:hAnsi="仿宋" w:eastAsia="仿宋" w:cs="仿宋"/>
          <w:highlight w:val="none"/>
        </w:rPr>
      </w:pPr>
      <w:r>
        <w:rPr>
          <w:rFonts w:hint="eastAsia" w:ascii="仿宋" w:hAnsi="仿宋" w:eastAsia="仿宋" w:cs="仿宋"/>
          <w:highlight w:val="none"/>
        </w:rPr>
        <w:t>⑵贬值处理：由甲乙双方合议定价。</w:t>
      </w:r>
    </w:p>
    <w:p w14:paraId="3CA84B61">
      <w:pPr>
        <w:pStyle w:val="11"/>
        <w:snapToGrid w:val="0"/>
        <w:spacing w:line="360" w:lineRule="auto"/>
        <w:rPr>
          <w:rFonts w:ascii="仿宋" w:hAnsi="仿宋" w:eastAsia="仿宋" w:cs="仿宋"/>
          <w:highlight w:val="none"/>
        </w:rPr>
      </w:pPr>
      <w:r>
        <w:rPr>
          <w:rFonts w:hint="eastAsia" w:ascii="仿宋" w:hAnsi="仿宋" w:eastAsia="仿宋" w:cs="仿宋"/>
          <w:highlight w:val="none"/>
        </w:rPr>
        <w:t>⑶解除合同。</w:t>
      </w:r>
    </w:p>
    <w:p w14:paraId="773EFE46">
      <w:pPr>
        <w:pStyle w:val="11"/>
        <w:snapToGrid w:val="0"/>
        <w:spacing w:line="360" w:lineRule="auto"/>
        <w:rPr>
          <w:rFonts w:ascii="仿宋" w:hAnsi="仿宋" w:eastAsia="仿宋" w:cs="仿宋"/>
          <w:highlight w:val="none"/>
        </w:rPr>
      </w:pPr>
      <w:r>
        <w:rPr>
          <w:rFonts w:hint="eastAsia" w:ascii="仿宋" w:hAnsi="仿宋" w:eastAsia="仿宋" w:cs="仿宋"/>
          <w:highlight w:val="none"/>
        </w:rPr>
        <w:t>3. 如在使用过程中发生问题，乙方在接到甲方通知后在1小时内到达甲方现场。</w:t>
      </w:r>
    </w:p>
    <w:p w14:paraId="52EC9069">
      <w:pPr>
        <w:pStyle w:val="11"/>
        <w:snapToGrid w:val="0"/>
        <w:spacing w:line="360" w:lineRule="auto"/>
        <w:rPr>
          <w:rFonts w:ascii="仿宋" w:hAnsi="仿宋" w:eastAsia="仿宋" w:cs="仿宋"/>
          <w:highlight w:val="none"/>
        </w:rPr>
      </w:pPr>
      <w:r>
        <w:rPr>
          <w:rFonts w:hint="eastAsia" w:ascii="仿宋" w:hAnsi="仿宋" w:eastAsia="仿宋" w:cs="仿宋"/>
          <w:highlight w:val="none"/>
        </w:rPr>
        <w:t>4.在服务质量保证期内，乙方应对出现的质量及安全问题负责处理解决并承担一切费用。</w:t>
      </w:r>
    </w:p>
    <w:p w14:paraId="5DDC1C7C">
      <w:pPr>
        <w:pStyle w:val="11"/>
        <w:snapToGrid w:val="0"/>
        <w:spacing w:line="360" w:lineRule="auto"/>
        <w:rPr>
          <w:rFonts w:ascii="仿宋" w:hAnsi="仿宋" w:eastAsia="仿宋" w:cs="仿宋"/>
          <w:highlight w:val="none"/>
        </w:rPr>
      </w:pPr>
      <w:r>
        <w:rPr>
          <w:rFonts w:hint="eastAsia" w:ascii="仿宋" w:hAnsi="仿宋" w:eastAsia="仿宋" w:cs="仿宋"/>
          <w:highlight w:val="none"/>
        </w:rPr>
        <w:t>十二、违约责任</w:t>
      </w:r>
    </w:p>
    <w:p w14:paraId="129F6371">
      <w:pPr>
        <w:pStyle w:val="11"/>
        <w:snapToGrid w:val="0"/>
        <w:spacing w:line="360" w:lineRule="auto"/>
        <w:rPr>
          <w:rFonts w:ascii="仿宋" w:hAnsi="仿宋" w:eastAsia="仿宋" w:cs="仿宋"/>
          <w:highlight w:val="none"/>
        </w:rPr>
      </w:pPr>
      <w:r>
        <w:rPr>
          <w:rFonts w:hint="eastAsia" w:ascii="仿宋" w:hAnsi="仿宋" w:eastAsia="仿宋" w:cs="仿宋"/>
          <w:highlight w:val="none"/>
        </w:rPr>
        <w:t>1.甲方无正当理由拒绝接收服务的，甲方向乙方偿付合同款项百分之 五 作为违约金。</w:t>
      </w:r>
    </w:p>
    <w:p w14:paraId="6F747E28">
      <w:pPr>
        <w:pStyle w:val="11"/>
        <w:snapToGrid w:val="0"/>
        <w:spacing w:line="360" w:lineRule="auto"/>
        <w:rPr>
          <w:rFonts w:ascii="仿宋" w:hAnsi="仿宋" w:eastAsia="仿宋" w:cs="仿宋"/>
          <w:highlight w:val="none"/>
        </w:rPr>
      </w:pPr>
      <w:r>
        <w:rPr>
          <w:rFonts w:hint="eastAsia" w:ascii="仿宋" w:hAnsi="仿宋" w:eastAsia="仿宋" w:cs="仿宋"/>
          <w:highlight w:val="none"/>
        </w:rPr>
        <w:t>2.甲方无故逾期验收和办理款项支付手续的，甲方应按逾期付款总额每日万分之 五向乙方支付违约金。</w:t>
      </w:r>
    </w:p>
    <w:p w14:paraId="53DC4998">
      <w:pPr>
        <w:pStyle w:val="11"/>
        <w:snapToGrid w:val="0"/>
        <w:spacing w:line="360" w:lineRule="auto"/>
        <w:rPr>
          <w:rFonts w:ascii="仿宋" w:hAnsi="仿宋" w:eastAsia="仿宋" w:cs="仿宋"/>
          <w:highlight w:val="none"/>
        </w:rPr>
      </w:pPr>
      <w:r>
        <w:rPr>
          <w:rFonts w:hint="eastAsia" w:ascii="仿宋" w:hAnsi="仿宋" w:eastAsia="仿宋" w:cs="仿宋"/>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7B0A1FE1">
      <w:pPr>
        <w:pStyle w:val="11"/>
        <w:snapToGrid w:val="0"/>
        <w:spacing w:line="360" w:lineRule="auto"/>
        <w:rPr>
          <w:rFonts w:ascii="仿宋" w:hAnsi="仿宋" w:eastAsia="仿宋" w:cs="仿宋"/>
          <w:highlight w:val="none"/>
        </w:rPr>
      </w:pPr>
      <w:r>
        <w:rPr>
          <w:rFonts w:hint="eastAsia" w:ascii="仿宋" w:hAnsi="仿宋" w:eastAsia="仿宋" w:cs="仿宋"/>
          <w:highlight w:val="none"/>
        </w:rPr>
        <w:t>4.供方在服务项目验收合格之日起保修期内违反本合同有关承诺保证的，损失由乙方承担赔偿。</w:t>
      </w:r>
    </w:p>
    <w:p w14:paraId="50B8919A">
      <w:pPr>
        <w:pStyle w:val="11"/>
        <w:snapToGrid w:val="0"/>
        <w:spacing w:line="360" w:lineRule="auto"/>
        <w:rPr>
          <w:rFonts w:ascii="仿宋" w:hAnsi="仿宋" w:eastAsia="仿宋" w:cs="仿宋"/>
          <w:highlight w:val="none"/>
        </w:rPr>
      </w:pPr>
      <w:r>
        <w:rPr>
          <w:rFonts w:hint="eastAsia" w:ascii="仿宋" w:hAnsi="仿宋" w:eastAsia="仿宋" w:cs="仿宋"/>
          <w:highlight w:val="none"/>
        </w:rPr>
        <w:t>5.如发现乙方违反招投标文件和合同的有关规定，甲方有权根据约定和《杭州市政府采购供应商合同履行和售后服务考核暂行办法》，对乙方进行处罚，并有权提前终止合同。</w:t>
      </w:r>
    </w:p>
    <w:p w14:paraId="267006DF">
      <w:pPr>
        <w:pStyle w:val="11"/>
        <w:snapToGrid w:val="0"/>
        <w:spacing w:line="360" w:lineRule="auto"/>
        <w:rPr>
          <w:rFonts w:ascii="仿宋" w:hAnsi="仿宋" w:eastAsia="仿宋" w:cs="仿宋"/>
          <w:highlight w:val="none"/>
        </w:rPr>
      </w:pPr>
      <w:r>
        <w:rPr>
          <w:rFonts w:hint="eastAsia" w:ascii="仿宋" w:hAnsi="仿宋" w:eastAsia="仿宋" w:cs="仿宋"/>
          <w:highlight w:val="none"/>
        </w:rPr>
        <w:t>十三、争议的解决</w:t>
      </w:r>
    </w:p>
    <w:p w14:paraId="65CE35B8">
      <w:pPr>
        <w:pStyle w:val="11"/>
        <w:snapToGrid w:val="0"/>
        <w:spacing w:line="360" w:lineRule="auto"/>
        <w:rPr>
          <w:rFonts w:ascii="仿宋" w:hAnsi="仿宋" w:eastAsia="仿宋" w:cs="仿宋"/>
          <w:highlight w:val="none"/>
        </w:rPr>
      </w:pPr>
      <w:r>
        <w:rPr>
          <w:rFonts w:hint="eastAsia" w:ascii="仿宋" w:hAnsi="仿宋" w:eastAsia="仿宋" w:cs="仿宋"/>
          <w:highlight w:val="none"/>
        </w:rPr>
        <w:t>因本合同引起的或与本合同有关的任何争议，合同双方应首先通过协商解决，达成书面协议，如协商不成，可选择下列第      种方式解决。</w:t>
      </w:r>
    </w:p>
    <w:p w14:paraId="369D2A84">
      <w:pPr>
        <w:pStyle w:val="11"/>
        <w:snapToGrid w:val="0"/>
        <w:spacing w:line="360" w:lineRule="auto"/>
        <w:rPr>
          <w:rFonts w:ascii="仿宋" w:hAnsi="仿宋" w:eastAsia="仿宋" w:cs="仿宋"/>
          <w:highlight w:val="none"/>
        </w:rPr>
      </w:pPr>
      <w:r>
        <w:rPr>
          <w:rFonts w:hint="eastAsia" w:ascii="仿宋" w:hAnsi="仿宋" w:eastAsia="仿宋" w:cs="仿宋"/>
          <w:highlight w:val="none"/>
        </w:rPr>
        <w:t>（1）提请杭州仲裁委员会按照该会仲裁规则进行仲裁，仲裁裁决是终局的，对合同双方均有约束力。</w:t>
      </w:r>
    </w:p>
    <w:p w14:paraId="788026F6">
      <w:pPr>
        <w:pStyle w:val="11"/>
        <w:snapToGrid w:val="0"/>
        <w:spacing w:line="360" w:lineRule="auto"/>
        <w:rPr>
          <w:rFonts w:ascii="仿宋" w:hAnsi="仿宋" w:eastAsia="仿宋" w:cs="仿宋"/>
          <w:highlight w:val="none"/>
        </w:rPr>
      </w:pPr>
      <w:r>
        <w:rPr>
          <w:rFonts w:hint="eastAsia" w:ascii="仿宋" w:hAnsi="仿宋" w:eastAsia="仿宋" w:cs="仿宋"/>
          <w:highlight w:val="none"/>
        </w:rPr>
        <w:t>（2）向有管辖权的人民法院提起诉讼。</w:t>
      </w:r>
    </w:p>
    <w:p w14:paraId="3FD67D47">
      <w:pPr>
        <w:pStyle w:val="11"/>
        <w:snapToGrid w:val="0"/>
        <w:spacing w:line="360" w:lineRule="auto"/>
        <w:rPr>
          <w:rFonts w:ascii="仿宋" w:hAnsi="仿宋" w:eastAsia="仿宋" w:cs="仿宋"/>
          <w:highlight w:val="none"/>
        </w:rPr>
      </w:pPr>
      <w:r>
        <w:rPr>
          <w:rFonts w:hint="eastAsia" w:ascii="仿宋" w:hAnsi="仿宋" w:eastAsia="仿宋" w:cs="仿宋"/>
          <w:highlight w:val="none"/>
        </w:rPr>
        <w:t>十四、合同生效</w:t>
      </w:r>
    </w:p>
    <w:p w14:paraId="57097704">
      <w:pPr>
        <w:pStyle w:val="11"/>
        <w:snapToGrid w:val="0"/>
        <w:spacing w:line="360" w:lineRule="auto"/>
        <w:rPr>
          <w:rFonts w:ascii="仿宋" w:hAnsi="仿宋" w:eastAsia="仿宋" w:cs="仿宋"/>
          <w:highlight w:val="none"/>
        </w:rPr>
      </w:pPr>
      <w:r>
        <w:rPr>
          <w:rFonts w:hint="eastAsia" w:ascii="仿宋" w:hAnsi="仿宋" w:eastAsia="仿宋" w:cs="仿宋"/>
          <w:highlight w:val="none"/>
        </w:rPr>
        <w:t>1.中标方持中标通知书作为与需方签订合同的凭证。</w:t>
      </w:r>
    </w:p>
    <w:p w14:paraId="08FF9462">
      <w:pPr>
        <w:pStyle w:val="11"/>
        <w:snapToGrid w:val="0"/>
        <w:spacing w:line="360" w:lineRule="auto"/>
        <w:rPr>
          <w:rFonts w:ascii="仿宋" w:hAnsi="仿宋" w:eastAsia="仿宋" w:cs="仿宋"/>
          <w:highlight w:val="none"/>
        </w:rPr>
      </w:pPr>
      <w:r>
        <w:rPr>
          <w:rFonts w:hint="eastAsia" w:ascii="仿宋" w:hAnsi="仿宋" w:eastAsia="仿宋" w:cs="仿宋"/>
          <w:highlight w:val="none"/>
        </w:rPr>
        <w:t>2.本合同经需、供双方法定代表人或其授权委托人签字并加盖单位公章后生效。</w:t>
      </w:r>
    </w:p>
    <w:p w14:paraId="53CD4E24">
      <w:pPr>
        <w:pStyle w:val="11"/>
        <w:snapToGrid w:val="0"/>
        <w:spacing w:line="360" w:lineRule="auto"/>
        <w:rPr>
          <w:rFonts w:ascii="仿宋" w:hAnsi="仿宋" w:eastAsia="仿宋" w:cs="仿宋"/>
          <w:highlight w:val="none"/>
        </w:rPr>
      </w:pPr>
      <w:r>
        <w:rPr>
          <w:rFonts w:hint="eastAsia" w:ascii="仿宋" w:hAnsi="仿宋" w:eastAsia="仿宋" w:cs="仿宋"/>
          <w:highlight w:val="none"/>
        </w:rPr>
        <w:t>需方（盖章）：                      供方（盖章）：</w:t>
      </w:r>
    </w:p>
    <w:p w14:paraId="00CE58CD">
      <w:pPr>
        <w:pStyle w:val="11"/>
        <w:snapToGrid w:val="0"/>
        <w:spacing w:line="360" w:lineRule="auto"/>
        <w:rPr>
          <w:rFonts w:ascii="仿宋" w:hAnsi="仿宋" w:eastAsia="仿宋" w:cs="仿宋"/>
          <w:highlight w:val="none"/>
        </w:rPr>
      </w:pPr>
      <w:r>
        <w:rPr>
          <w:rFonts w:hint="eastAsia" w:ascii="仿宋" w:hAnsi="仿宋" w:eastAsia="仿宋" w:cs="仿宋"/>
          <w:highlight w:val="none"/>
        </w:rPr>
        <w:t>地址：                             地址：</w:t>
      </w:r>
    </w:p>
    <w:p w14:paraId="462AD55A">
      <w:pPr>
        <w:pStyle w:val="11"/>
        <w:snapToGrid w:val="0"/>
        <w:spacing w:line="360" w:lineRule="auto"/>
        <w:rPr>
          <w:rFonts w:ascii="仿宋" w:hAnsi="仿宋" w:eastAsia="仿宋" w:cs="仿宋"/>
          <w:highlight w:val="none"/>
        </w:rPr>
      </w:pPr>
      <w:r>
        <w:rPr>
          <w:rFonts w:hint="eastAsia" w:ascii="仿宋" w:hAnsi="仿宋" w:eastAsia="仿宋" w:cs="仿宋"/>
          <w:highlight w:val="none"/>
        </w:rPr>
        <w:t xml:space="preserve">法定代表人（或委托代理人）签名：   法定代表人（或委托代理人）签名：                    </w:t>
      </w:r>
    </w:p>
    <w:p w14:paraId="0C4AFD85">
      <w:pPr>
        <w:pStyle w:val="11"/>
        <w:snapToGrid w:val="0"/>
        <w:spacing w:line="360" w:lineRule="auto"/>
        <w:rPr>
          <w:rFonts w:ascii="仿宋" w:hAnsi="仿宋" w:eastAsia="仿宋" w:cs="仿宋"/>
          <w:highlight w:val="none"/>
        </w:rPr>
      </w:pPr>
      <w:r>
        <w:rPr>
          <w:rFonts w:hint="eastAsia" w:ascii="仿宋" w:hAnsi="仿宋" w:eastAsia="仿宋" w:cs="仿宋"/>
          <w:highlight w:val="none"/>
        </w:rPr>
        <w:t>联系电话：                         联系电话：</w:t>
      </w:r>
    </w:p>
    <w:p w14:paraId="09E66A32">
      <w:pPr>
        <w:pStyle w:val="11"/>
        <w:snapToGrid w:val="0"/>
        <w:spacing w:line="360" w:lineRule="auto"/>
        <w:rPr>
          <w:rFonts w:ascii="仿宋" w:hAnsi="仿宋" w:eastAsia="仿宋" w:cs="仿宋"/>
          <w:highlight w:val="none"/>
        </w:rPr>
      </w:pPr>
      <w:r>
        <w:rPr>
          <w:rFonts w:hint="eastAsia" w:ascii="仿宋" w:hAnsi="仿宋" w:eastAsia="仿宋" w:cs="仿宋"/>
          <w:highlight w:val="none"/>
        </w:rPr>
        <w:t>邮政编码：                         邮政编码：</w:t>
      </w:r>
    </w:p>
    <w:p w14:paraId="75AC8348">
      <w:pPr>
        <w:pStyle w:val="11"/>
        <w:snapToGrid w:val="0"/>
        <w:spacing w:line="360" w:lineRule="auto"/>
        <w:rPr>
          <w:rFonts w:ascii="仿宋" w:hAnsi="仿宋" w:eastAsia="仿宋" w:cs="仿宋"/>
          <w:highlight w:val="none"/>
        </w:rPr>
      </w:pPr>
      <w:r>
        <w:rPr>
          <w:rFonts w:hint="eastAsia" w:ascii="仿宋" w:hAnsi="仿宋" w:eastAsia="仿宋" w:cs="仿宋"/>
          <w:highlight w:val="none"/>
        </w:rPr>
        <w:t xml:space="preserve">开户银行：                         开户银行：      </w:t>
      </w:r>
    </w:p>
    <w:p w14:paraId="366BE1F4">
      <w:pPr>
        <w:pStyle w:val="11"/>
        <w:snapToGrid w:val="0"/>
        <w:spacing w:line="360" w:lineRule="auto"/>
        <w:rPr>
          <w:rFonts w:ascii="仿宋" w:hAnsi="仿宋" w:eastAsia="仿宋" w:cs="仿宋"/>
          <w:highlight w:val="none"/>
        </w:rPr>
      </w:pPr>
      <w:r>
        <w:rPr>
          <w:rFonts w:hint="eastAsia" w:ascii="仿宋" w:hAnsi="仿宋" w:eastAsia="仿宋" w:cs="仿宋"/>
          <w:highlight w:val="none"/>
        </w:rPr>
        <w:t>帐号：                             帐号：</w:t>
      </w:r>
    </w:p>
    <w:p w14:paraId="111F22C2">
      <w:pPr>
        <w:pStyle w:val="6"/>
        <w:rPr>
          <w:rFonts w:cs="仿宋"/>
          <w:color w:val="auto"/>
          <w:highlight w:val="none"/>
        </w:rPr>
      </w:pPr>
    </w:p>
    <w:p w14:paraId="1A4028E0">
      <w:pPr>
        <w:pStyle w:val="6"/>
        <w:rPr>
          <w:rFonts w:cs="仿宋"/>
          <w:color w:val="auto"/>
          <w:highlight w:val="none"/>
        </w:rPr>
      </w:pPr>
      <w:r>
        <w:rPr>
          <w:rFonts w:hint="eastAsia" w:cs="仿宋"/>
          <w:color w:val="auto"/>
          <w:highlight w:val="none"/>
        </w:rPr>
        <w:t>第六部分</w:t>
      </w:r>
      <w:bookmarkEnd w:id="427"/>
      <w:r>
        <w:rPr>
          <w:rFonts w:hint="eastAsia" w:cs="仿宋"/>
          <w:color w:val="auto"/>
          <w:highlight w:val="none"/>
        </w:rPr>
        <w:t xml:space="preserve"> </w:t>
      </w:r>
      <w:bookmarkEnd w:id="428"/>
      <w:r>
        <w:rPr>
          <w:rFonts w:hint="eastAsia" w:cs="仿宋"/>
          <w:color w:val="auto"/>
          <w:highlight w:val="none"/>
        </w:rPr>
        <w:t>应提交的有关格式范例</w:t>
      </w:r>
    </w:p>
    <w:p w14:paraId="4BF2E3EF">
      <w:pPr>
        <w:spacing w:line="360" w:lineRule="auto"/>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供应商按照以下格式编制投标文件，并将资格文件、报价文件、商务技术文件分别装订成册。</w:t>
      </w:r>
    </w:p>
    <w:p w14:paraId="63E1C4E2">
      <w:pPr>
        <w:spacing w:line="360" w:lineRule="auto"/>
        <w:jc w:val="center"/>
        <w:outlineLvl w:val="0"/>
        <w:rPr>
          <w:rFonts w:ascii="仿宋" w:hAnsi="仿宋" w:eastAsia="仿宋" w:cs="仿宋"/>
          <w:b/>
          <w:kern w:val="0"/>
          <w:sz w:val="36"/>
          <w:szCs w:val="36"/>
          <w:highlight w:val="none"/>
        </w:rPr>
      </w:pPr>
    </w:p>
    <w:p w14:paraId="63B9DE30">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24BD76B5">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7EC34FF">
      <w:pPr>
        <w:rPr>
          <w:rFonts w:ascii="仿宋" w:hAnsi="仿宋" w:eastAsia="仿宋" w:cs="仿宋"/>
          <w:b/>
          <w:kern w:val="0"/>
          <w:sz w:val="36"/>
          <w:szCs w:val="36"/>
          <w:highlight w:val="none"/>
        </w:rPr>
      </w:pPr>
    </w:p>
    <w:p w14:paraId="047B90F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6922F19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（2）落实政府采购政策需满足的资格要求………………………………（页码）</w:t>
      </w:r>
    </w:p>
    <w:p w14:paraId="0D4C56E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（3）本项目的特定资格要求………………………………………………（页码）</w:t>
      </w:r>
    </w:p>
    <w:p w14:paraId="4C35382A">
      <w:pPr>
        <w:snapToGrid w:val="0"/>
        <w:spacing w:line="360" w:lineRule="auto"/>
        <w:rPr>
          <w:rFonts w:ascii="仿宋" w:hAnsi="仿宋" w:eastAsia="仿宋" w:cs="仿宋"/>
          <w:sz w:val="36"/>
          <w:szCs w:val="36"/>
          <w:highlight w:val="none"/>
        </w:rPr>
      </w:pPr>
    </w:p>
    <w:p w14:paraId="0E52B2E0">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一、 符合参加政府采购活动应当具备的一般条件的承诺函</w:t>
      </w:r>
    </w:p>
    <w:p w14:paraId="70324F1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14:paraId="4B94EE6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我方参与XXX采购项目【交易编号：XXX】政府采购活动，郑重承诺：</w:t>
      </w:r>
    </w:p>
    <w:p w14:paraId="5309927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473E748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38C4485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FCA840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F2926E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20D0EA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25E5B98C">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572F2B2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7EB7387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（三）我方不存在以下情况：</w:t>
      </w:r>
    </w:p>
    <w:p w14:paraId="01A5433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39D888F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664F4C3">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供应商名称(电子签章)：</w:t>
      </w:r>
    </w:p>
    <w:p w14:paraId="679FFD34">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3F9C13E0">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rPr>
        <w:t xml:space="preserve"> </w:t>
      </w:r>
    </w:p>
    <w:p w14:paraId="4657D190">
      <w:pPr>
        <w:spacing w:line="360" w:lineRule="auto"/>
        <w:jc w:val="center"/>
        <w:rPr>
          <w:rFonts w:ascii="仿宋" w:hAnsi="仿宋" w:eastAsia="仿宋" w:cs="仿宋"/>
          <w:b/>
          <w:sz w:val="30"/>
          <w:szCs w:val="30"/>
          <w:highlight w:val="none"/>
        </w:rPr>
      </w:pPr>
    </w:p>
    <w:p w14:paraId="77A39163">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54252F1">
      <w:pPr>
        <w:snapToGrid w:val="0"/>
        <w:spacing w:line="360" w:lineRule="auto"/>
        <w:ind w:right="480"/>
        <w:jc w:val="center"/>
        <w:rPr>
          <w:rFonts w:ascii="宋体" w:hAnsi="宋体" w:cs="宋体"/>
          <w:b/>
          <w:kern w:val="0"/>
          <w:sz w:val="32"/>
          <w:szCs w:val="32"/>
        </w:rPr>
      </w:pPr>
      <w:r>
        <w:rPr>
          <w:rFonts w:hint="eastAsia" w:ascii="仿宋" w:hAnsi="仿宋" w:eastAsia="仿宋" w:cs="仿宋"/>
          <w:b/>
          <w:kern w:val="0"/>
          <w:sz w:val="32"/>
          <w:szCs w:val="32"/>
          <w:highlight w:val="none"/>
        </w:rPr>
        <w:t>二、</w:t>
      </w:r>
      <w:r>
        <w:rPr>
          <w:rFonts w:hint="eastAsia" w:ascii="宋体" w:hAnsi="宋体" w:cs="宋体"/>
          <w:b/>
          <w:kern w:val="0"/>
          <w:sz w:val="32"/>
          <w:szCs w:val="32"/>
        </w:rPr>
        <w:t>落实政府采购政策需满足的资格要求</w:t>
      </w:r>
    </w:p>
    <w:p w14:paraId="7AF268B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3694A0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354072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2EA0E31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5CA41FB">
      <w:pPr>
        <w:snapToGrid w:val="0"/>
        <w:spacing w:line="360" w:lineRule="auto"/>
        <w:ind w:right="480"/>
        <w:jc w:val="center"/>
        <w:rPr>
          <w:rFonts w:hint="eastAsia" w:ascii="仿宋" w:hAnsi="仿宋" w:eastAsia="仿宋" w:cs="仿宋"/>
          <w:b/>
          <w:kern w:val="0"/>
          <w:sz w:val="32"/>
          <w:szCs w:val="32"/>
          <w:highlight w:val="none"/>
        </w:rPr>
        <w:sectPr>
          <w:headerReference r:id="rId9" w:type="first"/>
          <w:footerReference r:id="rId11" w:type="first"/>
          <w:headerReference r:id="rId8" w:type="default"/>
          <w:footerReference r:id="rId10" w:type="default"/>
          <w:pgSz w:w="11906" w:h="16838"/>
          <w:pgMar w:top="1247" w:right="1418" w:bottom="1276" w:left="1418" w:header="851" w:footer="992" w:gutter="0"/>
          <w:cols w:space="720" w:num="1"/>
          <w:titlePg/>
          <w:docGrid w:linePitch="312" w:charSpace="0"/>
        </w:sectPr>
      </w:pPr>
    </w:p>
    <w:p w14:paraId="5688062A">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本项目的特定资格要求</w:t>
      </w:r>
    </w:p>
    <w:p w14:paraId="2FD70BD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（根据交易公告本项目的特定资格要求提供相应的材料；未要求的，无需提供）</w:t>
      </w:r>
    </w:p>
    <w:p w14:paraId="0C23EC25">
      <w:pPr>
        <w:pStyle w:val="75"/>
        <w:snapToGrid w:val="0"/>
        <w:spacing w:before="50" w:after="50"/>
        <w:ind w:left="360" w:firstLine="0" w:firstLineChars="0"/>
        <w:rPr>
          <w:rFonts w:ascii="仿宋" w:hAnsi="仿宋" w:eastAsia="仿宋" w:cs="仿宋"/>
          <w:b/>
          <w:highlight w:val="none"/>
        </w:rPr>
      </w:pPr>
      <w:r>
        <w:rPr>
          <w:rFonts w:hint="eastAsia" w:ascii="仿宋" w:hAnsi="仿宋" w:eastAsia="仿宋" w:cs="仿宋"/>
          <w:highlight w:val="none"/>
        </w:rPr>
        <w:t xml:space="preserve"> </w:t>
      </w:r>
    </w:p>
    <w:p w14:paraId="13E696F7">
      <w:pPr>
        <w:spacing w:line="360" w:lineRule="auto"/>
        <w:jc w:val="center"/>
        <w:rPr>
          <w:rFonts w:ascii="仿宋" w:hAnsi="仿宋" w:eastAsia="仿宋" w:cs="仿宋"/>
          <w:b/>
          <w:sz w:val="28"/>
          <w:szCs w:val="32"/>
          <w:highlight w:val="none"/>
        </w:rPr>
      </w:pPr>
    </w:p>
    <w:p w14:paraId="54AAD154">
      <w:pPr>
        <w:snapToGrid w:val="0"/>
        <w:spacing w:line="360" w:lineRule="auto"/>
        <w:ind w:firstLine="2891" w:firstLineChars="900"/>
        <w:rPr>
          <w:rFonts w:ascii="仿宋" w:hAnsi="仿宋" w:eastAsia="仿宋" w:cs="仿宋"/>
          <w:b/>
          <w:kern w:val="0"/>
          <w:sz w:val="36"/>
          <w:szCs w:val="36"/>
          <w:highlight w:val="none"/>
        </w:rPr>
      </w:pPr>
      <w:r>
        <w:rPr>
          <w:rFonts w:hint="eastAsia" w:ascii="仿宋" w:hAnsi="仿宋" w:eastAsia="仿宋" w:cs="仿宋"/>
          <w:b/>
          <w:bCs/>
          <w:sz w:val="32"/>
          <w:szCs w:val="32"/>
          <w:highlight w:val="none"/>
        </w:rPr>
        <w:br w:type="page"/>
      </w:r>
      <w:r>
        <w:rPr>
          <w:rFonts w:hint="eastAsia" w:ascii="仿宋" w:hAnsi="仿宋" w:eastAsia="仿宋" w:cs="仿宋"/>
          <w:sz w:val="36"/>
          <w:szCs w:val="36"/>
          <w:highlight w:val="none"/>
          <w:lang w:val="zh-CN"/>
        </w:rPr>
        <w:t>▲</w:t>
      </w:r>
      <w:r>
        <w:rPr>
          <w:rFonts w:hint="eastAsia" w:ascii="仿宋" w:hAnsi="仿宋" w:eastAsia="仿宋" w:cs="仿宋"/>
          <w:b/>
          <w:kern w:val="0"/>
          <w:sz w:val="36"/>
          <w:szCs w:val="36"/>
          <w:highlight w:val="none"/>
        </w:rPr>
        <w:t>报价文件部分</w:t>
      </w:r>
    </w:p>
    <w:p w14:paraId="45C08B30">
      <w:pPr>
        <w:spacing w:line="360" w:lineRule="auto"/>
        <w:jc w:val="center"/>
        <w:outlineLvl w:val="0"/>
        <w:rPr>
          <w:rFonts w:ascii="仿宋" w:hAnsi="仿宋" w:eastAsia="仿宋" w:cs="仿宋"/>
          <w:b/>
          <w:kern w:val="0"/>
          <w:sz w:val="24"/>
          <w:highlight w:val="none"/>
        </w:rPr>
      </w:pPr>
    </w:p>
    <w:p w14:paraId="540EC4B6">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2413421D">
      <w:pPr>
        <w:spacing w:line="360" w:lineRule="auto"/>
        <w:outlineLvl w:val="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rPr>
        <w:t>响应（交易）一览表…………………………………………（页码）</w:t>
      </w:r>
    </w:p>
    <w:p w14:paraId="044C3226">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293E3DE">
      <w:pPr>
        <w:snapToGrid w:val="0"/>
        <w:spacing w:line="360" w:lineRule="auto"/>
        <w:rPr>
          <w:rFonts w:ascii="宋体" w:hAnsi="宋体" w:cs="宋体"/>
          <w:sz w:val="24"/>
        </w:rPr>
      </w:pPr>
      <w:r>
        <w:rPr>
          <w:rFonts w:hint="eastAsia" w:ascii="宋体" w:hAnsi="宋体" w:cs="宋体"/>
          <w:sz w:val="24"/>
        </w:rPr>
        <w:t>（3）中小企业声明函………………………………………………………………（页码）</w:t>
      </w:r>
    </w:p>
    <w:p w14:paraId="3E300B8F">
      <w:pPr>
        <w:spacing w:line="360" w:lineRule="auto"/>
        <w:outlineLvl w:val="0"/>
        <w:rPr>
          <w:rFonts w:ascii="仿宋" w:hAnsi="仿宋" w:eastAsia="仿宋" w:cs="仿宋"/>
          <w:sz w:val="24"/>
          <w:highlight w:val="none"/>
        </w:rPr>
        <w:sectPr>
          <w:pgSz w:w="11906" w:h="16838"/>
          <w:pgMar w:top="1247" w:right="1418" w:bottom="1276" w:left="1418" w:header="851" w:footer="992" w:gutter="0"/>
          <w:cols w:space="720" w:num="1"/>
          <w:titlePg/>
          <w:docGrid w:linePitch="312" w:charSpace="0"/>
        </w:sectPr>
      </w:pPr>
    </w:p>
    <w:p w14:paraId="3E261036">
      <w:pPr>
        <w:pStyle w:val="5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7BC04666">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7D633AEE">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14:paraId="3BECB6A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8CA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13D5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3145D3D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3B72EA1F">
            <w:pPr>
              <w:spacing w:line="360" w:lineRule="auto"/>
              <w:jc w:val="center"/>
              <w:rPr>
                <w:rFonts w:hint="eastAsia" w:ascii="宋体" w:hAnsi="宋体" w:eastAsia="宋体" w:cs="宋体"/>
                <w:b/>
                <w:color w:val="auto"/>
                <w:sz w:val="24"/>
                <w:highlight w:val="none"/>
              </w:rPr>
            </w:pPr>
          </w:p>
          <w:p w14:paraId="097F3E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052249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4645B9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F258A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569820B7">
            <w:pPr>
              <w:spacing w:line="360" w:lineRule="auto"/>
              <w:jc w:val="center"/>
              <w:rPr>
                <w:rFonts w:hint="eastAsia" w:ascii="宋体" w:hAnsi="宋体" w:eastAsia="宋体" w:cs="宋体"/>
                <w:b/>
                <w:color w:val="auto"/>
                <w:sz w:val="24"/>
                <w:highlight w:val="none"/>
              </w:rPr>
            </w:pPr>
          </w:p>
          <w:p w14:paraId="5DD66FC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6668619">
            <w:pPr>
              <w:spacing w:line="360" w:lineRule="auto"/>
              <w:jc w:val="center"/>
              <w:rPr>
                <w:rFonts w:hint="eastAsia" w:ascii="宋体" w:hAnsi="宋体" w:eastAsia="宋体" w:cs="宋体"/>
                <w:b/>
                <w:color w:val="auto"/>
                <w:sz w:val="24"/>
                <w:highlight w:val="none"/>
              </w:rPr>
            </w:pPr>
          </w:p>
          <w:p w14:paraId="7F6B10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14F7DCE">
            <w:pPr>
              <w:spacing w:line="360" w:lineRule="auto"/>
              <w:jc w:val="center"/>
              <w:rPr>
                <w:rFonts w:hint="eastAsia" w:ascii="宋体" w:hAnsi="宋体" w:eastAsia="宋体" w:cs="宋体"/>
                <w:b/>
                <w:color w:val="auto"/>
                <w:sz w:val="24"/>
                <w:highlight w:val="none"/>
              </w:rPr>
            </w:pPr>
          </w:p>
        </w:tc>
      </w:tr>
      <w:tr w14:paraId="7B44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6685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DF367E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0DA2CA8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C3394C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040EE4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21D17ED">
            <w:pPr>
              <w:spacing w:line="360" w:lineRule="auto"/>
              <w:jc w:val="center"/>
              <w:rPr>
                <w:rFonts w:hint="eastAsia" w:ascii="宋体" w:hAnsi="宋体" w:eastAsia="宋体" w:cs="宋体"/>
                <w:color w:val="auto"/>
                <w:sz w:val="24"/>
                <w:highlight w:val="none"/>
              </w:rPr>
            </w:pPr>
          </w:p>
        </w:tc>
        <w:tc>
          <w:tcPr>
            <w:tcW w:w="2127" w:type="dxa"/>
          </w:tcPr>
          <w:p w14:paraId="208DED23">
            <w:pPr>
              <w:spacing w:line="360" w:lineRule="auto"/>
              <w:jc w:val="center"/>
              <w:rPr>
                <w:rFonts w:hint="eastAsia" w:ascii="宋体" w:hAnsi="宋体" w:eastAsia="宋体" w:cs="宋体"/>
                <w:color w:val="auto"/>
                <w:sz w:val="24"/>
                <w:highlight w:val="none"/>
              </w:rPr>
            </w:pPr>
          </w:p>
        </w:tc>
        <w:tc>
          <w:tcPr>
            <w:tcW w:w="2126" w:type="dxa"/>
            <w:vAlign w:val="center"/>
          </w:tcPr>
          <w:p w14:paraId="3428050E">
            <w:pPr>
              <w:spacing w:line="360" w:lineRule="auto"/>
              <w:jc w:val="center"/>
              <w:rPr>
                <w:rFonts w:hint="eastAsia" w:ascii="宋体" w:hAnsi="宋体" w:eastAsia="宋体" w:cs="宋体"/>
                <w:color w:val="auto"/>
                <w:sz w:val="24"/>
                <w:highlight w:val="none"/>
              </w:rPr>
            </w:pPr>
          </w:p>
        </w:tc>
      </w:tr>
      <w:tr w14:paraId="2061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A73E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620150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0AB5A5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160B5D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56038F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CE5861B">
            <w:pPr>
              <w:spacing w:line="360" w:lineRule="auto"/>
              <w:jc w:val="center"/>
              <w:rPr>
                <w:rFonts w:hint="eastAsia" w:ascii="宋体" w:hAnsi="宋体" w:eastAsia="宋体" w:cs="宋体"/>
                <w:color w:val="auto"/>
                <w:sz w:val="24"/>
                <w:highlight w:val="none"/>
              </w:rPr>
            </w:pPr>
          </w:p>
        </w:tc>
        <w:tc>
          <w:tcPr>
            <w:tcW w:w="2127" w:type="dxa"/>
          </w:tcPr>
          <w:p w14:paraId="3899A03C">
            <w:pPr>
              <w:spacing w:line="360" w:lineRule="auto"/>
              <w:jc w:val="center"/>
              <w:rPr>
                <w:rFonts w:hint="eastAsia" w:ascii="宋体" w:hAnsi="宋体" w:eastAsia="宋体" w:cs="宋体"/>
                <w:color w:val="auto"/>
                <w:sz w:val="24"/>
                <w:highlight w:val="none"/>
              </w:rPr>
            </w:pPr>
          </w:p>
        </w:tc>
        <w:tc>
          <w:tcPr>
            <w:tcW w:w="2126" w:type="dxa"/>
            <w:vAlign w:val="center"/>
          </w:tcPr>
          <w:p w14:paraId="48B88D65">
            <w:pPr>
              <w:spacing w:line="360" w:lineRule="auto"/>
              <w:jc w:val="center"/>
              <w:rPr>
                <w:rFonts w:hint="eastAsia" w:ascii="宋体" w:hAnsi="宋体" w:eastAsia="宋体" w:cs="宋体"/>
                <w:color w:val="auto"/>
                <w:sz w:val="24"/>
                <w:highlight w:val="none"/>
              </w:rPr>
            </w:pPr>
          </w:p>
        </w:tc>
      </w:tr>
      <w:tr w14:paraId="6A2E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E7C4F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468F52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2BA7B6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59C44E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D05896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5B27FD9">
            <w:pPr>
              <w:spacing w:line="360" w:lineRule="auto"/>
              <w:jc w:val="center"/>
              <w:rPr>
                <w:rFonts w:hint="eastAsia" w:ascii="宋体" w:hAnsi="宋体" w:eastAsia="宋体" w:cs="宋体"/>
                <w:color w:val="auto"/>
                <w:sz w:val="24"/>
                <w:highlight w:val="none"/>
              </w:rPr>
            </w:pPr>
          </w:p>
        </w:tc>
        <w:tc>
          <w:tcPr>
            <w:tcW w:w="2127" w:type="dxa"/>
          </w:tcPr>
          <w:p w14:paraId="6DEE0D82">
            <w:pPr>
              <w:spacing w:line="360" w:lineRule="auto"/>
              <w:jc w:val="center"/>
              <w:rPr>
                <w:rFonts w:hint="eastAsia" w:ascii="宋体" w:hAnsi="宋体" w:eastAsia="宋体" w:cs="宋体"/>
                <w:color w:val="auto"/>
                <w:sz w:val="24"/>
                <w:highlight w:val="none"/>
              </w:rPr>
            </w:pPr>
          </w:p>
        </w:tc>
        <w:tc>
          <w:tcPr>
            <w:tcW w:w="2126" w:type="dxa"/>
            <w:vAlign w:val="center"/>
          </w:tcPr>
          <w:p w14:paraId="6EB31CB9">
            <w:pPr>
              <w:spacing w:line="360" w:lineRule="auto"/>
              <w:jc w:val="center"/>
              <w:rPr>
                <w:rFonts w:hint="eastAsia" w:ascii="宋体" w:hAnsi="宋体" w:eastAsia="宋体" w:cs="宋体"/>
                <w:color w:val="auto"/>
                <w:sz w:val="24"/>
                <w:highlight w:val="none"/>
              </w:rPr>
            </w:pPr>
          </w:p>
        </w:tc>
      </w:tr>
      <w:tr w14:paraId="17B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80CDF7">
            <w:pPr>
              <w:spacing w:line="360" w:lineRule="auto"/>
              <w:jc w:val="center"/>
              <w:rPr>
                <w:rFonts w:hint="eastAsia" w:ascii="宋体" w:hAnsi="宋体" w:eastAsia="宋体" w:cs="宋体"/>
                <w:color w:val="auto"/>
                <w:sz w:val="24"/>
                <w:highlight w:val="none"/>
              </w:rPr>
            </w:pPr>
          </w:p>
        </w:tc>
        <w:tc>
          <w:tcPr>
            <w:tcW w:w="992" w:type="dxa"/>
            <w:vAlign w:val="center"/>
          </w:tcPr>
          <w:p w14:paraId="0137681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BA7535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E9FAE1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2AAF18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862A884">
            <w:pPr>
              <w:spacing w:line="360" w:lineRule="auto"/>
              <w:jc w:val="center"/>
              <w:rPr>
                <w:rFonts w:hint="eastAsia" w:ascii="宋体" w:hAnsi="宋体" w:eastAsia="宋体" w:cs="宋体"/>
                <w:color w:val="auto"/>
                <w:sz w:val="24"/>
                <w:highlight w:val="none"/>
              </w:rPr>
            </w:pPr>
          </w:p>
        </w:tc>
        <w:tc>
          <w:tcPr>
            <w:tcW w:w="2127" w:type="dxa"/>
          </w:tcPr>
          <w:p w14:paraId="6E6C6A12">
            <w:pPr>
              <w:spacing w:line="360" w:lineRule="auto"/>
              <w:jc w:val="center"/>
              <w:rPr>
                <w:rFonts w:hint="eastAsia" w:ascii="宋体" w:hAnsi="宋体" w:eastAsia="宋体" w:cs="宋体"/>
                <w:color w:val="auto"/>
                <w:sz w:val="24"/>
                <w:highlight w:val="none"/>
              </w:rPr>
            </w:pPr>
          </w:p>
        </w:tc>
        <w:tc>
          <w:tcPr>
            <w:tcW w:w="2126" w:type="dxa"/>
            <w:vAlign w:val="center"/>
          </w:tcPr>
          <w:p w14:paraId="604EAB65">
            <w:pPr>
              <w:spacing w:line="360" w:lineRule="auto"/>
              <w:jc w:val="center"/>
              <w:rPr>
                <w:rFonts w:hint="eastAsia" w:ascii="宋体" w:hAnsi="宋体" w:eastAsia="宋体" w:cs="宋体"/>
                <w:color w:val="auto"/>
                <w:sz w:val="24"/>
                <w:highlight w:val="none"/>
              </w:rPr>
            </w:pPr>
          </w:p>
        </w:tc>
      </w:tr>
      <w:tr w14:paraId="534D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0BEC3B">
            <w:pPr>
              <w:spacing w:line="360" w:lineRule="auto"/>
              <w:jc w:val="center"/>
              <w:rPr>
                <w:rFonts w:hint="eastAsia" w:ascii="宋体" w:hAnsi="宋体" w:eastAsia="宋体" w:cs="宋体"/>
                <w:color w:val="auto"/>
                <w:sz w:val="24"/>
                <w:highlight w:val="none"/>
              </w:rPr>
            </w:pPr>
          </w:p>
        </w:tc>
        <w:tc>
          <w:tcPr>
            <w:tcW w:w="992" w:type="dxa"/>
            <w:vAlign w:val="center"/>
          </w:tcPr>
          <w:p w14:paraId="22D5E3C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E948B1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110D8B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3BFF8A1">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F6C6F9A">
            <w:pPr>
              <w:spacing w:line="360" w:lineRule="auto"/>
              <w:jc w:val="center"/>
              <w:rPr>
                <w:rFonts w:hint="eastAsia" w:ascii="宋体" w:hAnsi="宋体" w:eastAsia="宋体" w:cs="宋体"/>
                <w:color w:val="auto"/>
                <w:sz w:val="24"/>
                <w:highlight w:val="none"/>
              </w:rPr>
            </w:pPr>
          </w:p>
        </w:tc>
        <w:tc>
          <w:tcPr>
            <w:tcW w:w="2127" w:type="dxa"/>
          </w:tcPr>
          <w:p w14:paraId="2F70AF42">
            <w:pPr>
              <w:spacing w:line="360" w:lineRule="auto"/>
              <w:jc w:val="center"/>
              <w:rPr>
                <w:rFonts w:hint="eastAsia" w:ascii="宋体" w:hAnsi="宋体" w:eastAsia="宋体" w:cs="宋体"/>
                <w:color w:val="auto"/>
                <w:sz w:val="24"/>
                <w:highlight w:val="none"/>
              </w:rPr>
            </w:pPr>
          </w:p>
        </w:tc>
        <w:tc>
          <w:tcPr>
            <w:tcW w:w="2126" w:type="dxa"/>
            <w:vAlign w:val="center"/>
          </w:tcPr>
          <w:p w14:paraId="10A1D951">
            <w:pPr>
              <w:spacing w:line="360" w:lineRule="auto"/>
              <w:jc w:val="center"/>
              <w:rPr>
                <w:rFonts w:hint="eastAsia" w:ascii="宋体" w:hAnsi="宋体" w:eastAsia="宋体" w:cs="宋体"/>
                <w:color w:val="auto"/>
                <w:sz w:val="24"/>
                <w:highlight w:val="none"/>
              </w:rPr>
            </w:pPr>
          </w:p>
        </w:tc>
      </w:tr>
      <w:tr w14:paraId="00F7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0DB0DD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379818E2">
            <w:pPr>
              <w:spacing w:line="360" w:lineRule="auto"/>
              <w:jc w:val="center"/>
              <w:rPr>
                <w:rFonts w:hint="eastAsia" w:ascii="宋体" w:hAnsi="宋体" w:eastAsia="宋体" w:cs="宋体"/>
                <w:color w:val="auto"/>
                <w:sz w:val="24"/>
                <w:highlight w:val="none"/>
              </w:rPr>
            </w:pPr>
          </w:p>
        </w:tc>
      </w:tr>
      <w:tr w14:paraId="2E2F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BC62D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28D928DB">
            <w:pPr>
              <w:spacing w:line="360" w:lineRule="auto"/>
              <w:jc w:val="center"/>
              <w:rPr>
                <w:rFonts w:hint="eastAsia" w:ascii="宋体" w:hAnsi="宋体" w:eastAsia="宋体" w:cs="宋体"/>
                <w:color w:val="auto"/>
                <w:sz w:val="24"/>
                <w:highlight w:val="none"/>
              </w:rPr>
            </w:pPr>
          </w:p>
        </w:tc>
      </w:tr>
    </w:tbl>
    <w:p w14:paraId="2C7556C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CFDFEC3">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14:paraId="39FE59C4">
      <w:pPr>
        <w:spacing w:line="360" w:lineRule="auto"/>
        <w:ind w:firstLine="480" w:firstLineChars="200"/>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w:t>
      </w:r>
      <w:r>
        <w:rPr>
          <w:rFonts w:hint="eastAsia" w:ascii="仿宋_GB2312" w:hAnsi="仿宋" w:eastAsia="仿宋_GB2312" w:cs="仿宋_GB2312"/>
          <w:b/>
          <w:kern w:val="0"/>
          <w:sz w:val="24"/>
          <w:highlight w:val="none"/>
        </w:rPr>
        <w:t>视为</w:t>
      </w:r>
      <w:r>
        <w:rPr>
          <w:rFonts w:hint="eastAsia" w:ascii="仿宋_GB2312" w:hAnsi="仿宋" w:eastAsia="仿宋_GB2312"/>
          <w:b/>
          <w:sz w:val="24"/>
          <w:highlight w:val="none"/>
        </w:rPr>
        <w:t>投标文件含有采购人不能接受的附加条件的，投标无效。</w:t>
      </w:r>
    </w:p>
    <w:p w14:paraId="33F904AC">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14:paraId="29407B5D">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14:paraId="045C8EAF">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14:paraId="7C3E9111">
      <w:pPr>
        <w:spacing w:line="360" w:lineRule="auto"/>
        <w:ind w:firstLine="482" w:firstLineChars="200"/>
        <w:rPr>
          <w:rFonts w:ascii="仿宋_GB2312" w:hAnsi="仿宋" w:eastAsia="仿宋_GB2312"/>
          <w:b/>
          <w:kern w:val="0"/>
          <w:sz w:val="24"/>
          <w:highlight w:val="none"/>
        </w:rPr>
      </w:pPr>
    </w:p>
    <w:p w14:paraId="6109748A">
      <w:pPr>
        <w:jc w:val="center"/>
        <w:rPr>
          <w:rFonts w:ascii="仿宋" w:hAnsi="仿宋" w:eastAsia="仿宋" w:cs="仿宋"/>
          <w:b/>
          <w:kern w:val="0"/>
          <w:sz w:val="36"/>
          <w:szCs w:val="36"/>
          <w:highlight w:val="none"/>
        </w:rPr>
        <w:sectPr>
          <w:headerReference r:id="rId12" w:type="default"/>
          <w:footerReference r:id="rId13" w:type="default"/>
          <w:pgSz w:w="16838" w:h="11906" w:orient="landscape"/>
          <w:pgMar w:top="1418" w:right="1247" w:bottom="1418" w:left="1276" w:header="851" w:footer="992" w:gutter="0"/>
          <w:cols w:space="720" w:num="1"/>
        </w:sectPr>
      </w:pPr>
    </w:p>
    <w:p w14:paraId="746B5D54">
      <w:pPr>
        <w:pStyle w:val="596"/>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16D22120">
      <w:pPr>
        <w:pStyle w:val="596"/>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674DE3B3">
      <w:pPr>
        <w:pStyle w:val="596"/>
        <w:keepNext w:val="0"/>
        <w:pageBreakBefore w:val="0"/>
        <w:tabs>
          <w:tab w:val="clear" w:pos="720"/>
        </w:tabs>
        <w:snapToGrid w:val="0"/>
        <w:spacing w:before="120" w:after="120"/>
        <w:outlineLvl w:val="9"/>
        <w:rPr>
          <w:rFonts w:ascii="宋体" w:hAnsi="宋体" w:eastAsia="宋体" w:cs="宋体"/>
          <w:kern w:val="2"/>
          <w:sz w:val="32"/>
          <w:szCs w:val="32"/>
        </w:rPr>
      </w:pPr>
    </w:p>
    <w:p w14:paraId="335ECB33">
      <w:pPr>
        <w:pStyle w:val="596"/>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29" w:name="_Hlk101259491"/>
      <w:r>
        <w:rPr>
          <w:rFonts w:hint="eastAsia" w:ascii="宋体" w:hAnsi="宋体" w:eastAsia="宋体" w:cs="宋体"/>
          <w:sz w:val="32"/>
          <w:szCs w:val="32"/>
        </w:rPr>
        <w:t>（如果有）</w:t>
      </w:r>
      <w:bookmarkEnd w:id="429"/>
    </w:p>
    <w:p w14:paraId="275E6307">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14:paraId="76B81602">
      <w:pPr>
        <w:jc w:val="center"/>
        <w:rPr>
          <w:rFonts w:hint="eastAsia" w:ascii="宋体" w:hAnsi="宋体" w:cs="宋体"/>
          <w:b/>
          <w:kern w:val="0"/>
          <w:sz w:val="36"/>
          <w:szCs w:val="36"/>
        </w:rPr>
        <w:sectPr>
          <w:pgSz w:w="11906" w:h="16838"/>
          <w:pgMar w:top="1247" w:right="1418" w:bottom="1276" w:left="1418" w:header="851" w:footer="992" w:gutter="0"/>
          <w:cols w:space="720" w:num="1"/>
        </w:sectPr>
      </w:pPr>
    </w:p>
    <w:p w14:paraId="2BC6FCDC">
      <w:pPr>
        <w:jc w:val="center"/>
        <w:rPr>
          <w:rFonts w:ascii="仿宋" w:hAnsi="仿宋" w:eastAsia="仿宋" w:cs="仿宋"/>
          <w:b/>
          <w:kern w:val="0"/>
          <w:sz w:val="36"/>
          <w:szCs w:val="36"/>
          <w:highlight w:val="none"/>
        </w:rPr>
      </w:pPr>
      <w:bookmarkStart w:id="435" w:name="_GoBack"/>
      <w:bookmarkEnd w:id="435"/>
      <w:r>
        <w:rPr>
          <w:rFonts w:hint="eastAsia" w:ascii="仿宋" w:hAnsi="仿宋" w:eastAsia="仿宋" w:cs="仿宋"/>
          <w:b/>
          <w:kern w:val="0"/>
          <w:sz w:val="36"/>
          <w:szCs w:val="36"/>
          <w:highlight w:val="none"/>
        </w:rPr>
        <w:t>商务技术文件部分</w:t>
      </w:r>
    </w:p>
    <w:p w14:paraId="5E9308C0">
      <w:pPr>
        <w:spacing w:line="360" w:lineRule="auto"/>
        <w:jc w:val="center"/>
        <w:outlineLvl w:val="0"/>
        <w:rPr>
          <w:rFonts w:ascii="仿宋" w:hAnsi="仿宋" w:eastAsia="仿宋" w:cs="仿宋"/>
          <w:b/>
          <w:kern w:val="0"/>
          <w:sz w:val="24"/>
          <w:highlight w:val="none"/>
        </w:rPr>
      </w:pPr>
    </w:p>
    <w:p w14:paraId="26D2B1C4">
      <w:pPr>
        <w:spacing w:line="360"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74EAE341">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7FC6C50E">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14:paraId="1B4E2EF2">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（4）评标标准相应的商务技术资料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302CC7E2">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（5）商务技术偏离表</w:t>
      </w:r>
      <w:r>
        <w:rPr>
          <w:rFonts w:hint="eastAsia" w:ascii="仿宋" w:hAnsi="仿宋" w:eastAsia="仿宋" w:cs="仿宋"/>
          <w:highlight w:val="none"/>
        </w:rPr>
        <w:t>………………………………………………………………………（页码）</w:t>
      </w:r>
    </w:p>
    <w:p w14:paraId="6696E618">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7E2060CC">
      <w:pPr>
        <w:spacing w:line="360" w:lineRule="auto"/>
        <w:rPr>
          <w:rFonts w:ascii="仿宋" w:hAnsi="仿宋" w:eastAsia="仿宋" w:cs="仿宋"/>
          <w:b/>
          <w:bCs/>
          <w:sz w:val="24"/>
          <w:highlight w:val="none"/>
        </w:rPr>
      </w:pPr>
    </w:p>
    <w:p w14:paraId="04C6FA5B">
      <w:pPr>
        <w:snapToGrid w:val="0"/>
        <w:spacing w:line="360" w:lineRule="auto"/>
        <w:jc w:val="center"/>
        <w:rPr>
          <w:rFonts w:ascii="仿宋" w:hAnsi="仿宋" w:eastAsia="仿宋" w:cs="仿宋"/>
          <w:b/>
          <w:kern w:val="0"/>
          <w:sz w:val="32"/>
          <w:szCs w:val="32"/>
          <w:highlight w:val="none"/>
          <w:lang w:val="zh-CN"/>
        </w:rPr>
      </w:pPr>
    </w:p>
    <w:p w14:paraId="390AC347">
      <w:pPr>
        <w:snapToGrid w:val="0"/>
        <w:spacing w:line="360" w:lineRule="auto"/>
        <w:jc w:val="center"/>
        <w:rPr>
          <w:rFonts w:ascii="仿宋" w:hAnsi="仿宋" w:eastAsia="仿宋" w:cs="仿宋"/>
          <w:b/>
          <w:kern w:val="0"/>
          <w:sz w:val="32"/>
          <w:szCs w:val="32"/>
          <w:highlight w:val="none"/>
          <w:lang w:val="zh-CN"/>
        </w:rPr>
      </w:pPr>
    </w:p>
    <w:p w14:paraId="672278BD">
      <w:pPr>
        <w:snapToGrid w:val="0"/>
        <w:spacing w:line="360" w:lineRule="auto"/>
        <w:jc w:val="center"/>
        <w:rPr>
          <w:rFonts w:ascii="仿宋" w:hAnsi="仿宋" w:eastAsia="仿宋" w:cs="仿宋"/>
          <w:b/>
          <w:kern w:val="0"/>
          <w:sz w:val="32"/>
          <w:szCs w:val="32"/>
          <w:highlight w:val="none"/>
          <w:lang w:val="zh-CN"/>
        </w:rPr>
      </w:pPr>
    </w:p>
    <w:p w14:paraId="325D31BB">
      <w:pPr>
        <w:snapToGrid w:val="0"/>
        <w:spacing w:line="360" w:lineRule="auto"/>
        <w:jc w:val="center"/>
        <w:rPr>
          <w:rFonts w:ascii="仿宋" w:hAnsi="仿宋" w:eastAsia="仿宋" w:cs="仿宋"/>
          <w:b/>
          <w:kern w:val="0"/>
          <w:sz w:val="32"/>
          <w:szCs w:val="32"/>
          <w:highlight w:val="none"/>
          <w:lang w:val="zh-CN"/>
        </w:rPr>
      </w:pPr>
    </w:p>
    <w:p w14:paraId="77F00383">
      <w:pPr>
        <w:snapToGrid w:val="0"/>
        <w:spacing w:line="360" w:lineRule="auto"/>
        <w:jc w:val="center"/>
        <w:rPr>
          <w:rFonts w:ascii="仿宋" w:hAnsi="仿宋" w:eastAsia="仿宋" w:cs="仿宋"/>
          <w:b/>
          <w:kern w:val="0"/>
          <w:sz w:val="32"/>
          <w:szCs w:val="32"/>
          <w:highlight w:val="none"/>
          <w:lang w:val="zh-CN"/>
        </w:rPr>
      </w:pPr>
    </w:p>
    <w:p w14:paraId="2B0AC06E">
      <w:pPr>
        <w:snapToGrid w:val="0"/>
        <w:spacing w:line="360" w:lineRule="auto"/>
        <w:jc w:val="center"/>
        <w:outlineLvl w:val="0"/>
        <w:rPr>
          <w:rFonts w:ascii="仿宋" w:hAnsi="仿宋" w:eastAsia="仿宋" w:cs="仿宋"/>
          <w:b/>
          <w:sz w:val="32"/>
          <w:szCs w:val="32"/>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3FD3947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（采购人名称）、（采购代理机构名称）：</w:t>
      </w:r>
    </w:p>
    <w:p w14:paraId="3F08FB3F">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我方参加你方组织的XXX采购项目【交易编号：XXXXXX】交易的有关活动，并对此项目进行投标。为此：</w:t>
      </w:r>
    </w:p>
    <w:p w14:paraId="2BECD5CB">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4671F4B4">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14:paraId="7A68D8FD">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14:paraId="3D6DCFB2">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2.1.1承诺函；</w:t>
      </w:r>
    </w:p>
    <w:p w14:paraId="30E9161D">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2.1.2落实政府采购政策需满足的资格要求；</w:t>
      </w:r>
    </w:p>
    <w:p w14:paraId="54885F6B">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2.1.3本项目的特定资格要求。</w:t>
      </w:r>
    </w:p>
    <w:p w14:paraId="3EC490CA">
      <w:pPr>
        <w:snapToGrid w:val="0"/>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7F94F84">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605430">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22B0A11D">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2.2.3符合性审查资料；</w:t>
      </w:r>
    </w:p>
    <w:p w14:paraId="5BD2DE03">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2.2.4评标标准相应的商务技术资料；</w:t>
      </w:r>
    </w:p>
    <w:p w14:paraId="6B147997">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2.2.5商务技术偏离表；</w:t>
      </w:r>
    </w:p>
    <w:p w14:paraId="68A0F114">
      <w:pPr>
        <w:snapToGrid w:val="0"/>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p>
    <w:p w14:paraId="4D5E50CC">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A354216">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2.3.1开标一览表（报价表）；</w:t>
      </w:r>
    </w:p>
    <w:p w14:paraId="56700A7B">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0C55F6AB">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14:paraId="3F653987">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57DEF243">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5DE370A1">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4.3按照交易文件要求提交履约保证金； </w:t>
      </w:r>
    </w:p>
    <w:p w14:paraId="20752192">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719EB39E">
      <w:pPr>
        <w:snapToGrid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00E5A12">
      <w:pPr>
        <w:spacing w:line="400" w:lineRule="exact"/>
        <w:ind w:firstLine="3600" w:firstLineChars="1500"/>
        <w:rPr>
          <w:rFonts w:ascii="仿宋" w:hAnsi="仿宋" w:eastAsia="仿宋" w:cs="仿宋"/>
          <w:sz w:val="24"/>
          <w:highlight w:val="none"/>
        </w:rPr>
      </w:pPr>
      <w:r>
        <w:rPr>
          <w:rFonts w:hint="eastAsia" w:ascii="仿宋" w:hAnsi="仿宋" w:eastAsia="仿宋" w:cs="仿宋"/>
          <w:sz w:val="24"/>
          <w:highlight w:val="none"/>
        </w:rPr>
        <w:t xml:space="preserve">供应商名称（电子签章）：                          </w:t>
      </w:r>
    </w:p>
    <w:p w14:paraId="31E79389">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10385E67">
      <w:pPr>
        <w:widowControl/>
        <w:adjustRightInd/>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u w:val="single"/>
          <w:lang w:val="zh-CN"/>
        </w:rPr>
        <w:br w:type="page"/>
      </w:r>
    </w:p>
    <w:p w14:paraId="4369D199">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w:t>
      </w:r>
    </w:p>
    <w:p w14:paraId="604900EE">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身份证明</w:t>
      </w:r>
    </w:p>
    <w:p w14:paraId="62143FB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0317DA95">
      <w:pPr>
        <w:snapToGrid w:val="0"/>
        <w:spacing w:line="360" w:lineRule="auto"/>
        <w:rPr>
          <w:rFonts w:ascii="仿宋" w:hAnsi="仿宋" w:eastAsia="仿宋" w:cs="仿宋"/>
          <w:sz w:val="24"/>
          <w:highlight w:val="none"/>
        </w:rPr>
      </w:pPr>
    </w:p>
    <w:p w14:paraId="303B79F0">
      <w:pPr>
        <w:snapToGrid w:val="0"/>
        <w:spacing w:line="360" w:lineRule="auto"/>
        <w:ind w:firstLine="2872" w:firstLineChars="894"/>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14:paraId="1C982162">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（采购人名称）、（采购代理机构名称）</w:t>
      </w:r>
      <w:r>
        <w:rPr>
          <w:rFonts w:hint="eastAsia" w:ascii="仿宋" w:hAnsi="仿宋" w:eastAsia="仿宋" w:cs="仿宋"/>
          <w:kern w:val="0"/>
          <w:sz w:val="24"/>
          <w:highlight w:val="none"/>
          <w:lang w:val="zh-CN"/>
        </w:rPr>
        <w:t>：</w:t>
      </w:r>
    </w:p>
    <w:p w14:paraId="1076B354">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杭州市XXX采购项目【交易编号：XXXXXX】</w:t>
      </w:r>
      <w:r>
        <w:rPr>
          <w:rFonts w:hint="eastAsia" w:ascii="仿宋" w:hAnsi="仿宋" w:eastAsia="仿宋" w:cs="仿宋"/>
          <w:kern w:val="0"/>
          <w:sz w:val="24"/>
          <w:highlight w:val="none"/>
          <w:lang w:val="zh-CN"/>
        </w:rPr>
        <w:t>政府采购投标的一切事项，其法律后果由我方承担。</w:t>
      </w:r>
    </w:p>
    <w:p w14:paraId="3A5C333F">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4E80C04A">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B909856">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供应商名称(电子签章)：</w:t>
      </w:r>
    </w:p>
    <w:p w14:paraId="4619DEE9">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ACDA1E5">
      <w:pPr>
        <w:snapToGrid w:val="0"/>
        <w:spacing w:line="360" w:lineRule="auto"/>
        <w:rPr>
          <w:rFonts w:ascii="仿宋" w:hAnsi="仿宋" w:eastAsia="仿宋" w:cs="仿宋"/>
          <w:sz w:val="24"/>
          <w:highlight w:val="none"/>
        </w:rPr>
      </w:pPr>
    </w:p>
    <w:p w14:paraId="57AEF37F">
      <w:pPr>
        <w:snapToGrid w:val="0"/>
        <w:spacing w:line="360" w:lineRule="auto"/>
        <w:rPr>
          <w:rFonts w:ascii="仿宋" w:hAnsi="仿宋" w:eastAsia="仿宋" w:cs="仿宋"/>
          <w:sz w:val="24"/>
          <w:highlight w:val="none"/>
        </w:rPr>
      </w:pPr>
    </w:p>
    <w:p w14:paraId="4FD169D9">
      <w:pPr>
        <w:snapToGrid w:val="0"/>
        <w:spacing w:line="360" w:lineRule="auto"/>
        <w:rPr>
          <w:rFonts w:ascii="仿宋" w:hAnsi="仿宋" w:eastAsia="仿宋" w:cs="仿宋"/>
          <w:kern w:val="0"/>
          <w:sz w:val="24"/>
          <w:highlight w:val="none"/>
          <w:lang w:val="zh-CN"/>
        </w:rPr>
      </w:pPr>
      <w:r>
        <w:rPr>
          <w:rFonts w:hint="eastAsia" w:ascii="仿宋" w:hAnsi="仿宋" w:eastAsia="仿宋" w:cs="仿宋"/>
          <w:b/>
          <w:kern w:val="0"/>
          <w:sz w:val="32"/>
          <w:szCs w:val="32"/>
          <w:highlight w:val="none"/>
          <w:lang w:val="zh-CN"/>
        </w:rPr>
        <w:t xml:space="preserve">      </w:t>
      </w:r>
    </w:p>
    <w:p w14:paraId="2DABFF6E">
      <w:pPr>
        <w:autoSpaceDE w:val="0"/>
        <w:autoSpaceDN w:val="0"/>
        <w:spacing w:line="360" w:lineRule="auto"/>
        <w:jc w:val="center"/>
        <w:rPr>
          <w:rFonts w:ascii="仿宋" w:hAnsi="仿宋" w:eastAsia="仿宋" w:cs="仿宋"/>
          <w:b/>
          <w:kern w:val="0"/>
          <w:sz w:val="32"/>
          <w:szCs w:val="32"/>
          <w:highlight w:val="none"/>
          <w:lang w:val="zh-CN"/>
        </w:rPr>
      </w:pPr>
    </w:p>
    <w:p w14:paraId="41F9F31D">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的身份证明（适用于法定代表人、单位负责人或者自然人本人代表供应商参加投标）</w:t>
      </w:r>
    </w:p>
    <w:p w14:paraId="2D0EDBF2">
      <w:pPr>
        <w:pStyle w:val="617"/>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7E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40C172">
            <w:pPr>
              <w:pStyle w:val="617"/>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14:paraId="5BB52C0F">
            <w:pPr>
              <w:pStyle w:val="617"/>
              <w:spacing w:line="360" w:lineRule="auto"/>
              <w:rPr>
                <w:rFonts w:ascii="仿宋" w:hAnsi="仿宋" w:eastAsia="仿宋" w:cs="仿宋"/>
                <w:bCs/>
                <w:sz w:val="24"/>
                <w:highlight w:val="none"/>
              </w:rPr>
            </w:pPr>
          </w:p>
        </w:tc>
      </w:tr>
    </w:tbl>
    <w:p w14:paraId="295A5675">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2D1E41D7">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营业执照复印件：</w:t>
      </w:r>
    </w:p>
    <w:p w14:paraId="1C56B845">
      <w:pPr>
        <w:snapToGrid w:val="0"/>
        <w:spacing w:line="360" w:lineRule="auto"/>
        <w:rPr>
          <w:rFonts w:ascii="仿宋" w:hAnsi="仿宋" w:eastAsia="仿宋" w:cs="仿宋"/>
          <w:kern w:val="0"/>
          <w:sz w:val="24"/>
          <w:highlight w:val="none"/>
          <w:lang w:val="zh-CN"/>
        </w:rPr>
      </w:pPr>
    </w:p>
    <w:p w14:paraId="3A11B6DF">
      <w:pPr>
        <w:snapToGrid w:val="0"/>
        <w:spacing w:line="360" w:lineRule="auto"/>
        <w:rPr>
          <w:rFonts w:ascii="仿宋" w:hAnsi="仿宋" w:eastAsia="仿宋" w:cs="仿宋"/>
          <w:kern w:val="0"/>
          <w:sz w:val="24"/>
          <w:highlight w:val="none"/>
          <w:lang w:val="zh-CN"/>
        </w:rPr>
      </w:pPr>
    </w:p>
    <w:p w14:paraId="6C16AD94">
      <w:pPr>
        <w:snapToGrid w:val="0"/>
        <w:spacing w:line="360" w:lineRule="auto"/>
        <w:rPr>
          <w:rFonts w:ascii="仿宋" w:hAnsi="仿宋" w:eastAsia="仿宋" w:cs="仿宋"/>
          <w:kern w:val="0"/>
          <w:sz w:val="24"/>
          <w:highlight w:val="none"/>
          <w:lang w:val="zh-CN"/>
        </w:rPr>
      </w:pPr>
    </w:p>
    <w:p w14:paraId="6C5F46E2">
      <w:pPr>
        <w:snapToGrid w:val="0"/>
        <w:spacing w:line="360" w:lineRule="auto"/>
        <w:rPr>
          <w:rFonts w:ascii="仿宋" w:hAnsi="仿宋" w:eastAsia="仿宋" w:cs="仿宋"/>
          <w:kern w:val="0"/>
          <w:sz w:val="24"/>
          <w:highlight w:val="none"/>
          <w:lang w:val="zh-CN"/>
        </w:rPr>
      </w:pPr>
    </w:p>
    <w:p w14:paraId="1F7DDD91">
      <w:pPr>
        <w:snapToGrid w:val="0"/>
        <w:spacing w:line="360" w:lineRule="auto"/>
        <w:rPr>
          <w:rFonts w:ascii="仿宋" w:hAnsi="仿宋" w:eastAsia="仿宋" w:cs="仿宋"/>
          <w:kern w:val="0"/>
          <w:sz w:val="24"/>
          <w:highlight w:val="none"/>
          <w:lang w:val="zh-CN"/>
        </w:rPr>
      </w:pPr>
    </w:p>
    <w:p w14:paraId="546C9BE7">
      <w:pPr>
        <w:snapToGrid w:val="0"/>
        <w:spacing w:line="360" w:lineRule="auto"/>
        <w:rPr>
          <w:rFonts w:ascii="仿宋" w:hAnsi="仿宋" w:eastAsia="仿宋" w:cs="仿宋"/>
          <w:kern w:val="0"/>
          <w:sz w:val="24"/>
          <w:highlight w:val="none"/>
          <w:lang w:val="zh-CN"/>
        </w:rPr>
      </w:pPr>
    </w:p>
    <w:p w14:paraId="2390DAB3">
      <w:pPr>
        <w:snapToGrid w:val="0"/>
        <w:spacing w:line="360" w:lineRule="auto"/>
        <w:rPr>
          <w:rFonts w:ascii="仿宋" w:hAnsi="仿宋" w:eastAsia="仿宋" w:cs="仿宋"/>
          <w:kern w:val="0"/>
          <w:sz w:val="24"/>
          <w:highlight w:val="none"/>
          <w:lang w:val="zh-CN"/>
        </w:rPr>
      </w:pPr>
    </w:p>
    <w:p w14:paraId="54C762FE">
      <w:pPr>
        <w:snapToGrid w:val="0"/>
        <w:spacing w:line="360" w:lineRule="auto"/>
        <w:rPr>
          <w:rFonts w:ascii="仿宋" w:hAnsi="仿宋" w:eastAsia="仿宋" w:cs="仿宋"/>
          <w:kern w:val="0"/>
          <w:sz w:val="24"/>
          <w:highlight w:val="none"/>
          <w:lang w:val="zh-CN"/>
        </w:rPr>
      </w:pPr>
    </w:p>
    <w:p w14:paraId="4018EE49">
      <w:pPr>
        <w:snapToGrid w:val="0"/>
        <w:spacing w:line="360" w:lineRule="auto"/>
        <w:rPr>
          <w:rFonts w:ascii="仿宋" w:hAnsi="仿宋" w:eastAsia="仿宋" w:cs="仿宋"/>
          <w:kern w:val="0"/>
          <w:sz w:val="24"/>
          <w:highlight w:val="none"/>
          <w:lang w:val="zh-CN"/>
        </w:rPr>
      </w:pPr>
    </w:p>
    <w:p w14:paraId="7EBFBD39">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供应商名称(电子签章)：                              </w:t>
      </w:r>
    </w:p>
    <w:p w14:paraId="7CBEC937">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w:t>
      </w:r>
    </w:p>
    <w:p w14:paraId="3DEBDC00">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6F2B7F1">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三、符合性审查资料索引表及具体内容</w:t>
      </w:r>
    </w:p>
    <w:p w14:paraId="5E661CE6">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（一）符合性审查资料索引表</w:t>
      </w: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18F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D4D895F">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5188" w:type="dxa"/>
            <w:vAlign w:val="center"/>
          </w:tcPr>
          <w:p w14:paraId="15640062">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2354" w:type="dxa"/>
            <w:vAlign w:val="center"/>
          </w:tcPr>
          <w:p w14:paraId="33835528">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4E0A3CA9">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14:paraId="421A331D">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14:paraId="10D4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89A8173">
            <w:pPr>
              <w:jc w:val="center"/>
              <w:rPr>
                <w:rFonts w:ascii="仿宋" w:hAnsi="仿宋" w:eastAsia="仿宋" w:cs="仿宋"/>
                <w:sz w:val="24"/>
                <w:highlight w:val="none"/>
              </w:rPr>
            </w:pPr>
            <w:r>
              <w:rPr>
                <w:rFonts w:hint="eastAsia" w:ascii="仿宋" w:hAnsi="仿宋" w:eastAsia="仿宋" w:cs="仿宋"/>
                <w:sz w:val="24"/>
                <w:highlight w:val="none"/>
              </w:rPr>
              <w:t>1</w:t>
            </w:r>
          </w:p>
        </w:tc>
        <w:tc>
          <w:tcPr>
            <w:tcW w:w="5188" w:type="dxa"/>
          </w:tcPr>
          <w:p w14:paraId="1F21B81A">
            <w:pPr>
              <w:spacing w:line="360" w:lineRule="auto"/>
              <w:rPr>
                <w:rFonts w:ascii="仿宋" w:hAnsi="仿宋" w:eastAsia="仿宋" w:cs="仿宋"/>
                <w:sz w:val="24"/>
                <w:highlight w:val="none"/>
              </w:rPr>
            </w:pPr>
            <w:r>
              <w:rPr>
                <w:rFonts w:hint="eastAsia" w:ascii="仿宋" w:hAnsi="仿宋" w:eastAsia="仿宋" w:cs="仿宋"/>
                <w:sz w:val="24"/>
                <w:highlight w:val="none"/>
              </w:rPr>
              <w:t>不存在如下情形：投标文件未按照交易文件要求签署、盖章。</w:t>
            </w:r>
          </w:p>
        </w:tc>
        <w:tc>
          <w:tcPr>
            <w:tcW w:w="2354" w:type="dxa"/>
            <w:vAlign w:val="center"/>
          </w:tcPr>
          <w:p w14:paraId="1A3DCA9E">
            <w:pPr>
              <w:rPr>
                <w:rFonts w:ascii="仿宋" w:hAnsi="仿宋" w:eastAsia="仿宋" w:cs="仿宋"/>
                <w:sz w:val="24"/>
                <w:highlight w:val="none"/>
              </w:rPr>
            </w:pPr>
            <w:r>
              <w:rPr>
                <w:rFonts w:hint="eastAsia" w:ascii="仿宋" w:hAnsi="仿宋" w:eastAsia="仿宋" w:cs="仿宋"/>
                <w:sz w:val="24"/>
                <w:highlight w:val="none"/>
              </w:rPr>
              <w:t xml:space="preserve">投标文件的组成部分中需要使用电子签章或者签字盖章处 </w:t>
            </w:r>
          </w:p>
        </w:tc>
        <w:tc>
          <w:tcPr>
            <w:tcW w:w="1418" w:type="dxa"/>
          </w:tcPr>
          <w:p w14:paraId="5AB85C54">
            <w:pPr>
              <w:jc w:val="center"/>
              <w:rPr>
                <w:rFonts w:ascii="仿宋" w:hAnsi="仿宋" w:eastAsia="仿宋" w:cs="仿宋"/>
                <w:sz w:val="24"/>
                <w:highlight w:val="none"/>
              </w:rPr>
            </w:pPr>
          </w:p>
          <w:p w14:paraId="3CA02057">
            <w:pPr>
              <w:jc w:val="center"/>
              <w:rPr>
                <w:rFonts w:ascii="仿宋" w:hAnsi="仿宋" w:eastAsia="仿宋" w:cs="仿宋"/>
                <w:sz w:val="24"/>
                <w:highlight w:val="none"/>
              </w:rPr>
            </w:pPr>
            <w:r>
              <w:rPr>
                <w:rFonts w:hint="eastAsia" w:ascii="仿宋" w:hAnsi="仿宋" w:eastAsia="仿宋" w:cs="仿宋"/>
                <w:sz w:val="24"/>
                <w:highlight w:val="none"/>
              </w:rPr>
              <w:t>见投标文件</w:t>
            </w:r>
          </w:p>
          <w:p w14:paraId="4AA1D085">
            <w:pPr>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32D1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CFB6AE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5188" w:type="dxa"/>
          </w:tcPr>
          <w:p w14:paraId="56EEDECB">
            <w:pPr>
              <w:spacing w:line="360" w:lineRule="auto"/>
              <w:rPr>
                <w:rFonts w:ascii="仿宋" w:hAnsi="仿宋" w:eastAsia="仿宋" w:cs="仿宋"/>
                <w:sz w:val="24"/>
                <w:highlight w:val="none"/>
              </w:rPr>
            </w:pPr>
            <w:r>
              <w:rPr>
                <w:rFonts w:hint="eastAsia" w:ascii="仿宋" w:hAnsi="仿宋" w:eastAsia="仿宋" w:cs="仿宋"/>
                <w:sz w:val="24"/>
                <w:highlight w:val="none"/>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23337C11">
            <w:pPr>
              <w:rPr>
                <w:rFonts w:ascii="仿宋" w:hAnsi="仿宋" w:eastAsia="仿宋" w:cs="仿宋"/>
                <w:sz w:val="24"/>
                <w:highlight w:val="none"/>
              </w:rPr>
            </w:pPr>
            <w:r>
              <w:rPr>
                <w:rFonts w:hint="eastAsia" w:ascii="仿宋" w:hAnsi="仿宋" w:eastAsia="仿宋" w:cs="仿宋"/>
                <w:sz w:val="24"/>
                <w:highlight w:val="none"/>
              </w:rPr>
              <w:t>节能产品认证证书、环境标志产品认证证书（交易文件未要求的，无需提供）</w:t>
            </w:r>
          </w:p>
        </w:tc>
        <w:tc>
          <w:tcPr>
            <w:tcW w:w="1418" w:type="dxa"/>
          </w:tcPr>
          <w:p w14:paraId="142E936D">
            <w:pPr>
              <w:jc w:val="center"/>
              <w:rPr>
                <w:rFonts w:ascii="仿宋" w:hAnsi="仿宋" w:eastAsia="仿宋" w:cs="仿宋"/>
                <w:sz w:val="24"/>
                <w:highlight w:val="none"/>
              </w:rPr>
            </w:pPr>
          </w:p>
          <w:p w14:paraId="571AD7B9">
            <w:pPr>
              <w:jc w:val="center"/>
              <w:rPr>
                <w:rFonts w:ascii="仿宋" w:hAnsi="仿宋" w:eastAsia="仿宋" w:cs="仿宋"/>
                <w:sz w:val="24"/>
                <w:highlight w:val="none"/>
              </w:rPr>
            </w:pPr>
          </w:p>
          <w:p w14:paraId="331A9B6A">
            <w:pPr>
              <w:jc w:val="center"/>
              <w:rPr>
                <w:rFonts w:ascii="仿宋" w:hAnsi="仿宋" w:eastAsia="仿宋" w:cs="仿宋"/>
                <w:sz w:val="24"/>
                <w:highlight w:val="none"/>
              </w:rPr>
            </w:pPr>
            <w:r>
              <w:rPr>
                <w:rFonts w:hint="eastAsia" w:ascii="仿宋" w:hAnsi="仿宋" w:eastAsia="仿宋" w:cs="仿宋"/>
                <w:sz w:val="24"/>
                <w:highlight w:val="none"/>
              </w:rPr>
              <w:t>见投标文件</w:t>
            </w:r>
          </w:p>
          <w:p w14:paraId="47E46121">
            <w:pPr>
              <w:pStyle w:val="7"/>
              <w:numPr>
                <w:ilvl w:val="0"/>
                <w:numId w:val="0"/>
              </w:numPr>
              <w:ind w:left="432"/>
              <w:jc w:val="center"/>
              <w:rPr>
                <w:rFonts w:ascii="仿宋" w:eastAsia="仿宋" w:cs="仿宋"/>
                <w:highlight w:val="none"/>
                <w:lang w:val="en-US"/>
              </w:rPr>
            </w:pPr>
            <w:r>
              <w:rPr>
                <w:rFonts w:hint="eastAsia" w:ascii="仿宋" w:eastAsia="仿宋" w:cs="仿宋"/>
                <w:b w:val="0"/>
                <w:bCs w:val="0"/>
                <w:sz w:val="24"/>
                <w:szCs w:val="24"/>
                <w:highlight w:val="none"/>
                <w:lang w:val="en-US"/>
              </w:rPr>
              <w:t>第  页</w:t>
            </w:r>
          </w:p>
        </w:tc>
      </w:tr>
      <w:tr w14:paraId="38C6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175338C">
            <w:pPr>
              <w:jc w:val="center"/>
              <w:rPr>
                <w:rFonts w:ascii="仿宋" w:hAnsi="仿宋" w:eastAsia="仿宋" w:cs="仿宋"/>
                <w:sz w:val="24"/>
                <w:highlight w:val="none"/>
              </w:rPr>
            </w:pPr>
            <w:r>
              <w:rPr>
                <w:rFonts w:hint="eastAsia" w:ascii="仿宋" w:hAnsi="仿宋" w:eastAsia="仿宋" w:cs="仿宋"/>
                <w:sz w:val="24"/>
                <w:highlight w:val="none"/>
              </w:rPr>
              <w:t>3</w:t>
            </w:r>
          </w:p>
        </w:tc>
        <w:tc>
          <w:tcPr>
            <w:tcW w:w="5188" w:type="dxa"/>
          </w:tcPr>
          <w:p w14:paraId="1E93D4D3">
            <w:pPr>
              <w:spacing w:line="360" w:lineRule="auto"/>
              <w:rPr>
                <w:rFonts w:ascii="仿宋" w:hAnsi="仿宋" w:eastAsia="仿宋" w:cs="仿宋"/>
                <w:sz w:val="24"/>
                <w:highlight w:val="none"/>
              </w:rPr>
            </w:pPr>
            <w:r>
              <w:rPr>
                <w:rFonts w:hint="eastAsia" w:ascii="仿宋" w:hAnsi="仿宋" w:eastAsia="仿宋" w:cs="仿宋"/>
                <w:sz w:val="24"/>
                <w:highlight w:val="none"/>
              </w:rPr>
              <w:t>不存在如下情形：投标文件中承诺的投标有效期少于交易文件中载明的投标有效期。</w:t>
            </w:r>
          </w:p>
        </w:tc>
        <w:tc>
          <w:tcPr>
            <w:tcW w:w="2354" w:type="dxa"/>
            <w:vAlign w:val="center"/>
          </w:tcPr>
          <w:p w14:paraId="38F0401F">
            <w:pPr>
              <w:rPr>
                <w:rFonts w:ascii="仿宋" w:hAnsi="仿宋" w:eastAsia="仿宋" w:cs="仿宋"/>
                <w:sz w:val="24"/>
                <w:highlight w:val="none"/>
              </w:rPr>
            </w:pPr>
            <w:r>
              <w:rPr>
                <w:rFonts w:hint="eastAsia" w:ascii="仿宋" w:hAnsi="仿宋" w:eastAsia="仿宋" w:cs="仿宋"/>
                <w:sz w:val="24"/>
                <w:highlight w:val="none"/>
              </w:rPr>
              <w:t>投标函</w:t>
            </w:r>
          </w:p>
        </w:tc>
        <w:tc>
          <w:tcPr>
            <w:tcW w:w="1418" w:type="dxa"/>
          </w:tcPr>
          <w:p w14:paraId="4C4E594E">
            <w:pPr>
              <w:jc w:val="center"/>
              <w:rPr>
                <w:rFonts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371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BD6F401">
            <w:pPr>
              <w:jc w:val="center"/>
              <w:rPr>
                <w:rFonts w:ascii="仿宋" w:hAnsi="仿宋" w:eastAsia="仿宋" w:cs="仿宋"/>
                <w:sz w:val="24"/>
                <w:highlight w:val="none"/>
              </w:rPr>
            </w:pPr>
            <w:r>
              <w:rPr>
                <w:rFonts w:hint="eastAsia" w:ascii="仿宋" w:hAnsi="仿宋" w:eastAsia="仿宋" w:cs="仿宋"/>
                <w:sz w:val="24"/>
                <w:highlight w:val="none"/>
              </w:rPr>
              <w:t>4</w:t>
            </w:r>
          </w:p>
        </w:tc>
        <w:tc>
          <w:tcPr>
            <w:tcW w:w="5188" w:type="dxa"/>
          </w:tcPr>
          <w:p w14:paraId="6E9F9FF8">
            <w:pPr>
              <w:spacing w:line="360" w:lineRule="auto"/>
              <w:rPr>
                <w:rFonts w:ascii="仿宋" w:hAnsi="仿宋" w:eastAsia="仿宋" w:cs="仿宋"/>
                <w:sz w:val="24"/>
                <w:highlight w:val="none"/>
              </w:rPr>
            </w:pPr>
            <w:r>
              <w:rPr>
                <w:rFonts w:hint="eastAsia" w:ascii="仿宋" w:hAnsi="仿宋" w:eastAsia="仿宋" w:cs="仿宋"/>
                <w:sz w:val="24"/>
                <w:highlight w:val="none"/>
              </w:rPr>
              <w:t>不存在如下情形：投标文件不满足交易文件的其它实质性要求。</w:t>
            </w:r>
          </w:p>
        </w:tc>
        <w:tc>
          <w:tcPr>
            <w:tcW w:w="2354" w:type="dxa"/>
            <w:vAlign w:val="center"/>
          </w:tcPr>
          <w:p w14:paraId="710AA071">
            <w:pPr>
              <w:rPr>
                <w:rFonts w:ascii="仿宋" w:hAnsi="仿宋" w:eastAsia="仿宋" w:cs="仿宋"/>
                <w:sz w:val="24"/>
                <w:highlight w:val="none"/>
              </w:rPr>
            </w:pPr>
            <w:r>
              <w:rPr>
                <w:rFonts w:hint="eastAsia" w:ascii="仿宋" w:hAnsi="仿宋" w:eastAsia="仿宋" w:cs="仿宋"/>
                <w:kern w:val="0"/>
                <w:sz w:val="24"/>
                <w:highlight w:val="none"/>
              </w:rPr>
              <w:t>交易文件其它实质性要求相应的材料（交易文件未要求的，无需提供）</w:t>
            </w:r>
          </w:p>
        </w:tc>
        <w:tc>
          <w:tcPr>
            <w:tcW w:w="1418" w:type="dxa"/>
          </w:tcPr>
          <w:p w14:paraId="23A94E66">
            <w:pPr>
              <w:jc w:val="center"/>
              <w:rPr>
                <w:rFonts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0D0C8436">
      <w:pPr>
        <w:jc w:val="center"/>
        <w:rPr>
          <w:rFonts w:ascii="仿宋" w:hAnsi="仿宋" w:eastAsia="仿宋" w:cs="仿宋"/>
          <w:b/>
          <w:kern w:val="0"/>
          <w:sz w:val="32"/>
          <w:szCs w:val="32"/>
          <w:highlight w:val="none"/>
        </w:rPr>
      </w:pPr>
    </w:p>
    <w:p w14:paraId="174C2C26">
      <w:pPr>
        <w:jc w:val="center"/>
        <w:rPr>
          <w:rFonts w:ascii="仿宋" w:hAnsi="仿宋" w:eastAsia="仿宋" w:cs="仿宋"/>
          <w:b/>
          <w:kern w:val="0"/>
          <w:sz w:val="32"/>
          <w:szCs w:val="32"/>
          <w:highlight w:val="none"/>
        </w:rPr>
      </w:pPr>
    </w:p>
    <w:p w14:paraId="01FE414B">
      <w:pPr>
        <w:jc w:val="center"/>
        <w:rPr>
          <w:rFonts w:ascii="仿宋" w:hAnsi="仿宋" w:eastAsia="仿宋" w:cs="仿宋"/>
          <w:b/>
          <w:kern w:val="0"/>
          <w:sz w:val="32"/>
          <w:szCs w:val="32"/>
          <w:highlight w:val="none"/>
        </w:rPr>
      </w:pPr>
    </w:p>
    <w:p w14:paraId="40E28167">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（二）符合性审查资料具体内容</w:t>
      </w:r>
    </w:p>
    <w:p w14:paraId="402C8D6A">
      <w:pPr>
        <w:rPr>
          <w:rFonts w:ascii="仿宋" w:hAnsi="仿宋" w:eastAsia="仿宋" w:cs="仿宋"/>
          <w:b/>
          <w:kern w:val="0"/>
          <w:sz w:val="32"/>
          <w:szCs w:val="32"/>
          <w:highlight w:val="none"/>
        </w:rPr>
      </w:pPr>
      <w:r>
        <w:rPr>
          <w:rFonts w:hint="eastAsia" w:ascii="仿宋" w:hAnsi="仿宋" w:eastAsia="仿宋" w:cs="仿宋"/>
          <w:sz w:val="24"/>
          <w:highlight w:val="none"/>
        </w:rPr>
        <w:t>1、投标文件的组成部分中需要使用电子签章或者签字盖章处（详见投标文件第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页） </w:t>
      </w:r>
    </w:p>
    <w:p w14:paraId="1F972BA7">
      <w:pPr>
        <w:rPr>
          <w:rFonts w:ascii="仿宋" w:hAnsi="仿宋" w:eastAsia="仿宋" w:cs="仿宋"/>
          <w:kern w:val="0"/>
          <w:sz w:val="24"/>
          <w:highlight w:val="none"/>
        </w:rPr>
      </w:pPr>
      <w:r>
        <w:rPr>
          <w:rFonts w:hint="eastAsia" w:ascii="仿宋" w:hAnsi="仿宋" w:eastAsia="仿宋" w:cs="仿宋"/>
          <w:kern w:val="0"/>
          <w:sz w:val="24"/>
          <w:highlight w:val="none"/>
        </w:rPr>
        <w:t>2、节能产品认证证书</w:t>
      </w:r>
      <w:r>
        <w:rPr>
          <w:rFonts w:hint="eastAsia" w:ascii="仿宋" w:hAnsi="仿宋" w:eastAsia="仿宋" w:cs="仿宋"/>
          <w:sz w:val="24"/>
          <w:highlight w:val="none"/>
        </w:rPr>
        <w:t>、环境标志产品认证证书</w:t>
      </w:r>
      <w:r>
        <w:rPr>
          <w:rFonts w:hint="eastAsia" w:ascii="仿宋" w:hAnsi="仿宋" w:eastAsia="仿宋" w:cs="仿宋"/>
          <w:kern w:val="0"/>
          <w:sz w:val="24"/>
          <w:highlight w:val="none"/>
        </w:rPr>
        <w:t>（交易文件未要求的，无需提供）</w:t>
      </w:r>
    </w:p>
    <w:p w14:paraId="1790E60F">
      <w:pPr>
        <w:rPr>
          <w:rFonts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sz w:val="24"/>
          <w:highlight w:val="none"/>
        </w:rPr>
        <w:t>投标函（详见投标文件第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p w14:paraId="589A62FC">
      <w:pPr>
        <w:rPr>
          <w:rFonts w:ascii="仿宋" w:hAnsi="仿宋" w:eastAsia="仿宋" w:cs="仿宋"/>
          <w:kern w:val="0"/>
          <w:sz w:val="24"/>
          <w:highlight w:val="none"/>
        </w:rPr>
      </w:pPr>
      <w:r>
        <w:rPr>
          <w:rFonts w:hint="eastAsia" w:ascii="仿宋" w:hAnsi="仿宋" w:eastAsia="仿宋" w:cs="仿宋"/>
          <w:kern w:val="0"/>
          <w:sz w:val="24"/>
          <w:highlight w:val="none"/>
        </w:rPr>
        <w:t>4、交易文件其它实质性要求相应的材料（交易文件未要求的，无需提供）</w:t>
      </w:r>
    </w:p>
    <w:p w14:paraId="088D88CF">
      <w:pPr>
        <w:rPr>
          <w:rFonts w:ascii="仿宋" w:hAnsi="仿宋" w:eastAsia="仿宋" w:cs="仿宋"/>
          <w:highlight w:val="none"/>
        </w:rPr>
      </w:pPr>
    </w:p>
    <w:p w14:paraId="223E573A">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27C03175">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6FB01D4">
      <w:pPr>
        <w:numPr>
          <w:ilvl w:val="0"/>
          <w:numId w:val="9"/>
        </w:num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评标标准相应的商务技术资料</w:t>
      </w:r>
    </w:p>
    <w:p w14:paraId="64081B64">
      <w:pPr>
        <w:pStyle w:val="43"/>
        <w:rPr>
          <w:rFonts w:ascii="仿宋" w:hAnsi="仿宋" w:eastAsia="仿宋" w:cs="仿宋"/>
          <w:highlight w:val="none"/>
        </w:rPr>
      </w:pPr>
    </w:p>
    <w:p w14:paraId="6CC7D125">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（按交易文件第四部分评标办法前附表中“投标文件中评标标准相应的商务技术资料目录”提供资料）</w:t>
      </w:r>
    </w:p>
    <w:p w14:paraId="12112677">
      <w:pPr>
        <w:jc w:val="center"/>
        <w:rPr>
          <w:rFonts w:ascii="仿宋" w:hAnsi="仿宋" w:eastAsia="仿宋" w:cs="仿宋"/>
          <w:b/>
          <w:kern w:val="0"/>
          <w:sz w:val="32"/>
          <w:szCs w:val="32"/>
          <w:highlight w:val="none"/>
        </w:rPr>
      </w:pPr>
    </w:p>
    <w:p w14:paraId="167378D6">
      <w:pPr>
        <w:jc w:val="center"/>
        <w:rPr>
          <w:rFonts w:ascii="仿宋" w:hAnsi="仿宋" w:eastAsia="仿宋" w:cs="仿宋"/>
          <w:b/>
          <w:kern w:val="0"/>
          <w:sz w:val="32"/>
          <w:szCs w:val="32"/>
          <w:highlight w:val="none"/>
        </w:rPr>
      </w:pPr>
    </w:p>
    <w:p w14:paraId="25D32D2C">
      <w:pPr>
        <w:jc w:val="center"/>
        <w:rPr>
          <w:rFonts w:ascii="仿宋" w:hAnsi="仿宋" w:eastAsia="仿宋" w:cs="仿宋"/>
          <w:b/>
          <w:kern w:val="0"/>
          <w:sz w:val="32"/>
          <w:szCs w:val="32"/>
          <w:highlight w:val="none"/>
        </w:rPr>
      </w:pPr>
    </w:p>
    <w:p w14:paraId="36814A1A">
      <w:pPr>
        <w:jc w:val="center"/>
        <w:rPr>
          <w:rFonts w:ascii="仿宋" w:hAnsi="仿宋" w:eastAsia="仿宋" w:cs="仿宋"/>
          <w:b/>
          <w:kern w:val="0"/>
          <w:sz w:val="32"/>
          <w:szCs w:val="32"/>
          <w:highlight w:val="none"/>
        </w:rPr>
      </w:pPr>
    </w:p>
    <w:p w14:paraId="032C80EF">
      <w:pPr>
        <w:jc w:val="center"/>
        <w:rPr>
          <w:rFonts w:ascii="仿宋" w:hAnsi="仿宋" w:eastAsia="仿宋" w:cs="仿宋"/>
          <w:b/>
          <w:kern w:val="0"/>
          <w:sz w:val="32"/>
          <w:szCs w:val="32"/>
          <w:highlight w:val="none"/>
        </w:rPr>
      </w:pPr>
    </w:p>
    <w:p w14:paraId="272CEF53">
      <w:pPr>
        <w:jc w:val="center"/>
        <w:rPr>
          <w:rFonts w:ascii="仿宋" w:hAnsi="仿宋" w:eastAsia="仿宋" w:cs="仿宋"/>
          <w:b/>
          <w:kern w:val="0"/>
          <w:sz w:val="32"/>
          <w:szCs w:val="32"/>
          <w:highlight w:val="none"/>
        </w:rPr>
      </w:pPr>
    </w:p>
    <w:p w14:paraId="2687A86B">
      <w:pPr>
        <w:jc w:val="center"/>
        <w:rPr>
          <w:rFonts w:ascii="仿宋" w:hAnsi="仿宋" w:eastAsia="仿宋" w:cs="仿宋"/>
          <w:b/>
          <w:kern w:val="0"/>
          <w:sz w:val="32"/>
          <w:szCs w:val="32"/>
          <w:highlight w:val="none"/>
        </w:rPr>
      </w:pPr>
    </w:p>
    <w:p w14:paraId="551EAEC2">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7B38B54">
      <w:pPr>
        <w:numPr>
          <w:ilvl w:val="0"/>
          <w:numId w:val="9"/>
        </w:num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商务技术偏离表</w:t>
      </w:r>
    </w:p>
    <w:p w14:paraId="6557AAEB">
      <w:pPr>
        <w:pStyle w:val="43"/>
        <w:rPr>
          <w:rFonts w:ascii="仿宋" w:hAnsi="仿宋" w:eastAsia="仿宋" w:cs="仿宋"/>
          <w:highlight w:val="none"/>
        </w:rPr>
      </w:pP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465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919E826">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5BC723DA">
            <w:pPr>
              <w:jc w:val="center"/>
              <w:rPr>
                <w:rFonts w:ascii="仿宋" w:hAnsi="仿宋" w:eastAsia="仿宋" w:cs="仿宋"/>
                <w:b/>
                <w:bCs/>
                <w:sz w:val="24"/>
                <w:highlight w:val="none"/>
              </w:rPr>
            </w:pPr>
            <w:r>
              <w:rPr>
                <w:rFonts w:hint="eastAsia" w:ascii="仿宋" w:hAnsi="仿宋" w:eastAsia="仿宋" w:cs="仿宋"/>
                <w:b/>
                <w:bCs/>
                <w:sz w:val="24"/>
                <w:highlight w:val="none"/>
              </w:rPr>
              <w:t>交易文件章节及具体内容</w:t>
            </w:r>
          </w:p>
        </w:tc>
        <w:tc>
          <w:tcPr>
            <w:tcW w:w="3546" w:type="dxa"/>
          </w:tcPr>
          <w:p w14:paraId="062E318D">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4AAB7261">
            <w:pPr>
              <w:jc w:val="center"/>
              <w:rPr>
                <w:rFonts w:ascii="仿宋" w:hAnsi="仿宋" w:eastAsia="仿宋" w:cs="仿宋"/>
                <w:b/>
                <w:bCs/>
                <w:sz w:val="24"/>
                <w:highlight w:val="none"/>
              </w:rPr>
            </w:pPr>
            <w:r>
              <w:rPr>
                <w:rFonts w:hint="eastAsia" w:ascii="仿宋" w:hAnsi="仿宋" w:eastAsia="仿宋" w:cs="仿宋"/>
                <w:b/>
                <w:bCs/>
                <w:sz w:val="24"/>
                <w:highlight w:val="none"/>
              </w:rPr>
              <w:t>偏差说明</w:t>
            </w:r>
          </w:p>
        </w:tc>
      </w:tr>
      <w:tr w14:paraId="4308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3BC5A56">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1</w:t>
            </w:r>
          </w:p>
        </w:tc>
        <w:tc>
          <w:tcPr>
            <w:tcW w:w="3683" w:type="dxa"/>
          </w:tcPr>
          <w:p w14:paraId="75C51421">
            <w:pPr>
              <w:jc w:val="center"/>
              <w:rPr>
                <w:rFonts w:ascii="仿宋" w:hAnsi="仿宋" w:eastAsia="仿宋" w:cs="仿宋"/>
                <w:b/>
                <w:kern w:val="0"/>
                <w:sz w:val="32"/>
                <w:szCs w:val="32"/>
                <w:highlight w:val="none"/>
              </w:rPr>
            </w:pPr>
          </w:p>
        </w:tc>
        <w:tc>
          <w:tcPr>
            <w:tcW w:w="3546" w:type="dxa"/>
          </w:tcPr>
          <w:p w14:paraId="3BE89D03">
            <w:pPr>
              <w:jc w:val="center"/>
              <w:rPr>
                <w:rFonts w:ascii="仿宋" w:hAnsi="仿宋" w:eastAsia="仿宋" w:cs="仿宋"/>
                <w:b/>
                <w:kern w:val="0"/>
                <w:sz w:val="32"/>
                <w:szCs w:val="32"/>
                <w:highlight w:val="none"/>
              </w:rPr>
            </w:pPr>
          </w:p>
        </w:tc>
        <w:tc>
          <w:tcPr>
            <w:tcW w:w="1276" w:type="dxa"/>
          </w:tcPr>
          <w:p w14:paraId="72751903">
            <w:pPr>
              <w:jc w:val="center"/>
              <w:rPr>
                <w:rFonts w:ascii="仿宋" w:hAnsi="仿宋" w:eastAsia="仿宋" w:cs="仿宋"/>
                <w:b/>
                <w:kern w:val="0"/>
                <w:sz w:val="32"/>
                <w:szCs w:val="32"/>
                <w:highlight w:val="none"/>
              </w:rPr>
            </w:pPr>
          </w:p>
        </w:tc>
      </w:tr>
      <w:tr w14:paraId="605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256C1B">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2</w:t>
            </w:r>
          </w:p>
        </w:tc>
        <w:tc>
          <w:tcPr>
            <w:tcW w:w="3683" w:type="dxa"/>
          </w:tcPr>
          <w:p w14:paraId="43DBDEDA">
            <w:pPr>
              <w:jc w:val="center"/>
              <w:rPr>
                <w:rFonts w:ascii="仿宋" w:hAnsi="仿宋" w:eastAsia="仿宋" w:cs="仿宋"/>
                <w:b/>
                <w:kern w:val="0"/>
                <w:sz w:val="32"/>
                <w:szCs w:val="32"/>
                <w:highlight w:val="none"/>
              </w:rPr>
            </w:pPr>
          </w:p>
        </w:tc>
        <w:tc>
          <w:tcPr>
            <w:tcW w:w="3546" w:type="dxa"/>
          </w:tcPr>
          <w:p w14:paraId="747532D7">
            <w:pPr>
              <w:jc w:val="center"/>
              <w:rPr>
                <w:rFonts w:ascii="仿宋" w:hAnsi="仿宋" w:eastAsia="仿宋" w:cs="仿宋"/>
                <w:b/>
                <w:kern w:val="0"/>
                <w:sz w:val="32"/>
                <w:szCs w:val="32"/>
                <w:highlight w:val="none"/>
              </w:rPr>
            </w:pPr>
          </w:p>
        </w:tc>
        <w:tc>
          <w:tcPr>
            <w:tcW w:w="1276" w:type="dxa"/>
          </w:tcPr>
          <w:p w14:paraId="28A44824">
            <w:pPr>
              <w:jc w:val="center"/>
              <w:rPr>
                <w:rFonts w:ascii="仿宋" w:hAnsi="仿宋" w:eastAsia="仿宋" w:cs="仿宋"/>
                <w:b/>
                <w:kern w:val="0"/>
                <w:sz w:val="32"/>
                <w:szCs w:val="32"/>
                <w:highlight w:val="none"/>
              </w:rPr>
            </w:pPr>
          </w:p>
        </w:tc>
      </w:tr>
      <w:tr w14:paraId="47FF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BDD681">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w:t>
            </w:r>
          </w:p>
        </w:tc>
        <w:tc>
          <w:tcPr>
            <w:tcW w:w="3683" w:type="dxa"/>
          </w:tcPr>
          <w:p w14:paraId="302BA9AB">
            <w:pPr>
              <w:jc w:val="center"/>
              <w:rPr>
                <w:rFonts w:ascii="仿宋" w:hAnsi="仿宋" w:eastAsia="仿宋" w:cs="仿宋"/>
                <w:b/>
                <w:kern w:val="0"/>
                <w:sz w:val="32"/>
                <w:szCs w:val="32"/>
                <w:highlight w:val="none"/>
              </w:rPr>
            </w:pPr>
          </w:p>
        </w:tc>
        <w:tc>
          <w:tcPr>
            <w:tcW w:w="3546" w:type="dxa"/>
          </w:tcPr>
          <w:p w14:paraId="0B506449">
            <w:pPr>
              <w:jc w:val="center"/>
              <w:rPr>
                <w:rFonts w:ascii="仿宋" w:hAnsi="仿宋" w:eastAsia="仿宋" w:cs="仿宋"/>
                <w:b/>
                <w:kern w:val="0"/>
                <w:sz w:val="32"/>
                <w:szCs w:val="32"/>
                <w:highlight w:val="none"/>
              </w:rPr>
            </w:pPr>
          </w:p>
        </w:tc>
        <w:tc>
          <w:tcPr>
            <w:tcW w:w="1276" w:type="dxa"/>
          </w:tcPr>
          <w:p w14:paraId="36DA5776">
            <w:pPr>
              <w:jc w:val="center"/>
              <w:rPr>
                <w:rFonts w:ascii="仿宋" w:hAnsi="仿宋" w:eastAsia="仿宋" w:cs="仿宋"/>
                <w:b/>
                <w:kern w:val="0"/>
                <w:sz w:val="32"/>
                <w:szCs w:val="32"/>
                <w:highlight w:val="none"/>
              </w:rPr>
            </w:pPr>
          </w:p>
        </w:tc>
      </w:tr>
    </w:tbl>
    <w:p w14:paraId="796285F4">
      <w:pPr>
        <w:jc w:val="left"/>
        <w:rPr>
          <w:rFonts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供应商保证：除商务技术偏离表列出的偏离外，供应商响应交易文件的全部要求</w:t>
      </w:r>
    </w:p>
    <w:p w14:paraId="1AD2A7CF">
      <w:pPr>
        <w:jc w:val="center"/>
        <w:rPr>
          <w:rFonts w:ascii="仿宋" w:hAnsi="仿宋" w:eastAsia="仿宋" w:cs="仿宋"/>
          <w:b/>
          <w:kern w:val="0"/>
          <w:sz w:val="32"/>
          <w:szCs w:val="32"/>
          <w:highlight w:val="none"/>
        </w:rPr>
      </w:pPr>
    </w:p>
    <w:p w14:paraId="0A99A7DC">
      <w:pPr>
        <w:jc w:val="center"/>
        <w:rPr>
          <w:rFonts w:ascii="仿宋" w:hAnsi="仿宋" w:eastAsia="仿宋" w:cs="仿宋"/>
          <w:b/>
          <w:kern w:val="0"/>
          <w:sz w:val="32"/>
          <w:szCs w:val="32"/>
          <w:highlight w:val="none"/>
        </w:rPr>
      </w:pPr>
    </w:p>
    <w:p w14:paraId="0A9BAC68">
      <w:pPr>
        <w:jc w:val="center"/>
        <w:rPr>
          <w:rFonts w:ascii="仿宋" w:hAnsi="仿宋" w:eastAsia="仿宋" w:cs="仿宋"/>
          <w:b/>
          <w:kern w:val="0"/>
          <w:sz w:val="32"/>
          <w:szCs w:val="32"/>
          <w:highlight w:val="none"/>
        </w:rPr>
      </w:pPr>
    </w:p>
    <w:p w14:paraId="7920E42B">
      <w:pPr>
        <w:jc w:val="center"/>
        <w:rPr>
          <w:rFonts w:ascii="仿宋" w:hAnsi="仿宋" w:eastAsia="仿宋" w:cs="仿宋"/>
          <w:b/>
          <w:kern w:val="0"/>
          <w:sz w:val="32"/>
          <w:szCs w:val="32"/>
          <w:highlight w:val="none"/>
        </w:rPr>
      </w:pPr>
    </w:p>
    <w:p w14:paraId="1FC3B3B0">
      <w:pPr>
        <w:jc w:val="center"/>
        <w:rPr>
          <w:rFonts w:ascii="仿宋" w:hAnsi="仿宋" w:eastAsia="仿宋" w:cs="仿宋"/>
          <w:b/>
          <w:kern w:val="0"/>
          <w:sz w:val="32"/>
          <w:szCs w:val="32"/>
          <w:highlight w:val="none"/>
        </w:rPr>
      </w:pPr>
    </w:p>
    <w:p w14:paraId="58D2F47F">
      <w:pPr>
        <w:jc w:val="center"/>
        <w:rPr>
          <w:rFonts w:ascii="仿宋" w:hAnsi="仿宋" w:eastAsia="仿宋" w:cs="仿宋"/>
          <w:b/>
          <w:kern w:val="0"/>
          <w:sz w:val="32"/>
          <w:szCs w:val="32"/>
          <w:highlight w:val="none"/>
        </w:rPr>
      </w:pPr>
    </w:p>
    <w:p w14:paraId="52D1E38B">
      <w:pPr>
        <w:jc w:val="center"/>
        <w:rPr>
          <w:rFonts w:ascii="仿宋" w:hAnsi="仿宋" w:eastAsia="仿宋" w:cs="仿宋"/>
          <w:b/>
          <w:kern w:val="0"/>
          <w:sz w:val="32"/>
          <w:szCs w:val="32"/>
          <w:highlight w:val="none"/>
        </w:rPr>
      </w:pPr>
    </w:p>
    <w:p w14:paraId="03905B4F">
      <w:pPr>
        <w:jc w:val="center"/>
        <w:rPr>
          <w:rFonts w:ascii="仿宋" w:hAnsi="仿宋" w:eastAsia="仿宋" w:cs="仿宋"/>
          <w:b/>
          <w:kern w:val="0"/>
          <w:sz w:val="32"/>
          <w:szCs w:val="32"/>
          <w:highlight w:val="none"/>
        </w:rPr>
      </w:pPr>
    </w:p>
    <w:p w14:paraId="0D291B5F">
      <w:pPr>
        <w:jc w:val="center"/>
        <w:rPr>
          <w:rFonts w:ascii="仿宋" w:hAnsi="仿宋" w:eastAsia="仿宋" w:cs="仿宋"/>
          <w:b/>
          <w:kern w:val="0"/>
          <w:sz w:val="32"/>
          <w:szCs w:val="32"/>
          <w:highlight w:val="none"/>
        </w:rPr>
      </w:pPr>
    </w:p>
    <w:p w14:paraId="22A326AC">
      <w:pPr>
        <w:jc w:val="center"/>
        <w:rPr>
          <w:rFonts w:ascii="仿宋" w:hAnsi="仿宋" w:eastAsia="仿宋" w:cs="仿宋"/>
          <w:b/>
          <w:kern w:val="0"/>
          <w:sz w:val="32"/>
          <w:szCs w:val="32"/>
          <w:highlight w:val="none"/>
        </w:rPr>
      </w:pPr>
    </w:p>
    <w:p w14:paraId="4A8B1164">
      <w:pPr>
        <w:jc w:val="center"/>
        <w:rPr>
          <w:rFonts w:ascii="仿宋" w:hAnsi="仿宋" w:eastAsia="仿宋" w:cs="仿宋"/>
          <w:b/>
          <w:kern w:val="0"/>
          <w:sz w:val="32"/>
          <w:szCs w:val="32"/>
          <w:highlight w:val="none"/>
        </w:rPr>
      </w:pPr>
    </w:p>
    <w:p w14:paraId="564826B9">
      <w:pPr>
        <w:jc w:val="center"/>
        <w:rPr>
          <w:rFonts w:ascii="仿宋" w:hAnsi="仿宋" w:eastAsia="仿宋" w:cs="仿宋"/>
          <w:b/>
          <w:kern w:val="0"/>
          <w:sz w:val="32"/>
          <w:szCs w:val="32"/>
          <w:highlight w:val="none"/>
        </w:rPr>
      </w:pPr>
    </w:p>
    <w:p w14:paraId="426A3321">
      <w:pPr>
        <w:ind w:firstLine="2891" w:firstLineChars="900"/>
        <w:rPr>
          <w:rFonts w:ascii="仿宋" w:hAnsi="仿宋" w:eastAsia="仿宋" w:cs="仿宋"/>
          <w:b/>
          <w:bCs/>
          <w:sz w:val="32"/>
          <w:szCs w:val="32"/>
          <w:highlight w:val="none"/>
        </w:rPr>
      </w:pPr>
    </w:p>
    <w:p w14:paraId="4B288311">
      <w:pPr>
        <w:ind w:firstLine="2891" w:firstLineChars="900"/>
        <w:rPr>
          <w:rFonts w:ascii="仿宋" w:hAnsi="仿宋" w:eastAsia="仿宋" w:cs="仿宋"/>
          <w:b/>
          <w:bCs/>
          <w:sz w:val="32"/>
          <w:szCs w:val="32"/>
          <w:highlight w:val="none"/>
        </w:rPr>
      </w:pPr>
    </w:p>
    <w:p w14:paraId="1B54DB3D">
      <w:pPr>
        <w:ind w:firstLine="2891" w:firstLineChars="900"/>
        <w:rPr>
          <w:rFonts w:ascii="仿宋" w:hAnsi="仿宋" w:eastAsia="仿宋" w:cs="仿宋"/>
          <w:b/>
          <w:bCs/>
          <w:sz w:val="32"/>
          <w:szCs w:val="32"/>
          <w:highlight w:val="none"/>
        </w:rPr>
      </w:pPr>
    </w:p>
    <w:p w14:paraId="3C71453A">
      <w:pPr>
        <w:ind w:firstLine="2891" w:firstLineChars="900"/>
        <w:rPr>
          <w:rFonts w:ascii="仿宋" w:hAnsi="仿宋" w:eastAsia="仿宋" w:cs="仿宋"/>
          <w:b/>
          <w:bCs/>
          <w:sz w:val="32"/>
          <w:szCs w:val="32"/>
          <w:highlight w:val="none"/>
        </w:rPr>
      </w:pPr>
    </w:p>
    <w:p w14:paraId="6B2FD362">
      <w:pPr>
        <w:ind w:firstLine="2891" w:firstLineChars="900"/>
        <w:rPr>
          <w:rFonts w:ascii="仿宋" w:hAnsi="仿宋" w:eastAsia="仿宋" w:cs="仿宋"/>
          <w:b/>
          <w:bCs/>
          <w:sz w:val="32"/>
          <w:szCs w:val="32"/>
          <w:highlight w:val="none"/>
        </w:rPr>
      </w:pPr>
    </w:p>
    <w:p w14:paraId="773E34D7">
      <w:pPr>
        <w:ind w:firstLine="2891" w:firstLineChars="900"/>
        <w:rPr>
          <w:rFonts w:ascii="仿宋" w:hAnsi="仿宋" w:eastAsia="仿宋" w:cs="仿宋"/>
          <w:b/>
          <w:bCs/>
          <w:sz w:val="32"/>
          <w:szCs w:val="32"/>
          <w:highlight w:val="none"/>
        </w:rPr>
      </w:pPr>
    </w:p>
    <w:p w14:paraId="2D0BD2FE">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44A34F1">
      <w:pPr>
        <w:numPr>
          <w:ilvl w:val="0"/>
          <w:numId w:val="9"/>
        </w:num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政府采购供应商廉洁自律承诺书</w:t>
      </w:r>
    </w:p>
    <w:p w14:paraId="26296CEA">
      <w:pPr>
        <w:pStyle w:val="43"/>
        <w:rPr>
          <w:rFonts w:ascii="仿宋" w:hAnsi="仿宋" w:eastAsia="仿宋" w:cs="仿宋"/>
          <w:highlight w:val="none"/>
        </w:rPr>
      </w:pPr>
    </w:p>
    <w:p w14:paraId="3ED66E6B">
      <w:pPr>
        <w:snapToGrid w:val="0"/>
        <w:spacing w:line="360" w:lineRule="auto"/>
        <w:rPr>
          <w:rFonts w:ascii="仿宋" w:hAnsi="仿宋" w:eastAsia="仿宋" w:cs="仿宋"/>
          <w:sz w:val="24"/>
          <w:highlight w:val="none"/>
        </w:rPr>
      </w:pPr>
    </w:p>
    <w:p w14:paraId="264E4C55">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（采购人名称）、（采购代理机构名称）</w:t>
      </w:r>
      <w:r>
        <w:rPr>
          <w:rFonts w:hint="eastAsia" w:ascii="仿宋" w:hAnsi="仿宋" w:eastAsia="仿宋" w:cs="仿宋"/>
          <w:kern w:val="0"/>
          <w:sz w:val="24"/>
          <w:highlight w:val="none"/>
          <w:lang w:val="zh-CN"/>
        </w:rPr>
        <w:t>：</w:t>
      </w:r>
    </w:p>
    <w:p w14:paraId="31DF4B01">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项目交易要求参加投标。在这次投标过程中和中标后，我们将严格遵守国家法律法规要求，并郑重承诺：</w:t>
      </w:r>
    </w:p>
    <w:p w14:paraId="17CFD550">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6A80A03">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10561D68">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BF84D1B">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15E5769F">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4ED8CE1A">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6B08E658">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交易投标</w:t>
      </w:r>
    </w:p>
    <w:p w14:paraId="0FC641BB">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21F6EAA3">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73B17BDF">
      <w:pPr>
        <w:autoSpaceDE w:val="0"/>
        <w:autoSpaceDN w:val="0"/>
        <w:spacing w:line="360" w:lineRule="auto"/>
        <w:ind w:left="2"/>
        <w:jc w:val="left"/>
        <w:rPr>
          <w:rFonts w:ascii="仿宋" w:hAnsi="仿宋" w:eastAsia="仿宋" w:cs="仿宋"/>
          <w:kern w:val="0"/>
          <w:sz w:val="24"/>
          <w:highlight w:val="none"/>
          <w:lang w:val="zh-CN"/>
        </w:rPr>
      </w:pPr>
    </w:p>
    <w:p w14:paraId="6C4E502A">
      <w:pPr>
        <w:autoSpaceDE w:val="0"/>
        <w:autoSpaceDN w:val="0"/>
        <w:spacing w:line="360" w:lineRule="auto"/>
        <w:ind w:left="2"/>
        <w:jc w:val="left"/>
        <w:rPr>
          <w:rFonts w:ascii="仿宋" w:hAnsi="仿宋" w:eastAsia="仿宋" w:cs="仿宋"/>
          <w:kern w:val="0"/>
          <w:sz w:val="24"/>
          <w:highlight w:val="none"/>
          <w:lang w:val="zh-CN"/>
        </w:rPr>
      </w:pPr>
    </w:p>
    <w:p w14:paraId="30502B56">
      <w:pPr>
        <w:autoSpaceDE w:val="0"/>
        <w:autoSpaceDN w:val="0"/>
        <w:spacing w:line="360" w:lineRule="auto"/>
        <w:ind w:left="2"/>
        <w:jc w:val="left"/>
        <w:rPr>
          <w:rFonts w:ascii="仿宋" w:hAnsi="仿宋" w:eastAsia="仿宋" w:cs="仿宋"/>
          <w:kern w:val="0"/>
          <w:sz w:val="24"/>
          <w:highlight w:val="none"/>
          <w:lang w:val="zh-CN"/>
        </w:rPr>
      </w:pPr>
    </w:p>
    <w:p w14:paraId="5457811B">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电子签章</w:t>
      </w:r>
      <w:r>
        <w:rPr>
          <w:rFonts w:hint="eastAsia" w:ascii="仿宋" w:hAnsi="仿宋" w:eastAsia="仿宋" w:cs="仿宋"/>
          <w:kern w:val="0"/>
          <w:sz w:val="24"/>
          <w:highlight w:val="none"/>
          <w:lang w:val="zh-CN"/>
        </w:rPr>
        <w:t xml:space="preserve">）：                                                                                                                                                                                                               </w:t>
      </w:r>
    </w:p>
    <w:p w14:paraId="69BA7A5D">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3C678135">
      <w:pPr>
        <w:numPr>
          <w:ilvl w:val="0"/>
          <w:numId w:val="10"/>
        </w:numPr>
        <w:spacing w:line="360" w:lineRule="auto"/>
        <w:jc w:val="center"/>
        <w:rPr>
          <w:rFonts w:ascii="仿宋" w:hAnsi="仿宋" w:eastAsia="仿宋" w:cs="仿宋"/>
          <w:b/>
          <w:bCs/>
          <w:kern w:val="0"/>
          <w:sz w:val="24"/>
          <w:highlight w:val="none"/>
        </w:rPr>
        <w:sectPr>
          <w:pgSz w:w="11906" w:h="16838"/>
          <w:pgMar w:top="1247" w:right="1418" w:bottom="1276" w:left="1418" w:header="851" w:footer="992" w:gutter="0"/>
          <w:cols w:space="720" w:num="1"/>
        </w:sectPr>
      </w:pPr>
    </w:p>
    <w:p w14:paraId="13804FCC">
      <w:pPr>
        <w:spacing w:line="360" w:lineRule="auto"/>
        <w:jc w:val="left"/>
        <w:outlineLvl w:val="0"/>
        <w:rPr>
          <w:rFonts w:ascii="宋体" w:hAnsi="宋体" w:cs="宋体"/>
          <w:b/>
          <w:sz w:val="32"/>
          <w:szCs w:val="18"/>
        </w:rPr>
      </w:pPr>
      <w:bookmarkStart w:id="430" w:name="_Toc465665161"/>
      <w:r>
        <w:rPr>
          <w:rFonts w:hint="eastAsia" w:ascii="宋体" w:hAnsi="宋体" w:cs="宋体"/>
          <w:b/>
          <w:sz w:val="32"/>
          <w:szCs w:val="18"/>
          <w:lang w:val="en-US" w:eastAsia="zh-CN"/>
        </w:rPr>
        <w:t>附件：</w:t>
      </w:r>
      <w:r>
        <w:rPr>
          <w:rFonts w:hint="eastAsia" w:ascii="宋体" w:hAnsi="宋体" w:cs="宋体"/>
          <w:b/>
          <w:sz w:val="32"/>
          <w:szCs w:val="18"/>
        </w:rPr>
        <w:t>中小企业声明函</w:t>
      </w:r>
    </w:p>
    <w:p w14:paraId="658F1C44">
      <w:pPr>
        <w:spacing w:line="360" w:lineRule="auto"/>
        <w:jc w:val="center"/>
        <w:rPr>
          <w:rFonts w:ascii="宋体" w:hAnsi="宋体" w:cs="宋体"/>
          <w:sz w:val="24"/>
          <w:u w:val="single"/>
        </w:rPr>
      </w:pPr>
    </w:p>
    <w:p w14:paraId="4A50E62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E30155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710207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670563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4F36EEE8">
      <w:pPr>
        <w:spacing w:line="360" w:lineRule="auto"/>
        <w:ind w:firstLine="480" w:firstLineChars="200"/>
        <w:jc w:val="left"/>
        <w:rPr>
          <w:rFonts w:ascii="宋体" w:hAnsi="宋体" w:cs="宋体"/>
          <w:sz w:val="24"/>
        </w:rPr>
      </w:pPr>
      <w:r>
        <w:rPr>
          <w:rFonts w:hint="eastAsia" w:ascii="宋体" w:hAnsi="宋体" w:cs="宋体"/>
          <w:sz w:val="24"/>
        </w:rPr>
        <w:t>……</w:t>
      </w:r>
    </w:p>
    <w:p w14:paraId="3049190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766F6C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7FB9B41">
      <w:pPr>
        <w:spacing w:line="360" w:lineRule="auto"/>
        <w:ind w:right="1760"/>
        <w:jc w:val="right"/>
        <w:rPr>
          <w:rFonts w:ascii="宋体" w:hAnsi="宋体" w:cs="宋体"/>
          <w:sz w:val="24"/>
        </w:rPr>
      </w:pPr>
      <w:r>
        <w:rPr>
          <w:rFonts w:hint="eastAsia" w:ascii="宋体" w:hAnsi="宋体" w:cs="宋体"/>
          <w:sz w:val="24"/>
        </w:rPr>
        <w:t>投标人名称（电子签名）：</w:t>
      </w:r>
    </w:p>
    <w:p w14:paraId="49BA0538">
      <w:pPr>
        <w:spacing w:line="360" w:lineRule="auto"/>
        <w:ind w:right="1120" w:firstLine="4680" w:firstLineChars="1950"/>
        <w:rPr>
          <w:rFonts w:ascii="宋体" w:hAnsi="宋体" w:cs="宋体"/>
          <w:sz w:val="24"/>
        </w:rPr>
      </w:pPr>
      <w:r>
        <w:rPr>
          <w:rFonts w:hint="eastAsia" w:ascii="宋体" w:hAnsi="宋体" w:cs="宋体"/>
          <w:sz w:val="24"/>
        </w:rPr>
        <w:t>日 期：</w:t>
      </w:r>
    </w:p>
    <w:p w14:paraId="7DD8A399">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18AF8874">
      <w:pPr>
        <w:spacing w:line="360" w:lineRule="auto"/>
        <w:ind w:right="420"/>
        <w:rPr>
          <w:rFonts w:ascii="宋体" w:hAnsi="宋体" w:cs="宋体"/>
          <w:sz w:val="24"/>
        </w:rPr>
      </w:pPr>
      <w:r>
        <w:rPr>
          <w:rFonts w:hint="eastAsia" w:ascii="宋体" w:hAnsi="宋体" w:cs="宋体"/>
          <w:sz w:val="24"/>
        </w:rPr>
        <w:t xml:space="preserve">   注：</w:t>
      </w:r>
    </w:p>
    <w:p w14:paraId="536CDCD4">
      <w:pPr>
        <w:spacing w:line="360" w:lineRule="auto"/>
        <w:ind w:right="420" w:firstLine="420"/>
        <w:rPr>
          <w:rFonts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69534D4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DC6796">
      <w:r>
        <w:rPr>
          <w:rFonts w:hint="eastAsia"/>
        </w:rPr>
        <w:br w:type="page"/>
      </w:r>
    </w:p>
    <w:p w14:paraId="51A8B7DF">
      <w:pPr>
        <w:pStyle w:val="7"/>
        <w:numPr>
          <w:ilvl w:val="0"/>
          <w:numId w:val="0"/>
        </w:numPr>
        <w:ind w:leftChars="0"/>
        <w:rPr>
          <w:rFonts w:ascii="宋体" w:hAnsi="宋体" w:eastAsia="宋体" w:cs="宋体"/>
          <w:bCs w:val="0"/>
          <w:szCs w:val="18"/>
          <w:lang w:val="en-US"/>
        </w:rPr>
      </w:pPr>
      <w:r>
        <w:rPr>
          <w:rFonts w:hint="eastAsia" w:ascii="宋体" w:hAnsi="宋体" w:eastAsia="宋体" w:cs="宋体"/>
          <w:bCs w:val="0"/>
          <w:szCs w:val="18"/>
          <w:lang w:val="en-US" w:eastAsia="zh-CN"/>
        </w:rPr>
        <w:t>附件：</w:t>
      </w:r>
      <w:r>
        <w:rPr>
          <w:rFonts w:hint="eastAsia" w:ascii="宋体" w:hAnsi="宋体" w:eastAsia="宋体" w:cs="宋体"/>
          <w:bCs w:val="0"/>
          <w:szCs w:val="18"/>
          <w:lang w:val="en-US"/>
        </w:rPr>
        <w:t>中小企业划型标准</w:t>
      </w:r>
    </w:p>
    <w:p w14:paraId="472A2A88">
      <w:pPr>
        <w:spacing w:line="360" w:lineRule="auto"/>
      </w:pPr>
      <w:r>
        <w:rPr>
          <w:rFonts w:hint="eastAsia" w:ascii="宋体" w:hAnsi="宋体" w:cs="宋体"/>
          <w:kern w:val="0"/>
          <w:sz w:val="24"/>
        </w:rPr>
        <w:t>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43282C5A">
      <w:pPr>
        <w:pStyle w:val="6"/>
        <w:rPr>
          <w:rFonts w:hint="eastAsia" w:cs="仿宋"/>
          <w:color w:val="auto"/>
          <w:highlight w:val="none"/>
        </w:rPr>
        <w:sectPr>
          <w:headerReference r:id="rId15" w:type="first"/>
          <w:footerReference r:id="rId17" w:type="first"/>
          <w:headerReference r:id="rId14" w:type="default"/>
          <w:footerReference r:id="rId16" w:type="default"/>
          <w:pgSz w:w="11906" w:h="16838"/>
          <w:pgMar w:top="1247" w:right="1418" w:bottom="1276" w:left="1418" w:header="851" w:footer="992" w:gutter="0"/>
          <w:cols w:space="720" w:num="1"/>
          <w:titlePg/>
          <w:docGrid w:linePitch="312" w:charSpace="0"/>
        </w:sectPr>
      </w:pPr>
    </w:p>
    <w:p w14:paraId="28A7058E">
      <w:pPr>
        <w:pStyle w:val="6"/>
        <w:rPr>
          <w:rFonts w:cs="仿宋"/>
          <w:color w:val="auto"/>
          <w:highlight w:val="none"/>
        </w:rPr>
      </w:pPr>
      <w:r>
        <w:rPr>
          <w:rFonts w:hint="eastAsia" w:cs="仿宋"/>
          <w:color w:val="auto"/>
          <w:highlight w:val="none"/>
        </w:rPr>
        <w:t>附件</w:t>
      </w:r>
      <w:bookmarkEnd w:id="430"/>
    </w:p>
    <w:p w14:paraId="441FE00D">
      <w:pPr>
        <w:rPr>
          <w:rFonts w:ascii="仿宋" w:hAnsi="仿宋" w:eastAsia="仿宋" w:cs="仿宋"/>
          <w:highlight w:val="none"/>
        </w:rPr>
      </w:pPr>
    </w:p>
    <w:p w14:paraId="2D841CDF">
      <w:pPr>
        <w:spacing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3C22FCA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F72DDBA">
      <w:pPr>
        <w:snapToGrid w:val="0"/>
        <w:spacing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0879D540">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BBC0E9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邮箱： </w:t>
      </w:r>
      <w:r>
        <w:rPr>
          <w:rFonts w:hint="eastAsia" w:ascii="仿宋" w:hAnsi="仿宋" w:eastAsia="仿宋" w:cs="仿宋"/>
          <w:sz w:val="24"/>
          <w:highlight w:val="none"/>
          <w:u w:val="dotted"/>
        </w:rPr>
        <w:t xml:space="preserve">                      </w:t>
      </w:r>
    </w:p>
    <w:p w14:paraId="3870C91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1FC5155">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D556C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86BEA7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5B5BDC1">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5864DF6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205BD75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标项号：</w:t>
      </w:r>
      <w:r>
        <w:rPr>
          <w:rFonts w:hint="eastAsia" w:ascii="仿宋" w:hAnsi="仿宋" w:eastAsia="仿宋" w:cs="仿宋"/>
          <w:sz w:val="24"/>
          <w:highlight w:val="none"/>
          <w:u w:val="dotted"/>
        </w:rPr>
        <w:t xml:space="preserve">                 </w:t>
      </w:r>
    </w:p>
    <w:p w14:paraId="7E49F678">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336FB2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1627EEBE">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365E6586">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4CCFCE62">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9160402">
      <w:pPr>
        <w:snapToGrid w:val="0"/>
        <w:spacing w:line="360" w:lineRule="auto"/>
        <w:rPr>
          <w:rFonts w:ascii="仿宋" w:hAnsi="仿宋" w:eastAsia="仿宋" w:cs="仿宋"/>
          <w:sz w:val="24"/>
          <w:highlight w:val="none"/>
        </w:rPr>
      </w:pPr>
      <w:r>
        <w:rPr>
          <w:rFonts w:hint="eastAsia" w:ascii="仿宋" w:hAnsi="仿宋" w:eastAsia="仿宋" w:cs="仿宋"/>
          <w:sz w:val="24"/>
          <w:highlight w:val="none"/>
          <w:u w:val="dotted"/>
        </w:rPr>
        <w:t xml:space="preserve">                                                       </w:t>
      </w:r>
    </w:p>
    <w:p w14:paraId="562FDBB2">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6777E36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340B077">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2A87720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7D2D21F3">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3EA6AC5E">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763DA2D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6A1BC3EF">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34A9FA7C">
      <w:pPr>
        <w:spacing w:line="360" w:lineRule="auto"/>
        <w:jc w:val="center"/>
        <w:rPr>
          <w:rFonts w:ascii="仿宋" w:hAnsi="仿宋" w:eastAsia="仿宋" w:cs="仿宋"/>
          <w:b/>
          <w:bCs/>
          <w:sz w:val="24"/>
          <w:highlight w:val="none"/>
        </w:rPr>
      </w:pPr>
    </w:p>
    <w:p w14:paraId="5692E3F7">
      <w:pPr>
        <w:spacing w:line="360" w:lineRule="auto"/>
        <w:rPr>
          <w:rFonts w:ascii="仿宋" w:hAnsi="仿宋" w:eastAsia="仿宋" w:cs="仿宋"/>
          <w:b/>
          <w:sz w:val="24"/>
          <w:highlight w:val="none"/>
        </w:rPr>
      </w:pPr>
    </w:p>
    <w:p w14:paraId="7E96D9FD">
      <w:pPr>
        <w:spacing w:line="360" w:lineRule="auto"/>
        <w:rPr>
          <w:rFonts w:ascii="仿宋" w:hAnsi="仿宋" w:eastAsia="仿宋" w:cs="仿宋"/>
          <w:b/>
          <w:sz w:val="24"/>
          <w:highlight w:val="none"/>
        </w:rPr>
      </w:pPr>
    </w:p>
    <w:p w14:paraId="469A2CA2">
      <w:pPr>
        <w:spacing w:line="360" w:lineRule="auto"/>
        <w:rPr>
          <w:rFonts w:ascii="仿宋" w:hAnsi="仿宋" w:eastAsia="仿宋" w:cs="仿宋"/>
          <w:b/>
          <w:sz w:val="24"/>
          <w:highlight w:val="none"/>
        </w:rPr>
      </w:pPr>
    </w:p>
    <w:p w14:paraId="019AA672">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14:paraId="4C2BD13C">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3DA617A">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8E62085">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43574F4">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4457BB2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1661B0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37BC2876">
      <w:pPr>
        <w:widowControl/>
        <w:spacing w:line="360" w:lineRule="auto"/>
        <w:ind w:firstLine="600" w:firstLineChars="200"/>
        <w:jc w:val="left"/>
        <w:rPr>
          <w:rFonts w:ascii="仿宋" w:hAnsi="仿宋" w:eastAsia="仿宋" w:cs="仿宋"/>
          <w:sz w:val="30"/>
          <w:szCs w:val="30"/>
          <w:highlight w:val="none"/>
        </w:rPr>
      </w:pPr>
    </w:p>
    <w:p w14:paraId="003B6125">
      <w:pPr>
        <w:spacing w:line="360" w:lineRule="auto"/>
        <w:jc w:val="center"/>
        <w:rPr>
          <w:rFonts w:ascii="仿宋" w:hAnsi="仿宋" w:eastAsia="仿宋" w:cs="仿宋"/>
          <w:b/>
          <w:spacing w:val="6"/>
          <w:sz w:val="32"/>
          <w:szCs w:val="32"/>
          <w:highlight w:val="none"/>
        </w:rPr>
      </w:pPr>
    </w:p>
    <w:p w14:paraId="5D61AF6C">
      <w:pPr>
        <w:spacing w:line="360" w:lineRule="auto"/>
        <w:jc w:val="center"/>
        <w:rPr>
          <w:rFonts w:ascii="仿宋" w:hAnsi="仿宋" w:eastAsia="仿宋" w:cs="仿宋"/>
          <w:b/>
          <w:spacing w:val="6"/>
          <w:sz w:val="32"/>
          <w:szCs w:val="32"/>
          <w:highlight w:val="none"/>
        </w:rPr>
      </w:pPr>
    </w:p>
    <w:p w14:paraId="36F36D26">
      <w:pPr>
        <w:spacing w:line="360" w:lineRule="auto"/>
        <w:jc w:val="center"/>
        <w:rPr>
          <w:rFonts w:ascii="仿宋" w:hAnsi="仿宋" w:eastAsia="仿宋" w:cs="仿宋"/>
          <w:b/>
          <w:spacing w:val="6"/>
          <w:sz w:val="32"/>
          <w:szCs w:val="32"/>
          <w:highlight w:val="none"/>
        </w:rPr>
      </w:pPr>
    </w:p>
    <w:p w14:paraId="2715360A">
      <w:pPr>
        <w:spacing w:line="360" w:lineRule="auto"/>
        <w:jc w:val="center"/>
        <w:rPr>
          <w:rFonts w:ascii="仿宋" w:hAnsi="仿宋" w:eastAsia="仿宋" w:cs="仿宋"/>
          <w:b/>
          <w:spacing w:val="6"/>
          <w:sz w:val="32"/>
          <w:szCs w:val="32"/>
          <w:highlight w:val="none"/>
        </w:rPr>
      </w:pPr>
    </w:p>
    <w:p w14:paraId="318C0F1A">
      <w:pPr>
        <w:spacing w:line="360" w:lineRule="auto"/>
        <w:jc w:val="center"/>
        <w:rPr>
          <w:rFonts w:ascii="仿宋" w:hAnsi="仿宋" w:eastAsia="仿宋" w:cs="仿宋"/>
          <w:b/>
          <w:spacing w:val="6"/>
          <w:sz w:val="32"/>
          <w:szCs w:val="32"/>
          <w:highlight w:val="none"/>
        </w:rPr>
      </w:pPr>
    </w:p>
    <w:p w14:paraId="33778836">
      <w:pPr>
        <w:spacing w:line="360" w:lineRule="auto"/>
        <w:jc w:val="center"/>
        <w:rPr>
          <w:rFonts w:ascii="仿宋" w:hAnsi="仿宋" w:eastAsia="仿宋" w:cs="仿宋"/>
          <w:b/>
          <w:spacing w:val="6"/>
          <w:sz w:val="32"/>
          <w:szCs w:val="32"/>
          <w:highlight w:val="none"/>
        </w:rPr>
      </w:pPr>
    </w:p>
    <w:p w14:paraId="7B9ADFAD">
      <w:pPr>
        <w:spacing w:line="360" w:lineRule="auto"/>
        <w:jc w:val="center"/>
        <w:rPr>
          <w:rFonts w:ascii="仿宋" w:hAnsi="仿宋" w:eastAsia="仿宋" w:cs="仿宋"/>
          <w:b/>
          <w:spacing w:val="6"/>
          <w:sz w:val="32"/>
          <w:szCs w:val="32"/>
          <w:highlight w:val="none"/>
        </w:rPr>
      </w:pPr>
    </w:p>
    <w:p w14:paraId="606DB0E6">
      <w:pPr>
        <w:spacing w:line="360" w:lineRule="auto"/>
        <w:jc w:val="center"/>
        <w:rPr>
          <w:rFonts w:ascii="仿宋" w:hAnsi="仿宋" w:eastAsia="仿宋" w:cs="仿宋"/>
          <w:b/>
          <w:spacing w:val="6"/>
          <w:sz w:val="32"/>
          <w:szCs w:val="32"/>
          <w:highlight w:val="none"/>
        </w:rPr>
      </w:pPr>
    </w:p>
    <w:p w14:paraId="6DDE0AE1">
      <w:pPr>
        <w:spacing w:line="360" w:lineRule="auto"/>
        <w:jc w:val="center"/>
        <w:rPr>
          <w:rFonts w:ascii="仿宋" w:hAnsi="仿宋" w:eastAsia="仿宋" w:cs="仿宋"/>
          <w:b/>
          <w:spacing w:val="6"/>
          <w:sz w:val="32"/>
          <w:szCs w:val="32"/>
          <w:highlight w:val="none"/>
        </w:rPr>
      </w:pPr>
    </w:p>
    <w:p w14:paraId="3EC351E2">
      <w:pPr>
        <w:spacing w:line="360" w:lineRule="auto"/>
        <w:jc w:val="center"/>
        <w:rPr>
          <w:rFonts w:ascii="仿宋" w:hAnsi="仿宋" w:eastAsia="仿宋" w:cs="仿宋"/>
          <w:b/>
          <w:spacing w:val="6"/>
          <w:sz w:val="32"/>
          <w:szCs w:val="32"/>
          <w:highlight w:val="none"/>
        </w:rPr>
      </w:pPr>
    </w:p>
    <w:p w14:paraId="1FB91033">
      <w:pPr>
        <w:spacing w:line="360" w:lineRule="auto"/>
        <w:jc w:val="center"/>
        <w:rPr>
          <w:rFonts w:ascii="仿宋" w:hAnsi="仿宋" w:eastAsia="仿宋" w:cs="仿宋"/>
          <w:b/>
          <w:spacing w:val="6"/>
          <w:sz w:val="32"/>
          <w:szCs w:val="32"/>
          <w:highlight w:val="none"/>
        </w:rPr>
      </w:pPr>
    </w:p>
    <w:p w14:paraId="4F5C9A8B">
      <w:pPr>
        <w:spacing w:line="360" w:lineRule="auto"/>
        <w:jc w:val="center"/>
        <w:rPr>
          <w:rFonts w:ascii="仿宋" w:hAnsi="仿宋" w:eastAsia="仿宋" w:cs="仿宋"/>
          <w:b/>
          <w:spacing w:val="6"/>
          <w:sz w:val="32"/>
          <w:szCs w:val="32"/>
          <w:highlight w:val="none"/>
        </w:rPr>
      </w:pPr>
    </w:p>
    <w:p w14:paraId="395B2464">
      <w:pPr>
        <w:spacing w:line="360" w:lineRule="auto"/>
        <w:jc w:val="left"/>
        <w:rPr>
          <w:rFonts w:ascii="仿宋" w:hAnsi="仿宋" w:eastAsia="仿宋" w:cs="仿宋"/>
          <w:b/>
          <w:spacing w:val="6"/>
          <w:sz w:val="32"/>
          <w:szCs w:val="32"/>
          <w:highlight w:val="none"/>
        </w:rPr>
      </w:pPr>
    </w:p>
    <w:p w14:paraId="5F20CAC7">
      <w:pPr>
        <w:spacing w:line="360" w:lineRule="auto"/>
        <w:jc w:val="left"/>
        <w:rPr>
          <w:rFonts w:ascii="仿宋" w:hAnsi="仿宋" w:eastAsia="仿宋" w:cs="仿宋"/>
          <w:b/>
          <w:spacing w:val="6"/>
          <w:sz w:val="32"/>
          <w:szCs w:val="32"/>
          <w:highlight w:val="none"/>
        </w:rPr>
      </w:pPr>
    </w:p>
    <w:p w14:paraId="2D49C43C">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附件2：投诉书范本及制作说明</w:t>
      </w:r>
    </w:p>
    <w:p w14:paraId="1F15316A">
      <w:pPr>
        <w:spacing w:line="360" w:lineRule="auto"/>
        <w:jc w:val="center"/>
        <w:rPr>
          <w:rFonts w:ascii="仿宋" w:hAnsi="仿宋" w:eastAsia="仿宋" w:cs="仿宋"/>
          <w:b/>
          <w:sz w:val="24"/>
          <w:highlight w:val="none"/>
        </w:rPr>
      </w:pPr>
    </w:p>
    <w:p w14:paraId="4CB842BE">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464CF65">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14:paraId="434F792F">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C469819">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8AFAB0B">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9623F21">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466D327">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9BF05C9">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2327FB9B">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E3945B8">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4F18A7B">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9BBEDE0">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21631344">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275F9219">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FEFCCC">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1740B4A">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55F361F">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14:paraId="62789A73">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F14FF75">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3861C58">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8FF7E69">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采购代理机构名称：</w:t>
      </w:r>
      <w:r>
        <w:rPr>
          <w:rFonts w:hint="eastAsia" w:ascii="仿宋" w:hAnsi="仿宋" w:eastAsia="仿宋" w:cs="仿宋"/>
          <w:sz w:val="24"/>
          <w:highlight w:val="none"/>
          <w:u w:val="dotted"/>
        </w:rPr>
        <w:t xml:space="preserve">                                         </w:t>
      </w:r>
    </w:p>
    <w:p w14:paraId="3F097D26">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724E00A">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1C73E5F">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14:paraId="28F280E2">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00F2DE19">
      <w:pPr>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E8D8211">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采购人/采购代理机构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4CEA424F">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14:paraId="16190887">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514981A">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5FD62DB">
      <w:pPr>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42DBB2A3">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0AF2855">
      <w:pPr>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1BBE877">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10BDA39D">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5EA499F5">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14:paraId="5A747D6B">
      <w:pPr>
        <w:spacing w:line="360" w:lineRule="auto"/>
        <w:rPr>
          <w:rFonts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256CABE">
      <w:pPr>
        <w:spacing w:line="360" w:lineRule="auto"/>
        <w:rPr>
          <w:rFonts w:ascii="仿宋" w:hAnsi="仿宋" w:eastAsia="仿宋" w:cs="仿宋"/>
          <w:sz w:val="24"/>
          <w:highlight w:val="none"/>
          <w:u w:val="single"/>
        </w:rPr>
      </w:pPr>
      <w:r>
        <w:rPr>
          <w:rFonts w:hint="eastAsia" w:ascii="仿宋" w:hAnsi="仿宋" w:eastAsia="仿宋" w:cs="仿宋"/>
          <w:sz w:val="24"/>
          <w:highlight w:val="none"/>
        </w:rPr>
        <w:t xml:space="preserve">                                                                                                    </w:t>
      </w:r>
    </w:p>
    <w:p w14:paraId="0B773CC0">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3019E64E">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31AD2CAE">
      <w:pPr>
        <w:spacing w:line="360" w:lineRule="auto"/>
        <w:rPr>
          <w:rFonts w:ascii="仿宋" w:hAnsi="仿宋" w:eastAsia="仿宋" w:cs="仿宋"/>
          <w:b/>
          <w:sz w:val="24"/>
          <w:highlight w:val="none"/>
        </w:rPr>
      </w:pPr>
    </w:p>
    <w:p w14:paraId="3BD6F199">
      <w:pPr>
        <w:spacing w:line="360" w:lineRule="auto"/>
        <w:rPr>
          <w:rFonts w:ascii="仿宋" w:hAnsi="仿宋" w:eastAsia="仿宋" w:cs="仿宋"/>
          <w:b/>
          <w:sz w:val="24"/>
          <w:highlight w:val="none"/>
        </w:rPr>
      </w:pPr>
    </w:p>
    <w:p w14:paraId="77DC0836">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06FD44C8">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21FED623">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5C27F36B">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6F297D82">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370A9BF3">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8DB5D66">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14DA3EA">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24E474B5">
      <w:pPr>
        <w:widowControl/>
        <w:adjustRightInd/>
        <w:jc w:val="left"/>
        <w:rPr>
          <w:rFonts w:ascii="仿宋" w:hAnsi="仿宋" w:eastAsia="仿宋" w:cs="仿宋"/>
          <w:b/>
          <w:sz w:val="24"/>
          <w:highlight w:val="none"/>
        </w:rPr>
      </w:pPr>
      <w:r>
        <w:rPr>
          <w:rFonts w:hint="eastAsia" w:ascii="仿宋" w:hAnsi="仿宋" w:eastAsia="仿宋" w:cs="仿宋"/>
          <w:b/>
          <w:sz w:val="24"/>
          <w:highlight w:val="none"/>
        </w:rPr>
        <w:br w:type="page"/>
      </w:r>
    </w:p>
    <w:p w14:paraId="1C9B5F90">
      <w:pPr>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 质疑答复范本</w:t>
      </w:r>
    </w:p>
    <w:p w14:paraId="52A6CBF5">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关于*****项目质疑的答复</w:t>
      </w:r>
    </w:p>
    <w:p w14:paraId="4198B7DA">
      <w:pPr>
        <w:snapToGrid w:val="0"/>
        <w:spacing w:line="360" w:lineRule="auto"/>
        <w:rPr>
          <w:rFonts w:ascii="仿宋" w:hAnsi="仿宋" w:eastAsia="仿宋" w:cs="仿宋"/>
          <w:sz w:val="24"/>
          <w:highlight w:val="none"/>
        </w:rPr>
      </w:pPr>
    </w:p>
    <w:p w14:paraId="7849D8E5">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质疑项目名称：</w:t>
      </w:r>
      <w:r>
        <w:rPr>
          <w:rFonts w:hint="eastAsia" w:ascii="仿宋" w:hAnsi="仿宋" w:eastAsia="仿宋" w:cs="仿宋"/>
          <w:sz w:val="24"/>
          <w:highlight w:val="none"/>
          <w:u w:val="dotted"/>
        </w:rPr>
        <w:t xml:space="preserve"> ***政府采购项目                                       </w:t>
      </w:r>
    </w:p>
    <w:p w14:paraId="705F06CC">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质疑项目编号：</w:t>
      </w:r>
      <w:r>
        <w:rPr>
          <w:rFonts w:hint="eastAsia" w:ascii="仿宋" w:hAnsi="仿宋" w:eastAsia="仿宋" w:cs="仿宋"/>
          <w:sz w:val="24"/>
          <w:highlight w:val="none"/>
          <w:u w:val="dotted"/>
        </w:rPr>
        <w:t xml:space="preserve"> ***                                     </w:t>
      </w:r>
    </w:p>
    <w:p w14:paraId="327799CF">
      <w:pPr>
        <w:snapToGrid w:val="0"/>
        <w:spacing w:line="360" w:lineRule="auto"/>
        <w:rPr>
          <w:rFonts w:ascii="仿宋" w:hAnsi="仿宋" w:eastAsia="仿宋" w:cs="仿宋"/>
          <w:bCs/>
          <w:sz w:val="24"/>
          <w:highlight w:val="none"/>
        </w:rPr>
      </w:pPr>
      <w:r>
        <w:rPr>
          <w:rFonts w:hint="eastAsia" w:ascii="仿宋" w:hAnsi="仿宋" w:eastAsia="仿宋" w:cs="仿宋"/>
          <w:sz w:val="24"/>
          <w:highlight w:val="none"/>
        </w:rPr>
        <w:t>本单位于  月  日收到质疑函，  月  日收到补充材料，答复内容如下。</w:t>
      </w:r>
    </w:p>
    <w:p w14:paraId="1B9CEDCD">
      <w:pPr>
        <w:numPr>
          <w:ilvl w:val="0"/>
          <w:numId w:val="11"/>
        </w:numPr>
        <w:snapToGrid w:val="0"/>
        <w:spacing w:line="360" w:lineRule="auto"/>
        <w:jc w:val="left"/>
        <w:rPr>
          <w:rFonts w:ascii="仿宋" w:hAnsi="仿宋" w:eastAsia="仿宋" w:cs="仿宋"/>
          <w:bCs/>
          <w:sz w:val="24"/>
          <w:highlight w:val="none"/>
        </w:rPr>
      </w:pPr>
      <w:r>
        <w:rPr>
          <w:rFonts w:hint="eastAsia" w:ascii="仿宋" w:hAnsi="仿宋" w:eastAsia="仿宋" w:cs="仿宋"/>
          <w:bCs/>
          <w:sz w:val="24"/>
          <w:highlight w:val="none"/>
        </w:rPr>
        <w:t>质疑人</w:t>
      </w:r>
    </w:p>
    <w:p w14:paraId="6229FABC">
      <w:pPr>
        <w:snapToGrid w:val="0"/>
        <w:spacing w:line="360" w:lineRule="auto"/>
        <w:jc w:val="left"/>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AFA2AF8">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AF5CFB3">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                           </w:t>
      </w:r>
    </w:p>
    <w:p w14:paraId="5BFC8497">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8C07D29">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邮箱：</w:t>
      </w:r>
      <w:r>
        <w:rPr>
          <w:rFonts w:hint="eastAsia" w:ascii="仿宋" w:hAnsi="仿宋" w:eastAsia="仿宋" w:cs="仿宋"/>
          <w:sz w:val="24"/>
          <w:highlight w:val="none"/>
          <w:u w:val="dotted"/>
        </w:rPr>
        <w:t xml:space="preserve">                                                </w:t>
      </w:r>
    </w:p>
    <w:p w14:paraId="654DDEBF">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二、项目采购人和代理机构</w:t>
      </w:r>
    </w:p>
    <w:p w14:paraId="0ACC88F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u w:val="dotted"/>
        </w:rPr>
        <w:t xml:space="preserve">                                                             </w:t>
      </w:r>
    </w:p>
    <w:p w14:paraId="359CCB0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采购人地址：</w:t>
      </w:r>
      <w:r>
        <w:rPr>
          <w:rFonts w:hint="eastAsia" w:ascii="仿宋" w:hAnsi="仿宋" w:eastAsia="仿宋" w:cs="仿宋"/>
          <w:sz w:val="24"/>
          <w:highlight w:val="none"/>
          <w:u w:val="dotted"/>
        </w:rPr>
        <w:t xml:space="preserve">                                                          </w:t>
      </w:r>
    </w:p>
    <w:p w14:paraId="451B1888">
      <w:pPr>
        <w:snapToGrid w:val="0"/>
        <w:spacing w:line="360" w:lineRule="auto"/>
        <w:jc w:val="left"/>
        <w:rPr>
          <w:rFonts w:ascii="仿宋" w:hAnsi="仿宋" w:eastAsia="仿宋" w:cs="仿宋"/>
          <w:sz w:val="24"/>
          <w:highlight w:val="none"/>
          <w:u w:val="dotted"/>
        </w:rPr>
      </w:pPr>
      <w:r>
        <w:rPr>
          <w:rFonts w:hint="eastAsia" w:ascii="仿宋" w:hAnsi="仿宋" w:eastAsia="仿宋" w:cs="仿宋"/>
          <w:sz w:val="24"/>
          <w:highlight w:val="none"/>
        </w:rPr>
        <w:t>质疑联系人：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质疑联系方式：</w:t>
      </w:r>
      <w:r>
        <w:rPr>
          <w:rFonts w:hint="eastAsia" w:ascii="仿宋" w:hAnsi="仿宋" w:eastAsia="仿宋" w:cs="仿宋"/>
          <w:sz w:val="24"/>
          <w:highlight w:val="none"/>
          <w:u w:val="dotted"/>
        </w:rPr>
        <w:t xml:space="preserve">               邮箱：            </w:t>
      </w:r>
    </w:p>
    <w:p w14:paraId="426BF823">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采购代理机构：</w:t>
      </w:r>
      <w:r>
        <w:rPr>
          <w:rFonts w:hint="eastAsia" w:ascii="仿宋" w:hAnsi="仿宋" w:eastAsia="仿宋" w:cs="仿宋"/>
          <w:sz w:val="24"/>
          <w:highlight w:val="none"/>
          <w:u w:val="dotted"/>
        </w:rPr>
        <w:t xml:space="preserve">                                                        </w:t>
      </w:r>
    </w:p>
    <w:p w14:paraId="5B72B90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采购代理机构地址：</w:t>
      </w:r>
      <w:r>
        <w:rPr>
          <w:rFonts w:hint="eastAsia" w:ascii="仿宋" w:hAnsi="仿宋" w:eastAsia="仿宋" w:cs="仿宋"/>
          <w:sz w:val="24"/>
          <w:highlight w:val="none"/>
          <w:u w:val="dotted"/>
        </w:rPr>
        <w:t xml:space="preserve">                                                     </w:t>
      </w:r>
    </w:p>
    <w:p w14:paraId="4E9A0B68">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质疑联系方式：</w:t>
      </w:r>
      <w:r>
        <w:rPr>
          <w:rFonts w:hint="eastAsia" w:ascii="仿宋" w:hAnsi="仿宋" w:eastAsia="仿宋" w:cs="仿宋"/>
          <w:sz w:val="24"/>
          <w:highlight w:val="none"/>
          <w:u w:val="dotted"/>
        </w:rPr>
        <w:t xml:space="preserve">                 邮箱：           </w:t>
      </w:r>
    </w:p>
    <w:p w14:paraId="354C9676">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w:t>
      </w:r>
    </w:p>
    <w:p w14:paraId="786D9AA7">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2E82E61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质疑事项2：</w:t>
      </w:r>
      <w:r>
        <w:rPr>
          <w:rFonts w:hint="eastAsia" w:ascii="仿宋" w:hAnsi="仿宋" w:eastAsia="仿宋" w:cs="仿宋"/>
          <w:sz w:val="24"/>
          <w:highlight w:val="none"/>
          <w:u w:val="dotted"/>
        </w:rPr>
        <w:t xml:space="preserve">                    </w:t>
      </w:r>
    </w:p>
    <w:p w14:paraId="5E3EF0E6">
      <w:pPr>
        <w:numPr>
          <w:ilvl w:val="0"/>
          <w:numId w:val="12"/>
        </w:num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审查及答复</w:t>
      </w:r>
    </w:p>
    <w:p w14:paraId="2BFF0873">
      <w:pPr>
        <w:snapToGrid w:val="0"/>
        <w:spacing w:line="360" w:lineRule="auto"/>
        <w:rPr>
          <w:rFonts w:ascii="仿宋" w:hAnsi="仿宋" w:eastAsia="仿宋" w:cs="仿宋"/>
          <w:sz w:val="24"/>
          <w:highlight w:val="none"/>
          <w:u w:val="dotted"/>
        </w:rPr>
      </w:pPr>
      <w:r>
        <w:rPr>
          <w:rFonts w:hint="eastAsia" w:ascii="仿宋" w:hAnsi="仿宋" w:eastAsia="仿宋" w:cs="仿宋"/>
          <w:bCs/>
          <w:sz w:val="24"/>
          <w:highlight w:val="none"/>
        </w:rPr>
        <w:t>事项1：</w:t>
      </w:r>
      <w:r>
        <w:rPr>
          <w:rFonts w:hint="eastAsia" w:ascii="仿宋" w:hAnsi="仿宋" w:eastAsia="仿宋" w:cs="仿宋"/>
          <w:sz w:val="24"/>
          <w:highlight w:val="none"/>
          <w:u w:val="dotted"/>
        </w:rPr>
        <w:t xml:space="preserve">                    </w:t>
      </w:r>
    </w:p>
    <w:p w14:paraId="535B5312">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事项2：</w:t>
      </w:r>
      <w:r>
        <w:rPr>
          <w:rFonts w:hint="eastAsia" w:ascii="仿宋" w:hAnsi="仿宋" w:eastAsia="仿宋" w:cs="仿宋"/>
          <w:sz w:val="24"/>
          <w:highlight w:val="none"/>
          <w:u w:val="dotted"/>
        </w:rPr>
        <w:t xml:space="preserve">                    </w:t>
      </w:r>
    </w:p>
    <w:p w14:paraId="3CC6E6E6">
      <w:pPr>
        <w:snapToGrid w:val="0"/>
        <w:spacing w:line="360" w:lineRule="auto"/>
        <w:ind w:firstLine="480"/>
        <w:rPr>
          <w:rFonts w:ascii="仿宋" w:hAnsi="仿宋" w:eastAsia="仿宋" w:cs="仿宋"/>
          <w:bCs/>
          <w:sz w:val="24"/>
          <w:highlight w:val="none"/>
        </w:rPr>
      </w:pPr>
      <w:r>
        <w:rPr>
          <w:rFonts w:hint="eastAsia" w:ascii="仿宋" w:hAnsi="仿宋" w:eastAsia="仿宋" w:cs="仿宋"/>
          <w:bCs/>
          <w:sz w:val="24"/>
          <w:highlight w:val="none"/>
        </w:rPr>
        <w:t>欢迎并感谢你单位对政府采购活动的参与和支持。</w:t>
      </w:r>
    </w:p>
    <w:p w14:paraId="1B1E025F">
      <w:pPr>
        <w:snapToGrid w:val="0"/>
        <w:spacing w:line="360" w:lineRule="auto"/>
        <w:rPr>
          <w:rFonts w:ascii="仿宋" w:hAnsi="仿宋" w:eastAsia="仿宋" w:cs="仿宋"/>
          <w:bCs/>
          <w:sz w:val="24"/>
          <w:highlight w:val="none"/>
        </w:rPr>
      </w:pPr>
    </w:p>
    <w:p w14:paraId="3CD19108">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采购单位：</w:t>
      </w:r>
    </w:p>
    <w:p w14:paraId="50687467">
      <w:pPr>
        <w:spacing w:line="360" w:lineRule="auto"/>
        <w:ind w:firstLine="5520" w:firstLineChars="2300"/>
        <w:rPr>
          <w:rFonts w:ascii="仿宋" w:hAnsi="仿宋" w:eastAsia="仿宋" w:cs="仿宋"/>
          <w:sz w:val="24"/>
          <w:highlight w:val="none"/>
        </w:rPr>
      </w:pPr>
      <w:r>
        <w:rPr>
          <w:rFonts w:hint="eastAsia" w:ascii="仿宋" w:hAnsi="仿宋" w:eastAsia="仿宋" w:cs="仿宋"/>
          <w:sz w:val="24"/>
          <w:highlight w:val="none"/>
        </w:rPr>
        <w:t xml:space="preserve">          年  月  日 </w:t>
      </w:r>
    </w:p>
    <w:p w14:paraId="3F3D0945">
      <w:pPr>
        <w:spacing w:line="360" w:lineRule="auto"/>
        <w:rPr>
          <w:rFonts w:ascii="仿宋" w:hAnsi="仿宋" w:eastAsia="仿宋" w:cs="仿宋"/>
          <w:b/>
          <w:sz w:val="24"/>
          <w:highlight w:val="none"/>
        </w:rPr>
      </w:pPr>
    </w:p>
    <w:sectPr>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Arial"/>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88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859F">
    <w:pPr>
      <w:pStyle w:val="40"/>
      <w:framePr w:wrap="around" w:vAnchor="text" w:hAnchor="margin" w:xAlign="right" w:y="1"/>
      <w:rPr>
        <w:rStyle w:val="67"/>
      </w:rPr>
    </w:pPr>
    <w:r>
      <w:fldChar w:fldCharType="begin"/>
    </w:r>
    <w:r>
      <w:rPr>
        <w:rStyle w:val="67"/>
      </w:rPr>
      <w:instrText xml:space="preserve">PAGE  </w:instrText>
    </w:r>
    <w:r>
      <w:fldChar w:fldCharType="end"/>
    </w:r>
  </w:p>
  <w:p w14:paraId="5BF2D99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CA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2F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023BF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58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E9858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CD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A804FF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CE9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122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31" w:name="_Toc164085800"/>
    <w:bookmarkStart w:id="432" w:name="_Toc91899912"/>
    <w:bookmarkStart w:id="433" w:name="_Toc131845147"/>
    <w:bookmarkStart w:id="434" w:name="_Toc36110187"/>
    <w:r>
      <w:rPr>
        <w:rFonts w:hint="eastAsia" w:ascii="仿宋_GB2312" w:eastAsia="仿宋_GB2312"/>
        <w:kern w:val="0"/>
        <w:szCs w:val="21"/>
      </w:rPr>
      <w:t xml:space="preserve"> 页</w:t>
    </w:r>
    <w:bookmarkEnd w:id="431"/>
    <w:bookmarkEnd w:id="432"/>
    <w:bookmarkEnd w:id="433"/>
    <w:bookmarkEnd w:id="43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8686">
    <w:pPr>
      <w:pStyle w:val="41"/>
      <w:pBdr>
        <w:bottom w:val="single" w:color="auto" w:sz="6" w:space="0"/>
      </w:pBdr>
      <w:jc w:val="right"/>
    </w:pPr>
    <w:r>
      <w:rPr>
        <w:rFonts w:hint="eastAsia"/>
      </w:rPr>
      <w:t>公开交易文件</w:t>
    </w:r>
  </w:p>
  <w:p w14:paraId="5999C64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B6B7">
    <w:pPr>
      <w:pStyle w:val="41"/>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19E0">
    <w:pPr>
      <w:pStyle w:val="41"/>
      <w:jc w:val="right"/>
      <w:rPr>
        <w:rFonts w:ascii="仿宋_GB2312" w:eastAsia="仿宋_GB2312"/>
        <w:b/>
        <w:i/>
        <w:u w:val="single"/>
      </w:rPr>
    </w:pPr>
    <w:r>
      <w:rPr>
        <w:rFonts w:hint="eastAsia"/>
      </w:rPr>
      <w:t xml:space="preserve">                                                                                                                                                                      公开交易文件</w:t>
    </w:r>
  </w:p>
  <w:p w14:paraId="014E415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D436">
    <w:pPr>
      <w:pStyle w:val="41"/>
    </w:pPr>
  </w:p>
  <w:p w14:paraId="15FB10A2">
    <w:pPr>
      <w:pStyle w:val="41"/>
    </w:pPr>
    <w:r>
      <w:rPr>
        <w:rFonts w:hint="eastAsia"/>
      </w:rPr>
      <w:t xml:space="preserve">                                                                                       公开交易文件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D402">
    <w:pPr>
      <w:pStyle w:val="41"/>
      <w:jc w:val="right"/>
      <w:rPr>
        <w:rFonts w:ascii="仿宋_GB2312" w:eastAsia="仿宋_GB2312"/>
        <w:b/>
        <w:i/>
        <w:u w:val="single"/>
      </w:rPr>
    </w:pPr>
    <w:r>
      <w:t></w:t>
    </w:r>
    <w:r>
      <w:rPr>
        <w:rFonts w:hint="eastAsia"/>
      </w:rPr>
      <w:t xml:space="preserve">                 </w:t>
    </w:r>
    <w:r>
      <w:t>公开</w:t>
    </w:r>
    <w:r>
      <w:rPr>
        <w:rFonts w:hint="eastAsia"/>
      </w:rPr>
      <w:t>交易</w:t>
    </w:r>
    <w:r>
      <w:t>文件</w:t>
    </w:r>
  </w:p>
  <w:p w14:paraId="1C9C3C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41CF">
    <w:pPr>
      <w:pStyle w:val="41"/>
      <w:rPr>
        <w:rFonts w:ascii="仿宋_GB2312" w:eastAsia="仿宋_GB2312"/>
        <w:b/>
        <w:i/>
        <w:iCs/>
        <w:u w:val="single"/>
      </w:rPr>
    </w:pPr>
    <w:r>
      <w:rPr>
        <w:rFonts w:hint="eastAsia"/>
      </w:rPr>
      <w:t xml:space="preserve">                                                                                       公开交易文件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70F2">
    <w:pPr>
      <w:pStyle w:val="41"/>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395"/>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2"/>
      <w:lvlText w:val="%1.%2.%3.%4.%5"/>
      <w:lvlJc w:val="left"/>
      <w:pPr>
        <w:tabs>
          <w:tab w:val="left" w:pos="1008"/>
        </w:tabs>
        <w:ind w:left="1008" w:hanging="1008"/>
      </w:pPr>
    </w:lvl>
    <w:lvl w:ilvl="5" w:tentative="0">
      <w:start w:val="1"/>
      <w:numFmt w:val="decimal"/>
      <w:pStyle w:val="13"/>
      <w:lvlText w:val="%1.%2.%3.%4.%5.%6"/>
      <w:lvlJc w:val="left"/>
      <w:pPr>
        <w:tabs>
          <w:tab w:val="left" w:pos="1152"/>
        </w:tabs>
        <w:ind w:left="1152" w:hanging="1152"/>
      </w:pPr>
    </w:lvl>
    <w:lvl w:ilvl="6" w:tentative="0">
      <w:start w:val="1"/>
      <w:numFmt w:val="decimal"/>
      <w:pStyle w:val="14"/>
      <w:lvlText w:val="%1.%2.%3.%4.%5.%6.%7"/>
      <w:lvlJc w:val="left"/>
      <w:pPr>
        <w:tabs>
          <w:tab w:val="left" w:pos="1296"/>
        </w:tabs>
        <w:ind w:left="1296" w:hanging="1296"/>
      </w:pPr>
    </w:lvl>
    <w:lvl w:ilvl="7" w:tentative="0">
      <w:start w:val="1"/>
      <w:numFmt w:val="decimal"/>
      <w:pStyle w:val="15"/>
      <w:lvlText w:val="%1.%2.%3.%4.%5.%6.%7.%8"/>
      <w:lvlJc w:val="left"/>
      <w:pPr>
        <w:tabs>
          <w:tab w:val="left" w:pos="1440"/>
        </w:tabs>
        <w:ind w:left="1440" w:hanging="1440"/>
      </w:pPr>
    </w:lvl>
    <w:lvl w:ilvl="8" w:tentative="0">
      <w:start w:val="1"/>
      <w:numFmt w:val="decimal"/>
      <w:pStyle w:val="16"/>
      <w:lvlText w:val="%1.%2.%3.%4.%5.%6.%7.%8.%9"/>
      <w:lvlJc w:val="left"/>
      <w:pPr>
        <w:tabs>
          <w:tab w:val="left" w:pos="1584"/>
        </w:tabs>
        <w:ind w:left="1584" w:hanging="1584"/>
      </w:pPr>
    </w:lvl>
  </w:abstractNum>
  <w:abstractNum w:abstractNumId="6">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singleLevel"/>
    <w:tmpl w:val="00000008"/>
    <w:lvl w:ilvl="0" w:tentative="0">
      <w:start w:val="4"/>
      <w:numFmt w:val="chineseCounting"/>
      <w:suff w:val="nothing"/>
      <w:lvlText w:val="%1、"/>
      <w:lvlJc w:val="left"/>
      <w:rPr>
        <w:rFonts w:hint="eastAsia"/>
      </w:rPr>
    </w:lvl>
  </w:abstractNum>
  <w:abstractNum w:abstractNumId="9">
    <w:nsid w:val="00000009"/>
    <w:multiLevelType w:val="multilevel"/>
    <w:tmpl w:val="00000009"/>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64914D21"/>
    <w:multiLevelType w:val="multilevel"/>
    <w:tmpl w:val="64914D21"/>
    <w:lvl w:ilvl="0" w:tentative="0">
      <w:start w:val="1"/>
      <w:numFmt w:val="decimal"/>
      <w:lvlText w:val="%1."/>
      <w:lvlJc w:val="left"/>
      <w:pPr>
        <w:ind w:left="1041" w:hanging="244"/>
        <w:jc w:val="right"/>
      </w:pPr>
      <w:rPr>
        <w:rFonts w:hint="default" w:ascii="宋体" w:hAnsi="宋体" w:eastAsia="宋体" w:cs="宋体"/>
        <w:b/>
        <w:bCs/>
        <w:spacing w:val="-3"/>
        <w:w w:val="99"/>
        <w:sz w:val="22"/>
        <w:szCs w:val="22"/>
      </w:rPr>
    </w:lvl>
    <w:lvl w:ilvl="1" w:tentative="0">
      <w:start w:val="1"/>
      <w:numFmt w:val="decimal"/>
      <w:lvlText w:val="%1.%2"/>
      <w:lvlJc w:val="left"/>
      <w:pPr>
        <w:ind w:left="1218" w:hanging="420"/>
      </w:pPr>
      <w:rPr>
        <w:rFonts w:hint="default"/>
        <w:w w:val="100"/>
      </w:rPr>
    </w:lvl>
    <w:lvl w:ilvl="2" w:tentative="0">
      <w:start w:val="1"/>
      <w:numFmt w:val="decimal"/>
      <w:lvlText w:val="%1.%2.%3"/>
      <w:lvlJc w:val="left"/>
      <w:pPr>
        <w:ind w:left="318" w:hanging="420"/>
      </w:pPr>
      <w:rPr>
        <w:rFonts w:hint="default"/>
        <w:w w:val="100"/>
      </w:rPr>
    </w:lvl>
    <w:lvl w:ilvl="3" w:tentative="0">
      <w:start w:val="0"/>
      <w:numFmt w:val="bullet"/>
      <w:lvlText w:val="•"/>
      <w:lvlJc w:val="left"/>
      <w:pPr>
        <w:ind w:left="1340" w:hanging="420"/>
      </w:pPr>
      <w:rPr>
        <w:rFonts w:hint="default"/>
      </w:rPr>
    </w:lvl>
    <w:lvl w:ilvl="4" w:tentative="0">
      <w:start w:val="0"/>
      <w:numFmt w:val="bullet"/>
      <w:lvlText w:val="•"/>
      <w:lvlJc w:val="left"/>
      <w:pPr>
        <w:ind w:left="1400" w:hanging="420"/>
      </w:pPr>
      <w:rPr>
        <w:rFonts w:hint="default"/>
      </w:rPr>
    </w:lvl>
    <w:lvl w:ilvl="5" w:tentative="0">
      <w:start w:val="0"/>
      <w:numFmt w:val="bullet"/>
      <w:lvlText w:val="•"/>
      <w:lvlJc w:val="left"/>
      <w:pPr>
        <w:ind w:left="1640" w:hanging="420"/>
      </w:pPr>
      <w:rPr>
        <w:rFonts w:hint="default"/>
      </w:rPr>
    </w:lvl>
    <w:lvl w:ilvl="6" w:tentative="0">
      <w:start w:val="0"/>
      <w:numFmt w:val="bullet"/>
      <w:lvlText w:val="•"/>
      <w:lvlJc w:val="left"/>
      <w:pPr>
        <w:ind w:left="3281" w:hanging="420"/>
      </w:pPr>
      <w:rPr>
        <w:rFonts w:hint="default"/>
      </w:rPr>
    </w:lvl>
    <w:lvl w:ilvl="7" w:tentative="0">
      <w:start w:val="0"/>
      <w:numFmt w:val="bullet"/>
      <w:lvlText w:val="•"/>
      <w:lvlJc w:val="left"/>
      <w:pPr>
        <w:ind w:left="4922" w:hanging="420"/>
      </w:pPr>
      <w:rPr>
        <w:rFonts w:hint="default"/>
      </w:rPr>
    </w:lvl>
    <w:lvl w:ilvl="8" w:tentative="0">
      <w:start w:val="0"/>
      <w:numFmt w:val="bullet"/>
      <w:lvlText w:val="•"/>
      <w:lvlJc w:val="left"/>
      <w:pPr>
        <w:ind w:left="6563" w:hanging="420"/>
      </w:pPr>
      <w:rPr>
        <w:rFonts w:hint="default"/>
      </w:rPr>
    </w:lvl>
  </w:abstractNum>
  <w:abstractNum w:abstractNumId="11">
    <w:nsid w:val="77DD283A"/>
    <w:multiLevelType w:val="multilevel"/>
    <w:tmpl w:val="77DD283A"/>
    <w:lvl w:ilvl="0" w:tentative="0">
      <w:start w:val="1"/>
      <w:numFmt w:val="decimal"/>
      <w:lvlText w:val="（%1）"/>
      <w:lvlJc w:val="left"/>
      <w:pPr>
        <w:ind w:left="318" w:hanging="601"/>
      </w:pPr>
      <w:rPr>
        <w:rFonts w:hint="default" w:ascii="宋体" w:hAnsi="宋体" w:eastAsia="宋体" w:cs="宋体"/>
        <w:spacing w:val="-15"/>
        <w:w w:val="100"/>
        <w:sz w:val="22"/>
        <w:szCs w:val="22"/>
      </w:rPr>
    </w:lvl>
    <w:lvl w:ilvl="1" w:tentative="0">
      <w:start w:val="0"/>
      <w:numFmt w:val="bullet"/>
      <w:lvlText w:val="•"/>
      <w:lvlJc w:val="left"/>
      <w:pPr>
        <w:ind w:left="1272" w:hanging="601"/>
      </w:pPr>
      <w:rPr>
        <w:rFonts w:hint="default"/>
      </w:rPr>
    </w:lvl>
    <w:lvl w:ilvl="2" w:tentative="0">
      <w:start w:val="0"/>
      <w:numFmt w:val="bullet"/>
      <w:lvlText w:val="•"/>
      <w:lvlJc w:val="left"/>
      <w:pPr>
        <w:ind w:left="2225" w:hanging="601"/>
      </w:pPr>
      <w:rPr>
        <w:rFonts w:hint="default"/>
      </w:rPr>
    </w:lvl>
    <w:lvl w:ilvl="3" w:tentative="0">
      <w:start w:val="0"/>
      <w:numFmt w:val="bullet"/>
      <w:lvlText w:val="•"/>
      <w:lvlJc w:val="left"/>
      <w:pPr>
        <w:ind w:left="3177" w:hanging="601"/>
      </w:pPr>
      <w:rPr>
        <w:rFonts w:hint="default"/>
      </w:rPr>
    </w:lvl>
    <w:lvl w:ilvl="4" w:tentative="0">
      <w:start w:val="0"/>
      <w:numFmt w:val="bullet"/>
      <w:lvlText w:val="•"/>
      <w:lvlJc w:val="left"/>
      <w:pPr>
        <w:ind w:left="4130" w:hanging="601"/>
      </w:pPr>
      <w:rPr>
        <w:rFonts w:hint="default"/>
      </w:rPr>
    </w:lvl>
    <w:lvl w:ilvl="5" w:tentative="0">
      <w:start w:val="0"/>
      <w:numFmt w:val="bullet"/>
      <w:lvlText w:val="•"/>
      <w:lvlJc w:val="left"/>
      <w:pPr>
        <w:ind w:left="5083" w:hanging="601"/>
      </w:pPr>
      <w:rPr>
        <w:rFonts w:hint="default"/>
      </w:rPr>
    </w:lvl>
    <w:lvl w:ilvl="6" w:tentative="0">
      <w:start w:val="0"/>
      <w:numFmt w:val="bullet"/>
      <w:lvlText w:val="•"/>
      <w:lvlJc w:val="left"/>
      <w:pPr>
        <w:ind w:left="6035" w:hanging="601"/>
      </w:pPr>
      <w:rPr>
        <w:rFonts w:hint="default"/>
      </w:rPr>
    </w:lvl>
    <w:lvl w:ilvl="7" w:tentative="0">
      <w:start w:val="0"/>
      <w:numFmt w:val="bullet"/>
      <w:lvlText w:val="•"/>
      <w:lvlJc w:val="left"/>
      <w:pPr>
        <w:ind w:left="6988" w:hanging="601"/>
      </w:pPr>
      <w:rPr>
        <w:rFonts w:hint="default"/>
      </w:rPr>
    </w:lvl>
    <w:lvl w:ilvl="8" w:tentative="0">
      <w:start w:val="0"/>
      <w:numFmt w:val="bullet"/>
      <w:lvlText w:val="•"/>
      <w:lvlJc w:val="left"/>
      <w:pPr>
        <w:ind w:left="7940" w:hanging="601"/>
      </w:pPr>
      <w:rPr>
        <w:rFonts w:hint="default"/>
      </w:rPr>
    </w:lvl>
  </w:abstractNum>
  <w:num w:numId="1">
    <w:abstractNumId w:val="4"/>
  </w:num>
  <w:num w:numId="2">
    <w:abstractNumId w:val="5"/>
  </w:num>
  <w:num w:numId="3">
    <w:abstractNumId w:val="2"/>
  </w:num>
  <w:num w:numId="4">
    <w:abstractNumId w:val="3"/>
  </w:num>
  <w:num w:numId="5">
    <w:abstractNumId w:val="7"/>
  </w:num>
  <w:num w:numId="6">
    <w:abstractNumId w:val="9"/>
  </w:num>
  <w:num w:numId="7">
    <w:abstractNumId w:val="10"/>
  </w:num>
  <w:num w:numId="8">
    <w:abstractNumId w:val="11"/>
  </w:num>
  <w:num w:numId="9">
    <w:abstractNumId w:val="8"/>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jlhNGIzMDY3MmNlYjMyYmM3YTA1NTgyYWQ0M2MifQ=="/>
  </w:docVars>
  <w:rsids>
    <w:rsidRoot w:val="00000000"/>
    <w:rsid w:val="01B81F80"/>
    <w:rsid w:val="042D4F13"/>
    <w:rsid w:val="04F16063"/>
    <w:rsid w:val="058F07C2"/>
    <w:rsid w:val="0A491551"/>
    <w:rsid w:val="0A8E01DA"/>
    <w:rsid w:val="0C9015B0"/>
    <w:rsid w:val="10363E57"/>
    <w:rsid w:val="12CB722C"/>
    <w:rsid w:val="15E2587E"/>
    <w:rsid w:val="17DF3AFA"/>
    <w:rsid w:val="18626802"/>
    <w:rsid w:val="18BD6D34"/>
    <w:rsid w:val="18D41D44"/>
    <w:rsid w:val="2017176D"/>
    <w:rsid w:val="20F6018A"/>
    <w:rsid w:val="230A23C7"/>
    <w:rsid w:val="23D8675A"/>
    <w:rsid w:val="260E7FC9"/>
    <w:rsid w:val="27C05053"/>
    <w:rsid w:val="285C326E"/>
    <w:rsid w:val="2E7F1F51"/>
    <w:rsid w:val="2F3F11F4"/>
    <w:rsid w:val="30500DF4"/>
    <w:rsid w:val="31E70530"/>
    <w:rsid w:val="322B1203"/>
    <w:rsid w:val="34DF500B"/>
    <w:rsid w:val="36433380"/>
    <w:rsid w:val="3750428B"/>
    <w:rsid w:val="3A9D1931"/>
    <w:rsid w:val="3CE27EA4"/>
    <w:rsid w:val="3FF5ED23"/>
    <w:rsid w:val="408F21CC"/>
    <w:rsid w:val="419B4446"/>
    <w:rsid w:val="43B27D8E"/>
    <w:rsid w:val="4806683A"/>
    <w:rsid w:val="49F83710"/>
    <w:rsid w:val="4A940025"/>
    <w:rsid w:val="4AD14C21"/>
    <w:rsid w:val="4AF42343"/>
    <w:rsid w:val="4D3F49A5"/>
    <w:rsid w:val="4F6F2367"/>
    <w:rsid w:val="55264138"/>
    <w:rsid w:val="55AC6014"/>
    <w:rsid w:val="56AF2BBF"/>
    <w:rsid w:val="5DB3291F"/>
    <w:rsid w:val="602E36C3"/>
    <w:rsid w:val="6035306D"/>
    <w:rsid w:val="62AA0019"/>
    <w:rsid w:val="644204A6"/>
    <w:rsid w:val="68A20B2D"/>
    <w:rsid w:val="69064BF9"/>
    <w:rsid w:val="69680F41"/>
    <w:rsid w:val="6D8816B8"/>
    <w:rsid w:val="7495182C"/>
    <w:rsid w:val="74B82BA7"/>
    <w:rsid w:val="7C203B4F"/>
    <w:rsid w:val="7D8234F7"/>
    <w:rsid w:val="AF7FC4E4"/>
    <w:rsid w:val="EFF61F36"/>
    <w:rsid w:val="F3BE8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6"/>
    <w:qFormat/>
    <w:uiPriority w:val="0"/>
    <w:pPr>
      <w:adjustRightInd/>
      <w:spacing w:line="360" w:lineRule="auto"/>
      <w:jc w:val="center"/>
      <w:outlineLvl w:val="0"/>
    </w:pPr>
    <w:rPr>
      <w:rFonts w:ascii="仿宋" w:hAnsi="仿宋" w:eastAsia="仿宋" w:cs="仿宋_GB2312"/>
      <w:b/>
      <w:color w:val="000000"/>
      <w:sz w:val="36"/>
      <w:szCs w:val="36"/>
    </w:rPr>
  </w:style>
  <w:style w:type="paragraph" w:styleId="7">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9">
    <w:name w:val="heading 4"/>
    <w:basedOn w:val="1"/>
    <w:next w:val="10"/>
    <w:link w:val="217"/>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12">
    <w:name w:val="heading 5"/>
    <w:basedOn w:val="1"/>
    <w:next w:val="1"/>
    <w:link w:val="180"/>
    <w:qFormat/>
    <w:uiPriority w:val="0"/>
    <w:pPr>
      <w:keepNext/>
      <w:keepLines/>
      <w:numPr>
        <w:ilvl w:val="4"/>
        <w:numId w:val="2"/>
      </w:numPr>
      <w:spacing w:before="280" w:after="290" w:line="376" w:lineRule="auto"/>
      <w:outlineLvl w:val="4"/>
    </w:pPr>
    <w:rPr>
      <w:b/>
      <w:bCs/>
      <w:sz w:val="28"/>
      <w:szCs w:val="28"/>
    </w:rPr>
  </w:style>
  <w:style w:type="paragraph" w:styleId="13">
    <w:name w:val="heading 6"/>
    <w:basedOn w:val="1"/>
    <w:next w:val="1"/>
    <w:link w:val="245"/>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4">
    <w:name w:val="heading 7"/>
    <w:basedOn w:val="1"/>
    <w:next w:val="1"/>
    <w:link w:val="211"/>
    <w:qFormat/>
    <w:uiPriority w:val="0"/>
    <w:pPr>
      <w:keepNext/>
      <w:keepLines/>
      <w:numPr>
        <w:ilvl w:val="6"/>
        <w:numId w:val="2"/>
      </w:numPr>
      <w:spacing w:before="240" w:after="64" w:line="320" w:lineRule="auto"/>
      <w:outlineLvl w:val="6"/>
    </w:pPr>
    <w:rPr>
      <w:b/>
      <w:bCs/>
      <w:sz w:val="24"/>
    </w:rPr>
  </w:style>
  <w:style w:type="paragraph" w:styleId="15">
    <w:name w:val="heading 8"/>
    <w:basedOn w:val="1"/>
    <w:next w:val="1"/>
    <w:link w:val="116"/>
    <w:qFormat/>
    <w:uiPriority w:val="0"/>
    <w:pPr>
      <w:keepNext/>
      <w:keepLines/>
      <w:numPr>
        <w:ilvl w:val="7"/>
        <w:numId w:val="2"/>
      </w:numPr>
      <w:spacing w:before="240" w:after="64" w:line="320" w:lineRule="auto"/>
      <w:outlineLvl w:val="7"/>
    </w:pPr>
    <w:rPr>
      <w:rFonts w:ascii="Arial" w:hAnsi="Arial" w:eastAsia="黑体"/>
      <w:sz w:val="24"/>
    </w:rPr>
  </w:style>
  <w:style w:type="paragraph" w:styleId="16">
    <w:name w:val="heading 9"/>
    <w:basedOn w:val="1"/>
    <w:next w:val="1"/>
    <w:link w:val="129"/>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5">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Body Text"/>
    <w:basedOn w:val="1"/>
    <w:next w:val="3"/>
    <w:link w:val="126"/>
    <w:qFormat/>
    <w:uiPriority w:val="0"/>
    <w:pPr>
      <w:autoSpaceDE w:val="0"/>
      <w:autoSpaceDN w:val="0"/>
      <w:spacing w:line="360" w:lineRule="auto"/>
    </w:pPr>
    <w:rPr>
      <w:rFonts w:ascii="宋体"/>
      <w:sz w:val="24"/>
      <w:szCs w:val="21"/>
      <w:lang w:val="zh-CN"/>
    </w:rPr>
  </w:style>
  <w:style w:type="paragraph" w:customStyle="1" w:styleId="3">
    <w:name w:val="一级条标题"/>
    <w:basedOn w:val="4"/>
    <w:next w:val="5"/>
    <w:qFormat/>
    <w:uiPriority w:val="0"/>
    <w:pPr>
      <w:tabs>
        <w:tab w:val="left" w:pos="1260"/>
        <w:tab w:val="left" w:pos="1680"/>
      </w:tabs>
      <w:ind w:left="1680"/>
      <w:outlineLvl w:val="2"/>
    </w:pPr>
  </w:style>
  <w:style w:type="paragraph" w:customStyle="1" w:styleId="4">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Normal Indent"/>
    <w:basedOn w:val="1"/>
    <w:next w:val="11"/>
    <w:link w:val="247"/>
    <w:qFormat/>
    <w:uiPriority w:val="0"/>
    <w:pPr>
      <w:widowControl/>
      <w:snapToGrid w:val="0"/>
      <w:spacing w:line="480" w:lineRule="exact"/>
      <w:ind w:firstLine="567"/>
    </w:pPr>
    <w:rPr>
      <w:rFonts w:ascii="宋体"/>
      <w:snapToGrid w:val="0"/>
      <w:color w:val="000000"/>
      <w:kern w:val="28"/>
      <w:sz w:val="28"/>
      <w:szCs w:val="20"/>
    </w:rPr>
  </w:style>
  <w:style w:type="paragraph" w:styleId="11">
    <w:name w:val="Body Text Indent"/>
    <w:basedOn w:val="1"/>
    <w:link w:val="107"/>
    <w:qFormat/>
    <w:uiPriority w:val="0"/>
    <w:pPr>
      <w:spacing w:line="480" w:lineRule="exact"/>
      <w:ind w:firstLine="480" w:firstLineChars="200"/>
    </w:pPr>
    <w:rPr>
      <w:rFonts w:ascii="宋体" w:hAnsi="宋体"/>
      <w:sz w:val="24"/>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qFormat/>
    <w:uiPriority w:val="0"/>
    <w:pPr>
      <w:shd w:val="clear" w:color="auto" w:fill="000080"/>
    </w:pPr>
  </w:style>
  <w:style w:type="paragraph" w:styleId="24">
    <w:name w:val="annotation text"/>
    <w:basedOn w:val="1"/>
    <w:link w:val="251"/>
    <w:qFormat/>
    <w:uiPriority w:val="99"/>
    <w:pPr>
      <w:jc w:val="left"/>
    </w:pPr>
  </w:style>
  <w:style w:type="paragraph" w:styleId="25">
    <w:name w:val="Salutation"/>
    <w:basedOn w:val="1"/>
    <w:next w:val="1"/>
    <w:link w:val="216"/>
    <w:qFormat/>
    <w:uiPriority w:val="0"/>
    <w:rPr>
      <w:rFonts w:ascii="仿宋_GB2312" w:eastAsia="仿宋_GB2312"/>
      <w:sz w:val="28"/>
      <w:szCs w:val="20"/>
    </w:rPr>
  </w:style>
  <w:style w:type="paragraph" w:styleId="26">
    <w:name w:val="Body Text 3"/>
    <w:basedOn w:val="1"/>
    <w:link w:val="189"/>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227"/>
    <w:qFormat/>
    <w:uiPriority w:val="0"/>
    <w:rPr>
      <w:rFonts w:ascii="宋体" w:hAnsi="Courier New"/>
      <w:szCs w:val="20"/>
    </w:rPr>
  </w:style>
  <w:style w:type="paragraph" w:styleId="35">
    <w:name w:val="Date"/>
    <w:basedOn w:val="1"/>
    <w:next w:val="1"/>
    <w:link w:val="214"/>
    <w:qFormat/>
    <w:uiPriority w:val="0"/>
    <w:pPr>
      <w:ind w:left="100" w:leftChars="2500"/>
    </w:pPr>
    <w:rPr>
      <w:rFonts w:ascii="宋体"/>
      <w:sz w:val="24"/>
      <w:szCs w:val="21"/>
      <w:lang w:val="zh-CN"/>
    </w:rPr>
  </w:style>
  <w:style w:type="paragraph" w:styleId="36">
    <w:name w:val="List Number 4"/>
    <w:basedOn w:val="1"/>
    <w:qFormat/>
    <w:uiPriority w:val="0"/>
    <w:pPr>
      <w:numPr>
        <w:ilvl w:val="0"/>
        <w:numId w:val="4"/>
      </w:numPr>
      <w:autoSpaceDE w:val="0"/>
      <w:autoSpaceDN w:val="0"/>
      <w:spacing w:line="360" w:lineRule="atLeast"/>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87"/>
    <w:qFormat/>
    <w:uiPriority w:val="0"/>
    <w:pPr>
      <w:spacing w:line="360" w:lineRule="auto"/>
      <w:ind w:firstLine="601"/>
      <w:textAlignment w:val="baseline"/>
    </w:pPr>
    <w:rPr>
      <w:rFonts w:ascii="宋体"/>
      <w:kern w:val="0"/>
      <w:sz w:val="28"/>
      <w:szCs w:val="20"/>
    </w:rPr>
  </w:style>
  <w:style w:type="paragraph" w:styleId="39">
    <w:name w:val="Balloon Text"/>
    <w:basedOn w:val="1"/>
    <w:link w:val="252"/>
    <w:qFormat/>
    <w:uiPriority w:val="0"/>
    <w:rPr>
      <w:sz w:val="18"/>
      <w:szCs w:val="18"/>
    </w:rPr>
  </w:style>
  <w:style w:type="paragraph" w:styleId="40">
    <w:name w:val="footer"/>
    <w:basedOn w:val="1"/>
    <w:link w:val="629"/>
    <w:qFormat/>
    <w:uiPriority w:val="99"/>
    <w:pPr>
      <w:tabs>
        <w:tab w:val="center" w:pos="4153"/>
        <w:tab w:val="right" w:pos="8306"/>
      </w:tabs>
      <w:snapToGrid w:val="0"/>
      <w:jc w:val="left"/>
    </w:pPr>
    <w:rPr>
      <w:sz w:val="18"/>
      <w:szCs w:val="18"/>
    </w:rPr>
  </w:style>
  <w:style w:type="paragraph" w:styleId="41">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0"/>
    <w:link w:val="241"/>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9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4"/>
    <w:next w:val="24"/>
    <w:qFormat/>
    <w:uiPriority w:val="0"/>
    <w:rPr>
      <w:b/>
      <w:bCs/>
    </w:rPr>
  </w:style>
  <w:style w:type="paragraph" w:styleId="61">
    <w:name w:val="Body Text First Indent"/>
    <w:basedOn w:val="2"/>
    <w:next w:val="1"/>
    <w:link w:val="139"/>
    <w:qFormat/>
    <w:uiPriority w:val="0"/>
    <w:pPr>
      <w:ind w:firstLine="420"/>
    </w:pPr>
    <w:rPr>
      <w:szCs w:val="20"/>
    </w:rPr>
  </w:style>
  <w:style w:type="paragraph" w:styleId="62">
    <w:name w:val="Body Text First Indent 2"/>
    <w:basedOn w:val="1"/>
    <w:next w:val="1"/>
    <w:link w:val="249"/>
    <w:qFormat/>
    <w:uiPriority w:val="0"/>
    <w:pPr>
      <w:adjustRightInd/>
      <w:spacing w:after="120"/>
      <w:ind w:left="420" w:leftChars="200" w:firstLine="210"/>
    </w:p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正文1"/>
    <w:basedOn w:val="33"/>
    <w:next w:val="1"/>
    <w:qFormat/>
    <w:uiPriority w:val="0"/>
    <w:pPr>
      <w:ind w:left="0" w:leftChars="0" w:firstLine="480" w:firstLineChars="200"/>
    </w:pPr>
    <w:rPr>
      <w:rFonts w:ascii="仿宋_GB2312" w:hAnsi="Courier New" w:eastAsia="仿宋_GB2312"/>
      <w:kern w:val="28"/>
      <w:sz w:val="24"/>
    </w:rPr>
  </w:style>
  <w:style w:type="paragraph" w:styleId="75">
    <w:name w:val="List Paragraph"/>
    <w:basedOn w:val="1"/>
    <w:qFormat/>
    <w:uiPriority w:val="34"/>
    <w:pPr>
      <w:spacing w:line="360" w:lineRule="auto"/>
      <w:ind w:firstLine="200" w:firstLineChars="200"/>
    </w:pPr>
    <w:rPr>
      <w:rFonts w:eastAsia="楷体_GB2312" w:cs="Lucida Sans"/>
      <w:sz w:val="24"/>
    </w:rPr>
  </w:style>
  <w:style w:type="character" w:customStyle="1" w:styleId="76">
    <w:name w:val="标题 1 Char"/>
    <w:link w:val="6"/>
    <w:qFormat/>
    <w:uiPriority w:val="0"/>
    <w:rPr>
      <w:rFonts w:ascii="仿宋" w:hAnsi="仿宋" w:eastAsia="仿宋" w:cs="仿宋_GB2312"/>
      <w:b/>
      <w:color w:val="000000"/>
      <w:kern w:val="2"/>
      <w:sz w:val="36"/>
      <w:szCs w:val="36"/>
    </w:rPr>
  </w:style>
  <w:style w:type="character" w:customStyle="1" w:styleId="77">
    <w:name w:val="标题 2 Char"/>
    <w:qFormat/>
    <w:uiPriority w:val="0"/>
    <w:rPr>
      <w:rFonts w:ascii="Arial" w:hAnsi="Arial" w:eastAsia="黑体"/>
      <w:b/>
      <w:kern w:val="2"/>
      <w:sz w:val="32"/>
      <w:lang w:val="en-US" w:eastAsia="zh-CN"/>
    </w:rPr>
  </w:style>
  <w:style w:type="character" w:customStyle="1" w:styleId="78">
    <w:name w:val="solutionfonts"/>
    <w:qFormat/>
    <w:uiPriority w:val="0"/>
  </w:style>
  <w:style w:type="character" w:customStyle="1" w:styleId="79">
    <w:name w:val="Font Style82"/>
    <w:qFormat/>
    <w:uiPriority w:val="99"/>
    <w:rPr>
      <w:rFonts w:ascii="宋体" w:eastAsia="宋体" w:cs="宋体"/>
      <w:color w:val="000000"/>
      <w:sz w:val="14"/>
      <w:szCs w:val="14"/>
    </w:rPr>
  </w:style>
  <w:style w:type="character" w:customStyle="1" w:styleId="80">
    <w:name w:val="此正文 Char"/>
    <w:link w:val="81"/>
    <w:qFormat/>
    <w:uiPriority w:val="0"/>
    <w:rPr>
      <w:kern w:val="2"/>
      <w:sz w:val="24"/>
      <w:szCs w:val="24"/>
    </w:rPr>
  </w:style>
  <w:style w:type="paragraph" w:customStyle="1" w:styleId="81">
    <w:name w:val="此正文"/>
    <w:basedOn w:val="1"/>
    <w:link w:val="80"/>
    <w:qFormat/>
    <w:uiPriority w:val="0"/>
    <w:pPr>
      <w:adjustRightInd/>
      <w:spacing w:line="360" w:lineRule="auto"/>
      <w:ind w:firstLine="200" w:firstLineChars="200"/>
    </w:pPr>
    <w:rPr>
      <w:sz w:val="24"/>
    </w:rPr>
  </w:style>
  <w:style w:type="character" w:customStyle="1" w:styleId="82">
    <w:name w:val="Char Char10"/>
    <w:qFormat/>
    <w:uiPriority w:val="0"/>
    <w:rPr>
      <w:rFonts w:ascii="宋体" w:hAnsi="宋体"/>
      <w:kern w:val="2"/>
      <w:sz w:val="21"/>
      <w:szCs w:val="24"/>
      <w:lang w:val="en-US" w:eastAsia="zh-CN"/>
    </w:rPr>
  </w:style>
  <w:style w:type="character" w:customStyle="1" w:styleId="83">
    <w:name w:val="h Char Char"/>
    <w:qFormat/>
    <w:uiPriority w:val="0"/>
    <w:rPr>
      <w:rFonts w:eastAsia="宋体"/>
      <w:kern w:val="2"/>
      <w:sz w:val="18"/>
      <w:lang w:val="en-US" w:eastAsia="zh-CN" w:bidi="ar-SA"/>
    </w:rPr>
  </w:style>
  <w:style w:type="character" w:customStyle="1" w:styleId="84">
    <w:name w:val="Bold"/>
    <w:qFormat/>
    <w:uiPriority w:val="0"/>
    <w:rPr>
      <w:rFonts w:ascii="Arial" w:hAnsi="Arial" w:eastAsia="黑体" w:cs="Times New Roman"/>
      <w:b/>
      <w:kern w:val="2"/>
      <w:sz w:val="32"/>
      <w:szCs w:val="32"/>
      <w:lang w:val="en-US" w:eastAsia="zh-CN" w:bidi="ar-SA"/>
    </w:rPr>
  </w:style>
  <w:style w:type="character" w:customStyle="1" w:styleId="85">
    <w:name w:val="Ò³Ã¼ Char Char"/>
    <w:qFormat/>
    <w:uiPriority w:val="0"/>
    <w:rPr>
      <w:rFonts w:eastAsia="宋体"/>
      <w:kern w:val="2"/>
      <w:sz w:val="18"/>
      <w:lang w:val="en-US" w:eastAsia="zh-CN" w:bidi="ar-SA"/>
    </w:rPr>
  </w:style>
  <w:style w:type="character" w:customStyle="1" w:styleId="86">
    <w:name w:val="标准正文格式 Char"/>
    <w:qFormat/>
    <w:uiPriority w:val="0"/>
    <w:rPr>
      <w:rFonts w:ascii="宋体" w:eastAsia="仿宋_GB2312" w:cs="宋体"/>
      <w:color w:val="000000"/>
      <w:sz w:val="24"/>
      <w:lang w:val="en-US" w:eastAsia="zh-CN" w:bidi="ar-SA"/>
    </w:rPr>
  </w:style>
  <w:style w:type="character" w:customStyle="1" w:styleId="87">
    <w:name w:val="正文文本缩进 2 Char"/>
    <w:link w:val="38"/>
    <w:qFormat/>
    <w:uiPriority w:val="0"/>
    <w:rPr>
      <w:rFonts w:ascii="宋体"/>
      <w:sz w:val="28"/>
    </w:rPr>
  </w:style>
  <w:style w:type="character" w:customStyle="1" w:styleId="88">
    <w:name w:val="Char Char8"/>
    <w:qFormat/>
    <w:uiPriority w:val="0"/>
    <w:rPr>
      <w:rFonts w:eastAsia="宋体"/>
      <w:b/>
      <w:sz w:val="24"/>
      <w:lang w:val="en-GB" w:eastAsia="zh-CN"/>
    </w:rPr>
  </w:style>
  <w:style w:type="character" w:customStyle="1" w:styleId="89">
    <w:name w:val="No Spacing Char"/>
    <w:link w:val="90"/>
    <w:qFormat/>
    <w:uiPriority w:val="1"/>
    <w:rPr>
      <w:rFonts w:ascii="Calibri" w:hAnsi="Calibri"/>
      <w:sz w:val="22"/>
      <w:szCs w:val="22"/>
      <w:lang w:val="en-US" w:eastAsia="zh-CN" w:bidi="ar-SA"/>
    </w:rPr>
  </w:style>
  <w:style w:type="paragraph" w:customStyle="1" w:styleId="90">
    <w:name w:val="无间隔1"/>
    <w:link w:val="89"/>
    <w:qFormat/>
    <w:uiPriority w:val="1"/>
    <w:rPr>
      <w:rFonts w:ascii="Calibri" w:hAnsi="Calibri" w:eastAsia="宋体" w:cs="Times New Roman"/>
      <w:sz w:val="22"/>
      <w:szCs w:val="22"/>
      <w:lang w:val="en-US" w:eastAsia="zh-CN" w:bidi="ar-SA"/>
    </w:rPr>
  </w:style>
  <w:style w:type="character" w:customStyle="1" w:styleId="91">
    <w:name w:val="blue1"/>
    <w:basedOn w:val="65"/>
    <w:qFormat/>
    <w:uiPriority w:val="0"/>
    <w:rPr>
      <w:rFonts w:ascii="Arial" w:hAnsi="Arial" w:eastAsia="黑体" w:cs="Arial"/>
      <w:snapToGrid w:val="0"/>
      <w:kern w:val="0"/>
      <w:szCs w:val="21"/>
    </w:rPr>
  </w:style>
  <w:style w:type="character" w:customStyle="1" w:styleId="92">
    <w:name w:val="highlight1"/>
    <w:qFormat/>
    <w:uiPriority w:val="0"/>
    <w:rPr>
      <w:rFonts w:ascii="仿宋_GB2312" w:eastAsia="微软雅黑"/>
      <w:b/>
      <w:kern w:val="2"/>
      <w:sz w:val="23"/>
      <w:szCs w:val="23"/>
      <w:lang w:val="en-US" w:eastAsia="zh-CN" w:bidi="ar-SA"/>
    </w:rPr>
  </w:style>
  <w:style w:type="character" w:customStyle="1" w:styleId="93">
    <w:name w:val="ca-131"/>
    <w:qFormat/>
    <w:uiPriority w:val="0"/>
    <w:rPr>
      <w:rFonts w:hint="eastAsia" w:ascii="仿宋_GB2312" w:eastAsia="仿宋_GB2312"/>
      <w:b/>
      <w:bCs/>
      <w:color w:val="000000"/>
      <w:spacing w:val="-20"/>
      <w:sz w:val="24"/>
      <w:szCs w:val="24"/>
    </w:rPr>
  </w:style>
  <w:style w:type="character" w:customStyle="1" w:styleId="94">
    <w:name w:val="h3 Char"/>
    <w:qFormat/>
    <w:uiPriority w:val="0"/>
    <w:rPr>
      <w:rFonts w:eastAsia="宋体"/>
      <w:b/>
      <w:kern w:val="2"/>
      <w:sz w:val="32"/>
      <w:lang w:val="en-US" w:eastAsia="zh-CN" w:bidi="ar-SA"/>
    </w:rPr>
  </w:style>
  <w:style w:type="character" w:customStyle="1" w:styleId="95">
    <w:name w:val="Char Char12"/>
    <w:qFormat/>
    <w:uiPriority w:val="0"/>
    <w:rPr>
      <w:rFonts w:ascii="仿宋_GB2312" w:eastAsia="仿宋_GB2312"/>
      <w:b/>
      <w:bCs/>
      <w:kern w:val="2"/>
      <w:sz w:val="24"/>
      <w:szCs w:val="24"/>
      <w:lang w:val="zh-CN" w:eastAsia="zh-CN" w:bidi="ar-SA"/>
    </w:rPr>
  </w:style>
  <w:style w:type="character" w:customStyle="1" w:styleId="96">
    <w:name w:val="Comment Text Char"/>
    <w:qFormat/>
    <w:uiPriority w:val="0"/>
    <w:rPr>
      <w:rFonts w:ascii="宋体" w:hAnsi="宋体" w:eastAsia="宋体"/>
      <w:kern w:val="2"/>
      <w:sz w:val="24"/>
      <w:lang w:val="en-US" w:eastAsia="zh-CN" w:bidi="ar-SA"/>
    </w:rPr>
  </w:style>
  <w:style w:type="character" w:customStyle="1" w:styleId="97">
    <w:name w:val="批注文字 Char"/>
    <w:qFormat/>
    <w:uiPriority w:val="99"/>
    <w:rPr>
      <w:kern w:val="2"/>
      <w:sz w:val="21"/>
      <w:szCs w:val="24"/>
    </w:rPr>
  </w:style>
  <w:style w:type="character" w:customStyle="1" w:styleId="98">
    <w:name w:val="仿宋正文 Char"/>
    <w:link w:val="99"/>
    <w:qFormat/>
    <w:uiPriority w:val="0"/>
    <w:rPr>
      <w:rFonts w:ascii="仿宋_GB2312" w:eastAsia="仿宋_GB2312"/>
      <w:kern w:val="2"/>
      <w:sz w:val="24"/>
      <w:lang w:val="en-US" w:eastAsia="zh-CN" w:bidi="ar-SA"/>
    </w:rPr>
  </w:style>
  <w:style w:type="paragraph" w:customStyle="1" w:styleId="99">
    <w:name w:val="仿宋正文"/>
    <w:basedOn w:val="1"/>
    <w:link w:val="98"/>
    <w:qFormat/>
    <w:uiPriority w:val="0"/>
    <w:pPr>
      <w:adjustRightInd/>
      <w:spacing w:line="360" w:lineRule="auto"/>
      <w:ind w:firstLine="480" w:firstLineChars="200"/>
    </w:pPr>
    <w:rPr>
      <w:rFonts w:ascii="仿宋_GB2312" w:eastAsia="仿宋_GB2312"/>
      <w:sz w:val="24"/>
      <w:szCs w:val="20"/>
    </w:rPr>
  </w:style>
  <w:style w:type="character" w:customStyle="1" w:styleId="100">
    <w:name w:val="style91"/>
    <w:qFormat/>
    <w:uiPriority w:val="0"/>
    <w:rPr>
      <w:color w:val="333333"/>
    </w:rPr>
  </w:style>
  <w:style w:type="character" w:customStyle="1" w:styleId="101">
    <w:name w:val="Char Char4"/>
    <w:qFormat/>
    <w:uiPriority w:val="0"/>
    <w:rPr>
      <w:rFonts w:eastAsia="宋体"/>
      <w:b/>
      <w:sz w:val="24"/>
      <w:lang w:val="en-GB" w:eastAsia="zh-CN" w:bidi="ar-SA"/>
    </w:rPr>
  </w:style>
  <w:style w:type="character" w:customStyle="1" w:styleId="102">
    <w:name w:val="Char Char2"/>
    <w:qFormat/>
    <w:uiPriority w:val="0"/>
    <w:rPr>
      <w:rFonts w:eastAsia="宋体"/>
      <w:b/>
      <w:bCs/>
      <w:kern w:val="2"/>
      <w:sz w:val="21"/>
      <w:szCs w:val="24"/>
      <w:lang w:val="en-US" w:eastAsia="zh-CN" w:bidi="ar-SA"/>
    </w:rPr>
  </w:style>
  <w:style w:type="character" w:customStyle="1" w:styleId="103">
    <w:name w:val="正文 项目2 Char"/>
    <w:basedOn w:val="104"/>
    <w:qFormat/>
    <w:uiPriority w:val="0"/>
    <w:rPr>
      <w:rFonts w:ascii="仿宋_GB2312" w:hAnsi="仿宋_GB2312" w:eastAsia="仿宋_GB2312"/>
      <w:kern w:val="2"/>
      <w:sz w:val="24"/>
      <w:lang w:bidi="ar-SA"/>
    </w:rPr>
  </w:style>
  <w:style w:type="character" w:customStyle="1" w:styleId="104">
    <w:name w:val="正文 项目 Char"/>
    <w:qFormat/>
    <w:uiPriority w:val="0"/>
    <w:rPr>
      <w:rFonts w:ascii="仿宋_GB2312" w:hAnsi="仿宋_GB2312" w:eastAsia="仿宋_GB2312"/>
      <w:kern w:val="2"/>
      <w:sz w:val="24"/>
      <w:lang w:bidi="ar-SA"/>
    </w:rPr>
  </w:style>
  <w:style w:type="character" w:customStyle="1" w:styleId="105">
    <w:name w:val="页眉 Char1"/>
    <w:qFormat/>
    <w:uiPriority w:val="0"/>
    <w:rPr>
      <w:rFonts w:eastAsia="宋体"/>
      <w:kern w:val="2"/>
      <w:sz w:val="18"/>
      <w:szCs w:val="18"/>
      <w:lang w:val="en-US" w:eastAsia="zh-CN" w:bidi="ar-SA"/>
    </w:rPr>
  </w:style>
  <w:style w:type="character" w:customStyle="1" w:styleId="106">
    <w:name w:val="副标题 Char"/>
    <w:link w:val="47"/>
    <w:qFormat/>
    <w:uiPriority w:val="0"/>
    <w:rPr>
      <w:rFonts w:ascii="Arial" w:hAnsi="Arial" w:eastAsia="隶书"/>
      <w:b/>
      <w:bCs/>
      <w:kern w:val="28"/>
      <w:sz w:val="44"/>
      <w:szCs w:val="32"/>
      <w:lang w:val="en-US" w:eastAsia="zh-CN" w:bidi="ar-SA"/>
    </w:rPr>
  </w:style>
  <w:style w:type="character" w:customStyle="1" w:styleId="107">
    <w:name w:val="正文文本缩进 Char1"/>
    <w:link w:val="11"/>
    <w:qFormat/>
    <w:uiPriority w:val="0"/>
    <w:rPr>
      <w:rFonts w:ascii="宋体" w:hAnsi="宋体"/>
      <w:kern w:val="2"/>
      <w:sz w:val="24"/>
      <w:szCs w:val="24"/>
    </w:rPr>
  </w:style>
  <w:style w:type="character" w:customStyle="1" w:styleId="108">
    <w:name w:val="big1"/>
    <w:qFormat/>
    <w:uiPriority w:val="0"/>
    <w:rPr>
      <w:rFonts w:hint="eastAsia" w:ascii="宋体" w:hAnsi="宋体" w:eastAsia="宋体"/>
      <w:color w:val="333333"/>
      <w:sz w:val="22"/>
      <w:szCs w:val="22"/>
    </w:rPr>
  </w:style>
  <w:style w:type="character" w:customStyle="1" w:styleId="109">
    <w:name w:val="h Char Char1"/>
    <w:qFormat/>
    <w:uiPriority w:val="0"/>
    <w:rPr>
      <w:rFonts w:eastAsia="宋体"/>
      <w:kern w:val="2"/>
      <w:sz w:val="18"/>
      <w:szCs w:val="18"/>
      <w:lang w:val="en-US" w:eastAsia="zh-CN" w:bidi="ar-SA"/>
    </w:rPr>
  </w:style>
  <w:style w:type="character" w:customStyle="1" w:styleId="110">
    <w:name w:val="样式8 Char"/>
    <w:qFormat/>
    <w:uiPriority w:val="0"/>
    <w:rPr>
      <w:rFonts w:ascii="仿宋_GB2312" w:hAnsi="宋体" w:eastAsia="仿宋_GB2312"/>
      <w:b/>
      <w:bCs/>
      <w:kern w:val="2"/>
      <w:sz w:val="24"/>
      <w:szCs w:val="24"/>
    </w:rPr>
  </w:style>
  <w:style w:type="character" w:customStyle="1" w:styleId="111">
    <w:name w:val="HTML 预设格式 Char"/>
    <w:link w:val="57"/>
    <w:qFormat/>
    <w:uiPriority w:val="0"/>
    <w:rPr>
      <w:rFonts w:ascii="黑体" w:hAnsi="Courier New" w:eastAsia="黑体"/>
    </w:rPr>
  </w:style>
  <w:style w:type="character" w:customStyle="1" w:styleId="112">
    <w:name w:val="页脚 Char1"/>
    <w:qFormat/>
    <w:uiPriority w:val="0"/>
    <w:rPr>
      <w:rFonts w:eastAsia="宋体"/>
      <w:kern w:val="2"/>
      <w:sz w:val="18"/>
      <w:szCs w:val="18"/>
      <w:lang w:val="en-US" w:eastAsia="zh-CN" w:bidi="ar-SA"/>
    </w:rPr>
  </w:style>
  <w:style w:type="character" w:customStyle="1" w:styleId="113">
    <w:name w:val="myp11"/>
    <w:qFormat/>
    <w:uiPriority w:val="0"/>
    <w:rPr>
      <w:rFonts w:ascii="仿宋_GB2312" w:eastAsia="微软雅黑"/>
      <w:b/>
      <w:kern w:val="2"/>
      <w:sz w:val="32"/>
      <w:szCs w:val="32"/>
      <w:lang w:val="en-US" w:eastAsia="zh-CN" w:bidi="ar-SA"/>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tw4winTerm"/>
    <w:qFormat/>
    <w:uiPriority w:val="0"/>
    <w:rPr>
      <w:color w:val="0000FF"/>
    </w:rPr>
  </w:style>
  <w:style w:type="character" w:customStyle="1" w:styleId="116">
    <w:name w:val="标题 8 Char"/>
    <w:link w:val="15"/>
    <w:qFormat/>
    <w:uiPriority w:val="0"/>
    <w:rPr>
      <w:rFonts w:ascii="Arial" w:hAnsi="Arial" w:eastAsia="黑体"/>
      <w:kern w:val="2"/>
      <w:sz w:val="24"/>
      <w:szCs w:val="24"/>
    </w:rPr>
  </w:style>
  <w:style w:type="character" w:customStyle="1" w:styleId="117">
    <w:name w:val="标题 2 Char Char"/>
    <w:qFormat/>
    <w:uiPriority w:val="0"/>
    <w:rPr>
      <w:rFonts w:ascii="楷体_GB2312" w:hAnsi="Arial" w:eastAsia="楷体_GB2312"/>
      <w:b/>
      <w:bCs/>
      <w:kern w:val="2"/>
      <w:sz w:val="24"/>
      <w:szCs w:val="32"/>
      <w:lang w:val="en-US" w:eastAsia="zh-CN" w:bidi="ar-SA"/>
    </w:rPr>
  </w:style>
  <w:style w:type="character" w:customStyle="1" w:styleId="118">
    <w:name w:val="hei16b1"/>
    <w:qFormat/>
    <w:uiPriority w:val="0"/>
    <w:rPr>
      <w:rFonts w:hint="default" w:ascii="Arial" w:hAnsi="Arial" w:cs="Arial"/>
      <w:b/>
      <w:bCs/>
      <w:color w:val="000000"/>
      <w:sz w:val="24"/>
      <w:szCs w:val="24"/>
    </w:rPr>
  </w:style>
  <w:style w:type="character" w:customStyle="1" w:styleId="119">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哈哈正文 Char"/>
    <w:link w:val="122"/>
    <w:qFormat/>
    <w:uiPriority w:val="0"/>
    <w:rPr>
      <w:rFonts w:ascii="宋体" w:hAnsi="宋体" w:eastAsia="宋体"/>
      <w:kern w:val="2"/>
      <w:sz w:val="24"/>
      <w:lang w:bidi="ar-SA"/>
    </w:rPr>
  </w:style>
  <w:style w:type="paragraph" w:customStyle="1" w:styleId="122">
    <w:name w:val="哈哈正文"/>
    <w:basedOn w:val="1"/>
    <w:link w:val="121"/>
    <w:qFormat/>
    <w:uiPriority w:val="0"/>
    <w:pPr>
      <w:adjustRightInd/>
      <w:spacing w:line="360" w:lineRule="auto"/>
      <w:ind w:firstLine="200" w:firstLineChars="200"/>
    </w:pPr>
    <w:rPr>
      <w:rFonts w:ascii="宋体" w:hAnsi="宋体"/>
      <w:sz w:val="24"/>
      <w:szCs w:val="20"/>
    </w:rPr>
  </w:style>
  <w:style w:type="character" w:customStyle="1" w:styleId="123">
    <w:name w:val="pt141"/>
    <w:qFormat/>
    <w:uiPriority w:val="0"/>
    <w:rPr>
      <w:color w:val="330066"/>
      <w:sz w:val="22"/>
      <w:szCs w:val="22"/>
    </w:rPr>
  </w:style>
  <w:style w:type="character" w:customStyle="1" w:styleId="124">
    <w:name w:val="普通文字 Char3"/>
    <w:qFormat/>
    <w:uiPriority w:val="0"/>
    <w:rPr>
      <w:rFonts w:ascii="宋体" w:hAnsi="Courier New" w:eastAsia="宋体"/>
      <w:kern w:val="2"/>
      <w:sz w:val="21"/>
      <w:lang w:val="en-US" w:eastAsia="zh-CN" w:bidi="ar-SA"/>
    </w:rPr>
  </w:style>
  <w:style w:type="character" w:customStyle="1" w:styleId="12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127">
    <w:name w:val="正文2 Char"/>
    <w:qFormat/>
    <w:uiPriority w:val="0"/>
    <w:rPr>
      <w:rFonts w:eastAsia="宋体"/>
      <w:kern w:val="2"/>
      <w:sz w:val="24"/>
      <w:lang w:val="en-US" w:eastAsia="zh-CN" w:bidi="ar-SA"/>
    </w:rPr>
  </w:style>
  <w:style w:type="character" w:customStyle="1" w:styleId="128">
    <w:name w:val="普通文字 Char1"/>
    <w:qFormat/>
    <w:uiPriority w:val="0"/>
    <w:rPr>
      <w:rFonts w:ascii="宋体" w:hAnsi="Courier New" w:eastAsia="宋体"/>
      <w:kern w:val="2"/>
      <w:sz w:val="21"/>
      <w:lang w:val="en-US" w:eastAsia="zh-CN"/>
    </w:rPr>
  </w:style>
  <w:style w:type="character" w:customStyle="1" w:styleId="129">
    <w:name w:val="标题 9 Char"/>
    <w:link w:val="16"/>
    <w:qFormat/>
    <w:uiPriority w:val="0"/>
    <w:rPr>
      <w:rFonts w:ascii="Arial" w:hAnsi="Arial" w:eastAsia="黑体"/>
      <w:kern w:val="2"/>
      <w:sz w:val="21"/>
      <w:szCs w:val="21"/>
    </w:rPr>
  </w:style>
  <w:style w:type="character" w:customStyle="1" w:styleId="130">
    <w:name w:val="Header Char_a1203fb8-cbfd-4269-9475-2b9af58eb71f"/>
    <w:qFormat/>
    <w:uiPriority w:val="0"/>
    <w:rPr>
      <w:rFonts w:eastAsia="宋体"/>
      <w:kern w:val="2"/>
      <w:sz w:val="18"/>
      <w:szCs w:val="18"/>
      <w:lang w:val="en-US" w:eastAsia="zh-CN" w:bidi="ar-SA"/>
    </w:rPr>
  </w:style>
  <w:style w:type="character" w:customStyle="1" w:styleId="131">
    <w:name w:val="Footer-Even Char1"/>
    <w:qFormat/>
    <w:uiPriority w:val="0"/>
    <w:rPr>
      <w:rFonts w:eastAsia="宋体"/>
      <w:kern w:val="2"/>
      <w:sz w:val="18"/>
      <w:szCs w:val="18"/>
      <w:lang w:val="en-US" w:eastAsia="zh-CN" w:bidi="ar-SA"/>
    </w:rPr>
  </w:style>
  <w:style w:type="character" w:customStyle="1" w:styleId="132">
    <w:name w:val="unnamed31"/>
    <w:qFormat/>
    <w:uiPriority w:val="0"/>
    <w:rPr>
      <w:rFonts w:ascii="Tahoma" w:hAnsi="Tahoma" w:eastAsia="宋体"/>
      <w:b/>
      <w:kern w:val="2"/>
      <w:sz w:val="24"/>
      <w:szCs w:val="32"/>
      <w:u w:val="none"/>
      <w:lang w:val="en-US" w:eastAsia="zh-CN" w:bidi="ar-SA"/>
    </w:rPr>
  </w:style>
  <w:style w:type="character" w:customStyle="1" w:styleId="133">
    <w:name w:val="纯文本 Char Char Char"/>
    <w:qFormat/>
    <w:uiPriority w:val="0"/>
    <w:rPr>
      <w:rFonts w:ascii="宋体" w:hAnsi="Courier New" w:eastAsia="宋体"/>
      <w:kern w:val="2"/>
      <w:sz w:val="21"/>
      <w:lang w:val="en-US" w:eastAsia="zh-CN" w:bidi="ar-SA"/>
    </w:rPr>
  </w:style>
  <w:style w:type="character" w:customStyle="1" w:styleId="134">
    <w:name w:val="Body Text(ch) Char Char"/>
    <w:qFormat/>
    <w:uiPriority w:val="0"/>
    <w:rPr>
      <w:rFonts w:ascii="宋体"/>
      <w:kern w:val="2"/>
      <w:sz w:val="24"/>
      <w:szCs w:val="21"/>
      <w:lang w:val="zh-CN"/>
    </w:rPr>
  </w:style>
  <w:style w:type="character" w:customStyle="1" w:styleId="135">
    <w:name w:val="插图说明 Char"/>
    <w:qFormat/>
    <w:uiPriority w:val="0"/>
    <w:rPr>
      <w:rFonts w:eastAsia="黑体"/>
      <w:sz w:val="24"/>
      <w:lang w:val="en-US" w:eastAsia="zh-CN"/>
    </w:rPr>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font21"/>
    <w:qFormat/>
    <w:uiPriority w:val="0"/>
    <w:rPr>
      <w:rFonts w:hint="eastAsia" w:ascii="宋体" w:hAnsi="宋体" w:eastAsia="宋体"/>
      <w:kern w:val="2"/>
      <w:sz w:val="28"/>
      <w:szCs w:val="28"/>
      <w:lang w:val="en-US" w:eastAsia="zh-CN" w:bidi="ar-SA"/>
    </w:rPr>
  </w:style>
  <w:style w:type="character" w:customStyle="1" w:styleId="138">
    <w:name w:val="标书正文格式 Char"/>
    <w:qFormat/>
    <w:uiPriority w:val="0"/>
    <w:rPr>
      <w:rFonts w:eastAsia="楷体_GB2312"/>
      <w:kern w:val="2"/>
      <w:sz w:val="24"/>
      <w:szCs w:val="24"/>
      <w:lang w:bidi="ar-SA"/>
    </w:rPr>
  </w:style>
  <w:style w:type="character" w:customStyle="1" w:styleId="139">
    <w:name w:val="正文首行缩进 Char"/>
    <w:link w:val="61"/>
    <w:qFormat/>
    <w:uiPriority w:val="0"/>
    <w:rPr>
      <w:rFonts w:ascii="宋体"/>
      <w:kern w:val="2"/>
      <w:sz w:val="24"/>
      <w:lang w:val="zh-CN"/>
    </w:rPr>
  </w:style>
  <w:style w:type="character" w:customStyle="1" w:styleId="140">
    <w:name w:val="javascript"/>
    <w:qFormat/>
    <w:uiPriority w:val="0"/>
  </w:style>
  <w:style w:type="character" w:customStyle="1" w:styleId="141">
    <w:name w:val="Balloon Text Char"/>
    <w:qFormat/>
    <w:uiPriority w:val="0"/>
    <w:rPr>
      <w:rFonts w:eastAsia="宋体"/>
      <w:kern w:val="2"/>
      <w:sz w:val="18"/>
      <w:szCs w:val="18"/>
      <w:lang w:val="en-US" w:eastAsia="zh-CN" w:bidi="ar-SA"/>
    </w:rPr>
  </w:style>
  <w:style w:type="character" w:customStyle="1" w:styleId="142">
    <w:name w:val="Char Char5"/>
    <w:qFormat/>
    <w:uiPriority w:val="0"/>
    <w:rPr>
      <w:rFonts w:ascii="宋体" w:hAnsi="Courier New" w:eastAsia="宋体"/>
      <w:kern w:val="2"/>
      <w:sz w:val="21"/>
      <w:lang w:val="en-US" w:eastAsia="zh-CN"/>
    </w:rPr>
  </w:style>
  <w:style w:type="character" w:customStyle="1" w:styleId="143">
    <w:name w:val="Char Char"/>
    <w:qFormat/>
    <w:uiPriority w:val="0"/>
    <w:rPr>
      <w:rFonts w:ascii="宋体" w:hAnsi="Courier New" w:eastAsia="宋体"/>
      <w:kern w:val="2"/>
      <w:sz w:val="21"/>
      <w:lang w:val="en-US" w:eastAsia="zh-CN" w:bidi="ar-SA"/>
    </w:rPr>
  </w:style>
  <w:style w:type="character" w:customStyle="1" w:styleId="144">
    <w:name w:val="mdeck"/>
    <w:qFormat/>
    <w:uiPriority w:val="0"/>
    <w:rPr>
      <w:rFonts w:ascii="仿宋_GB2312" w:eastAsia="微软雅黑"/>
      <w:b/>
      <w:kern w:val="2"/>
      <w:sz w:val="32"/>
      <w:szCs w:val="32"/>
      <w:lang w:val="en-US" w:eastAsia="zh-CN" w:bidi="ar-SA"/>
    </w:rPr>
  </w:style>
  <w:style w:type="character" w:customStyle="1" w:styleId="145">
    <w:name w:val="content"/>
    <w:qFormat/>
    <w:uiPriority w:val="0"/>
  </w:style>
  <w:style w:type="character" w:customStyle="1" w:styleId="146">
    <w:name w:val="Char Char3"/>
    <w:qFormat/>
    <w:uiPriority w:val="0"/>
    <w:rPr>
      <w:rFonts w:eastAsia="宋体"/>
      <w:kern w:val="2"/>
      <w:sz w:val="21"/>
      <w:szCs w:val="24"/>
      <w:lang w:val="en-US" w:eastAsia="zh-CN" w:bidi="ar-SA"/>
    </w:rPr>
  </w:style>
  <w:style w:type="character" w:customStyle="1" w:styleId="147">
    <w:name w:val="Char Char81"/>
    <w:qFormat/>
    <w:uiPriority w:val="6"/>
    <w:rPr>
      <w:rFonts w:eastAsia="宋体"/>
      <w:b/>
      <w:sz w:val="24"/>
      <w:lang w:val="en-GB" w:eastAsia="zh-CN"/>
    </w:rPr>
  </w:style>
  <w:style w:type="character" w:customStyle="1" w:styleId="148">
    <w:name w:val="页眉 Char"/>
    <w:qFormat/>
    <w:uiPriority w:val="99"/>
    <w:rPr>
      <w:rFonts w:eastAsia="仿宋_GB2312"/>
      <w:kern w:val="2"/>
      <w:sz w:val="18"/>
      <w:lang w:val="en-US" w:eastAsia="zh-CN"/>
    </w:rPr>
  </w:style>
  <w:style w:type="character" w:customStyle="1" w:styleId="149">
    <w:name w:val="b11_01b Char"/>
    <w:link w:val="150"/>
    <w:qFormat/>
    <w:uiPriority w:val="0"/>
    <w:rPr>
      <w:rFonts w:ascii="Verdana" w:hAnsi="Verdana"/>
      <w:b/>
      <w:bCs/>
      <w:color w:val="4A82CA"/>
      <w:sz w:val="17"/>
      <w:szCs w:val="17"/>
    </w:rPr>
  </w:style>
  <w:style w:type="paragraph" w:customStyle="1" w:styleId="150">
    <w:name w:val="b11_01b"/>
    <w:basedOn w:val="1"/>
    <w:next w:val="1"/>
    <w:link w:val="1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1">
    <w:name w:val="标题4-dyf Char"/>
    <w:link w:val="152"/>
    <w:qFormat/>
    <w:uiPriority w:val="0"/>
    <w:rPr>
      <w:rFonts w:ascii="Cambria" w:hAnsi="Cambria"/>
      <w:b/>
      <w:bCs/>
      <w:color w:val="000000"/>
      <w:kern w:val="2"/>
      <w:sz w:val="21"/>
      <w:szCs w:val="21"/>
    </w:rPr>
  </w:style>
  <w:style w:type="paragraph" w:customStyle="1" w:styleId="152">
    <w:name w:val="标题4-dyf"/>
    <w:basedOn w:val="9"/>
    <w:link w:val="1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3">
    <w:name w:val="批注主题 Char"/>
    <w:qFormat/>
    <w:uiPriority w:val="0"/>
    <w:rPr>
      <w:rFonts w:eastAsia="宋体"/>
      <w:b/>
      <w:bCs/>
      <w:kern w:val="2"/>
      <w:sz w:val="21"/>
      <w:szCs w:val="24"/>
      <w:lang w:val="en-US" w:eastAsia="zh-CN" w:bidi="ar-SA"/>
    </w:rPr>
  </w:style>
  <w:style w:type="character" w:customStyle="1" w:styleId="1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gray6"/>
    <w:basedOn w:val="65"/>
    <w:qFormat/>
    <w:uiPriority w:val="0"/>
    <w:rPr>
      <w:rFonts w:ascii="Arial" w:hAnsi="Arial" w:eastAsia="黑体" w:cs="Arial"/>
      <w:snapToGrid w:val="0"/>
      <w:kern w:val="0"/>
      <w:szCs w:val="21"/>
    </w:rPr>
  </w:style>
  <w:style w:type="character" w:customStyle="1" w:styleId="157">
    <w:name w:val="正文首行缩进两字 Char"/>
    <w:qFormat/>
    <w:uiPriority w:val="0"/>
    <w:rPr>
      <w:sz w:val="24"/>
      <w:szCs w:val="24"/>
      <w:lang w:val="en-US" w:eastAsia="zh-CN" w:bidi="ar-SA"/>
    </w:rPr>
  </w:style>
  <w:style w:type="character" w:customStyle="1" w:styleId="158">
    <w:name w:val="Char Char51"/>
    <w:qFormat/>
    <w:uiPriority w:val="0"/>
    <w:rPr>
      <w:rFonts w:ascii="宋体" w:hAnsi="Courier New" w:eastAsia="宋体"/>
      <w:kern w:val="2"/>
      <w:sz w:val="21"/>
      <w:lang w:val="en-US" w:eastAsia="zh-CN"/>
    </w:rPr>
  </w:style>
  <w:style w:type="character" w:customStyle="1" w:styleId="159">
    <w:name w:val="带编号样式 Char"/>
    <w:qFormat/>
    <w:uiPriority w:val="0"/>
    <w:rPr>
      <w:rFonts w:ascii="仿宋_GB2312" w:eastAsia="仿宋_GB2312"/>
      <w:color w:val="000000"/>
      <w:sz w:val="24"/>
      <w:lang w:bidi="ar-SA"/>
    </w:rPr>
  </w:style>
  <w:style w:type="character" w:customStyle="1" w:styleId="160">
    <w:name w:val="Footer-Even Char"/>
    <w:qFormat/>
    <w:uiPriority w:val="0"/>
    <w:rPr>
      <w:rFonts w:eastAsia="宋体"/>
      <w:kern w:val="2"/>
      <w:sz w:val="18"/>
      <w:lang w:val="en-US" w:eastAsia="zh-CN" w:bidi="ar-SA"/>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样式 标题 4h4H4Fab-4T5Ref Heading 1rh1Heading sqlsect 1.2.3.... Char"/>
    <w:link w:val="163"/>
    <w:qFormat/>
    <w:uiPriority w:val="0"/>
    <w:rPr>
      <w:rFonts w:ascii="微软雅黑" w:hAnsi="微软雅黑" w:eastAsia="微软雅黑"/>
      <w:b/>
      <w:bCs/>
      <w:kern w:val="2"/>
      <w:sz w:val="24"/>
      <w:szCs w:val="28"/>
    </w:rPr>
  </w:style>
  <w:style w:type="paragraph" w:customStyle="1" w:styleId="163">
    <w:name w:val="样式 标题 4h4H4Fab-4T5Ref Heading 1rh1Heading sqlsect 1.2.3...."/>
    <w:basedOn w:val="9"/>
    <w:link w:val="162"/>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4">
    <w:name w:val="dandyren_title1"/>
    <w:qFormat/>
    <w:uiPriority w:val="0"/>
    <w:rPr>
      <w:b/>
      <w:bCs/>
      <w:color w:val="FF6633"/>
      <w:sz w:val="18"/>
      <w:szCs w:val="18"/>
    </w:rPr>
  </w:style>
  <w:style w:type="character" w:customStyle="1" w:styleId="165">
    <w:name w:val="普通文字 Char Char1"/>
    <w:qFormat/>
    <w:uiPriority w:val="0"/>
    <w:rPr>
      <w:rFonts w:ascii="宋体" w:hAnsi="Courier New"/>
      <w:kern w:val="2"/>
      <w:sz w:val="21"/>
    </w:rPr>
  </w:style>
  <w:style w:type="character" w:customStyle="1" w:styleId="166">
    <w:name w:val="PI Char"/>
    <w:qFormat/>
    <w:uiPriority w:val="0"/>
    <w:rPr>
      <w:rFonts w:ascii="宋体" w:hAnsi="宋体" w:eastAsia="宋体"/>
      <w:kern w:val="2"/>
      <w:sz w:val="24"/>
      <w:szCs w:val="24"/>
      <w:lang w:val="en-US" w:eastAsia="zh-CN" w:bidi="ar-SA"/>
    </w:rPr>
  </w:style>
  <w:style w:type="character" w:customStyle="1" w:styleId="167">
    <w:name w:val="Char Char11"/>
    <w:qFormat/>
    <w:uiPriority w:val="0"/>
    <w:rPr>
      <w:rFonts w:ascii="宋体" w:hAnsi="宋体" w:eastAsia="宋体"/>
      <w:b/>
      <w:kern w:val="2"/>
      <w:sz w:val="24"/>
      <w:szCs w:val="24"/>
      <w:lang w:val="en-US" w:eastAsia="zh-CN" w:bidi="ar-SA"/>
    </w:rPr>
  </w:style>
  <w:style w:type="character" w:customStyle="1" w:styleId="16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9">
    <w:name w:val="Document Map Char"/>
    <w:qFormat/>
    <w:uiPriority w:val="0"/>
    <w:rPr>
      <w:rFonts w:eastAsia="宋体"/>
      <w:kern w:val="2"/>
      <w:sz w:val="21"/>
      <w:szCs w:val="24"/>
      <w:lang w:val="en-US" w:eastAsia="zh-CN" w:bidi="ar-SA"/>
    </w:rPr>
  </w:style>
  <w:style w:type="character" w:customStyle="1" w:styleId="170">
    <w:name w:val="正文文本缩进 Char"/>
    <w:qFormat/>
    <w:uiPriority w:val="0"/>
    <w:rPr>
      <w:rFonts w:ascii="宋体" w:hAnsi="宋体"/>
      <w:kern w:val="2"/>
      <w:sz w:val="24"/>
      <w:szCs w:val="24"/>
    </w:rPr>
  </w:style>
  <w:style w:type="character" w:customStyle="1" w:styleId="171">
    <w:name w:val="文本正文 Char Char"/>
    <w:qFormat/>
    <w:uiPriority w:val="0"/>
    <w:rPr>
      <w:sz w:val="24"/>
      <w:lang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样式3 Char"/>
    <w:basedOn w:val="174"/>
    <w:qFormat/>
    <w:uiPriority w:val="0"/>
    <w:rPr>
      <w:rFonts w:ascii="仿宋_GB2312" w:hAnsi="仿宋" w:eastAsia="仿宋_GB2312" w:cs="仿宋_GB2312"/>
      <w:sz w:val="32"/>
      <w:szCs w:val="30"/>
      <w:lang w:val="zh-CN"/>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二级标题 Char Char"/>
    <w:qFormat/>
    <w:uiPriority w:val="0"/>
    <w:rPr>
      <w:rFonts w:ascii="宋体" w:hAnsi="宋体" w:eastAsia="宋体"/>
      <w:b/>
      <w:snapToGrid w:val="0"/>
      <w:kern w:val="2"/>
      <w:sz w:val="24"/>
      <w:szCs w:val="24"/>
      <w:lang w:val="en-US" w:eastAsia="zh-CN" w:bidi="ar-SA"/>
    </w:rPr>
  </w:style>
  <w:style w:type="character" w:customStyle="1" w:styleId="176">
    <w:name w:val="Table Text Char1"/>
    <w:qFormat/>
    <w:uiPriority w:val="0"/>
    <w:rPr>
      <w:rFonts w:eastAsia="宋体"/>
      <w:sz w:val="24"/>
      <w:szCs w:val="24"/>
      <w:lang w:val="en-US" w:eastAsia="zh-CN" w:bidi="ar-SA"/>
    </w:rPr>
  </w:style>
  <w:style w:type="character" w:customStyle="1" w:styleId="177">
    <w:name w:val="shadow11"/>
    <w:qFormat/>
    <w:uiPriority w:val="0"/>
    <w:rPr>
      <w:color w:val="000000"/>
      <w:sz w:val="21"/>
    </w:rPr>
  </w:style>
  <w:style w:type="character" w:customStyle="1" w:styleId="178">
    <w:name w:val="HTML 地址 Char"/>
    <w:link w:val="31"/>
    <w:qFormat/>
    <w:uiPriority w:val="0"/>
    <w:rPr>
      <w:rFonts w:ascii="宋体" w:hAnsi="宋体"/>
      <w:i/>
      <w:iCs/>
      <w:sz w:val="24"/>
      <w:szCs w:val="24"/>
    </w:rPr>
  </w:style>
  <w:style w:type="character" w:customStyle="1" w:styleId="179">
    <w:name w:val="Char Char21"/>
    <w:qFormat/>
    <w:uiPriority w:val="0"/>
    <w:rPr>
      <w:rFonts w:eastAsia="宋体"/>
      <w:b/>
      <w:bCs/>
      <w:kern w:val="2"/>
      <w:sz w:val="21"/>
      <w:szCs w:val="24"/>
      <w:lang w:val="en-US" w:eastAsia="zh-CN" w:bidi="ar-SA"/>
    </w:rPr>
  </w:style>
  <w:style w:type="character" w:customStyle="1" w:styleId="180">
    <w:name w:val="标题 5 Char"/>
    <w:link w:val="12"/>
    <w:qFormat/>
    <w:uiPriority w:val="0"/>
    <w:rPr>
      <w:b/>
      <w:bCs/>
      <w:kern w:val="2"/>
      <w:sz w:val="28"/>
      <w:szCs w:val="28"/>
    </w:rPr>
  </w:style>
  <w:style w:type="character" w:customStyle="1" w:styleId="181">
    <w:name w:val="h3 Char1"/>
    <w:qFormat/>
    <w:uiPriority w:val="0"/>
    <w:rPr>
      <w:rFonts w:eastAsia="宋体"/>
      <w:b/>
      <w:bCs/>
      <w:kern w:val="2"/>
      <w:sz w:val="32"/>
      <w:szCs w:val="32"/>
      <w:lang w:bidi="ar-SA"/>
    </w:rPr>
  </w:style>
  <w:style w:type="character" w:customStyle="1" w:styleId="182">
    <w:name w:val="FA正文 Char Char"/>
    <w:qFormat/>
    <w:uiPriority w:val="0"/>
    <w:rPr>
      <w:rFonts w:hAnsi="宋体"/>
      <w:kern w:val="2"/>
      <w:sz w:val="24"/>
      <w:lang w:bidi="ar-SA"/>
    </w:rPr>
  </w:style>
  <w:style w:type="character" w:customStyle="1" w:styleId="183">
    <w:name w:val="首行缩进 Char"/>
    <w:qFormat/>
    <w:uiPriority w:val="0"/>
    <w:rPr>
      <w:rFonts w:ascii="宋体" w:eastAsia="宋体"/>
      <w:kern w:val="2"/>
      <w:sz w:val="24"/>
      <w:lang w:val="en-US" w:eastAsia="zh-CN" w:bidi="ar-SA"/>
    </w:rPr>
  </w:style>
  <w:style w:type="character" w:customStyle="1" w:styleId="184">
    <w:name w:val="Char Char7"/>
    <w:qFormat/>
    <w:uiPriority w:val="0"/>
    <w:rPr>
      <w:rFonts w:eastAsia="宋体"/>
      <w:kern w:val="2"/>
      <w:sz w:val="21"/>
      <w:szCs w:val="24"/>
      <w:lang w:val="en-US" w:eastAsia="zh-CN" w:bidi="ar-SA"/>
    </w:rPr>
  </w:style>
  <w:style w:type="character" w:customStyle="1" w:styleId="185">
    <w:name w:val="hui"/>
    <w:basedOn w:val="65"/>
    <w:qFormat/>
    <w:uiPriority w:val="0"/>
    <w:rPr>
      <w:rFonts w:ascii="Arial" w:hAnsi="Arial" w:eastAsia="黑体" w:cs="Arial"/>
      <w:snapToGrid w:val="0"/>
      <w:kern w:val="0"/>
      <w:szCs w:val="21"/>
    </w:rPr>
  </w:style>
  <w:style w:type="character" w:customStyle="1" w:styleId="186">
    <w:name w:val="正文缩进 Char"/>
    <w:qFormat/>
    <w:uiPriority w:val="0"/>
    <w:rPr>
      <w:rFonts w:eastAsia="宋体"/>
      <w:kern w:val="2"/>
      <w:sz w:val="21"/>
      <w:lang w:val="en-US" w:eastAsia="zh-CN"/>
    </w:rPr>
  </w:style>
  <w:style w:type="character" w:customStyle="1" w:styleId="187">
    <w:name w:val="正文1 Char"/>
    <w:qFormat/>
    <w:uiPriority w:val="0"/>
    <w:rPr>
      <w:rFonts w:ascii="宋体" w:eastAsia="宋体"/>
      <w:snapToGrid w:val="0"/>
      <w:color w:val="000000"/>
      <w:kern w:val="28"/>
      <w:sz w:val="28"/>
      <w:lang w:val="en-US" w:eastAsia="zh-CN" w:bidi="ar-SA"/>
    </w:rPr>
  </w:style>
  <w:style w:type="character" w:customStyle="1" w:styleId="188">
    <w:name w:val="Char Char61"/>
    <w:qFormat/>
    <w:uiPriority w:val="0"/>
    <w:rPr>
      <w:rFonts w:eastAsia="宋体"/>
      <w:kern w:val="2"/>
      <w:sz w:val="21"/>
      <w:szCs w:val="24"/>
      <w:lang w:val="en-US" w:eastAsia="zh-CN" w:bidi="ar-SA"/>
    </w:rPr>
  </w:style>
  <w:style w:type="character" w:customStyle="1" w:styleId="189">
    <w:name w:val="正文文本 3 Char"/>
    <w:link w:val="26"/>
    <w:qFormat/>
    <w:uiPriority w:val="0"/>
    <w:rPr>
      <w:kern w:val="2"/>
      <w:sz w:val="21"/>
    </w:rPr>
  </w:style>
  <w:style w:type="character" w:customStyle="1" w:styleId="190">
    <w:name w:val="message1"/>
    <w:qFormat/>
    <w:uiPriority w:val="0"/>
    <w:rPr>
      <w:rFonts w:hint="default" w:ascii="Tahoma" w:hAnsi="Tahoma" w:cs="Tahoma"/>
      <w:sz w:val="18"/>
      <w:szCs w:val="18"/>
    </w:rPr>
  </w:style>
  <w:style w:type="character" w:customStyle="1" w:styleId="191">
    <w:name w:val="Heading 2 Hidden Char"/>
    <w:qFormat/>
    <w:uiPriority w:val="0"/>
    <w:rPr>
      <w:rFonts w:ascii="仿宋_GB2312" w:eastAsia="仿宋_GB2312"/>
      <w:b/>
      <w:bCs/>
      <w:kern w:val="2"/>
      <w:sz w:val="24"/>
      <w:szCs w:val="24"/>
      <w:lang w:val="zh-CN" w:eastAsia="zh-CN" w:bidi="ar-SA"/>
    </w:rPr>
  </w:style>
  <w:style w:type="character" w:customStyle="1" w:styleId="192">
    <w:name w:val="DO_NOT_TRANSLATE"/>
    <w:qFormat/>
    <w:uiPriority w:val="0"/>
    <w:rPr>
      <w:rFonts w:ascii="Courier New" w:hAnsi="Courier New" w:cs="Courier New"/>
      <w:color w:val="800000"/>
      <w:lang w:val="en-US" w:eastAsia="zh-CN"/>
    </w:rPr>
  </w:style>
  <w:style w:type="character" w:customStyle="1" w:styleId="193">
    <w:name w:val="unnamed11"/>
    <w:qFormat/>
    <w:uiPriority w:val="0"/>
    <w:rPr>
      <w:sz w:val="20"/>
      <w:szCs w:val="20"/>
    </w:rPr>
  </w:style>
  <w:style w:type="character" w:customStyle="1" w:styleId="194">
    <w:name w:val="tw4winInternal"/>
    <w:qFormat/>
    <w:uiPriority w:val="0"/>
    <w:rPr>
      <w:rFonts w:ascii="Courier New" w:hAnsi="Courier New" w:cs="Courier New"/>
      <w:color w:val="FF0000"/>
      <w:lang w:val="en-US" w:eastAsia="zh-CN"/>
    </w:rPr>
  </w:style>
  <w:style w:type="character" w:customStyle="1" w:styleId="195">
    <w:name w:val="正文（缩进2汉字） Char"/>
    <w:link w:val="196"/>
    <w:qFormat/>
    <w:uiPriority w:val="0"/>
    <w:rPr>
      <w:rFonts w:ascii="宋体"/>
    </w:rPr>
  </w:style>
  <w:style w:type="paragraph" w:customStyle="1" w:styleId="196">
    <w:name w:val="正文（缩进2汉字）"/>
    <w:basedOn w:val="1"/>
    <w:link w:val="19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7">
    <w:name w:val="页脚 Char"/>
    <w:qFormat/>
    <w:uiPriority w:val="99"/>
    <w:rPr>
      <w:rFonts w:eastAsia="仿宋_GB2312"/>
      <w:kern w:val="2"/>
      <w:sz w:val="18"/>
      <w:lang w:val="en-US" w:eastAsia="zh-CN"/>
    </w:rPr>
  </w:style>
  <w:style w:type="character" w:customStyle="1" w:styleId="198">
    <w:name w:val="正文文本缩进 3 Char"/>
    <w:link w:val="53"/>
    <w:qFormat/>
    <w:uiPriority w:val="0"/>
    <w:rPr>
      <w:kern w:val="2"/>
      <w:sz w:val="24"/>
    </w:rPr>
  </w:style>
  <w:style w:type="character" w:customStyle="1" w:styleId="199">
    <w:name w:val="正文缩进 Char1"/>
    <w:qFormat/>
    <w:uiPriority w:val="0"/>
    <w:rPr>
      <w:rFonts w:ascii="宋体" w:eastAsia="宋体"/>
      <w:snapToGrid w:val="0"/>
      <w:color w:val="000000"/>
      <w:kern w:val="28"/>
      <w:sz w:val="28"/>
      <w:lang w:val="en-US" w:eastAsia="zh-CN" w:bidi="ar-SA"/>
    </w:rPr>
  </w:style>
  <w:style w:type="character" w:customStyle="1" w:styleId="200">
    <w:name w:val="正文文本 Char"/>
    <w:qFormat/>
    <w:uiPriority w:val="0"/>
    <w:rPr>
      <w:rFonts w:eastAsia="宋体"/>
      <w:kern w:val="2"/>
      <w:sz w:val="24"/>
      <w:szCs w:val="24"/>
      <w:lang w:val="en-US" w:eastAsia="zh-CN" w:bidi="ar-SA"/>
    </w:rPr>
  </w:style>
  <w:style w:type="character" w:customStyle="1" w:styleId="201">
    <w:name w:val="style36"/>
    <w:basedOn w:val="65"/>
    <w:qFormat/>
    <w:uiPriority w:val="0"/>
    <w:rPr>
      <w:rFonts w:ascii="Arial" w:hAnsi="Arial" w:eastAsia="黑体" w:cs="Arial"/>
      <w:snapToGrid w:val="0"/>
      <w:kern w:val="0"/>
      <w:szCs w:val="21"/>
    </w:rPr>
  </w:style>
  <w:style w:type="character" w:customStyle="1" w:styleId="202">
    <w:name w:val="hui3"/>
    <w:qFormat/>
    <w:uiPriority w:val="0"/>
    <w:rPr>
      <w:color w:val="333333"/>
    </w:rPr>
  </w:style>
  <w:style w:type="character" w:customStyle="1" w:styleId="203">
    <w:name w:val="方案正文 Char"/>
    <w:qFormat/>
    <w:uiPriority w:val="0"/>
    <w:rPr>
      <w:rFonts w:ascii="仿宋_GB2312" w:eastAsia="仿宋_GB2312"/>
      <w:b/>
      <w:color w:val="000000"/>
      <w:kern w:val="2"/>
      <w:sz w:val="24"/>
      <w:lang w:val="en-US" w:eastAsia="zh-CN" w:bidi="ar-SA"/>
    </w:rPr>
  </w:style>
  <w:style w:type="character" w:customStyle="1" w:styleId="204">
    <w:name w:val="apple-converted-space"/>
    <w:qFormat/>
    <w:uiPriority w:val="0"/>
  </w:style>
  <w:style w:type="character" w:customStyle="1" w:styleId="205">
    <w:name w:val="文档结构图 Char"/>
    <w:qFormat/>
    <w:uiPriority w:val="0"/>
    <w:rPr>
      <w:rFonts w:eastAsia="宋体"/>
      <w:kern w:val="2"/>
      <w:sz w:val="21"/>
      <w:szCs w:val="24"/>
      <w:lang w:val="en-US" w:eastAsia="zh-CN" w:bidi="ar-SA"/>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dectext1"/>
    <w:qFormat/>
    <w:uiPriority w:val="0"/>
    <w:rPr>
      <w:rFonts w:ascii="宋体" w:hAnsi="宋体" w:eastAsia="宋体"/>
      <w:color w:val="333333"/>
      <w:sz w:val="21"/>
      <w:szCs w:val="21"/>
      <w:u w:val="none"/>
    </w:rPr>
  </w:style>
  <w:style w:type="character" w:customStyle="1" w:styleId="208">
    <w:name w:val="t21"/>
    <w:qFormat/>
    <w:uiPriority w:val="0"/>
    <w:rPr>
      <w:rFonts w:ascii="仿宋_GB2312" w:eastAsia="微软雅黑"/>
      <w:b/>
      <w:kern w:val="2"/>
      <w:sz w:val="23"/>
      <w:szCs w:val="23"/>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px14"/>
    <w:qFormat/>
    <w:uiPriority w:val="0"/>
    <w:rPr>
      <w:rFonts w:ascii="仿宋_GB2312" w:eastAsia="微软雅黑" w:cs="Times New Roman"/>
      <w:b/>
      <w:kern w:val="2"/>
      <w:sz w:val="32"/>
      <w:szCs w:val="32"/>
      <w:lang w:val="en-US" w:eastAsia="zh-CN" w:bidi="ar-SA"/>
    </w:rPr>
  </w:style>
  <w:style w:type="character" w:customStyle="1" w:styleId="211">
    <w:name w:val="标题 7 Char"/>
    <w:link w:val="14"/>
    <w:qFormat/>
    <w:uiPriority w:val="0"/>
    <w:rPr>
      <w:b/>
      <w:bCs/>
      <w:kern w:val="2"/>
      <w:sz w:val="24"/>
      <w:szCs w:val="24"/>
    </w:rPr>
  </w:style>
  <w:style w:type="character" w:customStyle="1" w:styleId="212">
    <w:name w:val="Normal Indent Char Char"/>
    <w:qFormat/>
    <w:uiPriority w:val="0"/>
    <w:rPr>
      <w:rFonts w:eastAsia="宋体"/>
      <w:kern w:val="2"/>
      <w:sz w:val="21"/>
      <w:lang w:val="en-US" w:eastAsia="zh-CN" w:bidi="ar-SA"/>
    </w:rPr>
  </w:style>
  <w:style w:type="character" w:customStyle="1" w:styleId="213">
    <w:name w:val="f141"/>
    <w:qFormat/>
    <w:uiPriority w:val="0"/>
    <w:rPr>
      <w:rFonts w:ascii="Tahoma" w:hAnsi="Tahoma" w:eastAsia="宋体"/>
      <w:b/>
      <w:kern w:val="2"/>
      <w:sz w:val="21"/>
      <w:szCs w:val="21"/>
      <w:lang w:val="en-US" w:eastAsia="zh-CN" w:bidi="ar-SA"/>
    </w:rPr>
  </w:style>
  <w:style w:type="character" w:customStyle="1" w:styleId="214">
    <w:name w:val="日期 Char"/>
    <w:link w:val="35"/>
    <w:qFormat/>
    <w:uiPriority w:val="0"/>
    <w:rPr>
      <w:rFonts w:ascii="宋体"/>
      <w:kern w:val="2"/>
      <w:sz w:val="24"/>
      <w:szCs w:val="21"/>
      <w:lang w:val="zh-CN"/>
    </w:rPr>
  </w:style>
  <w:style w:type="character" w:customStyle="1" w:styleId="215">
    <w:name w:val="myp1111"/>
    <w:qFormat/>
    <w:uiPriority w:val="0"/>
    <w:rPr>
      <w:rFonts w:hint="default" w:ascii="ˎ̥" w:hAnsi="ˎ̥"/>
      <w:color w:val="000000"/>
      <w:sz w:val="20"/>
      <w:szCs w:val="20"/>
      <w:u w:val="none"/>
    </w:rPr>
  </w:style>
  <w:style w:type="character" w:customStyle="1" w:styleId="216">
    <w:name w:val="称呼 Char"/>
    <w:link w:val="25"/>
    <w:qFormat/>
    <w:uiPriority w:val="0"/>
    <w:rPr>
      <w:rFonts w:ascii="仿宋_GB2312" w:eastAsia="仿宋_GB2312"/>
      <w:kern w:val="2"/>
      <w:sz w:val="28"/>
    </w:rPr>
  </w:style>
  <w:style w:type="character" w:customStyle="1" w:styleId="217">
    <w:name w:val="标题 4 Char"/>
    <w:link w:val="9"/>
    <w:qFormat/>
    <w:uiPriority w:val="0"/>
    <w:rPr>
      <w:rFonts w:ascii="Arial" w:hAnsi="Arial" w:eastAsia="黑体"/>
      <w:b/>
      <w:bCs/>
      <w:kern w:val="2"/>
      <w:sz w:val="28"/>
      <w:szCs w:val="28"/>
      <w:lang w:val="zh-CN"/>
    </w:rPr>
  </w:style>
  <w:style w:type="character" w:customStyle="1" w:styleId="218">
    <w:name w:val="标书1 Char"/>
    <w:qFormat/>
    <w:uiPriority w:val="0"/>
    <w:rPr>
      <w:rFonts w:eastAsia="宋体"/>
      <w:b/>
      <w:bCs/>
      <w:kern w:val="44"/>
      <w:sz w:val="44"/>
      <w:szCs w:val="44"/>
      <w:lang w:val="en-US" w:eastAsia="zh-CN" w:bidi="ar-SA"/>
    </w:rPr>
  </w:style>
  <w:style w:type="character" w:customStyle="1" w:styleId="219">
    <w:name w:val="链接"/>
    <w:qFormat/>
    <w:uiPriority w:val="0"/>
    <w:rPr>
      <w:color w:val="0000FF"/>
      <w:sz w:val="21"/>
      <w:szCs w:val="21"/>
      <w:u w:val="single"/>
    </w:rPr>
  </w:style>
  <w:style w:type="character" w:customStyle="1" w:styleId="220">
    <w:name w:val="正文首行缩进 Char Char Char Char Char Char"/>
    <w:qFormat/>
    <w:uiPriority w:val="0"/>
    <w:rPr>
      <w:rFonts w:ascii="宋体" w:eastAsia="宋体"/>
      <w:kern w:val="2"/>
      <w:sz w:val="24"/>
      <w:lang w:val="zh-CN" w:bidi="ar-SA"/>
    </w:rPr>
  </w:style>
  <w:style w:type="character" w:customStyle="1" w:styleId="221">
    <w:name w:val="正文2 Char Char"/>
    <w:link w:val="222"/>
    <w:qFormat/>
    <w:uiPriority w:val="0"/>
    <w:rPr>
      <w:rFonts w:eastAsia="宋体"/>
      <w:kern w:val="2"/>
      <w:sz w:val="24"/>
      <w:lang w:val="en-US" w:eastAsia="zh-CN" w:bidi="ar-SA"/>
    </w:rPr>
  </w:style>
  <w:style w:type="paragraph" w:customStyle="1" w:styleId="222">
    <w:name w:val="正文2"/>
    <w:basedOn w:val="1"/>
    <w:link w:val="221"/>
    <w:qFormat/>
    <w:uiPriority w:val="0"/>
    <w:pPr>
      <w:spacing w:before="156" w:line="360" w:lineRule="auto"/>
      <w:ind w:firstLine="510" w:firstLineChars="200"/>
    </w:pPr>
    <w:rPr>
      <w:sz w:val="24"/>
      <w:szCs w:val="20"/>
    </w:rPr>
  </w:style>
  <w:style w:type="character" w:customStyle="1" w:styleId="223">
    <w:name w:val="tw4winError"/>
    <w:qFormat/>
    <w:uiPriority w:val="0"/>
    <w:rPr>
      <w:rFonts w:ascii="Courier New" w:hAnsi="Courier New" w:cs="Courier New"/>
      <w:color w:val="00FF00"/>
      <w:sz w:val="40"/>
      <w:szCs w:val="40"/>
    </w:rPr>
  </w:style>
  <w:style w:type="character" w:customStyle="1" w:styleId="224">
    <w:name w:val="正文1 Char1"/>
    <w:qFormat/>
    <w:uiPriority w:val="0"/>
    <w:rPr>
      <w:rFonts w:ascii="仿宋_GB2312" w:hAnsi="Courier New" w:eastAsia="仿宋_GB2312"/>
      <w:kern w:val="28"/>
      <w:sz w:val="24"/>
      <w:szCs w:val="24"/>
      <w:lang w:val="en-US" w:eastAsia="zh-CN"/>
    </w:rPr>
  </w:style>
  <w:style w:type="character" w:customStyle="1" w:styleId="225">
    <w:name w:val="Used by Word for text of Help footnotes Char Char"/>
    <w:qFormat/>
    <w:uiPriority w:val="0"/>
    <w:rPr>
      <w:rFonts w:ascii="Times New Roman" w:hAnsi="Times New Roman" w:eastAsia="宋体" w:cs="Times New Roman"/>
      <w:sz w:val="20"/>
      <w:szCs w:val="20"/>
    </w:rPr>
  </w:style>
  <w:style w:type="character" w:customStyle="1" w:styleId="226">
    <w:name w:val="c7 style3"/>
    <w:qFormat/>
    <w:uiPriority w:val="0"/>
  </w:style>
  <w:style w:type="character" w:customStyle="1" w:styleId="2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228">
    <w:name w:val="Char Char31"/>
    <w:qFormat/>
    <w:uiPriority w:val="0"/>
    <w:rPr>
      <w:rFonts w:ascii="Times New Roman" w:hAnsi="Times New Roman" w:eastAsia="宋体" w:cs="Times New Roman"/>
      <w:b/>
      <w:kern w:val="2"/>
      <w:sz w:val="32"/>
      <w:szCs w:val="24"/>
      <w:lang w:val="en-US" w:eastAsia="zh-CN" w:bidi="ar-SA"/>
    </w:rPr>
  </w:style>
  <w:style w:type="character" w:customStyle="1" w:styleId="229">
    <w:name w:val="表正文 Char"/>
    <w:qFormat/>
    <w:uiPriority w:val="0"/>
    <w:rPr>
      <w:rFonts w:ascii="宋体" w:eastAsia="宋体"/>
      <w:snapToGrid w:val="0"/>
      <w:color w:val="000000"/>
      <w:kern w:val="28"/>
      <w:sz w:val="28"/>
      <w:lang w:val="en-US" w:eastAsia="zh-CN" w:bidi="ar-SA"/>
    </w:rPr>
  </w:style>
  <w:style w:type="character" w:customStyle="1" w:styleId="230">
    <w:name w:val="普通文字 Char1 Char"/>
    <w:qFormat/>
    <w:uiPriority w:val="0"/>
    <w:rPr>
      <w:rFonts w:ascii="宋体" w:hAnsi="Courier New" w:eastAsia="宋体"/>
      <w:kern w:val="2"/>
      <w:sz w:val="21"/>
      <w:szCs w:val="24"/>
      <w:lang w:val="en-US" w:eastAsia="zh-CN" w:bidi="ar-SA"/>
    </w:rPr>
  </w:style>
  <w:style w:type="character" w:customStyle="1" w:styleId="231">
    <w:name w:val="pt9"/>
    <w:qFormat/>
    <w:uiPriority w:val="0"/>
    <w:rPr>
      <w:rFonts w:ascii="仿宋_GB2312" w:eastAsia="微软雅黑"/>
      <w:b/>
      <w:kern w:val="2"/>
      <w:sz w:val="32"/>
      <w:szCs w:val="32"/>
      <w:lang w:val="en-US" w:eastAsia="zh-CN" w:bidi="ar-SA"/>
    </w:rPr>
  </w:style>
  <w:style w:type="character" w:customStyle="1" w:styleId="232">
    <w:name w:val="表正文 Char1"/>
    <w:qFormat/>
    <w:uiPriority w:val="0"/>
    <w:rPr>
      <w:rFonts w:ascii="宋体" w:eastAsia="宋体"/>
      <w:snapToGrid w:val="0"/>
      <w:color w:val="000000"/>
      <w:kern w:val="28"/>
      <w:sz w:val="28"/>
    </w:rPr>
  </w:style>
  <w:style w:type="character" w:customStyle="1" w:styleId="233">
    <w:name w:val="正文非缩进 Char"/>
    <w:qFormat/>
    <w:uiPriority w:val="0"/>
    <w:rPr>
      <w:rFonts w:ascii="宋体" w:eastAsia="宋体"/>
      <w:snapToGrid w:val="0"/>
      <w:color w:val="000000"/>
      <w:kern w:val="28"/>
      <w:sz w:val="28"/>
      <w:lang w:val="en-US" w:eastAsia="zh-CN" w:bidi="ar-SA"/>
    </w:rPr>
  </w:style>
  <w:style w:type="character" w:customStyle="1" w:styleId="234">
    <w:name w:val="冯广丽 Char"/>
    <w:link w:val="235"/>
    <w:qFormat/>
    <w:uiPriority w:val="0"/>
    <w:rPr>
      <w:rFonts w:ascii="宋体" w:hAnsi="宋体"/>
      <w:kern w:val="2"/>
      <w:sz w:val="24"/>
      <w:szCs w:val="22"/>
    </w:rPr>
  </w:style>
  <w:style w:type="paragraph" w:customStyle="1" w:styleId="235">
    <w:name w:val="冯广丽"/>
    <w:basedOn w:val="1"/>
    <w:link w:val="234"/>
    <w:qFormat/>
    <w:uiPriority w:val="0"/>
    <w:pPr>
      <w:adjustRightInd/>
      <w:spacing w:line="360" w:lineRule="auto"/>
      <w:ind w:firstLine="480" w:firstLineChars="200"/>
    </w:pPr>
    <w:rPr>
      <w:rFonts w:ascii="宋体" w:hAnsi="宋体"/>
      <w:sz w:val="24"/>
      <w:szCs w:val="22"/>
    </w:rPr>
  </w:style>
  <w:style w:type="character" w:customStyle="1" w:styleId="236">
    <w:name w:val="large1"/>
    <w:qFormat/>
    <w:uiPriority w:val="0"/>
    <w:rPr>
      <w:rFonts w:hint="eastAsia" w:ascii="宋体" w:hAnsi="宋体" w:eastAsia="宋体"/>
      <w:sz w:val="21"/>
      <w:szCs w:val="21"/>
    </w:rPr>
  </w:style>
  <w:style w:type="character" w:customStyle="1" w:styleId="237">
    <w:name w:val="样式 样式 标题 4h4H4Fab-4T5Ref Heading 1rh1Heading sqlsect 1.2.3.... +... Char"/>
    <w:link w:val="238"/>
    <w:qFormat/>
    <w:uiPriority w:val="0"/>
    <w:rPr>
      <w:rFonts w:ascii="微软雅黑" w:hAnsi="微软雅黑" w:eastAsia="微软雅黑"/>
      <w:b/>
      <w:bCs/>
      <w:kern w:val="2"/>
      <w:sz w:val="24"/>
      <w:szCs w:val="28"/>
    </w:rPr>
  </w:style>
  <w:style w:type="paragraph" w:customStyle="1" w:styleId="238">
    <w:name w:val="样式 样式 标题 4h4H4Fab-4T5Ref Heading 1rh1Heading sqlsect 1.2.3.... +..."/>
    <w:basedOn w:val="163"/>
    <w:link w:val="237"/>
    <w:qFormat/>
    <w:uiPriority w:val="0"/>
  </w:style>
  <w:style w:type="character" w:customStyle="1" w:styleId="239">
    <w:name w:val="标题 1 Char Char"/>
    <w:qFormat/>
    <w:uiPriority w:val="0"/>
    <w:rPr>
      <w:rFonts w:hint="eastAsia" w:ascii="宋体" w:hAnsi="宋体" w:eastAsia="宋体"/>
      <w:b/>
      <w:spacing w:val="-2"/>
      <w:sz w:val="24"/>
      <w:lang w:val="en-US" w:eastAsia="zh-CN" w:bidi="ar-SA"/>
    </w:rPr>
  </w:style>
  <w:style w:type="character" w:customStyle="1" w:styleId="240">
    <w:name w:val="标题 4 Char1"/>
    <w:qFormat/>
    <w:uiPriority w:val="9"/>
    <w:rPr>
      <w:rFonts w:ascii="Cambria" w:hAnsi="Cambria" w:eastAsia="宋体" w:cs="Times New Roman"/>
      <w:b/>
      <w:bCs/>
      <w:kern w:val="2"/>
      <w:sz w:val="28"/>
      <w:szCs w:val="28"/>
    </w:rPr>
  </w:style>
  <w:style w:type="character" w:customStyle="1" w:styleId="241">
    <w:name w:val="脚注文本 Char"/>
    <w:link w:val="50"/>
    <w:qFormat/>
    <w:uiPriority w:val="0"/>
    <w:rPr>
      <w:color w:val="0000FF"/>
      <w:sz w:val="21"/>
    </w:rPr>
  </w:style>
  <w:style w:type="character" w:customStyle="1" w:styleId="242">
    <w:name w:val="zbggmain style9"/>
    <w:qFormat/>
    <w:uiPriority w:val="0"/>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tw4winPopup"/>
    <w:qFormat/>
    <w:uiPriority w:val="0"/>
    <w:rPr>
      <w:rFonts w:ascii="Courier New" w:hAnsi="Courier New" w:cs="Courier New"/>
      <w:color w:val="008000"/>
      <w:lang w:val="en-US" w:eastAsia="zh-CN"/>
    </w:rPr>
  </w:style>
  <w:style w:type="character" w:customStyle="1" w:styleId="245">
    <w:name w:val="标题 6 Char"/>
    <w:link w:val="13"/>
    <w:qFormat/>
    <w:uiPriority w:val="0"/>
    <w:rPr>
      <w:rFonts w:ascii="Arial" w:hAnsi="Arial" w:eastAsia="黑体"/>
      <w:b/>
      <w:bCs/>
      <w:kern w:val="2"/>
      <w:sz w:val="24"/>
      <w:szCs w:val="24"/>
    </w:rPr>
  </w:style>
  <w:style w:type="character" w:customStyle="1" w:styleId="246">
    <w:name w:val="样式 宋体"/>
    <w:qFormat/>
    <w:uiPriority w:val="0"/>
    <w:rPr>
      <w:rFonts w:ascii="宋体" w:hAnsi="宋体"/>
      <w:sz w:val="24"/>
    </w:rPr>
  </w:style>
  <w:style w:type="character" w:customStyle="1" w:styleId="247">
    <w:name w:val="正文缩进 Char2"/>
    <w:link w:val="10"/>
    <w:qFormat/>
    <w:uiPriority w:val="0"/>
    <w:rPr>
      <w:rFonts w:ascii="宋体" w:eastAsia="宋体"/>
      <w:snapToGrid w:val="0"/>
      <w:color w:val="000000"/>
      <w:kern w:val="28"/>
      <w:sz w:val="28"/>
      <w:lang w:val="en-US" w:eastAsia="zh-CN" w:bidi="ar-SA"/>
    </w:rPr>
  </w:style>
  <w:style w:type="character" w:customStyle="1" w:styleId="248">
    <w:name w:val="标题 Char"/>
    <w:qFormat/>
    <w:uiPriority w:val="0"/>
    <w:rPr>
      <w:rFonts w:eastAsia="宋体"/>
      <w:b/>
      <w:sz w:val="24"/>
      <w:lang w:val="en-GB" w:eastAsia="zh-CN" w:bidi="ar-SA"/>
    </w:rPr>
  </w:style>
  <w:style w:type="character" w:customStyle="1" w:styleId="249">
    <w:name w:val="正文首行缩进 2 Char"/>
    <w:link w:val="62"/>
    <w:qFormat/>
    <w:uiPriority w:val="0"/>
    <w:rPr>
      <w:rFonts w:ascii="宋体" w:hAnsi="宋体"/>
      <w:kern w:val="2"/>
      <w:sz w:val="21"/>
      <w:szCs w:val="24"/>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批注文字 Char1"/>
    <w:link w:val="24"/>
    <w:qFormat/>
    <w:uiPriority w:val="0"/>
    <w:rPr>
      <w:kern w:val="2"/>
      <w:sz w:val="21"/>
      <w:szCs w:val="24"/>
    </w:rPr>
  </w:style>
  <w:style w:type="character" w:customStyle="1" w:styleId="252">
    <w:name w:val="批注框文本 Char"/>
    <w:link w:val="39"/>
    <w:qFormat/>
    <w:uiPriority w:val="0"/>
    <w:rPr>
      <w:kern w:val="2"/>
      <w:sz w:val="18"/>
      <w:szCs w:val="18"/>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Footer Char_321b3fe7-5d86-4388-b576-783402ecb4f6"/>
    <w:qFormat/>
    <w:uiPriority w:val="0"/>
    <w:rPr>
      <w:rFonts w:eastAsia="宋体"/>
      <w:kern w:val="2"/>
      <w:sz w:val="18"/>
      <w:lang w:val="en-US" w:eastAsia="zh-CN" w:bidi="ar-SA"/>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Char"/>
    <w:link w:val="42"/>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5"/>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8"/>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2"/>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11"/>
    <w:qFormat/>
    <w:uiPriority w:val="0"/>
    <w:pPr>
      <w:adjustRightInd/>
      <w:spacing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8"/>
    <w:qFormat/>
    <w:uiPriority w:val="0"/>
    <w:pPr>
      <w:numPr>
        <w:ilvl w:val="0"/>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9"/>
    <w:qFormat/>
    <w:uiPriority w:val="0"/>
    <w:pPr>
      <w:numPr>
        <w:ilvl w:val="0"/>
        <w:numId w:val="4"/>
      </w:numPr>
      <w:tabs>
        <w:tab w:val="clear" w:pos="864"/>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7"/>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7"/>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1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6"/>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1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7"/>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12"/>
    <w:next w:val="1"/>
    <w:qFormat/>
    <w:uiPriority w:val="0"/>
    <w:pPr>
      <w:numPr>
        <w:ilvl w:val="0"/>
        <w:numId w:val="5"/>
      </w:numPr>
      <w:tabs>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2">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Lines="50"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12"/>
    <w:qFormat/>
    <w:uiPriority w:val="0"/>
    <w:pPr>
      <w:numPr>
        <w:ilvl w:val="0"/>
        <w:numId w:val="4"/>
      </w:numPr>
      <w:tabs>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7"/>
    <w:qFormat/>
    <w:uiPriority w:val="0"/>
    <w:pPr>
      <w:keepLines w:val="0"/>
      <w:widowControl/>
      <w:numPr>
        <w:ilvl w:val="0"/>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8"/>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13"/>
    <w:next w:val="1"/>
    <w:qFormat/>
    <w:uiPriority w:val="0"/>
    <w:pPr>
      <w:numPr>
        <w:ilvl w:val="0"/>
        <w:numId w:val="5"/>
      </w:numPr>
      <w:tabs>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23"/>
    <w:qFormat/>
    <w:uiPriority w:val="0"/>
    <w:pPr>
      <w:snapToGrid w:val="0"/>
      <w:spacing w:line="360" w:lineRule="auto"/>
    </w:pPr>
  </w:style>
  <w:style w:type="paragraph" w:customStyle="1" w:styleId="42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8"/>
    <w:next w:val="1"/>
    <w:qFormat/>
    <w:uiPriority w:val="0"/>
    <w:pPr>
      <w:numPr>
        <w:ilvl w:val="0"/>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1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7"/>
    <w:next w:val="1"/>
    <w:qFormat/>
    <w:uiPriority w:val="0"/>
    <w:pPr>
      <w:numPr>
        <w:ilvl w:val="1"/>
        <w:numId w:val="5"/>
      </w:numPr>
    </w:pPr>
    <w:rPr>
      <w:rFonts w:ascii="Times New Roman" w:eastAsia="宋体"/>
      <w:i/>
      <w:sz w:val="36"/>
      <w:szCs w:val="36"/>
      <w:lang w:val="en-US"/>
    </w:rPr>
  </w:style>
  <w:style w:type="paragraph" w:customStyle="1" w:styleId="452">
    <w:name w:val="小节"/>
    <w:basedOn w:val="8"/>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5"/>
    <w:qFormat/>
    <w:uiPriority w:val="0"/>
    <w:pPr>
      <w:numPr>
        <w:ilvl w:val="6"/>
        <w:numId w:val="0"/>
      </w:numPr>
      <w:tabs>
        <w:tab w:val="left" w:pos="1260"/>
        <w:tab w:val="left" w:pos="1680"/>
        <w:tab w:val="left" w:pos="2100"/>
        <w:tab w:val="left" w:pos="2520"/>
        <w:tab w:val="left" w:pos="2940"/>
      </w:tabs>
      <w:outlineLvl w:val="6"/>
    </w:pPr>
  </w:style>
  <w:style w:type="paragraph" w:customStyle="1" w:styleId="464">
    <w:name w:val="四级条标题"/>
    <w:basedOn w:val="465"/>
    <w:next w:val="5"/>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5"/>
    <w:qFormat/>
    <w:uiPriority w:val="0"/>
    <w:pPr>
      <w:tabs>
        <w:tab w:val="left" w:pos="1260"/>
        <w:tab w:val="left" w:pos="1680"/>
        <w:tab w:val="left" w:pos="2100"/>
        <w:tab w:val="left" w:pos="2520"/>
      </w:tabs>
      <w:ind w:left="2520"/>
      <w:outlineLvl w:val="4"/>
    </w:pPr>
  </w:style>
  <w:style w:type="paragraph" w:customStyle="1" w:styleId="466">
    <w:name w:val="二级条标题"/>
    <w:basedOn w:val="3"/>
    <w:next w:val="5"/>
    <w:qFormat/>
    <w:uiPriority w:val="0"/>
    <w:pPr>
      <w:tabs>
        <w:tab w:val="left" w:pos="2100"/>
      </w:tabs>
      <w:ind w:left="0"/>
      <w:outlineLvl w:val="3"/>
    </w:pPr>
  </w:style>
  <w:style w:type="paragraph" w:customStyle="1" w:styleId="467">
    <w:name w:val="数字标题4"/>
    <w:basedOn w:val="9"/>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7"/>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6"/>
    <w:next w:val="1"/>
    <w:qFormat/>
    <w:uiPriority w:val="0"/>
    <w:pPr>
      <w:numPr>
        <w:ilvl w:val="0"/>
        <w:numId w:val="5"/>
      </w:numPr>
      <w:tabs>
        <w:tab w:val="left" w:pos="432"/>
      </w:tabs>
    </w:pPr>
  </w:style>
  <w:style w:type="paragraph" w:customStyle="1" w:styleId="473">
    <w:name w:val="正文 项目2"/>
    <w:basedOn w:val="375"/>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标题2"/>
    <w:basedOn w:val="6"/>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8"/>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6"/>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9"/>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8"/>
    <w:qFormat/>
    <w:uiPriority w:val="0"/>
    <w:pPr>
      <w:keepLines w:val="0"/>
      <w:numPr>
        <w:ilvl w:val="0"/>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6"/>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9"/>
    <w:qFormat/>
    <w:uiPriority w:val="0"/>
    <w:pPr>
      <w:numPr>
        <w:ilvl w:val="0"/>
        <w:numId w:val="0"/>
      </w:numPr>
      <w:adjustRightInd/>
      <w:spacing w:before="0" w:after="0" w:line="360" w:lineRule="auto"/>
    </w:pPr>
    <w:rPr>
      <w:rFonts w:ascii="Verdana" w:eastAsia="Verdana"/>
      <w:sz w:val="21"/>
      <w:lang w:val="en-US"/>
    </w:rPr>
  </w:style>
  <w:style w:type="paragraph" w:customStyle="1" w:styleId="562">
    <w:name w:val="样式7"/>
    <w:basedOn w:val="371"/>
    <w:next w:val="1"/>
    <w:qFormat/>
    <w:uiPriority w:val="0"/>
    <w:pPr>
      <w:spacing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6"/>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6"/>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5"/>
    <w:qFormat/>
    <w:uiPriority w:val="0"/>
    <w:pPr>
      <w:spacing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9"/>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0"/>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3"/>
    <w:next w:val="423"/>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Lines="50" w:afterLines="50"/>
      <w:ind w:left="432" w:hanging="432" w:firstLineChars="200"/>
    </w:pPr>
    <w:rPr>
      <w:sz w:val="24"/>
    </w:rPr>
  </w:style>
  <w:style w:type="paragraph" w:customStyle="1" w:styleId="603">
    <w:name w:val="样式1 + (中宋体"/>
    <w:basedOn w:val="48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40"/>
    <w:qFormat/>
    <w:uiPriority w:val="99"/>
    <w:rPr>
      <w:kern w:val="2"/>
      <w:sz w:val="18"/>
      <w:szCs w:val="18"/>
    </w:rPr>
  </w:style>
  <w:style w:type="character" w:customStyle="1" w:styleId="630">
    <w:name w:val="页眉 Char2"/>
    <w:link w:val="41"/>
    <w:qFormat/>
    <w:uiPriority w:val="99"/>
    <w:rPr>
      <w:kern w:val="2"/>
      <w:sz w:val="18"/>
      <w:szCs w:val="18"/>
    </w:rPr>
  </w:style>
  <w:style w:type="paragraph" w:customStyle="1" w:styleId="631">
    <w:name w:val="封面编号"/>
    <w:basedOn w:val="1"/>
    <w:qFormat/>
    <w:uiPriority w:val="0"/>
    <w:pPr>
      <w:spacing w:line="360" w:lineRule="auto"/>
      <w:jc w:val="center"/>
    </w:pPr>
    <w:rPr>
      <w:rFonts w:ascii="黑体" w:hAnsi="宋体" w:eastAsia="黑体" w:cs="宋体"/>
      <w:b/>
      <w:bCs/>
      <w:sz w:val="38"/>
      <w:szCs w:val="20"/>
    </w:rPr>
  </w:style>
  <w:style w:type="paragraph" w:customStyle="1" w:styleId="6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3">
    <w:name w:val="[Normal]"/>
    <w:qFormat/>
    <w:uiPriority w:val="0"/>
    <w:rPr>
      <w:rFonts w:ascii="宋体" w:hAnsi="宋体" w:eastAsia="宋体" w:cs="Times New Roman"/>
      <w:sz w:val="24"/>
      <w:szCs w:val="22"/>
      <w:lang w:val="zh-CN" w:eastAsia="zh-CN" w:bidi="ar-SA"/>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jc w:val="center"/>
    </w:pPr>
    <w:rPr>
      <w:rFonts w:eastAsia="黑体"/>
    </w:rPr>
  </w:style>
  <w:style w:type="paragraph" w:customStyle="1" w:styleId="637">
    <w:name w:val="表文"/>
    <w:basedOn w:val="1"/>
    <w:qFormat/>
    <w:uiPriority w:val="0"/>
    <w:pPr>
      <w:topLinePunct/>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39">
    <w:name w:val="Table Normal"/>
    <w:qFormat/>
    <w:uiPriority w:val="0"/>
    <w:tblPr>
      <w:tblCellMar>
        <w:top w:w="0" w:type="dxa"/>
        <w:left w:w="0" w:type="dxa"/>
        <w:bottom w:w="0" w:type="dxa"/>
        <w:right w:w="0" w:type="dxa"/>
      </w:tblCellMar>
    </w:tblPr>
  </w:style>
  <w:style w:type="character" w:customStyle="1" w:styleId="640">
    <w:name w:val="font01"/>
    <w:basedOn w:val="65"/>
    <w:qFormat/>
    <w:uiPriority w:val="0"/>
    <w:rPr>
      <w:rFonts w:hint="eastAsia" w:ascii="宋体" w:hAnsi="宋体" w:eastAsia="宋体" w:cs="宋体"/>
      <w:color w:val="000000"/>
      <w:sz w:val="22"/>
      <w:szCs w:val="22"/>
      <w:u w:val="none"/>
    </w:rPr>
  </w:style>
  <w:style w:type="character" w:customStyle="1" w:styleId="641">
    <w:name w:val="font31"/>
    <w:basedOn w:val="65"/>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微软公司</Company>
  <Pages>60</Pages>
  <Words>17572</Words>
  <Characters>18705</Characters>
  <Paragraphs>1240</Paragraphs>
  <TotalTime>0</TotalTime>
  <ScaleCrop>false</ScaleCrop>
  <LinksUpToDate>false</LinksUpToDate>
  <CharactersWithSpaces>19012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2021-01-18T21:30:00Z</dcterms:created>
  <dc:creator>玥</dc:creator>
  <cp:lastModifiedBy>陈炳</cp:lastModifiedBy>
  <cp:lastPrinted>2021-04-01T22:48:00Z</cp:lastPrinted>
  <dcterms:modified xsi:type="dcterms:W3CDTF">2025-07-02T09:20:40Z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89A43603825243888C4F7480C667FC93_13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eyJoZGlkIjoiMDdlMzhhMTVjZTdjYThhZWE4N2E4ZWYyYzA4M2Y3NTUiLCJ1c2VySWQiOiIyNjczNzk0MDUifQ==</vt:lpwstr>
  </property>
</Properties>
</file>