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D58E1">
      <w:pPr>
        <w:spacing w:line="360" w:lineRule="auto"/>
        <w:jc w:val="center"/>
        <w:rPr>
          <w:rFonts w:hint="eastAsia" w:ascii="宋体" w:hAnsi="宋体" w:eastAsia="宋体" w:cs="宋体"/>
          <w:b/>
          <w:color w:val="auto"/>
          <w:sz w:val="24"/>
          <w:highlight w:val="none"/>
        </w:rPr>
      </w:pPr>
    </w:p>
    <w:p w14:paraId="0BBDEA3B">
      <w:pPr>
        <w:adjustRightInd/>
        <w:spacing w:line="360" w:lineRule="auto"/>
        <w:jc w:val="center"/>
        <w:rPr>
          <w:rFonts w:hint="eastAsia" w:ascii="仿宋" w:hAnsi="仿宋" w:eastAsia="仿宋" w:cs="仿宋"/>
          <w:b/>
          <w:sz w:val="44"/>
          <w:szCs w:val="44"/>
          <w:lang w:eastAsia="zh-CN"/>
        </w:rPr>
      </w:pPr>
      <w:bookmarkStart w:id="0" w:name="_Hlt67893495"/>
      <w:bookmarkEnd w:id="0"/>
      <w:r>
        <w:rPr>
          <w:rFonts w:hint="eastAsia" w:ascii="仿宋" w:hAnsi="仿宋" w:eastAsia="仿宋" w:cs="仿宋"/>
          <w:b/>
          <w:sz w:val="44"/>
          <w:szCs w:val="44"/>
          <w:lang w:eastAsia="zh-CN"/>
        </w:rPr>
        <w:t>萧山区党湾镇幸福村2025年垃圾分类、清运及保洁采购项目（重招）</w:t>
      </w:r>
    </w:p>
    <w:p w14:paraId="6405F5F0">
      <w:pPr>
        <w:pStyle w:val="4"/>
        <w:rPr>
          <w:rFonts w:hint="eastAsia"/>
          <w:lang w:eastAsia="zh-CN"/>
        </w:rPr>
      </w:pPr>
    </w:p>
    <w:p w14:paraId="0E4728FA">
      <w:pPr>
        <w:adjustRightInd/>
        <w:spacing w:line="360" w:lineRule="auto"/>
        <w:jc w:val="center"/>
        <w:rPr>
          <w:rFonts w:hint="eastAsia" w:ascii="仿宋" w:hAnsi="仿宋" w:eastAsia="仿宋" w:cs="仿宋"/>
          <w:b/>
          <w:bCs/>
          <w:color w:val="000000"/>
          <w:sz w:val="72"/>
          <w:szCs w:val="72"/>
          <w:highlight w:val="none"/>
          <w:lang w:eastAsia="zh-CN"/>
        </w:rPr>
      </w:pPr>
      <w:r>
        <w:rPr>
          <w:rFonts w:hint="eastAsia" w:ascii="仿宋" w:hAnsi="仿宋" w:eastAsia="仿宋" w:cs="仿宋"/>
          <w:b/>
          <w:bCs/>
          <w:color w:val="000000"/>
          <w:sz w:val="72"/>
          <w:szCs w:val="72"/>
          <w:highlight w:val="none"/>
          <w:lang w:eastAsia="zh-CN"/>
        </w:rPr>
        <w:t>交易文件</w:t>
      </w:r>
    </w:p>
    <w:p w14:paraId="3423CBCF">
      <w:pPr>
        <w:adjustRightInd/>
        <w:spacing w:line="360" w:lineRule="auto"/>
        <w:jc w:val="center"/>
        <w:rPr>
          <w:rFonts w:hint="eastAsia" w:ascii="仿宋" w:hAnsi="仿宋" w:eastAsia="仿宋" w:cs="仿宋"/>
          <w:lang w:eastAsia="zh-CN"/>
        </w:rPr>
      </w:pPr>
      <w:r>
        <w:rPr>
          <w:rFonts w:hint="eastAsia" w:ascii="仿宋" w:hAnsi="仿宋" w:eastAsia="仿宋" w:cs="仿宋"/>
          <w:b/>
          <w:sz w:val="44"/>
          <w:szCs w:val="44"/>
        </w:rPr>
        <w:t>（电子招投标）</w:t>
      </w:r>
    </w:p>
    <w:p w14:paraId="7EE08038">
      <w:pPr>
        <w:adjustRightInd/>
        <w:spacing w:line="360" w:lineRule="auto"/>
        <w:jc w:val="both"/>
        <w:rPr>
          <w:rFonts w:hint="eastAsia" w:ascii="仿宋" w:hAnsi="仿宋" w:eastAsia="仿宋" w:cs="仿宋"/>
          <w:b w:val="0"/>
          <w:bCs w:val="0"/>
          <w:color w:val="000000"/>
          <w:sz w:val="44"/>
          <w:szCs w:val="44"/>
          <w:highlight w:val="none"/>
        </w:rPr>
      </w:pPr>
    </w:p>
    <w:p w14:paraId="0DC290C5">
      <w:pPr>
        <w:adjustRightInd/>
        <w:spacing w:line="360" w:lineRule="auto"/>
        <w:jc w:val="center"/>
        <w:rPr>
          <w:rFonts w:hint="eastAsia" w:ascii="仿宋" w:hAnsi="仿宋" w:eastAsia="仿宋" w:cs="仿宋"/>
          <w:b w:val="0"/>
          <w:bCs w:val="0"/>
          <w:color w:val="000000"/>
          <w:sz w:val="30"/>
          <w:szCs w:val="30"/>
          <w:highlight w:val="none"/>
          <w:lang w:eastAsia="zh-CN"/>
        </w:rPr>
      </w:pPr>
    </w:p>
    <w:p w14:paraId="24F3D16D">
      <w:pPr>
        <w:adjustRightInd/>
        <w:spacing w:line="360" w:lineRule="auto"/>
        <w:jc w:val="center"/>
        <w:rPr>
          <w:rFonts w:hint="eastAsia" w:ascii="仿宋" w:hAnsi="仿宋" w:eastAsia="宋体" w:cs="仿宋"/>
          <w:b/>
          <w:bCs/>
          <w:color w:val="000000"/>
          <w:sz w:val="28"/>
          <w:szCs w:val="20"/>
          <w:highlight w:val="none"/>
          <w:lang w:val="en-US" w:eastAsia="zh-CN"/>
        </w:rPr>
      </w:pPr>
      <w:r>
        <w:rPr>
          <w:rFonts w:hint="eastAsia" w:ascii="仿宋" w:hAnsi="仿宋" w:eastAsia="仿宋" w:cs="仿宋"/>
          <w:b/>
          <w:bCs/>
          <w:color w:val="000000"/>
          <w:sz w:val="30"/>
          <w:szCs w:val="30"/>
          <w:highlight w:val="none"/>
          <w:lang w:eastAsia="zh-CN"/>
        </w:rPr>
        <w:t>交易</w:t>
      </w:r>
      <w:r>
        <w:rPr>
          <w:rFonts w:hint="eastAsia" w:ascii="仿宋" w:hAnsi="仿宋" w:eastAsia="仿宋" w:cs="仿宋"/>
          <w:b/>
          <w:bCs/>
          <w:color w:val="000000"/>
          <w:sz w:val="30"/>
          <w:szCs w:val="30"/>
          <w:highlight w:val="none"/>
        </w:rPr>
        <w:t>编号:</w:t>
      </w:r>
      <w:r>
        <w:rPr>
          <w:rFonts w:hint="eastAsia" w:ascii="仿宋" w:hAnsi="仿宋" w:eastAsia="仿宋" w:cs="仿宋"/>
          <w:b/>
          <w:bCs/>
          <w:color w:val="000000"/>
          <w:sz w:val="30"/>
          <w:szCs w:val="30"/>
          <w:highlight w:val="none"/>
          <w:lang w:val="en-US" w:eastAsia="zh-CN"/>
        </w:rPr>
        <w:t>XD-2025-11（1）</w:t>
      </w:r>
    </w:p>
    <w:p w14:paraId="1A2E7C09">
      <w:pPr>
        <w:spacing w:line="360" w:lineRule="auto"/>
        <w:jc w:val="center"/>
        <w:rPr>
          <w:rFonts w:hint="eastAsia" w:ascii="仿宋" w:hAnsi="仿宋" w:eastAsia="仿宋" w:cs="仿宋"/>
          <w:b w:val="0"/>
          <w:bCs w:val="0"/>
          <w:color w:val="000000"/>
          <w:sz w:val="44"/>
          <w:szCs w:val="44"/>
          <w:highlight w:val="none"/>
        </w:rPr>
      </w:pPr>
      <w:r>
        <w:rPr>
          <w:rFonts w:hint="eastAsia" w:ascii="仿宋" w:hAnsi="仿宋" w:eastAsia="仿宋" w:cs="仿宋"/>
          <w:b w:val="0"/>
          <w:bCs w:val="0"/>
          <w:color w:val="000000"/>
          <w:sz w:val="44"/>
          <w:szCs w:val="44"/>
          <w:highlight w:val="none"/>
        </w:rPr>
        <w:t xml:space="preserve"> </w:t>
      </w:r>
    </w:p>
    <w:p w14:paraId="039EAC9B">
      <w:pPr>
        <w:spacing w:line="360" w:lineRule="auto"/>
        <w:ind w:firstLine="0" w:firstLineChars="0"/>
        <w:jc w:val="center"/>
        <w:rPr>
          <w:rFonts w:hint="eastAsia" w:ascii="仿宋" w:hAnsi="仿宋" w:eastAsia="仿宋" w:cs="仿宋"/>
          <w:sz w:val="28"/>
          <w:szCs w:val="28"/>
          <w:lang w:val="en-US" w:eastAsia="zh-CN"/>
        </w:rPr>
      </w:pPr>
    </w:p>
    <w:p w14:paraId="55B18E63">
      <w:pPr>
        <w:spacing w:line="360" w:lineRule="auto"/>
        <w:jc w:val="center"/>
        <w:rPr>
          <w:rFonts w:hint="eastAsia" w:ascii="仿宋" w:hAnsi="仿宋" w:eastAsia="仿宋" w:cs="仿宋"/>
          <w:b w:val="0"/>
          <w:bCs w:val="0"/>
          <w:color w:val="000000"/>
          <w:sz w:val="44"/>
          <w:szCs w:val="44"/>
          <w:highlight w:val="none"/>
        </w:rPr>
      </w:pPr>
    </w:p>
    <w:p w14:paraId="44E9CD51">
      <w:pPr>
        <w:spacing w:line="360" w:lineRule="auto"/>
        <w:ind w:firstLine="6240" w:firstLineChars="260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24"/>
          <w:highlight w:val="none"/>
          <w:lang w:val="en-US" w:eastAsia="zh-CN"/>
        </w:rPr>
        <w:t xml:space="preserve">          </w:t>
      </w:r>
    </w:p>
    <w:p w14:paraId="6CB88D77">
      <w:pPr>
        <w:spacing w:line="600" w:lineRule="auto"/>
        <w:ind w:firstLine="640" w:firstLineChars="200"/>
        <w:jc w:val="both"/>
        <w:rPr>
          <w:rFonts w:hint="eastAsia" w:ascii="仿宋" w:hAnsi="仿宋" w:eastAsia="仿宋" w:cs="仿宋"/>
          <w:b w:val="0"/>
          <w:bCs w:val="0"/>
          <w:color w:val="000000"/>
          <w:kern w:val="2"/>
          <w:sz w:val="32"/>
          <w:szCs w:val="30"/>
          <w:highlight w:val="none"/>
        </w:rPr>
      </w:pPr>
      <w:r>
        <w:rPr>
          <w:rFonts w:hint="eastAsia" w:ascii="仿宋" w:hAnsi="仿宋" w:eastAsia="仿宋" w:cs="仿宋"/>
          <w:b w:val="0"/>
          <w:bCs w:val="0"/>
          <w:color w:val="000000"/>
          <w:kern w:val="2"/>
          <w:sz w:val="32"/>
          <w:szCs w:val="30"/>
          <w:highlight w:val="none"/>
          <w:lang w:eastAsia="zh-CN"/>
        </w:rPr>
        <w:t>采购人：</w:t>
      </w:r>
      <w:r>
        <w:rPr>
          <w:rFonts w:hint="eastAsia" w:ascii="仿宋" w:hAnsi="仿宋" w:eastAsia="仿宋" w:cs="仿宋"/>
          <w:b w:val="0"/>
          <w:color w:val="000000"/>
          <w:sz w:val="32"/>
          <w:szCs w:val="30"/>
          <w:highlight w:val="none"/>
          <w:lang w:val="en-US" w:eastAsia="zh-CN"/>
        </w:rPr>
        <w:t>杭州萧山党湾幸福股份经济联合社</w:t>
      </w:r>
    </w:p>
    <w:p w14:paraId="1416F982">
      <w:pPr>
        <w:spacing w:line="360" w:lineRule="auto"/>
        <w:ind w:firstLine="640" w:firstLineChars="200"/>
        <w:jc w:val="both"/>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0"/>
          <w:highlight w:val="none"/>
          <w:lang w:val="en-US" w:eastAsia="zh-CN"/>
        </w:rPr>
        <w:t>代理机构</w:t>
      </w:r>
      <w:r>
        <w:rPr>
          <w:rFonts w:hint="eastAsia" w:ascii="仿宋" w:hAnsi="仿宋" w:eastAsia="仿宋" w:cs="仿宋"/>
          <w:b w:val="0"/>
          <w:bCs w:val="0"/>
          <w:color w:val="000000"/>
          <w:sz w:val="32"/>
          <w:szCs w:val="30"/>
          <w:highlight w:val="none"/>
          <w:lang w:eastAsia="zh-CN"/>
        </w:rPr>
        <w:t>：浙江勋达工程咨询有限公司</w:t>
      </w:r>
    </w:p>
    <w:p w14:paraId="7672745D">
      <w:pPr>
        <w:snapToGrid w:val="0"/>
        <w:spacing w:line="360" w:lineRule="auto"/>
        <w:jc w:val="both"/>
        <w:rPr>
          <w:rFonts w:hint="eastAsia" w:ascii="仿宋" w:hAnsi="仿宋" w:eastAsia="仿宋" w:cs="仿宋"/>
          <w:b w:val="0"/>
          <w:bCs w:val="0"/>
          <w:color w:val="000000"/>
          <w:sz w:val="32"/>
          <w:szCs w:val="32"/>
          <w:highlight w:val="none"/>
        </w:rPr>
      </w:pPr>
    </w:p>
    <w:p w14:paraId="32416C48">
      <w:pPr>
        <w:snapToGrid w:val="0"/>
        <w:spacing w:line="360" w:lineRule="auto"/>
        <w:jc w:val="center"/>
        <w:rPr>
          <w:rFonts w:hint="eastAsia" w:ascii="仿宋" w:hAnsi="仿宋" w:eastAsia="仿宋" w:cs="仿宋"/>
          <w:b w:val="0"/>
          <w:bCs w:val="0"/>
          <w:color w:val="000000"/>
          <w:sz w:val="32"/>
          <w:szCs w:val="32"/>
          <w:highlight w:val="none"/>
          <w:lang w:eastAsia="zh-CN"/>
        </w:rPr>
      </w:pPr>
      <w:r>
        <w:rPr>
          <w:rFonts w:hint="eastAsia" w:ascii="仿宋" w:hAnsi="仿宋" w:eastAsia="仿宋" w:cs="仿宋"/>
          <w:b w:val="0"/>
          <w:bCs w:val="0"/>
          <w:color w:val="000000"/>
          <w:sz w:val="32"/>
          <w:szCs w:val="32"/>
          <w:highlight w:val="none"/>
        </w:rPr>
        <w:t>二〇二</w:t>
      </w:r>
      <w:r>
        <w:rPr>
          <w:rFonts w:hint="eastAsia" w:ascii="仿宋" w:hAnsi="仿宋" w:eastAsia="仿宋" w:cs="仿宋"/>
          <w:b w:val="0"/>
          <w:bCs w:val="0"/>
          <w:color w:val="000000"/>
          <w:sz w:val="32"/>
          <w:szCs w:val="32"/>
          <w:highlight w:val="none"/>
          <w:lang w:val="en-US" w:eastAsia="zh-CN"/>
        </w:rPr>
        <w:t>五</w:t>
      </w:r>
      <w:r>
        <w:rPr>
          <w:rFonts w:hint="eastAsia" w:ascii="仿宋" w:hAnsi="仿宋" w:eastAsia="仿宋" w:cs="仿宋"/>
          <w:b w:val="0"/>
          <w:bCs w:val="0"/>
          <w:color w:val="000000"/>
          <w:sz w:val="32"/>
          <w:szCs w:val="32"/>
          <w:highlight w:val="none"/>
        </w:rPr>
        <w:t>年</w:t>
      </w:r>
      <w:r>
        <w:rPr>
          <w:rFonts w:hint="eastAsia" w:ascii="仿宋" w:hAnsi="仿宋" w:eastAsia="仿宋" w:cs="仿宋"/>
          <w:b w:val="0"/>
          <w:bCs w:val="0"/>
          <w:color w:val="000000"/>
          <w:sz w:val="32"/>
          <w:szCs w:val="32"/>
          <w:highlight w:val="none"/>
          <w:lang w:val="en-US" w:eastAsia="zh-CN"/>
        </w:rPr>
        <w:t>六</w:t>
      </w:r>
      <w:r>
        <w:rPr>
          <w:rFonts w:hint="eastAsia" w:ascii="仿宋" w:hAnsi="仿宋" w:eastAsia="仿宋" w:cs="仿宋"/>
          <w:b w:val="0"/>
          <w:bCs w:val="0"/>
          <w:color w:val="000000"/>
          <w:sz w:val="32"/>
          <w:szCs w:val="32"/>
          <w:highlight w:val="none"/>
        </w:rPr>
        <w:t>月</w:t>
      </w:r>
    </w:p>
    <w:p w14:paraId="5EE1D9F8">
      <w:pPr>
        <w:snapToGrid w:val="0"/>
        <w:spacing w:line="360" w:lineRule="auto"/>
        <w:jc w:val="center"/>
        <w:rPr>
          <w:rFonts w:hint="eastAsia" w:ascii="仿宋" w:hAnsi="仿宋" w:eastAsia="仿宋" w:cs="仿宋"/>
          <w:color w:val="auto"/>
          <w:sz w:val="24"/>
          <w:highlight w:val="none"/>
        </w:rPr>
      </w:pPr>
    </w:p>
    <w:p w14:paraId="1605BB55">
      <w:pPr>
        <w:spacing w:line="360" w:lineRule="auto"/>
        <w:jc w:val="center"/>
        <w:rPr>
          <w:rFonts w:hint="eastAsia" w:ascii="仿宋" w:hAnsi="仿宋" w:eastAsia="仿宋" w:cs="仿宋"/>
          <w:color w:val="auto"/>
          <w:sz w:val="24"/>
          <w:highlight w:val="none"/>
        </w:rPr>
      </w:pPr>
    </w:p>
    <w:p w14:paraId="4566ADE0">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B67A1AA">
      <w:pPr>
        <w:spacing w:line="360" w:lineRule="auto"/>
        <w:rPr>
          <w:rFonts w:hint="eastAsia" w:ascii="仿宋" w:hAnsi="仿宋" w:eastAsia="仿宋" w:cs="仿宋"/>
          <w:color w:val="auto"/>
          <w:sz w:val="32"/>
          <w:szCs w:val="32"/>
          <w:highlight w:val="none"/>
        </w:rPr>
      </w:pPr>
    </w:p>
    <w:p w14:paraId="62709CBC">
      <w:pPr>
        <w:spacing w:line="360" w:lineRule="auto"/>
        <w:rPr>
          <w:rFonts w:hint="eastAsia" w:ascii="仿宋" w:hAnsi="仿宋" w:eastAsia="仿宋" w:cs="仿宋"/>
          <w:color w:val="auto"/>
          <w:sz w:val="32"/>
          <w:szCs w:val="32"/>
          <w:highlight w:val="none"/>
        </w:rPr>
      </w:pPr>
    </w:p>
    <w:p w14:paraId="4370B80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w:t>
      </w:r>
      <w:r>
        <w:rPr>
          <w:rFonts w:hint="eastAsia" w:ascii="仿宋" w:hAnsi="仿宋" w:eastAsia="仿宋" w:cs="仿宋"/>
          <w:color w:val="auto"/>
          <w:sz w:val="32"/>
          <w:szCs w:val="32"/>
          <w:highlight w:val="none"/>
        </w:rPr>
        <w:t>公告</w:t>
      </w:r>
    </w:p>
    <w:p w14:paraId="4D76BF0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p>
    <w:p w14:paraId="0C9AC05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2BB9EF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w:t>
      </w:r>
      <w:r>
        <w:rPr>
          <w:rFonts w:hint="eastAsia" w:ascii="仿宋" w:hAnsi="仿宋" w:eastAsia="仿宋" w:cs="仿宋"/>
          <w:color w:val="auto"/>
          <w:sz w:val="32"/>
          <w:szCs w:val="32"/>
          <w:highlight w:val="none"/>
          <w:lang w:eastAsia="zh-CN"/>
        </w:rPr>
        <w:t>审</w:t>
      </w:r>
      <w:r>
        <w:rPr>
          <w:rFonts w:hint="eastAsia" w:ascii="仿宋" w:hAnsi="仿宋" w:eastAsia="仿宋" w:cs="仿宋"/>
          <w:color w:val="auto"/>
          <w:sz w:val="32"/>
          <w:szCs w:val="32"/>
          <w:highlight w:val="none"/>
        </w:rPr>
        <w:t>办法</w:t>
      </w:r>
    </w:p>
    <w:p w14:paraId="6FDE69C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05B53A46">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AED2A80">
      <w:pPr>
        <w:spacing w:line="360" w:lineRule="auto"/>
        <w:ind w:firstLine="549" w:firstLineChars="229"/>
        <w:rPr>
          <w:rFonts w:hint="eastAsia" w:ascii="仿宋" w:hAnsi="仿宋" w:eastAsia="仿宋" w:cs="仿宋"/>
          <w:color w:val="auto"/>
          <w:sz w:val="24"/>
          <w:highlight w:val="none"/>
        </w:rPr>
      </w:pPr>
    </w:p>
    <w:p w14:paraId="3F959301">
      <w:pPr>
        <w:spacing w:line="360" w:lineRule="auto"/>
        <w:ind w:firstLine="549" w:firstLineChars="229"/>
        <w:rPr>
          <w:rFonts w:hint="eastAsia" w:ascii="仿宋" w:hAnsi="仿宋" w:eastAsia="仿宋" w:cs="仿宋"/>
          <w:color w:val="auto"/>
          <w:sz w:val="24"/>
          <w:highlight w:val="none"/>
        </w:rPr>
      </w:pPr>
    </w:p>
    <w:p w14:paraId="33264605">
      <w:pPr>
        <w:spacing w:line="360" w:lineRule="auto"/>
        <w:ind w:firstLine="549" w:firstLineChars="229"/>
        <w:rPr>
          <w:rFonts w:hint="eastAsia" w:ascii="仿宋" w:hAnsi="仿宋" w:eastAsia="仿宋" w:cs="仿宋"/>
          <w:color w:val="auto"/>
          <w:sz w:val="24"/>
          <w:highlight w:val="none"/>
        </w:rPr>
      </w:pPr>
    </w:p>
    <w:p w14:paraId="2303A933">
      <w:pPr>
        <w:spacing w:line="360" w:lineRule="auto"/>
        <w:ind w:firstLine="549" w:firstLineChars="229"/>
        <w:rPr>
          <w:rFonts w:hint="eastAsia" w:ascii="仿宋" w:hAnsi="仿宋" w:eastAsia="仿宋" w:cs="仿宋"/>
          <w:color w:val="auto"/>
          <w:sz w:val="24"/>
          <w:highlight w:val="none"/>
        </w:rPr>
      </w:pPr>
    </w:p>
    <w:p w14:paraId="6F91246C">
      <w:pPr>
        <w:spacing w:line="360" w:lineRule="auto"/>
        <w:ind w:firstLine="549" w:firstLineChars="229"/>
        <w:rPr>
          <w:rFonts w:hint="eastAsia" w:ascii="仿宋" w:hAnsi="仿宋" w:eastAsia="仿宋" w:cs="仿宋"/>
          <w:color w:val="auto"/>
          <w:sz w:val="24"/>
          <w:highlight w:val="none"/>
        </w:rPr>
      </w:pPr>
    </w:p>
    <w:p w14:paraId="4992D8DB">
      <w:pPr>
        <w:spacing w:line="360" w:lineRule="auto"/>
        <w:ind w:firstLine="549" w:firstLineChars="229"/>
        <w:rPr>
          <w:rFonts w:hint="eastAsia" w:ascii="仿宋" w:hAnsi="仿宋" w:eastAsia="仿宋" w:cs="仿宋"/>
          <w:color w:val="auto"/>
          <w:sz w:val="24"/>
          <w:highlight w:val="none"/>
        </w:rPr>
      </w:pPr>
    </w:p>
    <w:p w14:paraId="5AD6E65D">
      <w:pPr>
        <w:spacing w:line="360" w:lineRule="auto"/>
        <w:ind w:firstLine="549" w:firstLineChars="229"/>
        <w:rPr>
          <w:rFonts w:hint="eastAsia" w:ascii="仿宋" w:hAnsi="仿宋" w:eastAsia="仿宋" w:cs="仿宋"/>
          <w:color w:val="auto"/>
          <w:sz w:val="24"/>
          <w:highlight w:val="none"/>
        </w:rPr>
      </w:pPr>
    </w:p>
    <w:p w14:paraId="549263A3">
      <w:pPr>
        <w:spacing w:line="360" w:lineRule="auto"/>
        <w:ind w:firstLine="549" w:firstLineChars="229"/>
        <w:rPr>
          <w:rFonts w:hint="eastAsia" w:ascii="仿宋" w:hAnsi="仿宋" w:eastAsia="仿宋" w:cs="仿宋"/>
          <w:color w:val="auto"/>
          <w:sz w:val="24"/>
          <w:highlight w:val="none"/>
        </w:rPr>
      </w:pPr>
    </w:p>
    <w:p w14:paraId="42F5BC13">
      <w:pPr>
        <w:spacing w:line="360" w:lineRule="auto"/>
        <w:ind w:firstLine="549" w:firstLineChars="229"/>
        <w:rPr>
          <w:rFonts w:hint="eastAsia" w:ascii="仿宋" w:hAnsi="仿宋" w:eastAsia="仿宋" w:cs="仿宋"/>
          <w:color w:val="auto"/>
          <w:sz w:val="24"/>
          <w:highlight w:val="none"/>
        </w:rPr>
      </w:pPr>
    </w:p>
    <w:p w14:paraId="03F00480">
      <w:pPr>
        <w:spacing w:line="360" w:lineRule="auto"/>
        <w:ind w:firstLine="549" w:firstLineChars="229"/>
        <w:rPr>
          <w:rFonts w:hint="eastAsia" w:ascii="仿宋" w:hAnsi="仿宋" w:eastAsia="仿宋" w:cs="仿宋"/>
          <w:color w:val="auto"/>
          <w:sz w:val="24"/>
          <w:highlight w:val="none"/>
        </w:rPr>
      </w:pPr>
    </w:p>
    <w:p w14:paraId="08657A17">
      <w:pPr>
        <w:spacing w:line="360" w:lineRule="auto"/>
        <w:ind w:firstLine="549" w:firstLineChars="229"/>
        <w:rPr>
          <w:rFonts w:hint="eastAsia" w:ascii="仿宋" w:hAnsi="仿宋" w:eastAsia="仿宋" w:cs="仿宋"/>
          <w:color w:val="auto"/>
          <w:sz w:val="24"/>
          <w:highlight w:val="none"/>
        </w:rPr>
      </w:pPr>
    </w:p>
    <w:p w14:paraId="549C02DC">
      <w:pPr>
        <w:spacing w:line="360" w:lineRule="auto"/>
        <w:ind w:firstLine="549" w:firstLineChars="229"/>
        <w:rPr>
          <w:rFonts w:hint="eastAsia" w:ascii="仿宋" w:hAnsi="仿宋" w:eastAsia="仿宋" w:cs="仿宋"/>
          <w:color w:val="auto"/>
          <w:sz w:val="24"/>
          <w:highlight w:val="none"/>
        </w:rPr>
      </w:pPr>
    </w:p>
    <w:p w14:paraId="21AFE053">
      <w:pPr>
        <w:spacing w:line="360" w:lineRule="auto"/>
        <w:rPr>
          <w:rFonts w:hint="eastAsia" w:ascii="仿宋" w:hAnsi="仿宋" w:eastAsia="仿宋" w:cs="仿宋"/>
          <w:color w:val="auto"/>
          <w:sz w:val="24"/>
          <w:highlight w:val="none"/>
        </w:rPr>
      </w:pPr>
    </w:p>
    <w:p w14:paraId="7DF43248">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w:t>
      </w:r>
      <w:r>
        <w:rPr>
          <w:rFonts w:hint="eastAsia" w:ascii="仿宋" w:hAnsi="仿宋" w:eastAsia="仿宋" w:cs="仿宋"/>
          <w:b/>
          <w:color w:val="auto"/>
          <w:sz w:val="36"/>
          <w:szCs w:val="20"/>
          <w:highlight w:val="none"/>
        </w:rPr>
        <w:t>公告</w:t>
      </w:r>
    </w:p>
    <w:p w14:paraId="37BBEB12">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FE46934">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萧山区党湾镇幸福村2025年垃圾分类、清运及保洁采购项目（重招）</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lang w:eastAsia="zh-CN"/>
        </w:rPr>
        <w:t>https://www.lecaiyun.com/</w:t>
      </w:r>
      <w:r>
        <w:rPr>
          <w:rStyle w:val="77"/>
          <w:rFonts w:hint="eastAsia" w:ascii="仿宋" w:hAnsi="仿宋" w:eastAsia="仿宋" w:cs="仿宋"/>
          <w:snapToGrid/>
          <w:color w:val="auto"/>
          <w:kern w:val="2"/>
          <w:sz w:val="24"/>
          <w:szCs w:val="24"/>
          <w:highlight w:val="none"/>
        </w:rPr>
        <w:t>）获取（下载）</w:t>
      </w:r>
      <w:r>
        <w:rPr>
          <w:rStyle w:val="77"/>
          <w:rFonts w:hint="eastAsia" w:ascii="仿宋" w:hAnsi="仿宋" w:eastAsia="仿宋" w:cs="仿宋"/>
          <w:snapToGrid/>
          <w:color w:val="auto"/>
          <w:kern w:val="2"/>
          <w:sz w:val="24"/>
          <w:szCs w:val="24"/>
          <w:highlight w:val="none"/>
          <w:lang w:eastAsia="zh-CN"/>
        </w:rPr>
        <w:t>交易</w:t>
      </w:r>
      <w:r>
        <w:rPr>
          <w:rStyle w:val="77"/>
          <w:rFonts w:hint="eastAsia" w:ascii="仿宋" w:hAnsi="仿宋" w:eastAsia="仿宋" w:cs="仿宋"/>
          <w:snapToGrid/>
          <w:color w:val="auto"/>
          <w:kern w:val="2"/>
          <w:sz w:val="24"/>
          <w:szCs w:val="24"/>
          <w:highlight w:val="none"/>
        </w:rPr>
        <w:t>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4DF1804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780A77B">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XD-2025-11（1）</w:t>
      </w:r>
      <w:r>
        <w:rPr>
          <w:rFonts w:hint="eastAsia" w:ascii="仿宋" w:hAnsi="仿宋" w:eastAsia="仿宋" w:cs="仿宋"/>
          <w:b w:val="0"/>
          <w:bCs/>
          <w:color w:val="auto"/>
          <w:sz w:val="24"/>
          <w:highlight w:val="none"/>
          <w:lang w:val="en-US" w:eastAsia="zh-CN"/>
        </w:rPr>
        <w:t xml:space="preserve"> </w:t>
      </w:r>
    </w:p>
    <w:p w14:paraId="5AE02C29">
      <w:pPr>
        <w:spacing w:line="360" w:lineRule="auto"/>
        <w:ind w:right="-388" w:rightChars="-185"/>
        <w:rPr>
          <w:rFonts w:hint="eastAsia" w:ascii="仿宋" w:hAnsi="仿宋" w:eastAsia="仿宋" w:cs="仿宋"/>
          <w:b w:val="0"/>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萧山区党湾镇幸福村2025年垃圾分类、清运及保洁采购项目（重招）</w:t>
      </w:r>
    </w:p>
    <w:p w14:paraId="3554E255">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1960000元</w:t>
      </w:r>
    </w:p>
    <w:p w14:paraId="10EDD69D">
      <w:pPr>
        <w:tabs>
          <w:tab w:val="center" w:pos="4535"/>
        </w:tabs>
        <w:spacing w:line="360" w:lineRule="auto"/>
        <w:ind w:firstLine="480"/>
        <w:rPr>
          <w:rFonts w:hint="eastAsia" w:ascii="仿宋" w:hAnsi="仿宋" w:eastAsia="仿宋" w:cs="仿宋"/>
          <w:b w:val="0"/>
          <w:bCs/>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1960000元</w:t>
      </w:r>
    </w:p>
    <w:p w14:paraId="7CCFBD27">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575B4DCA">
      <w:pPr>
        <w:spacing w:line="360" w:lineRule="auto"/>
        <w:ind w:left="420" w:leftChars="200" w:right="-388" w:rightChars="-185"/>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highlight w:val="none"/>
        </w:rPr>
        <w:t xml:space="preserve">标项名称: </w:t>
      </w:r>
      <w:r>
        <w:rPr>
          <w:rFonts w:hint="eastAsia" w:ascii="仿宋" w:hAnsi="仿宋" w:eastAsia="仿宋" w:cs="仿宋"/>
          <w:b w:val="0"/>
          <w:bCs/>
          <w:color w:val="auto"/>
          <w:sz w:val="24"/>
          <w:highlight w:val="none"/>
          <w:lang w:eastAsia="zh-CN"/>
        </w:rPr>
        <w:t>萧山区党湾镇幸福村2025年垃圾分类、清运及保洁采购项目（重招）</w:t>
      </w:r>
    </w:p>
    <w:p w14:paraId="6EB7A5BE">
      <w:pPr>
        <w:spacing w:line="360" w:lineRule="auto"/>
        <w:ind w:left="420" w:leftChars="200"/>
        <w:jc w:val="left"/>
        <w:rPr>
          <w:rFonts w:hint="eastAsia" w:ascii="仿宋" w:hAnsi="仿宋" w:eastAsia="仿宋" w:cs="仿宋"/>
          <w:color w:val="auto"/>
          <w:sz w:val="24"/>
          <w:szCs w:val="28"/>
          <w:highlight w:val="none"/>
          <w:u w:val="single"/>
          <w:lang w:eastAsia="zh-CN"/>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szCs w:val="28"/>
          <w:highlight w:val="none"/>
        </w:rPr>
        <w:t>详见</w:t>
      </w:r>
      <w:r>
        <w:rPr>
          <w:rFonts w:hint="eastAsia" w:ascii="仿宋" w:hAnsi="仿宋" w:eastAsia="仿宋" w:cs="仿宋"/>
          <w:color w:val="auto"/>
          <w:sz w:val="24"/>
          <w:szCs w:val="28"/>
          <w:highlight w:val="none"/>
          <w:lang w:eastAsia="zh-CN"/>
        </w:rPr>
        <w:t>交易文件</w:t>
      </w:r>
    </w:p>
    <w:p w14:paraId="0C426B04">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14:paraId="33B8C4AC">
      <w:pPr>
        <w:spacing w:line="360" w:lineRule="auto"/>
        <w:ind w:left="420" w:left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szCs w:val="28"/>
          <w:highlight w:val="none"/>
        </w:rPr>
        <w:t>详见</w:t>
      </w:r>
      <w:r>
        <w:rPr>
          <w:rFonts w:hint="eastAsia" w:ascii="仿宋" w:hAnsi="仿宋" w:eastAsia="仿宋" w:cs="仿宋"/>
          <w:color w:val="auto"/>
          <w:sz w:val="24"/>
          <w:szCs w:val="28"/>
          <w:highlight w:val="none"/>
          <w:lang w:eastAsia="zh-CN"/>
        </w:rPr>
        <w:t>交易文件</w:t>
      </w:r>
    </w:p>
    <w:p w14:paraId="6835DF5D">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 xml:space="preserve">：（ ）是；（√）否 </w:t>
      </w:r>
      <w:r>
        <w:rPr>
          <w:rFonts w:hint="eastAsia" w:ascii="仿宋" w:hAnsi="仿宋" w:eastAsia="仿宋" w:cs="仿宋"/>
          <w:color w:val="auto"/>
          <w:kern w:val="0"/>
          <w:sz w:val="24"/>
          <w:highlight w:val="none"/>
        </w:rPr>
        <w:t>。</w:t>
      </w:r>
    </w:p>
    <w:p w14:paraId="75544DE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78F85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1、具有独立承担民事责任的能力； </w:t>
      </w:r>
    </w:p>
    <w:p w14:paraId="1C5452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CE83B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3、具有履行合同所必需的设备和专业技术能力； </w:t>
      </w:r>
    </w:p>
    <w:p w14:paraId="692ABC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6B2F9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14E618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5D9D23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落实采购政策需满足的资格要求：本项</w:t>
      </w:r>
      <w:bookmarkStart w:id="390" w:name="_GoBack"/>
      <w:bookmarkEnd w:id="390"/>
      <w:r>
        <w:rPr>
          <w:rFonts w:hint="eastAsia" w:ascii="仿宋" w:hAnsi="仿宋" w:eastAsia="仿宋" w:cs="仿宋"/>
          <w:color w:val="auto"/>
          <w:sz w:val="24"/>
          <w:highlight w:val="none"/>
        </w:rPr>
        <w:t>目属于专门面向中小企业采购的项目。</w:t>
      </w:r>
    </w:p>
    <w:p w14:paraId="3C360C75">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53A200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5FE660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 xml:space="preserve">文件 </w:t>
      </w:r>
    </w:p>
    <w:p w14:paraId="1B91F6E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57BBD62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7A665EE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6AA8D80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p>
    <w:p w14:paraId="3B1F9E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14:paraId="1CCAD75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E67830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01C6379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10562DE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rPr>
        <w:t>。</w:t>
      </w:r>
    </w:p>
    <w:p w14:paraId="276DE5C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C245B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p>
    <w:p w14:paraId="4B46F0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04C49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文件使自己的权益受到损害的，可以自获取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文件之日或者</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文件公告期限届满之日（公告期限届满后获取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文件的，以公告期限届满之日为准）起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7B342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2.其他事项：电子交易（招投标）的说明：①电子交易：本项目以数据电文形式，依托“</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进行交易活动，不接受纸质响应文件；②交易准备：注册账号--点击“商家入驻”，进行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电子交易客户端”----前往“浙江企业采购信息服务网（下载链接：https://b.zhengcaiyun.cn/luban/category?parentId=550045&amp;childrenCode=qicaiCategory17&amp;utm=luban.luban-PC-39026.959-pc-websitegroup-navBar-front.8.c8789bc0520b11efb86dbfa49a87be0d））-下载专区-电子交易客户端”进行下载并安装；③交易（采购）文件的获取：使用账号登录或者使用CA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平台；进入“项目采购”应用，在获取采购文件菜单中选择项目，获取交易文件；④响应文件的制作：在“</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电子交易客户端”中完成“填写基本信息”、“导入响应文件”、“标书关联”、“标书检查”、“电子签名”、“生成电子标书”等操作；⑤采购人、采购机构将依托</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平台完成本项目的电子交易活动，平台不接受未按上述方式获取交易文件的供应商进行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服务中心-帮助文档-项目采购-操作流程-电子招投标-政府采购项目电子交易管理操作指南-供应商”。乐采云投标客户端（下载链接：https://b.zhengcaiyun.cn/luban/category?parentId=550045&amp;childrenCode=qicaiCategory17&amp;utm=luban.luban-PC-39026.959-pc-websitegroup-navBar-front.8.c8789bc0520b11efb86dbfa49a87be0d））</w:t>
      </w:r>
    </w:p>
    <w:p w14:paraId="1C5058AF">
      <w:pPr>
        <w:spacing w:line="360" w:lineRule="auto"/>
        <w:ind w:firstLine="480" w:firstLineChars="200"/>
        <w:jc w:val="left"/>
        <w:rPr>
          <w:rFonts w:hint="eastAsia" w:ascii="仿宋" w:hAnsi="仿宋" w:eastAsia="仿宋" w:cs="仿宋"/>
          <w:color w:val="auto"/>
          <w:sz w:val="24"/>
          <w:highlight w:val="none"/>
        </w:rPr>
      </w:pPr>
    </w:p>
    <w:p w14:paraId="3C42E7B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5C12842">
      <w:pPr>
        <w:widowControl/>
        <w:spacing w:line="360" w:lineRule="auto"/>
        <w:jc w:val="both"/>
        <w:rPr>
          <w:rFonts w:hint="eastAsia" w:ascii="仿宋" w:hAnsi="仿宋" w:eastAsia="仿宋" w:cs="仿宋"/>
        </w:rPr>
      </w:pPr>
      <w:r>
        <w:rPr>
          <w:rFonts w:hint="eastAsia" w:ascii="仿宋" w:hAnsi="仿宋" w:eastAsia="仿宋" w:cs="仿宋"/>
          <w:sz w:val="24"/>
          <w:szCs w:val="28"/>
        </w:rPr>
        <w:t>1</w:t>
      </w:r>
      <w:r>
        <w:rPr>
          <w:rFonts w:hint="eastAsia" w:ascii="仿宋" w:hAnsi="仿宋" w:eastAsia="仿宋" w:cs="仿宋"/>
          <w:color w:val="auto"/>
          <w:sz w:val="24"/>
          <w:szCs w:val="28"/>
          <w:highlight w:val="none"/>
        </w:rPr>
        <w:t>.采购人信息</w:t>
      </w:r>
    </w:p>
    <w:p w14:paraId="476C47D2">
      <w:pPr>
        <w:spacing w:line="360" w:lineRule="auto"/>
        <w:jc w:val="left"/>
        <w:rPr>
          <w:rFonts w:hint="eastAsia" w:ascii="仿宋" w:hAnsi="仿宋" w:eastAsia="仿宋" w:cs="仿宋"/>
          <w:color w:val="auto"/>
          <w:sz w:val="24"/>
          <w:szCs w:val="28"/>
          <w:highlight w:val="none"/>
          <w:lang w:eastAsia="zh-CN"/>
        </w:rPr>
      </w:pPr>
      <w:bookmarkStart w:id="11" w:name="_Toc28359086"/>
      <w:bookmarkStart w:id="12" w:name="_Toc28359009"/>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杭州萧山党湾幸福股份经济联合社</w:t>
      </w:r>
    </w:p>
    <w:p w14:paraId="6A51D94E">
      <w:pPr>
        <w:spacing w:line="360" w:lineRule="auto"/>
        <w:jc w:val="left"/>
        <w:rPr>
          <w:rFonts w:hint="default" w:ascii="仿宋" w:hAnsi="仿宋" w:eastAsia="仿宋" w:cs="仿宋"/>
          <w:color w:val="auto"/>
          <w:sz w:val="24"/>
          <w:szCs w:val="28"/>
          <w:highlight w:val="none"/>
          <w:lang w:val="en-US"/>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eastAsia="zh-CN"/>
        </w:rPr>
        <w:t>杭州萧山党湾</w:t>
      </w:r>
      <w:r>
        <w:rPr>
          <w:rFonts w:hint="eastAsia" w:ascii="仿宋" w:hAnsi="仿宋" w:eastAsia="仿宋" w:cs="仿宋"/>
          <w:color w:val="auto"/>
          <w:sz w:val="24"/>
          <w:szCs w:val="28"/>
          <w:highlight w:val="none"/>
          <w:lang w:val="en-US" w:eastAsia="zh-CN"/>
        </w:rPr>
        <w:t>镇</w:t>
      </w:r>
      <w:r>
        <w:rPr>
          <w:rFonts w:hint="eastAsia" w:ascii="仿宋" w:hAnsi="仿宋" w:eastAsia="仿宋" w:cs="仿宋"/>
          <w:color w:val="auto"/>
          <w:sz w:val="24"/>
          <w:szCs w:val="28"/>
          <w:highlight w:val="none"/>
          <w:lang w:eastAsia="zh-CN"/>
        </w:rPr>
        <w:t>幸福</w:t>
      </w:r>
      <w:r>
        <w:rPr>
          <w:rFonts w:hint="eastAsia" w:ascii="仿宋" w:hAnsi="仿宋" w:eastAsia="仿宋" w:cs="仿宋"/>
          <w:color w:val="auto"/>
          <w:sz w:val="24"/>
          <w:szCs w:val="28"/>
          <w:highlight w:val="none"/>
          <w:lang w:val="en-US" w:eastAsia="zh-CN"/>
        </w:rPr>
        <w:t>村</w:t>
      </w:r>
    </w:p>
    <w:p w14:paraId="2B67D90A">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highlight w:val="none"/>
          <w:lang w:val="en-US" w:eastAsia="zh-CN"/>
        </w:rPr>
        <w:t>高先生</w:t>
      </w:r>
    </w:p>
    <w:p w14:paraId="14FAC92F">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highlight w:val="none"/>
          <w:lang w:val="en-US" w:eastAsia="zh-CN"/>
        </w:rPr>
        <w:t>18758885289</w:t>
      </w:r>
      <w:r>
        <w:rPr>
          <w:rFonts w:hint="eastAsia" w:ascii="仿宋" w:hAnsi="仿宋" w:eastAsia="仿宋" w:cs="仿宋"/>
          <w:color w:val="auto"/>
          <w:sz w:val="24"/>
          <w:szCs w:val="28"/>
          <w:highlight w:val="none"/>
          <w:lang w:val="en-US" w:eastAsia="zh-CN"/>
        </w:rPr>
        <w:t xml:space="preserve"> </w:t>
      </w:r>
    </w:p>
    <w:p w14:paraId="1D0426C1">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1"/>
      <w:bookmarkEnd w:id="12"/>
    </w:p>
    <w:p w14:paraId="7530175C">
      <w:pPr>
        <w:spacing w:line="360" w:lineRule="auto"/>
        <w:jc w:val="left"/>
        <w:rPr>
          <w:rFonts w:hint="eastAsia" w:ascii="仿宋" w:hAnsi="仿宋" w:eastAsia="仿宋" w:cs="仿宋"/>
          <w:color w:val="000000"/>
          <w:sz w:val="24"/>
          <w:szCs w:val="28"/>
          <w:highlight w:val="none"/>
          <w:lang w:val="en-US" w:eastAsia="zh-CN"/>
        </w:rPr>
      </w:pPr>
      <w:r>
        <w:rPr>
          <w:rFonts w:hint="eastAsia" w:ascii="仿宋" w:hAnsi="仿宋" w:eastAsia="仿宋" w:cs="仿宋"/>
          <w:color w:val="000000"/>
          <w:sz w:val="24"/>
          <w:szCs w:val="28"/>
          <w:highlight w:val="none"/>
        </w:rPr>
        <w:t>名称：</w:t>
      </w:r>
      <w:r>
        <w:rPr>
          <w:rFonts w:hint="eastAsia" w:ascii="仿宋" w:hAnsi="仿宋" w:eastAsia="仿宋" w:cs="仿宋"/>
          <w:color w:val="000000"/>
          <w:sz w:val="24"/>
          <w:szCs w:val="28"/>
          <w:highlight w:val="none"/>
          <w:lang w:val="en-US" w:eastAsia="zh-CN"/>
        </w:rPr>
        <w:t>浙江勋达工程咨询有限公司</w:t>
      </w:r>
    </w:p>
    <w:p w14:paraId="2BCA62E4">
      <w:pPr>
        <w:spacing w:line="360" w:lineRule="auto"/>
        <w:jc w:val="left"/>
        <w:rPr>
          <w:rFonts w:hint="default" w:ascii="仿宋" w:hAnsi="仿宋" w:eastAsia="仿宋" w:cs="仿宋"/>
          <w:color w:val="000000"/>
          <w:sz w:val="24"/>
          <w:szCs w:val="28"/>
          <w:highlight w:val="none"/>
          <w:lang w:val="en-US" w:eastAsia="zh-CN"/>
        </w:rPr>
      </w:pPr>
      <w:r>
        <w:rPr>
          <w:rFonts w:hint="eastAsia" w:ascii="仿宋" w:hAnsi="仿宋" w:eastAsia="仿宋" w:cs="仿宋"/>
          <w:color w:val="000000"/>
          <w:sz w:val="24"/>
          <w:szCs w:val="28"/>
          <w:highlight w:val="none"/>
        </w:rPr>
        <w:t>地址：</w:t>
      </w:r>
      <w:r>
        <w:rPr>
          <w:rFonts w:hint="eastAsia" w:ascii="仿宋" w:hAnsi="仿宋" w:eastAsia="仿宋" w:cs="仿宋"/>
          <w:color w:val="000000"/>
          <w:sz w:val="24"/>
          <w:szCs w:val="28"/>
          <w:highlight w:val="none"/>
          <w:lang w:val="en-US" w:eastAsia="zh-CN"/>
        </w:rPr>
        <w:t>杭州市钱塘区义蓬街道义蓬中路782号</w:t>
      </w:r>
    </w:p>
    <w:p w14:paraId="44876A64">
      <w:pPr>
        <w:spacing w:line="360" w:lineRule="auto"/>
        <w:jc w:val="left"/>
        <w:rPr>
          <w:rFonts w:hint="eastAsia" w:ascii="仿宋" w:hAnsi="仿宋" w:eastAsia="仿宋" w:cs="仿宋"/>
          <w:color w:val="000000"/>
          <w:sz w:val="24"/>
          <w:szCs w:val="28"/>
          <w:highlight w:val="none"/>
          <w:lang w:eastAsia="zh-CN"/>
        </w:rPr>
      </w:pPr>
      <w:r>
        <w:rPr>
          <w:rFonts w:hint="eastAsia" w:ascii="仿宋" w:hAnsi="仿宋" w:eastAsia="仿宋" w:cs="仿宋"/>
          <w:color w:val="000000"/>
          <w:sz w:val="24"/>
          <w:szCs w:val="28"/>
          <w:highlight w:val="none"/>
        </w:rPr>
        <w:t>项目联系人（询问）：</w:t>
      </w:r>
      <w:r>
        <w:rPr>
          <w:rFonts w:hint="eastAsia" w:ascii="仿宋" w:hAnsi="仿宋" w:eastAsia="仿宋" w:cs="仿宋"/>
          <w:color w:val="000000"/>
          <w:sz w:val="24"/>
          <w:szCs w:val="28"/>
          <w:highlight w:val="none"/>
          <w:lang w:val="en-US" w:eastAsia="zh-CN"/>
        </w:rPr>
        <w:t>平建波</w:t>
      </w:r>
    </w:p>
    <w:p w14:paraId="75F7A97F">
      <w:pPr>
        <w:spacing w:line="360" w:lineRule="auto"/>
        <w:jc w:val="left"/>
        <w:rPr>
          <w:rFonts w:hint="default" w:ascii="仿宋" w:hAnsi="仿宋" w:eastAsia="仿宋" w:cs="仿宋"/>
          <w:color w:val="000000"/>
          <w:sz w:val="24"/>
          <w:szCs w:val="28"/>
          <w:highlight w:val="none"/>
          <w:lang w:val="en-US" w:eastAsia="zh-CN"/>
        </w:rPr>
      </w:pPr>
      <w:r>
        <w:rPr>
          <w:rFonts w:hint="eastAsia" w:ascii="仿宋" w:hAnsi="仿宋" w:eastAsia="仿宋" w:cs="仿宋"/>
          <w:color w:val="000000"/>
          <w:sz w:val="24"/>
          <w:szCs w:val="28"/>
          <w:highlight w:val="none"/>
        </w:rPr>
        <w:t>项目联系方式（询问）：</w:t>
      </w:r>
      <w:r>
        <w:rPr>
          <w:rFonts w:hint="eastAsia" w:ascii="仿宋" w:hAnsi="仿宋" w:eastAsia="仿宋" w:cs="仿宋"/>
          <w:color w:val="000000"/>
          <w:sz w:val="24"/>
          <w:szCs w:val="28"/>
          <w:highlight w:val="none"/>
          <w:lang w:val="en-US" w:eastAsia="zh-CN"/>
        </w:rPr>
        <w:t>15088779243</w:t>
      </w:r>
    </w:p>
    <w:p w14:paraId="2ED0BD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w:t>
      </w:r>
    </w:p>
    <w:p w14:paraId="4D2E1C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服务热线400-881-7190获取热线服务帮助。</w:t>
      </w:r>
    </w:p>
    <w:p w14:paraId="5FA05E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04DC468">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14:paraId="441E2F2E">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bookmarkEnd w:id="9"/>
    </w:p>
    <w:p w14:paraId="44A8C6D7">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6"/>
        <w:gridCol w:w="1864"/>
        <w:gridCol w:w="6298"/>
      </w:tblGrid>
      <w:tr w14:paraId="4418C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1736C73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64" w:type="dxa"/>
            <w:tcBorders>
              <w:top w:val="single" w:color="000000" w:sz="8" w:space="0"/>
              <w:left w:val="single" w:color="auto" w:sz="4" w:space="0"/>
              <w:bottom w:val="single" w:color="000000" w:sz="8" w:space="0"/>
              <w:right w:val="single" w:color="000000" w:sz="8" w:space="0"/>
            </w:tcBorders>
            <w:vAlign w:val="center"/>
          </w:tcPr>
          <w:p w14:paraId="7FF05CB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98" w:type="dxa"/>
            <w:tcBorders>
              <w:top w:val="single" w:color="000000" w:sz="8" w:space="0"/>
              <w:left w:val="single" w:color="000000" w:sz="2" w:space="0"/>
              <w:bottom w:val="single" w:color="000000" w:sz="8" w:space="0"/>
              <w:right w:val="single" w:color="000000" w:sz="8" w:space="0"/>
            </w:tcBorders>
            <w:vAlign w:val="center"/>
          </w:tcPr>
          <w:p w14:paraId="089AD52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9AE0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26447B2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64" w:type="dxa"/>
            <w:tcBorders>
              <w:top w:val="single" w:color="000000" w:sz="8" w:space="0"/>
              <w:left w:val="single" w:color="auto" w:sz="4" w:space="0"/>
              <w:bottom w:val="single" w:color="000000" w:sz="8" w:space="0"/>
              <w:right w:val="single" w:color="000000" w:sz="8" w:space="0"/>
            </w:tcBorders>
            <w:vAlign w:val="center"/>
          </w:tcPr>
          <w:p w14:paraId="2B6AFB1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36FAC4F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26CA8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w:t>
            </w:r>
            <w:r>
              <w:rPr>
                <w:rFonts w:hint="eastAsia" w:ascii="仿宋" w:hAnsi="仿宋" w:eastAsia="仿宋" w:cs="仿宋"/>
                <w:b/>
                <w:bCs w:val="0"/>
                <w:color w:val="auto"/>
                <w:sz w:val="24"/>
                <w:highlight w:val="none"/>
              </w:rPr>
              <w:t>√</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5003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546B2F1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64" w:type="dxa"/>
            <w:tcBorders>
              <w:top w:val="single" w:color="000000" w:sz="8" w:space="0"/>
              <w:left w:val="single" w:color="auto" w:sz="4" w:space="0"/>
              <w:bottom w:val="single" w:color="000000" w:sz="8" w:space="0"/>
              <w:right w:val="single" w:color="000000" w:sz="8" w:space="0"/>
            </w:tcBorders>
            <w:vAlign w:val="center"/>
          </w:tcPr>
          <w:p w14:paraId="6A720A4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298" w:type="dxa"/>
            <w:tcBorders>
              <w:top w:val="single" w:color="000000" w:sz="8" w:space="0"/>
              <w:left w:val="single" w:color="000000" w:sz="2" w:space="0"/>
              <w:bottom w:val="single" w:color="000000" w:sz="8" w:space="0"/>
              <w:right w:val="single" w:color="000000" w:sz="8" w:space="0"/>
            </w:tcBorders>
            <w:vAlign w:val="center"/>
          </w:tcPr>
          <w:p w14:paraId="1411F8C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b w:val="0"/>
                <w:bCs/>
                <w:color w:val="auto"/>
                <w:sz w:val="24"/>
                <w:highlight w:val="none"/>
                <w:lang w:eastAsia="zh-CN"/>
              </w:rPr>
              <w:t>萧山区党湾镇幸福村2025年垃圾分类、清运及保洁采购项目（重招）</w:t>
            </w:r>
            <w:r>
              <w:rPr>
                <w:rFonts w:hint="eastAsia" w:ascii="仿宋" w:hAnsi="仿宋" w:eastAsia="仿宋" w:cs="仿宋"/>
                <w:color w:val="auto"/>
                <w:kern w:val="0"/>
                <w:sz w:val="24"/>
                <w:highlight w:val="none"/>
              </w:rPr>
              <w:t>，属于</w:t>
            </w:r>
            <w:r>
              <w:rPr>
                <w:rFonts w:hint="eastAsia" w:ascii="仿宋" w:hAnsi="仿宋" w:eastAsia="仿宋" w:cs="仿宋"/>
                <w:b w:val="0"/>
                <w:bCs w:val="0"/>
                <w:color w:val="auto"/>
                <w:sz w:val="24"/>
                <w:szCs w:val="24"/>
                <w:highlight w:val="none"/>
                <w:u w:val="single"/>
              </w:rPr>
              <w:t>其他未列明</w:t>
            </w:r>
            <w:r>
              <w:rPr>
                <w:rFonts w:hint="eastAsia" w:ascii="仿宋" w:hAnsi="仿宋" w:eastAsia="仿宋" w:cs="仿宋"/>
                <w:color w:val="auto"/>
                <w:kern w:val="0"/>
                <w:sz w:val="24"/>
                <w:highlight w:val="none"/>
              </w:rPr>
              <w:t>行业；</w:t>
            </w:r>
          </w:p>
          <w:p w14:paraId="19EC0C6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49DCF47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《关于印发中小企业划型标准规定的通知》工信部联企业〔2011〕300号</w:t>
            </w:r>
          </w:p>
        </w:tc>
      </w:tr>
      <w:tr w14:paraId="6A4C8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0B23075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64" w:type="dxa"/>
            <w:tcBorders>
              <w:top w:val="single" w:color="000000" w:sz="8" w:space="0"/>
              <w:left w:val="single" w:color="auto" w:sz="4" w:space="0"/>
              <w:bottom w:val="single" w:color="000000" w:sz="8" w:space="0"/>
              <w:right w:val="single" w:color="000000" w:sz="8" w:space="0"/>
            </w:tcBorders>
            <w:vAlign w:val="center"/>
          </w:tcPr>
          <w:p w14:paraId="0DAAC4A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5EA8C651">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sz w:val="24"/>
                <w:szCs w:val="32"/>
                <w:highlight w:val="none"/>
              </w:rPr>
              <w:t>本项目不允许采购进口产品。</w:t>
            </w:r>
          </w:p>
          <w:p w14:paraId="3A518782">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sz w:val="24"/>
                <w:szCs w:val="32"/>
                <w:highlight w:val="none"/>
              </w:rPr>
              <w:t>可以就</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val="en-US" w:eastAsia="zh-CN"/>
              </w:rPr>
              <w:t>/</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采购进口产品。</w:t>
            </w:r>
          </w:p>
          <w:p w14:paraId="44963B96">
            <w:pPr>
              <w:pStyle w:val="4"/>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进口产品是指通过中国海关保关验放进入中国境内且产自境关外的产品。</w:t>
            </w:r>
          </w:p>
        </w:tc>
      </w:tr>
      <w:tr w14:paraId="4FA40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3D54798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64" w:type="dxa"/>
            <w:tcBorders>
              <w:top w:val="single" w:color="000000" w:sz="8" w:space="0"/>
              <w:left w:val="single" w:color="auto" w:sz="4" w:space="0"/>
              <w:bottom w:val="single" w:color="000000" w:sz="8" w:space="0"/>
              <w:right w:val="single" w:color="000000" w:sz="8" w:space="0"/>
            </w:tcBorders>
            <w:vAlign w:val="center"/>
          </w:tcPr>
          <w:p w14:paraId="21D229B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98" w:type="dxa"/>
            <w:tcBorders>
              <w:top w:val="single" w:color="000000" w:sz="8" w:space="0"/>
              <w:left w:val="single" w:color="000000" w:sz="2" w:space="0"/>
              <w:bottom w:val="single" w:color="000000" w:sz="8" w:space="0"/>
              <w:right w:val="single" w:color="000000" w:sz="8" w:space="0"/>
            </w:tcBorders>
            <w:vAlign w:val="center"/>
          </w:tcPr>
          <w:p w14:paraId="793021DC">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同意将非主体、非关键性的</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工作分包。</w:t>
            </w:r>
          </w:p>
          <w:p w14:paraId="4E0A25B9">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B</w:t>
            </w:r>
            <w:r>
              <w:rPr>
                <w:rFonts w:hint="eastAsia" w:ascii="仿宋" w:hAnsi="仿宋" w:eastAsia="仿宋" w:cs="仿宋"/>
                <w:b w:val="0"/>
                <w:bCs/>
                <w:color w:val="auto"/>
                <w:sz w:val="24"/>
                <w:highlight w:val="none"/>
              </w:rPr>
              <w:t>不同意分包。</w:t>
            </w:r>
          </w:p>
        </w:tc>
      </w:tr>
      <w:tr w14:paraId="30B87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74A6511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64" w:type="dxa"/>
            <w:tcBorders>
              <w:top w:val="single" w:color="000000" w:sz="8" w:space="0"/>
              <w:left w:val="single" w:color="auto" w:sz="4" w:space="0"/>
              <w:bottom w:val="single" w:color="000000" w:sz="8" w:space="0"/>
              <w:right w:val="single" w:color="000000" w:sz="8" w:space="0"/>
            </w:tcBorders>
            <w:vAlign w:val="center"/>
          </w:tcPr>
          <w:p w14:paraId="1402A8F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前答疑会或现场考察</w:t>
            </w:r>
          </w:p>
        </w:tc>
        <w:tc>
          <w:tcPr>
            <w:tcW w:w="6298" w:type="dxa"/>
            <w:tcBorders>
              <w:top w:val="single" w:color="000000" w:sz="8" w:space="0"/>
              <w:left w:val="single" w:color="000000" w:sz="2" w:space="0"/>
              <w:bottom w:val="single" w:color="000000" w:sz="8" w:space="0"/>
              <w:right w:val="single" w:color="000000" w:sz="8" w:space="0"/>
            </w:tcBorders>
            <w:vAlign w:val="center"/>
          </w:tcPr>
          <w:p w14:paraId="6FB60B27">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p w14:paraId="4DEBCD41">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w:t>
            </w:r>
            <w:r>
              <w:rPr>
                <w:rFonts w:hint="eastAsia" w:ascii="仿宋" w:hAnsi="仿宋" w:eastAsia="仿宋" w:cs="仿宋"/>
                <w:b w:val="0"/>
                <w:bCs/>
                <w:color w:val="auto"/>
                <w:kern w:val="0"/>
                <w:sz w:val="24"/>
                <w:highlight w:val="none"/>
              </w:rPr>
              <w:t>B组织</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sz w:val="24"/>
                <w:highlight w:val="none"/>
              </w:rPr>
              <w:t>时间：</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,地点：</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p>
          <w:p w14:paraId="1C5E5409">
            <w:pPr>
              <w:spacing w:line="360" w:lineRule="auto"/>
              <w:rPr>
                <w:rFonts w:hint="eastAsia" w:ascii="仿宋" w:hAnsi="仿宋" w:eastAsia="仿宋" w:cs="仿宋"/>
                <w:b w:val="0"/>
                <w:bCs/>
                <w:color w:val="auto"/>
                <w:sz w:val="24"/>
                <w:szCs w:val="20"/>
                <w:highlight w:val="none"/>
                <w:lang w:val="en-US" w:eastAsia="zh-CN"/>
              </w:rPr>
            </w:pPr>
            <w:r>
              <w:rPr>
                <w:rFonts w:hint="eastAsia" w:ascii="仿宋" w:hAnsi="仿宋" w:eastAsia="仿宋" w:cs="仿宋"/>
                <w:b w:val="0"/>
                <w:bCs/>
                <w:color w:val="auto"/>
                <w:sz w:val="24"/>
                <w:highlight w:val="none"/>
              </w:rPr>
              <w:t>联系人：</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none"/>
                <w:lang w:eastAsia="zh-CN"/>
              </w:rPr>
              <w:t>；</w:t>
            </w:r>
            <w:r>
              <w:rPr>
                <w:rFonts w:hint="eastAsia" w:ascii="仿宋" w:hAnsi="仿宋" w:eastAsia="仿宋" w:cs="仿宋"/>
                <w:b w:val="0"/>
                <w:bCs/>
                <w:color w:val="auto"/>
                <w:sz w:val="24"/>
                <w:highlight w:val="none"/>
                <w:u w:val="none"/>
                <w:lang w:val="en-US" w:eastAsia="zh-CN"/>
              </w:rPr>
              <w:t>其他说明：</w:t>
            </w:r>
            <w:r>
              <w:rPr>
                <w:rFonts w:hint="eastAsia" w:ascii="仿宋" w:hAnsi="仿宋" w:eastAsia="仿宋" w:cs="仿宋"/>
                <w:b w:val="0"/>
                <w:bCs/>
                <w:color w:val="auto"/>
                <w:sz w:val="24"/>
                <w:highlight w:val="none"/>
                <w:u w:val="single"/>
                <w:lang w:val="en-US" w:eastAsia="zh-CN"/>
              </w:rPr>
              <w:t>/</w:t>
            </w:r>
          </w:p>
        </w:tc>
      </w:tr>
      <w:tr w14:paraId="667A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2B320C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64" w:type="dxa"/>
            <w:tcBorders>
              <w:top w:val="single" w:color="000000" w:sz="8" w:space="0"/>
              <w:left w:val="single" w:color="auto" w:sz="4" w:space="0"/>
              <w:bottom w:val="single" w:color="000000" w:sz="8" w:space="0"/>
              <w:right w:val="single" w:color="000000" w:sz="8" w:space="0"/>
            </w:tcBorders>
            <w:vAlign w:val="center"/>
          </w:tcPr>
          <w:p w14:paraId="6B156933">
            <w:pPr>
              <w:snapToGrid w:val="0"/>
              <w:spacing w:line="360" w:lineRule="auto"/>
              <w:jc w:val="center"/>
              <w:rPr>
                <w:rFonts w:hint="eastAsia" w:ascii="仿宋" w:hAnsi="仿宋" w:eastAsia="仿宋" w:cs="仿宋"/>
                <w:b/>
                <w:color w:val="0000FF"/>
                <w:sz w:val="24"/>
                <w:highlight w:val="none"/>
              </w:rPr>
            </w:pPr>
            <w:r>
              <w:rPr>
                <w:rFonts w:hint="eastAsia" w:ascii="仿宋" w:hAnsi="仿宋" w:eastAsia="仿宋" w:cs="仿宋"/>
                <w:b/>
                <w:color w:val="auto"/>
                <w:sz w:val="24"/>
                <w:highlight w:val="none"/>
              </w:rPr>
              <w:t>样品提供</w:t>
            </w:r>
          </w:p>
        </w:tc>
        <w:tc>
          <w:tcPr>
            <w:tcW w:w="6298" w:type="dxa"/>
            <w:tcBorders>
              <w:top w:val="single" w:color="000000" w:sz="8" w:space="0"/>
              <w:left w:val="single" w:color="000000" w:sz="2" w:space="0"/>
              <w:bottom w:val="single" w:color="000000" w:sz="8" w:space="0"/>
              <w:right w:val="single" w:color="000000" w:sz="8" w:space="0"/>
            </w:tcBorders>
            <w:vAlign w:val="center"/>
          </w:tcPr>
          <w:p w14:paraId="1D3A2F09">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（√）A不要求提供。</w:t>
            </w:r>
          </w:p>
          <w:p w14:paraId="6E771897">
            <w:pPr>
              <w:spacing w:line="360" w:lineRule="auto"/>
              <w:rPr>
                <w:rFonts w:hint="eastAsia" w:ascii="仿宋" w:hAnsi="仿宋" w:eastAsia="仿宋" w:cs="仿宋"/>
                <w:b/>
                <w:color w:val="0000FF"/>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）B要求提供，</w:t>
            </w:r>
          </w:p>
        </w:tc>
      </w:tr>
      <w:tr w14:paraId="44B12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324707D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64" w:type="dxa"/>
            <w:tcBorders>
              <w:top w:val="single" w:color="000000" w:sz="8" w:space="0"/>
              <w:left w:val="single" w:color="auto" w:sz="4" w:space="0"/>
              <w:bottom w:val="single" w:color="000000" w:sz="8" w:space="0"/>
              <w:right w:val="single" w:color="000000" w:sz="8" w:space="0"/>
            </w:tcBorders>
            <w:vAlign w:val="center"/>
          </w:tcPr>
          <w:p w14:paraId="189FB8A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98" w:type="dxa"/>
            <w:tcBorders>
              <w:top w:val="single" w:color="000000" w:sz="8" w:space="0"/>
              <w:left w:val="single" w:color="000000" w:sz="2" w:space="0"/>
              <w:bottom w:val="single" w:color="000000" w:sz="8" w:space="0"/>
              <w:right w:val="single" w:color="000000" w:sz="8" w:space="0"/>
            </w:tcBorders>
            <w:vAlign w:val="center"/>
          </w:tcPr>
          <w:p w14:paraId="7654A612">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r>
              <w:rPr>
                <w:rFonts w:hint="eastAsia" w:ascii="仿宋" w:hAnsi="仿宋" w:eastAsia="仿宋" w:cs="仿宋"/>
                <w:b w:val="0"/>
                <w:bCs/>
                <w:color w:val="auto"/>
                <w:sz w:val="24"/>
                <w:szCs w:val="24"/>
                <w:highlight w:val="none"/>
              </w:rPr>
              <w:t>。</w:t>
            </w:r>
          </w:p>
          <w:p w14:paraId="07489257">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szCs w:val="24"/>
                <w:highlight w:val="none"/>
              </w:rPr>
              <w:t>B组织。</w:t>
            </w:r>
          </w:p>
        </w:tc>
      </w:tr>
      <w:tr w14:paraId="579FA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restart"/>
            <w:tcBorders>
              <w:top w:val="single" w:color="auto" w:sz="4" w:space="0"/>
              <w:left w:val="single" w:color="auto" w:sz="4" w:space="0"/>
              <w:right w:val="single" w:color="auto" w:sz="4" w:space="0"/>
            </w:tcBorders>
            <w:vAlign w:val="center"/>
          </w:tcPr>
          <w:p w14:paraId="56ED824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64" w:type="dxa"/>
            <w:vMerge w:val="restart"/>
            <w:tcBorders>
              <w:top w:val="single" w:color="000000" w:sz="8" w:space="0"/>
              <w:left w:val="single" w:color="auto" w:sz="4" w:space="0"/>
              <w:right w:val="single" w:color="000000" w:sz="8" w:space="0"/>
            </w:tcBorders>
            <w:vAlign w:val="center"/>
          </w:tcPr>
          <w:p w14:paraId="03BE14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应当提供的资格、资信证明文件</w:t>
            </w:r>
          </w:p>
        </w:tc>
        <w:tc>
          <w:tcPr>
            <w:tcW w:w="6298" w:type="dxa"/>
            <w:tcBorders>
              <w:top w:val="single" w:color="000000" w:sz="8" w:space="0"/>
              <w:left w:val="single" w:color="000000" w:sz="2" w:space="0"/>
              <w:bottom w:val="single" w:color="auto" w:sz="4" w:space="0"/>
              <w:right w:val="single" w:color="000000" w:sz="8" w:space="0"/>
            </w:tcBorders>
            <w:vAlign w:val="center"/>
          </w:tcPr>
          <w:p w14:paraId="3C8D9B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文件第二部分1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p>
          <w:p w14:paraId="33E54492">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供应商未提供有效的资格证明文件的，视为供应商不具备交易文件中规定的资格要求，响应无效。</w:t>
            </w:r>
          </w:p>
        </w:tc>
      </w:tr>
      <w:tr w14:paraId="40DD6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continue"/>
            <w:tcBorders>
              <w:left w:val="single" w:color="auto" w:sz="4" w:space="0"/>
              <w:bottom w:val="single" w:color="auto" w:sz="4" w:space="0"/>
              <w:right w:val="single" w:color="auto" w:sz="4" w:space="0"/>
            </w:tcBorders>
            <w:vAlign w:val="center"/>
          </w:tcPr>
          <w:p w14:paraId="344B5FED">
            <w:pPr>
              <w:snapToGrid w:val="0"/>
              <w:spacing w:line="360" w:lineRule="auto"/>
              <w:jc w:val="center"/>
              <w:rPr>
                <w:rFonts w:hint="eastAsia" w:ascii="仿宋" w:hAnsi="仿宋" w:eastAsia="仿宋" w:cs="仿宋"/>
                <w:color w:val="auto"/>
                <w:sz w:val="24"/>
                <w:highlight w:val="none"/>
              </w:rPr>
            </w:pPr>
          </w:p>
        </w:tc>
        <w:tc>
          <w:tcPr>
            <w:tcW w:w="1864" w:type="dxa"/>
            <w:vMerge w:val="continue"/>
            <w:tcBorders>
              <w:left w:val="single" w:color="auto" w:sz="4" w:space="0"/>
              <w:bottom w:val="single" w:color="000000" w:sz="8" w:space="0"/>
              <w:right w:val="single" w:color="000000" w:sz="8" w:space="0"/>
            </w:tcBorders>
            <w:vAlign w:val="center"/>
          </w:tcPr>
          <w:p w14:paraId="5868294B">
            <w:pPr>
              <w:snapToGrid w:val="0"/>
              <w:spacing w:line="360" w:lineRule="auto"/>
              <w:jc w:val="center"/>
              <w:rPr>
                <w:rFonts w:hint="eastAsia" w:ascii="仿宋" w:hAnsi="仿宋" w:eastAsia="仿宋" w:cs="仿宋"/>
                <w:b/>
                <w:color w:val="auto"/>
                <w:sz w:val="24"/>
                <w:highlight w:val="none"/>
              </w:rPr>
            </w:pPr>
          </w:p>
        </w:tc>
        <w:tc>
          <w:tcPr>
            <w:tcW w:w="6298" w:type="dxa"/>
            <w:tcBorders>
              <w:top w:val="single" w:color="auto" w:sz="4" w:space="0"/>
              <w:left w:val="single" w:color="000000" w:sz="2" w:space="0"/>
              <w:bottom w:val="single" w:color="000000" w:sz="8" w:space="0"/>
              <w:right w:val="single" w:color="000000" w:sz="8" w:space="0"/>
            </w:tcBorders>
            <w:vAlign w:val="center"/>
          </w:tcPr>
          <w:p w14:paraId="323E7D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文件第四部分评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标准提供。</w:t>
            </w:r>
          </w:p>
        </w:tc>
      </w:tr>
      <w:tr w14:paraId="3093E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7F1BDE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64" w:type="dxa"/>
            <w:tcBorders>
              <w:top w:val="single" w:color="000000" w:sz="8" w:space="0"/>
              <w:left w:val="single" w:color="000000" w:sz="2" w:space="0"/>
              <w:bottom w:val="single" w:color="000000" w:sz="8" w:space="0"/>
              <w:right w:val="single" w:color="000000" w:sz="8" w:space="0"/>
            </w:tcBorders>
            <w:vAlign w:val="center"/>
          </w:tcPr>
          <w:p w14:paraId="1D661C5A">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报价要求</w:t>
            </w:r>
          </w:p>
        </w:tc>
        <w:tc>
          <w:tcPr>
            <w:tcW w:w="6298" w:type="dxa"/>
            <w:tcBorders>
              <w:top w:val="single" w:color="000000" w:sz="8" w:space="0"/>
              <w:left w:val="single" w:color="000000" w:sz="2" w:space="0"/>
              <w:bottom w:val="single" w:color="000000" w:sz="8" w:space="0"/>
              <w:right w:val="single" w:color="000000" w:sz="8" w:space="0"/>
            </w:tcBorders>
            <w:vAlign w:val="center"/>
          </w:tcPr>
          <w:p w14:paraId="108FBF79">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lang w:eastAsia="zh-CN"/>
              </w:rPr>
              <w:t>交易</w:t>
            </w:r>
            <w:r>
              <w:rPr>
                <w:rFonts w:hint="eastAsia" w:ascii="仿宋" w:hAnsi="仿宋" w:eastAsia="仿宋" w:cs="仿宋"/>
                <w:b w:val="0"/>
                <w:bCs/>
                <w:color w:val="auto"/>
                <w:kern w:val="0"/>
                <w:sz w:val="24"/>
                <w:highlight w:val="none"/>
              </w:rPr>
              <w:t>一览表（报价表）是报价的唯一载体</w:t>
            </w:r>
            <w:r>
              <w:rPr>
                <w:rFonts w:hint="eastAsia" w:ascii="仿宋" w:hAnsi="仿宋" w:eastAsia="仿宋" w:cs="仿宋"/>
                <w:b w:val="0"/>
                <w:bCs/>
                <w:color w:val="auto"/>
                <w:kern w:val="0"/>
                <w:sz w:val="24"/>
                <w:highlight w:val="none"/>
                <w:lang w:val="zh-CN"/>
              </w:rPr>
              <w:t>。响应文件中价格全部采用人民币报价。交易文件未列明，而供应商认为必需的费用也需列入报价。</w:t>
            </w:r>
          </w:p>
          <w:p w14:paraId="28D52913">
            <w:pPr>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响应报价出现下列情形的，响应无效：</w:t>
            </w:r>
          </w:p>
          <w:p w14:paraId="0272B420">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响应文件出现不是唯一的、有选择性响应报价的；</w:t>
            </w:r>
          </w:p>
          <w:p w14:paraId="42E61DB4">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响应报价超过交易文件中规定的预算金额或者最高限价的；</w:t>
            </w:r>
          </w:p>
          <w:p w14:paraId="7C54B361">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报价明显低于其他通过符合性审查</w:t>
            </w:r>
            <w:r>
              <w:rPr>
                <w:rFonts w:hint="eastAsia" w:ascii="仿宋" w:hAnsi="仿宋" w:eastAsia="仿宋" w:cs="仿宋"/>
                <w:b w:val="0"/>
                <w:bCs/>
                <w:color w:val="auto"/>
                <w:kern w:val="0"/>
                <w:sz w:val="24"/>
                <w:highlight w:val="none"/>
                <w:lang w:eastAsia="zh-CN"/>
              </w:rPr>
              <w:t>供应商</w:t>
            </w:r>
            <w:r>
              <w:rPr>
                <w:rFonts w:hint="eastAsia" w:ascii="仿宋" w:hAnsi="仿宋" w:eastAsia="仿宋" w:cs="仿宋"/>
                <w:b w:val="0"/>
                <w:bCs/>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val="0"/>
                <w:bCs/>
                <w:color w:val="auto"/>
                <w:kern w:val="0"/>
                <w:sz w:val="24"/>
                <w:highlight w:val="none"/>
                <w:lang w:val="zh-CN"/>
              </w:rPr>
              <w:t>；</w:t>
            </w:r>
          </w:p>
          <w:p w14:paraId="24AD9F8F">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供应商</w:t>
            </w:r>
            <w:r>
              <w:rPr>
                <w:rFonts w:hint="eastAsia" w:ascii="仿宋" w:hAnsi="仿宋" w:eastAsia="仿宋" w:cs="仿宋"/>
                <w:b w:val="0"/>
                <w:bCs/>
                <w:color w:val="auto"/>
                <w:kern w:val="0"/>
                <w:sz w:val="24"/>
                <w:highlight w:val="none"/>
              </w:rPr>
              <w:t>对根据修正原则修正后的报价不确认的。</w:t>
            </w:r>
          </w:p>
          <w:p w14:paraId="7838B8EE">
            <w:pPr>
              <w:spacing w:line="360" w:lineRule="auto"/>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kern w:val="0"/>
                <w:sz w:val="24"/>
                <w:highlight w:val="none"/>
              </w:rPr>
              <w:t>资格文件、商务技术文件与报价文件未分开制作</w:t>
            </w:r>
            <w:r>
              <w:rPr>
                <w:rFonts w:hint="eastAsia" w:ascii="仿宋" w:hAnsi="仿宋" w:eastAsia="仿宋" w:cs="仿宋"/>
                <w:b w:val="0"/>
                <w:bCs/>
                <w:color w:val="auto"/>
                <w:sz w:val="24"/>
                <w:highlight w:val="none"/>
              </w:rPr>
              <w:t>。</w:t>
            </w:r>
          </w:p>
        </w:tc>
      </w:tr>
      <w:tr w14:paraId="5F9D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274ECA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64" w:type="dxa"/>
            <w:tcBorders>
              <w:top w:val="single" w:color="000000" w:sz="8" w:space="0"/>
              <w:left w:val="single" w:color="000000" w:sz="2" w:space="0"/>
              <w:bottom w:val="single" w:color="000000" w:sz="8" w:space="0"/>
              <w:right w:val="single" w:color="000000" w:sz="8" w:space="0"/>
            </w:tcBorders>
            <w:vAlign w:val="center"/>
          </w:tcPr>
          <w:p w14:paraId="16D28BA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w:t>
            </w:r>
          </w:p>
        </w:tc>
        <w:tc>
          <w:tcPr>
            <w:tcW w:w="6298" w:type="dxa"/>
            <w:tcBorders>
              <w:top w:val="single" w:color="000000" w:sz="8" w:space="0"/>
              <w:left w:val="single" w:color="000000" w:sz="2" w:space="0"/>
              <w:bottom w:val="single" w:color="000000" w:sz="8" w:space="0"/>
              <w:right w:val="single" w:color="000000" w:sz="8" w:space="0"/>
            </w:tcBorders>
            <w:vAlign w:val="center"/>
          </w:tcPr>
          <w:p w14:paraId="6EDF8C6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备份文件是否收取：不收取。</w:t>
            </w:r>
          </w:p>
        </w:tc>
      </w:tr>
      <w:tr w14:paraId="2E92B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64CAB3E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64" w:type="dxa"/>
            <w:tcBorders>
              <w:top w:val="single" w:color="000000" w:sz="8" w:space="0"/>
              <w:left w:val="single" w:color="000000" w:sz="2" w:space="0"/>
              <w:bottom w:val="single" w:color="000000" w:sz="8" w:space="0"/>
              <w:right w:val="single" w:color="000000" w:sz="8" w:space="0"/>
            </w:tcBorders>
            <w:vAlign w:val="center"/>
          </w:tcPr>
          <w:p w14:paraId="77E27BD3">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采购机构代理费用</w:t>
            </w:r>
            <w:r>
              <w:rPr>
                <w:rFonts w:hint="eastAsia" w:ascii="仿宋" w:hAnsi="仿宋" w:eastAsia="仿宋" w:cs="仿宋"/>
                <w:b/>
                <w:color w:val="auto"/>
                <w:sz w:val="24"/>
                <w:highlight w:val="none"/>
                <w:lang w:eastAsia="zh-CN"/>
              </w:rPr>
              <w:t>、专家费</w:t>
            </w:r>
          </w:p>
        </w:tc>
        <w:tc>
          <w:tcPr>
            <w:tcW w:w="6298" w:type="dxa"/>
            <w:tcBorders>
              <w:top w:val="single" w:color="000000" w:sz="8" w:space="0"/>
              <w:left w:val="single" w:color="000000" w:sz="2" w:space="0"/>
              <w:bottom w:val="single" w:color="000000" w:sz="8" w:space="0"/>
              <w:right w:val="single" w:color="000000" w:sz="8" w:space="0"/>
            </w:tcBorders>
            <w:vAlign w:val="center"/>
          </w:tcPr>
          <w:p w14:paraId="7C97E4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的招标代理服务费由中标人支付。招标代理服务费计费标准：以中标（成交）金额为计费基准，按计价格[2002]1980号文及发改办价格[2003]857号文规定的收取标准计取。结算方式及时间为：中标人在领取中标通知书前向采购代理机构支付招标代理服务费。</w:t>
            </w:r>
          </w:p>
        </w:tc>
      </w:tr>
      <w:tr w14:paraId="26F03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C15FD89">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14</w:t>
            </w:r>
          </w:p>
        </w:tc>
        <w:tc>
          <w:tcPr>
            <w:tcW w:w="1864" w:type="dxa"/>
            <w:tcBorders>
              <w:top w:val="single" w:color="000000" w:sz="8" w:space="0"/>
              <w:left w:val="single" w:color="000000" w:sz="2" w:space="0"/>
              <w:bottom w:val="single" w:color="000000" w:sz="8" w:space="0"/>
              <w:right w:val="single" w:color="000000" w:sz="8" w:space="0"/>
            </w:tcBorders>
            <w:vAlign w:val="center"/>
          </w:tcPr>
          <w:p w14:paraId="7B2082DC">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298" w:type="dxa"/>
            <w:tcBorders>
              <w:top w:val="single" w:color="000000" w:sz="8" w:space="0"/>
              <w:left w:val="single" w:color="000000" w:sz="2" w:space="0"/>
              <w:bottom w:val="single" w:color="000000" w:sz="8" w:space="0"/>
              <w:right w:val="single" w:color="000000" w:sz="8" w:space="0"/>
            </w:tcBorders>
            <w:vAlign w:val="center"/>
          </w:tcPr>
          <w:p w14:paraId="391E7C25">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履约保证金：收取合同金额的1%，合同签订后支付，履约完成后无息退还。</w:t>
            </w:r>
          </w:p>
        </w:tc>
      </w:tr>
      <w:tr w14:paraId="7C281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4F885ED">
            <w:pPr>
              <w:snapToGrid w:val="0"/>
              <w:spacing w:line="360" w:lineRule="auto"/>
              <w:jc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15</w:t>
            </w:r>
          </w:p>
        </w:tc>
        <w:tc>
          <w:tcPr>
            <w:tcW w:w="1864" w:type="dxa"/>
            <w:tcBorders>
              <w:top w:val="single" w:color="000000" w:sz="8" w:space="0"/>
              <w:left w:val="single" w:color="000000" w:sz="2" w:space="0"/>
              <w:bottom w:val="single" w:color="000000" w:sz="8" w:space="0"/>
              <w:right w:val="single" w:color="000000" w:sz="8" w:space="0"/>
            </w:tcBorders>
            <w:vAlign w:val="center"/>
          </w:tcPr>
          <w:p w14:paraId="06D9E970">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交易保证金</w:t>
            </w:r>
          </w:p>
        </w:tc>
        <w:tc>
          <w:tcPr>
            <w:tcW w:w="6298" w:type="dxa"/>
            <w:tcBorders>
              <w:top w:val="single" w:color="000000" w:sz="8" w:space="0"/>
              <w:left w:val="single" w:color="000000" w:sz="2" w:space="0"/>
              <w:bottom w:val="single" w:color="000000" w:sz="8" w:space="0"/>
              <w:right w:val="single" w:color="000000" w:sz="8" w:space="0"/>
            </w:tcBorders>
            <w:vAlign w:val="center"/>
          </w:tcPr>
          <w:p w14:paraId="1ED349ED">
            <w:pPr>
              <w:spacing w:line="360" w:lineRule="auto"/>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w:t>
            </w:r>
          </w:p>
        </w:tc>
      </w:tr>
      <w:tr w14:paraId="142E0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64BBCC1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16</w:t>
            </w:r>
          </w:p>
        </w:tc>
        <w:tc>
          <w:tcPr>
            <w:tcW w:w="1864" w:type="dxa"/>
            <w:tcBorders>
              <w:top w:val="single" w:color="000000" w:sz="8" w:space="0"/>
              <w:left w:val="single" w:color="000000" w:sz="2" w:space="0"/>
              <w:bottom w:val="single" w:color="000000" w:sz="8" w:space="0"/>
              <w:right w:val="single" w:color="000000" w:sz="8" w:space="0"/>
            </w:tcBorders>
            <w:vAlign w:val="center"/>
          </w:tcPr>
          <w:p w14:paraId="74637E36">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w:t>
            </w:r>
          </w:p>
        </w:tc>
        <w:tc>
          <w:tcPr>
            <w:tcW w:w="6298" w:type="dxa"/>
            <w:tcBorders>
              <w:top w:val="single" w:color="000000" w:sz="8" w:space="0"/>
              <w:left w:val="single" w:color="000000" w:sz="2" w:space="0"/>
              <w:bottom w:val="single" w:color="000000" w:sz="8" w:space="0"/>
              <w:right w:val="single" w:color="000000" w:sz="8" w:space="0"/>
            </w:tcBorders>
            <w:vAlign w:val="center"/>
          </w:tcPr>
          <w:p w14:paraId="3BA7736C">
            <w:pPr>
              <w:pStyle w:val="35"/>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本项目由采购人进行资格文件查询。</w:t>
            </w:r>
          </w:p>
        </w:tc>
      </w:tr>
      <w:tr w14:paraId="1C41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515B7E21">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17</w:t>
            </w:r>
          </w:p>
        </w:tc>
        <w:tc>
          <w:tcPr>
            <w:tcW w:w="1864" w:type="dxa"/>
            <w:tcBorders>
              <w:top w:val="single" w:color="000000" w:sz="8" w:space="0"/>
              <w:left w:val="single" w:color="000000" w:sz="2" w:space="0"/>
              <w:bottom w:val="single" w:color="000000" w:sz="8" w:space="0"/>
              <w:right w:val="single" w:color="000000" w:sz="8" w:space="0"/>
            </w:tcBorders>
            <w:vAlign w:val="center"/>
          </w:tcPr>
          <w:p w14:paraId="4507559A">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298" w:type="dxa"/>
            <w:tcBorders>
              <w:top w:val="single" w:color="000000" w:sz="8" w:space="0"/>
              <w:left w:val="single" w:color="000000" w:sz="2" w:space="0"/>
              <w:bottom w:val="single" w:color="000000" w:sz="8" w:space="0"/>
              <w:right w:val="single" w:color="000000" w:sz="8" w:space="0"/>
            </w:tcBorders>
            <w:vAlign w:val="center"/>
          </w:tcPr>
          <w:p w14:paraId="18D590E2">
            <w:pPr>
              <w:pStyle w:val="35"/>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采购人、采购机构质疑接收人、联系方式：详见公告</w:t>
            </w:r>
          </w:p>
          <w:p w14:paraId="11B6336B">
            <w:pPr>
              <w:pStyle w:val="35"/>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线上提交质疑方式：</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线上质疑路径：项目采购-询问质疑投诉-质疑列表。请使用ca签章在每一页质疑文件中加盖电子公章，上传完整附件。</w:t>
            </w:r>
          </w:p>
          <w:p w14:paraId="2731F78E">
            <w:pPr>
              <w:pStyle w:val="35"/>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47483DB1">
            <w:pPr>
              <w:pStyle w:val="35"/>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4DDFC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85B906C">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64" w:type="dxa"/>
            <w:tcBorders>
              <w:top w:val="single" w:color="000000" w:sz="8" w:space="0"/>
              <w:left w:val="single" w:color="000000" w:sz="2" w:space="0"/>
              <w:bottom w:val="single" w:color="000000" w:sz="8" w:space="0"/>
              <w:right w:val="single" w:color="000000" w:sz="8" w:space="0"/>
            </w:tcBorders>
            <w:vAlign w:val="center"/>
          </w:tcPr>
          <w:p w14:paraId="4D44D3E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98" w:type="dxa"/>
            <w:tcBorders>
              <w:top w:val="single" w:color="000000" w:sz="8" w:space="0"/>
              <w:left w:val="single" w:color="000000" w:sz="2" w:space="0"/>
              <w:bottom w:val="single" w:color="000000" w:sz="8" w:space="0"/>
              <w:right w:val="single" w:color="000000" w:sz="8" w:space="0"/>
            </w:tcBorders>
            <w:vAlign w:val="center"/>
          </w:tcPr>
          <w:p w14:paraId="3EC98FB8">
            <w:pPr>
              <w:spacing w:line="360" w:lineRule="auto"/>
              <w:ind w:firstLine="482" w:firstLineChars="20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10"/>
    </w:tbl>
    <w:p w14:paraId="2004E083">
      <w:pPr>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14:paraId="2DE3D575">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30395B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本交易文件适用于该项目的交易、资格审查及信用信息查询、评审、定标、合同、验收等行为（法律、法规另有规定的，从其规定）。</w:t>
      </w:r>
    </w:p>
    <w:p w14:paraId="47CB73F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55462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“采购人”系指交易公告中载明的本项目的采购人。</w:t>
      </w:r>
    </w:p>
    <w:p w14:paraId="59FA48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“采购机构”系指交易公告中载明的本项目的采购机构。</w:t>
      </w:r>
    </w:p>
    <w:p w14:paraId="2B2366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“供应商”系指是指响应交易、参加交易竞争的法人、其他组织或者自然人。</w:t>
      </w:r>
    </w:p>
    <w:p w14:paraId="3BE761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2BD1E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43917A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p>
    <w:p w14:paraId="255A7F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26E2CC3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 xml:space="preserve"> 询问、质疑、投诉</w:t>
      </w:r>
    </w:p>
    <w:p w14:paraId="25B078A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.1供应商询问</w:t>
      </w:r>
    </w:p>
    <w:p w14:paraId="4C74079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7A8C6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.2供应商质疑</w:t>
      </w:r>
    </w:p>
    <w:p w14:paraId="46CEA67E">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6766EDCE">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结果使自己的权益受到损害的，可以在知道或者应知其权益受到损害之日起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日内，以书面形式向采购人或者采购机构提出质疑，否则，采购人或者采购机构不予受理：</w:t>
      </w:r>
    </w:p>
    <w:p w14:paraId="2FAE732A">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14:paraId="5E2FBE3A">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2.2.2对采购过程提出质疑的，质疑期限为各采购程序环节结束之日起计算。对同一采购程序环节的质疑，供应商须一次性提出。</w:t>
      </w:r>
    </w:p>
    <w:p w14:paraId="1E4E2209">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2.2.3对采购结果提出质疑的，质疑期限自采购结果公告期限届满之日起计算。</w:t>
      </w:r>
    </w:p>
    <w:p w14:paraId="0582D54F">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w:t>
      </w:r>
      <w:r>
        <w:rPr>
          <w:rFonts w:hint="eastAsia" w:ascii="仿宋" w:hAnsi="仿宋" w:eastAsia="仿宋" w:cs="仿宋"/>
          <w:color w:val="auto"/>
          <w:sz w:val="24"/>
          <w:highlight w:val="none"/>
        </w:rPr>
        <w:t>供应商提出质疑应当提交质疑函和必要的证明材料。质疑函应当包括下列内容：</w:t>
      </w:r>
    </w:p>
    <w:p w14:paraId="3CE9FE31">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3.2.3.1供应商的姓名或者名称、地址、邮编、联系人及联系电话；</w:t>
      </w:r>
    </w:p>
    <w:p w14:paraId="726D168B">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3.2.3.2质疑项目的名称、编号；</w:t>
      </w:r>
    </w:p>
    <w:p w14:paraId="334ACE4A">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3.2.3.3具体、明确的质疑事项和与质疑事项相关的请求；</w:t>
      </w:r>
    </w:p>
    <w:p w14:paraId="091BED7D">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3.2.3.4事实依据；</w:t>
      </w:r>
    </w:p>
    <w:p w14:paraId="38665DD7">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3.2.3.5必要的法律依据；</w:t>
      </w:r>
    </w:p>
    <w:p w14:paraId="43C9F9BC">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3.2.3.6提出质疑的日期。</w:t>
      </w:r>
    </w:p>
    <w:p w14:paraId="1A129D6B">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6908AAC">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3A5EB71">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.4采购人或者采购机构应当在收到供应商的书面质疑后</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日内作出答复，并以书面形式通知质疑供应商和其他与质疑处理结果有利害关系的采购当事人，但答复的内容不得涉及商业秘密。</w:t>
      </w:r>
    </w:p>
    <w:p w14:paraId="38D52876">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73DF9093">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3.3供应商投诉</w:t>
      </w:r>
    </w:p>
    <w:p w14:paraId="6AF179D2">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3.1质疑供应商对采购人、采购机构的答复不满意或者采购人、采购机构未在规定的时间内作出答复的，可以在答复期满后十五个工作日内向同级采购监督管理部门提出投诉。</w:t>
      </w:r>
    </w:p>
    <w:p w14:paraId="314C42AC">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3ECD835">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3.3供应商投诉应当有明确的请求和必要的证明材料。</w:t>
      </w:r>
    </w:p>
    <w:p w14:paraId="73366920">
      <w:pPr>
        <w:pStyle w:val="131"/>
        <w:snapToGrid w:val="0"/>
        <w:spacing w:before="0"/>
        <w:ind w:firstLine="360"/>
        <w:rPr>
          <w:rFonts w:hint="eastAsia" w:ascii="仿宋" w:hAnsi="仿宋" w:eastAsia="仿宋" w:cs="仿宋"/>
          <w:color w:val="auto"/>
          <w:sz w:val="18"/>
          <w:szCs w:val="18"/>
          <w:highlight w:val="none"/>
        </w:rPr>
      </w:pPr>
    </w:p>
    <w:p w14:paraId="4E380E8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3765016E">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17FB9D3B">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5B05A75B">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公告；</w:t>
      </w:r>
    </w:p>
    <w:p w14:paraId="4F48C765">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416653BB">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.1.3采购需求；</w:t>
      </w:r>
    </w:p>
    <w:p w14:paraId="173E662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.1.4评</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办法；</w:t>
      </w:r>
    </w:p>
    <w:p w14:paraId="5AA5A133">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.1.5拟签订的合同文本；</w:t>
      </w:r>
    </w:p>
    <w:p w14:paraId="5960FB3D">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14:paraId="47C12F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31A20DFD">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586EBE1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截止时间前，以书面形式向采购机构提出。</w:t>
      </w:r>
    </w:p>
    <w:p w14:paraId="17DDD80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 采购机构对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截止时间和</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7FAF5FAC">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B1736D0">
      <w:pPr>
        <w:adjustRightInd/>
        <w:spacing w:line="360" w:lineRule="auto"/>
        <w:jc w:val="center"/>
        <w:outlineLvl w:val="0"/>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eastAsia="zh-CN"/>
        </w:rPr>
        <w:t>交易</w:t>
      </w:r>
    </w:p>
    <w:p w14:paraId="605BD09C">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1764E084">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w:t>
      </w:r>
      <w:r>
        <w:rPr>
          <w:rFonts w:hint="eastAsia" w:ascii="仿宋" w:hAnsi="仿宋" w:eastAsia="仿宋" w:cs="仿宋"/>
          <w:snapToGrid w:val="0"/>
          <w:color w:val="auto"/>
          <w:kern w:val="28"/>
          <w:sz w:val="24"/>
          <w:highlight w:val="none"/>
        </w:rPr>
        <w:t>公告中获取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6392D779">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前答疑会或现场考察</w:t>
      </w:r>
    </w:p>
    <w:p w14:paraId="04620CBC">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w:t>
      </w:r>
    </w:p>
    <w:p w14:paraId="4FA228DB">
      <w:pPr>
        <w:pStyle w:val="35"/>
        <w:spacing w:line="360" w:lineRule="auto"/>
        <w:ind w:firstLine="482" w:firstLineChars="200"/>
        <w:rPr>
          <w:rFonts w:hint="eastAsia" w:ascii="仿宋" w:hAnsi="仿宋" w:eastAsia="仿宋" w:cs="仿宋"/>
          <w:b/>
          <w:color w:val="auto"/>
          <w:kern w:val="28"/>
          <w:sz w:val="24"/>
          <w:szCs w:val="24"/>
          <w:highlight w:val="none"/>
        </w:rPr>
      </w:pP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eastAsia="zh-CN"/>
        </w:rPr>
        <w:t>交易</w:t>
      </w:r>
      <w:r>
        <w:rPr>
          <w:rFonts w:hint="eastAsia" w:ascii="仿宋" w:hAnsi="仿宋" w:eastAsia="仿宋" w:cs="仿宋"/>
          <w:b/>
          <w:color w:val="auto"/>
          <w:kern w:val="28"/>
          <w:sz w:val="24"/>
          <w:szCs w:val="24"/>
          <w:highlight w:val="none"/>
        </w:rPr>
        <w:t>保证金</w:t>
      </w:r>
    </w:p>
    <w:p w14:paraId="451F786C">
      <w:pPr>
        <w:pStyle w:val="35"/>
        <w:spacing w:line="360" w:lineRule="auto"/>
        <w:ind w:firstLine="480" w:firstLineChars="200"/>
        <w:rPr>
          <w:rFonts w:hint="eastAsia" w:ascii="仿宋" w:hAnsi="仿宋" w:eastAsia="仿宋" w:cs="仿宋"/>
          <w:b w:val="0"/>
          <w:bCs/>
          <w:color w:val="auto"/>
          <w:kern w:val="28"/>
          <w:sz w:val="24"/>
          <w:szCs w:val="24"/>
          <w:highlight w:val="none"/>
          <w:lang w:val="en-US" w:eastAsia="zh-CN"/>
        </w:rPr>
      </w:pPr>
      <w:r>
        <w:rPr>
          <w:rFonts w:hint="eastAsia" w:ascii="仿宋" w:hAnsi="仿宋" w:eastAsia="仿宋" w:cs="仿宋"/>
          <w:b w:val="0"/>
          <w:bCs/>
          <w:color w:val="auto"/>
          <w:kern w:val="28"/>
          <w:sz w:val="24"/>
          <w:szCs w:val="24"/>
          <w:highlight w:val="none"/>
          <w:lang w:val="en-US" w:eastAsia="zh-CN"/>
        </w:rPr>
        <w:t>无</w:t>
      </w:r>
    </w:p>
    <w:p w14:paraId="3BE437FF">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文件的语言</w:t>
      </w:r>
    </w:p>
    <w:p w14:paraId="0EE7FC3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537C0506">
      <w:pPr>
        <w:pStyle w:val="3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文件的组成</w:t>
      </w:r>
    </w:p>
    <w:p w14:paraId="2761BC60">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rPr>
        <w:t>.1资格文件：</w:t>
      </w:r>
    </w:p>
    <w:p w14:paraId="0D9809E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.1.1符合参加采购活动应当具备的一般条件的承诺函；</w:t>
      </w:r>
    </w:p>
    <w:p w14:paraId="3456200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.1.2落实采购政策需满足的资格要求。</w:t>
      </w:r>
    </w:p>
    <w:p w14:paraId="4AA991A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14:paraId="4226C346">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7D56F1E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62EE5E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.2.2授权委托书或法定代表人（单位负责人、自然人本人）身份证明；</w:t>
      </w:r>
    </w:p>
    <w:p w14:paraId="5343E2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.2.3符合性审查资料；</w:t>
      </w:r>
    </w:p>
    <w:p w14:paraId="406111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.2.4评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标准相应的商务技术资料；</w:t>
      </w:r>
    </w:p>
    <w:p w14:paraId="41B0C06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w:t>
      </w:r>
    </w:p>
    <w:p w14:paraId="32BD702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.2.6商务技术偏离表；</w:t>
      </w:r>
    </w:p>
    <w:p w14:paraId="439F29B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.2.7</w:t>
      </w:r>
      <w:r>
        <w:rPr>
          <w:rFonts w:hint="eastAsia" w:ascii="仿宋" w:hAnsi="仿宋" w:eastAsia="仿宋" w:cs="仿宋"/>
          <w:color w:val="auto"/>
          <w:sz w:val="24"/>
          <w:highlight w:val="none"/>
          <w:lang w:val="zh-CN"/>
        </w:rPr>
        <w:t>采购供应商廉洁自律承诺书；</w:t>
      </w:r>
    </w:p>
    <w:p w14:paraId="3E3FC4E7">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lang w:val="en-US" w:eastAsia="zh-CN"/>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3A2BF09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w:t>
      </w:r>
    </w:p>
    <w:p w14:paraId="1546A728">
      <w:pPr>
        <w:snapToGrid w:val="0"/>
        <w:spacing w:line="360" w:lineRule="auto"/>
        <w:ind w:firstLine="960" w:firstLineChars="400"/>
        <w:rPr>
          <w:rFonts w:hint="eastAsia" w:ascii="仿宋" w:hAnsi="仿宋" w:eastAsia="仿宋" w:cs="仿宋"/>
        </w:rPr>
      </w:pPr>
      <w:r>
        <w:rPr>
          <w:rFonts w:hint="eastAsia" w:ascii="仿宋" w:hAnsi="仿宋" w:eastAsia="仿宋" w:cs="仿宋"/>
          <w:color w:val="auto"/>
          <w:sz w:val="24"/>
          <w:highlight w:val="none"/>
          <w:lang w:val="en-US" w:eastAsia="zh-CN"/>
        </w:rPr>
        <w:t>10.3.2中小企业声明函</w:t>
      </w:r>
      <w:r>
        <w:rPr>
          <w:rFonts w:hint="eastAsia" w:ascii="仿宋" w:hAnsi="仿宋" w:eastAsia="仿宋" w:cs="仿宋"/>
          <w:color w:val="auto"/>
          <w:sz w:val="24"/>
          <w:highlight w:val="none"/>
        </w:rPr>
        <w:t>。</w:t>
      </w:r>
    </w:p>
    <w:p w14:paraId="24737CD5">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25B0C8F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19FA9720">
      <w:pPr>
        <w:pStyle w:val="131"/>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5AB7F5C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6488762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供应商进行电子交易（投标）应安装客户端软件—“乐采云(萧采云)电子交易客户端”，并按照交易文件和电子交易平台的要求编制并加密响应文件。供应商未按规定加密的响应文件，电子交易平台将拒收并提示。</w:t>
      </w:r>
    </w:p>
    <w:p w14:paraId="2412C06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.3使用“乐采云(萧采云)电子交易客户端”需要提前申领CA数字证书，申领流程请自行前往“浙江政府采购网-下载专区-电子交易客户端-CA驱动和申领流程”进行查阅。</w:t>
      </w:r>
    </w:p>
    <w:p w14:paraId="2070349D">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0419AEF6">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交易</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184CED4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截止时间前完成在“政府采购云平台”的身份认证，确保在电子交易（投标）过程中能够对相关数据电文进行加密和使用电子签名。</w:t>
      </w:r>
    </w:p>
    <w:p w14:paraId="065C6BBC">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4E345BC4">
      <w:pPr>
        <w:pStyle w:val="131"/>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7766F43D">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6E517A2F">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.2电子交易平台收到响应文件，将妥善保存并即时向供应商发出确认回执通知。在交易截止时间前，除供应商补充、修改或者撤回响应文件外，任何单位和个人不得解密或提取响应文件。</w:t>
      </w:r>
    </w:p>
    <w:p w14:paraId="105E1F4B">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.3采购人、采购机构可以视情况延长响应文件提交的截止时间。在上述情况下，采购机构与供应商以前在交易截止期方面的全部权利、责任和义务，将适用于延长至新的交易截止期。</w:t>
      </w:r>
    </w:p>
    <w:p w14:paraId="27DAC071">
      <w:pPr>
        <w:pStyle w:val="35"/>
        <w:numPr>
          <w:ilvl w:val="0"/>
          <w:numId w:val="0"/>
        </w:num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p>
    <w:p w14:paraId="712AE323">
      <w:pPr>
        <w:pStyle w:val="35"/>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本项目不收取备份响应文件</w:t>
      </w:r>
    </w:p>
    <w:p w14:paraId="4F9743C3">
      <w:pPr>
        <w:pStyle w:val="131"/>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69869FA9">
      <w:pPr>
        <w:pStyle w:val="26"/>
        <w:spacing w:line="360" w:lineRule="auto"/>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w:t>
      </w:r>
      <w:r>
        <w:rPr>
          <w:rFonts w:hint="eastAsia" w:ascii="仿宋" w:hAnsi="仿宋" w:eastAsia="仿宋" w:cs="仿宋"/>
          <w:color w:val="auto"/>
          <w:szCs w:val="21"/>
          <w:highlight w:val="none"/>
          <w:lang w:eastAsia="zh-CN"/>
        </w:rPr>
        <w:t>交易</w:t>
      </w:r>
      <w:r>
        <w:rPr>
          <w:rFonts w:hint="eastAsia" w:ascii="仿宋" w:hAnsi="仿宋" w:eastAsia="仿宋" w:cs="仿宋"/>
          <w:color w:val="auto"/>
          <w:szCs w:val="21"/>
          <w:highlight w:val="none"/>
        </w:rPr>
        <w:t>无效：</w:t>
      </w:r>
    </w:p>
    <w:p w14:paraId="608B17CA">
      <w:pPr>
        <w:pStyle w:val="131"/>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交易</w:t>
      </w:r>
      <w:r>
        <w:rPr>
          <w:rFonts w:hint="eastAsia" w:ascii="仿宋" w:hAnsi="仿宋" w:eastAsia="仿宋" w:cs="仿宋"/>
          <w:b/>
          <w:color w:val="auto"/>
          <w:szCs w:val="24"/>
          <w:highlight w:val="none"/>
        </w:rPr>
        <w:t>有效期</w:t>
      </w:r>
    </w:p>
    <w:p w14:paraId="32EEEC4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交易</w:t>
      </w:r>
      <w:r>
        <w:rPr>
          <w:rFonts w:hint="eastAsia" w:ascii="仿宋" w:hAnsi="仿宋" w:eastAsia="仿宋" w:cs="仿宋"/>
          <w:color w:val="auto"/>
          <w:sz w:val="24"/>
          <w:szCs w:val="20"/>
          <w:highlight w:val="none"/>
        </w:rPr>
        <w:t>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有效期的，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无效。</w:t>
      </w:r>
    </w:p>
    <w:p w14:paraId="3E77A790">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有效期内有效。</w:t>
      </w:r>
    </w:p>
    <w:p w14:paraId="0773BE1F">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有效期满之前，如果出现特殊情况，采购机构可以以书面形式通知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无效。</w:t>
      </w:r>
    </w:p>
    <w:p w14:paraId="35B82B11">
      <w:pPr>
        <w:pStyle w:val="131"/>
        <w:spacing w:before="0"/>
        <w:ind w:firstLine="643"/>
        <w:rPr>
          <w:rFonts w:hint="eastAsia" w:ascii="仿宋" w:hAnsi="仿宋" w:eastAsia="仿宋" w:cs="仿宋"/>
          <w:b/>
          <w:color w:val="auto"/>
          <w:sz w:val="32"/>
          <w:highlight w:val="none"/>
        </w:rPr>
      </w:pPr>
    </w:p>
    <w:p w14:paraId="58C40320">
      <w:pPr>
        <w:pStyle w:val="131"/>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eastAsia="zh-CN"/>
        </w:rPr>
        <w:t>交易</w:t>
      </w:r>
      <w:r>
        <w:rPr>
          <w:rFonts w:hint="eastAsia" w:ascii="仿宋" w:hAnsi="仿宋" w:eastAsia="仿宋" w:cs="仿宋"/>
          <w:b/>
          <w:color w:val="auto"/>
          <w:sz w:val="32"/>
          <w:highlight w:val="none"/>
        </w:rPr>
        <w:t>、资格审查</w:t>
      </w:r>
    </w:p>
    <w:p w14:paraId="2D66356C">
      <w:pPr>
        <w:pStyle w:val="557"/>
        <w:spacing w:before="0" w:line="360" w:lineRule="auto"/>
        <w:ind w:left="0" w:leftChars="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w:t>
      </w:r>
      <w:r>
        <w:rPr>
          <w:rFonts w:hint="eastAsia" w:ascii="仿宋" w:hAnsi="仿宋" w:eastAsia="仿宋" w:cs="仿宋"/>
          <w:color w:val="auto"/>
          <w:sz w:val="24"/>
          <w:highlight w:val="none"/>
        </w:rPr>
        <w:t xml:space="preserve"> </w:t>
      </w:r>
    </w:p>
    <w:p w14:paraId="248895D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.1采购机构按照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w:t>
      </w:r>
    </w:p>
    <w:p w14:paraId="6F6D3ACD">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.2交易时，电子交易平台按交易时间自动提取所有响应文件。采购机构依托电子交易平台发起开始解密指令，供应商按照平台提示和交易文件的规定在半小时内完成在线解密。</w:t>
      </w:r>
    </w:p>
    <w:p w14:paraId="77E39336">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699EACC5">
      <w:pPr>
        <w:pStyle w:val="557"/>
        <w:spacing w:before="0" w:line="360" w:lineRule="auto"/>
        <w:ind w:left="0" w:firstLine="241" w:firstLineChars="100"/>
        <w:contextualSpacing/>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14:paraId="77367689">
      <w:pPr>
        <w:pStyle w:val="557"/>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.1交易后，采购人或采购机构将依法对供应商的资格进行审查。</w:t>
      </w:r>
    </w:p>
    <w:p w14:paraId="3ED5A40E">
      <w:pPr>
        <w:pStyle w:val="557"/>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.2采购人或采购机构依据法律法规和交易文件的规定，对供应商的基本资格条件、特定资格条件进行审查。</w:t>
      </w:r>
    </w:p>
    <w:p w14:paraId="71D0A441">
      <w:pPr>
        <w:pStyle w:val="557"/>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.3供应商未按照交易文件要求提供与基本资格条件、特定资格条件相应的有效资格证明材料的，视为供应商不具备交易文件中规定的资格要求，其响应无效。</w:t>
      </w:r>
    </w:p>
    <w:p w14:paraId="1659FA5D">
      <w:pPr>
        <w:pStyle w:val="557"/>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.4对未通过资格审查的供应商，采购人或采购机构告知其未通过的原因。</w:t>
      </w:r>
    </w:p>
    <w:p w14:paraId="1015BE4B">
      <w:pPr>
        <w:pStyle w:val="557"/>
        <w:spacing w:before="0" w:line="360" w:lineRule="auto"/>
        <w:ind w:left="0" w:firstLine="240" w:firstLineChars="100"/>
        <w:contextualSpacing/>
        <w:rPr>
          <w:rFonts w:hint="eastAsia" w:ascii="仿宋" w:hAnsi="仿宋" w:eastAsia="仿宋" w:cs="仿宋"/>
          <w:color w:val="auto"/>
          <w:kern w:val="0"/>
          <w:szCs w:val="24"/>
          <w:highlight w:val="none"/>
          <w:lang w:val="en-US" w:eastAsia="zh-CN"/>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.5合格供应商不足3家的，不再评标。</w:t>
      </w:r>
    </w:p>
    <w:p w14:paraId="2E384F5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402F990">
      <w:pPr>
        <w:spacing w:line="360" w:lineRule="auto"/>
        <w:ind w:firstLine="482" w:firstLineChars="200"/>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75497553">
      <w:pPr>
        <w:spacing w:line="360" w:lineRule="auto"/>
        <w:rPr>
          <w:rFonts w:hint="eastAsia" w:ascii="仿宋" w:hAnsi="仿宋" w:eastAsia="仿宋" w:cs="仿宋"/>
          <w:b/>
          <w:color w:val="auto"/>
          <w:sz w:val="24"/>
          <w:highlight w:val="none"/>
        </w:rPr>
      </w:pPr>
    </w:p>
    <w:p w14:paraId="27CB72B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5E6E86C">
      <w:pPr>
        <w:pStyle w:val="26"/>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 确定</w:t>
      </w:r>
      <w:r>
        <w:rPr>
          <w:rFonts w:hint="eastAsia" w:ascii="仿宋" w:hAnsi="仿宋" w:eastAsia="仿宋" w:cs="仿宋"/>
          <w:b/>
          <w:color w:val="auto"/>
          <w:highlight w:val="none"/>
          <w:lang w:eastAsia="zh-CN"/>
        </w:rPr>
        <w:t>成交</w:t>
      </w:r>
      <w:r>
        <w:rPr>
          <w:rFonts w:hint="eastAsia" w:ascii="仿宋" w:hAnsi="仿宋" w:eastAsia="仿宋" w:cs="仿宋"/>
          <w:b/>
          <w:color w:val="auto"/>
          <w:highlight w:val="none"/>
        </w:rPr>
        <w:t>供应商</w:t>
      </w:r>
    </w:p>
    <w:p w14:paraId="7C3F77D4">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候选人中按顺序确定</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供应商。</w:t>
      </w:r>
    </w:p>
    <w:p w14:paraId="655EFBF6">
      <w:pPr>
        <w:pStyle w:val="131"/>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成交</w:t>
      </w:r>
      <w:r>
        <w:rPr>
          <w:rFonts w:hint="eastAsia" w:ascii="仿宋" w:hAnsi="仿宋" w:eastAsia="仿宋" w:cs="仿宋"/>
          <w:b/>
          <w:color w:val="auto"/>
          <w:szCs w:val="24"/>
          <w:highlight w:val="none"/>
        </w:rPr>
        <w:t>通知与</w:t>
      </w:r>
      <w:r>
        <w:rPr>
          <w:rFonts w:hint="eastAsia" w:ascii="仿宋" w:hAnsi="仿宋" w:eastAsia="仿宋" w:cs="仿宋"/>
          <w:b/>
          <w:color w:val="auto"/>
          <w:szCs w:val="24"/>
          <w:highlight w:val="none"/>
          <w:lang w:eastAsia="zh-CN"/>
        </w:rPr>
        <w:t>成交</w:t>
      </w:r>
      <w:r>
        <w:rPr>
          <w:rFonts w:hint="eastAsia" w:ascii="仿宋" w:hAnsi="仿宋" w:eastAsia="仿宋" w:cs="仿宋"/>
          <w:b/>
          <w:color w:val="auto"/>
          <w:szCs w:val="24"/>
          <w:highlight w:val="none"/>
        </w:rPr>
        <w:t>结果公告</w:t>
      </w:r>
    </w:p>
    <w:p w14:paraId="2D08147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.1自成交人确定之日起2个工作日内，采购机构通过电子交易平台向成交人发出成交通知书，同时编制发布采购结果公告。采购机构也可以以纸质形式进行成交通知。</w:t>
      </w:r>
    </w:p>
    <w:p w14:paraId="1AB9B48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14:paraId="130F087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.3公告期限为1个工作日。</w:t>
      </w:r>
    </w:p>
    <w:p w14:paraId="277208D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0D79E50">
      <w:pPr>
        <w:snapToGrid w:val="0"/>
        <w:spacing w:line="360" w:lineRule="auto"/>
        <w:ind w:left="120" w:leftChars="57" w:firstLine="482" w:firstLineChars="150"/>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七、合同授予</w:t>
      </w:r>
    </w:p>
    <w:p w14:paraId="4145751B">
      <w:pPr>
        <w:pStyle w:val="26"/>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 合同的签订</w:t>
      </w:r>
    </w:p>
    <w:p w14:paraId="027A8B85">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采购人与成交人应当通过电子交易平台在成交通知书发出之日起三十日内，按照交易文件确定的事项签订采购合同。</w:t>
      </w:r>
    </w:p>
    <w:p w14:paraId="5FFD8D91">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lang w:val="zh-CN"/>
        </w:rPr>
        <w:t>.2</w:t>
      </w:r>
      <w:r>
        <w:rPr>
          <w:rFonts w:hint="eastAsia" w:ascii="仿宋" w:hAnsi="仿宋" w:eastAsia="仿宋" w:cs="仿宋"/>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2B82DD6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61F25304">
      <w:pPr>
        <w:pStyle w:val="131"/>
        <w:snapToGrid w:val="0"/>
        <w:spacing w:before="0"/>
        <w:ind w:firstLine="48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.4成交</w:t>
      </w:r>
      <w:r>
        <w:rPr>
          <w:rFonts w:hint="eastAsia" w:ascii="仿宋" w:hAnsi="仿宋" w:eastAsia="仿宋" w:cs="仿宋"/>
          <w:color w:val="auto"/>
          <w:kern w:val="0"/>
          <w:sz w:val="24"/>
          <w:szCs w:val="24"/>
          <w:highlight w:val="none"/>
          <w:lang w:val="en-US" w:eastAsia="zh-CN" w:bidi="ar-SA"/>
        </w:rPr>
        <w:t>供应商拒绝与采购人签订合同的，采购人可以按照评审报告推荐的成交或者成交候选人名单排序，确定下一候选人为成交供应商，也可以重新开展采购活动。</w:t>
      </w:r>
    </w:p>
    <w:p w14:paraId="68FC139C">
      <w:pPr>
        <w:pStyle w:val="131"/>
        <w:snapToGrid w:val="0"/>
        <w:spacing w:before="0" w:after="120"/>
        <w:ind w:firstLine="48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22.5采购合同由采购人与成交供应商根据交易文件、响应文件等内容通过采购电子交易平台在线签订，自动备案。</w:t>
      </w:r>
    </w:p>
    <w:p w14:paraId="3BB4B6CE">
      <w:pPr>
        <w:pStyle w:val="26"/>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履约保证金</w:t>
      </w:r>
    </w:p>
    <w:p w14:paraId="6DF02518">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1009E1B2">
      <w:pPr>
        <w:pStyle w:val="60"/>
        <w:rPr>
          <w:rFonts w:hint="eastAsia" w:ascii="仿宋" w:hAnsi="仿宋" w:eastAsia="仿宋" w:cs="仿宋"/>
          <w:color w:val="auto"/>
          <w:highlight w:val="none"/>
        </w:rPr>
      </w:pPr>
    </w:p>
    <w:p w14:paraId="59FA83C4">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18D81B8">
      <w:pPr>
        <w:pStyle w:val="131"/>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rPr>
        <w:t>.</w:t>
      </w:r>
      <w:r>
        <w:rPr>
          <w:rFonts w:hint="eastAsia" w:ascii="仿宋" w:hAnsi="仿宋" w:eastAsia="仿宋" w:cs="仿宋"/>
          <w:b/>
          <w:color w:val="auto"/>
          <w:szCs w:val="24"/>
          <w:highlight w:val="none"/>
        </w:rPr>
        <w:t xml:space="preserve">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713FC75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.1电子交易平台发生故障而无法登录访问的； </w:t>
      </w:r>
    </w:p>
    <w:p w14:paraId="134A876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.2电子交易平台应用或数据库出现错误，不能进行正常操作的；</w:t>
      </w:r>
    </w:p>
    <w:p w14:paraId="6227CE2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.3电子交易平台发现严重安全漏洞，有潜在泄密危险的；</w:t>
      </w:r>
    </w:p>
    <w:p w14:paraId="7D8FCBA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.4病毒发作导致不能进行正常操作的； </w:t>
      </w:r>
    </w:p>
    <w:p w14:paraId="407B5E1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.5其他无法保证电子交易的公平、公正和安全的情况。</w:t>
      </w:r>
    </w:p>
    <w:p w14:paraId="3100D5D7">
      <w:pPr>
        <w:pStyle w:val="131"/>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BF932C1">
      <w:pPr>
        <w:tabs>
          <w:tab w:val="left" w:pos="0"/>
        </w:tabs>
        <w:spacing w:line="360" w:lineRule="auto"/>
        <w:ind w:firstLine="480"/>
        <w:rPr>
          <w:rFonts w:hint="eastAsia" w:ascii="仿宋" w:hAnsi="仿宋" w:eastAsia="仿宋" w:cs="仿宋"/>
          <w:color w:val="auto"/>
          <w:sz w:val="24"/>
          <w:highlight w:val="none"/>
        </w:rPr>
      </w:pPr>
    </w:p>
    <w:p w14:paraId="0D05CFB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F60D81B">
      <w:pPr>
        <w:pStyle w:val="26"/>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.验收</w:t>
      </w:r>
    </w:p>
    <w:p w14:paraId="4D8AD31B">
      <w:pPr>
        <w:tabs>
          <w:tab w:val="left" w:pos="0"/>
        </w:tabs>
        <w:spacing w:line="360" w:lineRule="auto"/>
        <w:ind w:firstLine="480"/>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.1采购人应当组织对供应商履约的验收。</w:t>
      </w:r>
      <w:bookmarkEnd w:id="13"/>
      <w:bookmarkEnd w:id="14"/>
      <w:bookmarkEnd w:id="15"/>
      <w:bookmarkStart w:id="16" w:name="第四部分"/>
    </w:p>
    <w:p w14:paraId="1A30D6B7">
      <w:pPr>
        <w:spacing w:line="360" w:lineRule="auto"/>
        <w:jc w:val="center"/>
        <w:outlineLvl w:val="0"/>
        <w:rPr>
          <w:rFonts w:hint="eastAsia" w:ascii="仿宋" w:hAnsi="仿宋" w:eastAsia="仿宋" w:cs="仿宋"/>
          <w:b/>
          <w:color w:val="auto"/>
          <w:sz w:val="36"/>
          <w:szCs w:val="36"/>
          <w:highlight w:val="none"/>
        </w:rPr>
      </w:pPr>
    </w:p>
    <w:p w14:paraId="07FE67C0">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D690A77">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第三部分   采购需求</w:t>
      </w:r>
    </w:p>
    <w:p w14:paraId="03193CEB">
      <w:pPr>
        <w:tabs>
          <w:tab w:val="left" w:pos="540"/>
        </w:tabs>
        <w:spacing w:line="360" w:lineRule="auto"/>
        <w:rPr>
          <w:rFonts w:hint="eastAsia" w:ascii="仿宋" w:hAnsi="仿宋" w:eastAsia="仿宋" w:cs="仿宋"/>
          <w:sz w:val="24"/>
        </w:rPr>
      </w:pPr>
      <w:bookmarkStart w:id="17" w:name="_Toc310522576"/>
      <w:r>
        <w:rPr>
          <w:rFonts w:hint="eastAsia" w:ascii="仿宋" w:hAnsi="仿宋" w:eastAsia="仿宋" w:cs="仿宋"/>
          <w:b/>
          <w:bCs/>
          <w:sz w:val="24"/>
        </w:rPr>
        <w:t>一、</w:t>
      </w:r>
      <w:r>
        <w:rPr>
          <w:rFonts w:hint="eastAsia" w:ascii="仿宋" w:hAnsi="仿宋" w:eastAsia="仿宋" w:cs="仿宋"/>
          <w:sz w:val="24"/>
        </w:rPr>
        <w:t>▲</w:t>
      </w:r>
      <w:r>
        <w:rPr>
          <w:rFonts w:hint="eastAsia" w:ascii="仿宋" w:hAnsi="仿宋" w:eastAsia="仿宋" w:cs="仿宋"/>
          <w:b/>
          <w:bCs/>
          <w:sz w:val="24"/>
        </w:rPr>
        <w:t>保洁范围：</w:t>
      </w:r>
    </w:p>
    <w:p w14:paraId="032109BB">
      <w:pPr>
        <w:tabs>
          <w:tab w:val="left" w:pos="540"/>
        </w:tabs>
        <w:spacing w:line="360" w:lineRule="auto"/>
        <w:ind w:firstLine="600"/>
        <w:rPr>
          <w:rFonts w:hint="eastAsia" w:ascii="仿宋" w:hAnsi="仿宋" w:eastAsia="仿宋" w:cs="仿宋"/>
          <w:sz w:val="24"/>
        </w:rPr>
      </w:pPr>
      <w:r>
        <w:rPr>
          <w:rFonts w:hint="eastAsia" w:ascii="仿宋" w:hAnsi="仿宋" w:eastAsia="仿宋" w:cs="仿宋"/>
          <w:sz w:val="24"/>
        </w:rPr>
        <w:t>1.保洁范围：全村范围内住户的垃圾分类收集、清运、全村主干支道路清扫、道路两侧的沟</w:t>
      </w:r>
      <w:r>
        <w:rPr>
          <w:rFonts w:hint="eastAsia" w:ascii="仿宋" w:hAnsi="仿宋" w:eastAsia="仿宋" w:cs="仿宋"/>
          <w:sz w:val="24"/>
          <w:highlight w:val="none"/>
          <w:shd w:val="clear" w:color="auto" w:fill="auto"/>
        </w:rPr>
        <w:t>、渠（村内河道）内</w:t>
      </w:r>
      <w:r>
        <w:rPr>
          <w:rFonts w:hint="eastAsia" w:ascii="仿宋" w:hAnsi="仿宋" w:eastAsia="仿宋" w:cs="仿宋"/>
          <w:sz w:val="24"/>
        </w:rPr>
        <w:t>漂浮物打涝及秸杆清运、农户房前屋后堆积物的清理清运、村内各企业的生活垃圾</w:t>
      </w:r>
      <w:r>
        <w:rPr>
          <w:rFonts w:hint="eastAsia" w:ascii="仿宋" w:hAnsi="仿宋" w:eastAsia="仿宋" w:cs="仿宋"/>
          <w:sz w:val="24"/>
          <w:highlight w:val="none"/>
        </w:rPr>
        <w:t>清运、村委会办公楼</w:t>
      </w:r>
      <w:r>
        <w:rPr>
          <w:rFonts w:hint="eastAsia" w:ascii="仿宋" w:hAnsi="仿宋" w:eastAsia="仿宋" w:cs="仿宋"/>
          <w:sz w:val="24"/>
          <w:highlight w:val="none"/>
          <w:lang w:val="en-US" w:eastAsia="zh-CN"/>
        </w:rPr>
        <w:t>及办公室内清扫</w:t>
      </w:r>
      <w:r>
        <w:rPr>
          <w:rFonts w:hint="eastAsia" w:ascii="仿宋" w:hAnsi="仿宋" w:eastAsia="仿宋" w:cs="仿宋"/>
          <w:sz w:val="24"/>
          <w:highlight w:val="none"/>
        </w:rPr>
        <w:t>、卫生</w:t>
      </w:r>
      <w:r>
        <w:rPr>
          <w:rFonts w:hint="eastAsia" w:ascii="仿宋" w:hAnsi="仿宋" w:eastAsia="仿宋" w:cs="仿宋"/>
          <w:sz w:val="24"/>
        </w:rPr>
        <w:t>院周边生活垃圾清运、伟老线生活垃圾清运、绿化养护（修剪、除草、施肥、除虫及补种），公园绿化修剪及清扫、公厕的保洁、牛皮癣的清除等。</w:t>
      </w:r>
    </w:p>
    <w:p w14:paraId="47EFB6A5">
      <w:pPr>
        <w:tabs>
          <w:tab w:val="left" w:pos="540"/>
        </w:tabs>
        <w:spacing w:line="360" w:lineRule="auto"/>
        <w:ind w:firstLine="360"/>
        <w:rPr>
          <w:rFonts w:hint="default" w:ascii="仿宋" w:hAnsi="仿宋" w:eastAsia="仿宋" w:cs="仿宋"/>
          <w:color w:val="FF0000"/>
          <w:sz w:val="24"/>
          <w:lang w:val="en-US" w:eastAsia="zh-CN"/>
        </w:rPr>
      </w:pPr>
      <w:r>
        <w:rPr>
          <w:rFonts w:hint="eastAsia" w:ascii="仿宋" w:hAnsi="仿宋" w:eastAsia="仿宋" w:cs="仿宋"/>
          <w:color w:val="auto"/>
          <w:sz w:val="24"/>
        </w:rPr>
        <w:t>（1）主道路有：</w:t>
      </w:r>
      <w:r>
        <w:rPr>
          <w:rFonts w:hint="eastAsia" w:ascii="仿宋" w:hAnsi="仿宋" w:eastAsia="仿宋" w:cs="仿宋"/>
          <w:color w:val="auto"/>
          <w:sz w:val="24"/>
          <w:lang w:eastAsia="zh-CN"/>
        </w:rPr>
        <w:t>（文化路、爱华路、伟老线、</w:t>
      </w:r>
      <w:r>
        <w:rPr>
          <w:rFonts w:hint="eastAsia" w:ascii="仿宋" w:hAnsi="仿宋" w:eastAsia="仿宋" w:cs="仿宋"/>
          <w:color w:val="auto"/>
          <w:sz w:val="24"/>
        </w:rPr>
        <w:t>梅林大道</w:t>
      </w:r>
      <w:r>
        <w:rPr>
          <w:rFonts w:hint="eastAsia" w:ascii="仿宋" w:hAnsi="仿宋" w:eastAsia="仿宋" w:cs="仿宋"/>
          <w:color w:val="auto"/>
          <w:sz w:val="24"/>
          <w:lang w:val="en-US" w:eastAsia="zh-CN"/>
        </w:rPr>
        <w:t>经过我村庄的区域两边有色垃圾</w:t>
      </w:r>
      <w:r>
        <w:rPr>
          <w:rFonts w:hint="eastAsia" w:ascii="仿宋" w:hAnsi="仿宋" w:eastAsia="仿宋" w:cs="仿宋"/>
          <w:color w:val="auto"/>
          <w:sz w:val="24"/>
          <w:lang w:eastAsia="zh-CN"/>
        </w:rPr>
        <w:t>）</w:t>
      </w:r>
      <w:r>
        <w:rPr>
          <w:rFonts w:hint="eastAsia" w:ascii="仿宋" w:hAnsi="仿宋" w:eastAsia="仿宋" w:cs="仿宋"/>
          <w:color w:val="auto"/>
          <w:sz w:val="24"/>
        </w:rPr>
        <w:t>高桥直路、梅林湾直路、大东中心直路、梅林湾直路大东大西6组、5组、3组、2组、义南湾横路，新农村横路</w:t>
      </w:r>
      <w:r>
        <w:rPr>
          <w:rFonts w:hint="eastAsia" w:ascii="仿宋" w:hAnsi="仿宋" w:eastAsia="仿宋" w:cs="仿宋"/>
          <w:color w:val="auto"/>
          <w:sz w:val="24"/>
          <w:lang w:val="en-US" w:eastAsia="zh-CN"/>
        </w:rPr>
        <w:t>等属我村保洁范围内的道路。投标单位可自行来我村现场勘测。</w:t>
      </w:r>
    </w:p>
    <w:p w14:paraId="35C90A5B">
      <w:pPr>
        <w:tabs>
          <w:tab w:val="left" w:pos="540"/>
        </w:tabs>
        <w:spacing w:line="360" w:lineRule="auto"/>
        <w:ind w:firstLine="360"/>
        <w:rPr>
          <w:rFonts w:hint="eastAsia" w:ascii="仿宋" w:hAnsi="仿宋" w:eastAsia="仿宋" w:cs="仿宋"/>
          <w:sz w:val="24"/>
        </w:rPr>
      </w:pPr>
      <w:r>
        <w:rPr>
          <w:rFonts w:hint="eastAsia" w:ascii="仿宋" w:hAnsi="仿宋" w:eastAsia="仿宋" w:cs="仿宋"/>
          <w:sz w:val="24"/>
        </w:rPr>
        <w:t>（2）垃圾分类及清运：做好垃圾分类收集，可腐烂生活垃圾（不得参入其他垃圾），不可腐生活垃圾运至村垃圾中转站并入桶，秸杆垃圾和建筑垃圾</w:t>
      </w:r>
      <w:r>
        <w:rPr>
          <w:rFonts w:hint="eastAsia" w:ascii="仿宋" w:hAnsi="仿宋" w:eastAsia="仿宋" w:cs="仿宋"/>
          <w:sz w:val="24"/>
          <w:lang w:eastAsia="zh-CN"/>
        </w:rPr>
        <w:t>、装修垃圾</w:t>
      </w:r>
      <w:r>
        <w:rPr>
          <w:rFonts w:hint="eastAsia" w:ascii="仿宋" w:hAnsi="仿宋" w:eastAsia="仿宋" w:cs="仿宋"/>
          <w:sz w:val="24"/>
        </w:rPr>
        <w:t>等其他垃圾</w:t>
      </w:r>
      <w:r>
        <w:rPr>
          <w:rFonts w:hint="eastAsia" w:ascii="仿宋" w:hAnsi="仿宋" w:eastAsia="仿宋" w:cs="仿宋"/>
          <w:sz w:val="24"/>
          <w:lang w:eastAsia="zh-CN"/>
        </w:rPr>
        <w:t>由</w:t>
      </w:r>
      <w:r>
        <w:rPr>
          <w:rFonts w:hint="eastAsia" w:ascii="仿宋" w:hAnsi="仿宋" w:eastAsia="仿宋" w:cs="仿宋"/>
          <w:sz w:val="24"/>
        </w:rPr>
        <w:t>投标人自</w:t>
      </w:r>
      <w:r>
        <w:rPr>
          <w:rFonts w:hint="eastAsia" w:ascii="仿宋" w:hAnsi="仿宋" w:eastAsia="仿宋" w:cs="仿宋"/>
          <w:sz w:val="24"/>
          <w:highlight w:val="none"/>
        </w:rPr>
        <w:t>行解决，</w:t>
      </w:r>
      <w:r>
        <w:rPr>
          <w:rFonts w:hint="eastAsia" w:ascii="仿宋" w:hAnsi="仿宋" w:eastAsia="仿宋" w:cs="仿宋"/>
          <w:sz w:val="24"/>
          <w:highlight w:val="none"/>
          <w:shd w:val="clear" w:color="FFFFFF" w:fill="D9D9D9"/>
          <w:lang w:eastAsia="zh-CN"/>
        </w:rPr>
        <w:t>甲方不提供堆场，</w:t>
      </w:r>
      <w:r>
        <w:rPr>
          <w:rFonts w:hint="eastAsia" w:ascii="仿宋" w:hAnsi="仿宋" w:eastAsia="仿宋" w:cs="仿宋"/>
          <w:sz w:val="24"/>
          <w:highlight w:val="none"/>
        </w:rPr>
        <w:t>不得在村内</w:t>
      </w:r>
      <w:r>
        <w:rPr>
          <w:rFonts w:hint="eastAsia" w:ascii="仿宋" w:hAnsi="仿宋" w:eastAsia="仿宋" w:cs="仿宋"/>
          <w:sz w:val="24"/>
        </w:rPr>
        <w:t>堆放。运输垃圾时必须加盖蓬布，封闭运输，不得沿路抛撒遗漏。</w:t>
      </w:r>
    </w:p>
    <w:p w14:paraId="69AB5284">
      <w:pPr>
        <w:tabs>
          <w:tab w:val="left" w:pos="540"/>
        </w:tabs>
        <w:spacing w:afterAutospacing="0" w:line="360" w:lineRule="auto"/>
        <w:ind w:firstLine="408" w:firstLineChars="170"/>
        <w:rPr>
          <w:rFonts w:hint="default" w:eastAsia="仿宋"/>
          <w:lang w:val="en-US" w:eastAsia="zh-CN"/>
        </w:rPr>
      </w:pPr>
      <w:r>
        <w:rPr>
          <w:rFonts w:hint="eastAsia" w:ascii="仿宋" w:hAnsi="仿宋" w:eastAsia="仿宋" w:cs="仿宋"/>
          <w:color w:val="auto"/>
          <w:sz w:val="24"/>
        </w:rPr>
        <w:t>(3)绿化修剪：义南横湾、小型湾直路、大东中心直路、</w:t>
      </w:r>
      <w:r>
        <w:rPr>
          <w:rFonts w:hint="eastAsia" w:ascii="仿宋" w:hAnsi="仿宋" w:eastAsia="仿宋" w:cs="仿宋"/>
          <w:color w:val="auto"/>
          <w:sz w:val="24"/>
          <w:lang w:eastAsia="zh-CN"/>
        </w:rPr>
        <w:t>大东南横湾、</w:t>
      </w:r>
      <w:r>
        <w:rPr>
          <w:rFonts w:hint="eastAsia" w:ascii="仿宋" w:hAnsi="仿宋" w:eastAsia="仿宋" w:cs="仿宋"/>
          <w:color w:val="auto"/>
          <w:sz w:val="24"/>
        </w:rPr>
        <w:t>大东大西湾北（南侧）、高桥直路、新农村、公园等全村公共绿化区域。</w:t>
      </w:r>
    </w:p>
    <w:p w14:paraId="16A20D1C">
      <w:pPr>
        <w:pStyle w:val="2"/>
        <w:numPr>
          <w:ilvl w:val="0"/>
          <w:numId w:val="0"/>
        </w:numPr>
        <w:spacing w:before="0" w:beforeAutospacing="0" w:after="0" w:afterAutospacing="0" w:line="360" w:lineRule="auto"/>
        <w:ind w:left="180"/>
        <w:rPr>
          <w:rFonts w:hint="eastAsia" w:ascii="仿宋" w:hAnsi="仿宋" w:eastAsia="仿宋" w:cs="仿宋"/>
          <w:b w:val="0"/>
          <w:bCs w:val="0"/>
          <w:sz w:val="24"/>
          <w:szCs w:val="24"/>
        </w:rPr>
      </w:pPr>
      <w:r>
        <w:rPr>
          <w:rFonts w:hint="eastAsia" w:ascii="仿宋" w:hAnsi="仿宋" w:eastAsia="仿宋" w:cs="仿宋"/>
          <w:sz w:val="24"/>
          <w:szCs w:val="24"/>
        </w:rPr>
        <w:t>二、</w:t>
      </w:r>
      <w:r>
        <w:rPr>
          <w:rFonts w:hint="eastAsia" w:ascii="仿宋" w:hAnsi="仿宋" w:eastAsia="仿宋" w:cs="仿宋"/>
          <w:b w:val="0"/>
          <w:bCs w:val="0"/>
          <w:sz w:val="24"/>
          <w:szCs w:val="24"/>
        </w:rPr>
        <w:t>▲</w:t>
      </w:r>
      <w:r>
        <w:rPr>
          <w:rFonts w:hint="eastAsia" w:ascii="仿宋" w:hAnsi="仿宋" w:eastAsia="仿宋" w:cs="仿宋"/>
          <w:sz w:val="24"/>
          <w:szCs w:val="24"/>
        </w:rPr>
        <w:t>人员需求及保洁作业要求</w:t>
      </w:r>
      <w:r>
        <w:rPr>
          <w:rFonts w:hint="eastAsia" w:ascii="仿宋" w:hAnsi="仿宋" w:eastAsia="仿宋" w:cs="仿宋"/>
          <w:b w:val="0"/>
          <w:bCs w:val="0"/>
          <w:sz w:val="24"/>
          <w:szCs w:val="24"/>
        </w:rPr>
        <w:t>：</w:t>
      </w:r>
    </w:p>
    <w:p w14:paraId="10D3FBC8">
      <w:pPr>
        <w:spacing w:beforeAutospacing="0" w:line="460" w:lineRule="exact"/>
        <w:rPr>
          <w:rFonts w:hint="eastAsia" w:ascii="仿宋" w:hAnsi="仿宋" w:eastAsia="仿宋" w:cs="仿宋"/>
          <w:sz w:val="24"/>
        </w:rPr>
      </w:pPr>
      <w:r>
        <w:rPr>
          <w:rFonts w:hint="eastAsia" w:ascii="仿宋" w:hAnsi="仿宋" w:eastAsia="仿宋" w:cs="仿宋"/>
          <w:sz w:val="24"/>
        </w:rPr>
        <w:t>1.日常保洁</w:t>
      </w:r>
    </w:p>
    <w:p w14:paraId="4B91C1DA">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rPr>
        <w:t>1.1日常的保洁人员不得少</w:t>
      </w:r>
      <w:r>
        <w:rPr>
          <w:rFonts w:hint="eastAsia" w:ascii="仿宋" w:hAnsi="仿宋" w:eastAsia="仿宋" w:cs="仿宋"/>
          <w:sz w:val="24"/>
          <w:highlight w:val="none"/>
        </w:rPr>
        <w:t>于17人。</w:t>
      </w:r>
    </w:p>
    <w:p w14:paraId="4F4BA252">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幸福村位于党湾镇中部，西靠梅林大道。全村现有23个村民小组，共计农户789户，人口3378人，外来人员1500人左右，耕地面积1283亩。村总面积2.63平方公里村庄范围。其中道路约</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万平方左右。村内民风朴实，道路发达，村内拥有一流的交通、通讯、供水等多种设施，为村民的生活和出行提供了最大的方便。村内企业发达，有规下企业37家，规上企业15家。</w:t>
      </w:r>
      <w:r>
        <w:rPr>
          <w:rFonts w:hint="eastAsia" w:ascii="仿宋" w:hAnsi="仿宋" w:eastAsia="仿宋" w:cs="仿宋"/>
          <w:color w:val="auto"/>
          <w:sz w:val="24"/>
        </w:rPr>
        <w:t>根据测算，需要道路清扫人员8人，主要清扫主次干道、村庄小道、弄堂、房前屋后、道路两侧的沟、渠内漂浮物清理、农户垃圾的收集清运、直运点周边等生活垃圾；垃圾直运桶清运人员、村内各企业生活垃圾清运、伟老线、爱华路一带店面及党湾初中对面村集体公寓生活垃圾清运、村卫生院周边生活垃圾、秸杆垃圾、大件垃圾、装修垃圾等非生活类垃圾清运人员共计6人；公园、公厕保洁人员1人；村庄内绿化养护、牛皮癣清理、池塘清理、四害消杀等2人；</w:t>
      </w:r>
    </w:p>
    <w:p w14:paraId="03B264E9">
      <w:pPr>
        <w:spacing w:line="460" w:lineRule="exact"/>
        <w:ind w:firstLine="480" w:firstLineChars="200"/>
        <w:rPr>
          <w:rFonts w:hint="eastAsia" w:ascii="仿宋" w:hAnsi="仿宋" w:eastAsia="仿宋" w:cs="仿宋"/>
          <w:sz w:val="24"/>
        </w:rPr>
      </w:pPr>
      <w:r>
        <w:rPr>
          <w:rFonts w:hint="eastAsia" w:ascii="仿宋" w:hAnsi="仿宋" w:eastAsia="仿宋" w:cs="仿宋"/>
          <w:sz w:val="24"/>
        </w:rPr>
        <w:t>1.2清扫村范围内的全部硬化道路、硬化面积及无硬化道路，和村庄内所有农户和出租房外的地面及辖区范围的连接道路等。道路清扫、保洁作业时间每天上午9:30前完成第一次清扫，根据季节变化自行调节并上报村委。</w:t>
      </w:r>
    </w:p>
    <w:p w14:paraId="30547E1A">
      <w:pPr>
        <w:spacing w:line="460" w:lineRule="exact"/>
        <w:ind w:firstLine="480" w:firstLineChars="200"/>
        <w:rPr>
          <w:rFonts w:hint="eastAsia" w:ascii="仿宋" w:hAnsi="仿宋" w:eastAsia="仿宋" w:cs="仿宋"/>
          <w:sz w:val="24"/>
        </w:rPr>
      </w:pPr>
      <w:r>
        <w:rPr>
          <w:rFonts w:hint="eastAsia" w:ascii="仿宋" w:hAnsi="仿宋" w:eastAsia="仿宋" w:cs="仿宋"/>
          <w:sz w:val="24"/>
        </w:rPr>
        <w:t>1.3村庄道路实行定人定岗，每天普扫二次，再执行巡回保洁，做到路面整洁清洁，保洁范围内及道路两侧无有色垃圾，路边无杂草、无堆积物、无卫生死角，村民围墙外弄堂及路边水沟清起的杂物全部清扫。清理河边及道路两侧的沟、渠内漂浮物清理的垃圾，并集中清运到处理点。</w:t>
      </w:r>
    </w:p>
    <w:p w14:paraId="0E346BC8">
      <w:pPr>
        <w:spacing w:line="460" w:lineRule="exact"/>
        <w:ind w:firstLine="480" w:firstLineChars="200"/>
        <w:rPr>
          <w:rFonts w:hint="eastAsia" w:ascii="仿宋" w:hAnsi="仿宋" w:eastAsia="仿宋" w:cs="仿宋"/>
          <w:sz w:val="24"/>
        </w:rPr>
      </w:pPr>
      <w:r>
        <w:rPr>
          <w:rFonts w:hint="eastAsia" w:ascii="仿宋" w:hAnsi="仿宋" w:eastAsia="仿宋" w:cs="仿宋"/>
          <w:sz w:val="24"/>
        </w:rPr>
        <w:t>1.4公厕实行一日二次冲洗，保证环境清洁，墙体无污垢及蜘蛛网，化粪池粪便满后负责抽取，并盖好盖，清理出粪口，做好安全防患工作，做好季节性的消杀工作，公厕必须每7天用洁厕灵清洗一次，保持厕所内无氨气。</w:t>
      </w:r>
    </w:p>
    <w:p w14:paraId="054E8DED">
      <w:pPr>
        <w:spacing w:line="460" w:lineRule="exact"/>
        <w:ind w:firstLine="480" w:firstLineChars="200"/>
        <w:rPr>
          <w:rFonts w:hint="eastAsia" w:ascii="仿宋" w:hAnsi="仿宋" w:eastAsia="仿宋" w:cs="仿宋"/>
          <w:sz w:val="24"/>
        </w:rPr>
      </w:pPr>
      <w:r>
        <w:rPr>
          <w:rFonts w:hint="eastAsia" w:ascii="仿宋" w:hAnsi="仿宋" w:eastAsia="仿宋" w:cs="仿宋"/>
          <w:sz w:val="24"/>
        </w:rPr>
        <w:t>1.5绿化养护（修剪、除草、施肥、除虫及补种），绿化带内的杂物、杂草、农作物要每天及时清理，绿化修剪一年不得少于4次。</w:t>
      </w:r>
    </w:p>
    <w:p w14:paraId="6B56B965">
      <w:pPr>
        <w:spacing w:line="460" w:lineRule="exact"/>
        <w:ind w:firstLine="480" w:firstLineChars="200"/>
        <w:rPr>
          <w:rFonts w:hint="eastAsia" w:ascii="仿宋" w:hAnsi="仿宋" w:eastAsia="仿宋" w:cs="仿宋"/>
          <w:sz w:val="24"/>
        </w:rPr>
      </w:pPr>
      <w:r>
        <w:rPr>
          <w:rFonts w:hint="eastAsia" w:ascii="仿宋" w:hAnsi="仿宋" w:eastAsia="仿宋" w:cs="仿宋"/>
          <w:sz w:val="24"/>
        </w:rPr>
        <w:t>1.6保洁员必须统一着有警示标志的保洁工作服，必须遵守工作时间标准作业。村内无“非法广告”，无有色垃圾，并清理路两侧及电线杆建筑物上的牛皮癣及杂草，发现应及时清理。</w:t>
      </w:r>
    </w:p>
    <w:p w14:paraId="10892B71">
      <w:pPr>
        <w:spacing w:line="460" w:lineRule="exact"/>
        <w:ind w:firstLine="480" w:firstLineChars="200"/>
        <w:rPr>
          <w:rFonts w:hint="eastAsia" w:ascii="仿宋" w:hAnsi="仿宋" w:eastAsia="仿宋" w:cs="仿宋"/>
          <w:sz w:val="24"/>
        </w:rPr>
      </w:pPr>
      <w:r>
        <w:rPr>
          <w:rFonts w:hint="eastAsia" w:ascii="仿宋" w:hAnsi="仿宋" w:eastAsia="仿宋" w:cs="仿宋"/>
          <w:sz w:val="24"/>
        </w:rPr>
        <w:t>1.7保洁工人必须遵守职业道德规范，有较强的业务素质，保洁时不得将垃圾、污水溅到行人身上，不得扫入渠、沟、窨井及绿化带内，渠、沟的漂浮物等垃圾要及时打涝、清理，保洁车辆、垃圾桶等工具要及时冲洗，注重保洁队伍的形象。</w:t>
      </w:r>
    </w:p>
    <w:p w14:paraId="51DA1954">
      <w:pPr>
        <w:spacing w:line="460" w:lineRule="exact"/>
        <w:ind w:firstLine="480" w:firstLineChars="200"/>
        <w:rPr>
          <w:rFonts w:hint="eastAsia" w:ascii="仿宋" w:hAnsi="仿宋" w:eastAsia="仿宋" w:cs="仿宋"/>
          <w:sz w:val="24"/>
        </w:rPr>
      </w:pPr>
      <w:r>
        <w:rPr>
          <w:rFonts w:hint="eastAsia" w:ascii="仿宋" w:hAnsi="仿宋" w:eastAsia="仿宋" w:cs="仿宋"/>
          <w:sz w:val="24"/>
        </w:rPr>
        <w:t>1.8如遇上级检查，中标人需积极配合，服从村委安排，达到合格要求，如中标人不服从、不配合村委，由村委出面清理所产生的费用须在中标的承包服务费中扣取。如若多次不服从、不配合，招标人有权终止合同，另行招标。</w:t>
      </w:r>
    </w:p>
    <w:p w14:paraId="60628924">
      <w:pPr>
        <w:spacing w:line="460" w:lineRule="exact"/>
        <w:ind w:firstLine="480" w:firstLineChars="200"/>
        <w:rPr>
          <w:rFonts w:hint="eastAsia" w:ascii="仿宋" w:hAnsi="仿宋" w:eastAsia="仿宋" w:cs="仿宋"/>
          <w:sz w:val="24"/>
        </w:rPr>
      </w:pPr>
      <w:r>
        <w:rPr>
          <w:rFonts w:hint="eastAsia" w:ascii="仿宋" w:hAnsi="仿宋" w:eastAsia="仿宋" w:cs="仿宋"/>
          <w:sz w:val="24"/>
        </w:rPr>
        <w:t>1.9村里不少于每周二次对环境卫生进行督查，发现路上和厕所不干净的，告知后24小时内必须处理掉。路边堆积物告知后三天内必须清理掉，否则每次罚扣款200—500元（告知以照片为准），直接在当月保洁费中扣除。如若未按要求按期整改到位的，则发现一次扣1分，并计入月底考核分。</w:t>
      </w:r>
    </w:p>
    <w:p w14:paraId="4DB5C406">
      <w:pPr>
        <w:spacing w:line="460" w:lineRule="exact"/>
        <w:ind w:right="-183" w:rightChars="-87" w:firstLine="480" w:firstLineChars="200"/>
        <w:rPr>
          <w:rFonts w:hint="eastAsia" w:ascii="仿宋" w:hAnsi="仿宋" w:eastAsia="仿宋" w:cs="仿宋"/>
          <w:sz w:val="24"/>
        </w:rPr>
      </w:pPr>
      <w:r>
        <w:rPr>
          <w:rFonts w:hint="eastAsia" w:ascii="仿宋" w:hAnsi="仿宋" w:eastAsia="仿宋" w:cs="仿宋"/>
          <w:sz w:val="24"/>
        </w:rPr>
        <w:t>1.10整村保洁实行包干制，中标单位应确保保洁质量。</w:t>
      </w:r>
    </w:p>
    <w:p w14:paraId="5E57985C">
      <w:pPr>
        <w:spacing w:line="460" w:lineRule="exact"/>
        <w:ind w:right="-183" w:rightChars="-87"/>
        <w:rPr>
          <w:rFonts w:hint="eastAsia" w:ascii="仿宋" w:hAnsi="仿宋" w:eastAsia="仿宋" w:cs="仿宋"/>
          <w:sz w:val="24"/>
        </w:rPr>
      </w:pPr>
      <w:r>
        <w:rPr>
          <w:rFonts w:hint="eastAsia" w:ascii="仿宋" w:hAnsi="仿宋" w:eastAsia="仿宋" w:cs="仿宋"/>
          <w:sz w:val="24"/>
        </w:rPr>
        <w:t>2.垃圾分类及直运</w:t>
      </w:r>
    </w:p>
    <w:p w14:paraId="0BD445CD">
      <w:pPr>
        <w:spacing w:line="460" w:lineRule="exact"/>
        <w:ind w:firstLine="480" w:firstLineChars="200"/>
        <w:rPr>
          <w:rFonts w:hint="eastAsia" w:ascii="仿宋" w:hAnsi="仿宋" w:eastAsia="仿宋" w:cs="仿宋"/>
          <w:sz w:val="24"/>
        </w:rPr>
      </w:pPr>
      <w:r>
        <w:rPr>
          <w:rFonts w:hint="eastAsia" w:ascii="仿宋" w:hAnsi="仿宋" w:eastAsia="仿宋" w:cs="仿宋"/>
          <w:sz w:val="24"/>
        </w:rPr>
        <w:t>2.1中标单位必须做好垃圾分类有关工作，预计需要收集人员6人。中标单位需负责上门收集全村包含租户在内的每一户农户的其他垃圾和餐厨垃圾等。</w:t>
      </w:r>
    </w:p>
    <w:p w14:paraId="576FCA45">
      <w:pPr>
        <w:spacing w:line="460" w:lineRule="exact"/>
        <w:ind w:firstLine="480" w:firstLineChars="200"/>
        <w:rPr>
          <w:rFonts w:hint="eastAsia" w:ascii="仿宋" w:hAnsi="仿宋" w:eastAsia="仿宋" w:cs="仿宋"/>
          <w:sz w:val="24"/>
        </w:rPr>
      </w:pPr>
      <w:r>
        <w:rPr>
          <w:rFonts w:hint="eastAsia" w:ascii="仿宋" w:hAnsi="仿宋" w:eastAsia="仿宋" w:cs="仿宋"/>
          <w:sz w:val="24"/>
        </w:rPr>
        <w:t>2.2落实人员每日上门收集每个农户门口的餐厨垃圾和其他垃圾，对于餐厨垃圾，收集员要做到分拣到位，将处理厂不能处理的垃圾分拣出来；对于其他垃圾则根据村垃圾分类运行方案来进行。</w:t>
      </w:r>
    </w:p>
    <w:p w14:paraId="515BC5BC">
      <w:pPr>
        <w:spacing w:line="460" w:lineRule="exact"/>
        <w:ind w:firstLine="480" w:firstLineChars="200"/>
        <w:rPr>
          <w:rFonts w:hint="eastAsia" w:ascii="仿宋" w:hAnsi="仿宋" w:eastAsia="仿宋" w:cs="仿宋"/>
          <w:sz w:val="24"/>
        </w:rPr>
      </w:pPr>
      <w:r>
        <w:rPr>
          <w:rFonts w:hint="eastAsia" w:ascii="仿宋" w:hAnsi="仿宋" w:eastAsia="仿宋" w:cs="仿宋"/>
          <w:sz w:val="24"/>
        </w:rPr>
        <w:t>2.3每日记录好农户分类情况登记表，对于未做到分类的农户要及时上门沟通，要求其进行分类，若沟通无效则及时向村两委干部反映情况，定期将农户分类情况反馈给村两委；</w:t>
      </w:r>
    </w:p>
    <w:p w14:paraId="4906AD00">
      <w:pPr>
        <w:spacing w:line="460" w:lineRule="exact"/>
        <w:ind w:firstLine="480" w:firstLineChars="200"/>
        <w:rPr>
          <w:rFonts w:hint="eastAsia" w:ascii="仿宋" w:hAnsi="仿宋" w:eastAsia="仿宋" w:cs="仿宋"/>
          <w:sz w:val="24"/>
        </w:rPr>
      </w:pPr>
      <w:r>
        <w:rPr>
          <w:rFonts w:hint="eastAsia" w:ascii="仿宋" w:hAnsi="仿宋" w:eastAsia="仿宋" w:cs="仿宋"/>
          <w:sz w:val="24"/>
        </w:rPr>
        <w:t>2.4需根据村里工作要求，安排人员做好入户宣传、分类检查、垃圾分类物资发放等工作。</w:t>
      </w:r>
    </w:p>
    <w:p w14:paraId="5327DFC0">
      <w:pPr>
        <w:spacing w:line="460" w:lineRule="exact"/>
        <w:ind w:firstLine="480" w:firstLineChars="200"/>
        <w:rPr>
          <w:rFonts w:hint="eastAsia" w:ascii="仿宋" w:hAnsi="仿宋" w:eastAsia="仿宋" w:cs="仿宋"/>
          <w:sz w:val="24"/>
        </w:rPr>
      </w:pPr>
      <w:r>
        <w:rPr>
          <w:rFonts w:hint="eastAsia" w:ascii="仿宋" w:hAnsi="仿宋" w:eastAsia="仿宋" w:cs="仿宋"/>
          <w:sz w:val="24"/>
        </w:rPr>
        <w:t>2.5装满的垃圾直运桶每天应及时清运，散落在直运桶周边的生活垃圾要铲入到桶内，拖运时不可撒漏造成二次污染，使用生活垃圾直运桶要文明规范，尽可能降低破损率。生活垃圾要统一拖运至辖区垃圾直运点，每天要及时清洗垃圾直运桶。垃圾不得随意堆放和私自焚烧，不得堆积并保持直运点四周清洁，做好季节性的消杀工作。每年六月至九月，每月定时进行灭蚊灭虫。</w:t>
      </w:r>
    </w:p>
    <w:p w14:paraId="55A1F1D5">
      <w:pPr>
        <w:spacing w:line="460" w:lineRule="exact"/>
        <w:ind w:firstLine="480"/>
        <w:rPr>
          <w:rFonts w:hint="eastAsia" w:ascii="仿宋" w:hAnsi="仿宋" w:eastAsia="仿宋" w:cs="仿宋"/>
          <w:sz w:val="24"/>
        </w:rPr>
      </w:pPr>
      <w:r>
        <w:rPr>
          <w:rFonts w:hint="eastAsia" w:ascii="仿宋" w:hAnsi="仿宋" w:eastAsia="仿宋" w:cs="仿宋"/>
          <w:sz w:val="24"/>
        </w:rPr>
        <w:t>2.6村庄内的大件垃圾等其他非生活类垃圾运送至指定地点堆放。房前屋后的无主堆放物及时垃圾直运点周边的非生活类垃圾堆放物要求清运及时。</w:t>
      </w:r>
    </w:p>
    <w:p w14:paraId="2EC82EBF">
      <w:pPr>
        <w:spacing w:line="460" w:lineRule="exact"/>
        <w:ind w:firstLine="480" w:firstLineChars="200"/>
        <w:rPr>
          <w:rFonts w:hint="eastAsia" w:ascii="仿宋" w:hAnsi="仿宋" w:eastAsia="仿宋" w:cs="仿宋"/>
          <w:sz w:val="24"/>
        </w:rPr>
      </w:pPr>
      <w:r>
        <w:rPr>
          <w:rFonts w:hint="eastAsia" w:ascii="仿宋" w:hAnsi="仿宋" w:eastAsia="仿宋" w:cs="仿宋"/>
          <w:sz w:val="24"/>
        </w:rPr>
        <w:t>2.7如遇上级检查，中标人需积极配合，服从村委安排，达到合格要求，如中标人不服从、不配合村委，由村委出面清理所产生的费用须在中标的承包服务费中扣取。如若多次不服从、不配合，招标人有权终止合同，另行招标。</w:t>
      </w:r>
    </w:p>
    <w:p w14:paraId="7EFA7AE8">
      <w:pPr>
        <w:spacing w:line="460" w:lineRule="exact"/>
        <w:ind w:firstLine="480" w:firstLineChars="200"/>
        <w:rPr>
          <w:rFonts w:hint="eastAsia" w:ascii="仿宋" w:hAnsi="仿宋" w:eastAsia="仿宋" w:cs="仿宋"/>
          <w:sz w:val="24"/>
        </w:rPr>
      </w:pPr>
      <w:r>
        <w:rPr>
          <w:rFonts w:hint="eastAsia" w:ascii="仿宋" w:hAnsi="仿宋" w:eastAsia="仿宋" w:cs="仿宋"/>
          <w:sz w:val="24"/>
        </w:rPr>
        <w:t>2.8村里不少于每周二次对垃圾分类工作进行督查，发现存在农户门口垃圾分类桶未收集的，告知后2小时内必须进行收集。若出现连续两天及以上未上门收集的，每发现一户扣100元（告知以照片为准），直接在当月保洁费中扣除。如若未按要求按期整改到位的，则发现一次扣1分，并计入月底考核分。</w:t>
      </w:r>
    </w:p>
    <w:p w14:paraId="232C91C6">
      <w:pPr>
        <w:spacing w:afterAutospacing="0" w:line="460" w:lineRule="exact"/>
        <w:ind w:firstLine="482"/>
        <w:rPr>
          <w:rFonts w:hint="eastAsia" w:ascii="仿宋" w:hAnsi="仿宋" w:eastAsia="仿宋" w:cs="仿宋"/>
          <w:sz w:val="24"/>
        </w:rPr>
      </w:pPr>
      <w:r>
        <w:rPr>
          <w:rFonts w:hint="eastAsia" w:ascii="仿宋" w:hAnsi="仿宋" w:eastAsia="仿宋" w:cs="仿宋"/>
          <w:sz w:val="24"/>
        </w:rPr>
        <w:t>2.9整村垃圾分类实行包干制，中标单位应确保垃圾分类质量。</w:t>
      </w:r>
    </w:p>
    <w:p w14:paraId="211D4F81">
      <w:pPr>
        <w:pStyle w:val="2"/>
        <w:numPr>
          <w:ilvl w:val="2"/>
          <w:numId w:val="0"/>
        </w:numPr>
        <w:spacing w:before="0" w:beforeAutospacing="0" w:after="0" w:afterAutospacing="0" w:line="360" w:lineRule="auto"/>
        <w:ind w:left="180"/>
        <w:rPr>
          <w:rFonts w:hint="eastAsia" w:ascii="仿宋" w:hAnsi="仿宋" w:eastAsia="仿宋" w:cs="仿宋"/>
          <w:sz w:val="24"/>
          <w:szCs w:val="24"/>
          <w:lang w:val="en-US" w:eastAsia="zh-CN"/>
        </w:rPr>
      </w:pPr>
      <w:r>
        <w:rPr>
          <w:rFonts w:hint="eastAsia" w:ascii="仿宋" w:hAnsi="仿宋" w:eastAsia="仿宋" w:cs="仿宋"/>
          <w:sz w:val="24"/>
          <w:szCs w:val="24"/>
        </w:rPr>
        <w:t>三、</w:t>
      </w:r>
      <w:r>
        <w:rPr>
          <w:rFonts w:hint="eastAsia" w:ascii="仿宋" w:hAnsi="仿宋" w:eastAsia="仿宋" w:cs="仿宋"/>
          <w:sz w:val="24"/>
          <w:szCs w:val="24"/>
          <w:lang w:val="en-US" w:eastAsia="zh-CN"/>
        </w:rPr>
        <w:t>安全责任</w:t>
      </w:r>
    </w:p>
    <w:p w14:paraId="42696943">
      <w:pPr>
        <w:pStyle w:val="2"/>
        <w:keepNext/>
        <w:keepLines/>
        <w:pageBreakBefore w:val="0"/>
        <w:widowControl w:val="0"/>
        <w:numPr>
          <w:ilvl w:val="2"/>
          <w:numId w:val="0"/>
        </w:numP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kern w:val="2"/>
          <w:sz w:val="24"/>
          <w:szCs w:val="24"/>
          <w:lang w:val="en-US" w:eastAsia="zh-CN" w:bidi="ar-SA"/>
        </w:rPr>
        <w:t>成交保洁公司必须定期对保洁人员进行上岗培训工作和安全防范知识教育，如发生所有的安全事故，则由成交保洁公司负全部责任，自行解决处理与幸福村无涉。</w:t>
      </w:r>
    </w:p>
    <w:p w14:paraId="40DECD58">
      <w:pPr>
        <w:pStyle w:val="2"/>
        <w:numPr>
          <w:ilvl w:val="2"/>
          <w:numId w:val="0"/>
        </w:numPr>
        <w:spacing w:before="0" w:beforeAutospacing="0" w:after="0" w:afterAutospacing="0" w:line="360" w:lineRule="auto"/>
        <w:ind w:left="180"/>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商务需求</w:t>
      </w:r>
    </w:p>
    <w:p w14:paraId="279B7F04">
      <w:pPr>
        <w:spacing w:beforeAutospacing="0" w:line="360" w:lineRule="auto"/>
        <w:ind w:firstLine="480" w:firstLineChars="200"/>
        <w:rPr>
          <w:rFonts w:hint="eastAsia" w:ascii="仿宋" w:hAnsi="仿宋" w:eastAsia="仿宋" w:cs="仿宋"/>
          <w:sz w:val="24"/>
          <w:lang w:val="en-US" w:eastAsia="zh-CN"/>
        </w:rPr>
      </w:pPr>
      <w:r>
        <w:rPr>
          <w:rFonts w:hint="eastAsia" w:ascii="仿宋" w:hAnsi="仿宋" w:eastAsia="仿宋" w:cs="仿宋"/>
          <w:bCs/>
          <w:sz w:val="24"/>
        </w:rPr>
        <w:t>1.</w:t>
      </w:r>
      <w:r>
        <w:rPr>
          <w:rFonts w:hint="eastAsia" w:ascii="仿宋" w:hAnsi="仿宋" w:eastAsia="仿宋" w:cs="仿宋"/>
          <w:b/>
          <w:sz w:val="24"/>
        </w:rPr>
        <w:t>▲</w:t>
      </w:r>
      <w:r>
        <w:rPr>
          <w:rFonts w:hint="eastAsia" w:ascii="仿宋" w:hAnsi="仿宋" w:eastAsia="仿宋" w:cs="仿宋"/>
          <w:sz w:val="24"/>
        </w:rPr>
        <w:t>服务期限：</w:t>
      </w:r>
      <w:r>
        <w:rPr>
          <w:rFonts w:hint="eastAsia" w:ascii="仿宋" w:hAnsi="仿宋" w:eastAsia="仿宋" w:cs="仿宋"/>
          <w:sz w:val="24"/>
          <w:highlight w:val="none"/>
          <w:lang w:val="en-US" w:eastAsia="zh-CN"/>
        </w:rPr>
        <w:t>本次服务期为2年，合同一年一签。在首年服务期限内，依据党湾镇行政村（社区）年度考核排名，相比上个年度排名退步≤2个名次的，且采购人对其履约服务及党湾镇行政村（社区）年度考核总体排名满意，续签第二年合同（注：采购人有权拒绝对年度考核排名在15-19位时续签合同）。续签合同价不变，服务费用按原合同签订的付款方式支付。如成交服务单位在服务期违反合同约定，或考核不合格的，招标人有权提出终止合同。合同履行完毕后，在未找到接替公司前，成交服务单位应延续1-2个月的服务，费用按原合同签订的标准按比例支付。如成交人在服务期内违反合同约定，出现服务不到位等情况，达不到交易发起人要求等情况，交易发起人有权提前终止合同。</w:t>
      </w:r>
    </w:p>
    <w:p w14:paraId="0DEEFCE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合同期满后，妥善处理退场移交、人员安置，如果出现劳资纠纷，责任在成交人。如成交人在服务期内违反合同约定，经考核不合格，采购单位有权提前终止合同，并对成交人进行相应扣款处理，扣款金额从履约保证金中扣除，并无息退回剩余履约保证金。</w:t>
      </w:r>
    </w:p>
    <w:p w14:paraId="499AC1E8">
      <w:pPr>
        <w:spacing w:line="460" w:lineRule="exact"/>
        <w:ind w:firstLine="480" w:firstLineChars="200"/>
        <w:rPr>
          <w:rFonts w:hint="eastAsia" w:ascii="仿宋" w:hAnsi="仿宋" w:eastAsia="仿宋" w:cs="仿宋"/>
          <w:sz w:val="24"/>
        </w:rPr>
      </w:pPr>
      <w:r>
        <w:rPr>
          <w:rFonts w:hint="eastAsia" w:ascii="仿宋" w:hAnsi="仿宋" w:eastAsia="仿宋" w:cs="仿宋"/>
          <w:sz w:val="24"/>
        </w:rPr>
        <w:t>2.▲服务考核：</w:t>
      </w:r>
    </w:p>
    <w:p w14:paraId="25DC1DC5">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rPr>
        <w:t>2.1</w:t>
      </w:r>
      <w:r>
        <w:rPr>
          <w:rFonts w:hint="eastAsia" w:ascii="仿宋" w:hAnsi="仿宋" w:eastAsia="仿宋" w:cs="仿宋"/>
          <w:sz w:val="24"/>
          <w:highlight w:val="none"/>
          <w:lang w:val="en-US" w:eastAsia="zh-CN"/>
        </w:rPr>
        <w:t>依据党湾镇行政村（社区）季度考核标准排名进行。</w:t>
      </w:r>
    </w:p>
    <w:p w14:paraId="76D7C1F5">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2.2巡查中发现的问题，由业主单位下发《巡查抄告单》并按评分标准给予扣分。责任单位应限期完成整改，超过二日未整改的扣2分；同一问题二次抄告的扣4分，三次以上抄告的翻倍扣分。</w:t>
      </w:r>
    </w:p>
    <w:p w14:paraId="153E3B3A">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巡查中发现的问题，被镇级部门抄告、新闻单位曝光的，每次扣500元；在镇级季度考核中发出告知单，每次扣1000元。被区级部门抄告、新闻单位曝光的，每次扣2000元，被市级以上部门抄告、新闻单位曝光的，每次扣5000元。费用在当月保洁费中扣除。被镇级部门抄告、新闻单位表扬的，每次增加500元；在镇级季度考核中表扬，每次增加500元。被区级部门抄告、新闻单位表扬的，每次增加1000元，被市级以上部门表扬，每次增加2000元。费用在当月保洁费中增加。</w:t>
      </w:r>
    </w:p>
    <w:p w14:paraId="7346669B">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对中标单位作业情况分项目实行百分考核（详见评分标准）。每季度考核一次（指3个月）。90分及以上为达标。第一季度考核分低于80分的予以告诫处理，第二季度仍低于70分的甲方有权单方终止合同（包括存在其他重大问题，不宜继续履行合同的）。乙方单方面终止合同则履约保证金不予归还并承担相关损失。</w:t>
      </w:r>
    </w:p>
    <w:p w14:paraId="1BA6FD54">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2.5对于存在以下二种情况的，村有权对该单位立即解除合同：一是被区级以上有关部门连续多次抄告或同一问题重复抄告产生严重影响的，二是对镇村两级要求坚决不执行的。</w:t>
      </w:r>
    </w:p>
    <w:p w14:paraId="429A1758">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lang w:eastAsia="zh-CN"/>
        </w:rPr>
        <w:t>在未实施新的垃圾收运模式前，</w:t>
      </w:r>
      <w:r>
        <w:rPr>
          <w:rFonts w:hint="eastAsia" w:ascii="仿宋" w:hAnsi="仿宋" w:eastAsia="仿宋" w:cs="仿宋"/>
          <w:color w:val="auto"/>
          <w:sz w:val="24"/>
          <w:highlight w:val="none"/>
        </w:rPr>
        <w:t>村里不少于每周二次对垃圾分类工作进行督查，发现存在农户门口垃圾分类桶未收集的，告知后2小时内必须进行收集。若出现连续两天及以上未上门收集的，每发现一户扣100元（告知以照片为准），直接在当月保洁费中扣除。如若未按要求按期整改到位的，则发现一次扣500元。</w:t>
      </w:r>
    </w:p>
    <w:p w14:paraId="3C140533">
      <w:pPr>
        <w:spacing w:line="460" w:lineRule="exact"/>
        <w:ind w:firstLine="480" w:firstLineChars="200"/>
        <w:rPr>
          <w:rFonts w:hint="eastAsia" w:ascii="仿宋" w:hAnsi="仿宋" w:eastAsia="仿宋" w:cs="仿宋"/>
          <w:color w:val="auto"/>
          <w:sz w:val="24"/>
          <w:highlight w:val="none"/>
          <w:shd w:val="clear" w:color="FFFFFF" w:fill="D9D9D9"/>
        </w:rPr>
      </w:pPr>
      <w:r>
        <w:rPr>
          <w:rFonts w:hint="eastAsia" w:ascii="仿宋" w:hAnsi="仿宋" w:eastAsia="仿宋" w:cs="仿宋"/>
          <w:color w:val="auto"/>
          <w:sz w:val="24"/>
          <w:highlight w:val="none"/>
          <w:lang w:val="en-US" w:eastAsia="zh-CN"/>
        </w:rPr>
        <w:t>2.7依据党湾镇行政村（社区）季度考核标准排名在1-10名不奖不罚，11-19名扣除季度保洁费的5%。</w:t>
      </w:r>
    </w:p>
    <w:p w14:paraId="4CEC0DD8">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3.▲付款方式：</w:t>
      </w:r>
      <w:r>
        <w:rPr>
          <w:rFonts w:hint="eastAsia" w:ascii="仿宋" w:hAnsi="仿宋" w:eastAsia="仿宋" w:cs="仿宋"/>
          <w:color w:val="auto"/>
          <w:sz w:val="24"/>
          <w:highlight w:val="none"/>
          <w:lang w:val="en-US" w:eastAsia="zh-CN"/>
        </w:rPr>
        <w:t>款项结付实行按季结算，季支付保洁费=成交价÷8-村督查扣款-镇排名落后扣款。</w:t>
      </w:r>
    </w:p>
    <w:p w14:paraId="5ED6E2B9">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4.▲履约保证金：中标人在签订合同前向采购人交纳履约保证金</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rPr>
        <w:t>万元，履约保证金至合同履行完毕后无息退还。</w:t>
      </w:r>
    </w:p>
    <w:p w14:paraId="085F9582">
      <w:pPr>
        <w:jc w:val="left"/>
        <w:rPr>
          <w:rFonts w:hint="eastAsia" w:ascii="仿宋" w:hAnsi="仿宋" w:eastAsia="仿宋" w:cs="仿宋"/>
          <w:b/>
          <w:color w:val="auto"/>
          <w:sz w:val="24"/>
          <w:highlight w:val="none"/>
        </w:rPr>
      </w:pPr>
    </w:p>
    <w:p w14:paraId="552558FE">
      <w:pPr>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附件：考核细则</w:t>
      </w:r>
    </w:p>
    <w:p w14:paraId="38C33632">
      <w:pPr>
        <w:rPr>
          <w:rFonts w:hint="eastAsia" w:ascii="仿宋" w:hAnsi="仿宋" w:eastAsia="仿宋" w:cs="仿宋"/>
          <w:color w:val="auto"/>
          <w:sz w:val="24"/>
          <w:highlight w:val="none"/>
        </w:rPr>
      </w:pPr>
    </w:p>
    <w:p w14:paraId="2413B2D6">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一、根据《杭州市城市市容和环境卫生管理条例》、《杭州城市环卫行业标准化管理评分标准》及《杭州市萧山区镇容镇貌管理标准》（试行）规定，结合本村实际，制度本办法。</w:t>
      </w:r>
    </w:p>
    <w:p w14:paraId="3853AF16">
      <w:pPr>
        <w:spacing w:line="360" w:lineRule="auto"/>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1、考核标准</w:t>
      </w:r>
    </w:p>
    <w:p w14:paraId="4A49CE25">
      <w:pPr>
        <w:spacing w:line="360" w:lineRule="auto"/>
        <w:ind w:firstLine="491" w:firstLineChars="205"/>
        <w:rPr>
          <w:rFonts w:hint="eastAsia" w:ascii="仿宋" w:hAnsi="仿宋" w:eastAsia="仿宋" w:cs="仿宋"/>
          <w:sz w:val="24"/>
        </w:rPr>
      </w:pPr>
      <w:r>
        <w:rPr>
          <w:rFonts w:hint="eastAsia" w:ascii="仿宋" w:hAnsi="仿宋" w:eastAsia="仿宋" w:cs="仿宋"/>
          <w:color w:val="auto"/>
          <w:sz w:val="24"/>
          <w:highlight w:val="none"/>
        </w:rPr>
        <w:t>甲方对乙方作业情况进行检查考核的方式分为日常巡查和季度检查两种形式，采取明查与暗访相结合的方式进行。甲方对检查中发现的问题以下发的《巡</w:t>
      </w:r>
      <w:r>
        <w:rPr>
          <w:rFonts w:hint="eastAsia" w:ascii="仿宋" w:hAnsi="仿宋" w:eastAsia="仿宋" w:cs="仿宋"/>
          <w:sz w:val="24"/>
        </w:rPr>
        <w:t>查考核整改处罚告知单》形式及时告知乙方限期整改，按考核评比标准扣分，并根据考核成绩在承包经费中对乙方进行扣罚。</w:t>
      </w:r>
    </w:p>
    <w:p w14:paraId="793F744B">
      <w:pPr>
        <w:spacing w:line="360" w:lineRule="auto"/>
        <w:ind w:firstLine="491" w:firstLineChars="205"/>
        <w:rPr>
          <w:rFonts w:hint="eastAsia" w:ascii="仿宋" w:hAnsi="仿宋" w:eastAsia="仿宋" w:cs="仿宋"/>
          <w:sz w:val="24"/>
        </w:rPr>
      </w:pPr>
      <w:r>
        <w:rPr>
          <w:rFonts w:hint="eastAsia" w:ascii="仿宋" w:hAnsi="仿宋" w:eastAsia="仿宋" w:cs="仿宋"/>
          <w:sz w:val="24"/>
        </w:rPr>
        <w:t>2、考核分值及合同终止</w:t>
      </w:r>
    </w:p>
    <w:p w14:paraId="38122A03">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对乙方作业情况分项目实行百分考核（详见评分标准）。每季度考核一次（指3个月）。90分及以上为达标。第一季度考核分低于80分的予以告诫处理，第二季度仍低于70分的甲方有权单方终止合同（包括存在其他重大问题，不宜继续履行合同的）。乙方单方面终止合同则履约保证金不予归还并承担相关损失。</w:t>
      </w:r>
    </w:p>
    <w:p w14:paraId="3ED77EF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3、评分标准及考核办法</w:t>
      </w:r>
    </w:p>
    <w:p w14:paraId="4C2635D4">
      <w:pPr>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（1）巡查中发现的问题，由业务部门下发《巡查抄告单》并按评分标准给予扣分。责任单位应限期完成整改，超过二日未整改的扣2分；同一问题二次抄告的扣4分，三次以上抄告的翻倍扣分。</w:t>
      </w:r>
    </w:p>
    <w:p w14:paraId="08C25605">
      <w:pPr>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2）巡查中发现的问题，被镇级部门抄告、新闻单位曝光的，每次扣500元；在镇级季度考核中发出告知单，每次扣1000元。被区级部门抄告、新闻单位曝光的，每次扣2000元，被市级以上部门抄告、新闻单位曝光的，每次扣5000元。</w:t>
      </w:r>
    </w:p>
    <w:p w14:paraId="34660FB0">
      <w:pPr>
        <w:ind w:firstLine="435"/>
        <w:rPr>
          <w:rFonts w:hint="eastAsia" w:ascii="仿宋" w:hAnsi="仿宋" w:eastAsia="仿宋" w:cs="仿宋"/>
          <w:color w:val="000000"/>
          <w:sz w:val="24"/>
        </w:rPr>
      </w:pPr>
    </w:p>
    <w:p w14:paraId="42898352">
      <w:pPr>
        <w:ind w:firstLine="435"/>
        <w:rPr>
          <w:rFonts w:hint="eastAsia" w:ascii="仿宋" w:hAnsi="仿宋" w:eastAsia="仿宋" w:cs="仿宋"/>
          <w:color w:val="000000"/>
          <w:sz w:val="24"/>
        </w:rPr>
      </w:pPr>
      <w:r>
        <w:rPr>
          <w:rFonts w:hint="eastAsia" w:ascii="仿宋" w:hAnsi="仿宋" w:eastAsia="仿宋" w:cs="仿宋"/>
          <w:color w:val="000000"/>
          <w:sz w:val="24"/>
        </w:rPr>
        <w:t>（3）环卫保洁考核评分标准：</w:t>
      </w:r>
    </w:p>
    <w:tbl>
      <w:tblPr>
        <w:tblStyle w:val="63"/>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392"/>
        <w:gridCol w:w="4877"/>
      </w:tblGrid>
      <w:tr w14:paraId="34EE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32E9CB8">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项目</w:t>
            </w:r>
          </w:p>
        </w:tc>
        <w:tc>
          <w:tcPr>
            <w:tcW w:w="4392" w:type="dxa"/>
            <w:tcBorders>
              <w:top w:val="single" w:color="auto" w:sz="4" w:space="0"/>
              <w:left w:val="single" w:color="auto" w:sz="4" w:space="0"/>
              <w:bottom w:val="single" w:color="auto" w:sz="4" w:space="0"/>
              <w:right w:val="single" w:color="auto" w:sz="4" w:space="0"/>
            </w:tcBorders>
            <w:noWrap w:val="0"/>
            <w:vAlign w:val="center"/>
          </w:tcPr>
          <w:p w14:paraId="553C3F21">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考核内容及要求</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1E077C8D">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评分标准</w:t>
            </w:r>
          </w:p>
        </w:tc>
      </w:tr>
      <w:tr w14:paraId="1141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14:paraId="09950908">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台帐资料</w:t>
            </w:r>
          </w:p>
          <w:p w14:paraId="1AF93D36">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3</w:t>
            </w:r>
          </w:p>
          <w:p w14:paraId="6558E706">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分</w:t>
            </w:r>
          </w:p>
        </w:tc>
        <w:tc>
          <w:tcPr>
            <w:tcW w:w="4392" w:type="dxa"/>
            <w:tcBorders>
              <w:top w:val="single" w:color="auto" w:sz="4" w:space="0"/>
              <w:left w:val="single" w:color="auto" w:sz="4" w:space="0"/>
              <w:bottom w:val="single" w:color="auto" w:sz="4" w:space="0"/>
              <w:right w:val="single" w:color="auto" w:sz="4" w:space="0"/>
            </w:tcBorders>
            <w:noWrap w:val="0"/>
            <w:vAlign w:val="center"/>
          </w:tcPr>
          <w:p w14:paraId="40241F94">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1.层层落实管理责任制。</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7BBA201B">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1.未落实责任制的扣1分</w:t>
            </w:r>
          </w:p>
        </w:tc>
      </w:tr>
      <w:tr w14:paraId="06FB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501089F5">
            <w:pPr>
              <w:widowControl/>
              <w:spacing w:line="300" w:lineRule="exact"/>
              <w:jc w:val="left"/>
              <w:rPr>
                <w:rFonts w:hint="eastAsia" w:ascii="仿宋" w:hAnsi="仿宋" w:eastAsia="仿宋" w:cs="仿宋"/>
                <w:color w:val="00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488C595E">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2.按行业要求建好台帐。</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5541315B">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2.台帐每缺一项扣0.5分。</w:t>
            </w:r>
          </w:p>
        </w:tc>
      </w:tr>
      <w:tr w14:paraId="002D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06B6D57B">
            <w:pPr>
              <w:widowControl/>
              <w:spacing w:line="300" w:lineRule="exact"/>
              <w:jc w:val="left"/>
              <w:rPr>
                <w:rFonts w:hint="eastAsia" w:ascii="仿宋" w:hAnsi="仿宋" w:eastAsia="仿宋" w:cs="仿宋"/>
                <w:color w:val="00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4774E219">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3.集体财产登记造册</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0EBFCF78">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3.未登记造册扣1分。</w:t>
            </w:r>
          </w:p>
        </w:tc>
      </w:tr>
      <w:tr w14:paraId="6A69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14:paraId="692EF939">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管理指标落实情况15分</w:t>
            </w:r>
          </w:p>
        </w:tc>
        <w:tc>
          <w:tcPr>
            <w:tcW w:w="4392" w:type="dxa"/>
            <w:tcBorders>
              <w:top w:val="single" w:color="auto" w:sz="4" w:space="0"/>
              <w:left w:val="single" w:color="auto" w:sz="4" w:space="0"/>
              <w:bottom w:val="single" w:color="auto" w:sz="4" w:space="0"/>
              <w:right w:val="single" w:color="auto" w:sz="4" w:space="0"/>
            </w:tcBorders>
            <w:noWrap w:val="0"/>
            <w:vAlign w:val="center"/>
          </w:tcPr>
          <w:p w14:paraId="7482A444">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4.按照行业标准化管理指标要求落实道路保洁时间</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3A46E70F">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4.道路保洁时间未达到规定时间要求的，每条道路每次扣0.5分</w:t>
            </w:r>
          </w:p>
        </w:tc>
      </w:tr>
      <w:tr w14:paraId="2972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7C37D9BF">
            <w:pPr>
              <w:widowControl/>
              <w:spacing w:line="300" w:lineRule="exact"/>
              <w:jc w:val="left"/>
              <w:rPr>
                <w:rFonts w:hint="eastAsia" w:ascii="仿宋" w:hAnsi="仿宋" w:eastAsia="仿宋" w:cs="仿宋"/>
                <w:color w:val="00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56C3E825">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5.按照行业标准化管理指标要求落实道路清扫作业频次，道路清扫作业应实行全路段清扫。</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55195F78">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5.道路清扫频次未达到规定要求的，每条道路每日清扫频次每少1次扣0.5分，清扫作业未覆盖全路段的扣0.5分。</w:t>
            </w:r>
          </w:p>
        </w:tc>
      </w:tr>
      <w:tr w14:paraId="014B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14:paraId="72411B74">
            <w:pPr>
              <w:spacing w:line="300" w:lineRule="exact"/>
              <w:jc w:val="center"/>
              <w:rPr>
                <w:rFonts w:hint="eastAsia" w:ascii="仿宋" w:hAnsi="仿宋" w:eastAsia="仿宋" w:cs="仿宋"/>
                <w:sz w:val="24"/>
              </w:rPr>
            </w:pPr>
            <w:r>
              <w:rPr>
                <w:rFonts w:hint="eastAsia" w:ascii="仿宋" w:hAnsi="仿宋" w:eastAsia="仿宋" w:cs="仿宋"/>
                <w:sz w:val="24"/>
              </w:rPr>
              <w:t>道路保洁质量情况</w:t>
            </w:r>
          </w:p>
          <w:p w14:paraId="50AA6264">
            <w:pPr>
              <w:spacing w:line="300" w:lineRule="exact"/>
              <w:jc w:val="center"/>
              <w:rPr>
                <w:rFonts w:hint="eastAsia" w:ascii="仿宋" w:hAnsi="仿宋" w:eastAsia="仿宋" w:cs="仿宋"/>
                <w:sz w:val="24"/>
              </w:rPr>
            </w:pPr>
            <w:r>
              <w:rPr>
                <w:rFonts w:hint="eastAsia" w:ascii="仿宋" w:hAnsi="仿宋" w:eastAsia="仿宋" w:cs="仿宋"/>
                <w:sz w:val="24"/>
              </w:rPr>
              <w:t>33分</w:t>
            </w:r>
          </w:p>
          <w:p w14:paraId="6148E93E">
            <w:pPr>
              <w:spacing w:line="300" w:lineRule="exact"/>
              <w:jc w:val="center"/>
              <w:rPr>
                <w:rFonts w:hint="eastAsia" w:ascii="仿宋" w:hAnsi="仿宋" w:eastAsia="仿宋" w:cs="仿宋"/>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5CBD5E8E">
            <w:pPr>
              <w:spacing w:line="300" w:lineRule="exact"/>
              <w:rPr>
                <w:rFonts w:hint="eastAsia" w:ascii="仿宋" w:hAnsi="仿宋" w:eastAsia="仿宋" w:cs="仿宋"/>
                <w:sz w:val="24"/>
              </w:rPr>
            </w:pPr>
            <w:r>
              <w:rPr>
                <w:rFonts w:hint="eastAsia" w:ascii="仿宋" w:hAnsi="仿宋" w:eastAsia="仿宋" w:cs="仿宋"/>
                <w:sz w:val="24"/>
              </w:rPr>
              <w:t>6.路面无垃圾、无杂物、无积泥(沙石)，晴天无积水。雨水井沟眼畅通干净，树圈清洁无杂物和垃圾，人行道板及各类井盖缝隙无垃圾、杂物</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67920265">
            <w:pPr>
              <w:spacing w:line="300" w:lineRule="exact"/>
              <w:rPr>
                <w:rFonts w:hint="eastAsia" w:ascii="仿宋" w:hAnsi="仿宋" w:eastAsia="仿宋" w:cs="仿宋"/>
                <w:sz w:val="24"/>
              </w:rPr>
            </w:pPr>
            <w:r>
              <w:rPr>
                <w:rFonts w:hint="eastAsia" w:ascii="仿宋" w:hAnsi="仿宋" w:eastAsia="仿宋" w:cs="仿宋"/>
                <w:sz w:val="24"/>
              </w:rPr>
              <w:t>6.路面有色垃圾、杂物&lt;3M</w:t>
            </w:r>
            <w:r>
              <w:rPr>
                <w:rFonts w:hint="eastAsia" w:ascii="仿宋" w:hAnsi="仿宋" w:eastAsia="仿宋" w:cs="仿宋"/>
                <w:sz w:val="24"/>
                <w:vertAlign w:val="superscript"/>
              </w:rPr>
              <w:t>2</w:t>
            </w:r>
            <w:r>
              <w:rPr>
                <w:rFonts w:hint="eastAsia" w:ascii="仿宋" w:hAnsi="仿宋" w:eastAsia="仿宋" w:cs="仿宋"/>
                <w:sz w:val="24"/>
              </w:rPr>
              <w:t>的每处扣O．2分，≥3M</w:t>
            </w:r>
            <w:r>
              <w:rPr>
                <w:rFonts w:hint="eastAsia" w:ascii="仿宋" w:hAnsi="仿宋" w:eastAsia="仿宋" w:cs="仿宋"/>
                <w:sz w:val="24"/>
                <w:vertAlign w:val="superscript"/>
              </w:rPr>
              <w:t>2</w:t>
            </w:r>
            <w:r>
              <w:rPr>
                <w:rFonts w:hint="eastAsia" w:ascii="仿宋" w:hAnsi="仿宋" w:eastAsia="仿宋" w:cs="仿宋"/>
                <w:sz w:val="24"/>
              </w:rPr>
              <w:t>的每处扣0.4分，有成堆垃圾的每处扣0.5分。</w:t>
            </w:r>
          </w:p>
          <w:p w14:paraId="4E0146D1">
            <w:pPr>
              <w:spacing w:line="300" w:lineRule="exact"/>
              <w:rPr>
                <w:rFonts w:hint="eastAsia" w:ascii="仿宋" w:hAnsi="仿宋" w:eastAsia="仿宋" w:cs="仿宋"/>
                <w:sz w:val="24"/>
              </w:rPr>
            </w:pPr>
            <w:r>
              <w:rPr>
                <w:rFonts w:hint="eastAsia" w:ascii="仿宋" w:hAnsi="仿宋" w:eastAsia="仿宋" w:cs="仿宋"/>
                <w:sz w:val="24"/>
              </w:rPr>
              <w:t>雨水井沟眼有积泥(嵌石)的每处扣0.2分，树圈有杂物、垃圾的每处扣0.2分。</w:t>
            </w:r>
          </w:p>
          <w:p w14:paraId="2F1B96CF">
            <w:pPr>
              <w:spacing w:line="300" w:lineRule="exact"/>
              <w:rPr>
                <w:rFonts w:hint="eastAsia" w:ascii="仿宋" w:hAnsi="仿宋" w:eastAsia="仿宋" w:cs="仿宋"/>
                <w:sz w:val="24"/>
              </w:rPr>
            </w:pPr>
            <w:r>
              <w:rPr>
                <w:rFonts w:hint="eastAsia" w:ascii="仿宋" w:hAnsi="仿宋" w:eastAsia="仿宋" w:cs="仿宋"/>
                <w:sz w:val="24"/>
              </w:rPr>
              <w:t>道路积泥(沙石)长度&lt;2米的每处扣0.2分，≥2米的每处扣0.5分。</w:t>
            </w:r>
          </w:p>
          <w:p w14:paraId="41D041F7">
            <w:pPr>
              <w:spacing w:line="300" w:lineRule="exact"/>
              <w:rPr>
                <w:rFonts w:hint="eastAsia" w:ascii="仿宋" w:hAnsi="仿宋" w:eastAsia="仿宋" w:cs="仿宋"/>
                <w:sz w:val="24"/>
              </w:rPr>
            </w:pPr>
            <w:r>
              <w:rPr>
                <w:rFonts w:hint="eastAsia" w:ascii="仿宋" w:hAnsi="仿宋" w:eastAsia="仿宋" w:cs="仿宋"/>
                <w:sz w:val="24"/>
              </w:rPr>
              <w:t>道路晴天积水&lt;3M</w:t>
            </w:r>
            <w:r>
              <w:rPr>
                <w:rFonts w:hint="eastAsia" w:ascii="仿宋" w:hAnsi="仿宋" w:eastAsia="仿宋" w:cs="仿宋"/>
                <w:sz w:val="24"/>
                <w:vertAlign w:val="superscript"/>
              </w:rPr>
              <w:t>2</w:t>
            </w:r>
            <w:r>
              <w:rPr>
                <w:rFonts w:hint="eastAsia" w:ascii="仿宋" w:hAnsi="仿宋" w:eastAsia="仿宋" w:cs="仿宋"/>
                <w:sz w:val="24"/>
              </w:rPr>
              <w:t>的每处扣0．2分，≥3M</w:t>
            </w:r>
            <w:r>
              <w:rPr>
                <w:rFonts w:hint="eastAsia" w:ascii="仿宋" w:hAnsi="仿宋" w:eastAsia="仿宋" w:cs="仿宋"/>
                <w:sz w:val="24"/>
                <w:vertAlign w:val="superscript"/>
              </w:rPr>
              <w:t>2</w:t>
            </w:r>
            <w:r>
              <w:rPr>
                <w:rFonts w:hint="eastAsia" w:ascii="仿宋" w:hAnsi="仿宋" w:eastAsia="仿宋" w:cs="仿宋"/>
                <w:sz w:val="24"/>
              </w:rPr>
              <w:t>的每处扣0.5分，冬季路面积水导致路面结冰的每处扣0.5分，导致有责交通事故的每次扣1分。</w:t>
            </w:r>
          </w:p>
          <w:p w14:paraId="1CC58B41">
            <w:pPr>
              <w:spacing w:line="300" w:lineRule="exact"/>
              <w:rPr>
                <w:rFonts w:hint="eastAsia" w:ascii="仿宋" w:hAnsi="仿宋" w:eastAsia="仿宋" w:cs="仿宋"/>
                <w:sz w:val="24"/>
              </w:rPr>
            </w:pPr>
            <w:r>
              <w:rPr>
                <w:rFonts w:hint="eastAsia" w:ascii="仿宋" w:hAnsi="仿宋" w:eastAsia="仿宋" w:cs="仿宋"/>
                <w:sz w:val="24"/>
              </w:rPr>
              <w:t>人行道板间、人行道各类井盖间的缝隙有垃圾、杂物的每次扣0.2分。</w:t>
            </w:r>
          </w:p>
        </w:tc>
      </w:tr>
      <w:tr w14:paraId="4E22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69F85EE7">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2D1E39B2">
            <w:pPr>
              <w:spacing w:line="300" w:lineRule="exact"/>
              <w:jc w:val="both"/>
              <w:rPr>
                <w:rFonts w:hint="eastAsia" w:ascii="仿宋" w:hAnsi="仿宋" w:eastAsia="仿宋" w:cs="仿宋"/>
                <w:sz w:val="24"/>
              </w:rPr>
            </w:pPr>
            <w:r>
              <w:rPr>
                <w:rFonts w:hint="eastAsia" w:ascii="仿宋" w:hAnsi="仿宋" w:eastAsia="仿宋" w:cs="仿宋"/>
                <w:sz w:val="24"/>
              </w:rPr>
              <w:t>7.道路绿地(含车道绿化隔离带、人行道绿地)保洁应与道路保洁同步，做到绿化带内无杂物、无垃圾。</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07F0F9F2">
            <w:pPr>
              <w:spacing w:line="300" w:lineRule="exact"/>
              <w:rPr>
                <w:rFonts w:hint="eastAsia" w:ascii="仿宋" w:hAnsi="仿宋" w:eastAsia="仿宋" w:cs="仿宋"/>
                <w:sz w:val="24"/>
              </w:rPr>
            </w:pPr>
            <w:r>
              <w:rPr>
                <w:rFonts w:hint="eastAsia" w:ascii="仿宋" w:hAnsi="仿宋" w:eastAsia="仿宋" w:cs="仿宋"/>
                <w:sz w:val="24"/>
              </w:rPr>
              <w:t>7.道路绿地内有杂物、垃圾的每处扣0.2分，有成堆积存垃圾的每处扣0．5分。</w:t>
            </w:r>
          </w:p>
        </w:tc>
      </w:tr>
      <w:tr w14:paraId="4F1A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0BDACCEB">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0985546A">
            <w:pPr>
              <w:spacing w:line="300" w:lineRule="exact"/>
              <w:rPr>
                <w:rFonts w:hint="eastAsia" w:ascii="仿宋" w:hAnsi="仿宋" w:eastAsia="仿宋" w:cs="仿宋"/>
                <w:sz w:val="24"/>
              </w:rPr>
            </w:pPr>
            <w:r>
              <w:rPr>
                <w:rFonts w:hint="eastAsia" w:ascii="仿宋" w:hAnsi="仿宋" w:eastAsia="仿宋" w:cs="仿宋"/>
                <w:sz w:val="24"/>
              </w:rPr>
              <w:t>8.沿路垃圾分类箱旧衣服回收箱无歪斜、无破损，无积存垃圾，农户垃圾桶无破损，垃圾日产日清。果壳箱、垃圾桶、垃圾中转房内外清洁无污垢、无垃圾满溢现象，无箱(桶、房)外暴露垃圾。</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2D12CAA4">
            <w:pPr>
              <w:spacing w:line="300" w:lineRule="exact"/>
              <w:rPr>
                <w:rFonts w:hint="eastAsia" w:ascii="仿宋" w:hAnsi="仿宋" w:eastAsia="仿宋" w:cs="仿宋"/>
                <w:sz w:val="24"/>
              </w:rPr>
            </w:pPr>
            <w:r>
              <w:rPr>
                <w:rFonts w:hint="eastAsia" w:ascii="仿宋" w:hAnsi="仿宋" w:eastAsia="仿宋" w:cs="仿宋"/>
                <w:sz w:val="24"/>
              </w:rPr>
              <w:t>8.沿路垃圾分类箱歪斜的每只扣0.1分，倾斜、破损、缺失未及时上报的每只扣0.2分，垃圾未日产日清的每只扣0.2分。果壳箱、垃圾桶不洁有污垢的每处扣0.2分，垃圾满溢的每处扣0.5分，周围路面不洁有暴露垃圾、垃圾包和污水的每处扣0.5分。垃圾收集后垃圾桶未放回原处的每只扣0.5分。</w:t>
            </w:r>
          </w:p>
        </w:tc>
      </w:tr>
      <w:tr w14:paraId="41D3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490D58BD">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4A947168">
            <w:pPr>
              <w:spacing w:line="300" w:lineRule="exact"/>
              <w:rPr>
                <w:rFonts w:hint="eastAsia" w:ascii="仿宋" w:hAnsi="仿宋" w:eastAsia="仿宋" w:cs="仿宋"/>
                <w:sz w:val="24"/>
              </w:rPr>
            </w:pPr>
            <w:r>
              <w:rPr>
                <w:rFonts w:hint="eastAsia" w:ascii="仿宋" w:hAnsi="仿宋" w:eastAsia="仿宋" w:cs="仿宋"/>
                <w:sz w:val="24"/>
              </w:rPr>
              <w:t>9.道路清洗要做到机动车道、非机动车道、人行道路面见本色，无污迹，沿路果壳箱(垃圾箱、桶)等环卫设施无污垢、无积尘、无污水。</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3C18F877">
            <w:pPr>
              <w:spacing w:line="300" w:lineRule="exact"/>
              <w:jc w:val="both"/>
              <w:rPr>
                <w:rFonts w:hint="eastAsia" w:ascii="仿宋" w:hAnsi="仿宋" w:eastAsia="仿宋" w:cs="仿宋"/>
                <w:sz w:val="24"/>
              </w:rPr>
            </w:pPr>
            <w:r>
              <w:rPr>
                <w:rFonts w:hint="eastAsia" w:ascii="仿宋" w:hAnsi="仿宋" w:eastAsia="仿宋" w:cs="仿宋"/>
                <w:sz w:val="24"/>
              </w:rPr>
              <w:t>9.机动车道、非机动车道、人行道含（路边落田坡）路面污迹&lt;1M</w:t>
            </w:r>
            <w:r>
              <w:rPr>
                <w:rFonts w:hint="eastAsia" w:ascii="仿宋" w:hAnsi="仿宋" w:eastAsia="仿宋" w:cs="仿宋"/>
                <w:sz w:val="24"/>
                <w:vertAlign w:val="superscript"/>
              </w:rPr>
              <w:t>2</w:t>
            </w:r>
            <w:r>
              <w:rPr>
                <w:rFonts w:hint="eastAsia" w:ascii="仿宋" w:hAnsi="仿宋" w:eastAsia="仿宋" w:cs="仿宋"/>
                <w:sz w:val="24"/>
              </w:rPr>
              <w:t>的每处扣0.2分，≥1M</w:t>
            </w:r>
            <w:r>
              <w:rPr>
                <w:rFonts w:hint="eastAsia" w:ascii="仿宋" w:hAnsi="仿宋" w:eastAsia="仿宋" w:cs="仿宋"/>
                <w:sz w:val="24"/>
                <w:vertAlign w:val="superscript"/>
              </w:rPr>
              <w:t>2</w:t>
            </w:r>
            <w:r>
              <w:rPr>
                <w:rFonts w:hint="eastAsia" w:ascii="仿宋" w:hAnsi="仿宋" w:eastAsia="仿宋" w:cs="仿宋"/>
                <w:sz w:val="24"/>
              </w:rPr>
              <w:t>的每处扣0.5分。沿街果壳箱(垃圾箱、环卫设施清洗质量未达标，有污迹，积尘的每处扣0.1分。</w:t>
            </w:r>
          </w:p>
        </w:tc>
      </w:tr>
      <w:tr w14:paraId="12D8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14:paraId="2409F9B0">
            <w:pPr>
              <w:spacing w:line="300" w:lineRule="exact"/>
              <w:jc w:val="center"/>
              <w:rPr>
                <w:rFonts w:hint="eastAsia" w:ascii="仿宋" w:hAnsi="仿宋" w:eastAsia="仿宋" w:cs="仿宋"/>
                <w:sz w:val="24"/>
              </w:rPr>
            </w:pPr>
            <w:r>
              <w:rPr>
                <w:rFonts w:hint="eastAsia" w:ascii="仿宋" w:hAnsi="仿宋" w:eastAsia="仿宋" w:cs="仿宋"/>
                <w:sz w:val="24"/>
              </w:rPr>
              <w:t>作业规范执行情况26分</w:t>
            </w:r>
          </w:p>
        </w:tc>
        <w:tc>
          <w:tcPr>
            <w:tcW w:w="4392" w:type="dxa"/>
            <w:tcBorders>
              <w:top w:val="single" w:color="auto" w:sz="4" w:space="0"/>
              <w:left w:val="single" w:color="auto" w:sz="4" w:space="0"/>
              <w:bottom w:val="single" w:color="auto" w:sz="4" w:space="0"/>
              <w:right w:val="single" w:color="auto" w:sz="4" w:space="0"/>
            </w:tcBorders>
            <w:noWrap w:val="0"/>
            <w:vAlign w:val="center"/>
          </w:tcPr>
          <w:p w14:paraId="2BA2E1D4">
            <w:pPr>
              <w:spacing w:line="300" w:lineRule="exact"/>
              <w:rPr>
                <w:rFonts w:hint="eastAsia" w:ascii="仿宋" w:hAnsi="仿宋" w:eastAsia="仿宋" w:cs="仿宋"/>
                <w:sz w:val="24"/>
              </w:rPr>
            </w:pPr>
            <w:r>
              <w:rPr>
                <w:rFonts w:hint="eastAsia" w:ascii="仿宋" w:hAnsi="仿宋" w:eastAsia="仿宋" w:cs="仿宋"/>
                <w:sz w:val="24"/>
              </w:rPr>
              <w:t>10.严格按规定在每日上午9：30时前完成第一遍普扫和做好巡回保洁工作。作业期间保洁人员不得有离岗、脱岗、坐岗等现象。</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3AF37DB9">
            <w:pPr>
              <w:spacing w:line="300" w:lineRule="exact"/>
              <w:ind w:firstLine="103" w:firstLineChars="43"/>
              <w:rPr>
                <w:rFonts w:hint="eastAsia" w:ascii="仿宋" w:hAnsi="仿宋" w:eastAsia="仿宋" w:cs="仿宋"/>
                <w:sz w:val="24"/>
              </w:rPr>
            </w:pPr>
            <w:r>
              <w:rPr>
                <w:rFonts w:hint="eastAsia" w:ascii="仿宋" w:hAnsi="仿宋" w:eastAsia="仿宋" w:cs="仿宋"/>
                <w:sz w:val="24"/>
              </w:rPr>
              <w:t>10.未在规定时间内完成第一遍普扫的每条道路扣0.5分，未巡回保洁的每条道路扫0.3分，清扫保洁人员立岗、脱岗、坐岗的每项扣0.3分。</w:t>
            </w:r>
          </w:p>
        </w:tc>
      </w:tr>
      <w:tr w14:paraId="6AA7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4AAA316C">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5B811188">
            <w:pPr>
              <w:spacing w:line="300" w:lineRule="exact"/>
              <w:rPr>
                <w:rFonts w:hint="eastAsia" w:ascii="仿宋" w:hAnsi="仿宋" w:eastAsia="仿宋" w:cs="仿宋"/>
                <w:sz w:val="24"/>
              </w:rPr>
            </w:pPr>
            <w:r>
              <w:rPr>
                <w:rFonts w:hint="eastAsia" w:ascii="仿宋" w:hAnsi="仿宋" w:eastAsia="仿宋" w:cs="仿宋"/>
                <w:sz w:val="24"/>
              </w:rPr>
              <w:t>11.人工保洁作业时，道路、人行道(含道路边落田坡)不得漏扫、反扫，垃圾应归拢、归堆并清除彻底，垃圾不得扫入窨井、河道、渠、沟。</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5A84CAD6">
            <w:pPr>
              <w:spacing w:line="300" w:lineRule="exact"/>
              <w:rPr>
                <w:rFonts w:hint="eastAsia" w:ascii="仿宋" w:hAnsi="仿宋" w:eastAsia="仿宋" w:cs="仿宋"/>
                <w:sz w:val="24"/>
              </w:rPr>
            </w:pPr>
            <w:r>
              <w:rPr>
                <w:rFonts w:hint="eastAsia" w:ascii="仿宋" w:hAnsi="仿宋" w:eastAsia="仿宋" w:cs="仿宋"/>
                <w:sz w:val="24"/>
              </w:rPr>
              <w:t>11.道路、人行道(含道路边落田坡)漏扫、反扫的每处扣0．2分，垃圾归拢、归堆未清除的每处扣0.2分，清除不彻底的每处扣0.2分，垃圾扫入窨井、河道、渠沟的每次扣0.5分。</w:t>
            </w:r>
          </w:p>
        </w:tc>
      </w:tr>
      <w:tr w14:paraId="78C0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33931FE2">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099D3D4E">
            <w:pPr>
              <w:spacing w:line="300" w:lineRule="exact"/>
              <w:rPr>
                <w:rFonts w:hint="eastAsia" w:ascii="仿宋" w:hAnsi="仿宋" w:eastAsia="仿宋" w:cs="仿宋"/>
                <w:sz w:val="24"/>
              </w:rPr>
            </w:pPr>
            <w:r>
              <w:rPr>
                <w:rFonts w:hint="eastAsia" w:ascii="仿宋" w:hAnsi="仿宋" w:eastAsia="仿宋" w:cs="仿宋"/>
                <w:sz w:val="24"/>
              </w:rPr>
              <w:t>12.垃圾应倾倒在规定地点，不得焚烧垃圾、树叶。落叶旺季做到及时清扫，并按指定地点堆放和转运。</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658A8C42">
            <w:pPr>
              <w:spacing w:line="300" w:lineRule="exact"/>
              <w:rPr>
                <w:rFonts w:hint="eastAsia" w:ascii="仿宋" w:hAnsi="仿宋" w:eastAsia="仿宋" w:cs="仿宋"/>
                <w:sz w:val="24"/>
              </w:rPr>
            </w:pPr>
            <w:r>
              <w:rPr>
                <w:rFonts w:hint="eastAsia" w:ascii="仿宋" w:hAnsi="仿宋" w:eastAsia="仿宋" w:cs="仿宋"/>
                <w:sz w:val="24"/>
              </w:rPr>
              <w:t>12.垃圾未倾倒在规定地点或焚烧垃圾、树叶的每次扣1分。落叶旺季未及时清扫落叶的每条道路扣0.5分，未按指定必堆放转运树叶的每次扣0.5分。</w:t>
            </w:r>
          </w:p>
        </w:tc>
      </w:tr>
      <w:tr w14:paraId="235D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26CE789E">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070C0FAA">
            <w:pPr>
              <w:spacing w:line="300" w:lineRule="exact"/>
              <w:rPr>
                <w:rFonts w:hint="eastAsia" w:ascii="仿宋" w:hAnsi="仿宋" w:eastAsia="仿宋" w:cs="仿宋"/>
                <w:sz w:val="24"/>
              </w:rPr>
            </w:pPr>
            <w:r>
              <w:rPr>
                <w:rFonts w:hint="eastAsia" w:ascii="仿宋" w:hAnsi="仿宋" w:eastAsia="仿宋" w:cs="仿宋"/>
                <w:sz w:val="24"/>
              </w:rPr>
              <w:t>13.打捞渠、沟漂浮物，清运秸杆、其他垃圾及时。</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3B4CCABB">
            <w:pPr>
              <w:spacing w:line="300" w:lineRule="exact"/>
              <w:rPr>
                <w:rFonts w:hint="eastAsia" w:ascii="仿宋" w:hAnsi="仿宋" w:eastAsia="仿宋" w:cs="仿宋"/>
                <w:sz w:val="24"/>
              </w:rPr>
            </w:pPr>
            <w:r>
              <w:rPr>
                <w:rFonts w:hint="eastAsia" w:ascii="仿宋" w:hAnsi="仿宋" w:eastAsia="仿宋" w:cs="仿宋"/>
                <w:sz w:val="24"/>
              </w:rPr>
              <w:t>13. 打捞渠、沟漂浮物要成堆堆放，不成堆堆放的每次扣0.5分，清运不及时的每次扣0.5分，秸杆及其他垃圾清运不及时次扣0.5分。</w:t>
            </w:r>
          </w:p>
        </w:tc>
      </w:tr>
      <w:tr w14:paraId="30D7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6B6E3227">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1B6231D4">
            <w:pPr>
              <w:spacing w:line="300" w:lineRule="exact"/>
              <w:rPr>
                <w:rFonts w:hint="eastAsia" w:ascii="仿宋" w:hAnsi="仿宋" w:eastAsia="仿宋" w:cs="仿宋"/>
                <w:sz w:val="24"/>
              </w:rPr>
            </w:pPr>
            <w:r>
              <w:rPr>
                <w:rFonts w:hint="eastAsia" w:ascii="仿宋" w:hAnsi="仿宋" w:eastAsia="仿宋" w:cs="仿宋"/>
                <w:sz w:val="24"/>
              </w:rPr>
              <w:t>14.环卫专业车辆外观整洁。垃圾清运车(含机动车、非机动车)实行密闭运输，无破损、无垃圾抛洒、无污水滴漏、车厢外无吊挂。人力清扫专用的车厢后栏板处设置规范的荧光交通警示标志。</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2C0AB9DC">
            <w:pPr>
              <w:spacing w:line="300" w:lineRule="exact"/>
              <w:rPr>
                <w:rFonts w:hint="eastAsia" w:ascii="仿宋" w:hAnsi="仿宋" w:eastAsia="仿宋" w:cs="仿宋"/>
                <w:sz w:val="24"/>
              </w:rPr>
            </w:pPr>
            <w:r>
              <w:rPr>
                <w:rFonts w:hint="eastAsia" w:ascii="仿宋" w:hAnsi="仿宋" w:eastAsia="仿宋" w:cs="仿宋"/>
                <w:sz w:val="24"/>
              </w:rPr>
              <w:t>14.环卫专用车辆外观不洁的每年扣0．5分。垃圾清运车未实行密闭运输发生抛洒滴漏污染路面的、车辆破损的、车厢外有吊挂的每年／次扣0.5分。人力清扫专用车的车厢后栏板处未设置规范的荧光交通警示标志的每车／次扣0.5分</w:t>
            </w:r>
          </w:p>
        </w:tc>
      </w:tr>
      <w:tr w14:paraId="5C65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63D78421">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26CFF3B3">
            <w:pPr>
              <w:spacing w:line="300" w:lineRule="exact"/>
              <w:rPr>
                <w:rFonts w:hint="eastAsia" w:ascii="仿宋" w:hAnsi="仿宋" w:eastAsia="仿宋" w:cs="仿宋"/>
                <w:sz w:val="24"/>
              </w:rPr>
            </w:pPr>
            <w:r>
              <w:rPr>
                <w:rFonts w:hint="eastAsia" w:ascii="仿宋" w:hAnsi="仿宋" w:eastAsia="仿宋" w:cs="仿宋"/>
                <w:sz w:val="24"/>
              </w:rPr>
              <w:t>15.保洁人员在道路清扫保洁作业时须穿反光安全背心，并佩证上岗。</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238A6337">
            <w:pPr>
              <w:spacing w:line="300" w:lineRule="exact"/>
              <w:rPr>
                <w:rFonts w:hint="eastAsia" w:ascii="仿宋" w:hAnsi="仿宋" w:eastAsia="仿宋" w:cs="仿宋"/>
                <w:sz w:val="24"/>
              </w:rPr>
            </w:pPr>
            <w:r>
              <w:rPr>
                <w:rFonts w:hint="eastAsia" w:ascii="仿宋" w:hAnsi="仿宋" w:eastAsia="仿宋" w:cs="仿宋"/>
                <w:sz w:val="24"/>
              </w:rPr>
              <w:t>15.保洁人员作业时未穿反光安全背心的每人／次扣0．2分，未佩证上岗的每人／次扣0．1分。</w:t>
            </w:r>
          </w:p>
        </w:tc>
      </w:tr>
      <w:tr w14:paraId="08C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09BA92FB">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327F01E8">
            <w:pPr>
              <w:spacing w:line="300" w:lineRule="exact"/>
              <w:rPr>
                <w:rFonts w:hint="eastAsia" w:ascii="仿宋" w:hAnsi="仿宋" w:eastAsia="仿宋" w:cs="仿宋"/>
                <w:sz w:val="24"/>
              </w:rPr>
            </w:pPr>
            <w:r>
              <w:rPr>
                <w:rFonts w:hint="eastAsia" w:ascii="仿宋" w:hAnsi="仿宋" w:eastAsia="仿宋" w:cs="仿宋"/>
                <w:sz w:val="24"/>
              </w:rPr>
              <w:t>16.日常管理人员及保洁作业人员人数应与预定方案相符。</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01A34310">
            <w:pPr>
              <w:spacing w:line="300" w:lineRule="exact"/>
              <w:rPr>
                <w:rFonts w:hint="eastAsia" w:ascii="仿宋" w:hAnsi="仿宋" w:eastAsia="仿宋" w:cs="仿宋"/>
                <w:sz w:val="24"/>
              </w:rPr>
            </w:pPr>
            <w:r>
              <w:rPr>
                <w:rFonts w:hint="eastAsia" w:ascii="仿宋" w:hAnsi="仿宋" w:eastAsia="仿宋" w:cs="仿宋"/>
                <w:sz w:val="24"/>
              </w:rPr>
              <w:t>16.日常管理人员及保洁作业人员与预</w:t>
            </w:r>
          </w:p>
          <w:p w14:paraId="0AB3B730">
            <w:pPr>
              <w:spacing w:line="300" w:lineRule="exact"/>
              <w:rPr>
                <w:rFonts w:hint="eastAsia" w:ascii="仿宋" w:hAnsi="仿宋" w:eastAsia="仿宋" w:cs="仿宋"/>
                <w:sz w:val="24"/>
              </w:rPr>
            </w:pPr>
            <w:r>
              <w:rPr>
                <w:rFonts w:hint="eastAsia" w:ascii="仿宋" w:hAnsi="仿宋" w:eastAsia="仿宋" w:cs="仿宋"/>
                <w:sz w:val="24"/>
              </w:rPr>
              <w:t>定方案不符，每少1人扣O．5分。</w:t>
            </w:r>
          </w:p>
        </w:tc>
      </w:tr>
      <w:tr w14:paraId="260F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DA466C7">
            <w:pPr>
              <w:spacing w:line="300" w:lineRule="exact"/>
              <w:jc w:val="center"/>
              <w:rPr>
                <w:rFonts w:hint="eastAsia" w:ascii="仿宋" w:hAnsi="仿宋" w:eastAsia="仿宋" w:cs="仿宋"/>
                <w:sz w:val="24"/>
              </w:rPr>
            </w:pPr>
            <w:r>
              <w:rPr>
                <w:rFonts w:hint="eastAsia" w:ascii="仿宋" w:hAnsi="仿宋" w:eastAsia="仿宋" w:cs="仿宋"/>
                <w:sz w:val="24"/>
              </w:rPr>
              <w:t>公厕管理</w:t>
            </w:r>
          </w:p>
          <w:p w14:paraId="2DC68565">
            <w:pPr>
              <w:spacing w:line="300" w:lineRule="exact"/>
              <w:jc w:val="center"/>
              <w:rPr>
                <w:rFonts w:hint="eastAsia" w:ascii="仿宋" w:hAnsi="仿宋" w:eastAsia="仿宋" w:cs="仿宋"/>
                <w:sz w:val="24"/>
              </w:rPr>
            </w:pPr>
            <w:r>
              <w:rPr>
                <w:rFonts w:hint="eastAsia" w:ascii="仿宋" w:hAnsi="仿宋" w:eastAsia="仿宋" w:cs="仿宋"/>
                <w:sz w:val="24"/>
              </w:rPr>
              <w:t>5</w:t>
            </w:r>
          </w:p>
          <w:p w14:paraId="6C9E890F">
            <w:pPr>
              <w:spacing w:line="300" w:lineRule="exact"/>
              <w:jc w:val="center"/>
              <w:rPr>
                <w:rFonts w:hint="eastAsia" w:ascii="仿宋" w:hAnsi="仿宋" w:eastAsia="仿宋" w:cs="仿宋"/>
                <w:color w:val="FF0000"/>
                <w:sz w:val="24"/>
              </w:rPr>
            </w:pPr>
            <w:r>
              <w:rPr>
                <w:rFonts w:hint="eastAsia" w:ascii="仿宋" w:hAnsi="仿宋" w:eastAsia="仿宋" w:cs="仿宋"/>
                <w:sz w:val="24"/>
              </w:rPr>
              <w:t>分</w:t>
            </w:r>
          </w:p>
        </w:tc>
        <w:tc>
          <w:tcPr>
            <w:tcW w:w="4392" w:type="dxa"/>
            <w:tcBorders>
              <w:top w:val="single" w:color="auto" w:sz="4" w:space="0"/>
              <w:left w:val="single" w:color="auto" w:sz="4" w:space="0"/>
              <w:bottom w:val="single" w:color="auto" w:sz="4" w:space="0"/>
              <w:right w:val="single" w:color="auto" w:sz="4" w:space="0"/>
            </w:tcBorders>
            <w:noWrap w:val="0"/>
            <w:vAlign w:val="center"/>
          </w:tcPr>
          <w:p w14:paraId="036D0C81">
            <w:pPr>
              <w:spacing w:line="300" w:lineRule="exact"/>
              <w:rPr>
                <w:rFonts w:hint="eastAsia" w:ascii="仿宋" w:hAnsi="仿宋" w:eastAsia="仿宋" w:cs="仿宋"/>
                <w:color w:val="000000"/>
                <w:sz w:val="24"/>
              </w:rPr>
            </w:pPr>
            <w:r>
              <w:rPr>
                <w:rFonts w:hint="eastAsia" w:ascii="仿宋" w:hAnsi="仿宋" w:eastAsia="仿宋" w:cs="仿宋"/>
                <w:color w:val="000000"/>
                <w:sz w:val="24"/>
              </w:rPr>
              <w:t>17.搞好公厕卫生，做到“四净、四无、一畅通"。即：地面净、墙面净、便池净、门窗净，无尿垢、无虫蝇、无外溢、无强烈臭味，下水道畅通。管好设施设备，保证水电正常使用。</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7F599D31">
            <w:pPr>
              <w:spacing w:line="300" w:lineRule="exact"/>
              <w:rPr>
                <w:rFonts w:hint="eastAsia" w:ascii="仿宋" w:hAnsi="仿宋" w:eastAsia="仿宋" w:cs="仿宋"/>
                <w:sz w:val="24"/>
              </w:rPr>
            </w:pPr>
            <w:r>
              <w:rPr>
                <w:rFonts w:hint="eastAsia" w:ascii="仿宋" w:hAnsi="仿宋" w:eastAsia="仿宋" w:cs="仿宋"/>
                <w:sz w:val="24"/>
              </w:rPr>
              <w:t>17.公厕地面、墙面、门窗不干净的扣1分；便池冲洗不及时的扣2分；设施设备破损不及时维修的扣1分；有强烈臭味的扣1分；下水道堵塞的扣1分。</w:t>
            </w:r>
          </w:p>
        </w:tc>
      </w:tr>
      <w:tr w14:paraId="7CCB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14:paraId="368EF5B6">
            <w:pPr>
              <w:spacing w:line="300" w:lineRule="exact"/>
              <w:jc w:val="center"/>
              <w:rPr>
                <w:rFonts w:hint="eastAsia" w:ascii="仿宋" w:hAnsi="仿宋" w:eastAsia="仿宋" w:cs="仿宋"/>
                <w:sz w:val="24"/>
              </w:rPr>
            </w:pPr>
            <w:r>
              <w:rPr>
                <w:rFonts w:hint="eastAsia" w:ascii="仿宋" w:hAnsi="仿宋" w:eastAsia="仿宋" w:cs="仿宋"/>
                <w:sz w:val="24"/>
              </w:rPr>
              <w:t>其他18分</w:t>
            </w:r>
          </w:p>
        </w:tc>
        <w:tc>
          <w:tcPr>
            <w:tcW w:w="4392" w:type="dxa"/>
            <w:tcBorders>
              <w:top w:val="single" w:color="auto" w:sz="4" w:space="0"/>
              <w:left w:val="single" w:color="auto" w:sz="4" w:space="0"/>
              <w:bottom w:val="single" w:color="auto" w:sz="4" w:space="0"/>
              <w:right w:val="single" w:color="auto" w:sz="4" w:space="0"/>
            </w:tcBorders>
            <w:noWrap w:val="0"/>
            <w:vAlign w:val="center"/>
          </w:tcPr>
          <w:p w14:paraId="12FE2D7B">
            <w:pPr>
              <w:spacing w:line="300" w:lineRule="exact"/>
              <w:rPr>
                <w:rFonts w:hint="eastAsia" w:ascii="仿宋" w:hAnsi="仿宋" w:eastAsia="仿宋" w:cs="仿宋"/>
                <w:sz w:val="24"/>
              </w:rPr>
            </w:pPr>
            <w:r>
              <w:rPr>
                <w:rFonts w:hint="eastAsia" w:ascii="仿宋" w:hAnsi="仿宋" w:eastAsia="仿宋" w:cs="仿宋"/>
                <w:sz w:val="24"/>
              </w:rPr>
              <w:t>18.抄告问题及时整改处置</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628A2A78">
            <w:pPr>
              <w:spacing w:line="300" w:lineRule="exact"/>
              <w:rPr>
                <w:rFonts w:hint="eastAsia" w:ascii="仿宋" w:hAnsi="仿宋" w:eastAsia="仿宋" w:cs="仿宋"/>
                <w:sz w:val="24"/>
              </w:rPr>
            </w:pPr>
            <w:r>
              <w:rPr>
                <w:rFonts w:hint="eastAsia" w:ascii="仿宋" w:hAnsi="仿宋" w:eastAsia="仿宋" w:cs="仿宋"/>
                <w:sz w:val="24"/>
              </w:rPr>
              <w:t>18.对抄告问题不及时整改或整改不力的，酌情扣3—5分</w:t>
            </w:r>
          </w:p>
        </w:tc>
      </w:tr>
      <w:tr w14:paraId="2B06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277AD726">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61407650">
            <w:pPr>
              <w:spacing w:line="300" w:lineRule="exact"/>
              <w:rPr>
                <w:rFonts w:hint="eastAsia" w:ascii="仿宋" w:hAnsi="仿宋" w:eastAsia="仿宋" w:cs="仿宋"/>
                <w:sz w:val="24"/>
              </w:rPr>
            </w:pPr>
            <w:r>
              <w:rPr>
                <w:rFonts w:hint="eastAsia" w:ascii="仿宋" w:hAnsi="仿宋" w:eastAsia="仿宋" w:cs="仿宋"/>
                <w:sz w:val="24"/>
              </w:rPr>
              <w:t>19.无有责投诉(包括电话、信访、市长公开电话等)，有责投诉后处置及时</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52733CBF">
            <w:pPr>
              <w:spacing w:line="300" w:lineRule="exact"/>
              <w:rPr>
                <w:rFonts w:hint="eastAsia" w:ascii="仿宋" w:hAnsi="仿宋" w:eastAsia="仿宋" w:cs="仿宋"/>
                <w:sz w:val="24"/>
              </w:rPr>
            </w:pPr>
            <w:r>
              <w:rPr>
                <w:rFonts w:hint="eastAsia" w:ascii="仿宋" w:hAnsi="仿宋" w:eastAsia="仿宋" w:cs="仿宋"/>
                <w:sz w:val="24"/>
              </w:rPr>
              <w:t>19.出现一次有责投诉扣0．5分，不及时处理的扣1分。</w:t>
            </w:r>
          </w:p>
        </w:tc>
      </w:tr>
      <w:tr w14:paraId="5B94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3B0B9699">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61FA5615">
            <w:pPr>
              <w:spacing w:line="300" w:lineRule="exact"/>
              <w:rPr>
                <w:rFonts w:hint="eastAsia" w:ascii="仿宋" w:hAnsi="仿宋" w:eastAsia="仿宋" w:cs="仿宋"/>
                <w:sz w:val="24"/>
              </w:rPr>
            </w:pPr>
            <w:r>
              <w:rPr>
                <w:rFonts w:hint="eastAsia" w:ascii="仿宋" w:hAnsi="仿宋" w:eastAsia="仿宋" w:cs="仿宋"/>
                <w:sz w:val="24"/>
              </w:rPr>
              <w:t>20.无新闻媒体曝光</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6D9889DF">
            <w:pPr>
              <w:spacing w:line="300" w:lineRule="exact"/>
              <w:rPr>
                <w:rFonts w:hint="eastAsia" w:ascii="仿宋" w:hAnsi="仿宋" w:eastAsia="仿宋" w:cs="仿宋"/>
                <w:sz w:val="24"/>
              </w:rPr>
            </w:pPr>
            <w:r>
              <w:rPr>
                <w:rFonts w:hint="eastAsia" w:ascii="仿宋" w:hAnsi="仿宋" w:eastAsia="仿宋" w:cs="仿宋"/>
                <w:sz w:val="24"/>
              </w:rPr>
              <w:t>20.新闻媒体曝光查实有责的每次扣2</w:t>
            </w:r>
          </w:p>
          <w:p w14:paraId="4812FC62">
            <w:pPr>
              <w:spacing w:line="300" w:lineRule="exact"/>
              <w:rPr>
                <w:rFonts w:hint="eastAsia" w:ascii="仿宋" w:hAnsi="仿宋" w:eastAsia="仿宋" w:cs="仿宋"/>
                <w:sz w:val="24"/>
              </w:rPr>
            </w:pPr>
            <w:r>
              <w:rPr>
                <w:rFonts w:hint="eastAsia" w:ascii="仿宋" w:hAnsi="仿宋" w:eastAsia="仿宋" w:cs="仿宋"/>
                <w:sz w:val="24"/>
              </w:rPr>
              <w:t>分，不及时处理的扣3—5分</w:t>
            </w:r>
          </w:p>
        </w:tc>
      </w:tr>
      <w:tr w14:paraId="0BBB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14:paraId="6E753D1C">
            <w:pPr>
              <w:widowControl/>
              <w:spacing w:line="300" w:lineRule="exact"/>
              <w:jc w:val="left"/>
              <w:rPr>
                <w:rFonts w:hint="eastAsia" w:ascii="仿宋" w:hAnsi="仿宋" w:eastAsia="仿宋" w:cs="仿宋"/>
                <w:color w:val="FF0000"/>
                <w:sz w:val="24"/>
              </w:rPr>
            </w:pPr>
          </w:p>
        </w:tc>
        <w:tc>
          <w:tcPr>
            <w:tcW w:w="4392" w:type="dxa"/>
            <w:tcBorders>
              <w:top w:val="single" w:color="auto" w:sz="4" w:space="0"/>
              <w:left w:val="single" w:color="auto" w:sz="4" w:space="0"/>
              <w:bottom w:val="single" w:color="auto" w:sz="4" w:space="0"/>
              <w:right w:val="single" w:color="auto" w:sz="4" w:space="0"/>
            </w:tcBorders>
            <w:noWrap w:val="0"/>
            <w:vAlign w:val="center"/>
          </w:tcPr>
          <w:p w14:paraId="2F18AE86">
            <w:pPr>
              <w:spacing w:line="300" w:lineRule="exact"/>
              <w:rPr>
                <w:rFonts w:hint="eastAsia" w:ascii="仿宋" w:hAnsi="仿宋" w:eastAsia="仿宋" w:cs="仿宋"/>
                <w:sz w:val="24"/>
              </w:rPr>
            </w:pPr>
            <w:r>
              <w:rPr>
                <w:rFonts w:hint="eastAsia" w:ascii="仿宋" w:hAnsi="仿宋" w:eastAsia="仿宋" w:cs="仿宋"/>
                <w:sz w:val="24"/>
              </w:rPr>
              <w:t>21.镇级以上检查不失责任分</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7B3C26B7">
            <w:pPr>
              <w:spacing w:line="300" w:lineRule="exact"/>
              <w:rPr>
                <w:rFonts w:hint="eastAsia" w:ascii="仿宋" w:hAnsi="仿宋" w:eastAsia="仿宋" w:cs="仿宋"/>
                <w:sz w:val="24"/>
              </w:rPr>
            </w:pPr>
            <w:r>
              <w:rPr>
                <w:rFonts w:hint="eastAsia" w:ascii="仿宋" w:hAnsi="仿宋" w:eastAsia="仿宋" w:cs="仿宋"/>
                <w:sz w:val="24"/>
              </w:rPr>
              <w:t>21.失责任分将根据情况扣3—5分</w:t>
            </w:r>
          </w:p>
        </w:tc>
      </w:tr>
    </w:tbl>
    <w:p w14:paraId="3B8C39AC">
      <w:pPr>
        <w:spacing w:line="500" w:lineRule="exact"/>
        <w:ind w:firstLine="480" w:firstLineChars="200"/>
        <w:rPr>
          <w:rFonts w:hint="eastAsia" w:ascii="仿宋" w:hAnsi="仿宋" w:eastAsia="仿宋" w:cs="仿宋"/>
          <w:sz w:val="24"/>
        </w:rPr>
      </w:pPr>
      <w:r>
        <w:rPr>
          <w:rFonts w:hint="eastAsia" w:ascii="仿宋" w:hAnsi="仿宋" w:eastAsia="仿宋" w:cs="仿宋"/>
          <w:sz w:val="24"/>
        </w:rPr>
        <w:t>（4）垃圾中转站管理清运考核评分标准：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511"/>
        <w:gridCol w:w="4584"/>
      </w:tblGrid>
      <w:tr w14:paraId="7E50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3ADA939">
            <w:pPr>
              <w:jc w:val="center"/>
              <w:rPr>
                <w:rFonts w:hint="eastAsia" w:ascii="仿宋" w:hAnsi="仿宋" w:eastAsia="仿宋" w:cs="仿宋"/>
                <w:sz w:val="24"/>
              </w:rPr>
            </w:pPr>
            <w:r>
              <w:rPr>
                <w:rFonts w:hint="eastAsia" w:ascii="仿宋" w:hAnsi="仿宋" w:eastAsia="仿宋" w:cs="仿宋"/>
                <w:sz w:val="24"/>
              </w:rPr>
              <w:t>项目</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3C0B8869">
            <w:pPr>
              <w:jc w:val="center"/>
              <w:rPr>
                <w:rFonts w:hint="eastAsia" w:ascii="仿宋" w:hAnsi="仿宋" w:eastAsia="仿宋" w:cs="仿宋"/>
                <w:sz w:val="24"/>
              </w:rPr>
            </w:pPr>
            <w:r>
              <w:rPr>
                <w:rFonts w:hint="eastAsia" w:ascii="仿宋" w:hAnsi="仿宋" w:eastAsia="仿宋" w:cs="仿宋"/>
                <w:sz w:val="24"/>
              </w:rPr>
              <w:t>考核内容及要求</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07A5E0CB">
            <w:pPr>
              <w:jc w:val="center"/>
              <w:rPr>
                <w:rFonts w:hint="eastAsia" w:ascii="仿宋" w:hAnsi="仿宋" w:eastAsia="仿宋" w:cs="仿宋"/>
                <w:sz w:val="24"/>
              </w:rPr>
            </w:pPr>
            <w:r>
              <w:rPr>
                <w:rFonts w:hint="eastAsia" w:ascii="仿宋" w:hAnsi="仿宋" w:eastAsia="仿宋" w:cs="仿宋"/>
                <w:sz w:val="24"/>
              </w:rPr>
              <w:t>评分标准</w:t>
            </w:r>
          </w:p>
        </w:tc>
      </w:tr>
      <w:tr w14:paraId="1722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14:paraId="4579C625">
            <w:pPr>
              <w:jc w:val="center"/>
              <w:rPr>
                <w:rFonts w:hint="eastAsia" w:ascii="仿宋" w:hAnsi="仿宋" w:eastAsia="仿宋" w:cs="仿宋"/>
                <w:sz w:val="24"/>
              </w:rPr>
            </w:pPr>
            <w:r>
              <w:rPr>
                <w:rFonts w:hint="eastAsia" w:ascii="仿宋" w:hAnsi="仿宋" w:eastAsia="仿宋" w:cs="仿宋"/>
                <w:sz w:val="24"/>
              </w:rPr>
              <w:t>台帐资料8分</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6ABDDAE1">
            <w:pPr>
              <w:rPr>
                <w:rFonts w:hint="eastAsia" w:ascii="仿宋" w:hAnsi="仿宋" w:eastAsia="仿宋" w:cs="仿宋"/>
                <w:sz w:val="24"/>
              </w:rPr>
            </w:pPr>
            <w:r>
              <w:rPr>
                <w:rFonts w:hint="eastAsia" w:ascii="仿宋" w:hAnsi="仿宋" w:eastAsia="仿宋" w:cs="仿宋"/>
                <w:sz w:val="24"/>
              </w:rPr>
              <w:t>1.层层落实管理责任制。</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571C4FC2">
            <w:pPr>
              <w:rPr>
                <w:rFonts w:hint="eastAsia" w:ascii="仿宋" w:hAnsi="仿宋" w:eastAsia="仿宋" w:cs="仿宋"/>
                <w:sz w:val="24"/>
              </w:rPr>
            </w:pPr>
            <w:r>
              <w:rPr>
                <w:rFonts w:hint="eastAsia" w:ascii="仿宋" w:hAnsi="仿宋" w:eastAsia="仿宋" w:cs="仿宋"/>
                <w:sz w:val="24"/>
              </w:rPr>
              <w:t>1.未落实责任制的扣2分</w:t>
            </w:r>
          </w:p>
        </w:tc>
      </w:tr>
      <w:tr w14:paraId="5C16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0B68FC1E">
            <w:pPr>
              <w:widowControl/>
              <w:jc w:val="center"/>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64FF48C4">
            <w:pPr>
              <w:rPr>
                <w:rFonts w:hint="eastAsia" w:ascii="仿宋" w:hAnsi="仿宋" w:eastAsia="仿宋" w:cs="仿宋"/>
                <w:sz w:val="24"/>
              </w:rPr>
            </w:pPr>
            <w:r>
              <w:rPr>
                <w:rFonts w:hint="eastAsia" w:ascii="仿宋" w:hAnsi="仿宋" w:eastAsia="仿宋" w:cs="仿宋"/>
                <w:sz w:val="24"/>
              </w:rPr>
              <w:t>2.按行业要求建好台帐。</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0BA4D17F">
            <w:pPr>
              <w:rPr>
                <w:rFonts w:hint="eastAsia" w:ascii="仿宋" w:hAnsi="仿宋" w:eastAsia="仿宋" w:cs="仿宋"/>
                <w:sz w:val="24"/>
              </w:rPr>
            </w:pPr>
            <w:r>
              <w:rPr>
                <w:rFonts w:hint="eastAsia" w:ascii="仿宋" w:hAnsi="仿宋" w:eastAsia="仿宋" w:cs="仿宋"/>
                <w:sz w:val="24"/>
              </w:rPr>
              <w:t>2.台帐每缺一项扣1分。</w:t>
            </w:r>
          </w:p>
        </w:tc>
      </w:tr>
      <w:tr w14:paraId="1C4E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7561ECB5">
            <w:pPr>
              <w:widowControl/>
              <w:jc w:val="center"/>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FE359DB">
            <w:pPr>
              <w:rPr>
                <w:rFonts w:hint="eastAsia" w:ascii="仿宋" w:hAnsi="仿宋" w:eastAsia="仿宋" w:cs="仿宋"/>
                <w:sz w:val="24"/>
              </w:rPr>
            </w:pPr>
            <w:r>
              <w:rPr>
                <w:rFonts w:hint="eastAsia" w:ascii="仿宋" w:hAnsi="仿宋" w:eastAsia="仿宋" w:cs="仿宋"/>
                <w:sz w:val="24"/>
              </w:rPr>
              <w:t>3.集体财产登记造册。</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1C554165">
            <w:pPr>
              <w:rPr>
                <w:rFonts w:hint="eastAsia" w:ascii="仿宋" w:hAnsi="仿宋" w:eastAsia="仿宋" w:cs="仿宋"/>
                <w:sz w:val="24"/>
              </w:rPr>
            </w:pPr>
            <w:r>
              <w:rPr>
                <w:rFonts w:hint="eastAsia" w:ascii="仿宋" w:hAnsi="仿宋" w:eastAsia="仿宋" w:cs="仿宋"/>
                <w:sz w:val="24"/>
              </w:rPr>
              <w:t>3.未登记造册扣2分。</w:t>
            </w:r>
          </w:p>
        </w:tc>
      </w:tr>
      <w:tr w14:paraId="024F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14:paraId="5057ABED">
            <w:pPr>
              <w:jc w:val="center"/>
              <w:rPr>
                <w:rFonts w:hint="eastAsia" w:ascii="仿宋" w:hAnsi="仿宋" w:eastAsia="仿宋" w:cs="仿宋"/>
                <w:sz w:val="24"/>
              </w:rPr>
            </w:pPr>
            <w:r>
              <w:rPr>
                <w:rFonts w:hint="eastAsia" w:ascii="仿宋" w:hAnsi="仿宋" w:eastAsia="仿宋" w:cs="仿宋"/>
                <w:sz w:val="24"/>
              </w:rPr>
              <w:t>环境卫生9分</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3E6EC7ED">
            <w:pPr>
              <w:rPr>
                <w:rFonts w:hint="eastAsia" w:ascii="仿宋" w:hAnsi="仿宋" w:eastAsia="仿宋" w:cs="仿宋"/>
                <w:sz w:val="24"/>
              </w:rPr>
            </w:pPr>
            <w:r>
              <w:rPr>
                <w:rFonts w:hint="eastAsia" w:ascii="仿宋" w:hAnsi="仿宋" w:eastAsia="仿宋" w:cs="仿宋"/>
                <w:sz w:val="24"/>
              </w:rPr>
              <w:t>4.设备保养良好。</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28E7F94D">
            <w:pPr>
              <w:rPr>
                <w:rFonts w:hint="eastAsia" w:ascii="仿宋" w:hAnsi="仿宋" w:eastAsia="仿宋" w:cs="仿宋"/>
                <w:sz w:val="24"/>
              </w:rPr>
            </w:pPr>
            <w:r>
              <w:rPr>
                <w:rFonts w:hint="eastAsia" w:ascii="仿宋" w:hAnsi="仿宋" w:eastAsia="仿宋" w:cs="仿宋"/>
                <w:sz w:val="24"/>
              </w:rPr>
              <w:t>4.设备污物多扣1分。</w:t>
            </w:r>
          </w:p>
        </w:tc>
      </w:tr>
      <w:tr w14:paraId="20AA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375B88B0">
            <w:pPr>
              <w:widowControl/>
              <w:jc w:val="center"/>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54CEDCE">
            <w:pPr>
              <w:rPr>
                <w:rFonts w:hint="eastAsia" w:ascii="仿宋" w:hAnsi="仿宋" w:eastAsia="仿宋" w:cs="仿宋"/>
                <w:sz w:val="24"/>
              </w:rPr>
            </w:pPr>
            <w:r>
              <w:rPr>
                <w:rFonts w:hint="eastAsia" w:ascii="仿宋" w:hAnsi="仿宋" w:eastAsia="仿宋" w:cs="仿宋"/>
                <w:sz w:val="24"/>
              </w:rPr>
              <w:t>5.绿化管理好。</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0D846A0B">
            <w:pPr>
              <w:rPr>
                <w:rFonts w:hint="eastAsia" w:ascii="仿宋" w:hAnsi="仿宋" w:eastAsia="仿宋" w:cs="仿宋"/>
                <w:sz w:val="24"/>
              </w:rPr>
            </w:pPr>
            <w:r>
              <w:rPr>
                <w:rFonts w:hint="eastAsia" w:ascii="仿宋" w:hAnsi="仿宋" w:eastAsia="仿宋" w:cs="仿宋"/>
                <w:sz w:val="24"/>
              </w:rPr>
              <w:t>5.杂草多扣1分。</w:t>
            </w:r>
          </w:p>
        </w:tc>
      </w:tr>
      <w:tr w14:paraId="0400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30F057C3">
            <w:pPr>
              <w:widowControl/>
              <w:jc w:val="center"/>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6B8AD7D5">
            <w:pPr>
              <w:rPr>
                <w:rFonts w:hint="eastAsia" w:ascii="仿宋" w:hAnsi="仿宋" w:eastAsia="仿宋" w:cs="仿宋"/>
                <w:sz w:val="24"/>
              </w:rPr>
            </w:pPr>
            <w:r>
              <w:rPr>
                <w:rFonts w:hint="eastAsia" w:ascii="仿宋" w:hAnsi="仿宋" w:eastAsia="仿宋" w:cs="仿宋"/>
                <w:sz w:val="24"/>
              </w:rPr>
              <w:t>6.道路、室内卫生保洁良好。</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2876428A">
            <w:pPr>
              <w:rPr>
                <w:rFonts w:hint="eastAsia" w:ascii="仿宋" w:hAnsi="仿宋" w:eastAsia="仿宋" w:cs="仿宋"/>
                <w:sz w:val="24"/>
              </w:rPr>
            </w:pPr>
            <w:r>
              <w:rPr>
                <w:rFonts w:hint="eastAsia" w:ascii="仿宋" w:hAnsi="仿宋" w:eastAsia="仿宋" w:cs="仿宋"/>
                <w:sz w:val="24"/>
              </w:rPr>
              <w:t>6.不清洁扣1分，有拾荒者扣1分，有废品堆放扣2分</w:t>
            </w:r>
          </w:p>
        </w:tc>
      </w:tr>
      <w:tr w14:paraId="6680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D87D474">
            <w:pPr>
              <w:jc w:val="center"/>
              <w:rPr>
                <w:rFonts w:hint="eastAsia" w:ascii="仿宋" w:hAnsi="仿宋" w:eastAsia="仿宋" w:cs="仿宋"/>
                <w:sz w:val="24"/>
              </w:rPr>
            </w:pPr>
            <w:r>
              <w:rPr>
                <w:rFonts w:hint="eastAsia" w:ascii="仿宋" w:hAnsi="仿宋" w:eastAsia="仿宋" w:cs="仿宋"/>
                <w:sz w:val="24"/>
              </w:rPr>
              <w:t>除四害</w:t>
            </w:r>
          </w:p>
          <w:p w14:paraId="0A305815">
            <w:pPr>
              <w:jc w:val="center"/>
              <w:rPr>
                <w:rFonts w:hint="eastAsia" w:ascii="仿宋" w:hAnsi="仿宋" w:eastAsia="仿宋" w:cs="仿宋"/>
                <w:color w:val="FF0000"/>
                <w:sz w:val="24"/>
              </w:rPr>
            </w:pPr>
            <w:r>
              <w:rPr>
                <w:rFonts w:hint="eastAsia" w:ascii="仿宋" w:hAnsi="仿宋" w:eastAsia="仿宋" w:cs="仿宋"/>
                <w:sz w:val="24"/>
              </w:rPr>
              <w:t>5分</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B2F4847">
            <w:pPr>
              <w:rPr>
                <w:rFonts w:hint="eastAsia" w:ascii="仿宋" w:hAnsi="仿宋" w:eastAsia="仿宋" w:cs="仿宋"/>
                <w:sz w:val="24"/>
              </w:rPr>
            </w:pPr>
            <w:r>
              <w:rPr>
                <w:rFonts w:hint="eastAsia" w:ascii="仿宋" w:hAnsi="仿宋" w:eastAsia="仿宋" w:cs="仿宋"/>
                <w:sz w:val="24"/>
              </w:rPr>
              <w:t>7.站内定期清杀、卫生情况良好，无严重异味，无超标蚊蝇。</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5E47D8AE">
            <w:pPr>
              <w:rPr>
                <w:rFonts w:hint="eastAsia" w:ascii="仿宋" w:hAnsi="仿宋" w:eastAsia="仿宋" w:cs="仿宋"/>
                <w:sz w:val="24"/>
              </w:rPr>
            </w:pPr>
            <w:r>
              <w:rPr>
                <w:rFonts w:hint="eastAsia" w:ascii="仿宋" w:hAnsi="仿宋" w:eastAsia="仿宋" w:cs="仿宋"/>
                <w:sz w:val="24"/>
              </w:rPr>
              <w:t>7.不定期消杀，有积污水扣2分，蚊蝇超标扣2分。</w:t>
            </w:r>
          </w:p>
        </w:tc>
      </w:tr>
      <w:tr w14:paraId="27EF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14:paraId="5CE91EE5">
            <w:pPr>
              <w:jc w:val="center"/>
              <w:rPr>
                <w:rFonts w:hint="eastAsia" w:ascii="仿宋" w:hAnsi="仿宋" w:eastAsia="仿宋" w:cs="仿宋"/>
                <w:sz w:val="24"/>
              </w:rPr>
            </w:pPr>
            <w:r>
              <w:rPr>
                <w:rFonts w:hint="eastAsia" w:ascii="仿宋" w:hAnsi="仿宋" w:eastAsia="仿宋" w:cs="仿宋"/>
                <w:sz w:val="24"/>
              </w:rPr>
              <w:t>垃圾清运50分</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1DD88E28">
            <w:pPr>
              <w:rPr>
                <w:rFonts w:hint="eastAsia" w:ascii="仿宋" w:hAnsi="仿宋" w:eastAsia="仿宋" w:cs="仿宋"/>
                <w:sz w:val="24"/>
              </w:rPr>
            </w:pPr>
            <w:r>
              <w:rPr>
                <w:rFonts w:hint="eastAsia" w:ascii="仿宋" w:hAnsi="仿宋" w:eastAsia="仿宋" w:cs="仿宋"/>
                <w:sz w:val="24"/>
              </w:rPr>
              <w:t>8.不准积压，站内做到日产日清。</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0A88ED48">
            <w:pPr>
              <w:rPr>
                <w:rFonts w:hint="eastAsia" w:ascii="仿宋" w:hAnsi="仿宋" w:eastAsia="仿宋" w:cs="仿宋"/>
                <w:sz w:val="24"/>
              </w:rPr>
            </w:pPr>
            <w:r>
              <w:rPr>
                <w:rFonts w:hint="eastAsia" w:ascii="仿宋" w:hAnsi="仿宋" w:eastAsia="仿宋" w:cs="仿宋"/>
                <w:sz w:val="24"/>
              </w:rPr>
              <w:t>8.不日产日清每次扣2.5分。</w:t>
            </w:r>
          </w:p>
        </w:tc>
      </w:tr>
      <w:tr w14:paraId="7EFD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7EE40573">
            <w:pPr>
              <w:widowControl/>
              <w:jc w:val="center"/>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3EC29A9D">
            <w:pPr>
              <w:rPr>
                <w:rFonts w:hint="eastAsia" w:ascii="仿宋" w:hAnsi="仿宋" w:eastAsia="仿宋" w:cs="仿宋"/>
                <w:sz w:val="24"/>
              </w:rPr>
            </w:pPr>
            <w:r>
              <w:rPr>
                <w:rFonts w:hint="eastAsia" w:ascii="仿宋" w:hAnsi="仿宋" w:eastAsia="仿宋" w:cs="仿宋"/>
                <w:sz w:val="24"/>
              </w:rPr>
              <w:t>9.车辆运送。</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59466FA6">
            <w:pPr>
              <w:rPr>
                <w:rFonts w:hint="eastAsia" w:ascii="仿宋" w:hAnsi="仿宋" w:eastAsia="仿宋" w:cs="仿宋"/>
                <w:sz w:val="24"/>
              </w:rPr>
            </w:pPr>
            <w:r>
              <w:rPr>
                <w:rFonts w:hint="eastAsia" w:ascii="仿宋" w:hAnsi="仿宋" w:eastAsia="仿宋" w:cs="仿宋"/>
                <w:sz w:val="24"/>
              </w:rPr>
              <w:t>9.等待时间超过30分钟一辆扣2分。</w:t>
            </w:r>
          </w:p>
        </w:tc>
      </w:tr>
      <w:tr w14:paraId="66AD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61D60EE2">
            <w:pPr>
              <w:widowControl/>
              <w:jc w:val="center"/>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07A0EF53">
            <w:pPr>
              <w:rPr>
                <w:rFonts w:hint="eastAsia" w:ascii="仿宋" w:hAnsi="仿宋" w:eastAsia="仿宋" w:cs="仿宋"/>
                <w:sz w:val="24"/>
              </w:rPr>
            </w:pPr>
            <w:r>
              <w:rPr>
                <w:rFonts w:hint="eastAsia" w:ascii="仿宋" w:hAnsi="仿宋" w:eastAsia="仿宋" w:cs="仿宋"/>
                <w:sz w:val="24"/>
              </w:rPr>
              <w:t>10.按规定运至镇梅东垃圾中转站/村垃圾中转站。</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08E5BF01">
            <w:pPr>
              <w:rPr>
                <w:rFonts w:hint="eastAsia" w:ascii="仿宋" w:hAnsi="仿宋" w:eastAsia="仿宋" w:cs="仿宋"/>
                <w:sz w:val="24"/>
              </w:rPr>
            </w:pPr>
            <w:r>
              <w:rPr>
                <w:rFonts w:hint="eastAsia" w:ascii="仿宋" w:hAnsi="仿宋" w:eastAsia="仿宋" w:cs="仿宋"/>
                <w:sz w:val="24"/>
              </w:rPr>
              <w:t>10.中途倾倒垃圾每车次扣5分，有抛洒的每车次扣2分。</w:t>
            </w:r>
          </w:p>
        </w:tc>
      </w:tr>
      <w:tr w14:paraId="3C06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14:paraId="5A7A4FCE">
            <w:pPr>
              <w:jc w:val="center"/>
              <w:rPr>
                <w:rFonts w:hint="eastAsia" w:ascii="仿宋" w:hAnsi="仿宋" w:eastAsia="仿宋" w:cs="仿宋"/>
                <w:sz w:val="24"/>
              </w:rPr>
            </w:pPr>
            <w:r>
              <w:rPr>
                <w:rFonts w:hint="eastAsia" w:ascii="仿宋" w:hAnsi="仿宋" w:eastAsia="仿宋" w:cs="仿宋"/>
                <w:sz w:val="24"/>
              </w:rPr>
              <w:t>安全操作28分</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13DCC173">
            <w:pPr>
              <w:rPr>
                <w:rFonts w:hint="eastAsia" w:ascii="仿宋" w:hAnsi="仿宋" w:eastAsia="仿宋" w:cs="仿宋"/>
                <w:sz w:val="24"/>
              </w:rPr>
            </w:pPr>
            <w:r>
              <w:rPr>
                <w:rFonts w:hint="eastAsia" w:ascii="仿宋" w:hAnsi="仿宋" w:eastAsia="仿宋" w:cs="仿宋"/>
                <w:sz w:val="24"/>
              </w:rPr>
              <w:t>11.操作规章上墙。</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17AFAC6B">
            <w:pPr>
              <w:rPr>
                <w:rFonts w:hint="eastAsia" w:ascii="仿宋" w:hAnsi="仿宋" w:eastAsia="仿宋" w:cs="仿宋"/>
                <w:sz w:val="24"/>
              </w:rPr>
            </w:pPr>
            <w:r>
              <w:rPr>
                <w:rFonts w:hint="eastAsia" w:ascii="仿宋" w:hAnsi="仿宋" w:eastAsia="仿宋" w:cs="仿宋"/>
                <w:sz w:val="24"/>
              </w:rPr>
              <w:t>11.不上墙扣1分</w:t>
            </w:r>
          </w:p>
        </w:tc>
      </w:tr>
      <w:tr w14:paraId="1A1B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3F3E3BFC">
            <w:pPr>
              <w:widowControl/>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B2FA707">
            <w:pPr>
              <w:rPr>
                <w:rFonts w:hint="eastAsia" w:ascii="仿宋" w:hAnsi="仿宋" w:eastAsia="仿宋" w:cs="仿宋"/>
                <w:sz w:val="24"/>
              </w:rPr>
            </w:pPr>
            <w:r>
              <w:rPr>
                <w:rFonts w:hint="eastAsia" w:ascii="仿宋" w:hAnsi="仿宋" w:eastAsia="仿宋" w:cs="仿宋"/>
                <w:sz w:val="24"/>
              </w:rPr>
              <w:t>12.措施保障。</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112799B2">
            <w:pPr>
              <w:rPr>
                <w:rFonts w:hint="eastAsia" w:ascii="仿宋" w:hAnsi="仿宋" w:eastAsia="仿宋" w:cs="仿宋"/>
                <w:sz w:val="24"/>
              </w:rPr>
            </w:pPr>
            <w:r>
              <w:rPr>
                <w:rFonts w:hint="eastAsia" w:ascii="仿宋" w:hAnsi="仿宋" w:eastAsia="仿宋" w:cs="仿宋"/>
                <w:sz w:val="24"/>
              </w:rPr>
              <w:t>12.无建立保障设施和措施扣5分。</w:t>
            </w:r>
          </w:p>
        </w:tc>
      </w:tr>
      <w:tr w14:paraId="7F1A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30D0164D">
            <w:pPr>
              <w:widowControl/>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4FDF5D62">
            <w:pPr>
              <w:rPr>
                <w:rFonts w:hint="eastAsia" w:ascii="仿宋" w:hAnsi="仿宋" w:eastAsia="仿宋" w:cs="仿宋"/>
                <w:sz w:val="24"/>
              </w:rPr>
            </w:pPr>
            <w:r>
              <w:rPr>
                <w:rFonts w:hint="eastAsia" w:ascii="仿宋" w:hAnsi="仿宋" w:eastAsia="仿宋" w:cs="仿宋"/>
                <w:sz w:val="24"/>
              </w:rPr>
              <w:t>13.执证上岗。</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51D9AC9F">
            <w:pPr>
              <w:rPr>
                <w:rFonts w:hint="eastAsia" w:ascii="仿宋" w:hAnsi="仿宋" w:eastAsia="仿宋" w:cs="仿宋"/>
                <w:sz w:val="24"/>
              </w:rPr>
            </w:pPr>
            <w:r>
              <w:rPr>
                <w:rFonts w:hint="eastAsia" w:ascii="仿宋" w:hAnsi="仿宋" w:eastAsia="仿宋" w:cs="仿宋"/>
                <w:sz w:val="24"/>
              </w:rPr>
              <w:t>13.无证上岗扣5分。</w:t>
            </w:r>
          </w:p>
        </w:tc>
      </w:tr>
      <w:tr w14:paraId="0948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6A45AA7A">
            <w:pPr>
              <w:widowControl/>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1F45BFBF">
            <w:pPr>
              <w:rPr>
                <w:rFonts w:hint="eastAsia" w:ascii="仿宋" w:hAnsi="仿宋" w:eastAsia="仿宋" w:cs="仿宋"/>
                <w:sz w:val="24"/>
              </w:rPr>
            </w:pPr>
            <w:r>
              <w:rPr>
                <w:rFonts w:hint="eastAsia" w:ascii="仿宋" w:hAnsi="仿宋" w:eastAsia="仿宋" w:cs="仿宋"/>
                <w:sz w:val="24"/>
              </w:rPr>
              <w:t>14.设备管理。</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64287B85">
            <w:pPr>
              <w:rPr>
                <w:rFonts w:hint="eastAsia" w:ascii="仿宋" w:hAnsi="仿宋" w:eastAsia="仿宋" w:cs="仿宋"/>
                <w:sz w:val="24"/>
              </w:rPr>
            </w:pPr>
            <w:r>
              <w:rPr>
                <w:rFonts w:hint="eastAsia" w:ascii="仿宋" w:hAnsi="仿宋" w:eastAsia="仿宋" w:cs="仿宋"/>
                <w:sz w:val="24"/>
              </w:rPr>
              <w:t>14.设备无专人操作扣5分。</w:t>
            </w:r>
          </w:p>
        </w:tc>
      </w:tr>
      <w:tr w14:paraId="5CE6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0F177C02">
            <w:pPr>
              <w:widowControl/>
              <w:rPr>
                <w:rFonts w:hint="eastAsia" w:ascii="仿宋" w:hAnsi="仿宋" w:eastAsia="仿宋" w:cs="仿宋"/>
                <w:sz w:val="24"/>
              </w:rPr>
            </w:pPr>
          </w:p>
        </w:tc>
        <w:tc>
          <w:tcPr>
            <w:tcW w:w="4511" w:type="dxa"/>
            <w:tcBorders>
              <w:top w:val="single" w:color="auto" w:sz="4" w:space="0"/>
              <w:left w:val="single" w:color="auto" w:sz="4" w:space="0"/>
              <w:bottom w:val="single" w:color="auto" w:sz="4" w:space="0"/>
              <w:right w:val="single" w:color="auto" w:sz="4" w:space="0"/>
            </w:tcBorders>
            <w:noWrap w:val="0"/>
            <w:vAlign w:val="center"/>
          </w:tcPr>
          <w:p w14:paraId="7A214A81">
            <w:pPr>
              <w:rPr>
                <w:rFonts w:hint="eastAsia" w:ascii="仿宋" w:hAnsi="仿宋" w:eastAsia="仿宋" w:cs="仿宋"/>
                <w:sz w:val="24"/>
              </w:rPr>
            </w:pPr>
            <w:r>
              <w:rPr>
                <w:rFonts w:hint="eastAsia" w:ascii="仿宋" w:hAnsi="仿宋" w:eastAsia="仿宋" w:cs="仿宋"/>
                <w:sz w:val="24"/>
              </w:rPr>
              <w:t>15.人员安全。</w:t>
            </w:r>
          </w:p>
        </w:tc>
        <w:tc>
          <w:tcPr>
            <w:tcW w:w="4584" w:type="dxa"/>
            <w:tcBorders>
              <w:top w:val="single" w:color="auto" w:sz="4" w:space="0"/>
              <w:left w:val="single" w:color="auto" w:sz="4" w:space="0"/>
              <w:bottom w:val="single" w:color="auto" w:sz="4" w:space="0"/>
              <w:right w:val="single" w:color="auto" w:sz="4" w:space="0"/>
            </w:tcBorders>
            <w:noWrap w:val="0"/>
            <w:vAlign w:val="center"/>
          </w:tcPr>
          <w:p w14:paraId="5AAD2F6D">
            <w:pPr>
              <w:rPr>
                <w:rFonts w:hint="eastAsia" w:ascii="仿宋" w:hAnsi="仿宋" w:eastAsia="仿宋" w:cs="仿宋"/>
                <w:sz w:val="24"/>
              </w:rPr>
            </w:pPr>
            <w:r>
              <w:rPr>
                <w:rFonts w:hint="eastAsia" w:ascii="仿宋" w:hAnsi="仿宋" w:eastAsia="仿宋" w:cs="仿宋"/>
                <w:sz w:val="24"/>
              </w:rPr>
              <w:t>15.操作人员不买意外保险每人扣3分。</w:t>
            </w:r>
          </w:p>
        </w:tc>
      </w:tr>
    </w:tbl>
    <w:p w14:paraId="1E3A7683">
      <w:pPr>
        <w:spacing w:line="360" w:lineRule="auto"/>
        <w:ind w:firstLine="480"/>
        <w:jc w:val="left"/>
        <w:rPr>
          <w:rFonts w:hint="eastAsia" w:ascii="仿宋" w:hAnsi="仿宋" w:eastAsia="仿宋" w:cs="仿宋"/>
          <w:color w:val="auto"/>
          <w:sz w:val="24"/>
          <w:szCs w:val="28"/>
          <w:vertAlign w:val="baseline"/>
          <w:lang w:val="en-US" w:eastAsia="zh-CN"/>
        </w:rPr>
      </w:pPr>
      <w:r>
        <w:rPr>
          <w:rFonts w:hint="eastAsia" w:ascii="仿宋" w:hAnsi="仿宋" w:eastAsia="仿宋" w:cs="仿宋"/>
          <w:b/>
          <w:bCs/>
          <w:sz w:val="24"/>
          <w:u w:val="single"/>
        </w:rPr>
        <w:t>备注：</w:t>
      </w:r>
      <w:r>
        <w:rPr>
          <w:rFonts w:hint="eastAsia" w:ascii="仿宋" w:hAnsi="仿宋" w:eastAsia="仿宋" w:cs="仿宋"/>
          <w:b/>
          <w:bCs/>
          <w:sz w:val="24"/>
          <w:u w:val="single"/>
          <w:lang w:eastAsia="zh-CN"/>
        </w:rPr>
        <w:t>交易</w:t>
      </w:r>
      <w:r>
        <w:rPr>
          <w:rFonts w:hint="eastAsia" w:ascii="仿宋" w:hAnsi="仿宋" w:eastAsia="仿宋" w:cs="仿宋"/>
          <w:b/>
          <w:bCs/>
          <w:sz w:val="24"/>
          <w:u w:val="single"/>
        </w:rPr>
        <w:t>文件中带 “</w:t>
      </w:r>
      <w:r>
        <w:rPr>
          <w:rFonts w:hint="eastAsia" w:ascii="仿宋" w:hAnsi="仿宋" w:eastAsia="仿宋" w:cs="仿宋"/>
          <w:b/>
          <w:bCs/>
          <w:kern w:val="0"/>
          <w:sz w:val="24"/>
          <w:u w:val="single"/>
        </w:rPr>
        <w:t>▲</w:t>
      </w:r>
      <w:r>
        <w:rPr>
          <w:rFonts w:hint="eastAsia" w:ascii="仿宋" w:hAnsi="仿宋" w:eastAsia="仿宋" w:cs="仿宋"/>
          <w:b/>
          <w:bCs/>
          <w:sz w:val="24"/>
          <w:u w:val="single"/>
        </w:rPr>
        <w:t>”的有关技术和商务条款为实质性条款，投标人必须在投标文件中作出实质性响应，否则投标无效。</w:t>
      </w:r>
    </w:p>
    <w:p w14:paraId="6FA65C25">
      <w:pPr>
        <w:keepNext w:val="0"/>
        <w:keepLines w:val="0"/>
        <w:pageBreakBefore w:val="0"/>
        <w:kinsoku/>
        <w:wordWrap/>
        <w:overflowPunct/>
        <w:topLinePunct w:val="0"/>
        <w:bidi w:val="0"/>
        <w:snapToGrid w:val="0"/>
        <w:spacing w:line="276"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bookmarkEnd w:id="17"/>
    <w:p w14:paraId="02D09627">
      <w:pPr>
        <w:snapToGrid w:val="0"/>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第四部分   </w:t>
      </w:r>
      <w:bookmarkStart w:id="18" w:name="_Toc184310326"/>
      <w:bookmarkEnd w:id="18"/>
      <w:bookmarkStart w:id="19" w:name="_Toc184312131"/>
      <w:bookmarkEnd w:id="19"/>
      <w:bookmarkStart w:id="20" w:name="_Toc184312129"/>
      <w:bookmarkEnd w:id="20"/>
      <w:bookmarkStart w:id="21" w:name="_Toc184308108"/>
      <w:bookmarkEnd w:id="21"/>
      <w:bookmarkStart w:id="22" w:name="_Toc184312085"/>
      <w:bookmarkEnd w:id="22"/>
      <w:bookmarkStart w:id="23" w:name="_Toc184314466"/>
      <w:bookmarkEnd w:id="23"/>
      <w:bookmarkStart w:id="24" w:name="_Toc184308090"/>
      <w:bookmarkEnd w:id="24"/>
      <w:bookmarkStart w:id="25" w:name="_Toc184310316"/>
      <w:bookmarkEnd w:id="25"/>
      <w:bookmarkStart w:id="26" w:name="_Toc184312115"/>
      <w:bookmarkEnd w:id="26"/>
      <w:bookmarkStart w:id="27" w:name="_Toc184310335"/>
      <w:bookmarkEnd w:id="27"/>
      <w:bookmarkStart w:id="28" w:name="_Toc184312070"/>
      <w:bookmarkEnd w:id="28"/>
      <w:bookmarkStart w:id="29" w:name="_Toc184314427"/>
      <w:bookmarkEnd w:id="29"/>
      <w:bookmarkStart w:id="30" w:name="_Toc184308038"/>
      <w:bookmarkEnd w:id="30"/>
      <w:bookmarkStart w:id="31" w:name="_Toc184308057"/>
      <w:bookmarkEnd w:id="31"/>
      <w:bookmarkStart w:id="32" w:name="_Toc184312110"/>
      <w:bookmarkEnd w:id="32"/>
      <w:bookmarkStart w:id="33" w:name="_Toc184308069"/>
      <w:bookmarkEnd w:id="33"/>
      <w:bookmarkStart w:id="34" w:name="_Toc184312104"/>
      <w:bookmarkEnd w:id="34"/>
      <w:bookmarkStart w:id="35" w:name="_Toc184310283"/>
      <w:bookmarkEnd w:id="35"/>
      <w:bookmarkStart w:id="36" w:name="_Toc184310340"/>
      <w:bookmarkEnd w:id="36"/>
      <w:bookmarkStart w:id="37" w:name="_Toc184313306"/>
      <w:bookmarkEnd w:id="37"/>
      <w:bookmarkStart w:id="38" w:name="_Toc184310273"/>
      <w:bookmarkEnd w:id="38"/>
      <w:bookmarkStart w:id="39" w:name="_Toc184313255"/>
      <w:bookmarkEnd w:id="39"/>
      <w:bookmarkStart w:id="40" w:name="_Toc184314434"/>
      <w:bookmarkEnd w:id="40"/>
      <w:bookmarkStart w:id="41" w:name="_Toc184308099"/>
      <w:bookmarkEnd w:id="41"/>
      <w:bookmarkStart w:id="42" w:name="_Toc184314463"/>
      <w:bookmarkEnd w:id="42"/>
      <w:bookmarkStart w:id="43" w:name="_Toc184308061"/>
      <w:bookmarkEnd w:id="43"/>
      <w:bookmarkStart w:id="44" w:name="_Toc184314435"/>
      <w:bookmarkEnd w:id="44"/>
      <w:bookmarkStart w:id="45" w:name="_Toc184308036"/>
      <w:bookmarkEnd w:id="45"/>
      <w:bookmarkStart w:id="46" w:name="_Toc184308048"/>
      <w:bookmarkEnd w:id="46"/>
      <w:bookmarkStart w:id="47" w:name="_Toc184308081"/>
      <w:bookmarkEnd w:id="47"/>
      <w:bookmarkStart w:id="48" w:name="_Toc184314439"/>
      <w:bookmarkEnd w:id="48"/>
      <w:bookmarkStart w:id="49" w:name="_Toc184314444"/>
      <w:bookmarkEnd w:id="49"/>
      <w:bookmarkStart w:id="50" w:name="_Toc184313286"/>
      <w:bookmarkEnd w:id="50"/>
      <w:bookmarkStart w:id="51" w:name="_Toc184313300"/>
      <w:bookmarkEnd w:id="51"/>
      <w:bookmarkStart w:id="52" w:name="_Toc184308103"/>
      <w:bookmarkEnd w:id="52"/>
      <w:bookmarkStart w:id="53" w:name="_Toc184312089"/>
      <w:bookmarkEnd w:id="53"/>
      <w:bookmarkStart w:id="54" w:name="_Toc184312093"/>
      <w:bookmarkEnd w:id="54"/>
      <w:bookmarkStart w:id="55" w:name="_Toc184313292"/>
      <w:bookmarkEnd w:id="55"/>
      <w:bookmarkStart w:id="56" w:name="_Toc184308050"/>
      <w:bookmarkEnd w:id="56"/>
      <w:bookmarkStart w:id="57" w:name="_Toc184310282"/>
      <w:bookmarkEnd w:id="57"/>
      <w:bookmarkStart w:id="58" w:name="_Toc184308079"/>
      <w:bookmarkEnd w:id="58"/>
      <w:bookmarkStart w:id="59" w:name="_Toc184312128"/>
      <w:bookmarkEnd w:id="59"/>
      <w:bookmarkStart w:id="60" w:name="_Toc184314446"/>
      <w:bookmarkEnd w:id="60"/>
      <w:bookmarkStart w:id="61" w:name="_Toc184313285"/>
      <w:bookmarkEnd w:id="61"/>
      <w:bookmarkStart w:id="62" w:name="_Toc184312135"/>
      <w:bookmarkEnd w:id="62"/>
      <w:bookmarkStart w:id="63" w:name="_Toc184312096"/>
      <w:bookmarkEnd w:id="63"/>
      <w:bookmarkStart w:id="64" w:name="_Toc184313305"/>
      <w:bookmarkEnd w:id="64"/>
      <w:bookmarkStart w:id="65" w:name="_Toc184314419"/>
      <w:bookmarkEnd w:id="65"/>
      <w:bookmarkStart w:id="66" w:name="_Toc184310330"/>
      <w:bookmarkEnd w:id="66"/>
      <w:bookmarkStart w:id="67" w:name="_Toc184312132"/>
      <w:bookmarkEnd w:id="67"/>
      <w:bookmarkStart w:id="68" w:name="_Toc184314442"/>
      <w:bookmarkEnd w:id="68"/>
      <w:bookmarkStart w:id="69" w:name="_Toc184313245"/>
      <w:bookmarkEnd w:id="69"/>
      <w:bookmarkStart w:id="70" w:name="_Toc184310299"/>
      <w:bookmarkEnd w:id="70"/>
      <w:bookmarkStart w:id="71" w:name="_Toc184313246"/>
      <w:bookmarkEnd w:id="71"/>
      <w:bookmarkStart w:id="72" w:name="_Toc184312072"/>
      <w:bookmarkEnd w:id="72"/>
      <w:bookmarkStart w:id="73" w:name="_Toc184314416"/>
      <w:bookmarkEnd w:id="73"/>
      <w:bookmarkStart w:id="74" w:name="_Toc184313275"/>
      <w:bookmarkEnd w:id="74"/>
      <w:bookmarkStart w:id="75" w:name="_Toc184312088"/>
      <w:bookmarkEnd w:id="75"/>
      <w:bookmarkStart w:id="76" w:name="_Toc184314447"/>
      <w:bookmarkEnd w:id="76"/>
      <w:bookmarkStart w:id="77" w:name="_Toc184314471"/>
      <w:bookmarkEnd w:id="77"/>
      <w:bookmarkStart w:id="78" w:name="_Toc184308056"/>
      <w:bookmarkEnd w:id="78"/>
      <w:bookmarkStart w:id="79" w:name="_Toc184310289"/>
      <w:bookmarkEnd w:id="79"/>
      <w:bookmarkStart w:id="80" w:name="_Toc184308064"/>
      <w:bookmarkEnd w:id="80"/>
      <w:bookmarkStart w:id="81" w:name="_Toc184313294"/>
      <w:bookmarkEnd w:id="81"/>
      <w:bookmarkStart w:id="82" w:name="_Toc184313241"/>
      <w:bookmarkEnd w:id="82"/>
      <w:bookmarkStart w:id="83" w:name="_Toc184314438"/>
      <w:bookmarkEnd w:id="83"/>
      <w:bookmarkStart w:id="84" w:name="_Toc184312103"/>
      <w:bookmarkEnd w:id="84"/>
      <w:bookmarkStart w:id="85" w:name="_Toc184313301"/>
      <w:bookmarkEnd w:id="85"/>
      <w:bookmarkStart w:id="86" w:name="_Toc184310325"/>
      <w:bookmarkEnd w:id="86"/>
      <w:bookmarkStart w:id="87" w:name="_Toc184313253"/>
      <w:bookmarkEnd w:id="87"/>
      <w:bookmarkStart w:id="88" w:name="_Toc184310292"/>
      <w:bookmarkEnd w:id="88"/>
      <w:bookmarkStart w:id="89" w:name="_Toc184312102"/>
      <w:bookmarkEnd w:id="89"/>
      <w:bookmarkStart w:id="90" w:name="_Toc184312091"/>
      <w:bookmarkEnd w:id="90"/>
      <w:bookmarkStart w:id="91" w:name="_Toc184314411"/>
      <w:bookmarkEnd w:id="91"/>
      <w:bookmarkStart w:id="92" w:name="_Toc184310324"/>
      <w:bookmarkEnd w:id="92"/>
      <w:bookmarkStart w:id="93" w:name="_Toc184310305"/>
      <w:bookmarkEnd w:id="93"/>
      <w:bookmarkStart w:id="94" w:name="_Toc184312118"/>
      <w:bookmarkEnd w:id="94"/>
      <w:bookmarkStart w:id="95" w:name="_Toc184312122"/>
      <w:bookmarkEnd w:id="95"/>
      <w:bookmarkStart w:id="96" w:name="_Toc184308043"/>
      <w:bookmarkEnd w:id="96"/>
      <w:bookmarkStart w:id="97" w:name="_Toc184308054"/>
      <w:bookmarkEnd w:id="97"/>
      <w:bookmarkStart w:id="98" w:name="_Toc184308104"/>
      <w:bookmarkEnd w:id="98"/>
      <w:bookmarkStart w:id="99" w:name="_Toc184314465"/>
      <w:bookmarkEnd w:id="99"/>
      <w:bookmarkStart w:id="100" w:name="_Toc184313297"/>
      <w:bookmarkEnd w:id="100"/>
      <w:bookmarkStart w:id="101" w:name="_Toc184308098"/>
      <w:bookmarkEnd w:id="101"/>
      <w:bookmarkStart w:id="102" w:name="_Toc184310280"/>
      <w:bookmarkEnd w:id="102"/>
      <w:bookmarkStart w:id="103" w:name="_Toc184308044"/>
      <w:bookmarkEnd w:id="103"/>
      <w:bookmarkStart w:id="104" w:name="_Toc184312116"/>
      <w:bookmarkEnd w:id="104"/>
      <w:bookmarkStart w:id="105" w:name="_Toc184314453"/>
      <w:bookmarkEnd w:id="105"/>
      <w:bookmarkStart w:id="106" w:name="_Toc184312087"/>
      <w:bookmarkEnd w:id="106"/>
      <w:bookmarkStart w:id="107" w:name="_Toc184313269"/>
      <w:bookmarkEnd w:id="107"/>
      <w:bookmarkStart w:id="108" w:name="_Toc184308037"/>
      <w:bookmarkEnd w:id="108"/>
      <w:bookmarkStart w:id="109" w:name="_Toc184308053"/>
      <w:bookmarkEnd w:id="109"/>
      <w:bookmarkStart w:id="110" w:name="_Toc184310290"/>
      <w:bookmarkEnd w:id="110"/>
      <w:bookmarkStart w:id="111" w:name="_Toc184312136"/>
      <w:bookmarkEnd w:id="111"/>
      <w:bookmarkStart w:id="112" w:name="_Toc184312133"/>
      <w:bookmarkEnd w:id="112"/>
      <w:bookmarkStart w:id="113" w:name="_Toc184313257"/>
      <w:bookmarkEnd w:id="113"/>
      <w:bookmarkStart w:id="114" w:name="_Toc184314474"/>
      <w:bookmarkEnd w:id="114"/>
      <w:bookmarkStart w:id="115" w:name="_Toc184312120"/>
      <w:bookmarkEnd w:id="115"/>
      <w:bookmarkStart w:id="116" w:name="_Toc184313299"/>
      <w:bookmarkEnd w:id="116"/>
      <w:bookmarkStart w:id="117" w:name="_Toc184312092"/>
      <w:bookmarkEnd w:id="117"/>
      <w:bookmarkStart w:id="118" w:name="_Toc184312111"/>
      <w:bookmarkEnd w:id="118"/>
      <w:bookmarkStart w:id="119" w:name="_Toc184310287"/>
      <w:bookmarkEnd w:id="119"/>
      <w:bookmarkStart w:id="120" w:name="_Toc184312123"/>
      <w:bookmarkEnd w:id="120"/>
      <w:bookmarkStart w:id="121" w:name="_Toc184310286"/>
      <w:bookmarkEnd w:id="121"/>
      <w:bookmarkStart w:id="122" w:name="_Toc184313303"/>
      <w:bookmarkEnd w:id="122"/>
      <w:bookmarkStart w:id="123" w:name="_Toc184312075"/>
      <w:bookmarkEnd w:id="123"/>
      <w:bookmarkStart w:id="124" w:name="_Toc184314445"/>
      <w:bookmarkEnd w:id="124"/>
      <w:bookmarkStart w:id="125" w:name="_Toc184312106"/>
      <w:bookmarkEnd w:id="125"/>
      <w:bookmarkStart w:id="126" w:name="_Toc184312069"/>
      <w:bookmarkEnd w:id="126"/>
      <w:bookmarkStart w:id="127" w:name="_Toc184313281"/>
      <w:bookmarkEnd w:id="127"/>
      <w:bookmarkStart w:id="128" w:name="_Toc184313260"/>
      <w:bookmarkEnd w:id="128"/>
      <w:bookmarkStart w:id="129" w:name="_Toc184308092"/>
      <w:bookmarkEnd w:id="129"/>
      <w:bookmarkStart w:id="130" w:name="_Toc184308047"/>
      <w:bookmarkEnd w:id="130"/>
      <w:bookmarkStart w:id="131" w:name="_Toc184313310"/>
      <w:bookmarkEnd w:id="131"/>
      <w:bookmarkStart w:id="132" w:name="_Toc184308041"/>
      <w:bookmarkEnd w:id="132"/>
      <w:bookmarkStart w:id="133" w:name="_Toc184310323"/>
      <w:bookmarkEnd w:id="133"/>
      <w:bookmarkStart w:id="134" w:name="_Toc184313284"/>
      <w:bookmarkEnd w:id="134"/>
      <w:bookmarkStart w:id="135" w:name="_Toc184314475"/>
      <w:bookmarkEnd w:id="135"/>
      <w:bookmarkStart w:id="136" w:name="_Toc184310309"/>
      <w:bookmarkEnd w:id="136"/>
      <w:bookmarkStart w:id="137" w:name="_Toc184312099"/>
      <w:bookmarkEnd w:id="137"/>
      <w:bookmarkStart w:id="138" w:name="_Toc184313243"/>
      <w:bookmarkEnd w:id="138"/>
      <w:bookmarkStart w:id="139" w:name="_Toc184310328"/>
      <w:bookmarkEnd w:id="139"/>
      <w:bookmarkStart w:id="140" w:name="_Toc184308100"/>
      <w:bookmarkEnd w:id="140"/>
      <w:bookmarkStart w:id="141" w:name="_Toc184312094"/>
      <w:bookmarkEnd w:id="141"/>
      <w:bookmarkStart w:id="142" w:name="_Toc184313289"/>
      <w:bookmarkEnd w:id="142"/>
      <w:bookmarkStart w:id="143" w:name="_Toc184313287"/>
      <w:bookmarkEnd w:id="143"/>
      <w:bookmarkStart w:id="144" w:name="_Toc184308097"/>
      <w:bookmarkEnd w:id="144"/>
      <w:bookmarkStart w:id="145" w:name="_Toc184310322"/>
      <w:bookmarkEnd w:id="145"/>
      <w:bookmarkStart w:id="146" w:name="_Toc184312084"/>
      <w:bookmarkEnd w:id="146"/>
      <w:bookmarkStart w:id="147" w:name="_Toc184310275"/>
      <w:bookmarkEnd w:id="147"/>
      <w:bookmarkStart w:id="148" w:name="_Toc184308088"/>
      <w:bookmarkEnd w:id="148"/>
      <w:bookmarkStart w:id="149" w:name="_Toc184314420"/>
      <w:bookmarkEnd w:id="149"/>
      <w:bookmarkStart w:id="150" w:name="_Toc184314414"/>
      <w:bookmarkEnd w:id="150"/>
      <w:bookmarkStart w:id="151" w:name="_Toc184308065"/>
      <w:bookmarkEnd w:id="151"/>
      <w:bookmarkStart w:id="152" w:name="_Toc184314413"/>
      <w:bookmarkEnd w:id="152"/>
      <w:bookmarkStart w:id="153" w:name="_Toc184314477"/>
      <w:bookmarkEnd w:id="153"/>
      <w:bookmarkStart w:id="154" w:name="_Toc184310293"/>
      <w:bookmarkEnd w:id="154"/>
      <w:bookmarkStart w:id="155" w:name="_Toc184313258"/>
      <w:bookmarkEnd w:id="155"/>
      <w:bookmarkStart w:id="156" w:name="_Toc184308078"/>
      <w:bookmarkEnd w:id="156"/>
      <w:bookmarkStart w:id="157" w:name="_Toc184313291"/>
      <w:bookmarkEnd w:id="157"/>
      <w:bookmarkStart w:id="158" w:name="_Toc184312079"/>
      <w:bookmarkEnd w:id="158"/>
      <w:bookmarkStart w:id="159" w:name="_Toc184312125"/>
      <w:bookmarkEnd w:id="159"/>
      <w:bookmarkStart w:id="160" w:name="_Toc184310300"/>
      <w:bookmarkEnd w:id="160"/>
      <w:bookmarkStart w:id="161" w:name="_Toc184308070"/>
      <w:bookmarkEnd w:id="161"/>
      <w:bookmarkStart w:id="162" w:name="_Toc184313270"/>
      <w:bookmarkEnd w:id="162"/>
      <w:bookmarkStart w:id="163" w:name="_Toc184308067"/>
      <w:bookmarkEnd w:id="163"/>
      <w:bookmarkStart w:id="164" w:name="_Toc184310301"/>
      <w:bookmarkEnd w:id="164"/>
      <w:bookmarkStart w:id="165" w:name="_Toc184308084"/>
      <w:bookmarkEnd w:id="165"/>
      <w:bookmarkStart w:id="166" w:name="_Toc184313295"/>
      <w:bookmarkEnd w:id="166"/>
      <w:bookmarkStart w:id="167" w:name="_Toc184312073"/>
      <w:bookmarkEnd w:id="167"/>
      <w:bookmarkStart w:id="168" w:name="_Toc184313242"/>
      <w:bookmarkEnd w:id="168"/>
      <w:bookmarkStart w:id="169" w:name="_Toc184310336"/>
      <w:bookmarkEnd w:id="169"/>
      <w:bookmarkStart w:id="170" w:name="_Toc184310332"/>
      <w:bookmarkEnd w:id="170"/>
      <w:bookmarkStart w:id="171" w:name="_Toc184308055"/>
      <w:bookmarkEnd w:id="171"/>
      <w:bookmarkStart w:id="172" w:name="_Toc184312098"/>
      <w:bookmarkEnd w:id="172"/>
      <w:bookmarkStart w:id="173" w:name="_Toc184308085"/>
      <w:bookmarkEnd w:id="173"/>
      <w:bookmarkStart w:id="174" w:name="_Toc184308073"/>
      <w:bookmarkEnd w:id="174"/>
      <w:bookmarkStart w:id="175" w:name="_Toc184310274"/>
      <w:bookmarkEnd w:id="175"/>
      <w:bookmarkStart w:id="176" w:name="_Toc184310308"/>
      <w:bookmarkEnd w:id="176"/>
      <w:bookmarkStart w:id="177" w:name="_Toc184310297"/>
      <w:bookmarkEnd w:id="177"/>
      <w:bookmarkStart w:id="178" w:name="_Toc184310319"/>
      <w:bookmarkEnd w:id="178"/>
      <w:bookmarkStart w:id="179" w:name="_Toc184314436"/>
      <w:bookmarkEnd w:id="179"/>
      <w:bookmarkStart w:id="180" w:name="_Toc184314460"/>
      <w:bookmarkEnd w:id="180"/>
      <w:bookmarkStart w:id="181" w:name="_Toc184314432"/>
      <w:bookmarkEnd w:id="181"/>
      <w:bookmarkStart w:id="182" w:name="_Toc184313273"/>
      <w:bookmarkEnd w:id="182"/>
      <w:bookmarkStart w:id="183" w:name="_Toc184313268"/>
      <w:bookmarkEnd w:id="183"/>
      <w:bookmarkStart w:id="184" w:name="_Toc184314412"/>
      <w:bookmarkEnd w:id="184"/>
      <w:bookmarkStart w:id="185" w:name="_Toc184310296"/>
      <w:bookmarkEnd w:id="185"/>
      <w:bookmarkStart w:id="186" w:name="_Toc184313307"/>
      <w:bookmarkEnd w:id="186"/>
      <w:bookmarkStart w:id="187" w:name="_Toc184308094"/>
      <w:bookmarkEnd w:id="187"/>
      <w:bookmarkStart w:id="188" w:name="_Toc184314421"/>
      <w:bookmarkEnd w:id="188"/>
      <w:bookmarkStart w:id="189" w:name="_Toc184313251"/>
      <w:bookmarkEnd w:id="189"/>
      <w:bookmarkStart w:id="190" w:name="_Toc184313252"/>
      <w:bookmarkEnd w:id="190"/>
      <w:bookmarkStart w:id="191" w:name="_Toc184308074"/>
      <w:bookmarkEnd w:id="191"/>
      <w:bookmarkStart w:id="192" w:name="_Toc184310343"/>
      <w:bookmarkEnd w:id="192"/>
      <w:bookmarkStart w:id="193" w:name="_Toc184310342"/>
      <w:bookmarkEnd w:id="193"/>
      <w:bookmarkStart w:id="194" w:name="_Toc184310338"/>
      <w:bookmarkEnd w:id="194"/>
      <w:bookmarkStart w:id="195" w:name="_Toc184310311"/>
      <w:bookmarkEnd w:id="195"/>
      <w:bookmarkStart w:id="196" w:name="_Toc184313279"/>
      <w:bookmarkEnd w:id="196"/>
      <w:bookmarkStart w:id="197" w:name="_Toc184310320"/>
      <w:bookmarkEnd w:id="197"/>
      <w:bookmarkStart w:id="198" w:name="_Toc184313276"/>
      <w:bookmarkEnd w:id="198"/>
      <w:bookmarkStart w:id="199" w:name="_Toc184313308"/>
      <w:bookmarkEnd w:id="199"/>
      <w:bookmarkStart w:id="200" w:name="_Toc184312097"/>
      <w:bookmarkEnd w:id="200"/>
      <w:bookmarkStart w:id="201" w:name="_Toc184314425"/>
      <w:bookmarkEnd w:id="201"/>
      <w:bookmarkStart w:id="202" w:name="_Toc184314454"/>
      <w:bookmarkEnd w:id="202"/>
      <w:bookmarkStart w:id="203" w:name="_Toc184313293"/>
      <w:bookmarkEnd w:id="203"/>
      <w:bookmarkStart w:id="204" w:name="_Toc184308040"/>
      <w:bookmarkEnd w:id="204"/>
      <w:bookmarkStart w:id="205" w:name="_Toc184308068"/>
      <w:bookmarkEnd w:id="205"/>
      <w:bookmarkStart w:id="206" w:name="_Toc184310339"/>
      <w:bookmarkEnd w:id="206"/>
      <w:bookmarkStart w:id="207" w:name="_Toc184314443"/>
      <w:bookmarkEnd w:id="207"/>
      <w:bookmarkStart w:id="208" w:name="_Toc184313265"/>
      <w:bookmarkEnd w:id="208"/>
      <w:bookmarkStart w:id="209" w:name="_Toc184308066"/>
      <w:bookmarkEnd w:id="209"/>
      <w:bookmarkStart w:id="210" w:name="_Toc184313264"/>
      <w:bookmarkEnd w:id="210"/>
      <w:bookmarkStart w:id="211" w:name="_Toc184312077"/>
      <w:bookmarkEnd w:id="211"/>
      <w:bookmarkStart w:id="212" w:name="_Toc184314473"/>
      <w:bookmarkEnd w:id="212"/>
      <w:bookmarkStart w:id="213" w:name="_Toc184312139"/>
      <w:bookmarkEnd w:id="213"/>
      <w:bookmarkStart w:id="214" w:name="_Toc184313244"/>
      <w:bookmarkEnd w:id="214"/>
      <w:bookmarkStart w:id="215" w:name="_Toc184314469"/>
      <w:bookmarkEnd w:id="215"/>
      <w:bookmarkStart w:id="216" w:name="_Toc184314476"/>
      <w:bookmarkEnd w:id="216"/>
      <w:bookmarkStart w:id="217" w:name="_Toc184310291"/>
      <w:bookmarkEnd w:id="217"/>
      <w:bookmarkStart w:id="218" w:name="_Toc184313266"/>
      <w:bookmarkEnd w:id="218"/>
      <w:bookmarkStart w:id="219" w:name="_Toc184308072"/>
      <w:bookmarkEnd w:id="219"/>
      <w:bookmarkStart w:id="220" w:name="_Toc184314433"/>
      <w:bookmarkEnd w:id="220"/>
      <w:bookmarkStart w:id="221" w:name="_Toc184314450"/>
      <w:bookmarkEnd w:id="221"/>
      <w:bookmarkStart w:id="222" w:name="_Toc184314418"/>
      <w:bookmarkEnd w:id="222"/>
      <w:bookmarkStart w:id="223" w:name="_Toc184313250"/>
      <w:bookmarkEnd w:id="223"/>
      <w:bookmarkStart w:id="224" w:name="_Toc184310312"/>
      <w:bookmarkEnd w:id="224"/>
      <w:bookmarkStart w:id="225" w:name="_Toc184313283"/>
      <w:bookmarkEnd w:id="225"/>
      <w:bookmarkStart w:id="226" w:name="_Toc184308082"/>
      <w:bookmarkEnd w:id="226"/>
      <w:bookmarkStart w:id="227" w:name="_Toc184313296"/>
      <w:bookmarkEnd w:id="227"/>
      <w:bookmarkStart w:id="228" w:name="_Toc184312068"/>
      <w:bookmarkEnd w:id="228"/>
      <w:bookmarkStart w:id="229" w:name="_Toc184313302"/>
      <w:bookmarkEnd w:id="229"/>
      <w:bookmarkStart w:id="230" w:name="_Toc184312134"/>
      <w:bookmarkEnd w:id="230"/>
      <w:bookmarkStart w:id="231" w:name="_Toc184308058"/>
      <w:bookmarkEnd w:id="231"/>
      <w:bookmarkStart w:id="232" w:name="_Toc184310318"/>
      <w:bookmarkEnd w:id="232"/>
      <w:bookmarkStart w:id="233" w:name="_Toc184313304"/>
      <w:bookmarkEnd w:id="233"/>
      <w:bookmarkStart w:id="234" w:name="_Toc184313247"/>
      <w:bookmarkEnd w:id="234"/>
      <w:bookmarkStart w:id="235" w:name="_Toc184314441"/>
      <w:bookmarkEnd w:id="235"/>
      <w:bookmarkStart w:id="236" w:name="_Toc184313288"/>
      <w:bookmarkEnd w:id="236"/>
      <w:bookmarkStart w:id="237" w:name="_Toc184310307"/>
      <w:bookmarkEnd w:id="237"/>
      <w:bookmarkStart w:id="238" w:name="_Toc184308086"/>
      <w:bookmarkEnd w:id="238"/>
      <w:bookmarkStart w:id="239" w:name="_Toc184314464"/>
      <w:bookmarkEnd w:id="239"/>
      <w:bookmarkStart w:id="240" w:name="_Toc184313309"/>
      <w:bookmarkEnd w:id="240"/>
      <w:bookmarkStart w:id="241" w:name="_Toc184312112"/>
      <w:bookmarkEnd w:id="241"/>
      <w:bookmarkStart w:id="242" w:name="_Toc184313277"/>
      <w:bookmarkEnd w:id="242"/>
      <w:bookmarkStart w:id="243" w:name="_Toc184313240"/>
      <w:bookmarkEnd w:id="243"/>
      <w:bookmarkStart w:id="244" w:name="_Toc184312130"/>
      <w:bookmarkEnd w:id="244"/>
      <w:bookmarkStart w:id="245" w:name="_Toc184310331"/>
      <w:bookmarkEnd w:id="245"/>
      <w:bookmarkStart w:id="246" w:name="_Toc184312081"/>
      <w:bookmarkEnd w:id="246"/>
      <w:bookmarkStart w:id="247" w:name="_Toc184313298"/>
      <w:bookmarkEnd w:id="247"/>
      <w:bookmarkStart w:id="248" w:name="_Toc184312109"/>
      <w:bookmarkEnd w:id="248"/>
      <w:bookmarkStart w:id="249" w:name="_Toc184312105"/>
      <w:bookmarkEnd w:id="249"/>
      <w:bookmarkStart w:id="250" w:name="_Toc184310341"/>
      <w:bookmarkEnd w:id="250"/>
      <w:bookmarkStart w:id="251" w:name="_Toc184312100"/>
      <w:bookmarkEnd w:id="251"/>
      <w:bookmarkStart w:id="252" w:name="_Toc184314467"/>
      <w:bookmarkEnd w:id="252"/>
      <w:bookmarkStart w:id="253" w:name="_Toc184313238"/>
      <w:bookmarkEnd w:id="253"/>
      <w:bookmarkStart w:id="254" w:name="_Toc184308071"/>
      <w:bookmarkEnd w:id="254"/>
      <w:bookmarkStart w:id="255" w:name="_Toc184310329"/>
      <w:bookmarkEnd w:id="255"/>
      <w:bookmarkStart w:id="256" w:name="_Toc184314472"/>
      <w:bookmarkEnd w:id="256"/>
      <w:bookmarkStart w:id="257" w:name="_Toc184308080"/>
      <w:bookmarkEnd w:id="257"/>
      <w:bookmarkStart w:id="258" w:name="_Toc184313248"/>
      <w:bookmarkEnd w:id="258"/>
      <w:bookmarkStart w:id="259" w:name="_Toc184312090"/>
      <w:bookmarkEnd w:id="259"/>
      <w:bookmarkStart w:id="260" w:name="_Toc184310278"/>
      <w:bookmarkEnd w:id="260"/>
      <w:bookmarkStart w:id="261" w:name="_Toc184313256"/>
      <w:bookmarkEnd w:id="261"/>
      <w:bookmarkStart w:id="262" w:name="_Toc184308091"/>
      <w:bookmarkEnd w:id="262"/>
      <w:bookmarkStart w:id="263" w:name="_Toc184312124"/>
      <w:bookmarkEnd w:id="263"/>
      <w:bookmarkStart w:id="264" w:name="_Toc184310303"/>
      <w:bookmarkEnd w:id="264"/>
      <w:bookmarkStart w:id="265" w:name="_Toc184313254"/>
      <w:bookmarkEnd w:id="265"/>
      <w:bookmarkStart w:id="266" w:name="_Toc184308062"/>
      <w:bookmarkEnd w:id="266"/>
      <w:bookmarkStart w:id="267" w:name="_Toc184314458"/>
      <w:bookmarkEnd w:id="267"/>
      <w:bookmarkStart w:id="268" w:name="_Toc184314437"/>
      <w:bookmarkEnd w:id="268"/>
      <w:bookmarkStart w:id="269" w:name="_Toc184314429"/>
      <w:bookmarkEnd w:id="269"/>
      <w:bookmarkStart w:id="270" w:name="_Toc184314415"/>
      <w:bookmarkEnd w:id="270"/>
      <w:bookmarkStart w:id="271" w:name="_Toc184308045"/>
      <w:bookmarkEnd w:id="271"/>
      <w:bookmarkStart w:id="272" w:name="_Toc184310304"/>
      <w:bookmarkEnd w:id="272"/>
      <w:bookmarkStart w:id="273" w:name="_Toc184313272"/>
      <w:bookmarkEnd w:id="273"/>
      <w:bookmarkStart w:id="274" w:name="_Toc184310306"/>
      <w:bookmarkEnd w:id="274"/>
      <w:bookmarkStart w:id="275" w:name="_Toc184312086"/>
      <w:bookmarkEnd w:id="275"/>
      <w:bookmarkStart w:id="276" w:name="_Toc184310314"/>
      <w:bookmarkEnd w:id="276"/>
      <w:bookmarkStart w:id="277" w:name="_Toc184310321"/>
      <w:bookmarkEnd w:id="277"/>
      <w:bookmarkStart w:id="278" w:name="_Toc184310302"/>
      <w:bookmarkEnd w:id="278"/>
      <w:bookmarkStart w:id="279" w:name="_Toc184312137"/>
      <w:bookmarkEnd w:id="279"/>
      <w:bookmarkStart w:id="280" w:name="_Toc184308089"/>
      <w:bookmarkEnd w:id="280"/>
      <w:bookmarkStart w:id="281" w:name="_Toc184310333"/>
      <w:bookmarkEnd w:id="281"/>
      <w:bookmarkStart w:id="282" w:name="_Toc184308095"/>
      <w:bookmarkEnd w:id="282"/>
      <w:bookmarkStart w:id="283" w:name="_Toc184310344"/>
      <w:bookmarkEnd w:id="283"/>
      <w:bookmarkStart w:id="284" w:name="_Toc184313259"/>
      <w:bookmarkEnd w:id="284"/>
      <w:bookmarkStart w:id="285" w:name="_Toc184310313"/>
      <w:bookmarkEnd w:id="285"/>
      <w:bookmarkStart w:id="286" w:name="_Toc184310315"/>
      <w:bookmarkEnd w:id="286"/>
      <w:bookmarkStart w:id="287" w:name="_Toc184310281"/>
      <w:bookmarkEnd w:id="287"/>
      <w:bookmarkStart w:id="288" w:name="_Toc184310317"/>
      <w:bookmarkEnd w:id="288"/>
      <w:bookmarkStart w:id="289" w:name="_Toc184312114"/>
      <w:bookmarkEnd w:id="289"/>
      <w:bookmarkStart w:id="290" w:name="_Toc184314428"/>
      <w:bookmarkEnd w:id="290"/>
      <w:bookmarkStart w:id="291" w:name="_Toc184312113"/>
      <w:bookmarkEnd w:id="291"/>
      <w:bookmarkStart w:id="292" w:name="_Toc184308063"/>
      <w:bookmarkEnd w:id="292"/>
      <w:bookmarkStart w:id="293" w:name="_Toc184314459"/>
      <w:bookmarkEnd w:id="293"/>
      <w:bookmarkStart w:id="294" w:name="_Toc184313282"/>
      <w:bookmarkEnd w:id="294"/>
      <w:bookmarkStart w:id="295" w:name="_Toc184314431"/>
      <w:bookmarkEnd w:id="295"/>
      <w:bookmarkStart w:id="296" w:name="_Toc184308060"/>
      <w:bookmarkEnd w:id="296"/>
      <w:bookmarkStart w:id="297" w:name="_Toc184314423"/>
      <w:bookmarkEnd w:id="297"/>
      <w:bookmarkStart w:id="298" w:name="_Toc184314480"/>
      <w:bookmarkEnd w:id="298"/>
      <w:bookmarkStart w:id="299" w:name="_Toc184314461"/>
      <w:bookmarkEnd w:id="299"/>
      <w:bookmarkStart w:id="300" w:name="_Toc184308102"/>
      <w:bookmarkEnd w:id="300"/>
      <w:bookmarkStart w:id="301" w:name="_Toc184308051"/>
      <w:bookmarkEnd w:id="301"/>
      <w:bookmarkStart w:id="302" w:name="_Toc184313261"/>
      <w:bookmarkEnd w:id="302"/>
      <w:bookmarkStart w:id="303" w:name="_Toc184308039"/>
      <w:bookmarkEnd w:id="303"/>
      <w:bookmarkStart w:id="304" w:name="_Toc184310294"/>
      <w:bookmarkEnd w:id="304"/>
      <w:bookmarkStart w:id="305" w:name="_Toc184308096"/>
      <w:bookmarkEnd w:id="305"/>
      <w:bookmarkStart w:id="306" w:name="_Toc184308042"/>
      <w:bookmarkEnd w:id="306"/>
      <w:bookmarkStart w:id="307" w:name="_Toc184308106"/>
      <w:bookmarkEnd w:id="307"/>
      <w:bookmarkStart w:id="308" w:name="_Toc184312107"/>
      <w:bookmarkEnd w:id="308"/>
      <w:bookmarkStart w:id="309" w:name="_Toc184314449"/>
      <w:bookmarkEnd w:id="309"/>
      <w:bookmarkStart w:id="310" w:name="_Toc184308052"/>
      <w:bookmarkEnd w:id="310"/>
      <w:bookmarkStart w:id="311" w:name="_Toc184308049"/>
      <w:bookmarkEnd w:id="311"/>
      <w:bookmarkStart w:id="312" w:name="_Toc184314417"/>
      <w:bookmarkEnd w:id="312"/>
      <w:bookmarkStart w:id="313" w:name="_Toc184308105"/>
      <w:bookmarkEnd w:id="313"/>
      <w:bookmarkStart w:id="314" w:name="_Toc184314455"/>
      <w:bookmarkEnd w:id="314"/>
      <w:bookmarkStart w:id="315" w:name="_Toc184312076"/>
      <w:bookmarkEnd w:id="315"/>
      <w:bookmarkStart w:id="316" w:name="_Toc184310310"/>
      <w:bookmarkEnd w:id="316"/>
      <w:bookmarkStart w:id="317" w:name="_Toc184308101"/>
      <w:bookmarkEnd w:id="317"/>
      <w:bookmarkStart w:id="318" w:name="_Toc184308083"/>
      <w:bookmarkEnd w:id="318"/>
      <w:bookmarkStart w:id="319" w:name="_Toc184314451"/>
      <w:bookmarkEnd w:id="319"/>
      <w:bookmarkStart w:id="320" w:name="_Toc184308076"/>
      <w:bookmarkEnd w:id="320"/>
      <w:bookmarkStart w:id="321" w:name="_Toc184314481"/>
      <w:bookmarkEnd w:id="321"/>
      <w:bookmarkStart w:id="322" w:name="_Toc184312127"/>
      <w:bookmarkEnd w:id="322"/>
      <w:bookmarkStart w:id="323" w:name="_Toc184310337"/>
      <w:bookmarkEnd w:id="323"/>
      <w:bookmarkStart w:id="324" w:name="_Toc184308093"/>
      <w:bookmarkEnd w:id="324"/>
      <w:bookmarkStart w:id="325" w:name="_Toc184314430"/>
      <w:bookmarkEnd w:id="325"/>
      <w:bookmarkStart w:id="326" w:name="_Toc184313262"/>
      <w:bookmarkEnd w:id="326"/>
      <w:bookmarkStart w:id="327" w:name="_Toc184312082"/>
      <w:bookmarkEnd w:id="327"/>
      <w:bookmarkStart w:id="328" w:name="_Toc184314440"/>
      <w:bookmarkEnd w:id="328"/>
      <w:bookmarkStart w:id="329" w:name="_Toc184312074"/>
      <w:bookmarkEnd w:id="329"/>
      <w:bookmarkStart w:id="330" w:name="_Toc184312119"/>
      <w:bookmarkEnd w:id="330"/>
      <w:bookmarkStart w:id="331" w:name="_Toc184313271"/>
      <w:bookmarkEnd w:id="331"/>
      <w:bookmarkStart w:id="332" w:name="_Toc184310279"/>
      <w:bookmarkEnd w:id="332"/>
      <w:bookmarkStart w:id="333" w:name="_Toc184308046"/>
      <w:bookmarkEnd w:id="333"/>
      <w:bookmarkStart w:id="334" w:name="_Toc184314422"/>
      <w:bookmarkEnd w:id="334"/>
      <w:bookmarkStart w:id="335" w:name="_Toc184312080"/>
      <w:bookmarkEnd w:id="335"/>
      <w:bookmarkStart w:id="336" w:name="_Toc184310284"/>
      <w:bookmarkEnd w:id="336"/>
      <w:bookmarkStart w:id="337" w:name="_Toc184313280"/>
      <w:bookmarkEnd w:id="337"/>
      <w:bookmarkStart w:id="338" w:name="_Toc184312101"/>
      <w:bookmarkEnd w:id="338"/>
      <w:bookmarkStart w:id="339" w:name="_Toc184312108"/>
      <w:bookmarkEnd w:id="339"/>
      <w:bookmarkStart w:id="340" w:name="_Toc184313239"/>
      <w:bookmarkEnd w:id="340"/>
      <w:bookmarkStart w:id="341" w:name="_Toc184310276"/>
      <w:bookmarkEnd w:id="341"/>
      <w:bookmarkStart w:id="342" w:name="_Toc184313249"/>
      <w:bookmarkEnd w:id="342"/>
      <w:bookmarkStart w:id="343" w:name="_Toc184314462"/>
      <w:bookmarkEnd w:id="343"/>
      <w:bookmarkStart w:id="344" w:name="_Toc184312078"/>
      <w:bookmarkEnd w:id="344"/>
      <w:bookmarkStart w:id="345" w:name="_Toc184312117"/>
      <w:bookmarkEnd w:id="345"/>
      <w:bookmarkStart w:id="346" w:name="_Toc184313274"/>
      <w:bookmarkEnd w:id="346"/>
      <w:bookmarkStart w:id="347" w:name="_Toc184312138"/>
      <w:bookmarkEnd w:id="347"/>
      <w:bookmarkStart w:id="348" w:name="_Toc184314470"/>
      <w:bookmarkEnd w:id="348"/>
      <w:bookmarkStart w:id="349" w:name="_Toc184308087"/>
      <w:bookmarkEnd w:id="349"/>
      <w:bookmarkStart w:id="350" w:name="_Toc184314478"/>
      <w:bookmarkEnd w:id="350"/>
      <w:bookmarkStart w:id="351" w:name="_Toc184314410"/>
      <w:bookmarkEnd w:id="351"/>
      <w:bookmarkStart w:id="352" w:name="_Toc184308077"/>
      <w:bookmarkEnd w:id="352"/>
      <w:bookmarkStart w:id="353" w:name="_Toc184312071"/>
      <w:bookmarkEnd w:id="353"/>
      <w:bookmarkStart w:id="354" w:name="_Toc184312126"/>
      <w:bookmarkEnd w:id="354"/>
      <w:bookmarkStart w:id="355" w:name="_Toc184312083"/>
      <w:bookmarkEnd w:id="355"/>
      <w:bookmarkStart w:id="356" w:name="_Toc184314479"/>
      <w:bookmarkEnd w:id="356"/>
      <w:bookmarkStart w:id="357" w:name="_Toc184314452"/>
      <w:bookmarkEnd w:id="357"/>
      <w:bookmarkStart w:id="358" w:name="_Toc184310327"/>
      <w:bookmarkEnd w:id="358"/>
      <w:bookmarkStart w:id="359" w:name="_Toc184308107"/>
      <w:bookmarkEnd w:id="359"/>
      <w:bookmarkStart w:id="360" w:name="_Toc184314448"/>
      <w:bookmarkEnd w:id="360"/>
      <w:bookmarkStart w:id="361" w:name="_Toc184312067"/>
      <w:bookmarkEnd w:id="361"/>
      <w:bookmarkStart w:id="362" w:name="_Toc184313278"/>
      <w:bookmarkEnd w:id="362"/>
      <w:bookmarkStart w:id="363" w:name="_Toc184310288"/>
      <w:bookmarkEnd w:id="363"/>
      <w:bookmarkStart w:id="364" w:name="_Toc184310298"/>
      <w:bookmarkEnd w:id="364"/>
      <w:bookmarkStart w:id="365" w:name="_Toc184314468"/>
      <w:bookmarkEnd w:id="365"/>
      <w:bookmarkStart w:id="366" w:name="_Toc184313267"/>
      <w:bookmarkEnd w:id="366"/>
      <w:bookmarkStart w:id="367" w:name="_Toc184313290"/>
      <w:bookmarkEnd w:id="367"/>
      <w:bookmarkStart w:id="368" w:name="_Toc184314457"/>
      <w:bookmarkEnd w:id="368"/>
      <w:bookmarkStart w:id="369" w:name="_Toc184310334"/>
      <w:bookmarkEnd w:id="369"/>
      <w:bookmarkStart w:id="370" w:name="_Toc184312121"/>
      <w:bookmarkEnd w:id="370"/>
      <w:bookmarkStart w:id="371" w:name="_Toc184310285"/>
      <w:bookmarkEnd w:id="371"/>
      <w:bookmarkStart w:id="372" w:name="_Toc184308075"/>
      <w:bookmarkEnd w:id="372"/>
      <w:bookmarkStart w:id="373" w:name="_Toc184312095"/>
      <w:bookmarkEnd w:id="373"/>
      <w:bookmarkStart w:id="374" w:name="_Toc184310272"/>
      <w:bookmarkEnd w:id="374"/>
      <w:bookmarkStart w:id="375" w:name="_Toc184314482"/>
      <w:bookmarkEnd w:id="375"/>
      <w:bookmarkStart w:id="376" w:name="_Toc184314456"/>
      <w:bookmarkEnd w:id="376"/>
      <w:bookmarkStart w:id="377" w:name="_Toc184310277"/>
      <w:bookmarkEnd w:id="377"/>
      <w:bookmarkStart w:id="378" w:name="_Toc184308059"/>
      <w:bookmarkEnd w:id="378"/>
      <w:bookmarkStart w:id="379" w:name="_Toc184314426"/>
      <w:bookmarkEnd w:id="379"/>
      <w:bookmarkStart w:id="380" w:name="_Toc184313263"/>
      <w:bookmarkEnd w:id="380"/>
      <w:bookmarkStart w:id="381" w:name="_Toc184310295"/>
      <w:bookmarkEnd w:id="381"/>
      <w:bookmarkStart w:id="382" w:name="_Toc184314424"/>
      <w:bookmarkEnd w:id="382"/>
      <w:r>
        <w:rPr>
          <w:rFonts w:hint="eastAsia" w:ascii="仿宋" w:hAnsi="仿宋" w:eastAsia="仿宋" w:cs="仿宋"/>
          <w:color w:val="auto"/>
          <w:kern w:val="2"/>
          <w:sz w:val="32"/>
          <w:szCs w:val="32"/>
          <w:highlight w:val="none"/>
          <w:lang w:val="en-US" w:eastAsia="zh-CN" w:bidi="ar-SA"/>
        </w:rPr>
        <w:t>评标办法</w:t>
      </w:r>
    </w:p>
    <w:p w14:paraId="74900F2C">
      <w:pPr>
        <w:widowControl/>
        <w:numPr>
          <w:ilvl w:val="0"/>
          <w:numId w:val="1"/>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商务技术部分（</w:t>
      </w:r>
      <w:r>
        <w:rPr>
          <w:rFonts w:hint="eastAsia" w:ascii="仿宋" w:hAnsi="仿宋" w:eastAsia="仿宋" w:cs="仿宋"/>
          <w:b/>
          <w:bCs/>
          <w:color w:val="auto"/>
          <w:sz w:val="24"/>
          <w:szCs w:val="24"/>
          <w:highlight w:val="none"/>
          <w:lang w:val="en-US" w:eastAsia="zh-CN"/>
        </w:rPr>
        <w:t>85</w:t>
      </w:r>
      <w:r>
        <w:rPr>
          <w:rFonts w:hint="eastAsia" w:ascii="仿宋" w:hAnsi="仿宋" w:eastAsia="仿宋" w:cs="仿宋"/>
          <w:b/>
          <w:bCs/>
          <w:color w:val="auto"/>
          <w:sz w:val="24"/>
          <w:szCs w:val="24"/>
          <w:highlight w:val="none"/>
        </w:rPr>
        <w:t>分）</w:t>
      </w:r>
    </w:p>
    <w:tbl>
      <w:tblPr>
        <w:tblStyle w:val="63"/>
        <w:tblW w:w="9036" w:type="dxa"/>
        <w:jc w:val="center"/>
        <w:tblLayout w:type="fixed"/>
        <w:tblCellMar>
          <w:top w:w="0" w:type="dxa"/>
          <w:left w:w="108" w:type="dxa"/>
          <w:bottom w:w="0" w:type="dxa"/>
          <w:right w:w="108" w:type="dxa"/>
        </w:tblCellMar>
      </w:tblPr>
      <w:tblGrid>
        <w:gridCol w:w="778"/>
        <w:gridCol w:w="843"/>
        <w:gridCol w:w="4750"/>
        <w:gridCol w:w="1360"/>
        <w:gridCol w:w="1305"/>
      </w:tblGrid>
      <w:tr w14:paraId="16506674">
        <w:tblPrEx>
          <w:tblCellMar>
            <w:top w:w="0" w:type="dxa"/>
            <w:left w:w="108" w:type="dxa"/>
            <w:bottom w:w="0" w:type="dxa"/>
            <w:right w:w="108" w:type="dxa"/>
          </w:tblCellMar>
        </w:tblPrEx>
        <w:trPr>
          <w:trHeight w:val="1033" w:hRule="atLeast"/>
          <w:jc w:val="center"/>
        </w:trPr>
        <w:tc>
          <w:tcPr>
            <w:tcW w:w="778" w:type="dxa"/>
            <w:tcBorders>
              <w:top w:val="single" w:color="auto" w:sz="8" w:space="0"/>
              <w:left w:val="single" w:color="auto" w:sz="8" w:space="0"/>
              <w:bottom w:val="single" w:color="auto" w:sz="8" w:space="0"/>
              <w:right w:val="single" w:color="auto" w:sz="4" w:space="0"/>
            </w:tcBorders>
            <w:noWrap w:val="0"/>
            <w:vAlign w:val="center"/>
          </w:tcPr>
          <w:p w14:paraId="778BCFE9">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5593" w:type="dxa"/>
            <w:gridSpan w:val="2"/>
            <w:tcBorders>
              <w:top w:val="single" w:color="auto" w:sz="8" w:space="0"/>
              <w:left w:val="nil"/>
              <w:bottom w:val="single" w:color="auto" w:sz="8" w:space="0"/>
              <w:right w:val="single" w:color="auto" w:sz="4" w:space="0"/>
            </w:tcBorders>
            <w:noWrap w:val="0"/>
            <w:vAlign w:val="center"/>
          </w:tcPr>
          <w:p w14:paraId="0C047034">
            <w:pPr>
              <w:widowControl/>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评分内容和标准</w:t>
            </w:r>
          </w:p>
        </w:tc>
        <w:tc>
          <w:tcPr>
            <w:tcW w:w="1360" w:type="dxa"/>
            <w:tcBorders>
              <w:top w:val="single" w:color="auto" w:sz="8" w:space="0"/>
              <w:left w:val="nil"/>
              <w:bottom w:val="single" w:color="auto" w:sz="8" w:space="0"/>
              <w:right w:val="single" w:color="auto" w:sz="4" w:space="0"/>
            </w:tcBorders>
            <w:noWrap w:val="0"/>
            <w:vAlign w:val="center"/>
          </w:tcPr>
          <w:p w14:paraId="65F16826">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分值区间</w:t>
            </w:r>
          </w:p>
        </w:tc>
        <w:tc>
          <w:tcPr>
            <w:tcW w:w="1305" w:type="dxa"/>
            <w:tcBorders>
              <w:top w:val="single" w:color="auto" w:sz="8" w:space="0"/>
              <w:left w:val="nil"/>
              <w:bottom w:val="single" w:color="auto" w:sz="8" w:space="0"/>
              <w:right w:val="single" w:color="auto" w:sz="4" w:space="0"/>
            </w:tcBorders>
            <w:noWrap w:val="0"/>
            <w:vAlign w:val="center"/>
          </w:tcPr>
          <w:p w14:paraId="51690125">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主客观分</w:t>
            </w:r>
          </w:p>
        </w:tc>
      </w:tr>
      <w:tr w14:paraId="12E44CF0">
        <w:tblPrEx>
          <w:tblCellMar>
            <w:top w:w="0" w:type="dxa"/>
            <w:left w:w="108" w:type="dxa"/>
            <w:bottom w:w="0" w:type="dxa"/>
            <w:right w:w="108" w:type="dxa"/>
          </w:tblCellMar>
        </w:tblPrEx>
        <w:trPr>
          <w:trHeight w:val="1033" w:hRule="atLeast"/>
          <w:jc w:val="center"/>
        </w:trPr>
        <w:tc>
          <w:tcPr>
            <w:tcW w:w="778" w:type="dxa"/>
            <w:vMerge w:val="restart"/>
            <w:tcBorders>
              <w:left w:val="single" w:color="auto" w:sz="8" w:space="0"/>
              <w:right w:val="single" w:color="auto" w:sz="4" w:space="0"/>
            </w:tcBorders>
            <w:noWrap w:val="0"/>
            <w:vAlign w:val="center"/>
          </w:tcPr>
          <w:p w14:paraId="238614DC">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商务资信6分</w:t>
            </w:r>
          </w:p>
        </w:tc>
        <w:tc>
          <w:tcPr>
            <w:tcW w:w="843" w:type="dxa"/>
            <w:tcBorders>
              <w:top w:val="single" w:color="auto" w:sz="8" w:space="0"/>
              <w:left w:val="nil"/>
              <w:bottom w:val="single" w:color="auto" w:sz="8" w:space="0"/>
              <w:right w:val="single" w:color="auto" w:sz="4" w:space="0"/>
            </w:tcBorders>
            <w:noWrap w:val="0"/>
            <w:vAlign w:val="center"/>
          </w:tcPr>
          <w:p w14:paraId="38BB13BF">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5D0D03BD">
            <w:pPr>
              <w:widowControl/>
              <w:spacing w:line="360" w:lineRule="auto"/>
              <w:jc w:val="left"/>
              <w:rPr>
                <w:rFonts w:hint="eastAsia" w:ascii="仿宋" w:hAnsi="仿宋" w:eastAsia="仿宋" w:cs="仿宋"/>
                <w:sz w:val="24"/>
                <w:shd w:val="clear" w:color="auto" w:fill="auto"/>
                <w:lang w:val="en-US" w:eastAsia="zh-CN"/>
              </w:rPr>
            </w:pPr>
            <w:r>
              <w:rPr>
                <w:rFonts w:hint="eastAsia" w:ascii="仿宋" w:hAnsi="仿宋" w:eastAsia="仿宋" w:cs="仿宋"/>
                <w:sz w:val="24"/>
                <w:shd w:val="clear" w:color="auto" w:fill="auto"/>
                <w:lang w:val="en-US" w:eastAsia="zh-CN"/>
              </w:rPr>
              <w:t>响应人具备质量管理体系认证、环境管理体系认证、职业健康安全管理体系认证且在有效期内的每个得1.5分，本项最高得1.5分。</w:t>
            </w:r>
            <w:r>
              <w:rPr>
                <w:rFonts w:hint="eastAsia" w:ascii="仿宋" w:hAnsi="仿宋" w:eastAsia="仿宋" w:cs="仿宋"/>
                <w:color w:val="auto"/>
                <w:sz w:val="24"/>
                <w:lang w:val="en-US" w:eastAsia="zh-CN"/>
              </w:rPr>
              <w:t>（响应文件中提供</w:t>
            </w:r>
            <w:r>
              <w:rPr>
                <w:rFonts w:hint="eastAsia" w:ascii="仿宋" w:hAnsi="仿宋" w:eastAsia="仿宋" w:cs="仿宋"/>
                <w:sz w:val="24"/>
                <w:szCs w:val="24"/>
                <w:lang w:val="en-US" w:eastAsia="zh-CN"/>
              </w:rPr>
              <w:t>有效期内的认证证书扫描件</w:t>
            </w:r>
            <w:r>
              <w:rPr>
                <w:rFonts w:hint="eastAsia" w:ascii="仿宋" w:hAnsi="仿宋" w:eastAsia="仿宋" w:cs="仿宋"/>
                <w:color w:val="auto"/>
                <w:sz w:val="24"/>
                <w:lang w:val="en-US" w:eastAsia="zh-CN"/>
              </w:rPr>
              <w:t>及全国认证认可信息公共服务平台的网页查询截图并加盖</w:t>
            </w:r>
            <w:r>
              <w:rPr>
                <w:rFonts w:hint="eastAsia" w:ascii="仿宋" w:hAnsi="仿宋" w:eastAsia="仿宋" w:cs="仿宋"/>
                <w:sz w:val="24"/>
                <w:shd w:val="clear" w:color="auto" w:fill="auto"/>
                <w:lang w:val="en-US" w:eastAsia="zh-CN"/>
              </w:rPr>
              <w:t>响应人</w:t>
            </w:r>
            <w:r>
              <w:rPr>
                <w:rFonts w:hint="eastAsia" w:ascii="仿宋" w:hAnsi="仿宋" w:eastAsia="仿宋" w:cs="仿宋"/>
                <w:color w:val="auto"/>
                <w:sz w:val="24"/>
                <w:lang w:val="en-US" w:eastAsia="zh-CN"/>
              </w:rPr>
              <w:t>公章，未提供或提供不全的不得分）</w:t>
            </w:r>
          </w:p>
        </w:tc>
        <w:tc>
          <w:tcPr>
            <w:tcW w:w="1360" w:type="dxa"/>
            <w:tcBorders>
              <w:top w:val="single" w:color="auto" w:sz="8" w:space="0"/>
              <w:left w:val="nil"/>
              <w:bottom w:val="single" w:color="auto" w:sz="8" w:space="0"/>
              <w:right w:val="single" w:color="auto" w:sz="4" w:space="0"/>
            </w:tcBorders>
            <w:noWrap w:val="0"/>
            <w:vAlign w:val="center"/>
          </w:tcPr>
          <w:p w14:paraId="3C29575C">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0-4.5分</w:t>
            </w:r>
          </w:p>
        </w:tc>
        <w:tc>
          <w:tcPr>
            <w:tcW w:w="1305" w:type="dxa"/>
            <w:tcBorders>
              <w:top w:val="single" w:color="auto" w:sz="8" w:space="0"/>
              <w:left w:val="nil"/>
              <w:bottom w:val="single" w:color="auto" w:sz="8" w:space="0"/>
              <w:right w:val="single" w:color="auto" w:sz="4" w:space="0"/>
            </w:tcBorders>
            <w:noWrap w:val="0"/>
            <w:vAlign w:val="center"/>
          </w:tcPr>
          <w:p w14:paraId="25B6134E">
            <w:pPr>
              <w:widowControl/>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客观分</w:t>
            </w:r>
          </w:p>
        </w:tc>
      </w:tr>
      <w:tr w14:paraId="3552E946">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bottom w:val="single" w:color="auto" w:sz="8" w:space="0"/>
              <w:right w:val="single" w:color="auto" w:sz="4" w:space="0"/>
            </w:tcBorders>
            <w:noWrap w:val="0"/>
            <w:vAlign w:val="center"/>
          </w:tcPr>
          <w:p w14:paraId="12894953">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124DFA14">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2</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4937267F">
            <w:pPr>
              <w:widowControl/>
              <w:spacing w:line="360" w:lineRule="auto"/>
              <w:jc w:val="left"/>
              <w:rPr>
                <w:rFonts w:hint="eastAsia" w:ascii="仿宋" w:hAnsi="仿宋" w:eastAsia="仿宋" w:cs="仿宋"/>
                <w:color w:val="auto"/>
                <w:sz w:val="24"/>
              </w:rPr>
            </w:pPr>
            <w:r>
              <w:rPr>
                <w:rFonts w:hint="eastAsia" w:ascii="仿宋" w:hAnsi="仿宋" w:eastAsia="仿宋" w:cs="仿宋"/>
                <w:sz w:val="24"/>
                <w:shd w:val="clear" w:color="auto" w:fill="auto"/>
                <w:lang w:val="en-US" w:eastAsia="zh-CN"/>
              </w:rPr>
              <w:t>响应人</w:t>
            </w:r>
            <w:r>
              <w:rPr>
                <w:rFonts w:hint="eastAsia" w:ascii="仿宋" w:hAnsi="仿宋" w:eastAsia="仿宋" w:cs="仿宋"/>
                <w:color w:val="auto"/>
                <w:sz w:val="24"/>
                <w:lang w:val="en-US" w:eastAsia="zh-CN"/>
              </w:rPr>
              <w:t>2022年1月1日至今承担过的类似项目业绩情况，每个0.3分，本项最高得1.5分。（提供成交（中标）通知书、合同扫描件并加盖</w:t>
            </w:r>
            <w:r>
              <w:rPr>
                <w:rFonts w:hint="eastAsia" w:ascii="仿宋" w:hAnsi="仿宋" w:eastAsia="仿宋" w:cs="仿宋"/>
                <w:sz w:val="24"/>
                <w:shd w:val="clear" w:color="auto" w:fill="auto"/>
                <w:lang w:val="en-US" w:eastAsia="zh-CN"/>
              </w:rPr>
              <w:t>响应人</w:t>
            </w:r>
            <w:r>
              <w:rPr>
                <w:rFonts w:hint="eastAsia" w:ascii="仿宋" w:hAnsi="仿宋" w:eastAsia="仿宋" w:cs="仿宋"/>
                <w:color w:val="auto"/>
                <w:sz w:val="24"/>
                <w:lang w:val="en-US" w:eastAsia="zh-CN"/>
              </w:rPr>
              <w:t>公章，未提供或提供不全的不得分）</w:t>
            </w:r>
          </w:p>
        </w:tc>
        <w:tc>
          <w:tcPr>
            <w:tcW w:w="1360" w:type="dxa"/>
            <w:tcBorders>
              <w:top w:val="single" w:color="auto" w:sz="8" w:space="0"/>
              <w:left w:val="nil"/>
              <w:bottom w:val="single" w:color="auto" w:sz="8" w:space="0"/>
              <w:right w:val="single" w:color="auto" w:sz="4" w:space="0"/>
            </w:tcBorders>
            <w:noWrap w:val="0"/>
            <w:vAlign w:val="center"/>
          </w:tcPr>
          <w:p w14:paraId="0D7BB811">
            <w:pPr>
              <w:widowControl/>
              <w:spacing w:line="360" w:lineRule="auto"/>
              <w:jc w:val="center"/>
              <w:rPr>
                <w:rFonts w:hint="default" w:ascii="仿宋" w:hAnsi="仿宋" w:eastAsia="仿宋" w:cs="仿宋"/>
                <w:color w:val="auto"/>
                <w:sz w:val="24"/>
                <w:lang w:val="en-US"/>
              </w:rPr>
            </w:pPr>
            <w:r>
              <w:rPr>
                <w:rFonts w:hint="eastAsia" w:ascii="仿宋" w:hAnsi="仿宋" w:eastAsia="仿宋" w:cs="仿宋"/>
                <w:color w:val="auto"/>
                <w:sz w:val="24"/>
                <w:lang w:val="en-US" w:eastAsia="zh-CN"/>
              </w:rPr>
              <w:t>0-1.5分</w:t>
            </w:r>
          </w:p>
        </w:tc>
        <w:tc>
          <w:tcPr>
            <w:tcW w:w="1305" w:type="dxa"/>
            <w:tcBorders>
              <w:top w:val="single" w:color="auto" w:sz="8" w:space="0"/>
              <w:left w:val="nil"/>
              <w:bottom w:val="single" w:color="auto" w:sz="8" w:space="0"/>
              <w:right w:val="single" w:color="auto" w:sz="4" w:space="0"/>
            </w:tcBorders>
            <w:noWrap w:val="0"/>
            <w:vAlign w:val="center"/>
          </w:tcPr>
          <w:p w14:paraId="22525F53">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eastAsia="zh-CN"/>
              </w:rPr>
              <w:t>客观分</w:t>
            </w:r>
          </w:p>
        </w:tc>
      </w:tr>
      <w:tr w14:paraId="4CBA4755">
        <w:tblPrEx>
          <w:tblCellMar>
            <w:top w:w="0" w:type="dxa"/>
            <w:left w:w="108" w:type="dxa"/>
            <w:bottom w:w="0" w:type="dxa"/>
            <w:right w:w="108" w:type="dxa"/>
          </w:tblCellMar>
        </w:tblPrEx>
        <w:trPr>
          <w:trHeight w:val="1033" w:hRule="atLeast"/>
          <w:jc w:val="center"/>
        </w:trPr>
        <w:tc>
          <w:tcPr>
            <w:tcW w:w="778" w:type="dxa"/>
            <w:vMerge w:val="restart"/>
            <w:tcBorders>
              <w:left w:val="single" w:color="auto" w:sz="8" w:space="0"/>
              <w:right w:val="single" w:color="auto" w:sz="4" w:space="0"/>
            </w:tcBorders>
            <w:noWrap w:val="0"/>
            <w:vAlign w:val="center"/>
          </w:tcPr>
          <w:p w14:paraId="4785D467">
            <w:pPr>
              <w:widowControl/>
              <w:spacing w:line="360" w:lineRule="auto"/>
              <w:jc w:val="center"/>
              <w:rPr>
                <w:rFonts w:hint="eastAsia" w:ascii="仿宋" w:hAnsi="仿宋" w:eastAsia="仿宋" w:cs="仿宋"/>
                <w:color w:val="auto"/>
                <w:sz w:val="24"/>
                <w:lang w:val="en-US" w:eastAsia="zh-CN"/>
              </w:rPr>
            </w:pPr>
          </w:p>
          <w:p w14:paraId="513FDCA5">
            <w:pPr>
              <w:widowControl/>
              <w:spacing w:line="360" w:lineRule="auto"/>
              <w:jc w:val="center"/>
              <w:rPr>
                <w:rFonts w:hint="eastAsia" w:ascii="仿宋" w:hAnsi="仿宋" w:eastAsia="仿宋" w:cs="仿宋"/>
                <w:color w:val="auto"/>
                <w:sz w:val="24"/>
                <w:lang w:val="en-US" w:eastAsia="zh-CN"/>
              </w:rPr>
            </w:pPr>
          </w:p>
          <w:p w14:paraId="764E07CA">
            <w:pPr>
              <w:widowControl/>
              <w:spacing w:line="360" w:lineRule="auto"/>
              <w:jc w:val="center"/>
              <w:rPr>
                <w:rFonts w:hint="eastAsia" w:ascii="仿宋" w:hAnsi="仿宋" w:eastAsia="仿宋" w:cs="仿宋"/>
                <w:color w:val="auto"/>
                <w:sz w:val="24"/>
                <w:lang w:val="en-US" w:eastAsia="zh-CN"/>
              </w:rPr>
            </w:pPr>
          </w:p>
          <w:p w14:paraId="6D3DD663">
            <w:pPr>
              <w:widowControl/>
              <w:spacing w:line="360" w:lineRule="auto"/>
              <w:jc w:val="center"/>
              <w:rPr>
                <w:rFonts w:hint="eastAsia" w:ascii="仿宋" w:hAnsi="仿宋" w:eastAsia="仿宋" w:cs="仿宋"/>
                <w:color w:val="auto"/>
                <w:sz w:val="24"/>
                <w:lang w:val="en-US" w:eastAsia="zh-CN"/>
              </w:rPr>
            </w:pPr>
          </w:p>
          <w:p w14:paraId="42406FD5">
            <w:pPr>
              <w:widowControl/>
              <w:spacing w:line="360" w:lineRule="auto"/>
              <w:jc w:val="center"/>
              <w:rPr>
                <w:rFonts w:hint="eastAsia" w:ascii="仿宋" w:hAnsi="仿宋" w:eastAsia="仿宋" w:cs="仿宋"/>
                <w:color w:val="auto"/>
                <w:sz w:val="24"/>
                <w:lang w:val="en-US" w:eastAsia="zh-CN"/>
              </w:rPr>
            </w:pPr>
          </w:p>
          <w:p w14:paraId="21B94330">
            <w:pPr>
              <w:widowControl/>
              <w:spacing w:line="360" w:lineRule="auto"/>
              <w:jc w:val="center"/>
              <w:rPr>
                <w:rFonts w:hint="eastAsia" w:ascii="仿宋" w:hAnsi="仿宋" w:eastAsia="仿宋" w:cs="仿宋"/>
                <w:color w:val="auto"/>
                <w:sz w:val="24"/>
                <w:lang w:val="en-US" w:eastAsia="zh-CN"/>
              </w:rPr>
            </w:pPr>
          </w:p>
          <w:p w14:paraId="1EE398FE">
            <w:pPr>
              <w:widowControl/>
              <w:spacing w:line="360" w:lineRule="auto"/>
              <w:jc w:val="center"/>
              <w:rPr>
                <w:rFonts w:hint="eastAsia" w:ascii="仿宋" w:hAnsi="仿宋" w:eastAsia="仿宋" w:cs="仿宋"/>
                <w:color w:val="auto"/>
                <w:sz w:val="24"/>
                <w:lang w:val="en-US" w:eastAsia="zh-CN"/>
              </w:rPr>
            </w:pPr>
          </w:p>
          <w:p w14:paraId="49402D1A">
            <w:pPr>
              <w:widowControl/>
              <w:spacing w:line="360" w:lineRule="auto"/>
              <w:jc w:val="center"/>
              <w:rPr>
                <w:rFonts w:hint="eastAsia" w:ascii="仿宋" w:hAnsi="仿宋" w:eastAsia="仿宋" w:cs="仿宋"/>
                <w:color w:val="auto"/>
                <w:sz w:val="24"/>
                <w:lang w:val="en-US" w:eastAsia="zh-CN"/>
              </w:rPr>
            </w:pPr>
          </w:p>
          <w:p w14:paraId="64AFFC99">
            <w:pPr>
              <w:widowControl/>
              <w:spacing w:line="360" w:lineRule="auto"/>
              <w:jc w:val="center"/>
              <w:rPr>
                <w:rFonts w:hint="eastAsia" w:ascii="仿宋" w:hAnsi="仿宋" w:eastAsia="仿宋" w:cs="仿宋"/>
                <w:color w:val="auto"/>
                <w:sz w:val="24"/>
                <w:lang w:val="en-US" w:eastAsia="zh-CN"/>
              </w:rPr>
            </w:pPr>
          </w:p>
          <w:p w14:paraId="21C10AF8">
            <w:pPr>
              <w:widowControl/>
              <w:spacing w:line="360" w:lineRule="auto"/>
              <w:jc w:val="center"/>
              <w:rPr>
                <w:rFonts w:hint="eastAsia" w:ascii="仿宋" w:hAnsi="仿宋" w:eastAsia="仿宋" w:cs="仿宋"/>
                <w:color w:val="auto"/>
                <w:sz w:val="24"/>
                <w:lang w:val="en-US" w:eastAsia="zh-CN"/>
              </w:rPr>
            </w:pPr>
          </w:p>
          <w:p w14:paraId="260FDA1B">
            <w:pPr>
              <w:widowControl/>
              <w:spacing w:line="360" w:lineRule="auto"/>
              <w:jc w:val="center"/>
              <w:rPr>
                <w:rFonts w:hint="eastAsia" w:ascii="仿宋" w:hAnsi="仿宋" w:eastAsia="仿宋" w:cs="仿宋"/>
                <w:color w:val="auto"/>
                <w:sz w:val="24"/>
                <w:lang w:val="en-US" w:eastAsia="zh-CN"/>
              </w:rPr>
            </w:pPr>
          </w:p>
          <w:p w14:paraId="344E7BCF">
            <w:pPr>
              <w:widowControl/>
              <w:spacing w:line="360" w:lineRule="auto"/>
              <w:jc w:val="center"/>
              <w:rPr>
                <w:rFonts w:hint="eastAsia" w:ascii="仿宋" w:hAnsi="仿宋" w:eastAsia="仿宋" w:cs="仿宋"/>
                <w:color w:val="auto"/>
                <w:sz w:val="24"/>
                <w:lang w:val="en-US" w:eastAsia="zh-CN"/>
              </w:rPr>
            </w:pPr>
          </w:p>
          <w:p w14:paraId="35DC1F77">
            <w:pPr>
              <w:widowControl/>
              <w:spacing w:line="360" w:lineRule="auto"/>
              <w:jc w:val="center"/>
              <w:rPr>
                <w:rFonts w:hint="eastAsia" w:ascii="仿宋" w:hAnsi="仿宋" w:eastAsia="仿宋" w:cs="仿宋"/>
                <w:color w:val="auto"/>
                <w:sz w:val="24"/>
                <w:lang w:val="en-US" w:eastAsia="zh-CN"/>
              </w:rPr>
            </w:pPr>
          </w:p>
          <w:p w14:paraId="0F04F771">
            <w:pPr>
              <w:widowControl/>
              <w:spacing w:line="360" w:lineRule="auto"/>
              <w:jc w:val="center"/>
              <w:rPr>
                <w:rFonts w:hint="eastAsia" w:ascii="仿宋" w:hAnsi="仿宋" w:eastAsia="仿宋" w:cs="仿宋"/>
                <w:color w:val="auto"/>
                <w:sz w:val="24"/>
                <w:lang w:val="en-US" w:eastAsia="zh-CN"/>
              </w:rPr>
            </w:pPr>
          </w:p>
          <w:p w14:paraId="476A5F44">
            <w:pPr>
              <w:widowControl/>
              <w:spacing w:line="360" w:lineRule="auto"/>
              <w:jc w:val="center"/>
              <w:rPr>
                <w:rFonts w:hint="eastAsia" w:ascii="仿宋" w:hAnsi="仿宋" w:eastAsia="仿宋" w:cs="仿宋"/>
                <w:color w:val="auto"/>
                <w:sz w:val="24"/>
                <w:lang w:val="en-US" w:eastAsia="zh-CN"/>
              </w:rPr>
            </w:pPr>
          </w:p>
          <w:p w14:paraId="1BFB76D8">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技术79分</w:t>
            </w:r>
          </w:p>
        </w:tc>
        <w:tc>
          <w:tcPr>
            <w:tcW w:w="843" w:type="dxa"/>
            <w:tcBorders>
              <w:top w:val="single" w:color="auto" w:sz="8" w:space="0"/>
              <w:left w:val="nil"/>
              <w:bottom w:val="single" w:color="auto" w:sz="8" w:space="0"/>
              <w:right w:val="single" w:color="auto" w:sz="4" w:space="0"/>
            </w:tcBorders>
            <w:noWrap w:val="0"/>
            <w:vAlign w:val="center"/>
          </w:tcPr>
          <w:p w14:paraId="16C28D22">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4831B06D">
            <w:pPr>
              <w:widowControl/>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响应</w:t>
            </w:r>
            <w:r>
              <w:rPr>
                <w:rFonts w:hint="eastAsia" w:ascii="仿宋" w:hAnsi="仿宋" w:eastAsia="仿宋" w:cs="仿宋"/>
                <w:color w:val="auto"/>
                <w:sz w:val="24"/>
              </w:rPr>
              <w:t>方案的合理性、科学性、全面性（根据对</w:t>
            </w:r>
            <w:r>
              <w:rPr>
                <w:rFonts w:hint="eastAsia" w:ascii="仿宋" w:hAnsi="仿宋" w:eastAsia="仿宋" w:cs="仿宋"/>
                <w:color w:val="auto"/>
                <w:sz w:val="24"/>
                <w:lang w:eastAsia="zh-CN"/>
              </w:rPr>
              <w:t>本</w:t>
            </w:r>
            <w:r>
              <w:rPr>
                <w:rFonts w:hint="eastAsia" w:ascii="仿宋" w:hAnsi="仿宋" w:eastAsia="仿宋" w:cs="仿宋"/>
                <w:color w:val="auto"/>
                <w:sz w:val="24"/>
              </w:rPr>
              <w:t>项目的理解程度、总体设计、组织实施、独到优势等情况综合评定）</w:t>
            </w:r>
            <w:r>
              <w:rPr>
                <w:rFonts w:hint="eastAsia" w:ascii="仿宋" w:hAnsi="仿宋" w:eastAsia="仿宋" w:cs="仿宋"/>
                <w:color w:val="auto"/>
                <w:sz w:val="24"/>
                <w:lang w:val="en-US" w:eastAsia="zh-CN"/>
              </w:rPr>
              <w:t>方案详细完善的得10-12分，方案较详细完善的得7-9分，方案不够详细完善的得4-6分。</w:t>
            </w:r>
          </w:p>
        </w:tc>
        <w:tc>
          <w:tcPr>
            <w:tcW w:w="1360" w:type="dxa"/>
            <w:tcBorders>
              <w:top w:val="single" w:color="auto" w:sz="8" w:space="0"/>
              <w:left w:val="nil"/>
              <w:bottom w:val="single" w:color="auto" w:sz="8" w:space="0"/>
              <w:right w:val="single" w:color="auto" w:sz="4" w:space="0"/>
            </w:tcBorders>
            <w:noWrap w:val="0"/>
            <w:vAlign w:val="center"/>
          </w:tcPr>
          <w:p w14:paraId="522026FC">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4-12分</w:t>
            </w:r>
          </w:p>
        </w:tc>
        <w:tc>
          <w:tcPr>
            <w:tcW w:w="1305" w:type="dxa"/>
            <w:tcBorders>
              <w:top w:val="single" w:color="auto" w:sz="8" w:space="0"/>
              <w:left w:val="nil"/>
              <w:bottom w:val="single" w:color="auto" w:sz="8" w:space="0"/>
              <w:right w:val="single" w:color="auto" w:sz="4" w:space="0"/>
            </w:tcBorders>
            <w:noWrap w:val="0"/>
            <w:vAlign w:val="center"/>
          </w:tcPr>
          <w:p w14:paraId="7F1A5086">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主观分</w:t>
            </w:r>
          </w:p>
        </w:tc>
      </w:tr>
      <w:tr w14:paraId="58F9CDB6">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right w:val="single" w:color="auto" w:sz="4" w:space="0"/>
            </w:tcBorders>
            <w:noWrap w:val="0"/>
            <w:vAlign w:val="center"/>
          </w:tcPr>
          <w:p w14:paraId="3BFFFCDD">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15B4DF55">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6882F171">
            <w:pPr>
              <w:widowControl/>
              <w:spacing w:line="360" w:lineRule="auto"/>
              <w:jc w:val="left"/>
              <w:rPr>
                <w:rFonts w:hint="eastAsia" w:ascii="仿宋" w:hAnsi="仿宋" w:eastAsia="仿宋" w:cs="仿宋"/>
                <w:color w:val="auto"/>
                <w:sz w:val="24"/>
                <w:lang w:eastAsia="zh-CN"/>
              </w:rPr>
            </w:pPr>
            <w:r>
              <w:rPr>
                <w:rFonts w:hint="eastAsia" w:ascii="仿宋" w:hAnsi="仿宋" w:eastAsia="仿宋" w:cs="仿宋"/>
                <w:color w:val="000000"/>
                <w:sz w:val="24"/>
                <w:lang w:val="en-US" w:eastAsia="zh-CN"/>
              </w:rPr>
              <w:t>保证进度和项目完成的方案和措施等综合评定，方案详细完善的得7-8分，方案较详细完善的得5-6分，方案不够详细完善的得2-4分。</w:t>
            </w:r>
          </w:p>
        </w:tc>
        <w:tc>
          <w:tcPr>
            <w:tcW w:w="1360" w:type="dxa"/>
            <w:tcBorders>
              <w:top w:val="single" w:color="auto" w:sz="8" w:space="0"/>
              <w:left w:val="nil"/>
              <w:bottom w:val="single" w:color="auto" w:sz="8" w:space="0"/>
              <w:right w:val="single" w:color="auto" w:sz="4" w:space="0"/>
            </w:tcBorders>
            <w:noWrap w:val="0"/>
            <w:vAlign w:val="center"/>
          </w:tcPr>
          <w:p w14:paraId="526EA8DD">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2-8分</w:t>
            </w:r>
          </w:p>
        </w:tc>
        <w:tc>
          <w:tcPr>
            <w:tcW w:w="1305" w:type="dxa"/>
            <w:tcBorders>
              <w:top w:val="single" w:color="auto" w:sz="8" w:space="0"/>
              <w:left w:val="nil"/>
              <w:bottom w:val="single" w:color="auto" w:sz="8" w:space="0"/>
              <w:right w:val="single" w:color="auto" w:sz="4" w:space="0"/>
            </w:tcBorders>
            <w:noWrap w:val="0"/>
            <w:vAlign w:val="center"/>
          </w:tcPr>
          <w:p w14:paraId="67654537">
            <w:pPr>
              <w:widowControl/>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主观分</w:t>
            </w:r>
          </w:p>
        </w:tc>
      </w:tr>
      <w:tr w14:paraId="2E2981B6">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right w:val="single" w:color="auto" w:sz="4" w:space="0"/>
            </w:tcBorders>
            <w:noWrap w:val="0"/>
            <w:vAlign w:val="center"/>
          </w:tcPr>
          <w:p w14:paraId="71B8FA14">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23320B8A">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277BDF3E">
            <w:pPr>
              <w:widowControl/>
              <w:spacing w:line="360" w:lineRule="auto"/>
              <w:jc w:val="left"/>
              <w:rPr>
                <w:rFonts w:hint="eastAsia" w:ascii="仿宋" w:hAnsi="仿宋" w:eastAsia="仿宋" w:cs="仿宋"/>
                <w:color w:val="auto"/>
                <w:sz w:val="24"/>
                <w:lang w:eastAsia="zh-CN"/>
              </w:rPr>
            </w:pPr>
            <w:r>
              <w:rPr>
                <w:rFonts w:hint="eastAsia" w:ascii="仿宋" w:hAnsi="仿宋" w:eastAsia="仿宋" w:cs="仿宋"/>
                <w:color w:val="000000"/>
                <w:sz w:val="24"/>
                <w:lang w:val="en-US" w:eastAsia="zh-CN"/>
              </w:rPr>
              <w:t>质量控制措施、安全控制措施等是否完善等综合评定，方案详细完善的得8-9分，方案较详细完善的得6-7分，方案不够详细完善的得3-5分。</w:t>
            </w:r>
          </w:p>
        </w:tc>
        <w:tc>
          <w:tcPr>
            <w:tcW w:w="1360" w:type="dxa"/>
            <w:tcBorders>
              <w:top w:val="single" w:color="auto" w:sz="8" w:space="0"/>
              <w:left w:val="nil"/>
              <w:bottom w:val="single" w:color="auto" w:sz="8" w:space="0"/>
              <w:right w:val="single" w:color="auto" w:sz="4" w:space="0"/>
            </w:tcBorders>
            <w:noWrap w:val="0"/>
            <w:vAlign w:val="center"/>
          </w:tcPr>
          <w:p w14:paraId="306FC121">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3-9分</w:t>
            </w:r>
          </w:p>
        </w:tc>
        <w:tc>
          <w:tcPr>
            <w:tcW w:w="1305" w:type="dxa"/>
            <w:tcBorders>
              <w:top w:val="single" w:color="auto" w:sz="8" w:space="0"/>
              <w:left w:val="nil"/>
              <w:bottom w:val="single" w:color="auto" w:sz="8" w:space="0"/>
              <w:right w:val="single" w:color="auto" w:sz="4" w:space="0"/>
            </w:tcBorders>
            <w:noWrap w:val="0"/>
            <w:vAlign w:val="center"/>
          </w:tcPr>
          <w:p w14:paraId="2CCE38D9">
            <w:pPr>
              <w:widowControl/>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主观分</w:t>
            </w:r>
          </w:p>
        </w:tc>
      </w:tr>
      <w:tr w14:paraId="07C03439">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right w:val="single" w:color="auto" w:sz="4" w:space="0"/>
            </w:tcBorders>
            <w:noWrap w:val="0"/>
            <w:vAlign w:val="center"/>
          </w:tcPr>
          <w:p w14:paraId="6D05C169">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3417066F">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24B9543D">
            <w:pPr>
              <w:widowControl/>
              <w:spacing w:line="360" w:lineRule="auto"/>
              <w:jc w:val="left"/>
              <w:rPr>
                <w:rFonts w:hint="default" w:ascii="仿宋" w:hAnsi="仿宋" w:eastAsia="仿宋" w:cs="仿宋"/>
                <w:color w:val="auto"/>
                <w:sz w:val="24"/>
                <w:lang w:val="en-US" w:eastAsia="zh-CN"/>
              </w:rPr>
            </w:pPr>
            <w:r>
              <w:rPr>
                <w:rFonts w:hint="eastAsia" w:ascii="仿宋" w:hAnsi="仿宋" w:eastAsia="仿宋" w:cs="仿宋"/>
                <w:sz w:val="24"/>
              </w:rPr>
              <w:t>拟投入的项目负责人、技术负责人及技术力量计划安排是否满足项目需求、是否合理</w:t>
            </w:r>
            <w:r>
              <w:rPr>
                <w:rFonts w:hint="eastAsia" w:ascii="仿宋" w:hAnsi="仿宋" w:eastAsia="仿宋" w:cs="仿宋"/>
                <w:sz w:val="24"/>
                <w:lang w:eastAsia="zh-CN"/>
              </w:rPr>
              <w:t>，</w:t>
            </w:r>
            <w:r>
              <w:rPr>
                <w:rFonts w:hint="eastAsia" w:ascii="仿宋" w:hAnsi="仿宋" w:eastAsia="仿宋" w:cs="仿宋"/>
                <w:sz w:val="24"/>
                <w:lang w:val="en-US" w:eastAsia="zh-CN"/>
              </w:rPr>
              <w:t>满足项目需求且合理的得7-8分，较满足项目需求且合理的得5-6分，部分满足项目需求且合理的得2-4分。</w:t>
            </w:r>
          </w:p>
        </w:tc>
        <w:tc>
          <w:tcPr>
            <w:tcW w:w="1360" w:type="dxa"/>
            <w:tcBorders>
              <w:top w:val="single" w:color="auto" w:sz="8" w:space="0"/>
              <w:left w:val="nil"/>
              <w:bottom w:val="single" w:color="auto" w:sz="8" w:space="0"/>
              <w:right w:val="single" w:color="auto" w:sz="4" w:space="0"/>
            </w:tcBorders>
            <w:noWrap w:val="0"/>
            <w:vAlign w:val="center"/>
          </w:tcPr>
          <w:p w14:paraId="168057A9">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2-8分</w:t>
            </w:r>
          </w:p>
        </w:tc>
        <w:tc>
          <w:tcPr>
            <w:tcW w:w="1305" w:type="dxa"/>
            <w:tcBorders>
              <w:top w:val="single" w:color="auto" w:sz="8" w:space="0"/>
              <w:left w:val="nil"/>
              <w:bottom w:val="single" w:color="auto" w:sz="8" w:space="0"/>
              <w:right w:val="single" w:color="auto" w:sz="4" w:space="0"/>
            </w:tcBorders>
            <w:noWrap w:val="0"/>
            <w:vAlign w:val="center"/>
          </w:tcPr>
          <w:p w14:paraId="35DA93E5">
            <w:pPr>
              <w:widowControl/>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主观分</w:t>
            </w:r>
          </w:p>
        </w:tc>
      </w:tr>
      <w:tr w14:paraId="1ACCF851">
        <w:tblPrEx>
          <w:tblCellMar>
            <w:top w:w="0" w:type="dxa"/>
            <w:left w:w="108" w:type="dxa"/>
            <w:bottom w:w="0" w:type="dxa"/>
            <w:right w:w="108" w:type="dxa"/>
          </w:tblCellMar>
        </w:tblPrEx>
        <w:trPr>
          <w:trHeight w:val="2399" w:hRule="atLeast"/>
          <w:jc w:val="center"/>
        </w:trPr>
        <w:tc>
          <w:tcPr>
            <w:tcW w:w="778" w:type="dxa"/>
            <w:vMerge w:val="continue"/>
            <w:tcBorders>
              <w:left w:val="single" w:color="auto" w:sz="8" w:space="0"/>
              <w:right w:val="single" w:color="auto" w:sz="4" w:space="0"/>
            </w:tcBorders>
            <w:noWrap w:val="0"/>
            <w:vAlign w:val="center"/>
          </w:tcPr>
          <w:p w14:paraId="10EF06E4">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44F085CC">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7E44F4D9">
            <w:pPr>
              <w:widowControl/>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响应人是否具有完备的管理组织机构、项目实施规范和管理制度，是否有完善的质量管理体系，并能有效实施，方案详细完善的得7-8分，方案较详细完善的得5-6分，方案不够详细完善的得2-4分。</w:t>
            </w:r>
          </w:p>
        </w:tc>
        <w:tc>
          <w:tcPr>
            <w:tcW w:w="1360" w:type="dxa"/>
            <w:tcBorders>
              <w:top w:val="single" w:color="auto" w:sz="8" w:space="0"/>
              <w:left w:val="nil"/>
              <w:bottom w:val="single" w:color="auto" w:sz="8" w:space="0"/>
              <w:right w:val="single" w:color="auto" w:sz="4" w:space="0"/>
            </w:tcBorders>
            <w:noWrap w:val="0"/>
            <w:vAlign w:val="center"/>
          </w:tcPr>
          <w:p w14:paraId="13379D61">
            <w:pPr>
              <w:widowControl/>
              <w:spacing w:line="360" w:lineRule="auto"/>
              <w:ind w:firstLine="240" w:firstLineChars="100"/>
              <w:jc w:val="left"/>
              <w:rPr>
                <w:rFonts w:hint="eastAsia" w:ascii="仿宋" w:hAnsi="仿宋" w:eastAsia="仿宋" w:cs="仿宋"/>
                <w:sz w:val="24"/>
                <w:lang w:val="en-US" w:eastAsia="zh-CN"/>
              </w:rPr>
            </w:pPr>
            <w:r>
              <w:rPr>
                <w:rFonts w:hint="eastAsia" w:ascii="仿宋" w:hAnsi="仿宋" w:eastAsia="仿宋" w:cs="仿宋"/>
                <w:sz w:val="24"/>
                <w:lang w:val="en-US" w:eastAsia="zh-CN"/>
              </w:rPr>
              <w:t>2-8分</w:t>
            </w:r>
          </w:p>
        </w:tc>
        <w:tc>
          <w:tcPr>
            <w:tcW w:w="1305" w:type="dxa"/>
            <w:tcBorders>
              <w:top w:val="single" w:color="auto" w:sz="8" w:space="0"/>
              <w:left w:val="nil"/>
              <w:bottom w:val="single" w:color="auto" w:sz="8" w:space="0"/>
              <w:right w:val="single" w:color="auto" w:sz="4" w:space="0"/>
            </w:tcBorders>
            <w:noWrap w:val="0"/>
            <w:vAlign w:val="center"/>
          </w:tcPr>
          <w:p w14:paraId="1CF02E88">
            <w:pPr>
              <w:widowControl/>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主观分</w:t>
            </w:r>
          </w:p>
        </w:tc>
      </w:tr>
      <w:tr w14:paraId="06D97F53">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right w:val="single" w:color="auto" w:sz="4" w:space="0"/>
            </w:tcBorders>
            <w:noWrap w:val="0"/>
            <w:vAlign w:val="center"/>
          </w:tcPr>
          <w:p w14:paraId="401CA774">
            <w:pPr>
              <w:widowControl/>
              <w:spacing w:line="360" w:lineRule="auto"/>
              <w:jc w:val="center"/>
              <w:rPr>
                <w:rFonts w:hint="default" w:ascii="仿宋" w:hAnsi="仿宋" w:eastAsia="仿宋" w:cs="仿宋"/>
                <w:color w:val="auto"/>
                <w:sz w:val="24"/>
                <w:lang w:val="en-US" w:eastAsia="zh-CN"/>
              </w:rPr>
            </w:pPr>
          </w:p>
        </w:tc>
        <w:tc>
          <w:tcPr>
            <w:tcW w:w="843" w:type="dxa"/>
            <w:tcBorders>
              <w:top w:val="single" w:color="auto" w:sz="8" w:space="0"/>
              <w:left w:val="nil"/>
              <w:bottom w:val="single" w:color="auto" w:sz="8" w:space="0"/>
              <w:right w:val="single" w:color="auto" w:sz="4" w:space="0"/>
            </w:tcBorders>
            <w:noWrap w:val="0"/>
            <w:vAlign w:val="center"/>
          </w:tcPr>
          <w:p w14:paraId="1CE74AF8">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3EB89AE9">
            <w:pPr>
              <w:widowControl/>
              <w:spacing w:line="360" w:lineRule="auto"/>
              <w:jc w:val="both"/>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拟投入本项目</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eastAsia="zh-CN"/>
              </w:rPr>
              <w:t>人自有车辆情况：</w:t>
            </w:r>
          </w:p>
          <w:p w14:paraId="4243DBCE">
            <w:pPr>
              <w:widowControl/>
              <w:spacing w:line="360" w:lineRule="auto"/>
              <w:jc w:val="both"/>
              <w:rPr>
                <w:rFonts w:hint="default" w:ascii="仿宋" w:hAnsi="仿宋" w:eastAsia="仿宋" w:cs="仿宋"/>
                <w:color w:val="000000"/>
                <w:sz w:val="24"/>
                <w:lang w:val="en-US" w:eastAsia="zh-CN"/>
              </w:rPr>
            </w:pPr>
            <w:r>
              <w:rPr>
                <w:rFonts w:hint="eastAsia" w:ascii="仿宋" w:hAnsi="仿宋" w:eastAsia="仿宋" w:cs="仿宋"/>
                <w:kern w:val="0"/>
                <w:sz w:val="24"/>
                <w:highlight w:val="none"/>
              </w:rPr>
              <w:t>投入</w:t>
            </w:r>
            <w:r>
              <w:rPr>
                <w:rFonts w:hint="eastAsia" w:ascii="仿宋" w:hAnsi="仿宋" w:eastAsia="仿宋" w:cs="仿宋"/>
                <w:kern w:val="0"/>
                <w:sz w:val="24"/>
                <w:highlight w:val="none"/>
                <w:lang w:val="en-US" w:eastAsia="zh-CN"/>
              </w:rPr>
              <w:t>本项目</w:t>
            </w:r>
            <w:r>
              <w:rPr>
                <w:rFonts w:hint="eastAsia" w:ascii="仿宋" w:hAnsi="仿宋" w:eastAsia="仿宋" w:cs="仿宋"/>
                <w:kern w:val="0"/>
                <w:sz w:val="24"/>
                <w:highlight w:val="none"/>
              </w:rPr>
              <w:t>使用的车辆中有洒水车的得2分；有扫地车的得2分；</w:t>
            </w:r>
            <w:r>
              <w:rPr>
                <w:rFonts w:hint="eastAsia" w:ascii="仿宋" w:hAnsi="仿宋" w:eastAsia="仿宋" w:cs="仿宋"/>
                <w:kern w:val="0"/>
                <w:sz w:val="24"/>
                <w:highlight w:val="none"/>
                <w:lang w:eastAsia="zh-CN"/>
              </w:rPr>
              <w:t>有</w:t>
            </w:r>
            <w:r>
              <w:rPr>
                <w:rFonts w:hint="eastAsia" w:ascii="仿宋" w:hAnsi="仿宋" w:eastAsia="仿宋" w:cs="仿宋"/>
                <w:color w:val="auto"/>
                <w:kern w:val="0"/>
                <w:sz w:val="24"/>
                <w:highlight w:val="none"/>
                <w:lang w:eastAsia="zh-CN"/>
              </w:rPr>
              <w:t>总质量25吨以上的杂类垃圾压缩车的得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w:t>
            </w:r>
            <w:r>
              <w:rPr>
                <w:rFonts w:hint="eastAsia" w:ascii="仿宋" w:hAnsi="仿宋" w:eastAsia="仿宋" w:cs="仿宋"/>
                <w:kern w:val="0"/>
                <w:sz w:val="24"/>
                <w:highlight w:val="none"/>
              </w:rPr>
              <w:t>；（</w:t>
            </w:r>
            <w:r>
              <w:rPr>
                <w:rFonts w:hint="eastAsia" w:ascii="仿宋" w:hAnsi="仿宋" w:eastAsia="仿宋" w:cs="仿宋"/>
                <w:snapToGrid w:val="0"/>
                <w:kern w:val="0"/>
                <w:sz w:val="24"/>
                <w:highlight w:val="none"/>
              </w:rPr>
              <w:t>响应文件中提供相关车辆行驶证复印件，登记证书复印件，购车发票，并加盖</w:t>
            </w:r>
            <w:r>
              <w:rPr>
                <w:rFonts w:hint="eastAsia" w:ascii="仿宋" w:hAnsi="仿宋" w:eastAsia="仿宋" w:cs="仿宋"/>
                <w:sz w:val="24"/>
                <w:highlight w:val="none"/>
                <w:shd w:val="clear" w:color="auto" w:fill="auto"/>
                <w:lang w:val="en-US" w:eastAsia="zh-CN"/>
              </w:rPr>
              <w:t>响应人</w:t>
            </w:r>
            <w:r>
              <w:rPr>
                <w:rFonts w:hint="eastAsia" w:ascii="仿宋" w:hAnsi="仿宋" w:eastAsia="仿宋" w:cs="仿宋"/>
                <w:snapToGrid w:val="0"/>
                <w:kern w:val="0"/>
                <w:sz w:val="24"/>
                <w:highlight w:val="none"/>
              </w:rPr>
              <w:t>公章，未提供或提供</w:t>
            </w:r>
            <w:r>
              <w:rPr>
                <w:rFonts w:hint="eastAsia" w:ascii="仿宋" w:hAnsi="仿宋" w:eastAsia="仿宋" w:cs="仿宋"/>
                <w:snapToGrid w:val="0"/>
                <w:kern w:val="0"/>
                <w:sz w:val="24"/>
                <w:highlight w:val="none"/>
                <w:lang w:val="en-US" w:eastAsia="zh-CN"/>
              </w:rPr>
              <w:t>不全</w:t>
            </w:r>
            <w:r>
              <w:rPr>
                <w:rFonts w:hint="eastAsia" w:ascii="仿宋" w:hAnsi="仿宋" w:eastAsia="仿宋" w:cs="仿宋"/>
                <w:snapToGrid w:val="0"/>
                <w:kern w:val="0"/>
                <w:sz w:val="24"/>
                <w:highlight w:val="none"/>
              </w:rPr>
              <w:t>的不得分）</w:t>
            </w:r>
            <w:r>
              <w:rPr>
                <w:rFonts w:hint="eastAsia" w:ascii="仿宋" w:hAnsi="仿宋" w:eastAsia="仿宋" w:cs="仿宋"/>
                <w:kern w:val="0"/>
                <w:sz w:val="24"/>
                <w:highlight w:val="none"/>
              </w:rPr>
              <w:t>。</w:t>
            </w:r>
          </w:p>
        </w:tc>
        <w:tc>
          <w:tcPr>
            <w:tcW w:w="1360" w:type="dxa"/>
            <w:tcBorders>
              <w:top w:val="single" w:color="auto" w:sz="8" w:space="0"/>
              <w:left w:val="nil"/>
              <w:bottom w:val="single" w:color="auto" w:sz="8" w:space="0"/>
              <w:right w:val="single" w:color="auto" w:sz="4" w:space="0"/>
            </w:tcBorders>
            <w:noWrap w:val="0"/>
            <w:vAlign w:val="center"/>
          </w:tcPr>
          <w:p w14:paraId="6D68A7F2">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0-6分</w:t>
            </w:r>
          </w:p>
        </w:tc>
        <w:tc>
          <w:tcPr>
            <w:tcW w:w="1305" w:type="dxa"/>
            <w:tcBorders>
              <w:top w:val="single" w:color="auto" w:sz="8" w:space="0"/>
              <w:left w:val="nil"/>
              <w:bottom w:val="single" w:color="auto" w:sz="8" w:space="0"/>
              <w:right w:val="single" w:color="auto" w:sz="4" w:space="0"/>
            </w:tcBorders>
            <w:noWrap w:val="0"/>
            <w:vAlign w:val="center"/>
          </w:tcPr>
          <w:p w14:paraId="24C808B3">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客观分</w:t>
            </w:r>
          </w:p>
        </w:tc>
      </w:tr>
      <w:tr w14:paraId="6F393BDC">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right w:val="single" w:color="auto" w:sz="4" w:space="0"/>
            </w:tcBorders>
            <w:noWrap w:val="0"/>
            <w:vAlign w:val="center"/>
          </w:tcPr>
          <w:p w14:paraId="2BE60B9D">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209F2C9F">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2DD669A8">
            <w:pPr>
              <w:widowControl/>
              <w:spacing w:line="360" w:lineRule="auto"/>
              <w:rPr>
                <w:rFonts w:hint="eastAsia" w:ascii="仿宋" w:hAnsi="仿宋" w:eastAsia="仿宋" w:cs="仿宋"/>
                <w:color w:val="auto"/>
                <w:sz w:val="24"/>
                <w:lang w:eastAsia="zh-CN"/>
              </w:rPr>
            </w:pPr>
            <w:r>
              <w:rPr>
                <w:rFonts w:hint="eastAsia" w:ascii="仿宋" w:hAnsi="仿宋" w:eastAsia="仿宋" w:cs="仿宋"/>
                <w:color w:val="000000"/>
                <w:sz w:val="24"/>
                <w:lang w:val="en-US" w:eastAsia="zh-CN"/>
              </w:rPr>
              <w:t>对本项目的合理化建议等综合评定，方案详细完善的得5-6分，方案较详细完善的得3-4分，方案不够详细完善的得1-2分。</w:t>
            </w:r>
          </w:p>
        </w:tc>
        <w:tc>
          <w:tcPr>
            <w:tcW w:w="1360" w:type="dxa"/>
            <w:tcBorders>
              <w:top w:val="single" w:color="auto" w:sz="8" w:space="0"/>
              <w:left w:val="nil"/>
              <w:bottom w:val="single" w:color="auto" w:sz="8" w:space="0"/>
              <w:right w:val="single" w:color="auto" w:sz="4" w:space="0"/>
            </w:tcBorders>
            <w:noWrap w:val="0"/>
            <w:vAlign w:val="center"/>
          </w:tcPr>
          <w:p w14:paraId="4041FFE1">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1-6分</w:t>
            </w:r>
          </w:p>
        </w:tc>
        <w:tc>
          <w:tcPr>
            <w:tcW w:w="1305" w:type="dxa"/>
            <w:tcBorders>
              <w:top w:val="single" w:color="auto" w:sz="8" w:space="0"/>
              <w:left w:val="nil"/>
              <w:bottom w:val="single" w:color="auto" w:sz="8" w:space="0"/>
              <w:right w:val="single" w:color="auto" w:sz="4" w:space="0"/>
            </w:tcBorders>
            <w:noWrap w:val="0"/>
            <w:vAlign w:val="center"/>
          </w:tcPr>
          <w:p w14:paraId="18CE3993">
            <w:pPr>
              <w:widowControl/>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主观分</w:t>
            </w:r>
          </w:p>
        </w:tc>
      </w:tr>
      <w:tr w14:paraId="61D9F818">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right w:val="single" w:color="auto" w:sz="4" w:space="0"/>
            </w:tcBorders>
            <w:noWrap w:val="0"/>
            <w:vAlign w:val="center"/>
          </w:tcPr>
          <w:p w14:paraId="7B76EB72">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78610349">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127F90A7">
            <w:pPr>
              <w:widowControl/>
              <w:spacing w:line="360" w:lineRule="auto"/>
              <w:jc w:val="both"/>
              <w:rPr>
                <w:rFonts w:hint="eastAsia" w:ascii="仿宋" w:hAnsi="仿宋" w:eastAsia="仿宋" w:cs="仿宋"/>
                <w:color w:val="auto"/>
                <w:sz w:val="24"/>
                <w:lang w:eastAsia="zh-CN"/>
              </w:rPr>
            </w:pPr>
            <w:r>
              <w:rPr>
                <w:rFonts w:hint="eastAsia" w:ascii="仿宋" w:hAnsi="仿宋" w:eastAsia="仿宋" w:cs="仿宋"/>
                <w:color w:val="000000"/>
                <w:sz w:val="24"/>
                <w:lang w:val="en-US" w:eastAsia="zh-CN"/>
              </w:rPr>
              <w:t>服务过程中的重点、难点分析以及解决思路等综合评定，方案详细完善的得5-6分，方案较详细完善的得3-4分，方案不够详细完善的得1-2分</w:t>
            </w:r>
          </w:p>
        </w:tc>
        <w:tc>
          <w:tcPr>
            <w:tcW w:w="1360" w:type="dxa"/>
            <w:tcBorders>
              <w:top w:val="single" w:color="auto" w:sz="8" w:space="0"/>
              <w:left w:val="nil"/>
              <w:bottom w:val="single" w:color="auto" w:sz="8" w:space="0"/>
              <w:right w:val="single" w:color="auto" w:sz="4" w:space="0"/>
            </w:tcBorders>
            <w:noWrap w:val="0"/>
            <w:vAlign w:val="center"/>
          </w:tcPr>
          <w:p w14:paraId="0A698993">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1-6分</w:t>
            </w:r>
          </w:p>
        </w:tc>
        <w:tc>
          <w:tcPr>
            <w:tcW w:w="1305" w:type="dxa"/>
            <w:tcBorders>
              <w:top w:val="single" w:color="auto" w:sz="8" w:space="0"/>
              <w:left w:val="nil"/>
              <w:bottom w:val="single" w:color="auto" w:sz="8" w:space="0"/>
              <w:right w:val="single" w:color="auto" w:sz="4" w:space="0"/>
            </w:tcBorders>
            <w:noWrap w:val="0"/>
            <w:vAlign w:val="center"/>
          </w:tcPr>
          <w:p w14:paraId="3E1FCC3F">
            <w:pPr>
              <w:widowControl/>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主观分</w:t>
            </w:r>
          </w:p>
        </w:tc>
      </w:tr>
      <w:tr w14:paraId="6C4A62B2">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right w:val="single" w:color="auto" w:sz="4" w:space="0"/>
            </w:tcBorders>
            <w:noWrap w:val="0"/>
            <w:vAlign w:val="center"/>
          </w:tcPr>
          <w:p w14:paraId="0B0DDACF">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11467FEE">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1EC43213">
            <w:pPr>
              <w:widowControl/>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服务承诺</w:t>
            </w:r>
            <w:r>
              <w:rPr>
                <w:rFonts w:hint="eastAsia" w:ascii="仿宋" w:hAnsi="仿宋" w:eastAsia="仿宋" w:cs="仿宋"/>
                <w:color w:val="auto"/>
                <w:sz w:val="24"/>
                <w:lang w:val="en-US" w:eastAsia="zh-CN"/>
              </w:rPr>
              <w:t>及质量保证措施</w:t>
            </w:r>
            <w:r>
              <w:rPr>
                <w:rFonts w:hint="eastAsia" w:ascii="仿宋" w:hAnsi="仿宋" w:eastAsia="仿宋" w:cs="仿宋"/>
                <w:color w:val="auto"/>
                <w:sz w:val="24"/>
              </w:rPr>
              <w:t>（根据服务能力、售后服务方案、</w:t>
            </w:r>
            <w:r>
              <w:rPr>
                <w:rFonts w:hint="eastAsia" w:ascii="仿宋" w:hAnsi="仿宋" w:eastAsia="仿宋" w:cs="仿宋"/>
                <w:color w:val="auto"/>
                <w:sz w:val="24"/>
                <w:lang w:val="en-US" w:eastAsia="zh-CN"/>
              </w:rPr>
              <w:t>保证</w:t>
            </w:r>
            <w:r>
              <w:rPr>
                <w:rFonts w:hint="eastAsia" w:ascii="仿宋" w:hAnsi="仿宋" w:eastAsia="仿宋" w:cs="仿宋"/>
                <w:color w:val="auto"/>
                <w:sz w:val="24"/>
              </w:rPr>
              <w:t>措施、响应等情况综合评定</w:t>
            </w:r>
            <w:r>
              <w:rPr>
                <w:rFonts w:hint="eastAsia" w:ascii="仿宋" w:hAnsi="仿宋" w:eastAsia="仿宋" w:cs="仿宋"/>
                <w:color w:val="auto"/>
                <w:sz w:val="24"/>
                <w:lang w:eastAsia="zh-CN"/>
              </w:rPr>
              <w:t>，</w:t>
            </w:r>
            <w:r>
              <w:rPr>
                <w:rFonts w:hint="eastAsia" w:ascii="仿宋" w:hAnsi="仿宋" w:eastAsia="仿宋" w:cs="仿宋"/>
                <w:color w:val="000000"/>
                <w:sz w:val="24"/>
                <w:lang w:val="en-US" w:eastAsia="zh-CN"/>
              </w:rPr>
              <w:t>方案详细完善的得8-9分，方案较详细完善的得6-7分，方案不够详细完善的得3-5分。</w:t>
            </w:r>
          </w:p>
        </w:tc>
        <w:tc>
          <w:tcPr>
            <w:tcW w:w="1360" w:type="dxa"/>
            <w:tcBorders>
              <w:top w:val="single" w:color="auto" w:sz="8" w:space="0"/>
              <w:left w:val="nil"/>
              <w:bottom w:val="single" w:color="auto" w:sz="8" w:space="0"/>
              <w:right w:val="single" w:color="auto" w:sz="4" w:space="0"/>
            </w:tcBorders>
            <w:noWrap w:val="0"/>
            <w:vAlign w:val="center"/>
          </w:tcPr>
          <w:p w14:paraId="703C0FC5">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3-9分</w:t>
            </w:r>
          </w:p>
        </w:tc>
        <w:tc>
          <w:tcPr>
            <w:tcW w:w="1305" w:type="dxa"/>
            <w:tcBorders>
              <w:top w:val="single" w:color="auto" w:sz="8" w:space="0"/>
              <w:left w:val="nil"/>
              <w:bottom w:val="single" w:color="auto" w:sz="8" w:space="0"/>
              <w:right w:val="single" w:color="auto" w:sz="4" w:space="0"/>
            </w:tcBorders>
            <w:noWrap w:val="0"/>
            <w:vAlign w:val="center"/>
          </w:tcPr>
          <w:p w14:paraId="714754BF">
            <w:pPr>
              <w:widowControl/>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主观分</w:t>
            </w:r>
          </w:p>
        </w:tc>
      </w:tr>
      <w:tr w14:paraId="4C04B008">
        <w:tblPrEx>
          <w:tblCellMar>
            <w:top w:w="0" w:type="dxa"/>
            <w:left w:w="108" w:type="dxa"/>
            <w:bottom w:w="0" w:type="dxa"/>
            <w:right w:w="108" w:type="dxa"/>
          </w:tblCellMar>
        </w:tblPrEx>
        <w:trPr>
          <w:trHeight w:val="1033" w:hRule="atLeast"/>
          <w:jc w:val="center"/>
        </w:trPr>
        <w:tc>
          <w:tcPr>
            <w:tcW w:w="778" w:type="dxa"/>
            <w:vMerge w:val="continue"/>
            <w:tcBorders>
              <w:left w:val="single" w:color="auto" w:sz="8" w:space="0"/>
              <w:bottom w:val="single" w:color="auto" w:sz="8" w:space="0"/>
              <w:right w:val="single" w:color="auto" w:sz="4" w:space="0"/>
            </w:tcBorders>
            <w:noWrap w:val="0"/>
            <w:vAlign w:val="center"/>
          </w:tcPr>
          <w:p w14:paraId="41848347">
            <w:pPr>
              <w:widowControl/>
              <w:spacing w:line="360" w:lineRule="auto"/>
              <w:jc w:val="center"/>
              <w:rPr>
                <w:rFonts w:hint="eastAsia" w:ascii="仿宋" w:hAnsi="仿宋" w:eastAsia="仿宋" w:cs="仿宋"/>
                <w:color w:val="auto"/>
                <w:sz w:val="24"/>
              </w:rPr>
            </w:pPr>
          </w:p>
        </w:tc>
        <w:tc>
          <w:tcPr>
            <w:tcW w:w="843" w:type="dxa"/>
            <w:tcBorders>
              <w:top w:val="single" w:color="auto" w:sz="8" w:space="0"/>
              <w:left w:val="nil"/>
              <w:bottom w:val="single" w:color="auto" w:sz="8" w:space="0"/>
              <w:right w:val="single" w:color="auto" w:sz="4" w:space="0"/>
            </w:tcBorders>
            <w:noWrap w:val="0"/>
            <w:vAlign w:val="center"/>
          </w:tcPr>
          <w:p w14:paraId="7377F7AE">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4750" w:type="dxa"/>
            <w:tcBorders>
              <w:top w:val="single" w:color="auto" w:sz="8" w:space="0"/>
              <w:left w:val="single" w:color="auto" w:sz="4" w:space="0"/>
              <w:bottom w:val="single" w:color="auto" w:sz="8" w:space="0"/>
              <w:right w:val="single" w:color="auto" w:sz="4" w:space="0"/>
            </w:tcBorders>
            <w:noWrap w:val="0"/>
            <w:vAlign w:val="center"/>
          </w:tcPr>
          <w:p w14:paraId="4626636F">
            <w:pPr>
              <w:widowControl/>
              <w:spacing w:line="360" w:lineRule="auto"/>
              <w:rPr>
                <w:rFonts w:hint="default" w:ascii="仿宋" w:hAnsi="仿宋" w:eastAsia="仿宋" w:cs="仿宋"/>
                <w:color w:val="auto"/>
                <w:sz w:val="24"/>
                <w:lang w:val="en-US" w:eastAsia="zh-CN"/>
              </w:rPr>
            </w:pPr>
            <w:r>
              <w:rPr>
                <w:rFonts w:hint="eastAsia" w:ascii="仿宋" w:hAnsi="仿宋" w:eastAsia="仿宋" w:cs="仿宋"/>
                <w:sz w:val="24"/>
              </w:rPr>
              <w:t>日常保洁应急预案措施情况</w:t>
            </w:r>
            <w:r>
              <w:rPr>
                <w:rFonts w:hint="eastAsia" w:ascii="仿宋" w:hAnsi="仿宋" w:eastAsia="仿宋" w:cs="仿宋"/>
                <w:sz w:val="24"/>
                <w:lang w:val="en-US" w:eastAsia="zh-CN"/>
              </w:rPr>
              <w:t>等综合评定，</w:t>
            </w:r>
            <w:r>
              <w:rPr>
                <w:rFonts w:hint="eastAsia" w:ascii="仿宋" w:hAnsi="仿宋" w:eastAsia="仿宋" w:cs="仿宋"/>
                <w:color w:val="000000"/>
                <w:sz w:val="24"/>
                <w:lang w:val="en-US" w:eastAsia="zh-CN"/>
              </w:rPr>
              <w:t>方案详细完善的得6-7分，方案较详细完善的得4-5分，方案不够详细完善的得1-3分。</w:t>
            </w:r>
          </w:p>
        </w:tc>
        <w:tc>
          <w:tcPr>
            <w:tcW w:w="1360" w:type="dxa"/>
            <w:tcBorders>
              <w:top w:val="single" w:color="auto" w:sz="8" w:space="0"/>
              <w:left w:val="nil"/>
              <w:bottom w:val="single" w:color="auto" w:sz="8" w:space="0"/>
              <w:right w:val="single" w:color="auto" w:sz="4" w:space="0"/>
            </w:tcBorders>
            <w:noWrap w:val="0"/>
            <w:vAlign w:val="center"/>
          </w:tcPr>
          <w:p w14:paraId="47906A45">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1-7分</w:t>
            </w:r>
          </w:p>
        </w:tc>
        <w:tc>
          <w:tcPr>
            <w:tcW w:w="1305" w:type="dxa"/>
            <w:tcBorders>
              <w:top w:val="single" w:color="auto" w:sz="8" w:space="0"/>
              <w:left w:val="nil"/>
              <w:bottom w:val="single" w:color="auto" w:sz="8" w:space="0"/>
              <w:right w:val="single" w:color="auto" w:sz="4" w:space="0"/>
            </w:tcBorders>
            <w:noWrap w:val="0"/>
            <w:vAlign w:val="center"/>
          </w:tcPr>
          <w:p w14:paraId="04DDCD0D">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主观分</w:t>
            </w:r>
          </w:p>
        </w:tc>
      </w:tr>
    </w:tbl>
    <w:p w14:paraId="6AC559C1">
      <w:pPr>
        <w:widowControl/>
        <w:spacing w:line="360" w:lineRule="auto"/>
        <w:rPr>
          <w:rFonts w:hint="eastAsia" w:ascii="仿宋" w:hAnsi="仿宋" w:eastAsia="仿宋" w:cs="仿宋"/>
          <w:b/>
          <w:color w:val="auto"/>
          <w:sz w:val="24"/>
          <w:szCs w:val="24"/>
          <w:highlight w:val="none"/>
          <w:lang w:val="en-US" w:eastAsia="zh-CN"/>
        </w:rPr>
      </w:pPr>
    </w:p>
    <w:p w14:paraId="15707517">
      <w:pPr>
        <w:widowControl/>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color w:val="auto"/>
          <w:sz w:val="24"/>
          <w:szCs w:val="24"/>
          <w:highlight w:val="none"/>
        </w:rPr>
        <w:t>备注：</w:t>
      </w:r>
      <w:r>
        <w:rPr>
          <w:rFonts w:hint="eastAsia" w:ascii="仿宋" w:hAnsi="仿宋" w:eastAsia="仿宋" w:cs="仿宋"/>
          <w:b w:val="0"/>
          <w:bCs w:val="0"/>
          <w:color w:val="auto"/>
          <w:sz w:val="24"/>
          <w:szCs w:val="24"/>
          <w:highlight w:val="none"/>
          <w:lang w:val="en-US" w:eastAsia="zh-CN"/>
        </w:rPr>
        <w:t>1、评分条款中涉及的业绩、荣誉、人员、社保等分公司均有效。</w:t>
      </w:r>
    </w:p>
    <w:p w14:paraId="230DB8BB">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2、响应</w:t>
      </w:r>
      <w:r>
        <w:rPr>
          <w:rFonts w:hint="eastAsia" w:ascii="仿宋" w:hAnsi="仿宋" w:eastAsia="仿宋" w:cs="仿宋"/>
          <w:color w:val="auto"/>
          <w:sz w:val="24"/>
          <w:szCs w:val="24"/>
          <w:highlight w:val="none"/>
        </w:rPr>
        <w:t>文件中如附有外文资料，必须逐一对应翻译成中文并加盖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公章后附在相关外文资料后面，否则外文资料不予认可。翻译的中文资料与外文资料不符的，均不予认可。翻译严重错误的，将视同提供虚假资料。</w:t>
      </w:r>
    </w:p>
    <w:p w14:paraId="759FD6C4">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3、供应商</w:t>
      </w:r>
      <w:r>
        <w:rPr>
          <w:rFonts w:hint="eastAsia" w:ascii="仿宋" w:hAnsi="仿宋" w:eastAsia="仿宋" w:cs="仿宋"/>
          <w:color w:val="auto"/>
          <w:sz w:val="24"/>
          <w:szCs w:val="24"/>
          <w:highlight w:val="none"/>
        </w:rPr>
        <w:t>编制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文件（商务技术文件部分）时，建议按此目录（序号和内容）提供</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标准相应的商务技术资料。</w:t>
      </w:r>
    </w:p>
    <w:p w14:paraId="417CBC5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50"/>
      </w:tblGrid>
      <w:tr w14:paraId="3E51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169" w:type="dxa"/>
            <w:noWrap w:val="0"/>
            <w:vAlign w:val="center"/>
          </w:tcPr>
          <w:p w14:paraId="69DE10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价格权值</w:t>
            </w:r>
          </w:p>
        </w:tc>
        <w:tc>
          <w:tcPr>
            <w:tcW w:w="6450" w:type="dxa"/>
            <w:noWrap w:val="0"/>
            <w:vAlign w:val="center"/>
          </w:tcPr>
          <w:p w14:paraId="0FF17D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计    算    方    法</w:t>
            </w:r>
          </w:p>
        </w:tc>
      </w:tr>
      <w:tr w14:paraId="1F97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9" w:type="dxa"/>
            <w:noWrap w:val="0"/>
            <w:vAlign w:val="center"/>
          </w:tcPr>
          <w:p w14:paraId="5FB108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价格权值=0.</w:t>
            </w:r>
            <w:r>
              <w:rPr>
                <w:rFonts w:hint="eastAsia" w:ascii="仿宋" w:hAnsi="仿宋" w:eastAsia="仿宋" w:cs="仿宋"/>
                <w:color w:val="000000"/>
                <w:sz w:val="24"/>
                <w:highlight w:val="none"/>
                <w:lang w:val="en-US" w:eastAsia="zh-CN"/>
              </w:rPr>
              <w:t>15</w:t>
            </w:r>
          </w:p>
        </w:tc>
        <w:tc>
          <w:tcPr>
            <w:tcW w:w="6450" w:type="dxa"/>
            <w:noWrap w:val="0"/>
            <w:vAlign w:val="center"/>
          </w:tcPr>
          <w:p w14:paraId="78C008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最低有效响应价格为</w:t>
            </w:r>
            <w:r>
              <w:rPr>
                <w:rFonts w:hint="eastAsia" w:ascii="仿宋" w:hAnsi="仿宋" w:eastAsia="仿宋" w:cs="仿宋"/>
                <w:color w:val="000000"/>
                <w:sz w:val="24"/>
                <w:highlight w:val="none"/>
                <w:lang w:eastAsia="zh-CN"/>
              </w:rPr>
              <w:t>评审</w:t>
            </w:r>
            <w:r>
              <w:rPr>
                <w:rFonts w:hint="eastAsia" w:ascii="仿宋" w:hAnsi="仿宋" w:eastAsia="仿宋" w:cs="仿宋"/>
                <w:color w:val="000000"/>
                <w:sz w:val="24"/>
                <w:highlight w:val="none"/>
              </w:rPr>
              <w:t>基准价</w:t>
            </w:r>
          </w:p>
          <w:p w14:paraId="34D626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响应报价得分=(</w:t>
            </w:r>
            <w:r>
              <w:rPr>
                <w:rFonts w:hint="eastAsia" w:ascii="仿宋" w:hAnsi="仿宋" w:eastAsia="仿宋" w:cs="仿宋"/>
                <w:color w:val="000000"/>
                <w:sz w:val="24"/>
                <w:highlight w:val="none"/>
                <w:lang w:eastAsia="zh-CN"/>
              </w:rPr>
              <w:t>评审</w:t>
            </w:r>
            <w:r>
              <w:rPr>
                <w:rFonts w:hint="eastAsia" w:ascii="仿宋" w:hAnsi="仿宋" w:eastAsia="仿宋" w:cs="仿宋"/>
                <w:color w:val="000000"/>
                <w:sz w:val="24"/>
                <w:highlight w:val="none"/>
              </w:rPr>
              <w:t>基准价／响应报价)×价格权值×100</w:t>
            </w:r>
          </w:p>
          <w:p w14:paraId="690CB2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（计算得分保留小数点后2位）</w:t>
            </w:r>
          </w:p>
        </w:tc>
      </w:tr>
    </w:tbl>
    <w:p w14:paraId="62D32017">
      <w:pPr>
        <w:pStyle w:val="15"/>
        <w:ind w:firstLine="0"/>
        <w:rPr>
          <w:rFonts w:hint="eastAsia" w:ascii="仿宋" w:hAnsi="仿宋" w:eastAsia="仿宋" w:cs="仿宋"/>
        </w:rPr>
      </w:pPr>
    </w:p>
    <w:p w14:paraId="4B1AB92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14:paraId="50385A7D">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44F8F1A">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候选人的评标方法。</w:t>
      </w:r>
    </w:p>
    <w:p w14:paraId="03B16DE1">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8BA7DF1">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0AD70D1">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09A6131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5A3582A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4D00E92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37FFF32C">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03123F9">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78A9BE8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一览表(报价表)为准;</w:t>
      </w:r>
    </w:p>
    <w:p w14:paraId="6595488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4B8E24F">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一览表的总价为准，并修改单价;</w:t>
      </w:r>
    </w:p>
    <w:p w14:paraId="0B159F71">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BAEDB6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6C09F66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相应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67D712A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46C5341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不能证明其报价合理性的，评标委员会应当将其作为无效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1C9D7A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58D7AC9A">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3949DA7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E994BD">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E50FACC">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1EAE8A5F">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交易</w:t>
      </w:r>
      <w:r>
        <w:rPr>
          <w:rFonts w:hint="eastAsia" w:ascii="仿宋" w:hAnsi="仿宋" w:eastAsia="仿宋" w:cs="仿宋"/>
          <w:b/>
          <w:color w:val="auto"/>
          <w:kern w:val="0"/>
          <w:highlight w:val="none"/>
        </w:rPr>
        <w:t>无效。</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交易</w:t>
      </w:r>
      <w:r>
        <w:rPr>
          <w:rFonts w:hint="eastAsia" w:ascii="仿宋" w:hAnsi="仿宋" w:eastAsia="仿宋" w:cs="仿宋"/>
          <w:color w:val="auto"/>
          <w:szCs w:val="21"/>
          <w:highlight w:val="none"/>
        </w:rPr>
        <w:t>无效：</w:t>
      </w:r>
    </w:p>
    <w:p w14:paraId="747B83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58478F2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18A2FCA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2CDFFF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有效期的；</w:t>
      </w:r>
    </w:p>
    <w:p w14:paraId="515501A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p>
    <w:p w14:paraId="3F42E06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5882BB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5588D08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11D7C8A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333196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5CF1F36A">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17AE48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的其它实质性要求的；</w:t>
      </w:r>
    </w:p>
    <w:p w14:paraId="1DB44A09">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法律、法规、规章（适用本市的）及省级以上规范性文件（适用本市的）规定的其他无效情形。</w:t>
      </w:r>
    </w:p>
    <w:p w14:paraId="146ADB02">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在采购中，出现下列情形之一的，应予废标：</w:t>
      </w:r>
    </w:p>
    <w:p w14:paraId="2E88CEB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62EE66F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DAB0C3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6933CB3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E5714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11EB45CA">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4ADDF4F5">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有影响或者可能影响成交、成交结果的，依照下列规定处理：</w:t>
      </w:r>
    </w:p>
    <w:p w14:paraId="23C026CD">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7.1未确定成交或者成交人的，终止本次采购活动，重新开展采购活动。</w:t>
      </w:r>
    </w:p>
    <w:p w14:paraId="0499F875">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017CF7EC">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7.3采购合同已签订但尚未履行的，撤销合同，从合格的成交或者成交候选人中另行确定成交或者成交人；没有合格的成交或者成交候选人的，重新开展采购活动。</w:t>
      </w:r>
    </w:p>
    <w:p w14:paraId="0D3D5FE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7F9D5AE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7.5采购当事人有其他违反相关</w:t>
      </w:r>
      <w:r>
        <w:rPr>
          <w:rFonts w:hint="eastAsia" w:ascii="仿宋" w:hAnsi="仿宋" w:eastAsia="仿宋" w:cs="仿宋"/>
          <w:color w:val="auto"/>
          <w:kern w:val="0"/>
          <w:highlight w:val="none"/>
        </w:rPr>
        <w:t>法律法规规定</w:t>
      </w:r>
      <w:r>
        <w:rPr>
          <w:rFonts w:hint="eastAsia" w:ascii="仿宋" w:hAnsi="仿宋" w:eastAsia="仿宋" w:cs="仿宋"/>
          <w:color w:val="auto"/>
          <w:highlight w:val="none"/>
        </w:rPr>
        <w:t>的行为，经改正后仍然影响或者可能影响成交、成交结果或者依法被认定为成交、成交无效的，依照7.1-7.4规定处理。</w:t>
      </w:r>
    </w:p>
    <w:bookmarkEnd w:id="16"/>
    <w:p w14:paraId="0705024F">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3" w:name="第五部分"/>
      <w:bookmarkStart w:id="384" w:name="_Toc86217003"/>
    </w:p>
    <w:p w14:paraId="414F5B5A">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45ED971B">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317EB88">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A56F78A">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E80332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23C01D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4A28C6E">
      <w:pPr>
        <w:spacing w:line="360" w:lineRule="auto"/>
        <w:ind w:left="-420" w:leftChars="-200" w:right="-420" w:rightChars="-200" w:firstLine="723" w:firstLineChars="200"/>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36"/>
          <w:highlight w:val="none"/>
        </w:rPr>
        <w:t xml:space="preserve">第五部分 </w:t>
      </w:r>
      <w:bookmarkEnd w:id="383"/>
      <w:r>
        <w:rPr>
          <w:rFonts w:hint="eastAsia" w:ascii="仿宋" w:hAnsi="仿宋" w:eastAsia="仿宋" w:cs="仿宋"/>
          <w:b/>
          <w:color w:val="auto"/>
          <w:sz w:val="36"/>
          <w:szCs w:val="20"/>
          <w:highlight w:val="none"/>
        </w:rPr>
        <w:t xml:space="preserve"> </w:t>
      </w:r>
      <w:bookmarkEnd w:id="384"/>
      <w:r>
        <w:rPr>
          <w:rFonts w:hint="eastAsia" w:ascii="仿宋" w:hAnsi="仿宋" w:eastAsia="仿宋" w:cs="仿宋"/>
          <w:b/>
          <w:color w:val="auto"/>
          <w:sz w:val="36"/>
          <w:szCs w:val="20"/>
          <w:highlight w:val="none"/>
        </w:rPr>
        <w:t>应提交的有关格式范例</w:t>
      </w:r>
    </w:p>
    <w:p w14:paraId="5B3A4AB3">
      <w:pPr>
        <w:spacing w:line="360" w:lineRule="auto"/>
        <w:jc w:val="center"/>
        <w:outlineLvl w:val="0"/>
        <w:rPr>
          <w:rFonts w:hint="eastAsia" w:ascii="仿宋" w:hAnsi="仿宋" w:eastAsia="仿宋" w:cs="仿宋"/>
          <w:b/>
          <w:color w:val="auto"/>
          <w:kern w:val="0"/>
          <w:sz w:val="36"/>
          <w:szCs w:val="36"/>
          <w:highlight w:val="none"/>
        </w:rPr>
      </w:pPr>
    </w:p>
    <w:p w14:paraId="17D099C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7524F6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D55B0B1">
      <w:pPr>
        <w:spacing w:line="360" w:lineRule="auto"/>
        <w:jc w:val="center"/>
        <w:outlineLvl w:val="0"/>
        <w:rPr>
          <w:rFonts w:hint="eastAsia" w:ascii="仿宋" w:hAnsi="仿宋" w:eastAsia="仿宋" w:cs="仿宋"/>
          <w:b/>
          <w:color w:val="auto"/>
          <w:kern w:val="0"/>
          <w:sz w:val="36"/>
          <w:szCs w:val="36"/>
          <w:highlight w:val="none"/>
        </w:rPr>
      </w:pPr>
    </w:p>
    <w:p w14:paraId="723ABF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5B2DC8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（2）落实采购政策需满足的资格要求………………………………（页码）</w:t>
      </w:r>
    </w:p>
    <w:p w14:paraId="3D8F24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26D1C6E9">
      <w:pPr>
        <w:pStyle w:val="2"/>
        <w:rPr>
          <w:rFonts w:hint="eastAsia"/>
        </w:rPr>
      </w:pPr>
    </w:p>
    <w:p w14:paraId="1AB176A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559DEE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923A4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】采购活动，郑重承诺：</w:t>
      </w:r>
    </w:p>
    <w:p w14:paraId="25FCA4A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以下</w:t>
      </w:r>
      <w:r>
        <w:rPr>
          <w:rFonts w:hint="eastAsia" w:ascii="仿宋" w:hAnsi="仿宋" w:eastAsia="仿宋" w:cs="仿宋"/>
          <w:color w:val="auto"/>
          <w:sz w:val="24"/>
          <w:highlight w:val="none"/>
        </w:rPr>
        <w:t>条件：</w:t>
      </w:r>
    </w:p>
    <w:p w14:paraId="33EFF0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B2ABB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61112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5E6A9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B97A1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0C29DA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AF168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（二）不存在以下情况：</w:t>
      </w:r>
    </w:p>
    <w:p w14:paraId="213C2F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1A6462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BA80FB5">
      <w:pPr>
        <w:pStyle w:val="4"/>
        <w:spacing w:line="360" w:lineRule="auto"/>
        <w:rPr>
          <w:rFonts w:hint="eastAsia" w:ascii="仿宋" w:hAnsi="仿宋" w:eastAsia="仿宋" w:cs="仿宋"/>
          <w:color w:val="auto"/>
          <w:sz w:val="24"/>
          <w:highlight w:val="none"/>
        </w:rPr>
      </w:pPr>
    </w:p>
    <w:p w14:paraId="15079D50">
      <w:pPr>
        <w:spacing w:line="360" w:lineRule="auto"/>
        <w:rPr>
          <w:rFonts w:hint="eastAsia" w:ascii="仿宋" w:hAnsi="仿宋" w:eastAsia="仿宋" w:cs="仿宋"/>
          <w:color w:val="auto"/>
          <w:highlight w:val="none"/>
        </w:rPr>
      </w:pPr>
    </w:p>
    <w:p w14:paraId="6A89484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3A75C0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8AB523C">
      <w:pPr>
        <w:snapToGrid w:val="0"/>
        <w:spacing w:line="360" w:lineRule="auto"/>
        <w:ind w:right="480"/>
        <w:jc w:val="center"/>
        <w:rPr>
          <w:rFonts w:hint="eastAsia" w:ascii="仿宋" w:hAnsi="仿宋" w:eastAsia="仿宋" w:cs="仿宋"/>
          <w:b/>
          <w:color w:val="auto"/>
          <w:kern w:val="0"/>
          <w:sz w:val="32"/>
          <w:szCs w:val="32"/>
          <w:highlight w:val="none"/>
        </w:rPr>
      </w:pPr>
    </w:p>
    <w:p w14:paraId="49B1DFF5">
      <w:pPr>
        <w:snapToGrid w:val="0"/>
        <w:spacing w:line="360" w:lineRule="auto"/>
        <w:ind w:right="480"/>
        <w:jc w:val="center"/>
        <w:rPr>
          <w:rFonts w:hint="eastAsia" w:ascii="仿宋" w:hAnsi="仿宋" w:eastAsia="仿宋" w:cs="仿宋"/>
          <w:b/>
          <w:color w:val="auto"/>
          <w:kern w:val="0"/>
          <w:sz w:val="32"/>
          <w:szCs w:val="32"/>
          <w:highlight w:val="none"/>
        </w:rPr>
      </w:pPr>
    </w:p>
    <w:p w14:paraId="43F31CC9">
      <w:pPr>
        <w:rPr>
          <w:rFonts w:hint="eastAsia" w:ascii="仿宋" w:hAnsi="仿宋" w:eastAsia="仿宋" w:cs="仿宋"/>
          <w:color w:val="auto"/>
          <w:highlight w:val="none"/>
        </w:rPr>
      </w:pPr>
    </w:p>
    <w:p w14:paraId="4F27838E">
      <w:pPr>
        <w:snapToGrid w:val="0"/>
        <w:spacing w:line="360" w:lineRule="auto"/>
        <w:ind w:right="480"/>
        <w:jc w:val="center"/>
        <w:rPr>
          <w:rFonts w:hint="eastAsia" w:ascii="仿宋" w:hAnsi="仿宋" w:eastAsia="仿宋" w:cs="仿宋"/>
          <w:b/>
          <w:color w:val="auto"/>
          <w:kern w:val="0"/>
          <w:sz w:val="32"/>
          <w:szCs w:val="32"/>
          <w:highlight w:val="none"/>
        </w:rPr>
      </w:pPr>
    </w:p>
    <w:p w14:paraId="54C4ECB6">
      <w:pPr>
        <w:snapToGrid w:val="0"/>
        <w:spacing w:line="360" w:lineRule="auto"/>
        <w:ind w:right="480"/>
        <w:jc w:val="center"/>
        <w:rPr>
          <w:rFonts w:hint="eastAsia" w:ascii="仿宋" w:hAnsi="仿宋" w:eastAsia="仿宋" w:cs="仿宋"/>
          <w:b/>
          <w:color w:val="auto"/>
          <w:kern w:val="0"/>
          <w:sz w:val="32"/>
          <w:szCs w:val="32"/>
          <w:highlight w:val="none"/>
        </w:rPr>
      </w:pPr>
    </w:p>
    <w:p w14:paraId="07CC23D6">
      <w:pPr>
        <w:snapToGrid w:val="0"/>
        <w:spacing w:line="360" w:lineRule="auto"/>
        <w:ind w:right="480"/>
        <w:jc w:val="center"/>
        <w:rPr>
          <w:rFonts w:hint="eastAsia" w:ascii="仿宋" w:hAnsi="仿宋" w:eastAsia="仿宋" w:cs="仿宋"/>
          <w:b/>
          <w:color w:val="auto"/>
          <w:kern w:val="0"/>
          <w:sz w:val="32"/>
          <w:szCs w:val="32"/>
          <w:highlight w:val="none"/>
        </w:rPr>
      </w:pPr>
    </w:p>
    <w:p w14:paraId="2F07043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AF0456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二、落实采购政策需满足的资格要求</w:t>
      </w:r>
    </w:p>
    <w:p w14:paraId="79A2C0A7">
      <w:pPr>
        <w:spacing w:line="360" w:lineRule="auto"/>
        <w:jc w:val="center"/>
        <w:rPr>
          <w:rFonts w:hint="eastAsia" w:ascii="宋体" w:hAnsi="宋体" w:eastAsia="宋体" w:cs="宋体"/>
          <w:color w:val="auto"/>
          <w:sz w:val="24"/>
          <w:highlight w:val="none"/>
          <w:u w:val="singl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公告落实采购政策需满足的资格要求选择提供相应的材料；未要求的，无需提供）</w:t>
      </w:r>
    </w:p>
    <w:p w14:paraId="5CBC05E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6BC8CEBC">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杭州萧山党湾幸福股份经济联合社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萧山区党湾镇幸福村2025年垃圾分类、清运及保洁采购项目（重招）</w:t>
      </w:r>
      <w:r>
        <w:rPr>
          <w:rFonts w:hint="eastAsia" w:ascii="仿宋" w:hAnsi="仿宋" w:eastAsia="仿宋" w:cs="仿宋"/>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2ABAB68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lang w:eastAsia="zh-CN"/>
        </w:rPr>
        <w:t>萧山区党湾镇幸福村2025年垃圾分类、清运及保洁采购项目（重招）</w:t>
      </w:r>
      <w:r>
        <w:rPr>
          <w:rFonts w:hint="eastAsia" w:ascii="仿宋" w:hAnsi="仿宋" w:eastAsia="仿宋" w:cs="仿宋"/>
          <w:sz w:val="24"/>
        </w:rPr>
        <w:t>，属于</w:t>
      </w:r>
      <w:r>
        <w:rPr>
          <w:rFonts w:hint="eastAsia" w:ascii="仿宋" w:hAnsi="仿宋" w:eastAsia="仿宋" w:cs="仿宋"/>
          <w:sz w:val="24"/>
          <w:u w:val="single"/>
        </w:rPr>
        <w:t xml:space="preserve"> 其他未列明</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70E011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4BBD2E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3D923D6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CB9444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80DFB18">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3C6E8769">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9E19920">
      <w:pPr>
        <w:spacing w:line="360" w:lineRule="auto"/>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从业人员、营业收入、资产总额填报上一年度数据</w:t>
      </w:r>
      <w:r>
        <w:rPr>
          <w:rFonts w:hint="eastAsia" w:ascii="仿宋" w:hAnsi="仿宋" w:eastAsia="仿宋" w:cs="仿宋"/>
          <w:color w:val="auto"/>
          <w:sz w:val="18"/>
          <w:szCs w:val="18"/>
          <w:lang w:eastAsia="zh-CN"/>
        </w:rPr>
        <w:t>。</w:t>
      </w:r>
    </w:p>
    <w:p w14:paraId="5B2A8C7D">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4BFCFF76">
      <w:pPr>
        <w:numPr>
          <w:ilvl w:val="0"/>
          <w:numId w:val="2"/>
        </w:numPr>
        <w:spacing w:line="360" w:lineRule="auto"/>
        <w:ind w:right="420" w:firstLine="480" w:firstLineChars="200"/>
        <w:rPr>
          <w:rFonts w:hint="eastAsia" w:ascii="仿宋" w:hAnsi="仿宋" w:eastAsia="仿宋" w:cs="仿宋"/>
          <w:b/>
          <w:bCs/>
          <w:color w:val="auto"/>
          <w:sz w:val="24"/>
          <w:shd w:val="clear" w:color="auto" w:fill="auto"/>
          <w:lang w:eastAsia="zh-CN"/>
        </w:rPr>
      </w:pPr>
      <w:r>
        <w:rPr>
          <w:rFonts w:hint="eastAsia" w:ascii="仿宋" w:hAnsi="仿宋" w:eastAsia="仿宋" w:cs="仿宋"/>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rPr>
        <w:t>④企业类型填写错误的，声明函无效</w:t>
      </w:r>
      <w:r>
        <w:rPr>
          <w:rFonts w:hint="eastAsia" w:ascii="仿宋" w:hAnsi="仿宋" w:eastAsia="仿宋" w:cs="仿宋"/>
          <w:color w:val="FF0000"/>
          <w:sz w:val="24"/>
          <w:lang w:eastAsia="zh-CN"/>
        </w:rPr>
        <w:t>。</w:t>
      </w:r>
    </w:p>
    <w:p w14:paraId="0463A78B">
      <w:pPr>
        <w:pStyle w:val="23"/>
        <w:rPr>
          <w:rFonts w:hint="eastAsia" w:ascii="仿宋" w:hAnsi="仿宋" w:eastAsia="仿宋" w:cs="仿宋"/>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556AA4">
      <w:pPr>
        <w:spacing w:line="360" w:lineRule="auto"/>
        <w:jc w:val="both"/>
        <w:rPr>
          <w:rFonts w:hint="eastAsia" w:ascii="仿宋" w:hAnsi="仿宋" w:eastAsia="仿宋" w:cs="仿宋"/>
          <w:b/>
          <w:color w:val="auto"/>
          <w:sz w:val="32"/>
          <w:szCs w:val="32"/>
          <w:highlight w:val="none"/>
        </w:rPr>
      </w:pPr>
    </w:p>
    <w:p w14:paraId="0AE62669">
      <w:pPr>
        <w:widowControl/>
        <w:spacing w:line="360" w:lineRule="auto"/>
        <w:ind w:firstLine="2249" w:firstLineChars="700"/>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、本项目的特定资格要求</w:t>
      </w:r>
    </w:p>
    <w:p w14:paraId="3366930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公告本项目的特定资格要求提供相应的材料；未要求的，无需提供）</w:t>
      </w:r>
    </w:p>
    <w:p w14:paraId="02791472">
      <w:pPr>
        <w:pStyle w:val="24"/>
        <w:rPr>
          <w:rFonts w:hint="eastAsia" w:ascii="仿宋" w:hAnsi="仿宋" w:eastAsia="仿宋" w:cs="仿宋"/>
        </w:rPr>
      </w:pPr>
    </w:p>
    <w:p w14:paraId="1B850C76">
      <w:pPr>
        <w:rPr>
          <w:rFonts w:hint="eastAsia" w:ascii="仿宋" w:hAnsi="仿宋" w:eastAsia="仿宋" w:cs="仿宋"/>
          <w:color w:val="auto"/>
          <w:highlight w:val="none"/>
        </w:rPr>
      </w:pPr>
    </w:p>
    <w:p w14:paraId="3E84569E">
      <w:pPr>
        <w:snapToGrid w:val="0"/>
        <w:spacing w:line="360" w:lineRule="auto"/>
        <w:ind w:right="480"/>
        <w:jc w:val="center"/>
        <w:rPr>
          <w:rFonts w:hint="eastAsia" w:ascii="仿宋" w:hAnsi="仿宋" w:eastAsia="仿宋" w:cs="仿宋"/>
          <w:b/>
          <w:color w:val="auto"/>
          <w:kern w:val="0"/>
          <w:sz w:val="32"/>
          <w:szCs w:val="32"/>
          <w:highlight w:val="none"/>
        </w:rPr>
      </w:pPr>
    </w:p>
    <w:p w14:paraId="1ACB1071">
      <w:pPr>
        <w:snapToGrid w:val="0"/>
        <w:spacing w:line="360" w:lineRule="auto"/>
        <w:ind w:right="480"/>
        <w:jc w:val="center"/>
        <w:rPr>
          <w:rFonts w:hint="eastAsia" w:ascii="仿宋" w:hAnsi="仿宋" w:eastAsia="仿宋" w:cs="仿宋"/>
          <w:b/>
          <w:color w:val="auto"/>
          <w:kern w:val="0"/>
          <w:sz w:val="32"/>
          <w:szCs w:val="32"/>
          <w:highlight w:val="none"/>
        </w:rPr>
      </w:pPr>
    </w:p>
    <w:p w14:paraId="0B1C3796">
      <w:pPr>
        <w:snapToGrid w:val="0"/>
        <w:spacing w:line="360" w:lineRule="auto"/>
        <w:ind w:right="480"/>
        <w:jc w:val="center"/>
        <w:rPr>
          <w:rFonts w:hint="eastAsia" w:ascii="仿宋" w:hAnsi="仿宋" w:eastAsia="仿宋" w:cs="仿宋"/>
          <w:b/>
          <w:color w:val="auto"/>
          <w:kern w:val="0"/>
          <w:sz w:val="32"/>
          <w:szCs w:val="32"/>
          <w:highlight w:val="none"/>
        </w:rPr>
      </w:pPr>
    </w:p>
    <w:p w14:paraId="2D3A8C20">
      <w:pPr>
        <w:snapToGrid w:val="0"/>
        <w:spacing w:line="360" w:lineRule="auto"/>
        <w:ind w:right="480"/>
        <w:jc w:val="center"/>
        <w:rPr>
          <w:rFonts w:hint="eastAsia" w:ascii="仿宋" w:hAnsi="仿宋" w:eastAsia="仿宋" w:cs="仿宋"/>
          <w:b/>
          <w:color w:val="auto"/>
          <w:kern w:val="0"/>
          <w:sz w:val="32"/>
          <w:szCs w:val="32"/>
          <w:highlight w:val="none"/>
        </w:rPr>
      </w:pPr>
    </w:p>
    <w:p w14:paraId="65E0422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A1D59E2">
      <w:pPr>
        <w:pStyle w:val="4"/>
        <w:rPr>
          <w:rFonts w:hint="eastAsia"/>
        </w:rPr>
      </w:pPr>
    </w:p>
    <w:p w14:paraId="5C41E0B9">
      <w:pPr>
        <w:snapToGrid w:val="0"/>
        <w:spacing w:line="360" w:lineRule="auto"/>
        <w:ind w:right="480"/>
        <w:jc w:val="center"/>
        <w:rPr>
          <w:rFonts w:hint="eastAsia" w:ascii="仿宋" w:hAnsi="仿宋" w:eastAsia="仿宋" w:cs="仿宋"/>
          <w:b/>
          <w:color w:val="auto"/>
          <w:kern w:val="0"/>
          <w:sz w:val="32"/>
          <w:szCs w:val="32"/>
          <w:highlight w:val="none"/>
        </w:rPr>
      </w:pPr>
    </w:p>
    <w:p w14:paraId="7092C0EA">
      <w:pPr>
        <w:snapToGrid w:val="0"/>
        <w:spacing w:line="360" w:lineRule="auto"/>
        <w:ind w:right="480"/>
        <w:jc w:val="center"/>
        <w:rPr>
          <w:rFonts w:hint="eastAsia" w:ascii="仿宋" w:hAnsi="仿宋" w:eastAsia="仿宋" w:cs="仿宋"/>
          <w:b/>
          <w:color w:val="auto"/>
          <w:kern w:val="0"/>
          <w:sz w:val="32"/>
          <w:szCs w:val="32"/>
          <w:highlight w:val="none"/>
        </w:rPr>
      </w:pPr>
    </w:p>
    <w:p w14:paraId="6955C7B8">
      <w:pPr>
        <w:rPr>
          <w:rFonts w:hint="eastAsia" w:ascii="仿宋" w:hAnsi="仿宋" w:eastAsia="仿宋" w:cs="仿宋"/>
          <w:b/>
          <w:color w:val="auto"/>
          <w:kern w:val="0"/>
          <w:sz w:val="36"/>
          <w:szCs w:val="36"/>
          <w:highlight w:val="none"/>
        </w:rPr>
      </w:pPr>
    </w:p>
    <w:p w14:paraId="3AD5F5FE">
      <w:pPr>
        <w:spacing w:line="360" w:lineRule="auto"/>
        <w:ind w:right="420" w:firstLine="3614" w:firstLineChars="1000"/>
        <w:rPr>
          <w:rFonts w:hint="eastAsia" w:ascii="仿宋" w:hAnsi="仿宋" w:eastAsia="仿宋" w:cs="仿宋"/>
          <w:b/>
          <w:color w:val="auto"/>
          <w:kern w:val="0"/>
          <w:sz w:val="36"/>
          <w:szCs w:val="36"/>
          <w:highlight w:val="none"/>
        </w:rPr>
      </w:pPr>
    </w:p>
    <w:p w14:paraId="3896CB91">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74B931B">
      <w:pPr>
        <w:spacing w:line="360" w:lineRule="auto"/>
        <w:jc w:val="center"/>
        <w:outlineLvl w:val="0"/>
        <w:rPr>
          <w:rFonts w:hint="eastAsia" w:ascii="仿宋" w:hAnsi="仿宋" w:eastAsia="仿宋" w:cs="仿宋"/>
          <w:b/>
          <w:color w:val="auto"/>
          <w:kern w:val="0"/>
          <w:sz w:val="24"/>
          <w:highlight w:val="none"/>
        </w:rPr>
      </w:pPr>
    </w:p>
    <w:p w14:paraId="0224B25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542265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2FE987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highlight w:val="none"/>
        </w:rPr>
        <w:t>……………………………………………………………………（页码）</w:t>
      </w:r>
    </w:p>
    <w:p w14:paraId="2F6AA514">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评标标准相应的商务技术资料……………………………………………（页码）</w:t>
      </w:r>
    </w:p>
    <w:p w14:paraId="26977BEA">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标的清单………………………………………………………………（页码）</w:t>
      </w:r>
    </w:p>
    <w:p w14:paraId="07B9EB13">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（6）商务技术偏离表……………………………………………………………（页码）</w:t>
      </w:r>
    </w:p>
    <w:p w14:paraId="5C18E653">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sz w:val="24"/>
          <w:highlight w:val="none"/>
        </w:rPr>
        <w:t>………………………………………………（页码）</w:t>
      </w:r>
    </w:p>
    <w:p w14:paraId="731DBA9A">
      <w:pPr>
        <w:snapToGrid w:val="0"/>
        <w:spacing w:line="360" w:lineRule="auto"/>
        <w:jc w:val="center"/>
        <w:rPr>
          <w:rFonts w:hint="eastAsia" w:ascii="仿宋" w:hAnsi="仿宋" w:eastAsia="仿宋" w:cs="仿宋"/>
          <w:b/>
          <w:color w:val="auto"/>
          <w:kern w:val="0"/>
          <w:sz w:val="32"/>
          <w:szCs w:val="32"/>
          <w:highlight w:val="none"/>
          <w:lang w:val="zh-CN"/>
        </w:rPr>
      </w:pPr>
    </w:p>
    <w:p w14:paraId="13C0A14D">
      <w:pPr>
        <w:snapToGrid w:val="0"/>
        <w:spacing w:line="360" w:lineRule="auto"/>
        <w:jc w:val="center"/>
        <w:rPr>
          <w:rFonts w:hint="eastAsia" w:ascii="仿宋" w:hAnsi="仿宋" w:eastAsia="仿宋" w:cs="仿宋"/>
          <w:b/>
          <w:color w:val="auto"/>
          <w:kern w:val="0"/>
          <w:sz w:val="32"/>
          <w:szCs w:val="32"/>
          <w:highlight w:val="none"/>
          <w:lang w:val="zh-CN"/>
        </w:rPr>
      </w:pPr>
    </w:p>
    <w:p w14:paraId="7CB3062E">
      <w:pPr>
        <w:snapToGrid w:val="0"/>
        <w:spacing w:line="360" w:lineRule="auto"/>
        <w:jc w:val="center"/>
        <w:rPr>
          <w:rFonts w:hint="eastAsia" w:ascii="仿宋" w:hAnsi="仿宋" w:eastAsia="仿宋" w:cs="仿宋"/>
          <w:b/>
          <w:color w:val="auto"/>
          <w:kern w:val="0"/>
          <w:sz w:val="32"/>
          <w:szCs w:val="32"/>
          <w:highlight w:val="none"/>
          <w:lang w:val="zh-CN"/>
        </w:rPr>
      </w:pPr>
    </w:p>
    <w:p w14:paraId="670F278D">
      <w:pPr>
        <w:snapToGrid w:val="0"/>
        <w:spacing w:line="360" w:lineRule="auto"/>
        <w:jc w:val="center"/>
        <w:rPr>
          <w:rFonts w:hint="eastAsia" w:ascii="仿宋" w:hAnsi="仿宋" w:eastAsia="仿宋" w:cs="仿宋"/>
          <w:b/>
          <w:color w:val="auto"/>
          <w:kern w:val="0"/>
          <w:sz w:val="32"/>
          <w:szCs w:val="32"/>
          <w:highlight w:val="none"/>
          <w:lang w:val="zh-CN"/>
        </w:rPr>
      </w:pPr>
    </w:p>
    <w:p w14:paraId="5EA1AF58">
      <w:pPr>
        <w:snapToGrid w:val="0"/>
        <w:spacing w:line="360" w:lineRule="auto"/>
        <w:jc w:val="center"/>
        <w:rPr>
          <w:rFonts w:hint="eastAsia" w:ascii="仿宋" w:hAnsi="仿宋" w:eastAsia="仿宋" w:cs="仿宋"/>
          <w:b/>
          <w:color w:val="auto"/>
          <w:kern w:val="0"/>
          <w:sz w:val="32"/>
          <w:szCs w:val="32"/>
          <w:highlight w:val="none"/>
          <w:lang w:val="zh-CN"/>
        </w:rPr>
      </w:pPr>
    </w:p>
    <w:p w14:paraId="08A18407">
      <w:pPr>
        <w:snapToGrid w:val="0"/>
        <w:spacing w:line="360" w:lineRule="auto"/>
        <w:jc w:val="center"/>
        <w:outlineLvl w:val="0"/>
        <w:rPr>
          <w:rFonts w:hint="eastAsia" w:ascii="仿宋" w:hAnsi="仿宋" w:eastAsia="仿宋" w:cs="仿宋"/>
          <w:b/>
          <w:color w:val="auto"/>
          <w:kern w:val="0"/>
          <w:sz w:val="32"/>
          <w:szCs w:val="32"/>
          <w:highlight w:val="none"/>
        </w:rPr>
      </w:pPr>
    </w:p>
    <w:p w14:paraId="57F3DE52">
      <w:pPr>
        <w:snapToGrid w:val="0"/>
        <w:spacing w:line="360" w:lineRule="auto"/>
        <w:jc w:val="center"/>
        <w:outlineLvl w:val="0"/>
        <w:rPr>
          <w:rFonts w:hint="eastAsia" w:ascii="仿宋" w:hAnsi="仿宋" w:eastAsia="仿宋" w:cs="仿宋"/>
          <w:b/>
          <w:color w:val="auto"/>
          <w:kern w:val="0"/>
          <w:sz w:val="32"/>
          <w:szCs w:val="32"/>
          <w:highlight w:val="none"/>
        </w:rPr>
      </w:pPr>
    </w:p>
    <w:p w14:paraId="16B0DA6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9D1E85">
      <w:pPr>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sz w:val="32"/>
          <w:szCs w:val="32"/>
          <w:highlight w:val="none"/>
        </w:rPr>
        <w:t>函</w:t>
      </w:r>
    </w:p>
    <w:p w14:paraId="142DE68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2306E80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7F633B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有效期满之前均具有约束力。</w:t>
      </w:r>
    </w:p>
    <w:p w14:paraId="5348211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5400EF0A">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AFE345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2.1.1承诺函；</w:t>
      </w:r>
    </w:p>
    <w:p w14:paraId="639CDBB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2.1.2落实政府采购政策需满足的资格要求（如果有）</w:t>
      </w:r>
      <w:r>
        <w:rPr>
          <w:rFonts w:hint="eastAsia" w:ascii="仿宋" w:hAnsi="仿宋" w:eastAsia="仿宋" w:cs="仿宋"/>
          <w:color w:val="auto"/>
          <w:sz w:val="24"/>
          <w:highlight w:val="none"/>
        </w:rPr>
        <w:t>；</w:t>
      </w:r>
    </w:p>
    <w:p w14:paraId="2661CEF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2.1.3本项目的特定资格要求（如果有）</w:t>
      </w:r>
      <w:r>
        <w:rPr>
          <w:rFonts w:hint="eastAsia" w:ascii="仿宋" w:hAnsi="仿宋" w:eastAsia="仿宋" w:cs="仿宋"/>
          <w:color w:val="auto"/>
          <w:sz w:val="24"/>
          <w:highlight w:val="none"/>
        </w:rPr>
        <w:t>；</w:t>
      </w:r>
    </w:p>
    <w:p w14:paraId="468DA24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8E349A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0424840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270D18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14:paraId="2CBB01F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2.2.4评标标准相应的商务技术资料；</w:t>
      </w:r>
    </w:p>
    <w:p w14:paraId="497625F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w:t>
      </w:r>
    </w:p>
    <w:p w14:paraId="4879A26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2B94E35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sz w:val="24"/>
          <w:highlight w:val="none"/>
        </w:rPr>
        <w:t>；</w:t>
      </w:r>
    </w:p>
    <w:p w14:paraId="1B82B38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D4705D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w:t>
      </w:r>
    </w:p>
    <w:p w14:paraId="5457965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r>
        <w:rPr>
          <w:rFonts w:hint="eastAsia" w:ascii="仿宋" w:hAnsi="仿宋" w:eastAsia="仿宋" w:cs="仿宋"/>
          <w:color w:val="auto"/>
          <w:sz w:val="24"/>
          <w:highlight w:val="none"/>
        </w:rPr>
        <w:t>。</w:t>
      </w:r>
    </w:p>
    <w:p w14:paraId="220210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49E474C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，我方承诺：</w:t>
      </w:r>
    </w:p>
    <w:p w14:paraId="3CCF135F">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 xml:space="preserve">通知书规定的期限内与你方签订合同； </w:t>
      </w:r>
    </w:p>
    <w:p w14:paraId="11A688D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5E8EB0F">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3A2F2DB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4B830C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F217B02">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4999CD48">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注：按本格式和要求提供。</w:t>
      </w:r>
    </w:p>
    <w:p w14:paraId="6C880EB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110E47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6EBFA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C714DE4">
      <w:pPr>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19BE177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94C1C8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交易的一切事项，其法律后果由我方承担。</w:t>
      </w:r>
    </w:p>
    <w:p w14:paraId="3321EDF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D92351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32D8E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4E3FE5E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6833F4C">
      <w:pPr>
        <w:snapToGrid w:val="0"/>
        <w:spacing w:line="360" w:lineRule="auto"/>
        <w:rPr>
          <w:rFonts w:hint="eastAsia" w:ascii="仿宋" w:hAnsi="仿宋" w:eastAsia="仿宋" w:cs="仿宋"/>
          <w:color w:val="auto"/>
          <w:sz w:val="24"/>
          <w:highlight w:val="none"/>
        </w:rPr>
      </w:pPr>
    </w:p>
    <w:p w14:paraId="1656D69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4431112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eastAsia="zh-CN"/>
        </w:rPr>
        <w:t>交易</w:t>
      </w:r>
      <w:r>
        <w:rPr>
          <w:rFonts w:hint="eastAsia" w:ascii="仿宋" w:hAnsi="仿宋" w:eastAsia="仿宋" w:cs="仿宋"/>
          <w:b/>
          <w:color w:val="auto"/>
          <w:sz w:val="30"/>
          <w:szCs w:val="30"/>
          <w:highlight w:val="none"/>
        </w:rPr>
        <w:t>）</w:t>
      </w:r>
    </w:p>
    <w:p w14:paraId="4C9B11FB">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C5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07D5AC19">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39DC303">
            <w:pPr>
              <w:pStyle w:val="149"/>
              <w:adjustRightInd w:val="0"/>
              <w:spacing w:line="360" w:lineRule="auto"/>
              <w:rPr>
                <w:rFonts w:hint="eastAsia" w:ascii="仿宋" w:hAnsi="仿宋" w:eastAsia="仿宋" w:cs="仿宋"/>
                <w:bCs/>
                <w:color w:val="auto"/>
                <w:sz w:val="24"/>
                <w:highlight w:val="none"/>
              </w:rPr>
            </w:pPr>
          </w:p>
        </w:tc>
      </w:tr>
    </w:tbl>
    <w:p w14:paraId="54295D1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B60C4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387E859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85DF5FD">
      <w:pPr>
        <w:jc w:val="center"/>
        <w:rPr>
          <w:rFonts w:hint="eastAsia" w:ascii="仿宋" w:hAnsi="仿宋" w:eastAsia="仿宋" w:cs="仿宋"/>
          <w:b/>
          <w:color w:val="auto"/>
          <w:kern w:val="0"/>
          <w:sz w:val="32"/>
          <w:szCs w:val="32"/>
          <w:highlight w:val="none"/>
        </w:rPr>
      </w:pPr>
    </w:p>
    <w:p w14:paraId="2CC2C41A">
      <w:pPr>
        <w:snapToGrid w:val="0"/>
        <w:spacing w:line="360" w:lineRule="auto"/>
        <w:rPr>
          <w:rFonts w:hint="eastAsia" w:ascii="仿宋" w:hAnsi="仿宋" w:eastAsia="仿宋" w:cs="仿宋"/>
          <w:color w:val="auto"/>
          <w:kern w:val="0"/>
          <w:sz w:val="24"/>
          <w:highlight w:val="none"/>
        </w:rPr>
      </w:pPr>
    </w:p>
    <w:p w14:paraId="28B3845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、符合性审查资料</w:t>
      </w:r>
    </w:p>
    <w:p w14:paraId="0B527858">
      <w:pPr>
        <w:jc w:val="center"/>
        <w:rPr>
          <w:rFonts w:hint="eastAsia" w:ascii="仿宋" w:hAnsi="仿宋" w:eastAsia="仿宋" w:cs="仿宋"/>
          <w:b/>
          <w:color w:val="auto"/>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0F01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F1301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72" w:type="dxa"/>
            <w:vAlign w:val="center"/>
          </w:tcPr>
          <w:p w14:paraId="3DCE785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EBFFB2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766BE3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754D3DC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E02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6E01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72" w:type="dxa"/>
            <w:vAlign w:val="center"/>
          </w:tcPr>
          <w:p w14:paraId="202FD75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4E75C5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vAlign w:val="center"/>
          </w:tcPr>
          <w:p w14:paraId="027E375B">
            <w:pPr>
              <w:jc w:val="center"/>
              <w:rPr>
                <w:rFonts w:hint="eastAsia" w:ascii="仿宋" w:hAnsi="仿宋" w:eastAsia="仿宋" w:cs="仿宋"/>
                <w:color w:val="auto"/>
                <w:sz w:val="24"/>
                <w:highlight w:val="none"/>
              </w:rPr>
            </w:pPr>
          </w:p>
          <w:p w14:paraId="739E4C46">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44987FD8">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229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46CC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72" w:type="dxa"/>
            <w:vAlign w:val="center"/>
          </w:tcPr>
          <w:p w14:paraId="510596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w:t>
            </w:r>
          </w:p>
        </w:tc>
        <w:tc>
          <w:tcPr>
            <w:tcW w:w="2551" w:type="dxa"/>
            <w:vAlign w:val="center"/>
          </w:tcPr>
          <w:p w14:paraId="28024CC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418" w:type="dxa"/>
            <w:vAlign w:val="center"/>
          </w:tcPr>
          <w:p w14:paraId="0EAD97D9">
            <w:pPr>
              <w:jc w:val="center"/>
              <w:rPr>
                <w:rFonts w:hint="eastAsia" w:ascii="仿宋" w:hAnsi="仿宋" w:eastAsia="仿宋" w:cs="仿宋"/>
                <w:color w:val="auto"/>
                <w:highlight w:val="none"/>
                <w:lang w:val="en-US"/>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75B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556AE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672" w:type="dxa"/>
            <w:vAlign w:val="center"/>
          </w:tcPr>
          <w:p w14:paraId="335634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13013071">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vAlign w:val="center"/>
          </w:tcPr>
          <w:p w14:paraId="49A0B0DF">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C788D3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F34A69">
      <w:pPr>
        <w:jc w:val="center"/>
        <w:rPr>
          <w:rFonts w:hint="eastAsia" w:ascii="仿宋" w:hAnsi="仿宋" w:eastAsia="仿宋" w:cs="仿宋"/>
          <w:b/>
          <w:color w:val="auto"/>
          <w:kern w:val="0"/>
          <w:sz w:val="32"/>
          <w:szCs w:val="32"/>
          <w:highlight w:val="none"/>
        </w:rPr>
      </w:pPr>
    </w:p>
    <w:p w14:paraId="4B92CD94">
      <w:pPr>
        <w:jc w:val="center"/>
        <w:rPr>
          <w:rFonts w:hint="eastAsia" w:ascii="仿宋" w:hAnsi="仿宋" w:eastAsia="仿宋" w:cs="仿宋"/>
          <w:b/>
          <w:color w:val="auto"/>
          <w:kern w:val="0"/>
          <w:sz w:val="32"/>
          <w:szCs w:val="32"/>
          <w:highlight w:val="none"/>
          <w:lang w:eastAsia="zh-CN"/>
        </w:rPr>
      </w:pPr>
    </w:p>
    <w:p w14:paraId="5BB370E5">
      <w:pPr>
        <w:jc w:val="center"/>
        <w:rPr>
          <w:rFonts w:hint="eastAsia" w:ascii="仿宋" w:hAnsi="仿宋" w:eastAsia="仿宋" w:cs="仿宋"/>
          <w:b/>
          <w:color w:val="auto"/>
          <w:kern w:val="0"/>
          <w:sz w:val="32"/>
          <w:szCs w:val="32"/>
          <w:highlight w:val="none"/>
          <w:lang w:eastAsia="zh-CN"/>
        </w:rPr>
      </w:pPr>
    </w:p>
    <w:p w14:paraId="34E2733C">
      <w:pPr>
        <w:jc w:val="center"/>
        <w:rPr>
          <w:rFonts w:hint="eastAsia" w:ascii="仿宋" w:hAnsi="仿宋" w:eastAsia="仿宋" w:cs="仿宋"/>
          <w:b/>
          <w:color w:val="auto"/>
          <w:kern w:val="0"/>
          <w:sz w:val="32"/>
          <w:szCs w:val="32"/>
          <w:highlight w:val="none"/>
          <w:lang w:eastAsia="zh-CN"/>
        </w:rPr>
      </w:pPr>
    </w:p>
    <w:p w14:paraId="428CD69A">
      <w:pPr>
        <w:jc w:val="center"/>
        <w:rPr>
          <w:rFonts w:hint="eastAsia" w:ascii="仿宋" w:hAnsi="仿宋" w:eastAsia="仿宋" w:cs="仿宋"/>
          <w:b/>
          <w:color w:val="auto"/>
          <w:kern w:val="0"/>
          <w:sz w:val="32"/>
          <w:szCs w:val="32"/>
          <w:highlight w:val="none"/>
          <w:lang w:eastAsia="zh-CN"/>
        </w:rPr>
      </w:pPr>
    </w:p>
    <w:p w14:paraId="2EF1F245">
      <w:pPr>
        <w:jc w:val="center"/>
        <w:rPr>
          <w:rFonts w:hint="eastAsia" w:ascii="仿宋" w:hAnsi="仿宋" w:eastAsia="仿宋" w:cs="仿宋"/>
          <w:b/>
          <w:color w:val="auto"/>
          <w:kern w:val="0"/>
          <w:sz w:val="32"/>
          <w:szCs w:val="32"/>
          <w:highlight w:val="none"/>
          <w:lang w:eastAsia="zh-CN"/>
        </w:rPr>
      </w:pPr>
    </w:p>
    <w:p w14:paraId="64BBC8FB">
      <w:pPr>
        <w:jc w:val="center"/>
        <w:rPr>
          <w:rFonts w:hint="eastAsia" w:ascii="仿宋" w:hAnsi="仿宋" w:eastAsia="仿宋" w:cs="仿宋"/>
          <w:b/>
          <w:color w:val="auto"/>
          <w:kern w:val="0"/>
          <w:sz w:val="32"/>
          <w:szCs w:val="32"/>
          <w:highlight w:val="none"/>
          <w:lang w:eastAsia="zh-CN"/>
        </w:rPr>
      </w:pPr>
    </w:p>
    <w:p w14:paraId="1DAE0CD6">
      <w:pPr>
        <w:jc w:val="center"/>
        <w:rPr>
          <w:rFonts w:hint="eastAsia" w:ascii="仿宋" w:hAnsi="仿宋" w:eastAsia="仿宋" w:cs="仿宋"/>
          <w:b/>
          <w:color w:val="auto"/>
          <w:kern w:val="0"/>
          <w:sz w:val="32"/>
          <w:szCs w:val="32"/>
          <w:highlight w:val="none"/>
          <w:lang w:eastAsia="zh-CN"/>
        </w:rPr>
      </w:pPr>
    </w:p>
    <w:p w14:paraId="77DF3C8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、评标标准相应的商务技术资料</w:t>
      </w:r>
    </w:p>
    <w:p w14:paraId="3472E1BD">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45E89572">
      <w:pPr>
        <w:jc w:val="center"/>
        <w:rPr>
          <w:rFonts w:hint="eastAsia" w:ascii="仿宋" w:hAnsi="仿宋" w:eastAsia="仿宋" w:cs="仿宋"/>
          <w:b/>
          <w:color w:val="auto"/>
          <w:kern w:val="0"/>
          <w:sz w:val="32"/>
          <w:szCs w:val="32"/>
          <w:highlight w:val="none"/>
        </w:rPr>
      </w:pPr>
    </w:p>
    <w:p w14:paraId="68CDF786">
      <w:pPr>
        <w:jc w:val="center"/>
        <w:rPr>
          <w:rFonts w:hint="eastAsia" w:ascii="仿宋" w:hAnsi="仿宋" w:eastAsia="仿宋" w:cs="仿宋"/>
          <w:b/>
          <w:color w:val="auto"/>
          <w:kern w:val="0"/>
          <w:sz w:val="32"/>
          <w:szCs w:val="32"/>
          <w:highlight w:val="none"/>
        </w:rPr>
      </w:pPr>
    </w:p>
    <w:p w14:paraId="28975EB4">
      <w:pPr>
        <w:jc w:val="center"/>
        <w:rPr>
          <w:rFonts w:hint="eastAsia" w:ascii="仿宋" w:hAnsi="仿宋" w:eastAsia="仿宋" w:cs="仿宋"/>
          <w:b/>
          <w:color w:val="auto"/>
          <w:kern w:val="0"/>
          <w:sz w:val="32"/>
          <w:szCs w:val="32"/>
          <w:highlight w:val="none"/>
        </w:rPr>
      </w:pPr>
    </w:p>
    <w:p w14:paraId="62B8A035">
      <w:pPr>
        <w:jc w:val="center"/>
        <w:rPr>
          <w:rFonts w:hint="eastAsia" w:ascii="仿宋" w:hAnsi="仿宋" w:eastAsia="仿宋" w:cs="仿宋"/>
          <w:b/>
          <w:color w:val="auto"/>
          <w:kern w:val="0"/>
          <w:sz w:val="32"/>
          <w:szCs w:val="32"/>
          <w:highlight w:val="none"/>
        </w:rPr>
      </w:pPr>
    </w:p>
    <w:p w14:paraId="6C11E6A8">
      <w:pPr>
        <w:jc w:val="center"/>
        <w:rPr>
          <w:rFonts w:hint="eastAsia" w:ascii="仿宋" w:hAnsi="仿宋" w:eastAsia="仿宋" w:cs="仿宋"/>
          <w:b/>
          <w:color w:val="auto"/>
          <w:kern w:val="0"/>
          <w:sz w:val="32"/>
          <w:szCs w:val="32"/>
          <w:highlight w:val="none"/>
        </w:rPr>
      </w:pPr>
    </w:p>
    <w:p w14:paraId="4F574C99">
      <w:pPr>
        <w:jc w:val="center"/>
        <w:rPr>
          <w:rFonts w:hint="eastAsia" w:ascii="仿宋" w:hAnsi="仿宋" w:eastAsia="仿宋" w:cs="仿宋"/>
          <w:b/>
          <w:color w:val="auto"/>
          <w:kern w:val="0"/>
          <w:sz w:val="32"/>
          <w:szCs w:val="32"/>
          <w:highlight w:val="none"/>
        </w:rPr>
      </w:pPr>
    </w:p>
    <w:p w14:paraId="52F5EE59">
      <w:pPr>
        <w:jc w:val="center"/>
        <w:rPr>
          <w:rFonts w:hint="eastAsia" w:ascii="仿宋" w:hAnsi="仿宋" w:eastAsia="仿宋" w:cs="仿宋"/>
          <w:b/>
          <w:color w:val="auto"/>
          <w:kern w:val="0"/>
          <w:sz w:val="32"/>
          <w:szCs w:val="32"/>
          <w:highlight w:val="none"/>
        </w:rPr>
      </w:pPr>
    </w:p>
    <w:p w14:paraId="677D04BE">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交易</w:t>
      </w:r>
      <w:r>
        <w:rPr>
          <w:rFonts w:hint="eastAsia" w:ascii="仿宋" w:hAnsi="仿宋" w:eastAsia="仿宋" w:cs="仿宋"/>
          <w:b/>
          <w:color w:val="auto"/>
          <w:kern w:val="0"/>
          <w:sz w:val="32"/>
          <w:szCs w:val="32"/>
          <w:highlight w:val="none"/>
        </w:rPr>
        <w:t>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D14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17B83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3593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330D1D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A7629F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43170A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D357C5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3CBAE2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25B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61406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BA8AB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EF6F9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2885D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6BD98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10112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00D8AA">
            <w:pPr>
              <w:spacing w:line="360" w:lineRule="auto"/>
              <w:jc w:val="center"/>
              <w:rPr>
                <w:rFonts w:hint="eastAsia" w:ascii="仿宋" w:hAnsi="仿宋" w:eastAsia="仿宋" w:cs="仿宋"/>
                <w:color w:val="auto"/>
                <w:sz w:val="24"/>
                <w:highlight w:val="none"/>
              </w:rPr>
            </w:pPr>
          </w:p>
        </w:tc>
      </w:tr>
      <w:tr w14:paraId="1AA0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1BDB1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EBD4C6">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7F502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15B3A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119F70">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7DE46D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E538BD">
            <w:pPr>
              <w:spacing w:line="360" w:lineRule="auto"/>
              <w:jc w:val="center"/>
              <w:rPr>
                <w:rFonts w:hint="eastAsia" w:ascii="仿宋" w:hAnsi="仿宋" w:eastAsia="仿宋" w:cs="仿宋"/>
                <w:color w:val="auto"/>
                <w:sz w:val="24"/>
                <w:highlight w:val="none"/>
              </w:rPr>
            </w:pPr>
          </w:p>
        </w:tc>
      </w:tr>
      <w:tr w14:paraId="542B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C766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385261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9FC55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C3378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99CE4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4DB798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1FA7A71">
            <w:pPr>
              <w:spacing w:line="360" w:lineRule="auto"/>
              <w:jc w:val="center"/>
              <w:rPr>
                <w:rFonts w:hint="eastAsia" w:ascii="仿宋" w:hAnsi="仿宋" w:eastAsia="仿宋" w:cs="仿宋"/>
                <w:color w:val="auto"/>
                <w:sz w:val="24"/>
                <w:highlight w:val="none"/>
              </w:rPr>
            </w:pPr>
          </w:p>
        </w:tc>
      </w:tr>
    </w:tbl>
    <w:p w14:paraId="569CD63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004192F">
      <w:pPr>
        <w:jc w:val="center"/>
        <w:rPr>
          <w:rFonts w:hint="eastAsia" w:ascii="仿宋" w:hAnsi="仿宋" w:eastAsia="仿宋" w:cs="仿宋"/>
          <w:b/>
          <w:color w:val="auto"/>
          <w:kern w:val="0"/>
          <w:sz w:val="32"/>
          <w:szCs w:val="32"/>
          <w:highlight w:val="none"/>
        </w:rPr>
      </w:pPr>
    </w:p>
    <w:p w14:paraId="1656DE74">
      <w:pPr>
        <w:jc w:val="center"/>
        <w:rPr>
          <w:rFonts w:hint="eastAsia" w:ascii="仿宋" w:hAnsi="仿宋" w:eastAsia="仿宋" w:cs="仿宋"/>
          <w:b/>
          <w:color w:val="auto"/>
          <w:kern w:val="0"/>
          <w:sz w:val="32"/>
          <w:szCs w:val="32"/>
          <w:highlight w:val="none"/>
        </w:rPr>
      </w:pPr>
    </w:p>
    <w:p w14:paraId="49B6EC5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12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09A0C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5C3AA1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59BF875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668DD55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5DC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782B6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6348592">
            <w:pPr>
              <w:jc w:val="center"/>
              <w:rPr>
                <w:rFonts w:hint="eastAsia" w:ascii="仿宋" w:hAnsi="仿宋" w:eastAsia="仿宋" w:cs="仿宋"/>
                <w:b/>
                <w:color w:val="auto"/>
                <w:kern w:val="0"/>
                <w:sz w:val="32"/>
                <w:szCs w:val="32"/>
                <w:highlight w:val="none"/>
              </w:rPr>
            </w:pPr>
          </w:p>
        </w:tc>
        <w:tc>
          <w:tcPr>
            <w:tcW w:w="3546" w:type="dxa"/>
          </w:tcPr>
          <w:p w14:paraId="0A65A9C1">
            <w:pPr>
              <w:jc w:val="center"/>
              <w:rPr>
                <w:rFonts w:hint="eastAsia" w:ascii="仿宋" w:hAnsi="仿宋" w:eastAsia="仿宋" w:cs="仿宋"/>
                <w:b/>
                <w:color w:val="auto"/>
                <w:kern w:val="0"/>
                <w:sz w:val="32"/>
                <w:szCs w:val="32"/>
                <w:highlight w:val="none"/>
              </w:rPr>
            </w:pPr>
          </w:p>
        </w:tc>
        <w:tc>
          <w:tcPr>
            <w:tcW w:w="1276" w:type="dxa"/>
          </w:tcPr>
          <w:p w14:paraId="0428FA88">
            <w:pPr>
              <w:jc w:val="center"/>
              <w:rPr>
                <w:rFonts w:hint="eastAsia" w:ascii="仿宋" w:hAnsi="仿宋" w:eastAsia="仿宋" w:cs="仿宋"/>
                <w:b/>
                <w:color w:val="auto"/>
                <w:kern w:val="0"/>
                <w:sz w:val="32"/>
                <w:szCs w:val="32"/>
                <w:highlight w:val="none"/>
              </w:rPr>
            </w:pPr>
          </w:p>
        </w:tc>
      </w:tr>
      <w:tr w14:paraId="6EDE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BB2D6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BDB57C8">
            <w:pPr>
              <w:jc w:val="center"/>
              <w:rPr>
                <w:rFonts w:hint="eastAsia" w:ascii="仿宋" w:hAnsi="仿宋" w:eastAsia="仿宋" w:cs="仿宋"/>
                <w:b/>
                <w:color w:val="auto"/>
                <w:kern w:val="0"/>
                <w:sz w:val="32"/>
                <w:szCs w:val="32"/>
                <w:highlight w:val="none"/>
              </w:rPr>
            </w:pPr>
          </w:p>
        </w:tc>
        <w:tc>
          <w:tcPr>
            <w:tcW w:w="3546" w:type="dxa"/>
          </w:tcPr>
          <w:p w14:paraId="3279BB85">
            <w:pPr>
              <w:jc w:val="center"/>
              <w:rPr>
                <w:rFonts w:hint="eastAsia" w:ascii="仿宋" w:hAnsi="仿宋" w:eastAsia="仿宋" w:cs="仿宋"/>
                <w:b/>
                <w:color w:val="auto"/>
                <w:kern w:val="0"/>
                <w:sz w:val="32"/>
                <w:szCs w:val="32"/>
                <w:highlight w:val="none"/>
              </w:rPr>
            </w:pPr>
          </w:p>
        </w:tc>
        <w:tc>
          <w:tcPr>
            <w:tcW w:w="1276" w:type="dxa"/>
          </w:tcPr>
          <w:p w14:paraId="0166CE85">
            <w:pPr>
              <w:jc w:val="center"/>
              <w:rPr>
                <w:rFonts w:hint="eastAsia" w:ascii="仿宋" w:hAnsi="仿宋" w:eastAsia="仿宋" w:cs="仿宋"/>
                <w:b/>
                <w:color w:val="auto"/>
                <w:kern w:val="0"/>
                <w:sz w:val="32"/>
                <w:szCs w:val="32"/>
                <w:highlight w:val="none"/>
              </w:rPr>
            </w:pPr>
          </w:p>
        </w:tc>
      </w:tr>
      <w:tr w14:paraId="5FA8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7902A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82CE82B">
            <w:pPr>
              <w:jc w:val="center"/>
              <w:rPr>
                <w:rFonts w:hint="eastAsia" w:ascii="仿宋" w:hAnsi="仿宋" w:eastAsia="仿宋" w:cs="仿宋"/>
                <w:b/>
                <w:color w:val="auto"/>
                <w:kern w:val="0"/>
                <w:sz w:val="32"/>
                <w:szCs w:val="32"/>
                <w:highlight w:val="none"/>
              </w:rPr>
            </w:pPr>
          </w:p>
        </w:tc>
        <w:tc>
          <w:tcPr>
            <w:tcW w:w="3546" w:type="dxa"/>
          </w:tcPr>
          <w:p w14:paraId="4B7441AD">
            <w:pPr>
              <w:jc w:val="center"/>
              <w:rPr>
                <w:rFonts w:hint="eastAsia" w:ascii="仿宋" w:hAnsi="仿宋" w:eastAsia="仿宋" w:cs="仿宋"/>
                <w:b/>
                <w:color w:val="auto"/>
                <w:kern w:val="0"/>
                <w:sz w:val="32"/>
                <w:szCs w:val="32"/>
                <w:highlight w:val="none"/>
              </w:rPr>
            </w:pPr>
          </w:p>
        </w:tc>
        <w:tc>
          <w:tcPr>
            <w:tcW w:w="1276" w:type="dxa"/>
          </w:tcPr>
          <w:p w14:paraId="3645F7A7">
            <w:pPr>
              <w:jc w:val="center"/>
              <w:rPr>
                <w:rFonts w:hint="eastAsia" w:ascii="仿宋" w:hAnsi="仿宋" w:eastAsia="仿宋" w:cs="仿宋"/>
                <w:b/>
                <w:color w:val="auto"/>
                <w:kern w:val="0"/>
                <w:sz w:val="32"/>
                <w:szCs w:val="32"/>
                <w:highlight w:val="none"/>
              </w:rPr>
            </w:pPr>
          </w:p>
        </w:tc>
      </w:tr>
    </w:tbl>
    <w:p w14:paraId="69685293">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353BE145">
      <w:pPr>
        <w:jc w:val="center"/>
        <w:rPr>
          <w:rFonts w:hint="eastAsia" w:ascii="仿宋" w:hAnsi="仿宋" w:eastAsia="仿宋" w:cs="仿宋"/>
          <w:b/>
          <w:color w:val="auto"/>
          <w:kern w:val="0"/>
          <w:sz w:val="32"/>
          <w:szCs w:val="32"/>
          <w:highlight w:val="none"/>
        </w:rPr>
      </w:pPr>
    </w:p>
    <w:p w14:paraId="1B83E61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63547C">
      <w:pPr>
        <w:jc w:val="center"/>
        <w:rPr>
          <w:rFonts w:hint="eastAsia" w:ascii="仿宋" w:hAnsi="仿宋" w:eastAsia="仿宋" w:cs="仿宋"/>
          <w:b/>
          <w:color w:val="auto"/>
          <w:kern w:val="0"/>
          <w:sz w:val="32"/>
          <w:szCs w:val="32"/>
          <w:highlight w:val="none"/>
        </w:rPr>
      </w:pPr>
    </w:p>
    <w:p w14:paraId="4303E00F">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5C4FB06E">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1E811BE8">
      <w:pPr>
        <w:snapToGrid w:val="0"/>
        <w:spacing w:line="360" w:lineRule="auto"/>
        <w:rPr>
          <w:rFonts w:hint="eastAsia" w:ascii="仿宋" w:hAnsi="仿宋" w:eastAsia="仿宋" w:cs="仿宋"/>
          <w:color w:val="auto"/>
          <w:sz w:val="24"/>
          <w:highlight w:val="none"/>
        </w:rPr>
      </w:pPr>
    </w:p>
    <w:p w14:paraId="2470A9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3CEDF93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项目交易要求参加响应。在这次响应过程中和成交后，我们将严格遵守国家法律法规要求，并郑重承诺：</w:t>
      </w:r>
    </w:p>
    <w:p w14:paraId="171B4C1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ABCF88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713EDB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61702A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8E4FF8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3DAB94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6DAD70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2EEB8BC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8AB8C1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677E0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4DC108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61BBE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98725A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A248EB8">
      <w:pPr>
        <w:spacing w:line="360" w:lineRule="auto"/>
        <w:jc w:val="center"/>
        <w:rPr>
          <w:rFonts w:hint="eastAsia" w:ascii="仿宋" w:hAnsi="仿宋" w:eastAsia="仿宋" w:cs="仿宋"/>
          <w:b/>
          <w:bCs/>
          <w:color w:val="auto"/>
          <w:sz w:val="24"/>
          <w:highlight w:val="none"/>
        </w:rPr>
      </w:pPr>
    </w:p>
    <w:p w14:paraId="7292B49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5EEA3B1">
      <w:pPr>
        <w:spacing w:line="360" w:lineRule="auto"/>
        <w:jc w:val="center"/>
        <w:rPr>
          <w:rFonts w:hint="eastAsia"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BE022E9">
      <w:pPr>
        <w:spacing w:line="360" w:lineRule="auto"/>
        <w:jc w:val="center"/>
        <w:outlineLvl w:val="0"/>
        <w:rPr>
          <w:rFonts w:hint="eastAsia" w:ascii="仿宋" w:hAnsi="仿宋" w:eastAsia="仿宋" w:cs="仿宋"/>
          <w:b/>
          <w:color w:val="auto"/>
          <w:kern w:val="0"/>
          <w:sz w:val="36"/>
          <w:szCs w:val="36"/>
          <w:highlight w:val="none"/>
        </w:rPr>
      </w:pPr>
    </w:p>
    <w:p w14:paraId="4768074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A6AAA0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EC14D01">
      <w:pPr>
        <w:spacing w:line="360" w:lineRule="auto"/>
        <w:jc w:val="center"/>
        <w:outlineLvl w:val="0"/>
        <w:rPr>
          <w:rFonts w:hint="eastAsia" w:ascii="仿宋" w:hAnsi="仿宋" w:eastAsia="仿宋" w:cs="仿宋"/>
          <w:b/>
          <w:color w:val="auto"/>
          <w:kern w:val="0"/>
          <w:sz w:val="36"/>
          <w:szCs w:val="36"/>
          <w:highlight w:val="none"/>
        </w:rPr>
      </w:pPr>
    </w:p>
    <w:p w14:paraId="11BFB8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一览表（报价表）………………………………………………………（页码）</w:t>
      </w:r>
    </w:p>
    <w:p w14:paraId="735F13D9">
      <w:pPr>
        <w:snapToGrid w:val="0"/>
        <w:spacing w:line="360" w:lineRule="auto"/>
        <w:ind w:right="480"/>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lang w:eastAsia="zh-CN"/>
        </w:rPr>
        <w:t>（2）中小企业声明函</w:t>
      </w:r>
      <w:r>
        <w:rPr>
          <w:rFonts w:hint="eastAsia" w:ascii="仿宋" w:hAnsi="仿宋" w:eastAsia="仿宋" w:cs="仿宋"/>
          <w:color w:val="auto"/>
          <w:sz w:val="24"/>
          <w:highlight w:val="none"/>
        </w:rPr>
        <w:t>……………………………………………………………（页码）</w:t>
      </w:r>
    </w:p>
    <w:p w14:paraId="4381AE9E">
      <w:pPr>
        <w:snapToGrid w:val="0"/>
        <w:spacing w:line="360" w:lineRule="auto"/>
        <w:ind w:right="480"/>
        <w:jc w:val="center"/>
        <w:rPr>
          <w:rFonts w:hint="eastAsia" w:ascii="仿宋" w:hAnsi="仿宋" w:eastAsia="仿宋" w:cs="仿宋"/>
          <w:b/>
          <w:color w:val="auto"/>
          <w:kern w:val="0"/>
          <w:sz w:val="32"/>
          <w:szCs w:val="32"/>
          <w:highlight w:val="none"/>
        </w:rPr>
      </w:pPr>
    </w:p>
    <w:p w14:paraId="4BED1DE5">
      <w:pPr>
        <w:snapToGrid w:val="0"/>
        <w:spacing w:line="360" w:lineRule="auto"/>
        <w:ind w:right="480"/>
        <w:jc w:val="center"/>
        <w:rPr>
          <w:rFonts w:hint="eastAsia" w:ascii="仿宋" w:hAnsi="仿宋" w:eastAsia="仿宋" w:cs="仿宋"/>
          <w:b/>
          <w:color w:val="auto"/>
          <w:kern w:val="0"/>
          <w:sz w:val="32"/>
          <w:szCs w:val="32"/>
          <w:highlight w:val="none"/>
        </w:rPr>
      </w:pPr>
    </w:p>
    <w:p w14:paraId="47921086">
      <w:pPr>
        <w:snapToGrid w:val="0"/>
        <w:spacing w:line="360" w:lineRule="auto"/>
        <w:ind w:right="480"/>
        <w:jc w:val="center"/>
        <w:rPr>
          <w:rFonts w:hint="eastAsia" w:ascii="仿宋" w:hAnsi="仿宋" w:eastAsia="仿宋" w:cs="仿宋"/>
          <w:b/>
          <w:color w:val="auto"/>
          <w:kern w:val="0"/>
          <w:sz w:val="32"/>
          <w:szCs w:val="32"/>
          <w:highlight w:val="none"/>
        </w:rPr>
      </w:pPr>
    </w:p>
    <w:p w14:paraId="1B7CCBEB">
      <w:pPr>
        <w:snapToGrid w:val="0"/>
        <w:spacing w:line="360" w:lineRule="auto"/>
        <w:ind w:right="480"/>
        <w:jc w:val="center"/>
        <w:rPr>
          <w:rFonts w:hint="eastAsia" w:ascii="仿宋" w:hAnsi="仿宋" w:eastAsia="仿宋" w:cs="仿宋"/>
          <w:b/>
          <w:color w:val="auto"/>
          <w:kern w:val="0"/>
          <w:sz w:val="32"/>
          <w:szCs w:val="32"/>
          <w:highlight w:val="none"/>
        </w:rPr>
      </w:pPr>
    </w:p>
    <w:p w14:paraId="15785068">
      <w:pPr>
        <w:snapToGrid w:val="0"/>
        <w:spacing w:line="360" w:lineRule="auto"/>
        <w:ind w:right="480"/>
        <w:jc w:val="center"/>
        <w:rPr>
          <w:rFonts w:hint="eastAsia" w:ascii="仿宋" w:hAnsi="仿宋" w:eastAsia="仿宋" w:cs="仿宋"/>
          <w:b/>
          <w:color w:val="auto"/>
          <w:kern w:val="0"/>
          <w:sz w:val="32"/>
          <w:szCs w:val="32"/>
          <w:highlight w:val="none"/>
        </w:rPr>
      </w:pPr>
    </w:p>
    <w:p w14:paraId="279B78F0">
      <w:pPr>
        <w:snapToGrid w:val="0"/>
        <w:spacing w:line="360" w:lineRule="auto"/>
        <w:ind w:right="480"/>
        <w:jc w:val="center"/>
        <w:rPr>
          <w:rFonts w:hint="eastAsia" w:ascii="仿宋" w:hAnsi="仿宋" w:eastAsia="仿宋" w:cs="仿宋"/>
          <w:b/>
          <w:color w:val="auto"/>
          <w:kern w:val="0"/>
          <w:sz w:val="32"/>
          <w:szCs w:val="32"/>
          <w:highlight w:val="none"/>
        </w:rPr>
      </w:pPr>
    </w:p>
    <w:p w14:paraId="3281D37D">
      <w:pPr>
        <w:snapToGrid w:val="0"/>
        <w:spacing w:line="360" w:lineRule="auto"/>
        <w:ind w:right="480"/>
        <w:jc w:val="center"/>
        <w:rPr>
          <w:rFonts w:hint="eastAsia" w:ascii="仿宋" w:hAnsi="仿宋" w:eastAsia="仿宋" w:cs="仿宋"/>
          <w:b/>
          <w:color w:val="auto"/>
          <w:kern w:val="0"/>
          <w:sz w:val="32"/>
          <w:szCs w:val="32"/>
          <w:highlight w:val="none"/>
        </w:rPr>
      </w:pPr>
    </w:p>
    <w:p w14:paraId="7170CEF7">
      <w:pPr>
        <w:snapToGrid w:val="0"/>
        <w:spacing w:line="360" w:lineRule="auto"/>
        <w:ind w:right="480"/>
        <w:jc w:val="center"/>
        <w:rPr>
          <w:rFonts w:hint="eastAsia" w:ascii="仿宋" w:hAnsi="仿宋" w:eastAsia="仿宋" w:cs="仿宋"/>
          <w:b/>
          <w:color w:val="auto"/>
          <w:kern w:val="0"/>
          <w:sz w:val="32"/>
          <w:szCs w:val="32"/>
          <w:highlight w:val="none"/>
        </w:rPr>
      </w:pPr>
    </w:p>
    <w:p w14:paraId="5944DEFE">
      <w:pPr>
        <w:snapToGrid w:val="0"/>
        <w:spacing w:line="360" w:lineRule="auto"/>
        <w:ind w:right="480"/>
        <w:jc w:val="center"/>
        <w:rPr>
          <w:rFonts w:hint="eastAsia" w:ascii="仿宋" w:hAnsi="仿宋" w:eastAsia="仿宋" w:cs="仿宋"/>
          <w:b/>
          <w:color w:val="auto"/>
          <w:kern w:val="0"/>
          <w:sz w:val="32"/>
          <w:szCs w:val="32"/>
          <w:highlight w:val="none"/>
        </w:rPr>
      </w:pPr>
    </w:p>
    <w:p w14:paraId="3A3A602E">
      <w:pPr>
        <w:snapToGrid w:val="0"/>
        <w:spacing w:line="360" w:lineRule="auto"/>
        <w:ind w:right="480"/>
        <w:jc w:val="center"/>
        <w:rPr>
          <w:rFonts w:hint="eastAsia" w:ascii="仿宋" w:hAnsi="仿宋" w:eastAsia="仿宋" w:cs="仿宋"/>
          <w:b/>
          <w:color w:val="auto"/>
          <w:kern w:val="0"/>
          <w:sz w:val="32"/>
          <w:szCs w:val="32"/>
          <w:highlight w:val="none"/>
        </w:rPr>
      </w:pPr>
    </w:p>
    <w:p w14:paraId="4C6246E0">
      <w:pPr>
        <w:snapToGrid w:val="0"/>
        <w:spacing w:line="360" w:lineRule="auto"/>
        <w:ind w:right="480"/>
        <w:jc w:val="center"/>
        <w:rPr>
          <w:rFonts w:hint="eastAsia" w:ascii="仿宋" w:hAnsi="仿宋" w:eastAsia="仿宋" w:cs="仿宋"/>
          <w:b/>
          <w:color w:val="auto"/>
          <w:kern w:val="0"/>
          <w:sz w:val="32"/>
          <w:szCs w:val="32"/>
          <w:highlight w:val="none"/>
        </w:rPr>
      </w:pPr>
    </w:p>
    <w:p w14:paraId="7B787F81">
      <w:pPr>
        <w:snapToGrid w:val="0"/>
        <w:spacing w:line="360" w:lineRule="auto"/>
        <w:ind w:right="480"/>
        <w:jc w:val="center"/>
        <w:rPr>
          <w:rFonts w:hint="eastAsia" w:ascii="仿宋" w:hAnsi="仿宋" w:eastAsia="仿宋" w:cs="仿宋"/>
          <w:b/>
          <w:color w:val="auto"/>
          <w:kern w:val="0"/>
          <w:sz w:val="32"/>
          <w:szCs w:val="32"/>
          <w:highlight w:val="none"/>
        </w:rPr>
      </w:pPr>
    </w:p>
    <w:p w14:paraId="4763971A">
      <w:pPr>
        <w:snapToGrid w:val="0"/>
        <w:spacing w:line="360" w:lineRule="auto"/>
        <w:ind w:right="480"/>
        <w:jc w:val="center"/>
        <w:rPr>
          <w:rFonts w:hint="eastAsia" w:ascii="仿宋" w:hAnsi="仿宋" w:eastAsia="仿宋" w:cs="仿宋"/>
          <w:b/>
          <w:color w:val="auto"/>
          <w:kern w:val="0"/>
          <w:sz w:val="32"/>
          <w:szCs w:val="32"/>
          <w:highlight w:val="none"/>
        </w:rPr>
      </w:pPr>
    </w:p>
    <w:p w14:paraId="49855ED4">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C12506C">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eastAsia="zh-CN"/>
        </w:rPr>
        <w:t>交易</w:t>
      </w:r>
      <w:r>
        <w:rPr>
          <w:rFonts w:hint="eastAsia" w:ascii="仿宋" w:hAnsi="仿宋" w:eastAsia="仿宋" w:cs="仿宋"/>
          <w:color w:val="auto"/>
          <w:kern w:val="2"/>
          <w:sz w:val="32"/>
          <w:szCs w:val="32"/>
          <w:highlight w:val="none"/>
        </w:rPr>
        <w:t>一览表（报价表）</w:t>
      </w:r>
    </w:p>
    <w:p w14:paraId="7EEAD6D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543E75C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AC3F62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16F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EC3A6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30047BE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1A936EDE">
            <w:pPr>
              <w:spacing w:line="360" w:lineRule="auto"/>
              <w:jc w:val="center"/>
              <w:rPr>
                <w:rFonts w:hint="eastAsia" w:ascii="仿宋" w:hAnsi="仿宋" w:eastAsia="仿宋" w:cs="仿宋"/>
                <w:b/>
                <w:color w:val="auto"/>
                <w:sz w:val="24"/>
                <w:highlight w:val="none"/>
              </w:rPr>
            </w:pPr>
          </w:p>
          <w:p w14:paraId="613629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6A1D87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4FC5A3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1B626D8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27E3DA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07990D6E">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0A3D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CE253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1ECDC0D4">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0EE49AA">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F1A5F0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FA2110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46E84F9">
            <w:pPr>
              <w:spacing w:line="360" w:lineRule="auto"/>
              <w:jc w:val="center"/>
              <w:rPr>
                <w:rFonts w:hint="eastAsia" w:ascii="仿宋" w:hAnsi="仿宋" w:eastAsia="仿宋" w:cs="仿宋"/>
                <w:color w:val="auto"/>
                <w:sz w:val="24"/>
                <w:highlight w:val="none"/>
              </w:rPr>
            </w:pPr>
          </w:p>
        </w:tc>
        <w:tc>
          <w:tcPr>
            <w:tcW w:w="1984" w:type="dxa"/>
            <w:vAlign w:val="center"/>
          </w:tcPr>
          <w:p w14:paraId="52B49418">
            <w:pPr>
              <w:spacing w:line="360" w:lineRule="auto"/>
              <w:jc w:val="center"/>
              <w:rPr>
                <w:rFonts w:hint="eastAsia" w:ascii="仿宋" w:hAnsi="仿宋" w:eastAsia="仿宋" w:cs="仿宋"/>
                <w:color w:val="auto"/>
                <w:sz w:val="24"/>
                <w:highlight w:val="none"/>
              </w:rPr>
            </w:pPr>
          </w:p>
        </w:tc>
        <w:tc>
          <w:tcPr>
            <w:tcW w:w="3119" w:type="dxa"/>
            <w:vAlign w:val="center"/>
          </w:tcPr>
          <w:p w14:paraId="48B574AC">
            <w:pPr>
              <w:spacing w:line="360" w:lineRule="auto"/>
              <w:jc w:val="center"/>
              <w:rPr>
                <w:rFonts w:hint="eastAsia" w:ascii="仿宋" w:hAnsi="仿宋" w:eastAsia="仿宋" w:cs="仿宋"/>
                <w:color w:val="auto"/>
                <w:sz w:val="24"/>
                <w:highlight w:val="none"/>
              </w:rPr>
            </w:pPr>
          </w:p>
        </w:tc>
      </w:tr>
      <w:tr w14:paraId="54B5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1E7C6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5DD053AF">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BC61223">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969D9A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2429BE6">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89DCA3E">
            <w:pPr>
              <w:spacing w:line="360" w:lineRule="auto"/>
              <w:jc w:val="center"/>
              <w:rPr>
                <w:rFonts w:hint="eastAsia" w:ascii="仿宋" w:hAnsi="仿宋" w:eastAsia="仿宋" w:cs="仿宋"/>
                <w:color w:val="auto"/>
                <w:sz w:val="24"/>
                <w:highlight w:val="none"/>
              </w:rPr>
            </w:pPr>
          </w:p>
        </w:tc>
        <w:tc>
          <w:tcPr>
            <w:tcW w:w="1984" w:type="dxa"/>
            <w:vAlign w:val="center"/>
          </w:tcPr>
          <w:p w14:paraId="56374E9D">
            <w:pPr>
              <w:spacing w:line="360" w:lineRule="auto"/>
              <w:jc w:val="center"/>
              <w:rPr>
                <w:rFonts w:hint="eastAsia" w:ascii="仿宋" w:hAnsi="仿宋" w:eastAsia="仿宋" w:cs="仿宋"/>
                <w:color w:val="auto"/>
                <w:sz w:val="24"/>
                <w:highlight w:val="none"/>
              </w:rPr>
            </w:pPr>
          </w:p>
        </w:tc>
        <w:tc>
          <w:tcPr>
            <w:tcW w:w="3119" w:type="dxa"/>
            <w:vAlign w:val="center"/>
          </w:tcPr>
          <w:p w14:paraId="2D4E2E45">
            <w:pPr>
              <w:spacing w:line="360" w:lineRule="auto"/>
              <w:jc w:val="center"/>
              <w:rPr>
                <w:rFonts w:hint="eastAsia" w:ascii="仿宋" w:hAnsi="仿宋" w:eastAsia="仿宋" w:cs="仿宋"/>
                <w:color w:val="auto"/>
                <w:sz w:val="24"/>
                <w:highlight w:val="none"/>
              </w:rPr>
            </w:pPr>
          </w:p>
        </w:tc>
      </w:tr>
      <w:tr w14:paraId="5C2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172E8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138D553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19361A39">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556B0A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7822186">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81DE8C7">
            <w:pPr>
              <w:spacing w:line="360" w:lineRule="auto"/>
              <w:jc w:val="center"/>
              <w:rPr>
                <w:rFonts w:hint="eastAsia" w:ascii="仿宋" w:hAnsi="仿宋" w:eastAsia="仿宋" w:cs="仿宋"/>
                <w:color w:val="auto"/>
                <w:sz w:val="24"/>
                <w:highlight w:val="none"/>
              </w:rPr>
            </w:pPr>
          </w:p>
        </w:tc>
        <w:tc>
          <w:tcPr>
            <w:tcW w:w="1984" w:type="dxa"/>
            <w:vAlign w:val="center"/>
          </w:tcPr>
          <w:p w14:paraId="6A17117A">
            <w:pPr>
              <w:spacing w:line="360" w:lineRule="auto"/>
              <w:jc w:val="center"/>
              <w:rPr>
                <w:rFonts w:hint="eastAsia" w:ascii="仿宋" w:hAnsi="仿宋" w:eastAsia="仿宋" w:cs="仿宋"/>
                <w:color w:val="auto"/>
                <w:sz w:val="24"/>
                <w:highlight w:val="none"/>
              </w:rPr>
            </w:pPr>
          </w:p>
        </w:tc>
        <w:tc>
          <w:tcPr>
            <w:tcW w:w="3119" w:type="dxa"/>
            <w:vAlign w:val="center"/>
          </w:tcPr>
          <w:p w14:paraId="1D3011EB">
            <w:pPr>
              <w:spacing w:line="360" w:lineRule="auto"/>
              <w:jc w:val="center"/>
              <w:rPr>
                <w:rFonts w:hint="eastAsia" w:ascii="仿宋" w:hAnsi="仿宋" w:eastAsia="仿宋" w:cs="仿宋"/>
                <w:color w:val="auto"/>
                <w:sz w:val="24"/>
                <w:highlight w:val="none"/>
              </w:rPr>
            </w:pPr>
          </w:p>
        </w:tc>
      </w:tr>
      <w:tr w14:paraId="64C9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8B6D54">
            <w:pPr>
              <w:spacing w:line="360" w:lineRule="auto"/>
              <w:jc w:val="center"/>
              <w:rPr>
                <w:rFonts w:hint="eastAsia" w:ascii="仿宋" w:hAnsi="仿宋" w:eastAsia="仿宋" w:cs="仿宋"/>
                <w:color w:val="auto"/>
                <w:sz w:val="24"/>
                <w:highlight w:val="none"/>
              </w:rPr>
            </w:pPr>
          </w:p>
        </w:tc>
        <w:tc>
          <w:tcPr>
            <w:tcW w:w="1417" w:type="dxa"/>
            <w:vAlign w:val="center"/>
          </w:tcPr>
          <w:p w14:paraId="76A0E0AD">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7B712D4E">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0B0278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D8F810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128CE83">
            <w:pPr>
              <w:spacing w:line="360" w:lineRule="auto"/>
              <w:jc w:val="center"/>
              <w:rPr>
                <w:rFonts w:hint="eastAsia" w:ascii="仿宋" w:hAnsi="仿宋" w:eastAsia="仿宋" w:cs="仿宋"/>
                <w:color w:val="auto"/>
                <w:sz w:val="24"/>
                <w:highlight w:val="none"/>
              </w:rPr>
            </w:pPr>
          </w:p>
        </w:tc>
        <w:tc>
          <w:tcPr>
            <w:tcW w:w="1984" w:type="dxa"/>
            <w:vAlign w:val="center"/>
          </w:tcPr>
          <w:p w14:paraId="78BC8701">
            <w:pPr>
              <w:spacing w:line="360" w:lineRule="auto"/>
              <w:jc w:val="center"/>
              <w:rPr>
                <w:rFonts w:hint="eastAsia" w:ascii="仿宋" w:hAnsi="仿宋" w:eastAsia="仿宋" w:cs="仿宋"/>
                <w:color w:val="auto"/>
                <w:sz w:val="24"/>
                <w:highlight w:val="none"/>
              </w:rPr>
            </w:pPr>
          </w:p>
        </w:tc>
        <w:tc>
          <w:tcPr>
            <w:tcW w:w="3119" w:type="dxa"/>
            <w:vAlign w:val="center"/>
          </w:tcPr>
          <w:p w14:paraId="2ADD6B7A">
            <w:pPr>
              <w:spacing w:line="360" w:lineRule="auto"/>
              <w:jc w:val="center"/>
              <w:rPr>
                <w:rFonts w:hint="eastAsia" w:ascii="仿宋" w:hAnsi="仿宋" w:eastAsia="仿宋" w:cs="仿宋"/>
                <w:color w:val="auto"/>
                <w:sz w:val="24"/>
                <w:highlight w:val="none"/>
              </w:rPr>
            </w:pPr>
          </w:p>
        </w:tc>
      </w:tr>
      <w:tr w14:paraId="0C00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EE56D9">
            <w:pPr>
              <w:spacing w:line="360" w:lineRule="auto"/>
              <w:jc w:val="center"/>
              <w:rPr>
                <w:rFonts w:hint="eastAsia" w:ascii="仿宋" w:hAnsi="仿宋" w:eastAsia="仿宋" w:cs="仿宋"/>
                <w:color w:val="auto"/>
                <w:sz w:val="24"/>
                <w:highlight w:val="none"/>
              </w:rPr>
            </w:pPr>
          </w:p>
        </w:tc>
        <w:tc>
          <w:tcPr>
            <w:tcW w:w="1417" w:type="dxa"/>
            <w:vAlign w:val="center"/>
          </w:tcPr>
          <w:p w14:paraId="4F4C084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A30C57B">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53744B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90822F4">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AE744C3">
            <w:pPr>
              <w:spacing w:line="360" w:lineRule="auto"/>
              <w:jc w:val="center"/>
              <w:rPr>
                <w:rFonts w:hint="eastAsia" w:ascii="仿宋" w:hAnsi="仿宋" w:eastAsia="仿宋" w:cs="仿宋"/>
                <w:color w:val="auto"/>
                <w:sz w:val="24"/>
                <w:highlight w:val="none"/>
              </w:rPr>
            </w:pPr>
          </w:p>
        </w:tc>
        <w:tc>
          <w:tcPr>
            <w:tcW w:w="1984" w:type="dxa"/>
            <w:vAlign w:val="center"/>
          </w:tcPr>
          <w:p w14:paraId="5810140A">
            <w:pPr>
              <w:spacing w:line="360" w:lineRule="auto"/>
              <w:jc w:val="center"/>
              <w:rPr>
                <w:rFonts w:hint="eastAsia" w:ascii="仿宋" w:hAnsi="仿宋" w:eastAsia="仿宋" w:cs="仿宋"/>
                <w:color w:val="auto"/>
                <w:sz w:val="24"/>
                <w:highlight w:val="none"/>
              </w:rPr>
            </w:pPr>
          </w:p>
        </w:tc>
        <w:tc>
          <w:tcPr>
            <w:tcW w:w="3119" w:type="dxa"/>
            <w:vAlign w:val="center"/>
          </w:tcPr>
          <w:p w14:paraId="732DE5C3">
            <w:pPr>
              <w:spacing w:line="360" w:lineRule="auto"/>
              <w:jc w:val="center"/>
              <w:rPr>
                <w:rFonts w:hint="eastAsia" w:ascii="仿宋" w:hAnsi="仿宋" w:eastAsia="仿宋" w:cs="仿宋"/>
                <w:color w:val="auto"/>
                <w:sz w:val="24"/>
                <w:highlight w:val="none"/>
              </w:rPr>
            </w:pPr>
          </w:p>
        </w:tc>
      </w:tr>
      <w:tr w14:paraId="1E17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F63026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报价（小写）</w:t>
            </w:r>
          </w:p>
        </w:tc>
        <w:tc>
          <w:tcPr>
            <w:tcW w:w="7655" w:type="dxa"/>
            <w:gridSpan w:val="4"/>
            <w:vAlign w:val="center"/>
          </w:tcPr>
          <w:p w14:paraId="0E3BF15C">
            <w:pPr>
              <w:spacing w:line="360" w:lineRule="auto"/>
              <w:jc w:val="center"/>
              <w:rPr>
                <w:rFonts w:hint="eastAsia" w:ascii="仿宋" w:hAnsi="仿宋" w:eastAsia="仿宋" w:cs="仿宋"/>
                <w:color w:val="auto"/>
                <w:sz w:val="24"/>
                <w:highlight w:val="none"/>
              </w:rPr>
            </w:pPr>
          </w:p>
        </w:tc>
      </w:tr>
      <w:tr w14:paraId="2569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48E86D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报价（大写）</w:t>
            </w:r>
          </w:p>
        </w:tc>
        <w:tc>
          <w:tcPr>
            <w:tcW w:w="7655" w:type="dxa"/>
            <w:gridSpan w:val="4"/>
            <w:vAlign w:val="center"/>
          </w:tcPr>
          <w:p w14:paraId="74EFABB8">
            <w:pPr>
              <w:spacing w:line="360" w:lineRule="auto"/>
              <w:jc w:val="center"/>
              <w:rPr>
                <w:rFonts w:hint="eastAsia" w:ascii="仿宋" w:hAnsi="仿宋" w:eastAsia="仿宋" w:cs="仿宋"/>
                <w:color w:val="auto"/>
                <w:sz w:val="24"/>
                <w:highlight w:val="none"/>
              </w:rPr>
            </w:pPr>
          </w:p>
        </w:tc>
      </w:tr>
    </w:tbl>
    <w:p w14:paraId="0390F4B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AC68A5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1、供应商需按本表格式填写，不得自行更改。</w:t>
      </w:r>
    </w:p>
    <w:p w14:paraId="1D9065A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r>
        <w:rPr>
          <w:rFonts w:hint="eastAsia" w:ascii="仿宋" w:hAnsi="仿宋" w:eastAsia="仿宋" w:cs="仿宋"/>
          <w:b/>
          <w:color w:val="auto"/>
          <w:kern w:val="0"/>
          <w:sz w:val="24"/>
          <w:highlight w:val="none"/>
          <w:lang w:val="zh-CN"/>
        </w:rPr>
        <w:t>；采购内容未包含在《交易一览表（报价表）》名称栏中，供应商不能作出合理解释的，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1245F38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7AE8B1E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7B0FB44B">
      <w:pPr>
        <w:spacing w:line="360" w:lineRule="auto"/>
        <w:ind w:firstLine="482" w:firstLineChars="200"/>
        <w:rPr>
          <w:rFonts w:hint="eastAsia" w:ascii="仿宋" w:hAnsi="仿宋" w:eastAsia="仿宋" w:cs="仿宋"/>
          <w:b/>
          <w:color w:val="auto"/>
          <w:kern w:val="0"/>
          <w:sz w:val="24"/>
          <w:highlight w:val="none"/>
        </w:rPr>
      </w:pPr>
    </w:p>
    <w:p w14:paraId="3998C2F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A725255">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266ABBE">
      <w:pPr>
        <w:autoSpaceDE w:val="0"/>
        <w:autoSpaceDN w:val="0"/>
        <w:jc w:val="center"/>
        <w:rPr>
          <w:rFonts w:hint="eastAsia" w:ascii="仿宋" w:hAnsi="仿宋" w:eastAsia="仿宋" w:cs="仿宋"/>
          <w:color w:val="auto"/>
          <w:sz w:val="24"/>
          <w:highlight w:val="none"/>
          <w:u w:val="single"/>
        </w:rPr>
      </w:pPr>
      <w:bookmarkStart w:id="385" w:name="_Toc465665161"/>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sz w:val="32"/>
          <w:szCs w:val="32"/>
          <w:highlight w:val="none"/>
        </w:rPr>
        <w:t>中小企业声明函</w:t>
      </w:r>
    </w:p>
    <w:p w14:paraId="04BCE1C9">
      <w:pPr>
        <w:spacing w:line="360" w:lineRule="auto"/>
        <w:jc w:val="center"/>
        <w:rPr>
          <w:rFonts w:hint="eastAsia" w:ascii="仿宋" w:hAnsi="仿宋" w:eastAsia="仿宋" w:cs="仿宋"/>
          <w:color w:val="auto"/>
          <w:sz w:val="24"/>
          <w:highlight w:val="none"/>
          <w:u w:val="single"/>
        </w:rPr>
      </w:pPr>
    </w:p>
    <w:p w14:paraId="625FD84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407D5AD7">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杭州萧山党湾幸福股份经济联合社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萧山区党湾镇幸福村2025年垃圾分类、清运及保洁采购项目（重招）</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859FEA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lang w:eastAsia="zh-CN"/>
        </w:rPr>
        <w:t>萧山区党湾镇幸福村2025年垃圾分类、清运及保洁采购项目（重招）</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val="0"/>
          <w:bCs w:val="0"/>
          <w:color w:val="auto"/>
          <w:sz w:val="24"/>
          <w:szCs w:val="24"/>
          <w:highlight w:val="none"/>
          <w:u w:val="single"/>
        </w:rPr>
        <w:t>其他未列明</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F79C55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81EE3C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2D0723D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6D2749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E7208DA">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7678075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68DB72BE">
      <w:pPr>
        <w:spacing w:line="360" w:lineRule="auto"/>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从业人员、营业收入、资产总额填报上一年度数据</w:t>
      </w:r>
      <w:r>
        <w:rPr>
          <w:rFonts w:hint="eastAsia" w:ascii="仿宋" w:hAnsi="仿宋" w:eastAsia="仿宋" w:cs="仿宋"/>
          <w:color w:val="auto"/>
          <w:sz w:val="18"/>
          <w:szCs w:val="18"/>
          <w:lang w:eastAsia="zh-CN"/>
        </w:rPr>
        <w:t>。</w:t>
      </w:r>
    </w:p>
    <w:p w14:paraId="59AC39BB">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51DC699B">
      <w:pPr>
        <w:numPr>
          <w:ilvl w:val="0"/>
          <w:numId w:val="2"/>
        </w:numPr>
        <w:spacing w:line="360" w:lineRule="auto"/>
        <w:ind w:right="420" w:firstLine="480" w:firstLineChars="200"/>
        <w:rPr>
          <w:rFonts w:hint="eastAsia" w:ascii="仿宋" w:hAnsi="仿宋" w:eastAsia="仿宋" w:cs="仿宋"/>
          <w:b/>
          <w:bCs/>
          <w:color w:val="auto"/>
          <w:sz w:val="24"/>
          <w:shd w:val="clear" w:color="auto" w:fill="auto"/>
          <w:lang w:eastAsia="zh-CN"/>
        </w:rPr>
      </w:pPr>
      <w:r>
        <w:rPr>
          <w:rFonts w:hint="eastAsia" w:ascii="仿宋" w:hAnsi="仿宋" w:eastAsia="仿宋" w:cs="仿宋"/>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rPr>
        <w:t>④企业类型填写错误的，声明函无效</w:t>
      </w:r>
      <w:r>
        <w:rPr>
          <w:rFonts w:hint="eastAsia" w:ascii="仿宋" w:hAnsi="仿宋" w:eastAsia="仿宋" w:cs="仿宋"/>
          <w:color w:val="FF0000"/>
          <w:sz w:val="24"/>
          <w:lang w:eastAsia="zh-CN"/>
        </w:rPr>
        <w:t>。</w:t>
      </w:r>
    </w:p>
    <w:p w14:paraId="0693B772">
      <w:pPr>
        <w:pStyle w:val="3"/>
        <w:keepNext w:val="0"/>
        <w:keepLines w:val="0"/>
        <w:pageBreakBefore/>
        <w:widowControl/>
        <w:spacing w:before="100" w:beforeAutospacing="1" w:after="100" w:afterAutospacing="1" w:line="360" w:lineRule="auto"/>
        <w:ind w:left="14" w:leftChars="0" w:hanging="14" w:hangingChars="6"/>
        <w:jc w:val="left"/>
        <w:rPr>
          <w:rFonts w:hint="eastAsia" w:ascii="仿宋" w:hAnsi="仿宋" w:eastAsia="仿宋" w:cs="仿宋"/>
          <w:color w:val="auto"/>
          <w:highlight w:val="none"/>
        </w:rPr>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44D4F5">
      <w:pPr>
        <w:pStyle w:val="3"/>
        <w:keepNext w:val="0"/>
        <w:keepLines w:val="0"/>
        <w:pageBreakBefore/>
        <w:widowControl/>
        <w:spacing w:before="100" w:beforeAutospacing="1" w:after="100" w:afterAutospacing="1" w:line="360" w:lineRule="auto"/>
        <w:ind w:left="27" w:leftChars="0" w:hanging="27" w:hangingChars="6"/>
        <w:jc w:val="left"/>
        <w:rPr>
          <w:rFonts w:hint="eastAsia" w:ascii="仿宋" w:hAnsi="仿宋" w:eastAsia="仿宋" w:cs="仿宋"/>
          <w:b/>
          <w:color w:val="auto"/>
          <w:sz w:val="24"/>
          <w:highlight w:val="none"/>
        </w:rPr>
      </w:pPr>
      <w:r>
        <w:rPr>
          <w:rFonts w:hint="eastAsia" w:ascii="仿宋" w:hAnsi="仿宋" w:eastAsia="仿宋" w:cs="仿宋"/>
          <w:color w:val="auto"/>
          <w:highlight w:val="none"/>
        </w:rPr>
        <w:t>附件</w:t>
      </w:r>
      <w:bookmarkEnd w:id="385"/>
    </w:p>
    <w:p w14:paraId="50AE93E1">
      <w:pPr>
        <w:pStyle w:val="4"/>
        <w:jc w:val="left"/>
        <w:rPr>
          <w:rFonts w:hint="eastAsia" w:ascii="仿宋" w:hAnsi="仿宋" w:eastAsia="仿宋" w:cs="仿宋"/>
          <w:sz w:val="24"/>
        </w:rPr>
      </w:pPr>
      <w:r>
        <w:rPr>
          <w:rFonts w:hint="eastAsia" w:ascii="仿宋" w:hAnsi="仿宋" w:eastAsia="仿宋" w:cs="仿宋"/>
          <w:highlight w:val="none"/>
        </w:rPr>
        <w:t>附件</w:t>
      </w:r>
      <w:r>
        <w:rPr>
          <w:rFonts w:hint="eastAsia" w:ascii="仿宋" w:hAnsi="仿宋" w:eastAsia="仿宋" w:cs="仿宋"/>
          <w:highlight w:val="none"/>
          <w:lang w:val="en-US" w:eastAsia="zh-CN"/>
        </w:rPr>
        <w:t>1：</w:t>
      </w:r>
      <w:r>
        <w:rPr>
          <w:rFonts w:hint="eastAsia" w:ascii="仿宋" w:hAnsi="仿宋" w:eastAsia="仿宋" w:cs="仿宋"/>
        </w:rPr>
        <w:t>样品（演示）授权委托书</w:t>
      </w:r>
    </w:p>
    <w:p w14:paraId="26C91303">
      <w:pPr>
        <w:jc w:val="center"/>
        <w:rPr>
          <w:rFonts w:hint="eastAsia" w:ascii="仿宋" w:hAnsi="仿宋" w:eastAsia="仿宋" w:cs="仿宋"/>
          <w:sz w:val="40"/>
        </w:rPr>
      </w:pPr>
      <w:r>
        <w:rPr>
          <w:rFonts w:hint="eastAsia" w:ascii="仿宋" w:hAnsi="仿宋" w:eastAsia="仿宋" w:cs="仿宋"/>
          <w:sz w:val="40"/>
        </w:rPr>
        <w:t>样品（演示）授权委托书</w:t>
      </w:r>
    </w:p>
    <w:p w14:paraId="0F71B2D0">
      <w:pPr>
        <w:jc w:val="center"/>
        <w:rPr>
          <w:rFonts w:hint="eastAsia" w:ascii="仿宋" w:hAnsi="仿宋" w:eastAsia="仿宋" w:cs="仿宋"/>
          <w:sz w:val="40"/>
        </w:rPr>
      </w:pPr>
    </w:p>
    <w:p w14:paraId="2245D718">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XXX（单位名称或采购机构名称）</w:t>
      </w:r>
      <w:r>
        <w:rPr>
          <w:rFonts w:hint="eastAsia" w:ascii="仿宋" w:hAnsi="仿宋" w:eastAsia="仿宋" w:cs="仿宋"/>
          <w:color w:val="000000"/>
          <w:sz w:val="24"/>
          <w:szCs w:val="24"/>
          <w:lang w:val="zh-CN"/>
        </w:rPr>
        <w:t>：</w:t>
      </w:r>
    </w:p>
    <w:p w14:paraId="1A0C1511">
      <w:pPr>
        <w:snapToGrid w:val="0"/>
        <w:spacing w:line="360" w:lineRule="auto"/>
        <w:ind w:left="254" w:leftChars="121" w:firstLine="480" w:firstLineChars="20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lang w:val="zh-CN"/>
        </w:rPr>
        <w:t>兹委派</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先生/女士，身份证号：</w:t>
      </w:r>
      <w:r>
        <w:rPr>
          <w:rFonts w:hint="eastAsia" w:ascii="仿宋" w:hAnsi="仿宋" w:eastAsia="仿宋" w:cs="仿宋"/>
          <w:color w:val="000000"/>
          <w:sz w:val="24"/>
          <w:szCs w:val="24"/>
          <w:u w:val="single"/>
          <w:lang w:val="zh-CN"/>
        </w:rPr>
        <w:t xml:space="preserve">                   </w:t>
      </w:r>
    </w:p>
    <w:p w14:paraId="535236CD">
      <w:pPr>
        <w:snapToGrid w:val="0"/>
        <w:spacing w:line="360" w:lineRule="auto"/>
        <w:ind w:left="254" w:leftChars="121"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手机：</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，代表我公司前来递交</w:t>
      </w:r>
      <w:r>
        <w:rPr>
          <w:rFonts w:hint="eastAsia" w:ascii="仿宋" w:hAnsi="仿宋" w:eastAsia="仿宋" w:cs="仿宋"/>
          <w:color w:val="000000"/>
          <w:sz w:val="24"/>
          <w:szCs w:val="24"/>
          <w:u w:val="single"/>
          <w:lang w:val="zh-CN"/>
        </w:rPr>
        <w:t xml:space="preserve">                           采购项目</w:t>
      </w:r>
      <w:r>
        <w:rPr>
          <w:rFonts w:hint="eastAsia" w:ascii="仿宋" w:hAnsi="仿宋" w:eastAsia="仿宋" w:cs="仿宋"/>
          <w:color w:val="000000"/>
          <w:sz w:val="24"/>
          <w:szCs w:val="24"/>
          <w:lang w:val="zh-CN"/>
        </w:rPr>
        <w:t>【项目编号：              】（标项号：  ）</w:t>
      </w:r>
      <w:r>
        <w:rPr>
          <w:rFonts w:hint="eastAsia" w:ascii="仿宋" w:hAnsi="仿宋" w:eastAsia="仿宋" w:cs="仿宋"/>
          <w:color w:val="auto"/>
          <w:sz w:val="24"/>
          <w:szCs w:val="24"/>
          <w:lang w:val="zh-CN"/>
        </w:rPr>
        <w:t>投标样品或参加演示，</w:t>
      </w:r>
      <w:r>
        <w:rPr>
          <w:rFonts w:hint="eastAsia" w:ascii="仿宋" w:hAnsi="仿宋" w:eastAsia="仿宋" w:cs="仿宋"/>
          <w:color w:val="000000"/>
          <w:sz w:val="24"/>
          <w:szCs w:val="24"/>
          <w:lang w:val="zh-CN"/>
        </w:rPr>
        <w:t>并全权负责标后取回样品等其他处理事宜。</w:t>
      </w:r>
    </w:p>
    <w:p w14:paraId="52A50147">
      <w:pPr>
        <w:snapToGrid w:val="0"/>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 xml:space="preserve">  </w:t>
      </w:r>
    </w:p>
    <w:p w14:paraId="3E3C1197">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特此告知。</w:t>
      </w:r>
    </w:p>
    <w:p w14:paraId="2551F8DE">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供应商名称(公章)：</w:t>
      </w:r>
    </w:p>
    <w:p w14:paraId="47FA607C">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w:t>
      </w:r>
    </w:p>
    <w:p w14:paraId="68A913BC">
      <w:pPr>
        <w:snapToGrid w:val="0"/>
        <w:spacing w:line="360" w:lineRule="auto"/>
        <w:ind w:right="240"/>
        <w:jc w:val="righ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签发日期：  年  月   日</w:t>
      </w:r>
    </w:p>
    <w:p w14:paraId="4F912C67">
      <w:pPr>
        <w:snapToGrid w:val="0"/>
        <w:spacing w:line="360" w:lineRule="auto"/>
        <w:ind w:right="240"/>
        <w:jc w:val="right"/>
        <w:rPr>
          <w:rFonts w:hint="eastAsia" w:ascii="仿宋" w:hAnsi="仿宋" w:eastAsia="仿宋" w:cs="仿宋"/>
          <w:color w:val="000000"/>
          <w:sz w:val="24"/>
          <w:szCs w:val="24"/>
          <w:lang w:val="zh-CN"/>
        </w:rPr>
      </w:pPr>
    </w:p>
    <w:p w14:paraId="4ED7AB6C">
      <w:pPr>
        <w:snapToGrid w:val="0"/>
        <w:spacing w:line="360" w:lineRule="auto"/>
        <w:ind w:right="1920"/>
        <w:rPr>
          <w:rFonts w:hint="eastAsia" w:ascii="仿宋" w:hAnsi="仿宋" w:eastAsia="仿宋" w:cs="仿宋"/>
          <w:color w:val="000000"/>
          <w:sz w:val="24"/>
          <w:szCs w:val="24"/>
          <w:lang w:val="zh-CN"/>
        </w:rPr>
      </w:pPr>
    </w:p>
    <w:p w14:paraId="7112EA1C">
      <w:pPr>
        <w:snapToGrid w:val="0"/>
        <w:spacing w:line="360" w:lineRule="auto"/>
        <w:ind w:right="240"/>
        <w:jc w:val="right"/>
        <w:rPr>
          <w:rFonts w:hint="eastAsia" w:ascii="仿宋" w:hAnsi="仿宋" w:eastAsia="仿宋" w:cs="仿宋"/>
          <w:color w:val="000000"/>
          <w:sz w:val="24"/>
          <w:szCs w:val="24"/>
          <w:lang w:val="zh-CN"/>
        </w:rPr>
      </w:pPr>
    </w:p>
    <w:p w14:paraId="3AF1C8F2">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rPr>
        <w:t>受委托人</w:t>
      </w:r>
      <w:r>
        <w:rPr>
          <w:rFonts w:hint="eastAsia" w:ascii="仿宋" w:hAnsi="仿宋" w:eastAsia="仿宋" w:cs="仿宋"/>
          <w:color w:val="000000"/>
          <w:sz w:val="24"/>
          <w:szCs w:val="24"/>
          <w:lang w:val="zh-CN"/>
        </w:rPr>
        <w:t>身份证复印件：</w:t>
      </w:r>
    </w:p>
    <w:p w14:paraId="7674EAF6">
      <w:pPr>
        <w:snapToGrid w:val="0"/>
        <w:spacing w:line="360" w:lineRule="auto"/>
        <w:ind w:right="240"/>
        <w:rPr>
          <w:rFonts w:hint="eastAsia" w:ascii="仿宋" w:hAnsi="仿宋" w:eastAsia="仿宋" w:cs="仿宋"/>
          <w:color w:val="000000"/>
          <w:sz w:val="24"/>
          <w:szCs w:val="24"/>
          <w:lang w:val="zh-CN"/>
        </w:rPr>
      </w:pPr>
    </w:p>
    <w:p w14:paraId="449C502A">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说明：本委托书在有样品或演示时由受委托人携带至指定地点。</w:t>
      </w:r>
    </w:p>
    <w:p w14:paraId="0E0CC34D">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同时有样品和演示的，可委托不同人员。</w:t>
      </w:r>
    </w:p>
    <w:p w14:paraId="71C38B86">
      <w:pPr>
        <w:spacing w:line="360" w:lineRule="auto"/>
        <w:jc w:val="left"/>
        <w:rPr>
          <w:rFonts w:hint="eastAsia" w:ascii="仿宋" w:hAnsi="仿宋" w:eastAsia="仿宋" w:cs="仿宋"/>
          <w:b/>
          <w:color w:val="auto"/>
          <w:spacing w:val="6"/>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593E81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：质疑函范本及制作说明</w:t>
      </w:r>
    </w:p>
    <w:p w14:paraId="1BE5192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835B51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36222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CA136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85231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4C255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EB6D5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71BB99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DA860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AA4D9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C11BE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4E272E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84350E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5AF069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E4C44B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3BC64D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1B785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C3697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5A9E5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76C668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133D4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A6ECB0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1F7DA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CC481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80E18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CEA2CFB">
      <w:pPr>
        <w:spacing w:line="360" w:lineRule="auto"/>
        <w:jc w:val="center"/>
        <w:rPr>
          <w:rFonts w:hint="eastAsia" w:ascii="仿宋" w:hAnsi="仿宋" w:eastAsia="仿宋" w:cs="仿宋"/>
          <w:b/>
          <w:bCs/>
          <w:color w:val="auto"/>
          <w:sz w:val="24"/>
          <w:highlight w:val="none"/>
        </w:rPr>
      </w:pPr>
    </w:p>
    <w:p w14:paraId="59DB3329">
      <w:pPr>
        <w:spacing w:line="360" w:lineRule="auto"/>
        <w:rPr>
          <w:rFonts w:hint="eastAsia" w:ascii="仿宋" w:hAnsi="仿宋" w:eastAsia="仿宋" w:cs="仿宋"/>
          <w:b/>
          <w:color w:val="auto"/>
          <w:sz w:val="24"/>
          <w:highlight w:val="none"/>
        </w:rPr>
      </w:pPr>
    </w:p>
    <w:p w14:paraId="6B51B451">
      <w:pPr>
        <w:spacing w:line="360" w:lineRule="auto"/>
        <w:rPr>
          <w:rFonts w:hint="eastAsia" w:ascii="仿宋" w:hAnsi="仿宋" w:eastAsia="仿宋" w:cs="仿宋"/>
          <w:b/>
          <w:color w:val="auto"/>
          <w:sz w:val="24"/>
          <w:highlight w:val="none"/>
        </w:rPr>
      </w:pPr>
    </w:p>
    <w:p w14:paraId="5028C5DD">
      <w:pPr>
        <w:spacing w:line="360" w:lineRule="auto"/>
        <w:rPr>
          <w:rFonts w:hint="eastAsia" w:ascii="仿宋" w:hAnsi="仿宋" w:eastAsia="仿宋" w:cs="仿宋"/>
          <w:b/>
          <w:color w:val="auto"/>
          <w:sz w:val="24"/>
          <w:highlight w:val="none"/>
        </w:rPr>
      </w:pPr>
    </w:p>
    <w:p w14:paraId="61F0A9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E3397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0C6F51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38090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A2D757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7D7360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EE0D7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54B030">
      <w:pPr>
        <w:widowControl/>
        <w:spacing w:line="360" w:lineRule="auto"/>
        <w:ind w:firstLine="600" w:firstLineChars="200"/>
        <w:jc w:val="left"/>
        <w:rPr>
          <w:rFonts w:hint="eastAsia" w:ascii="仿宋" w:hAnsi="仿宋" w:eastAsia="仿宋" w:cs="仿宋"/>
          <w:color w:val="auto"/>
          <w:sz w:val="30"/>
          <w:szCs w:val="30"/>
          <w:highlight w:val="none"/>
        </w:rPr>
      </w:pPr>
    </w:p>
    <w:p w14:paraId="1E2E33EB">
      <w:pPr>
        <w:spacing w:line="360" w:lineRule="auto"/>
        <w:jc w:val="center"/>
        <w:rPr>
          <w:rFonts w:hint="eastAsia" w:ascii="仿宋" w:hAnsi="仿宋" w:eastAsia="仿宋" w:cs="仿宋"/>
          <w:b/>
          <w:color w:val="auto"/>
          <w:spacing w:val="6"/>
          <w:sz w:val="32"/>
          <w:szCs w:val="32"/>
          <w:highlight w:val="none"/>
        </w:rPr>
      </w:pPr>
    </w:p>
    <w:p w14:paraId="60FA74A4">
      <w:pPr>
        <w:spacing w:line="360" w:lineRule="auto"/>
        <w:jc w:val="center"/>
        <w:rPr>
          <w:rFonts w:hint="eastAsia" w:ascii="仿宋" w:hAnsi="仿宋" w:eastAsia="仿宋" w:cs="仿宋"/>
          <w:b/>
          <w:color w:val="auto"/>
          <w:spacing w:val="6"/>
          <w:sz w:val="32"/>
          <w:szCs w:val="32"/>
          <w:highlight w:val="none"/>
        </w:rPr>
      </w:pPr>
    </w:p>
    <w:p w14:paraId="53EB08FA">
      <w:pPr>
        <w:spacing w:line="360" w:lineRule="auto"/>
        <w:jc w:val="center"/>
        <w:rPr>
          <w:rFonts w:hint="eastAsia" w:ascii="仿宋" w:hAnsi="仿宋" w:eastAsia="仿宋" w:cs="仿宋"/>
          <w:b/>
          <w:color w:val="auto"/>
          <w:spacing w:val="6"/>
          <w:sz w:val="32"/>
          <w:szCs w:val="32"/>
          <w:highlight w:val="none"/>
        </w:rPr>
      </w:pPr>
    </w:p>
    <w:p w14:paraId="29DF4735">
      <w:pPr>
        <w:spacing w:line="360" w:lineRule="auto"/>
        <w:jc w:val="center"/>
        <w:rPr>
          <w:rFonts w:hint="eastAsia" w:ascii="仿宋" w:hAnsi="仿宋" w:eastAsia="仿宋" w:cs="仿宋"/>
          <w:b/>
          <w:color w:val="auto"/>
          <w:spacing w:val="6"/>
          <w:sz w:val="32"/>
          <w:szCs w:val="32"/>
          <w:highlight w:val="none"/>
        </w:rPr>
      </w:pPr>
    </w:p>
    <w:p w14:paraId="1A643510">
      <w:pPr>
        <w:spacing w:line="360" w:lineRule="auto"/>
        <w:jc w:val="center"/>
        <w:rPr>
          <w:rFonts w:hint="eastAsia" w:ascii="仿宋" w:hAnsi="仿宋" w:eastAsia="仿宋" w:cs="仿宋"/>
          <w:b/>
          <w:color w:val="auto"/>
          <w:spacing w:val="6"/>
          <w:sz w:val="32"/>
          <w:szCs w:val="32"/>
          <w:highlight w:val="none"/>
        </w:rPr>
      </w:pPr>
    </w:p>
    <w:p w14:paraId="23D2DB72">
      <w:pPr>
        <w:spacing w:line="360" w:lineRule="auto"/>
        <w:jc w:val="center"/>
        <w:rPr>
          <w:rFonts w:hint="eastAsia" w:ascii="仿宋" w:hAnsi="仿宋" w:eastAsia="仿宋" w:cs="仿宋"/>
          <w:b/>
          <w:color w:val="auto"/>
          <w:spacing w:val="6"/>
          <w:sz w:val="32"/>
          <w:szCs w:val="32"/>
          <w:highlight w:val="none"/>
        </w:rPr>
      </w:pPr>
    </w:p>
    <w:p w14:paraId="12BA7611">
      <w:pPr>
        <w:spacing w:line="360" w:lineRule="auto"/>
        <w:jc w:val="center"/>
        <w:rPr>
          <w:rFonts w:hint="eastAsia" w:ascii="仿宋" w:hAnsi="仿宋" w:eastAsia="仿宋" w:cs="仿宋"/>
          <w:b/>
          <w:color w:val="auto"/>
          <w:spacing w:val="6"/>
          <w:sz w:val="32"/>
          <w:szCs w:val="32"/>
          <w:highlight w:val="none"/>
        </w:rPr>
      </w:pPr>
    </w:p>
    <w:p w14:paraId="2CF6BD78">
      <w:pPr>
        <w:spacing w:line="360" w:lineRule="auto"/>
        <w:jc w:val="center"/>
        <w:rPr>
          <w:rFonts w:hint="eastAsia" w:ascii="仿宋" w:hAnsi="仿宋" w:eastAsia="仿宋" w:cs="仿宋"/>
          <w:b/>
          <w:color w:val="auto"/>
          <w:spacing w:val="6"/>
          <w:sz w:val="32"/>
          <w:szCs w:val="32"/>
          <w:highlight w:val="none"/>
        </w:rPr>
      </w:pPr>
    </w:p>
    <w:p w14:paraId="3E92E3B5">
      <w:pPr>
        <w:spacing w:line="360" w:lineRule="auto"/>
        <w:jc w:val="center"/>
        <w:rPr>
          <w:rFonts w:hint="eastAsia" w:ascii="仿宋" w:hAnsi="仿宋" w:eastAsia="仿宋" w:cs="仿宋"/>
          <w:b/>
          <w:color w:val="auto"/>
          <w:spacing w:val="6"/>
          <w:sz w:val="32"/>
          <w:szCs w:val="32"/>
          <w:highlight w:val="none"/>
        </w:rPr>
      </w:pPr>
    </w:p>
    <w:p w14:paraId="736A0919">
      <w:pPr>
        <w:spacing w:line="360" w:lineRule="auto"/>
        <w:jc w:val="center"/>
        <w:rPr>
          <w:rFonts w:hint="eastAsia" w:ascii="仿宋" w:hAnsi="仿宋" w:eastAsia="仿宋" w:cs="仿宋"/>
          <w:b/>
          <w:color w:val="auto"/>
          <w:spacing w:val="6"/>
          <w:sz w:val="32"/>
          <w:szCs w:val="32"/>
          <w:highlight w:val="none"/>
        </w:rPr>
      </w:pPr>
    </w:p>
    <w:p w14:paraId="355C64F0">
      <w:pPr>
        <w:spacing w:line="360" w:lineRule="auto"/>
        <w:jc w:val="center"/>
        <w:rPr>
          <w:rFonts w:hint="eastAsia" w:ascii="仿宋" w:hAnsi="仿宋" w:eastAsia="仿宋" w:cs="仿宋"/>
          <w:b/>
          <w:color w:val="auto"/>
          <w:spacing w:val="6"/>
          <w:sz w:val="32"/>
          <w:szCs w:val="32"/>
          <w:highlight w:val="none"/>
        </w:rPr>
      </w:pPr>
    </w:p>
    <w:p w14:paraId="5034351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D62D4C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：投诉书范本及制作说明</w:t>
      </w:r>
    </w:p>
    <w:p w14:paraId="2EE5FC78">
      <w:pPr>
        <w:spacing w:line="360" w:lineRule="auto"/>
        <w:jc w:val="center"/>
        <w:rPr>
          <w:rFonts w:hint="eastAsia" w:ascii="仿宋" w:hAnsi="仿宋" w:eastAsia="仿宋" w:cs="仿宋"/>
          <w:b/>
          <w:color w:val="auto"/>
          <w:sz w:val="24"/>
          <w:highlight w:val="none"/>
        </w:rPr>
      </w:pPr>
    </w:p>
    <w:p w14:paraId="23EE374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27D1E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E2AE0D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80EDD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C6335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6ED1D5">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C8D639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955F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D37FDB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0CB3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AF20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7FFD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AE97F5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2F30D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23CA7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C9DA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0BC8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E20F5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4D647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4BB3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51DB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7A406E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784B7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1C9A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333F8F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7F21B1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73313A7">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5DD88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C72F8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33457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69682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01BFF5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A135ED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E2B44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5B6A18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12F3C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827E7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B5B9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8E221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73A9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8D4C4F2">
      <w:pPr>
        <w:spacing w:line="360" w:lineRule="auto"/>
        <w:rPr>
          <w:rFonts w:hint="eastAsia" w:ascii="仿宋" w:hAnsi="仿宋" w:eastAsia="仿宋" w:cs="仿宋"/>
          <w:b/>
          <w:color w:val="auto"/>
          <w:sz w:val="24"/>
          <w:highlight w:val="none"/>
        </w:rPr>
      </w:pPr>
    </w:p>
    <w:p w14:paraId="526A4A64">
      <w:pPr>
        <w:spacing w:line="360" w:lineRule="auto"/>
        <w:rPr>
          <w:rFonts w:hint="eastAsia" w:ascii="仿宋" w:hAnsi="仿宋" w:eastAsia="仿宋" w:cs="仿宋"/>
          <w:b/>
          <w:color w:val="auto"/>
          <w:sz w:val="24"/>
          <w:highlight w:val="none"/>
        </w:rPr>
      </w:pPr>
    </w:p>
    <w:p w14:paraId="0010B4B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F8EEBC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4A3CCF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FDBFA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07036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0D071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4567F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366355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D1DF06A">
      <w:pPr>
        <w:spacing w:line="360" w:lineRule="auto"/>
        <w:rPr>
          <w:rFonts w:hint="eastAsia" w:ascii="仿宋" w:hAnsi="仿宋" w:eastAsia="仿宋" w:cs="仿宋"/>
          <w:b/>
          <w:color w:val="auto"/>
          <w:sz w:val="24"/>
          <w:highlight w:val="none"/>
        </w:rPr>
      </w:pPr>
    </w:p>
    <w:p w14:paraId="60FA2586">
      <w:pPr>
        <w:autoSpaceDE w:val="0"/>
        <w:autoSpaceDN w:val="0"/>
        <w:jc w:val="center"/>
        <w:rPr>
          <w:rFonts w:hint="eastAsia" w:ascii="仿宋" w:hAnsi="仿宋" w:eastAsia="仿宋" w:cs="仿宋"/>
          <w:b/>
          <w:color w:val="auto"/>
          <w:spacing w:val="6"/>
          <w:sz w:val="32"/>
          <w:szCs w:val="32"/>
          <w:highlight w:val="none"/>
        </w:rPr>
      </w:pPr>
    </w:p>
    <w:p w14:paraId="7184A8F8">
      <w:pPr>
        <w:autoSpaceDE w:val="0"/>
        <w:autoSpaceDN w:val="0"/>
        <w:jc w:val="center"/>
        <w:rPr>
          <w:rFonts w:hint="eastAsia" w:ascii="仿宋" w:hAnsi="仿宋" w:eastAsia="仿宋" w:cs="仿宋"/>
          <w:b/>
          <w:color w:val="auto"/>
          <w:spacing w:val="6"/>
          <w:sz w:val="32"/>
          <w:szCs w:val="32"/>
          <w:highlight w:val="none"/>
        </w:rPr>
      </w:pPr>
    </w:p>
    <w:p w14:paraId="1F59C37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D3FC435">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2F9269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8AC58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lang w:eastAsia="zh-CN"/>
        </w:rPr>
        <w:t>交易</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CAF13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CC6DD38">
      <w:pPr>
        <w:spacing w:line="360" w:lineRule="auto"/>
        <w:ind w:firstLine="494"/>
        <w:rPr>
          <w:rFonts w:hint="eastAsia" w:ascii="仿宋" w:hAnsi="仿宋" w:eastAsia="仿宋" w:cs="仿宋"/>
          <w:color w:val="auto"/>
          <w:sz w:val="24"/>
          <w:highlight w:val="none"/>
        </w:rPr>
      </w:pPr>
    </w:p>
    <w:p w14:paraId="30A42896">
      <w:pPr>
        <w:spacing w:line="360" w:lineRule="auto"/>
        <w:ind w:firstLine="494"/>
        <w:rPr>
          <w:rFonts w:hint="eastAsia" w:ascii="仿宋" w:hAnsi="仿宋" w:eastAsia="仿宋" w:cs="仿宋"/>
          <w:color w:val="auto"/>
          <w:sz w:val="24"/>
          <w:highlight w:val="none"/>
        </w:rPr>
      </w:pPr>
    </w:p>
    <w:p w14:paraId="70BEDC12">
      <w:pPr>
        <w:spacing w:line="360" w:lineRule="auto"/>
        <w:ind w:firstLine="494"/>
        <w:rPr>
          <w:rFonts w:hint="eastAsia" w:ascii="仿宋" w:hAnsi="仿宋" w:eastAsia="仿宋" w:cs="仿宋"/>
          <w:color w:val="auto"/>
          <w:sz w:val="24"/>
          <w:highlight w:val="none"/>
        </w:rPr>
      </w:pPr>
    </w:p>
    <w:p w14:paraId="49A7CDDA">
      <w:pPr>
        <w:spacing w:line="360" w:lineRule="auto"/>
        <w:ind w:firstLine="494"/>
        <w:rPr>
          <w:rFonts w:hint="eastAsia" w:ascii="仿宋" w:hAnsi="仿宋" w:eastAsia="仿宋" w:cs="仿宋"/>
          <w:color w:val="auto"/>
          <w:sz w:val="24"/>
          <w:highlight w:val="none"/>
        </w:rPr>
      </w:pPr>
    </w:p>
    <w:p w14:paraId="15D89A16">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单位（法定名称章）：</w:t>
      </w:r>
    </w:p>
    <w:p w14:paraId="53FCBA5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94D62D1">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附：</w:t>
      </w:r>
    </w:p>
    <w:p w14:paraId="26E17C24">
      <w:pPr>
        <w:spacing w:line="360" w:lineRule="auto"/>
        <w:rPr>
          <w:rFonts w:hint="eastAsia" w:ascii="仿宋" w:hAnsi="仿宋" w:eastAsia="仿宋" w:cs="仿宋"/>
          <w:bCs/>
          <w:color w:val="auto"/>
          <w:sz w:val="24"/>
          <w:highlight w:val="none"/>
        </w:rPr>
      </w:pPr>
      <w:r>
        <w:rPr>
          <w:rFonts w:hint="eastAsia" w:ascii="仿宋" w:hAnsi="仿宋" w:eastAsia="仿宋" w:cs="仿宋"/>
          <w:b w:val="0"/>
          <w:bCs w:val="0"/>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val="0"/>
          <w:b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val="0"/>
          <w:bCs w:val="0"/>
          <w:color w:val="auto"/>
          <w:sz w:val="24"/>
          <w:highlight w:val="none"/>
          <w:lang w:eastAsia="zh-CN"/>
        </w:rPr>
        <w:t>响应</w: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单位“XX专用章”（印模）</w:t>
      </w:r>
    </w:p>
    <w:p w14:paraId="63D3048F">
      <w:pPr>
        <w:autoSpaceDE w:val="0"/>
        <w:autoSpaceDN w:val="0"/>
        <w:jc w:val="center"/>
        <w:rPr>
          <w:rFonts w:hint="eastAsia" w:ascii="仿宋" w:hAnsi="仿宋" w:eastAsia="仿宋" w:cs="仿宋"/>
          <w:b/>
          <w:color w:val="auto"/>
          <w:spacing w:val="6"/>
          <w:sz w:val="32"/>
          <w:szCs w:val="32"/>
          <w:highlight w:val="none"/>
        </w:rPr>
      </w:pPr>
    </w:p>
    <w:p w14:paraId="1676535F">
      <w:pPr>
        <w:autoSpaceDE w:val="0"/>
        <w:autoSpaceDN w:val="0"/>
        <w:jc w:val="center"/>
        <w:rPr>
          <w:rFonts w:hint="eastAsia" w:ascii="仿宋" w:hAnsi="仿宋" w:eastAsia="仿宋" w:cs="仿宋"/>
          <w:b/>
          <w:color w:val="auto"/>
          <w:spacing w:val="6"/>
          <w:sz w:val="32"/>
          <w:szCs w:val="32"/>
          <w:highlight w:val="none"/>
        </w:rPr>
      </w:pPr>
    </w:p>
    <w:p w14:paraId="6E0DE6C6">
      <w:pPr>
        <w:autoSpaceDE w:val="0"/>
        <w:autoSpaceDN w:val="0"/>
        <w:jc w:val="center"/>
        <w:rPr>
          <w:rFonts w:hint="eastAsia" w:ascii="仿宋" w:hAnsi="仿宋" w:eastAsia="仿宋" w:cs="仿宋"/>
          <w:b/>
          <w:color w:val="auto"/>
          <w:spacing w:val="6"/>
          <w:sz w:val="32"/>
          <w:szCs w:val="32"/>
          <w:highlight w:val="none"/>
        </w:rPr>
      </w:pPr>
    </w:p>
    <w:p w14:paraId="5AC7FDFF">
      <w:pPr>
        <w:autoSpaceDE w:val="0"/>
        <w:autoSpaceDN w:val="0"/>
        <w:jc w:val="center"/>
        <w:rPr>
          <w:rFonts w:hint="eastAsia" w:ascii="仿宋" w:hAnsi="仿宋" w:eastAsia="仿宋" w:cs="仿宋"/>
          <w:b/>
          <w:color w:val="auto"/>
          <w:spacing w:val="6"/>
          <w:sz w:val="32"/>
          <w:szCs w:val="32"/>
          <w:highlight w:val="none"/>
        </w:rPr>
      </w:pPr>
    </w:p>
    <w:p w14:paraId="1C432407">
      <w:pPr>
        <w:autoSpaceDE w:val="0"/>
        <w:autoSpaceDN w:val="0"/>
        <w:jc w:val="center"/>
        <w:rPr>
          <w:rFonts w:hint="eastAsia" w:ascii="仿宋" w:hAnsi="仿宋" w:eastAsia="仿宋" w:cs="仿宋"/>
          <w:b/>
          <w:color w:val="auto"/>
          <w:spacing w:val="6"/>
          <w:sz w:val="32"/>
          <w:szCs w:val="32"/>
          <w:highlight w:val="none"/>
        </w:rPr>
      </w:pPr>
    </w:p>
    <w:p w14:paraId="7B74AE12">
      <w:pPr>
        <w:autoSpaceDE w:val="0"/>
        <w:autoSpaceDN w:val="0"/>
        <w:jc w:val="center"/>
        <w:rPr>
          <w:rFonts w:hint="eastAsia" w:ascii="仿宋" w:hAnsi="仿宋" w:eastAsia="仿宋" w:cs="仿宋"/>
          <w:b/>
          <w:color w:val="auto"/>
          <w:spacing w:val="6"/>
          <w:sz w:val="32"/>
          <w:szCs w:val="32"/>
          <w:highlight w:val="none"/>
        </w:rPr>
      </w:pPr>
    </w:p>
    <w:p w14:paraId="1A749388">
      <w:pPr>
        <w:autoSpaceDE w:val="0"/>
        <w:autoSpaceDN w:val="0"/>
        <w:jc w:val="center"/>
        <w:rPr>
          <w:rFonts w:hint="eastAsia" w:ascii="仿宋" w:hAnsi="仿宋" w:eastAsia="仿宋" w:cs="仿宋"/>
          <w:b/>
          <w:color w:val="auto"/>
          <w:spacing w:val="6"/>
          <w:sz w:val="32"/>
          <w:szCs w:val="32"/>
          <w:highlight w:val="none"/>
        </w:rPr>
      </w:pPr>
    </w:p>
    <w:p w14:paraId="05A42DED">
      <w:pPr>
        <w:autoSpaceDE w:val="0"/>
        <w:autoSpaceDN w:val="0"/>
        <w:jc w:val="center"/>
        <w:rPr>
          <w:rFonts w:hint="eastAsia" w:ascii="仿宋" w:hAnsi="仿宋" w:eastAsia="仿宋" w:cs="仿宋"/>
          <w:b/>
          <w:color w:val="auto"/>
          <w:spacing w:val="6"/>
          <w:sz w:val="32"/>
          <w:szCs w:val="32"/>
          <w:highlight w:val="none"/>
        </w:rPr>
      </w:pPr>
    </w:p>
    <w:p w14:paraId="4E39BDC5">
      <w:pPr>
        <w:autoSpaceDE w:val="0"/>
        <w:autoSpaceDN w:val="0"/>
        <w:jc w:val="center"/>
        <w:rPr>
          <w:rFonts w:hint="eastAsia" w:ascii="仿宋" w:hAnsi="仿宋" w:eastAsia="仿宋" w:cs="仿宋"/>
          <w:b/>
          <w:color w:val="auto"/>
          <w:spacing w:val="6"/>
          <w:sz w:val="32"/>
          <w:szCs w:val="32"/>
          <w:highlight w:val="none"/>
        </w:rPr>
      </w:pPr>
    </w:p>
    <w:p w14:paraId="207184BD">
      <w:pPr>
        <w:autoSpaceDE w:val="0"/>
        <w:autoSpaceDN w:val="0"/>
        <w:jc w:val="center"/>
        <w:rPr>
          <w:rFonts w:hint="eastAsia" w:ascii="仿宋" w:hAnsi="仿宋" w:eastAsia="仿宋" w:cs="仿宋"/>
          <w:b/>
          <w:color w:val="auto"/>
          <w:spacing w:val="6"/>
          <w:sz w:val="32"/>
          <w:szCs w:val="32"/>
          <w:highlight w:val="none"/>
        </w:rPr>
      </w:pPr>
    </w:p>
    <w:p w14:paraId="36D60779">
      <w:pPr>
        <w:autoSpaceDE w:val="0"/>
        <w:autoSpaceDN w:val="0"/>
        <w:jc w:val="center"/>
        <w:rPr>
          <w:rFonts w:hint="eastAsia" w:ascii="仿宋" w:hAnsi="仿宋" w:eastAsia="仿宋" w:cs="仿宋"/>
          <w:b/>
          <w:color w:val="auto"/>
          <w:spacing w:val="6"/>
          <w:sz w:val="32"/>
          <w:szCs w:val="32"/>
          <w:highlight w:val="none"/>
        </w:rPr>
      </w:pPr>
    </w:p>
    <w:p w14:paraId="7BAE0862">
      <w:pPr>
        <w:autoSpaceDE w:val="0"/>
        <w:autoSpaceDN w:val="0"/>
        <w:jc w:val="center"/>
        <w:rPr>
          <w:rFonts w:hint="eastAsia" w:ascii="仿宋" w:hAnsi="仿宋" w:eastAsia="仿宋" w:cs="仿宋"/>
          <w:b/>
          <w:color w:val="auto"/>
          <w:spacing w:val="6"/>
          <w:sz w:val="32"/>
          <w:szCs w:val="32"/>
          <w:highlight w:val="none"/>
        </w:rPr>
      </w:pPr>
    </w:p>
    <w:p w14:paraId="5A7D50CC">
      <w:pPr>
        <w:autoSpaceDE w:val="0"/>
        <w:autoSpaceDN w:val="0"/>
        <w:jc w:val="center"/>
        <w:rPr>
          <w:rFonts w:hint="eastAsia" w:ascii="仿宋" w:hAnsi="仿宋" w:eastAsia="仿宋" w:cs="仿宋"/>
          <w:b/>
          <w:color w:val="auto"/>
          <w:spacing w:val="6"/>
          <w:sz w:val="32"/>
          <w:szCs w:val="32"/>
          <w:highlight w:val="none"/>
        </w:rPr>
      </w:pPr>
    </w:p>
    <w:p w14:paraId="0E5E6F62">
      <w:pPr>
        <w:autoSpaceDE w:val="0"/>
        <w:autoSpaceDN w:val="0"/>
        <w:jc w:val="center"/>
        <w:rPr>
          <w:rFonts w:hint="eastAsia" w:ascii="仿宋" w:hAnsi="仿宋" w:eastAsia="仿宋" w:cs="仿宋"/>
          <w:b/>
          <w:color w:val="auto"/>
          <w:spacing w:val="6"/>
          <w:sz w:val="32"/>
          <w:szCs w:val="32"/>
          <w:highlight w:val="none"/>
        </w:rPr>
      </w:pPr>
    </w:p>
    <w:p w14:paraId="277C7D22">
      <w:pPr>
        <w:autoSpaceDE w:val="0"/>
        <w:autoSpaceDN w:val="0"/>
        <w:jc w:val="center"/>
        <w:rPr>
          <w:rFonts w:hint="eastAsia" w:ascii="仿宋" w:hAnsi="仿宋" w:eastAsia="仿宋" w:cs="仿宋"/>
          <w:b/>
          <w:color w:val="auto"/>
          <w:spacing w:val="6"/>
          <w:sz w:val="32"/>
          <w:szCs w:val="32"/>
          <w:highlight w:val="none"/>
        </w:rPr>
      </w:pPr>
    </w:p>
    <w:p w14:paraId="48B7EC5C">
      <w:pPr>
        <w:autoSpaceDE w:val="0"/>
        <w:autoSpaceDN w:val="0"/>
        <w:jc w:val="center"/>
        <w:rPr>
          <w:rFonts w:hint="eastAsia" w:ascii="仿宋" w:hAnsi="仿宋" w:eastAsia="仿宋" w:cs="仿宋"/>
          <w:b/>
          <w:color w:val="auto"/>
          <w:spacing w:val="6"/>
          <w:sz w:val="32"/>
          <w:szCs w:val="32"/>
          <w:highlight w:val="none"/>
        </w:rPr>
      </w:pPr>
    </w:p>
    <w:p w14:paraId="5E41D7AF">
      <w:pPr>
        <w:autoSpaceDE w:val="0"/>
        <w:autoSpaceDN w:val="0"/>
        <w:jc w:val="center"/>
        <w:rPr>
          <w:rFonts w:hint="eastAsia" w:ascii="仿宋" w:hAnsi="仿宋" w:eastAsia="仿宋" w:cs="仿宋"/>
          <w:b/>
          <w:color w:val="auto"/>
          <w:spacing w:val="6"/>
          <w:sz w:val="32"/>
          <w:szCs w:val="32"/>
          <w:highlight w:val="none"/>
        </w:rPr>
      </w:pPr>
    </w:p>
    <w:p w14:paraId="47EE93F1">
      <w:pPr>
        <w:autoSpaceDE w:val="0"/>
        <w:autoSpaceDN w:val="0"/>
        <w:jc w:val="center"/>
        <w:rPr>
          <w:rFonts w:hint="eastAsia" w:ascii="仿宋" w:hAnsi="仿宋" w:eastAsia="仿宋" w:cs="仿宋"/>
          <w:b/>
          <w:color w:val="auto"/>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6E7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52075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2F7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918120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40D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60B2B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90A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01438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B64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057E">
    <w:pPr>
      <w:pStyle w:val="42"/>
      <w:framePr w:wrap="around" w:vAnchor="text" w:hAnchor="margin" w:xAlign="right" w:y="1"/>
      <w:rPr>
        <w:rStyle w:val="73"/>
      </w:rPr>
    </w:pPr>
    <w:r>
      <w:fldChar w:fldCharType="begin"/>
    </w:r>
    <w:r>
      <w:rPr>
        <w:rStyle w:val="73"/>
      </w:rPr>
      <w:instrText xml:space="preserve">PAGE  </w:instrText>
    </w:r>
    <w:r>
      <w:fldChar w:fldCharType="end"/>
    </w:r>
  </w:p>
  <w:p w14:paraId="04F20F44">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10F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8FC2">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48E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6" w:name="_Toc164085800"/>
    <w:bookmarkStart w:id="387" w:name="_Toc36110187"/>
    <w:bookmarkStart w:id="388" w:name="_Toc91899912"/>
    <w:bookmarkStart w:id="389" w:name="_Toc131845147"/>
    <w:r>
      <w:rPr>
        <w:rFonts w:hint="eastAsia" w:ascii="仿宋_GB2312" w:eastAsia="仿宋_GB2312"/>
        <w:kern w:val="0"/>
        <w:szCs w:val="21"/>
      </w:rPr>
      <w:t xml:space="preserve"> 页</w:t>
    </w:r>
    <w:bookmarkEnd w:id="386"/>
    <w:bookmarkEnd w:id="387"/>
    <w:bookmarkEnd w:id="388"/>
    <w:bookmarkEnd w:id="3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6AC6">
    <w:pPr>
      <w:pStyle w:val="43"/>
      <w:jc w:val="right"/>
      <w:rPr>
        <w:rFonts w:hint="eastAsia" w:ascii="仿宋_GB2312" w:eastAsia="宋体"/>
        <w:b/>
        <w:i/>
        <w:u w:val="single"/>
        <w:lang w:eastAsia="zh-CN"/>
      </w:rPr>
    </w:pPr>
    <w:r>
      <w:t></w:t>
    </w:r>
    <w:r>
      <w:rPr>
        <w:rFonts w:hint="eastAsia"/>
      </w:rPr>
      <w:t xml:space="preserve">                                                  </w:t>
    </w:r>
    <w:r>
      <w:t>公开</w:t>
    </w:r>
    <w:r>
      <w:rPr>
        <w:rFonts w:hint="eastAsia"/>
        <w:lang w:eastAsia="zh-CN"/>
      </w:rPr>
      <w:t>交易文件</w:t>
    </w:r>
  </w:p>
  <w:p w14:paraId="08BFD134">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0B79E">
    <w:pPr>
      <w:pStyle w:val="43"/>
    </w:pPr>
    <w:r>
      <w:t></w:t>
    </w:r>
    <w:r>
      <w:rPr>
        <w:rFonts w:hint="eastAsia"/>
      </w:rPr>
      <w:t xml:space="preserve">         </w:t>
    </w:r>
  </w:p>
  <w:p w14:paraId="6C2B5F85">
    <w:pPr>
      <w:pStyle w:val="43"/>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D909">
    <w:pPr>
      <w:pStyle w:val="43"/>
      <w:jc w:val="right"/>
      <w:rPr>
        <w:rFonts w:hint="eastAsia" w:ascii="仿宋_GB2312" w:eastAsia="宋体"/>
        <w:b/>
        <w:i/>
        <w:u w:val="single"/>
        <w:lang w:eastAsia="zh-CN"/>
      </w:rPr>
    </w:pPr>
    <w:r>
      <w:rPr>
        <w:rFonts w:hint="eastAsia"/>
      </w:rPr>
      <w:t xml:space="preserve">                                 </w:t>
    </w:r>
    <w:r>
      <w:t>公开</w:t>
    </w:r>
    <w:r>
      <w:rPr>
        <w:rFonts w:hint="eastAsia"/>
        <w:lang w:eastAsia="zh-CN"/>
      </w:rPr>
      <w:t>交易文件</w:t>
    </w:r>
  </w:p>
  <w:p w14:paraId="587952F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31875">
    <w:pPr>
      <w:pStyle w:val="43"/>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0C3C">
    <w:pPr>
      <w:pStyle w:val="43"/>
      <w:jc w:val="right"/>
      <w:rPr>
        <w:rFonts w:hint="eastAsia" w:ascii="仿宋_GB2312" w:eastAsia="宋体"/>
        <w:b/>
        <w:i/>
        <w:iCs/>
        <w:u w:val="single"/>
        <w:lang w:eastAsia="zh-CN"/>
      </w:rPr>
    </w:pPr>
    <w:r>
      <w:t>公开</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10BA3">
    <w:pPr>
      <w:pStyle w:val="43"/>
      <w:jc w:val="right"/>
      <w:rPr>
        <w:rFonts w:hint="eastAsia" w:eastAsia="宋体"/>
        <w:lang w:eastAsia="zh-CN"/>
      </w:rPr>
    </w:pPr>
    <w:r>
      <w:t></w:t>
    </w:r>
    <w:r>
      <w:rPr>
        <w:rFonts w:hint="eastAsia"/>
      </w:rPr>
      <w:t xml:space="preserve">                                            </w:t>
    </w:r>
    <w:r>
      <w:t>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41551">
    <w:pPr>
      <w:pStyle w:val="43"/>
      <w:jc w:val="right"/>
      <w:rPr>
        <w:rFonts w:hint="eastAsia" w:ascii="仿宋_GB2312" w:eastAsia="宋体"/>
        <w:b/>
        <w:i/>
        <w:iCs/>
        <w:u w:val="single"/>
        <w:lang w:eastAsia="zh-CN"/>
      </w:rPr>
    </w:pPr>
    <w:r>
      <w:t>公开</w:t>
    </w:r>
    <w:r>
      <w:rPr>
        <w:rFonts w:hint="eastAsia"/>
        <w:lang w:eastAsia="zh-CN"/>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4201">
    <w:pPr>
      <w:pStyle w:val="43"/>
      <w:jc w:val="right"/>
      <w:rPr>
        <w:rFonts w:hint="eastAsia" w:eastAsia="宋体"/>
        <w:lang w:eastAsia="zh-CN"/>
      </w:rPr>
    </w:pPr>
    <w:r>
      <w:t></w:t>
    </w:r>
    <w:r>
      <w:rPr>
        <w:rFonts w:hint="eastAsia"/>
      </w:rPr>
      <w:t xml:space="preserve">                                            </w:t>
    </w:r>
    <w:r>
      <w:t>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4F165"/>
    <w:multiLevelType w:val="singleLevel"/>
    <w:tmpl w:val="4754F165"/>
    <w:lvl w:ilvl="0" w:tentative="0">
      <w:start w:val="1"/>
      <w:numFmt w:val="decimal"/>
      <w:suff w:val="nothing"/>
      <w:lvlText w:val="%1、"/>
      <w:lvlJc w:val="left"/>
    </w:lvl>
  </w:abstractNum>
  <w:abstractNum w:abstractNumId="1">
    <w:nsid w:val="75BE8EC7"/>
    <w:multiLevelType w:val="singleLevel"/>
    <w:tmpl w:val="75BE8EC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zg0NzJhYTdkYWZlYTc2YzQ5ZTk2Y2U5NDZjY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37"/>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72341"/>
    <w:rsid w:val="01525F9E"/>
    <w:rsid w:val="019F7441"/>
    <w:rsid w:val="01B37585"/>
    <w:rsid w:val="01D17056"/>
    <w:rsid w:val="01D34B7C"/>
    <w:rsid w:val="01D52B5B"/>
    <w:rsid w:val="01D55165"/>
    <w:rsid w:val="01DF6BF8"/>
    <w:rsid w:val="01EC2C57"/>
    <w:rsid w:val="025C7268"/>
    <w:rsid w:val="025F0711"/>
    <w:rsid w:val="026B2E25"/>
    <w:rsid w:val="02824D4D"/>
    <w:rsid w:val="02DC4B10"/>
    <w:rsid w:val="02DD76CE"/>
    <w:rsid w:val="02F36323"/>
    <w:rsid w:val="02F5619C"/>
    <w:rsid w:val="03020BC6"/>
    <w:rsid w:val="03102F2B"/>
    <w:rsid w:val="0326446A"/>
    <w:rsid w:val="032D5555"/>
    <w:rsid w:val="035948CD"/>
    <w:rsid w:val="03610680"/>
    <w:rsid w:val="036634D2"/>
    <w:rsid w:val="03DD35E4"/>
    <w:rsid w:val="040278D2"/>
    <w:rsid w:val="04076900"/>
    <w:rsid w:val="041A5A3B"/>
    <w:rsid w:val="0420019C"/>
    <w:rsid w:val="042311BA"/>
    <w:rsid w:val="042B157A"/>
    <w:rsid w:val="048F763B"/>
    <w:rsid w:val="049F330E"/>
    <w:rsid w:val="04AA775C"/>
    <w:rsid w:val="04AF1889"/>
    <w:rsid w:val="04F66F48"/>
    <w:rsid w:val="04F76DD4"/>
    <w:rsid w:val="051E28A6"/>
    <w:rsid w:val="05251E14"/>
    <w:rsid w:val="053E2C54"/>
    <w:rsid w:val="053F077B"/>
    <w:rsid w:val="05507636"/>
    <w:rsid w:val="05770BD6"/>
    <w:rsid w:val="05A16594"/>
    <w:rsid w:val="05A7762D"/>
    <w:rsid w:val="05C04DC2"/>
    <w:rsid w:val="060E5941"/>
    <w:rsid w:val="06110FAF"/>
    <w:rsid w:val="06493CA7"/>
    <w:rsid w:val="065A6178"/>
    <w:rsid w:val="065C072B"/>
    <w:rsid w:val="065F76C6"/>
    <w:rsid w:val="066F1CF3"/>
    <w:rsid w:val="06930BB8"/>
    <w:rsid w:val="06957190"/>
    <w:rsid w:val="06A44D39"/>
    <w:rsid w:val="06D47382"/>
    <w:rsid w:val="07245D42"/>
    <w:rsid w:val="07264C62"/>
    <w:rsid w:val="07757707"/>
    <w:rsid w:val="0779354C"/>
    <w:rsid w:val="07F62A32"/>
    <w:rsid w:val="08061376"/>
    <w:rsid w:val="080C2E93"/>
    <w:rsid w:val="08452D77"/>
    <w:rsid w:val="086401F8"/>
    <w:rsid w:val="086A1C95"/>
    <w:rsid w:val="08751CAA"/>
    <w:rsid w:val="087E4C40"/>
    <w:rsid w:val="088502C6"/>
    <w:rsid w:val="08A871D0"/>
    <w:rsid w:val="08D66AD6"/>
    <w:rsid w:val="08DA33A3"/>
    <w:rsid w:val="08DB07BA"/>
    <w:rsid w:val="08E80F13"/>
    <w:rsid w:val="09151F1E"/>
    <w:rsid w:val="09213781"/>
    <w:rsid w:val="09335624"/>
    <w:rsid w:val="09416162"/>
    <w:rsid w:val="0944690F"/>
    <w:rsid w:val="09535675"/>
    <w:rsid w:val="095A5849"/>
    <w:rsid w:val="095F057D"/>
    <w:rsid w:val="09642282"/>
    <w:rsid w:val="09733572"/>
    <w:rsid w:val="09772C16"/>
    <w:rsid w:val="098353B5"/>
    <w:rsid w:val="09A92330"/>
    <w:rsid w:val="09B06B87"/>
    <w:rsid w:val="09C13146"/>
    <w:rsid w:val="09DF2FD6"/>
    <w:rsid w:val="09E04166"/>
    <w:rsid w:val="0A1C0718"/>
    <w:rsid w:val="0A1C69D2"/>
    <w:rsid w:val="0A3E7710"/>
    <w:rsid w:val="0A472547"/>
    <w:rsid w:val="0A531525"/>
    <w:rsid w:val="0A5B7E63"/>
    <w:rsid w:val="0AA374A5"/>
    <w:rsid w:val="0AAB7649"/>
    <w:rsid w:val="0ABC5606"/>
    <w:rsid w:val="0B30404E"/>
    <w:rsid w:val="0B4C6C14"/>
    <w:rsid w:val="0B5722B0"/>
    <w:rsid w:val="0B631A88"/>
    <w:rsid w:val="0B683D45"/>
    <w:rsid w:val="0B7276D0"/>
    <w:rsid w:val="0B7F3F11"/>
    <w:rsid w:val="0B884417"/>
    <w:rsid w:val="0BBB1200"/>
    <w:rsid w:val="0BBD7CB7"/>
    <w:rsid w:val="0BF416C5"/>
    <w:rsid w:val="0BF6188C"/>
    <w:rsid w:val="0BF73C91"/>
    <w:rsid w:val="0C0532E2"/>
    <w:rsid w:val="0C170175"/>
    <w:rsid w:val="0C344DB1"/>
    <w:rsid w:val="0C571A41"/>
    <w:rsid w:val="0C5C1171"/>
    <w:rsid w:val="0C5E1CBC"/>
    <w:rsid w:val="0C615B50"/>
    <w:rsid w:val="0C8445DA"/>
    <w:rsid w:val="0C87121B"/>
    <w:rsid w:val="0CB16402"/>
    <w:rsid w:val="0CC007F7"/>
    <w:rsid w:val="0CC617AC"/>
    <w:rsid w:val="0CFE707A"/>
    <w:rsid w:val="0D0447C0"/>
    <w:rsid w:val="0D063BDA"/>
    <w:rsid w:val="0D08375F"/>
    <w:rsid w:val="0D166265"/>
    <w:rsid w:val="0D184CFB"/>
    <w:rsid w:val="0D4A7419"/>
    <w:rsid w:val="0D801121"/>
    <w:rsid w:val="0D827401"/>
    <w:rsid w:val="0D84094E"/>
    <w:rsid w:val="0D8A00E9"/>
    <w:rsid w:val="0D8D589E"/>
    <w:rsid w:val="0DA01C73"/>
    <w:rsid w:val="0DD63300"/>
    <w:rsid w:val="0DF50604"/>
    <w:rsid w:val="0DF702FE"/>
    <w:rsid w:val="0E060E51"/>
    <w:rsid w:val="0E5604B2"/>
    <w:rsid w:val="0E6D5D79"/>
    <w:rsid w:val="0E88108E"/>
    <w:rsid w:val="0E9D0089"/>
    <w:rsid w:val="0EB803EE"/>
    <w:rsid w:val="0EF80A9B"/>
    <w:rsid w:val="0EF94D4B"/>
    <w:rsid w:val="0F0C3DC3"/>
    <w:rsid w:val="0F4958DC"/>
    <w:rsid w:val="0F515DF7"/>
    <w:rsid w:val="0F593D84"/>
    <w:rsid w:val="0F596BA8"/>
    <w:rsid w:val="0F6248D2"/>
    <w:rsid w:val="0F693536"/>
    <w:rsid w:val="0F7B0511"/>
    <w:rsid w:val="0F7B76D9"/>
    <w:rsid w:val="0F816ACD"/>
    <w:rsid w:val="0F9832DB"/>
    <w:rsid w:val="0FBF3FD2"/>
    <w:rsid w:val="0FBF7FF3"/>
    <w:rsid w:val="0FF46D31"/>
    <w:rsid w:val="0FF70D71"/>
    <w:rsid w:val="10646583"/>
    <w:rsid w:val="107D4B15"/>
    <w:rsid w:val="108A3C80"/>
    <w:rsid w:val="10C26171"/>
    <w:rsid w:val="10F33360"/>
    <w:rsid w:val="10FC16EA"/>
    <w:rsid w:val="11080B0F"/>
    <w:rsid w:val="110F1D40"/>
    <w:rsid w:val="11266F33"/>
    <w:rsid w:val="113624B8"/>
    <w:rsid w:val="115A518A"/>
    <w:rsid w:val="116C0B49"/>
    <w:rsid w:val="116C5D68"/>
    <w:rsid w:val="11710B7E"/>
    <w:rsid w:val="11873510"/>
    <w:rsid w:val="118963A1"/>
    <w:rsid w:val="11A2456B"/>
    <w:rsid w:val="11B63597"/>
    <w:rsid w:val="11C6522A"/>
    <w:rsid w:val="11D74D27"/>
    <w:rsid w:val="11E104CC"/>
    <w:rsid w:val="11E20309"/>
    <w:rsid w:val="120A7D3D"/>
    <w:rsid w:val="122431D2"/>
    <w:rsid w:val="12255233"/>
    <w:rsid w:val="12530213"/>
    <w:rsid w:val="127723A9"/>
    <w:rsid w:val="12862074"/>
    <w:rsid w:val="12883966"/>
    <w:rsid w:val="129E45B4"/>
    <w:rsid w:val="12A4374D"/>
    <w:rsid w:val="12D21374"/>
    <w:rsid w:val="12D81596"/>
    <w:rsid w:val="13072A44"/>
    <w:rsid w:val="131A1B7F"/>
    <w:rsid w:val="135E2714"/>
    <w:rsid w:val="135F4BE2"/>
    <w:rsid w:val="139B1A0A"/>
    <w:rsid w:val="139D25C7"/>
    <w:rsid w:val="13BF3CE4"/>
    <w:rsid w:val="13F76DF0"/>
    <w:rsid w:val="141008D8"/>
    <w:rsid w:val="14125FE6"/>
    <w:rsid w:val="142931B3"/>
    <w:rsid w:val="14500381"/>
    <w:rsid w:val="1463333F"/>
    <w:rsid w:val="146D271E"/>
    <w:rsid w:val="147C10A3"/>
    <w:rsid w:val="14982588"/>
    <w:rsid w:val="149A5AD9"/>
    <w:rsid w:val="14A7619D"/>
    <w:rsid w:val="14F60883"/>
    <w:rsid w:val="150536C3"/>
    <w:rsid w:val="150C1963"/>
    <w:rsid w:val="151447A0"/>
    <w:rsid w:val="1523335B"/>
    <w:rsid w:val="154A6454"/>
    <w:rsid w:val="15762120"/>
    <w:rsid w:val="158E10A8"/>
    <w:rsid w:val="15E74ED5"/>
    <w:rsid w:val="15FA336F"/>
    <w:rsid w:val="16521650"/>
    <w:rsid w:val="16862CD9"/>
    <w:rsid w:val="16A8729C"/>
    <w:rsid w:val="16B33777"/>
    <w:rsid w:val="16B34B25"/>
    <w:rsid w:val="16BC70A7"/>
    <w:rsid w:val="16C6339E"/>
    <w:rsid w:val="16FE2244"/>
    <w:rsid w:val="172F2D79"/>
    <w:rsid w:val="17440C55"/>
    <w:rsid w:val="17557BEF"/>
    <w:rsid w:val="17C533C5"/>
    <w:rsid w:val="17D349C1"/>
    <w:rsid w:val="18051945"/>
    <w:rsid w:val="1830729E"/>
    <w:rsid w:val="18361653"/>
    <w:rsid w:val="1870062C"/>
    <w:rsid w:val="18817102"/>
    <w:rsid w:val="18830A15"/>
    <w:rsid w:val="18852B28"/>
    <w:rsid w:val="188B5321"/>
    <w:rsid w:val="194039D9"/>
    <w:rsid w:val="1958579E"/>
    <w:rsid w:val="19932372"/>
    <w:rsid w:val="19A20DD5"/>
    <w:rsid w:val="19AE03F1"/>
    <w:rsid w:val="1A071A03"/>
    <w:rsid w:val="1A1F16AE"/>
    <w:rsid w:val="1A23520E"/>
    <w:rsid w:val="1A3A5C47"/>
    <w:rsid w:val="1A3B5C77"/>
    <w:rsid w:val="1A984BAD"/>
    <w:rsid w:val="1AB8220E"/>
    <w:rsid w:val="1AC276F1"/>
    <w:rsid w:val="1AC86859"/>
    <w:rsid w:val="1AE27A09"/>
    <w:rsid w:val="1AE4166C"/>
    <w:rsid w:val="1AF06CFB"/>
    <w:rsid w:val="1AF11B8D"/>
    <w:rsid w:val="1B11359C"/>
    <w:rsid w:val="1B13595F"/>
    <w:rsid w:val="1B2A271F"/>
    <w:rsid w:val="1B530544"/>
    <w:rsid w:val="1B713184"/>
    <w:rsid w:val="1B732CD8"/>
    <w:rsid w:val="1BA209CF"/>
    <w:rsid w:val="1BA75909"/>
    <w:rsid w:val="1BB4777D"/>
    <w:rsid w:val="1BD75AB8"/>
    <w:rsid w:val="1BE22A26"/>
    <w:rsid w:val="1C0459C2"/>
    <w:rsid w:val="1C1B3B4A"/>
    <w:rsid w:val="1C427A2B"/>
    <w:rsid w:val="1C88086E"/>
    <w:rsid w:val="1D266CE1"/>
    <w:rsid w:val="1D3963AF"/>
    <w:rsid w:val="1D442C19"/>
    <w:rsid w:val="1D6A673C"/>
    <w:rsid w:val="1D921938"/>
    <w:rsid w:val="1D9247AE"/>
    <w:rsid w:val="1DB567EC"/>
    <w:rsid w:val="1DDB6BF4"/>
    <w:rsid w:val="1DF51A98"/>
    <w:rsid w:val="1E29134E"/>
    <w:rsid w:val="1E3D060F"/>
    <w:rsid w:val="1E3F7D2E"/>
    <w:rsid w:val="1E4134E4"/>
    <w:rsid w:val="1E5062B3"/>
    <w:rsid w:val="1E523514"/>
    <w:rsid w:val="1E656CDF"/>
    <w:rsid w:val="1E714A66"/>
    <w:rsid w:val="1E802593"/>
    <w:rsid w:val="1E8B6156"/>
    <w:rsid w:val="1EA703CC"/>
    <w:rsid w:val="1EB7330C"/>
    <w:rsid w:val="1F0A0FF3"/>
    <w:rsid w:val="1F0B1D9E"/>
    <w:rsid w:val="1F0E4FEE"/>
    <w:rsid w:val="1F2667DB"/>
    <w:rsid w:val="1F32168E"/>
    <w:rsid w:val="1F5771FF"/>
    <w:rsid w:val="1F746245"/>
    <w:rsid w:val="1FE868A9"/>
    <w:rsid w:val="20034907"/>
    <w:rsid w:val="20173E4B"/>
    <w:rsid w:val="20457135"/>
    <w:rsid w:val="204E48BC"/>
    <w:rsid w:val="205968BE"/>
    <w:rsid w:val="208921B3"/>
    <w:rsid w:val="20973DEB"/>
    <w:rsid w:val="20B26522"/>
    <w:rsid w:val="20B44310"/>
    <w:rsid w:val="20DC6589"/>
    <w:rsid w:val="20DE0B6B"/>
    <w:rsid w:val="211116EB"/>
    <w:rsid w:val="216133FC"/>
    <w:rsid w:val="21D56769"/>
    <w:rsid w:val="21E52EF3"/>
    <w:rsid w:val="21FB5D7B"/>
    <w:rsid w:val="220B1C3D"/>
    <w:rsid w:val="221D1D20"/>
    <w:rsid w:val="22334A87"/>
    <w:rsid w:val="223905D4"/>
    <w:rsid w:val="225100F7"/>
    <w:rsid w:val="22717D6E"/>
    <w:rsid w:val="22811C9E"/>
    <w:rsid w:val="22BE6801"/>
    <w:rsid w:val="23224A7F"/>
    <w:rsid w:val="23337AB6"/>
    <w:rsid w:val="233500BF"/>
    <w:rsid w:val="23377FF7"/>
    <w:rsid w:val="234815AF"/>
    <w:rsid w:val="234E00AF"/>
    <w:rsid w:val="236B425F"/>
    <w:rsid w:val="23836192"/>
    <w:rsid w:val="23901F29"/>
    <w:rsid w:val="239C0061"/>
    <w:rsid w:val="239D1C07"/>
    <w:rsid w:val="23B70C60"/>
    <w:rsid w:val="23B908A4"/>
    <w:rsid w:val="23E95BEF"/>
    <w:rsid w:val="23FD0064"/>
    <w:rsid w:val="245375B0"/>
    <w:rsid w:val="24642C0A"/>
    <w:rsid w:val="249307DC"/>
    <w:rsid w:val="24A81A41"/>
    <w:rsid w:val="24B22173"/>
    <w:rsid w:val="24B95AD9"/>
    <w:rsid w:val="24BE24DA"/>
    <w:rsid w:val="24CF5825"/>
    <w:rsid w:val="24D663E6"/>
    <w:rsid w:val="24D77F2B"/>
    <w:rsid w:val="25010B0D"/>
    <w:rsid w:val="253820CF"/>
    <w:rsid w:val="2542313F"/>
    <w:rsid w:val="258B00E2"/>
    <w:rsid w:val="259201D6"/>
    <w:rsid w:val="25A917A6"/>
    <w:rsid w:val="25BD1F10"/>
    <w:rsid w:val="25BE27CC"/>
    <w:rsid w:val="25E814ED"/>
    <w:rsid w:val="25F74A5C"/>
    <w:rsid w:val="2628662C"/>
    <w:rsid w:val="262D45DE"/>
    <w:rsid w:val="267D5E81"/>
    <w:rsid w:val="26871DC8"/>
    <w:rsid w:val="26A53EF9"/>
    <w:rsid w:val="26A94201"/>
    <w:rsid w:val="26AC274F"/>
    <w:rsid w:val="26B0113A"/>
    <w:rsid w:val="27044A29"/>
    <w:rsid w:val="2714160F"/>
    <w:rsid w:val="271D34C8"/>
    <w:rsid w:val="27563AB9"/>
    <w:rsid w:val="276142BF"/>
    <w:rsid w:val="27783712"/>
    <w:rsid w:val="27907362"/>
    <w:rsid w:val="279B3ADF"/>
    <w:rsid w:val="27AA712F"/>
    <w:rsid w:val="27BF4498"/>
    <w:rsid w:val="28333E1D"/>
    <w:rsid w:val="28454BD6"/>
    <w:rsid w:val="28455253"/>
    <w:rsid w:val="28551971"/>
    <w:rsid w:val="285B1C53"/>
    <w:rsid w:val="289F7086"/>
    <w:rsid w:val="28AE2CE0"/>
    <w:rsid w:val="28C32028"/>
    <w:rsid w:val="28CC490F"/>
    <w:rsid w:val="28DE40AA"/>
    <w:rsid w:val="29345E48"/>
    <w:rsid w:val="29345E77"/>
    <w:rsid w:val="294C65AD"/>
    <w:rsid w:val="294D0665"/>
    <w:rsid w:val="29806583"/>
    <w:rsid w:val="298B3C4C"/>
    <w:rsid w:val="299254C6"/>
    <w:rsid w:val="29E65F16"/>
    <w:rsid w:val="29F26D24"/>
    <w:rsid w:val="2A15033F"/>
    <w:rsid w:val="2A1662C1"/>
    <w:rsid w:val="2A1C7367"/>
    <w:rsid w:val="2A2815FA"/>
    <w:rsid w:val="2A6D6092"/>
    <w:rsid w:val="2A7D76B4"/>
    <w:rsid w:val="2A8D5847"/>
    <w:rsid w:val="2A97233B"/>
    <w:rsid w:val="2AD83D4B"/>
    <w:rsid w:val="2B437463"/>
    <w:rsid w:val="2B5D643F"/>
    <w:rsid w:val="2B7807EE"/>
    <w:rsid w:val="2BA50BF7"/>
    <w:rsid w:val="2BBF00EC"/>
    <w:rsid w:val="2BC37CFD"/>
    <w:rsid w:val="2BD5237F"/>
    <w:rsid w:val="2BE536CE"/>
    <w:rsid w:val="2BE758D9"/>
    <w:rsid w:val="2BEF473D"/>
    <w:rsid w:val="2C09049E"/>
    <w:rsid w:val="2C0A653C"/>
    <w:rsid w:val="2C1036F5"/>
    <w:rsid w:val="2C106849"/>
    <w:rsid w:val="2C191F85"/>
    <w:rsid w:val="2CA50ADA"/>
    <w:rsid w:val="2CDD4252"/>
    <w:rsid w:val="2CE82D6F"/>
    <w:rsid w:val="2D343236"/>
    <w:rsid w:val="2D502C75"/>
    <w:rsid w:val="2DD15014"/>
    <w:rsid w:val="2DF72DE4"/>
    <w:rsid w:val="2E0220AF"/>
    <w:rsid w:val="2E381D61"/>
    <w:rsid w:val="2E4B082A"/>
    <w:rsid w:val="2E4E75EE"/>
    <w:rsid w:val="2E5D4E86"/>
    <w:rsid w:val="2E5D790B"/>
    <w:rsid w:val="2E642E71"/>
    <w:rsid w:val="2E661D51"/>
    <w:rsid w:val="2E7A7097"/>
    <w:rsid w:val="2E7D5CEC"/>
    <w:rsid w:val="2E9A3C18"/>
    <w:rsid w:val="2EBB0FEE"/>
    <w:rsid w:val="2EBC2E8A"/>
    <w:rsid w:val="2EC5229A"/>
    <w:rsid w:val="2EC63002"/>
    <w:rsid w:val="2F0A6B38"/>
    <w:rsid w:val="2F2B6BEA"/>
    <w:rsid w:val="2F42145E"/>
    <w:rsid w:val="2F946CCB"/>
    <w:rsid w:val="2FD25781"/>
    <w:rsid w:val="2FFD7934"/>
    <w:rsid w:val="30733ACD"/>
    <w:rsid w:val="308C3862"/>
    <w:rsid w:val="309379D8"/>
    <w:rsid w:val="30955C2D"/>
    <w:rsid w:val="30A270F7"/>
    <w:rsid w:val="30C3032E"/>
    <w:rsid w:val="30C916BD"/>
    <w:rsid w:val="30DF1478"/>
    <w:rsid w:val="30EC586F"/>
    <w:rsid w:val="31192539"/>
    <w:rsid w:val="31221F3C"/>
    <w:rsid w:val="319475D5"/>
    <w:rsid w:val="319C6071"/>
    <w:rsid w:val="31AC537E"/>
    <w:rsid w:val="31E3679B"/>
    <w:rsid w:val="31E732FD"/>
    <w:rsid w:val="31F0510E"/>
    <w:rsid w:val="32221084"/>
    <w:rsid w:val="322D0B0C"/>
    <w:rsid w:val="32517576"/>
    <w:rsid w:val="32584AA6"/>
    <w:rsid w:val="32753675"/>
    <w:rsid w:val="32A64673"/>
    <w:rsid w:val="32BE5C2C"/>
    <w:rsid w:val="32FB6478"/>
    <w:rsid w:val="33185AB9"/>
    <w:rsid w:val="33263B3F"/>
    <w:rsid w:val="336945FC"/>
    <w:rsid w:val="336963EB"/>
    <w:rsid w:val="337B3785"/>
    <w:rsid w:val="33816EEB"/>
    <w:rsid w:val="33EB55CD"/>
    <w:rsid w:val="33EC4C02"/>
    <w:rsid w:val="33F95E15"/>
    <w:rsid w:val="33FE7475"/>
    <w:rsid w:val="340D2360"/>
    <w:rsid w:val="3410665D"/>
    <w:rsid w:val="34211214"/>
    <w:rsid w:val="342E63AB"/>
    <w:rsid w:val="343427A6"/>
    <w:rsid w:val="343F2C99"/>
    <w:rsid w:val="345266DA"/>
    <w:rsid w:val="345A3695"/>
    <w:rsid w:val="347A7FAD"/>
    <w:rsid w:val="34950E68"/>
    <w:rsid w:val="34986E94"/>
    <w:rsid w:val="34AF62C9"/>
    <w:rsid w:val="34CB4388"/>
    <w:rsid w:val="34E346B1"/>
    <w:rsid w:val="34FA6E12"/>
    <w:rsid w:val="35433A41"/>
    <w:rsid w:val="354D7158"/>
    <w:rsid w:val="355323A7"/>
    <w:rsid w:val="355928EA"/>
    <w:rsid w:val="358D5588"/>
    <w:rsid w:val="35A40002"/>
    <w:rsid w:val="35AB313F"/>
    <w:rsid w:val="362224E4"/>
    <w:rsid w:val="36314B8F"/>
    <w:rsid w:val="363A3B40"/>
    <w:rsid w:val="365302AE"/>
    <w:rsid w:val="36607A0A"/>
    <w:rsid w:val="366E227C"/>
    <w:rsid w:val="366F2E0D"/>
    <w:rsid w:val="367B6A5C"/>
    <w:rsid w:val="36A74ADA"/>
    <w:rsid w:val="36AD60D5"/>
    <w:rsid w:val="36B224F9"/>
    <w:rsid w:val="36EC0CC9"/>
    <w:rsid w:val="36EE59D9"/>
    <w:rsid w:val="370A2B55"/>
    <w:rsid w:val="37227431"/>
    <w:rsid w:val="373F410B"/>
    <w:rsid w:val="375D3ED9"/>
    <w:rsid w:val="37EE7094"/>
    <w:rsid w:val="381C20D2"/>
    <w:rsid w:val="38296C89"/>
    <w:rsid w:val="383002EB"/>
    <w:rsid w:val="38586797"/>
    <w:rsid w:val="38BC0149"/>
    <w:rsid w:val="38C1305A"/>
    <w:rsid w:val="38D87D1C"/>
    <w:rsid w:val="39300C05"/>
    <w:rsid w:val="39636459"/>
    <w:rsid w:val="396B7F6C"/>
    <w:rsid w:val="39B417A9"/>
    <w:rsid w:val="39FC5695"/>
    <w:rsid w:val="3A006D8E"/>
    <w:rsid w:val="3A3651E5"/>
    <w:rsid w:val="3A744481"/>
    <w:rsid w:val="3A7A7DC8"/>
    <w:rsid w:val="3A8C7BEF"/>
    <w:rsid w:val="3A906246"/>
    <w:rsid w:val="3AC21656"/>
    <w:rsid w:val="3B2349B7"/>
    <w:rsid w:val="3B616CFF"/>
    <w:rsid w:val="3B6259F6"/>
    <w:rsid w:val="3B7751AF"/>
    <w:rsid w:val="3B787957"/>
    <w:rsid w:val="3B9558B0"/>
    <w:rsid w:val="3B976654"/>
    <w:rsid w:val="3BAA122E"/>
    <w:rsid w:val="3BC01EFC"/>
    <w:rsid w:val="3BC400A3"/>
    <w:rsid w:val="3BCA786A"/>
    <w:rsid w:val="3BD31E2F"/>
    <w:rsid w:val="3BEB0ADF"/>
    <w:rsid w:val="3BF15831"/>
    <w:rsid w:val="3C105946"/>
    <w:rsid w:val="3C471448"/>
    <w:rsid w:val="3C5F759A"/>
    <w:rsid w:val="3C6C525A"/>
    <w:rsid w:val="3CCE23CB"/>
    <w:rsid w:val="3CD17D17"/>
    <w:rsid w:val="3D3C7F39"/>
    <w:rsid w:val="3D440F09"/>
    <w:rsid w:val="3D4504A0"/>
    <w:rsid w:val="3D57426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543A6"/>
    <w:rsid w:val="3E9A59DE"/>
    <w:rsid w:val="3EAF4836"/>
    <w:rsid w:val="3EC33DFA"/>
    <w:rsid w:val="3F060E16"/>
    <w:rsid w:val="3F1D1096"/>
    <w:rsid w:val="3F2C7A1F"/>
    <w:rsid w:val="3F2F0234"/>
    <w:rsid w:val="3F427891"/>
    <w:rsid w:val="3F6363FE"/>
    <w:rsid w:val="3F753E01"/>
    <w:rsid w:val="3F756B8F"/>
    <w:rsid w:val="3F95482B"/>
    <w:rsid w:val="3FB351D3"/>
    <w:rsid w:val="3FEC7218"/>
    <w:rsid w:val="4019356B"/>
    <w:rsid w:val="403A613B"/>
    <w:rsid w:val="404C17AC"/>
    <w:rsid w:val="40592157"/>
    <w:rsid w:val="405C0EAF"/>
    <w:rsid w:val="406E1CAE"/>
    <w:rsid w:val="40860A30"/>
    <w:rsid w:val="40A0133A"/>
    <w:rsid w:val="40B31EB7"/>
    <w:rsid w:val="40C31A53"/>
    <w:rsid w:val="40FF545D"/>
    <w:rsid w:val="4100099C"/>
    <w:rsid w:val="410067C8"/>
    <w:rsid w:val="411C33B7"/>
    <w:rsid w:val="41232415"/>
    <w:rsid w:val="418F0D2A"/>
    <w:rsid w:val="41D01505"/>
    <w:rsid w:val="42474939"/>
    <w:rsid w:val="424C3C57"/>
    <w:rsid w:val="42613FF3"/>
    <w:rsid w:val="42660D96"/>
    <w:rsid w:val="427C6FA2"/>
    <w:rsid w:val="428667D2"/>
    <w:rsid w:val="42CD1CE0"/>
    <w:rsid w:val="42E1381E"/>
    <w:rsid w:val="42ED6459"/>
    <w:rsid w:val="42FE58DD"/>
    <w:rsid w:val="43174B3D"/>
    <w:rsid w:val="434B790E"/>
    <w:rsid w:val="4360274F"/>
    <w:rsid w:val="436A10B6"/>
    <w:rsid w:val="43800493"/>
    <w:rsid w:val="43977AB6"/>
    <w:rsid w:val="439D4A0F"/>
    <w:rsid w:val="43A3342B"/>
    <w:rsid w:val="43C60B40"/>
    <w:rsid w:val="43C77C27"/>
    <w:rsid w:val="43DD40A0"/>
    <w:rsid w:val="43DE09EE"/>
    <w:rsid w:val="44002FAD"/>
    <w:rsid w:val="4430589B"/>
    <w:rsid w:val="4438614D"/>
    <w:rsid w:val="445D423E"/>
    <w:rsid w:val="449101DD"/>
    <w:rsid w:val="449D00C3"/>
    <w:rsid w:val="44DE1391"/>
    <w:rsid w:val="45023CFE"/>
    <w:rsid w:val="450C4287"/>
    <w:rsid w:val="450C746F"/>
    <w:rsid w:val="451B225C"/>
    <w:rsid w:val="452410C9"/>
    <w:rsid w:val="45317DFB"/>
    <w:rsid w:val="45551365"/>
    <w:rsid w:val="455A14FE"/>
    <w:rsid w:val="456D3CE4"/>
    <w:rsid w:val="4579042C"/>
    <w:rsid w:val="457F0571"/>
    <w:rsid w:val="45851176"/>
    <w:rsid w:val="458F3E4A"/>
    <w:rsid w:val="45C63B94"/>
    <w:rsid w:val="460E7DA5"/>
    <w:rsid w:val="46422483"/>
    <w:rsid w:val="4659254A"/>
    <w:rsid w:val="465B0637"/>
    <w:rsid w:val="465E3F0D"/>
    <w:rsid w:val="466A16E6"/>
    <w:rsid w:val="46893F2B"/>
    <w:rsid w:val="46C4686E"/>
    <w:rsid w:val="46F626C3"/>
    <w:rsid w:val="4719118B"/>
    <w:rsid w:val="475E7FB4"/>
    <w:rsid w:val="477B778F"/>
    <w:rsid w:val="478203EC"/>
    <w:rsid w:val="47B025FA"/>
    <w:rsid w:val="47C3256A"/>
    <w:rsid w:val="47E26E94"/>
    <w:rsid w:val="4809698F"/>
    <w:rsid w:val="4811697D"/>
    <w:rsid w:val="485D72C5"/>
    <w:rsid w:val="487A3E25"/>
    <w:rsid w:val="488B5503"/>
    <w:rsid w:val="48937E21"/>
    <w:rsid w:val="489A0361"/>
    <w:rsid w:val="48B94FF3"/>
    <w:rsid w:val="48E37AAB"/>
    <w:rsid w:val="48FD4B4C"/>
    <w:rsid w:val="490A68E0"/>
    <w:rsid w:val="491055FE"/>
    <w:rsid w:val="49331390"/>
    <w:rsid w:val="494A1634"/>
    <w:rsid w:val="495F5B3E"/>
    <w:rsid w:val="49604EAF"/>
    <w:rsid w:val="496F77D7"/>
    <w:rsid w:val="497654FD"/>
    <w:rsid w:val="49B64211"/>
    <w:rsid w:val="49F6167F"/>
    <w:rsid w:val="4A064FA0"/>
    <w:rsid w:val="4A16615C"/>
    <w:rsid w:val="4A4424D7"/>
    <w:rsid w:val="4AB82D0F"/>
    <w:rsid w:val="4ABF2FAC"/>
    <w:rsid w:val="4AEB7664"/>
    <w:rsid w:val="4AFD7C19"/>
    <w:rsid w:val="4B0567D1"/>
    <w:rsid w:val="4B236AAE"/>
    <w:rsid w:val="4B245A16"/>
    <w:rsid w:val="4B583CED"/>
    <w:rsid w:val="4B707271"/>
    <w:rsid w:val="4B9739F7"/>
    <w:rsid w:val="4BEC4A55"/>
    <w:rsid w:val="4BEE2503"/>
    <w:rsid w:val="4BFD1EA5"/>
    <w:rsid w:val="4C245A30"/>
    <w:rsid w:val="4C44192C"/>
    <w:rsid w:val="4C676029"/>
    <w:rsid w:val="4C887E05"/>
    <w:rsid w:val="4CB44B77"/>
    <w:rsid w:val="4CB6685F"/>
    <w:rsid w:val="4CB72A04"/>
    <w:rsid w:val="4CC0176E"/>
    <w:rsid w:val="4CC367FE"/>
    <w:rsid w:val="4D063591"/>
    <w:rsid w:val="4D077F3C"/>
    <w:rsid w:val="4D123355"/>
    <w:rsid w:val="4D2A3B31"/>
    <w:rsid w:val="4D312C52"/>
    <w:rsid w:val="4D4742B5"/>
    <w:rsid w:val="4D595395"/>
    <w:rsid w:val="4D905305"/>
    <w:rsid w:val="4D964A72"/>
    <w:rsid w:val="4D9C1254"/>
    <w:rsid w:val="4E097A9E"/>
    <w:rsid w:val="4E1F570C"/>
    <w:rsid w:val="4E3046D1"/>
    <w:rsid w:val="4E342292"/>
    <w:rsid w:val="4E43266E"/>
    <w:rsid w:val="4E793892"/>
    <w:rsid w:val="4E800872"/>
    <w:rsid w:val="4EC569ED"/>
    <w:rsid w:val="4EC63D9A"/>
    <w:rsid w:val="4ED50EA1"/>
    <w:rsid w:val="4EEC050C"/>
    <w:rsid w:val="4F104EC3"/>
    <w:rsid w:val="4F2B65D8"/>
    <w:rsid w:val="4F47354A"/>
    <w:rsid w:val="4F911C54"/>
    <w:rsid w:val="4F992C76"/>
    <w:rsid w:val="4FE625E0"/>
    <w:rsid w:val="4FE62AD6"/>
    <w:rsid w:val="4FE86EC8"/>
    <w:rsid w:val="5021480F"/>
    <w:rsid w:val="50923907"/>
    <w:rsid w:val="5095420B"/>
    <w:rsid w:val="50962ECB"/>
    <w:rsid w:val="50A42E38"/>
    <w:rsid w:val="50A4577F"/>
    <w:rsid w:val="50A54F03"/>
    <w:rsid w:val="50B73D1F"/>
    <w:rsid w:val="50BD5BC9"/>
    <w:rsid w:val="50C11EEE"/>
    <w:rsid w:val="50E97CFC"/>
    <w:rsid w:val="50FA4028"/>
    <w:rsid w:val="510D65B7"/>
    <w:rsid w:val="511157AB"/>
    <w:rsid w:val="513308E8"/>
    <w:rsid w:val="5142540C"/>
    <w:rsid w:val="518832C8"/>
    <w:rsid w:val="51A0432A"/>
    <w:rsid w:val="51A86090"/>
    <w:rsid w:val="51B7396D"/>
    <w:rsid w:val="52041D74"/>
    <w:rsid w:val="522E4CC3"/>
    <w:rsid w:val="5244713B"/>
    <w:rsid w:val="52615633"/>
    <w:rsid w:val="52977FD4"/>
    <w:rsid w:val="52A25790"/>
    <w:rsid w:val="52A96B6F"/>
    <w:rsid w:val="52AA0717"/>
    <w:rsid w:val="52AC6214"/>
    <w:rsid w:val="52B45975"/>
    <w:rsid w:val="52D94AA4"/>
    <w:rsid w:val="52EA3A62"/>
    <w:rsid w:val="52F07710"/>
    <w:rsid w:val="52F50BB8"/>
    <w:rsid w:val="53097272"/>
    <w:rsid w:val="53544462"/>
    <w:rsid w:val="535A6478"/>
    <w:rsid w:val="539574B0"/>
    <w:rsid w:val="5397158E"/>
    <w:rsid w:val="53ED1CCF"/>
    <w:rsid w:val="53F32DCA"/>
    <w:rsid w:val="54013861"/>
    <w:rsid w:val="543A44C4"/>
    <w:rsid w:val="54453CD6"/>
    <w:rsid w:val="54487265"/>
    <w:rsid w:val="544D6070"/>
    <w:rsid w:val="545B7466"/>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027DF"/>
    <w:rsid w:val="55DC29B6"/>
    <w:rsid w:val="55DD4241"/>
    <w:rsid w:val="56403D5E"/>
    <w:rsid w:val="56431446"/>
    <w:rsid w:val="566B6D1E"/>
    <w:rsid w:val="566C62F9"/>
    <w:rsid w:val="56882019"/>
    <w:rsid w:val="569E129D"/>
    <w:rsid w:val="57032A2C"/>
    <w:rsid w:val="570E3CB2"/>
    <w:rsid w:val="570F5219"/>
    <w:rsid w:val="571B25E3"/>
    <w:rsid w:val="575D12B5"/>
    <w:rsid w:val="57610A87"/>
    <w:rsid w:val="576E1C2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B003E"/>
    <w:rsid w:val="589E4C5C"/>
    <w:rsid w:val="589F0489"/>
    <w:rsid w:val="58AE4F0C"/>
    <w:rsid w:val="58B85899"/>
    <w:rsid w:val="58E363A9"/>
    <w:rsid w:val="594927F9"/>
    <w:rsid w:val="59494470"/>
    <w:rsid w:val="595E1678"/>
    <w:rsid w:val="596D5BD4"/>
    <w:rsid w:val="597E3DD8"/>
    <w:rsid w:val="597F7FA7"/>
    <w:rsid w:val="59883A8B"/>
    <w:rsid w:val="59960086"/>
    <w:rsid w:val="59F738EE"/>
    <w:rsid w:val="59F80043"/>
    <w:rsid w:val="5A09252F"/>
    <w:rsid w:val="5A0B2778"/>
    <w:rsid w:val="5A2A7C7B"/>
    <w:rsid w:val="5A3E2560"/>
    <w:rsid w:val="5A4E660B"/>
    <w:rsid w:val="5A5D3B6E"/>
    <w:rsid w:val="5A637A76"/>
    <w:rsid w:val="5A6D33BA"/>
    <w:rsid w:val="5A792B1F"/>
    <w:rsid w:val="5A874767"/>
    <w:rsid w:val="5AA85BE2"/>
    <w:rsid w:val="5AAD6F28"/>
    <w:rsid w:val="5AB741B0"/>
    <w:rsid w:val="5AC02935"/>
    <w:rsid w:val="5AD63A24"/>
    <w:rsid w:val="5B2E1A1D"/>
    <w:rsid w:val="5B843A1C"/>
    <w:rsid w:val="5B873E3F"/>
    <w:rsid w:val="5BA5225B"/>
    <w:rsid w:val="5BA5633B"/>
    <w:rsid w:val="5BE268F4"/>
    <w:rsid w:val="5BF136F2"/>
    <w:rsid w:val="5C02690E"/>
    <w:rsid w:val="5C044ACF"/>
    <w:rsid w:val="5C196DA7"/>
    <w:rsid w:val="5C2A048C"/>
    <w:rsid w:val="5C4A6705"/>
    <w:rsid w:val="5C645C72"/>
    <w:rsid w:val="5C80234E"/>
    <w:rsid w:val="5C8A680C"/>
    <w:rsid w:val="5CFA2255"/>
    <w:rsid w:val="5D011713"/>
    <w:rsid w:val="5D0C4701"/>
    <w:rsid w:val="5D0F0395"/>
    <w:rsid w:val="5D1F27C7"/>
    <w:rsid w:val="5D221076"/>
    <w:rsid w:val="5D397964"/>
    <w:rsid w:val="5D5A391C"/>
    <w:rsid w:val="5D5A6D1D"/>
    <w:rsid w:val="5D5C1314"/>
    <w:rsid w:val="5D5F10C0"/>
    <w:rsid w:val="5D891B7B"/>
    <w:rsid w:val="5DAD38EE"/>
    <w:rsid w:val="5DDE7CA6"/>
    <w:rsid w:val="5E006862"/>
    <w:rsid w:val="5E0207B9"/>
    <w:rsid w:val="5E1834A1"/>
    <w:rsid w:val="5E261785"/>
    <w:rsid w:val="5E4A7017"/>
    <w:rsid w:val="5E552BBA"/>
    <w:rsid w:val="5E611C10"/>
    <w:rsid w:val="5E7A0F3F"/>
    <w:rsid w:val="5EA92062"/>
    <w:rsid w:val="5EAD5F82"/>
    <w:rsid w:val="5EFC7377"/>
    <w:rsid w:val="5F012A1A"/>
    <w:rsid w:val="5F06174D"/>
    <w:rsid w:val="5F3A3602"/>
    <w:rsid w:val="5F45733B"/>
    <w:rsid w:val="5F6277C6"/>
    <w:rsid w:val="5F6D0B1D"/>
    <w:rsid w:val="5F8D0B82"/>
    <w:rsid w:val="5FA92D57"/>
    <w:rsid w:val="5FC4337D"/>
    <w:rsid w:val="5FCC5339"/>
    <w:rsid w:val="5FE34A5B"/>
    <w:rsid w:val="5FFE1E36"/>
    <w:rsid w:val="60232584"/>
    <w:rsid w:val="605864BB"/>
    <w:rsid w:val="607330CE"/>
    <w:rsid w:val="60747697"/>
    <w:rsid w:val="60825176"/>
    <w:rsid w:val="609F2AC4"/>
    <w:rsid w:val="60EA0710"/>
    <w:rsid w:val="60F36BE4"/>
    <w:rsid w:val="60FA2EE8"/>
    <w:rsid w:val="61054A27"/>
    <w:rsid w:val="610A52BC"/>
    <w:rsid w:val="611D2366"/>
    <w:rsid w:val="61421856"/>
    <w:rsid w:val="615227C4"/>
    <w:rsid w:val="61654E3F"/>
    <w:rsid w:val="6182292A"/>
    <w:rsid w:val="619F7F92"/>
    <w:rsid w:val="61A24DC9"/>
    <w:rsid w:val="61F36011"/>
    <w:rsid w:val="61F94C26"/>
    <w:rsid w:val="62000E56"/>
    <w:rsid w:val="62244584"/>
    <w:rsid w:val="624F3E49"/>
    <w:rsid w:val="62632286"/>
    <w:rsid w:val="62885958"/>
    <w:rsid w:val="62DB0C58"/>
    <w:rsid w:val="62F40B65"/>
    <w:rsid w:val="62FC2CFE"/>
    <w:rsid w:val="63024505"/>
    <w:rsid w:val="630D181D"/>
    <w:rsid w:val="635B1DB5"/>
    <w:rsid w:val="63711FED"/>
    <w:rsid w:val="63880DDC"/>
    <w:rsid w:val="638D750D"/>
    <w:rsid w:val="63AC6CC0"/>
    <w:rsid w:val="64055776"/>
    <w:rsid w:val="64240056"/>
    <w:rsid w:val="643E143A"/>
    <w:rsid w:val="648B6EEF"/>
    <w:rsid w:val="64C158BF"/>
    <w:rsid w:val="64CE2EAA"/>
    <w:rsid w:val="653B5003"/>
    <w:rsid w:val="653C3090"/>
    <w:rsid w:val="653E498B"/>
    <w:rsid w:val="657E36D4"/>
    <w:rsid w:val="6582554A"/>
    <w:rsid w:val="65854376"/>
    <w:rsid w:val="658767BE"/>
    <w:rsid w:val="65892531"/>
    <w:rsid w:val="658B44C3"/>
    <w:rsid w:val="65937B1A"/>
    <w:rsid w:val="66195831"/>
    <w:rsid w:val="66212E26"/>
    <w:rsid w:val="662E75B1"/>
    <w:rsid w:val="66342C2E"/>
    <w:rsid w:val="663E784C"/>
    <w:rsid w:val="66551A38"/>
    <w:rsid w:val="668B6A45"/>
    <w:rsid w:val="67003515"/>
    <w:rsid w:val="672F3F24"/>
    <w:rsid w:val="673E055F"/>
    <w:rsid w:val="675255B9"/>
    <w:rsid w:val="67551CE3"/>
    <w:rsid w:val="67973525"/>
    <w:rsid w:val="679C4EB7"/>
    <w:rsid w:val="67A22552"/>
    <w:rsid w:val="67B22DCC"/>
    <w:rsid w:val="67BE71AA"/>
    <w:rsid w:val="67D1473A"/>
    <w:rsid w:val="67D90273"/>
    <w:rsid w:val="67DE5875"/>
    <w:rsid w:val="67E55852"/>
    <w:rsid w:val="67E81E4D"/>
    <w:rsid w:val="67EB1AB4"/>
    <w:rsid w:val="67FA1285"/>
    <w:rsid w:val="6841372C"/>
    <w:rsid w:val="68551F4F"/>
    <w:rsid w:val="687C10C9"/>
    <w:rsid w:val="68840C16"/>
    <w:rsid w:val="68876EFB"/>
    <w:rsid w:val="68884654"/>
    <w:rsid w:val="689F444F"/>
    <w:rsid w:val="68B13948"/>
    <w:rsid w:val="68B96DBB"/>
    <w:rsid w:val="68CA2805"/>
    <w:rsid w:val="68CB6516"/>
    <w:rsid w:val="68E937A3"/>
    <w:rsid w:val="6923492B"/>
    <w:rsid w:val="693E15D3"/>
    <w:rsid w:val="69627681"/>
    <w:rsid w:val="6977531D"/>
    <w:rsid w:val="699B6A4B"/>
    <w:rsid w:val="69CC2BFF"/>
    <w:rsid w:val="69FD55B8"/>
    <w:rsid w:val="6A0B1C62"/>
    <w:rsid w:val="6A2406C8"/>
    <w:rsid w:val="6A8F2B46"/>
    <w:rsid w:val="6AAA2965"/>
    <w:rsid w:val="6ADE0BD1"/>
    <w:rsid w:val="6AE96859"/>
    <w:rsid w:val="6AFC4937"/>
    <w:rsid w:val="6B147746"/>
    <w:rsid w:val="6B24787C"/>
    <w:rsid w:val="6B3D5CD6"/>
    <w:rsid w:val="6B4B0607"/>
    <w:rsid w:val="6B573233"/>
    <w:rsid w:val="6B5B6274"/>
    <w:rsid w:val="6B935D53"/>
    <w:rsid w:val="6BA45E0C"/>
    <w:rsid w:val="6BEB1F0C"/>
    <w:rsid w:val="6BF40694"/>
    <w:rsid w:val="6C103649"/>
    <w:rsid w:val="6C196F71"/>
    <w:rsid w:val="6C226FCB"/>
    <w:rsid w:val="6C31226F"/>
    <w:rsid w:val="6C552F0B"/>
    <w:rsid w:val="6C834915"/>
    <w:rsid w:val="6C8C67B7"/>
    <w:rsid w:val="6C8E2897"/>
    <w:rsid w:val="6C9D744C"/>
    <w:rsid w:val="6CCA2A8D"/>
    <w:rsid w:val="6CD0675A"/>
    <w:rsid w:val="6CFE67A8"/>
    <w:rsid w:val="6D167928"/>
    <w:rsid w:val="6D1D5AB8"/>
    <w:rsid w:val="6D26299B"/>
    <w:rsid w:val="6D464F20"/>
    <w:rsid w:val="6D4772EC"/>
    <w:rsid w:val="6D4857BF"/>
    <w:rsid w:val="6D9078AF"/>
    <w:rsid w:val="6DAA3FEF"/>
    <w:rsid w:val="6DC0172B"/>
    <w:rsid w:val="6DCB690C"/>
    <w:rsid w:val="6DD41A5B"/>
    <w:rsid w:val="6DF43C2E"/>
    <w:rsid w:val="6DF51CA3"/>
    <w:rsid w:val="6E1E4A95"/>
    <w:rsid w:val="6E8335BD"/>
    <w:rsid w:val="6E8E12EF"/>
    <w:rsid w:val="6E972936"/>
    <w:rsid w:val="6EAA1C6A"/>
    <w:rsid w:val="6EAF2826"/>
    <w:rsid w:val="6ED446C5"/>
    <w:rsid w:val="6F2A7D94"/>
    <w:rsid w:val="6F2E648F"/>
    <w:rsid w:val="6F604F77"/>
    <w:rsid w:val="6F8331F1"/>
    <w:rsid w:val="6FA94F5C"/>
    <w:rsid w:val="6FAE1A09"/>
    <w:rsid w:val="6FD75BF8"/>
    <w:rsid w:val="704A1E1E"/>
    <w:rsid w:val="707723D0"/>
    <w:rsid w:val="70F5661B"/>
    <w:rsid w:val="71360107"/>
    <w:rsid w:val="713B688E"/>
    <w:rsid w:val="71A502EB"/>
    <w:rsid w:val="71D236B7"/>
    <w:rsid w:val="71D43752"/>
    <w:rsid w:val="71F1796A"/>
    <w:rsid w:val="71F63E6A"/>
    <w:rsid w:val="72154626"/>
    <w:rsid w:val="72262B5D"/>
    <w:rsid w:val="72283FF7"/>
    <w:rsid w:val="722E7212"/>
    <w:rsid w:val="723A0474"/>
    <w:rsid w:val="725923E4"/>
    <w:rsid w:val="72864BF7"/>
    <w:rsid w:val="729023FC"/>
    <w:rsid w:val="72936E59"/>
    <w:rsid w:val="72B577E9"/>
    <w:rsid w:val="72B654DE"/>
    <w:rsid w:val="73A834D9"/>
    <w:rsid w:val="73C0646E"/>
    <w:rsid w:val="73DE21CB"/>
    <w:rsid w:val="73E32E5F"/>
    <w:rsid w:val="741A2DE7"/>
    <w:rsid w:val="742222F5"/>
    <w:rsid w:val="7431692A"/>
    <w:rsid w:val="74476126"/>
    <w:rsid w:val="74490107"/>
    <w:rsid w:val="74566390"/>
    <w:rsid w:val="74706664"/>
    <w:rsid w:val="747F3682"/>
    <w:rsid w:val="749C4185"/>
    <w:rsid w:val="74F71921"/>
    <w:rsid w:val="75067759"/>
    <w:rsid w:val="752E6DCD"/>
    <w:rsid w:val="754E0E15"/>
    <w:rsid w:val="7551380D"/>
    <w:rsid w:val="75600BE5"/>
    <w:rsid w:val="7564475C"/>
    <w:rsid w:val="7583797F"/>
    <w:rsid w:val="75CE1F56"/>
    <w:rsid w:val="75D20F1D"/>
    <w:rsid w:val="75DA2C18"/>
    <w:rsid w:val="75F54412"/>
    <w:rsid w:val="75FF0A9B"/>
    <w:rsid w:val="761C7166"/>
    <w:rsid w:val="761D08E0"/>
    <w:rsid w:val="762B73A9"/>
    <w:rsid w:val="76381FD0"/>
    <w:rsid w:val="7647482B"/>
    <w:rsid w:val="765D347C"/>
    <w:rsid w:val="767A4FF2"/>
    <w:rsid w:val="76826699"/>
    <w:rsid w:val="76B1006A"/>
    <w:rsid w:val="76C87133"/>
    <w:rsid w:val="76CD08D5"/>
    <w:rsid w:val="76DB4B92"/>
    <w:rsid w:val="77052AA4"/>
    <w:rsid w:val="770B3029"/>
    <w:rsid w:val="77136511"/>
    <w:rsid w:val="771E7AA0"/>
    <w:rsid w:val="77340A39"/>
    <w:rsid w:val="77351FD0"/>
    <w:rsid w:val="77472422"/>
    <w:rsid w:val="777F31F2"/>
    <w:rsid w:val="778D20C9"/>
    <w:rsid w:val="77CF2D34"/>
    <w:rsid w:val="77D1700D"/>
    <w:rsid w:val="77EC04CC"/>
    <w:rsid w:val="78023808"/>
    <w:rsid w:val="78082ECE"/>
    <w:rsid w:val="78775729"/>
    <w:rsid w:val="78802ABA"/>
    <w:rsid w:val="78A42DB0"/>
    <w:rsid w:val="78A656AB"/>
    <w:rsid w:val="78B2245C"/>
    <w:rsid w:val="78E172CC"/>
    <w:rsid w:val="78EA1D1F"/>
    <w:rsid w:val="7904172F"/>
    <w:rsid w:val="790F7E27"/>
    <w:rsid w:val="79270BDC"/>
    <w:rsid w:val="792A231A"/>
    <w:rsid w:val="79316829"/>
    <w:rsid w:val="797E66A9"/>
    <w:rsid w:val="798C015E"/>
    <w:rsid w:val="79A97383"/>
    <w:rsid w:val="79E27E8B"/>
    <w:rsid w:val="79F850CE"/>
    <w:rsid w:val="79FD443C"/>
    <w:rsid w:val="7A0F2D0C"/>
    <w:rsid w:val="7A1A1622"/>
    <w:rsid w:val="7A1D1975"/>
    <w:rsid w:val="7A3E5150"/>
    <w:rsid w:val="7A4670D6"/>
    <w:rsid w:val="7A534B63"/>
    <w:rsid w:val="7A615382"/>
    <w:rsid w:val="7A67303B"/>
    <w:rsid w:val="7A977274"/>
    <w:rsid w:val="7AA02113"/>
    <w:rsid w:val="7AAB1D04"/>
    <w:rsid w:val="7ABA4368"/>
    <w:rsid w:val="7AD05746"/>
    <w:rsid w:val="7ADB2FDA"/>
    <w:rsid w:val="7ADD2219"/>
    <w:rsid w:val="7B0F7DB0"/>
    <w:rsid w:val="7B257FFD"/>
    <w:rsid w:val="7B2B795F"/>
    <w:rsid w:val="7B343476"/>
    <w:rsid w:val="7B5A2978"/>
    <w:rsid w:val="7B5A7E4C"/>
    <w:rsid w:val="7B667AF9"/>
    <w:rsid w:val="7B7468F8"/>
    <w:rsid w:val="7BA46062"/>
    <w:rsid w:val="7BC8542A"/>
    <w:rsid w:val="7BD43C3E"/>
    <w:rsid w:val="7BEE0103"/>
    <w:rsid w:val="7C0206DA"/>
    <w:rsid w:val="7C0A0FE4"/>
    <w:rsid w:val="7C254906"/>
    <w:rsid w:val="7C392FCB"/>
    <w:rsid w:val="7C590818"/>
    <w:rsid w:val="7C7C10F6"/>
    <w:rsid w:val="7C853BEA"/>
    <w:rsid w:val="7C881368"/>
    <w:rsid w:val="7C94628D"/>
    <w:rsid w:val="7CE27788"/>
    <w:rsid w:val="7D0357E5"/>
    <w:rsid w:val="7D0C32F1"/>
    <w:rsid w:val="7D0F408D"/>
    <w:rsid w:val="7D491C6C"/>
    <w:rsid w:val="7D5429C0"/>
    <w:rsid w:val="7D586EFA"/>
    <w:rsid w:val="7D6E6D43"/>
    <w:rsid w:val="7D7069D2"/>
    <w:rsid w:val="7DB57A34"/>
    <w:rsid w:val="7DD24CD9"/>
    <w:rsid w:val="7DE60973"/>
    <w:rsid w:val="7DE91D35"/>
    <w:rsid w:val="7DEF0916"/>
    <w:rsid w:val="7E141059"/>
    <w:rsid w:val="7E1E5218"/>
    <w:rsid w:val="7E9A4E1F"/>
    <w:rsid w:val="7EA008B3"/>
    <w:rsid w:val="7EA7723A"/>
    <w:rsid w:val="7EB973D9"/>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5"/>
    <w:autoRedefine/>
    <w:qFormat/>
    <w:uiPriority w:val="0"/>
    <w:pPr>
      <w:spacing w:line="480" w:lineRule="exact"/>
      <w:ind w:firstLine="480" w:firstLineChars="200"/>
    </w:pPr>
    <w:rPr>
      <w:rFonts w:ascii="宋体" w:hAnsi="宋体"/>
      <w:sz w:val="24"/>
    </w:rPr>
  </w:style>
  <w:style w:type="paragraph" w:styleId="27">
    <w:name w:val="envelope return"/>
    <w:basedOn w:val="1"/>
    <w:autoRedefine/>
    <w:unhideWhenUsed/>
    <w:qFormat/>
    <w:uiPriority w:val="99"/>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paragraph" w:styleId="62">
    <w:name w:val="Body Text First Indent 2"/>
    <w:basedOn w:val="26"/>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BodyText1I2"/>
    <w:basedOn w:val="81"/>
    <w:next w:val="1"/>
    <w:qFormat/>
    <w:uiPriority w:val="0"/>
    <w:pPr>
      <w:snapToGrid w:val="0"/>
      <w:spacing w:line="360" w:lineRule="auto"/>
      <w:ind w:firstLine="420" w:firstLineChars="200"/>
      <w:jc w:val="left"/>
    </w:pPr>
    <w:rPr>
      <w:kern w:val="0"/>
      <w:sz w:val="24"/>
      <w:szCs w:val="22"/>
    </w:rPr>
  </w:style>
  <w:style w:type="paragraph" w:customStyle="1" w:styleId="81">
    <w:name w:val="BodyTextIndent"/>
    <w:basedOn w:val="1"/>
    <w:qFormat/>
    <w:uiPriority w:val="0"/>
    <w:pPr>
      <w:spacing w:after="120"/>
      <w:ind w:left="420" w:leftChars="200"/>
    </w:p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70"/>
    <w:autoRedefine/>
    <w:qFormat/>
    <w:uiPriority w:val="0"/>
    <w:rPr>
      <w:rFonts w:hint="eastAsia" w:ascii="仿宋_GB2312" w:eastAsia="仿宋_GB2312" w:cs="仿宋_GB2312"/>
      <w:color w:val="000000"/>
      <w:sz w:val="22"/>
      <w:szCs w:val="22"/>
      <w:u w:val="none"/>
    </w:rPr>
  </w:style>
  <w:style w:type="character" w:customStyle="1" w:styleId="147">
    <w:name w:val="标题 6 Char"/>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8"/>
    <w:autoRedefine/>
    <w:qFormat/>
    <w:uiPriority w:val="0"/>
    <w:rPr>
      <w:rFonts w:ascii="宋体"/>
      <w:kern w:val="2"/>
      <w:sz w:val="24"/>
      <w:szCs w:val="21"/>
      <w:lang w:val="zh-CN"/>
    </w:rPr>
  </w:style>
  <w:style w:type="character" w:customStyle="1" w:styleId="182">
    <w:name w:val="标题 9 Char"/>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2"/>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2"/>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2"/>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fontstyle01"/>
    <w:basedOn w:val="70"/>
    <w:autoRedefine/>
    <w:qFormat/>
    <w:uiPriority w:val="0"/>
    <w:rPr>
      <w:rFonts w:hint="eastAsia" w:ascii="宋体" w:hAnsi="宋体" w:eastAsia="宋体"/>
      <w:color w:val="000000"/>
      <w:sz w:val="24"/>
      <w:szCs w:val="24"/>
    </w:rPr>
  </w:style>
  <w:style w:type="table" w:customStyle="1" w:styleId="965">
    <w:name w:val="Table Normal"/>
    <w:autoRedefine/>
    <w:qFormat/>
    <w:uiPriority w:val="0"/>
    <w:rPr>
      <w:rFonts w:eastAsiaTheme="minorEastAsia"/>
    </w:rPr>
    <w:tblPr>
      <w:tblCellMar>
        <w:top w:w="0" w:type="dxa"/>
        <w:left w:w="0" w:type="dxa"/>
        <w:bottom w:w="0" w:type="dxa"/>
        <w:right w:w="0" w:type="dxa"/>
      </w:tblCellMar>
    </w:tblPr>
  </w:style>
  <w:style w:type="paragraph" w:customStyle="1" w:styleId="966">
    <w:name w:val="_Style 4"/>
    <w:basedOn w:val="1"/>
    <w:autoRedefine/>
    <w:qFormat/>
    <w:uiPriority w:val="34"/>
    <w:pPr>
      <w:ind w:firstLine="420" w:firstLineChars="200"/>
    </w:pPr>
    <w:rPr>
      <w:rFonts w:eastAsia="FangSong_GB2312"/>
      <w:sz w:val="28"/>
      <w:szCs w:val="22"/>
    </w:rPr>
  </w:style>
  <w:style w:type="paragraph" w:customStyle="1" w:styleId="967">
    <w:name w:val="封面编号"/>
    <w:basedOn w:val="1"/>
    <w:autoRedefine/>
    <w:qFormat/>
    <w:uiPriority w:val="99"/>
    <w:pPr>
      <w:spacing w:line="360" w:lineRule="auto"/>
      <w:jc w:val="center"/>
    </w:pPr>
    <w:rPr>
      <w:rFonts w:ascii="黑体" w:hAnsi="宋体" w:eastAsia="黑体" w:cs="宋体"/>
      <w:b/>
      <w:bCs/>
      <w:sz w:val="38"/>
    </w:rPr>
  </w:style>
  <w:style w:type="paragraph" w:customStyle="1" w:styleId="968">
    <w:name w:val="reader-word-layer reader-word-s2-3"/>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52</Pages>
  <Words>20462</Words>
  <Characters>22205</Characters>
  <Lines>293</Lines>
  <Paragraphs>82</Paragraphs>
  <TotalTime>158</TotalTime>
  <ScaleCrop>false</ScaleCrop>
  <LinksUpToDate>false</LinksUpToDate>
  <CharactersWithSpaces>22619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crows</cp:lastModifiedBy>
  <cp:lastPrinted>2021-12-27T03:06:00Z</cp:lastPrinted>
  <dcterms:modified xsi:type="dcterms:W3CDTF">2025-06-09T05:45:21Z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eyJoZGlkIjoiNTMzZTFhODBmMmJhYWVmODZjODY1ZTllNmVlNjFjMGQiLCJ1c2VySWQiOiI0NTgzNjc2MzQifQ==</vt:lpwstr>
  </property>
</Properties>
</file>