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color w:val="auto"/>
          <w:sz w:val="24"/>
          <w:highlight w:val="none"/>
        </w:rPr>
      </w:pPr>
      <w:bookmarkStart w:id="519" w:name="_GoBack"/>
    </w:p>
    <w:p>
      <w:pPr>
        <w:spacing w:line="360" w:lineRule="auto"/>
        <w:jc w:val="center"/>
        <w:rPr>
          <w:rFonts w:hint="eastAsia" w:ascii="宋体" w:hAnsi="宋体" w:cs="宋体"/>
          <w:b/>
          <w:color w:val="auto"/>
          <w:sz w:val="24"/>
          <w:highlight w:val="none"/>
        </w:rPr>
      </w:pPr>
    </w:p>
    <w:p>
      <w:pPr>
        <w:adjustRightInd/>
        <w:spacing w:line="360" w:lineRule="auto"/>
        <w:jc w:val="center"/>
        <w:rPr>
          <w:rFonts w:hint="eastAsia" w:ascii="宋体" w:hAnsi="宋体" w:cs="宋体"/>
          <w:b/>
          <w:bCs/>
          <w:color w:val="auto"/>
          <w:sz w:val="48"/>
          <w:szCs w:val="48"/>
          <w:highlight w:val="none"/>
        </w:rPr>
      </w:pPr>
    </w:p>
    <w:p>
      <w:pPr>
        <w:adjustRightInd/>
        <w:spacing w:line="360" w:lineRule="auto"/>
        <w:jc w:val="center"/>
        <w:rPr>
          <w:rFonts w:hint="eastAsia" w:ascii="宋体" w:hAnsi="宋体" w:cs="宋体"/>
          <w:b/>
          <w:bCs/>
          <w:color w:val="auto"/>
          <w:sz w:val="44"/>
          <w:szCs w:val="44"/>
          <w:highlight w:val="none"/>
          <w:lang w:eastAsia="zh-CN"/>
        </w:rPr>
      </w:pPr>
      <w:r>
        <w:rPr>
          <w:rFonts w:hint="eastAsia" w:ascii="宋体" w:hAnsi="宋体" w:cs="宋体"/>
          <w:b/>
          <w:bCs/>
          <w:color w:val="auto"/>
          <w:sz w:val="44"/>
          <w:szCs w:val="44"/>
          <w:highlight w:val="none"/>
          <w:lang w:eastAsia="zh-CN"/>
        </w:rPr>
        <w:t>浙江省杭州第七中学转塘校区人工智能</w:t>
      </w:r>
    </w:p>
    <w:p>
      <w:pPr>
        <w:adjustRightInd/>
        <w:spacing w:line="360" w:lineRule="auto"/>
        <w:jc w:val="center"/>
        <w:rPr>
          <w:rFonts w:hint="eastAsia" w:ascii="宋体" w:hAnsi="宋体" w:eastAsia="宋体" w:cs="宋体"/>
          <w:color w:val="auto"/>
          <w:sz w:val="44"/>
          <w:szCs w:val="44"/>
          <w:highlight w:val="none"/>
          <w:lang w:eastAsia="zh-CN"/>
        </w:rPr>
      </w:pPr>
      <w:r>
        <w:rPr>
          <w:rFonts w:hint="eastAsia" w:ascii="宋体" w:hAnsi="宋体" w:cs="宋体"/>
          <w:b/>
          <w:bCs/>
          <w:color w:val="auto"/>
          <w:sz w:val="44"/>
          <w:szCs w:val="44"/>
          <w:highlight w:val="none"/>
          <w:lang w:eastAsia="zh-CN"/>
        </w:rPr>
        <w:t>教育试点二期项目</w:t>
      </w:r>
    </w:p>
    <w:p>
      <w:pPr>
        <w:adjustRightInd/>
        <w:spacing w:line="360" w:lineRule="auto"/>
        <w:jc w:val="center"/>
        <w:rPr>
          <w:rFonts w:hint="eastAsia" w:ascii="宋体" w:hAnsi="宋体" w:cs="宋体"/>
          <w:color w:val="auto"/>
          <w:sz w:val="48"/>
          <w:szCs w:val="48"/>
          <w:highlight w:val="none"/>
        </w:rPr>
      </w:pPr>
    </w:p>
    <w:p>
      <w:pPr>
        <w:pStyle w:val="10"/>
        <w:rPr>
          <w:rFonts w:hint="eastAsia" w:ascii="宋体" w:hAnsi="宋体" w:cs="宋体"/>
          <w:color w:val="auto"/>
          <w:sz w:val="48"/>
          <w:szCs w:val="48"/>
          <w:highlight w:val="none"/>
        </w:rPr>
      </w:pPr>
    </w:p>
    <w:p>
      <w:pPr>
        <w:pStyle w:val="10"/>
        <w:rPr>
          <w:rFonts w:hint="eastAsia" w:ascii="宋体" w:hAnsi="宋体" w:cs="宋体"/>
          <w:color w:val="auto"/>
          <w:sz w:val="48"/>
          <w:szCs w:val="48"/>
          <w:highlight w:val="none"/>
        </w:rPr>
      </w:pPr>
    </w:p>
    <w:p>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72"/>
          <w:szCs w:val="72"/>
          <w:highlight w:val="none"/>
        </w:rPr>
        <w:t>招标文件</w:t>
      </w:r>
      <w:r>
        <w:rPr>
          <w:rFonts w:hint="eastAsia" w:ascii="宋体" w:hAnsi="宋体" w:cs="宋体"/>
          <w:color w:val="auto"/>
          <w:sz w:val="48"/>
          <w:szCs w:val="48"/>
          <w:highlight w:val="none"/>
        </w:rPr>
        <w:t xml:space="preserve"> </w:t>
      </w:r>
    </w:p>
    <w:p>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r>
        <w:rPr>
          <w:rFonts w:hint="eastAsia" w:ascii="宋体" w:hAnsi="宋体" w:cs="宋体"/>
          <w:b/>
          <w:bCs/>
          <w:color w:val="auto"/>
          <w:sz w:val="44"/>
          <w:szCs w:val="44"/>
          <w:highlight w:val="none"/>
        </w:rPr>
        <w:t>非政府采购项目-</w:t>
      </w:r>
      <w:r>
        <w:rPr>
          <w:rFonts w:hint="eastAsia" w:ascii="宋体" w:hAnsi="宋体" w:cs="宋体"/>
          <w:b/>
          <w:color w:val="auto"/>
          <w:sz w:val="44"/>
          <w:szCs w:val="44"/>
          <w:highlight w:val="none"/>
        </w:rPr>
        <w:t>电子招投标）</w:t>
      </w:r>
    </w:p>
    <w:p>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HQZ-2025-</w:t>
      </w:r>
      <w:r>
        <w:rPr>
          <w:rFonts w:hint="eastAsia" w:ascii="宋体" w:hAnsi="宋体" w:cs="宋体"/>
          <w:color w:val="auto"/>
          <w:sz w:val="30"/>
          <w:szCs w:val="30"/>
          <w:highlight w:val="none"/>
          <w:lang w:val="en-US" w:eastAsia="zh-CN"/>
        </w:rPr>
        <w:t>005</w:t>
      </w:r>
    </w:p>
    <w:p>
      <w:pPr>
        <w:adjustRightInd/>
        <w:spacing w:line="360" w:lineRule="auto"/>
        <w:rPr>
          <w:rFonts w:hint="eastAsia" w:ascii="宋体" w:hAnsi="宋体" w:cs="宋体"/>
          <w:color w:val="auto"/>
          <w:sz w:val="28"/>
          <w:szCs w:val="20"/>
          <w:highlight w:val="none"/>
        </w:rPr>
      </w:pPr>
    </w:p>
    <w:p>
      <w:pPr>
        <w:spacing w:line="360" w:lineRule="auto"/>
        <w:jc w:val="both"/>
        <w:rPr>
          <w:rFonts w:hint="eastAsia" w:ascii="宋体" w:hAnsi="宋体" w:cs="宋体"/>
          <w:b/>
          <w:color w:val="auto"/>
          <w:sz w:val="44"/>
          <w:szCs w:val="44"/>
          <w:highlight w:val="none"/>
        </w:rPr>
      </w:pPr>
    </w:p>
    <w:p>
      <w:pPr>
        <w:spacing w:line="360" w:lineRule="auto"/>
        <w:jc w:val="both"/>
        <w:rPr>
          <w:rFonts w:hint="eastAsia" w:ascii="宋体" w:hAnsi="宋体" w:cs="宋体"/>
          <w:color w:val="auto"/>
          <w:sz w:val="24"/>
          <w:highlight w:val="none"/>
        </w:rPr>
      </w:pPr>
    </w:p>
    <w:p>
      <w:pPr>
        <w:spacing w:line="360" w:lineRule="auto"/>
        <w:rPr>
          <w:rFonts w:hint="eastAsia" w:ascii="宋体" w:hAnsi="宋体" w:cs="宋体"/>
          <w:color w:val="auto"/>
          <w:sz w:val="32"/>
          <w:szCs w:val="32"/>
          <w:highlight w:val="none"/>
        </w:rPr>
      </w:pPr>
    </w:p>
    <w:p>
      <w:pPr>
        <w:snapToGrid w:val="0"/>
        <w:spacing w:line="360" w:lineRule="auto"/>
        <w:ind w:firstLine="1920" w:firstLineChars="600"/>
        <w:jc w:val="both"/>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val="en-US" w:eastAsia="zh-CN"/>
        </w:rPr>
        <w:t>采 购 人：</w:t>
      </w:r>
      <w:r>
        <w:rPr>
          <w:rFonts w:hint="eastAsia" w:ascii="宋体" w:hAnsi="宋体" w:cs="宋体"/>
          <w:color w:val="auto"/>
          <w:sz w:val="32"/>
          <w:szCs w:val="32"/>
          <w:highlight w:val="none"/>
          <w:lang w:eastAsia="zh-CN"/>
        </w:rPr>
        <w:t>浙江省杭州第七中学</w:t>
      </w:r>
    </w:p>
    <w:p>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val="en-US" w:eastAsia="zh-CN"/>
        </w:rPr>
        <w:t xml:space="preserve">     采购代理：</w:t>
      </w:r>
      <w:r>
        <w:rPr>
          <w:rFonts w:hint="eastAsia" w:ascii="宋体" w:hAnsi="宋体" w:cs="宋体"/>
          <w:bCs/>
          <w:color w:val="auto"/>
          <w:sz w:val="32"/>
          <w:szCs w:val="32"/>
          <w:highlight w:val="none"/>
          <w:lang w:eastAsia="zh-CN"/>
        </w:rPr>
        <w:t>浙江中际工程项目管理有限公司</w:t>
      </w:r>
    </w:p>
    <w:p>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27"/>
        <w:rPr>
          <w:color w:val="auto"/>
          <w:highlight w:val="none"/>
        </w:rPr>
      </w:pPr>
    </w:p>
    <w:p>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hint="eastAsia" w:ascii="宋体" w:hAnsi="宋体" w:cs="宋体"/>
          <w:color w:val="auto"/>
          <w:sz w:val="32"/>
          <w:szCs w:val="32"/>
          <w:highlight w:val="none"/>
        </w:rPr>
      </w:pPr>
    </w:p>
    <w:p>
      <w:pPr>
        <w:spacing w:line="360" w:lineRule="auto"/>
        <w:rPr>
          <w:rFonts w:hint="eastAsia" w:ascii="宋体" w:hAnsi="宋体" w:cs="宋体"/>
          <w:color w:val="auto"/>
          <w:sz w:val="32"/>
          <w:szCs w:val="32"/>
          <w:highlight w:val="none"/>
        </w:rPr>
      </w:pPr>
    </w:p>
    <w:p>
      <w:pPr>
        <w:spacing w:line="360" w:lineRule="auto"/>
        <w:ind w:firstLine="2560" w:firstLineChars="8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2560" w:firstLineChars="8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2560" w:firstLineChars="8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2560" w:firstLineChars="8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2560" w:firstLineChars="8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2560" w:firstLineChars="8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adjustRightInd/>
        <w:spacing w:line="360" w:lineRule="auto"/>
        <w:jc w:val="center"/>
        <w:outlineLvl w:val="0"/>
        <w:rPr>
          <w:rFonts w:hint="eastAsia"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浙江省杭州第七中学转塘校区人工智能教育试点二期项目</w:t>
      </w:r>
      <w:r>
        <w:rPr>
          <w:rFonts w:hint="eastAsia" w:ascii="宋体" w:hAnsi="宋体" w:cs="宋体"/>
          <w:color w:val="auto"/>
          <w:sz w:val="24"/>
          <w:highlight w:val="none"/>
        </w:rPr>
        <w:t>招标项目的潜在投标人应在杭州市教育局非依法招标（小额）项目平台</w:t>
      </w:r>
      <w:r>
        <w:rPr>
          <w:rFonts w:hint="eastAsia" w:ascii="宋体" w:hAnsi="宋体" w:cs="宋体"/>
          <w:bCs/>
          <w:color w:val="auto"/>
          <w:sz w:val="24"/>
          <w:highlight w:val="none"/>
        </w:rPr>
        <w:t>https://hzjyg.lecaiyun.com/</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21"/>
          <w:rFonts w:hint="eastAsia" w:ascii="宋体" w:hAnsi="宋体" w:eastAsia="宋体" w:cs="宋体"/>
          <w:snapToGrid/>
          <w:color w:val="auto"/>
          <w:kern w:val="2"/>
          <w:sz w:val="24"/>
          <w:szCs w:val="24"/>
          <w:highlight w:val="none"/>
        </w:rPr>
        <w:t>获取（下载）招标文件，并于</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7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17</w:t>
      </w:r>
      <w:r>
        <w:rPr>
          <w:rFonts w:hint="eastAsia" w:ascii="宋体" w:hAnsi="宋体" w:cs="宋体"/>
          <w:color w:val="auto"/>
          <w:sz w:val="24"/>
          <w:highlight w:val="none"/>
        </w:rPr>
        <w:t>日</w:t>
      </w:r>
      <w:r>
        <w:rPr>
          <w:rFonts w:hint="eastAsia" w:ascii="宋体" w:hAnsi="宋体" w:cs="宋体"/>
          <w:color w:val="auto"/>
          <w:sz w:val="24"/>
          <w:highlight w:val="none"/>
        </w:rPr>
        <w:fldChar w:fldCharType="end"/>
      </w:r>
      <w:r>
        <w:rPr>
          <w:rFonts w:hint="eastAsia" w:ascii="宋体" w:hAnsi="宋体" w:cs="宋体"/>
          <w:color w:val="auto"/>
          <w:sz w:val="24"/>
          <w:highlight w:val="none"/>
          <w:lang w:val="en-US" w:eastAsia="zh-CN"/>
        </w:rPr>
        <w:t>13:30</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项目编号：</w:t>
      </w:r>
      <w:r>
        <w:rPr>
          <w:rFonts w:hint="eastAsia" w:ascii="宋体" w:hAnsi="宋体" w:cs="宋体"/>
          <w:color w:val="auto"/>
          <w:sz w:val="24"/>
          <w:highlight w:val="none"/>
          <w:lang w:eastAsia="zh-CN"/>
        </w:rPr>
        <w:t>HQZ-2025-</w:t>
      </w:r>
      <w:r>
        <w:rPr>
          <w:rFonts w:hint="eastAsia" w:ascii="宋体" w:hAnsi="宋体" w:cs="宋体"/>
          <w:color w:val="auto"/>
          <w:sz w:val="24"/>
          <w:highlight w:val="none"/>
          <w:lang w:val="en-US" w:eastAsia="zh-CN"/>
        </w:rPr>
        <w:t>005</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项目名称：</w:t>
      </w:r>
      <w:r>
        <w:rPr>
          <w:rFonts w:hint="eastAsia" w:ascii="宋体" w:hAnsi="宋体" w:cs="宋体"/>
          <w:color w:val="auto"/>
          <w:sz w:val="24"/>
          <w:highlight w:val="none"/>
          <w:lang w:eastAsia="zh-CN"/>
        </w:rPr>
        <w:t>浙江省杭州第七中学转塘校区人工智能教育试点二期项目</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预算金额（元）：</w:t>
      </w:r>
      <w:r>
        <w:rPr>
          <w:rFonts w:hint="eastAsia" w:ascii="宋体" w:hAnsi="宋体" w:cs="宋体"/>
          <w:color w:val="auto"/>
          <w:sz w:val="24"/>
          <w:highlight w:val="none"/>
          <w:lang w:val="en-US" w:eastAsia="zh-CN"/>
        </w:rPr>
        <w:t>800000</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最高限价（元）：</w:t>
      </w:r>
      <w:r>
        <w:rPr>
          <w:rFonts w:hint="eastAsia" w:ascii="宋体" w:hAnsi="宋体" w:cs="宋体"/>
          <w:color w:val="auto"/>
          <w:sz w:val="24"/>
          <w:highlight w:val="none"/>
          <w:lang w:val="en-US" w:eastAsia="zh-CN"/>
        </w:rPr>
        <w:t>800000</w:t>
      </w:r>
    </w:p>
    <w:p>
      <w:pPr>
        <w:pStyle w:val="6"/>
        <w:ind w:firstLine="480"/>
        <w:rPr>
          <w:rFonts w:hint="eastAsia" w:hAnsi="宋体" w:cs="宋体"/>
          <w:bCs/>
          <w:snapToGrid/>
          <w:color w:val="auto"/>
          <w:kern w:val="2"/>
          <w:sz w:val="24"/>
          <w:szCs w:val="24"/>
          <w:highlight w:val="none"/>
        </w:rPr>
      </w:pPr>
      <w:r>
        <w:rPr>
          <w:rFonts w:hint="eastAsia" w:hAnsi="宋体" w:cs="宋体"/>
          <w:color w:val="auto"/>
          <w:sz w:val="24"/>
          <w:highlight w:val="none"/>
        </w:rPr>
        <w:t>采购需求</w:t>
      </w:r>
      <w:r>
        <w:rPr>
          <w:rFonts w:hint="eastAsia" w:ascii="宋体" w:hAnsi="宋体" w:eastAsia="宋体" w:cs="宋体"/>
          <w:color w:val="auto"/>
          <w:sz w:val="24"/>
          <w:highlight w:val="none"/>
        </w:rPr>
        <w:t>：</w:t>
      </w:r>
      <w:r>
        <w:rPr>
          <w:rFonts w:hint="eastAsia" w:ascii="宋体" w:hAnsi="宋体" w:eastAsia="宋体" w:cs="宋体"/>
          <w:color w:val="auto"/>
          <w:sz w:val="24"/>
          <w:szCs w:val="20"/>
          <w:highlight w:val="none"/>
        </w:rPr>
        <w:t>本次项目建设主要内容为杭州第七中学</w:t>
      </w:r>
      <w:r>
        <w:rPr>
          <w:rFonts w:hint="eastAsia" w:ascii="宋体" w:hAnsi="宋体" w:eastAsia="宋体" w:cs="宋体"/>
          <w:color w:val="auto"/>
          <w:sz w:val="24"/>
          <w:szCs w:val="20"/>
          <w:highlight w:val="none"/>
          <w:lang w:eastAsia="zh-CN"/>
        </w:rPr>
        <w:t>转塘校区人工智能教育试点二期</w:t>
      </w:r>
      <w:r>
        <w:rPr>
          <w:rFonts w:hint="eastAsia" w:ascii="宋体" w:hAnsi="宋体" w:eastAsia="宋体" w:cs="宋体"/>
          <w:color w:val="auto"/>
          <w:sz w:val="24"/>
          <w:szCs w:val="20"/>
          <w:highlight w:val="none"/>
        </w:rPr>
        <w:t>建设所需的软件产品</w:t>
      </w:r>
      <w:r>
        <w:rPr>
          <w:rFonts w:hint="eastAsia" w:ascii="宋体" w:hAnsi="宋体" w:eastAsia="宋体" w:cs="宋体"/>
          <w:color w:val="auto"/>
          <w:sz w:val="24"/>
          <w:highlight w:val="none"/>
        </w:rPr>
        <w:t>，合同内容（包含但不仅限于所需产品的设计和优化软件产品）、测试、验收配合、技术培训、售后服务以及伴随的其他一切内容。</w:t>
      </w:r>
      <w:r>
        <w:rPr>
          <w:rFonts w:hint="eastAsia" w:hAnsi="宋体" w:cs="宋体"/>
          <w:bCs/>
          <w:snapToGrid/>
          <w:color w:val="auto"/>
          <w:kern w:val="2"/>
          <w:sz w:val="24"/>
          <w:szCs w:val="24"/>
          <w:highlight w:val="none"/>
        </w:rPr>
        <w:t>详见招标文件第三部分采购需求。</w:t>
      </w:r>
    </w:p>
    <w:p>
      <w:pPr>
        <w:pStyle w:val="6"/>
        <w:spacing w:line="360" w:lineRule="auto"/>
        <w:ind w:firstLine="480"/>
        <w:rPr>
          <w:rFonts w:hint="default" w:ascii="宋体" w:hAnsi="宋体" w:cs="宋体"/>
          <w:color w:val="auto"/>
          <w:sz w:val="24"/>
          <w:highlight w:val="none"/>
          <w:lang w:val="en-US" w:eastAsia="zh-CN"/>
        </w:rPr>
      </w:pPr>
      <w:r>
        <w:rPr>
          <w:rFonts w:hint="eastAsia" w:hAnsi="宋体" w:cs="宋体"/>
          <w:bCs/>
          <w:snapToGrid/>
          <w:color w:val="auto"/>
          <w:kern w:val="2"/>
          <w:sz w:val="24"/>
          <w:szCs w:val="24"/>
          <w:highlight w:val="none"/>
        </w:rPr>
        <w:t>合同履约期限：</w:t>
      </w:r>
      <w:r>
        <w:rPr>
          <w:rFonts w:hint="eastAsia" w:hAnsi="宋体" w:cs="宋体"/>
          <w:color w:val="auto"/>
          <w:sz w:val="24"/>
          <w:highlight w:val="none"/>
          <w:lang w:val="en-US" w:eastAsia="zh-CN"/>
        </w:rPr>
        <w:t>合同签订后60个自然日完成软件安装与开发调试，试运行30个自然日后进行终验。</w:t>
      </w:r>
    </w:p>
    <w:p>
      <w:pPr>
        <w:pStyle w:val="6"/>
        <w:spacing w:line="360" w:lineRule="auto"/>
        <w:ind w:firstLine="480"/>
        <w:rPr>
          <w:rFonts w:hint="eastAsia" w:hAnsi="宋体" w:cs="宋体"/>
          <w:b/>
          <w:color w:val="auto"/>
          <w:sz w:val="24"/>
          <w:highlight w:val="none"/>
        </w:rPr>
      </w:pPr>
      <w:r>
        <w:rPr>
          <w:rFonts w:hint="eastAsia" w:hAnsi="宋体" w:cs="宋体"/>
          <w:bCs/>
          <w:color w:val="auto"/>
          <w:sz w:val="24"/>
          <w:highlight w:val="none"/>
        </w:rPr>
        <w:t>本项目接受联合体投标：</w:t>
      </w:r>
      <w:r>
        <w:rPr>
          <w:rFonts w:hAnsi="宋体" w:cs="宋体"/>
          <w:bCs/>
          <w:color w:val="auto"/>
          <w:kern w:val="0"/>
          <w:sz w:val="24"/>
          <w:highlight w:val="none"/>
        </w:rPr>
        <w:sym w:font="Wingdings" w:char="00FE"/>
      </w:r>
      <w:r>
        <w:rPr>
          <w:rFonts w:hint="eastAsia" w:hAnsi="宋体" w:cs="宋体"/>
          <w:bCs/>
          <w:color w:val="auto"/>
          <w:sz w:val="24"/>
          <w:highlight w:val="none"/>
        </w:rPr>
        <w:t>是；</w:t>
      </w:r>
      <w:r>
        <w:rPr>
          <w:rFonts w:hAnsi="宋体" w:cs="宋体"/>
          <w:bCs/>
          <w:color w:val="auto"/>
          <w:kern w:val="0"/>
          <w:sz w:val="24"/>
          <w:highlight w:val="none"/>
        </w:rPr>
        <w:sym w:font="Wingdings" w:char="00A8"/>
      </w:r>
      <w:r>
        <w:rPr>
          <w:rFonts w:hint="eastAsia" w:hAnsi="宋体" w:cs="宋体"/>
          <w:bCs/>
          <w:color w:val="auto"/>
          <w:sz w:val="24"/>
          <w:highlight w:val="none"/>
        </w:rPr>
        <w:t>否</w:t>
      </w:r>
      <w:r>
        <w:rPr>
          <w:rFonts w:hint="eastAsia" w:hAnsi="宋体" w:cs="宋体"/>
          <w:bCs/>
          <w:color w:val="auto"/>
          <w:kern w:val="0"/>
          <w:sz w:val="24"/>
          <w:highlight w:val="none"/>
        </w:rPr>
        <w:t>。</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jc w:val="left"/>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.落实采购政策需满足的资格要求：</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kern w:val="0"/>
          <w:sz w:val="24"/>
          <w:highlight w:val="none"/>
        </w:rPr>
        <w:sym w:font="Wingdings" w:char="00A8"/>
      </w:r>
      <w:r>
        <w:rPr>
          <w:rFonts w:hint="eastAsia" w:ascii="宋体" w:hAnsi="宋体" w:cs="宋体"/>
          <w:b/>
          <w:bCs/>
          <w:color w:val="auto"/>
          <w:sz w:val="24"/>
          <w:highlight w:val="none"/>
        </w:rPr>
        <w:t>无</w:t>
      </w:r>
      <w:r>
        <w:rPr>
          <w:rFonts w:hint="eastAsia" w:ascii="宋体" w:hAnsi="宋体" w:cs="宋体"/>
          <w:b/>
          <w:bCs/>
          <w:snapToGrid w:val="0"/>
          <w:color w:val="auto"/>
          <w:kern w:val="28"/>
          <w:sz w:val="24"/>
          <w:szCs w:val="20"/>
          <w:highlight w:val="none"/>
        </w:rPr>
        <w:t>（注：不得限制大中型企业与小微企业组成联合体参与投标）；</w:t>
      </w:r>
    </w:p>
    <w:p>
      <w:pPr>
        <w:spacing w:line="360" w:lineRule="auto"/>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kern w:val="0"/>
          <w:sz w:val="24"/>
          <w:highlight w:val="none"/>
        </w:rPr>
        <w:sym w:font="Wingdings" w:char="00FE"/>
      </w:r>
      <w:r>
        <w:rPr>
          <w:rFonts w:hint="eastAsia" w:ascii="宋体" w:hAnsi="宋体" w:cs="宋体"/>
          <w:b w:val="0"/>
          <w:bCs w:val="0"/>
          <w:color w:val="auto"/>
          <w:kern w:val="0"/>
          <w:sz w:val="24"/>
          <w:highlight w:val="none"/>
        </w:rPr>
        <w:t>专</w:t>
      </w:r>
      <w:r>
        <w:rPr>
          <w:rFonts w:hint="eastAsia" w:ascii="宋体" w:hAnsi="宋体" w:cs="宋体"/>
          <w:b w:val="0"/>
          <w:bCs w:val="0"/>
          <w:color w:val="auto"/>
          <w:sz w:val="24"/>
          <w:highlight w:val="none"/>
        </w:rPr>
        <w:t>门面向中小企业</w:t>
      </w:r>
    </w:p>
    <w:p>
      <w:pPr>
        <w:spacing w:line="360" w:lineRule="auto"/>
        <w:ind w:firstLine="897" w:firstLineChars="374"/>
        <w:rPr>
          <w:rFonts w:hint="eastAsia" w:ascii="宋体" w:hAnsi="宋体" w:cs="宋体"/>
          <w:b w:val="0"/>
          <w:bCs w:val="0"/>
          <w:color w:val="auto"/>
          <w:sz w:val="24"/>
          <w:highlight w:val="none"/>
          <w:u w:val="single"/>
        </w:rPr>
      </w:pPr>
      <w:r>
        <w:rPr>
          <w:rFonts w:hint="eastAsia" w:ascii="宋体" w:hAnsi="宋体" w:cs="宋体"/>
          <w:b w:val="0"/>
          <w:bCs w:val="0"/>
          <w:color w:val="auto"/>
          <w:kern w:val="0"/>
          <w:sz w:val="24"/>
          <w:highlight w:val="none"/>
        </w:rPr>
        <w:sym w:font="Wingdings" w:char="00FE"/>
      </w:r>
      <w:r>
        <w:rPr>
          <w:rFonts w:hint="eastAsia" w:ascii="宋体" w:hAnsi="宋体" w:cs="宋体"/>
          <w:b w:val="0"/>
          <w:bCs w:val="0"/>
          <w:color w:val="auto"/>
          <w:sz w:val="24"/>
          <w:highlight w:val="none"/>
        </w:rPr>
        <w:t>货物全部由符合政策要求的中小企业制造，提供中小企业声明函；</w:t>
      </w:r>
    </w:p>
    <w:p>
      <w:pPr>
        <w:spacing w:line="360" w:lineRule="auto"/>
        <w:ind w:firstLine="897" w:firstLineChars="374"/>
        <w:rPr>
          <w:rFonts w:hint="eastAsia" w:ascii="宋体" w:hAnsi="宋体" w:cs="宋体"/>
          <w:color w:val="auto"/>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sz w:val="24"/>
          <w:highlight w:val="none"/>
        </w:rPr>
        <w:t>货物全部由符合政策要求的小微企业制造，提供中小企业声明函。</w:t>
      </w:r>
    </w:p>
    <w:p>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pPr>
        <w:numPr>
          <w:ilvl w:val="0"/>
          <w:numId w:val="0"/>
        </w:numPr>
        <w:spacing w:line="360" w:lineRule="auto"/>
        <w:ind w:left="0" w:leftChars="0" w:firstLine="422" w:firstLineChars="175"/>
        <w:rPr>
          <w:rFonts w:hint="eastAsia" w:ascii="宋体" w:hAnsi="宋体" w:cs="宋体"/>
          <w:b/>
          <w:bCs/>
          <w:color w:val="auto"/>
          <w:sz w:val="24"/>
          <w:highlight w:val="none"/>
          <w:lang w:val="en-US" w:eastAsia="zh-CN"/>
        </w:rPr>
      </w:pPr>
      <w:r>
        <w:rPr>
          <w:rFonts w:hint="eastAsia" w:ascii="宋体" w:hAnsi="宋体" w:cs="宋体"/>
          <w:b/>
          <w:bCs/>
          <w:color w:val="auto"/>
          <w:kern w:val="0"/>
          <w:sz w:val="24"/>
          <w:highlight w:val="none"/>
        </w:rPr>
        <w:sym w:font="Wingdings" w:char="00FE"/>
      </w:r>
      <w:r>
        <w:rPr>
          <w:rFonts w:hint="eastAsia" w:ascii="宋体" w:hAnsi="宋体" w:cs="宋体"/>
          <w:b/>
          <w:bCs/>
          <w:color w:val="auto"/>
          <w:sz w:val="24"/>
          <w:highlight w:val="none"/>
          <w:lang w:val="en-US" w:eastAsia="zh-CN"/>
        </w:rPr>
        <w:t>无。</w:t>
      </w:r>
    </w:p>
    <w:p>
      <w:pPr>
        <w:numPr>
          <w:ilvl w:val="0"/>
          <w:numId w:val="0"/>
        </w:numPr>
        <w:spacing w:line="360" w:lineRule="auto"/>
        <w:ind w:left="0" w:leftChars="0" w:firstLine="420" w:firstLineChars="175"/>
        <w:rPr>
          <w:rFonts w:hint="eastAsia" w:ascii="宋体" w:hAnsi="宋体" w:cs="宋体"/>
          <w:color w:val="auto"/>
          <w:sz w:val="24"/>
          <w:highlight w:val="none"/>
        </w:rPr>
      </w:pP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单位负责人为同一人或者存在直接控股、管理关系的不同投标人，不得参加同一合同项下的采购活动；为采购项目提供整体设计、规范编制或者项目管理、监理、检测等服务后不得再参加该采购项目的其他采购活动。</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时间：</w:t>
      </w:r>
      <w:r>
        <w:rPr>
          <w:rFonts w:hint="eastAsia" w:ascii="宋体" w:hAnsi="宋体" w:cs="宋体"/>
          <w:bCs/>
          <w:color w:val="auto"/>
          <w:sz w:val="24"/>
          <w:highlight w:val="none"/>
          <w:lang w:val="en-US" w:eastAsia="zh-CN"/>
        </w:rPr>
        <w:t>即日起</w:t>
      </w:r>
      <w:r>
        <w:rPr>
          <w:rFonts w:hint="eastAsia" w:ascii="宋体" w:hAnsi="宋体" w:cs="宋体"/>
          <w:bCs/>
          <w:color w:val="auto"/>
          <w:sz w:val="24"/>
          <w:highlight w:val="none"/>
        </w:rPr>
        <w:t>至202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color w:val="auto"/>
          <w:sz w:val="24"/>
          <w:highlight w:val="none"/>
          <w:lang w:val="en-US" w:eastAsia="zh-CN"/>
        </w:rPr>
        <w:t xml:space="preserve"> 7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17 </w:t>
      </w:r>
      <w:r>
        <w:rPr>
          <w:rFonts w:hint="eastAsia" w:ascii="宋体" w:hAnsi="宋体" w:cs="宋体"/>
          <w:color w:val="auto"/>
          <w:sz w:val="24"/>
          <w:highlight w:val="none"/>
        </w:rPr>
        <w:t>日</w:t>
      </w:r>
      <w:r>
        <w:rPr>
          <w:rFonts w:hint="eastAsia" w:ascii="宋体" w:hAnsi="宋体" w:cs="宋体"/>
          <w:bCs/>
          <w:color w:val="auto"/>
          <w:sz w:val="24"/>
          <w:highlight w:val="none"/>
        </w:rPr>
        <w:t>，每天上午00:00至12:00 ，下午12:00至23:59（北京时间，线上获取法定节假日均可，线下获取文件法定节假日除外）</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地点（网址）：</w:t>
      </w:r>
      <w:r>
        <w:rPr>
          <w:rFonts w:hint="eastAsia" w:ascii="宋体" w:hAnsi="宋体" w:cs="宋体"/>
          <w:color w:val="auto"/>
          <w:sz w:val="24"/>
          <w:highlight w:val="none"/>
        </w:rPr>
        <w:t>乐采云平台（https://hzjyg.lecaiyun.com）</w:t>
      </w:r>
      <w:r>
        <w:rPr>
          <w:rFonts w:hint="eastAsia" w:ascii="宋体" w:hAnsi="宋体" w:cs="宋体"/>
          <w:bCs/>
          <w:color w:val="auto"/>
          <w:sz w:val="24"/>
          <w:highlight w:val="none"/>
        </w:rPr>
        <w:t xml:space="preserve">线上获取 </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方式：供应商登录</w:t>
      </w:r>
      <w:r>
        <w:rPr>
          <w:rFonts w:hint="eastAsia" w:ascii="宋体" w:hAnsi="宋体" w:cs="宋体"/>
          <w:color w:val="auto"/>
          <w:sz w:val="24"/>
          <w:highlight w:val="none"/>
        </w:rPr>
        <w:t>乐采云平台</w:t>
      </w:r>
      <w:r>
        <w:rPr>
          <w:rFonts w:hint="eastAsia" w:ascii="宋体" w:hAnsi="宋体" w:cs="宋体"/>
          <w:bCs/>
          <w:color w:val="auto"/>
          <w:sz w:val="24"/>
          <w:highlight w:val="none"/>
        </w:rPr>
        <w:t xml:space="preserve">https://hzjyg.lecaiyun.com/在线申请获取采购文件（进入“项目采购”应用，在获取采购文件菜单中选择项目，申请获取采购文件）  </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提交投标文件截止时间：202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7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17 </w:t>
      </w:r>
      <w:r>
        <w:rPr>
          <w:rFonts w:hint="eastAsia" w:ascii="宋体" w:hAnsi="宋体" w:cs="宋体"/>
          <w:color w:val="auto"/>
          <w:sz w:val="24"/>
          <w:highlight w:val="none"/>
        </w:rPr>
        <w:t>日</w:t>
      </w:r>
      <w:r>
        <w:rPr>
          <w:rFonts w:hint="eastAsia" w:ascii="宋体" w:hAnsi="宋体" w:cs="宋体"/>
          <w:bCs/>
          <w:color w:val="auto"/>
          <w:sz w:val="24"/>
          <w:highlight w:val="none"/>
        </w:rPr>
        <w:t xml:space="preserve"> </w:t>
      </w:r>
      <w:r>
        <w:rPr>
          <w:rFonts w:hint="eastAsia" w:ascii="宋体" w:hAnsi="宋体" w:cs="宋体"/>
          <w:bCs/>
          <w:color w:val="auto"/>
          <w:sz w:val="24"/>
          <w:highlight w:val="none"/>
          <w:lang w:val="en-US" w:eastAsia="zh-CN"/>
        </w:rPr>
        <w:t>13:30</w:t>
      </w:r>
      <w:r>
        <w:rPr>
          <w:rFonts w:hint="eastAsia" w:ascii="宋体" w:hAnsi="宋体" w:cs="宋体"/>
          <w:bCs/>
          <w:color w:val="auto"/>
          <w:sz w:val="24"/>
          <w:highlight w:val="none"/>
        </w:rPr>
        <w:t>（北京时间）</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投标地点（网址）：通过</w:t>
      </w:r>
      <w:r>
        <w:rPr>
          <w:rFonts w:hint="eastAsia" w:ascii="宋体" w:hAnsi="宋体" w:cs="宋体"/>
          <w:color w:val="auto"/>
          <w:sz w:val="24"/>
          <w:highlight w:val="none"/>
        </w:rPr>
        <w:t>乐采云平台（https://hzjyg.lecaiyun.com）</w:t>
      </w:r>
      <w:r>
        <w:rPr>
          <w:rFonts w:hint="eastAsia" w:ascii="宋体" w:hAnsi="宋体" w:cs="宋体"/>
          <w:bCs/>
          <w:color w:val="auto"/>
          <w:sz w:val="24"/>
          <w:highlight w:val="none"/>
        </w:rPr>
        <w:t xml:space="preserve">在线递交 </w:t>
      </w:r>
    </w:p>
    <w:p>
      <w:pPr>
        <w:spacing w:line="360" w:lineRule="auto"/>
        <w:ind w:firstLine="480" w:firstLineChars="200"/>
        <w:rPr>
          <w:rFonts w:hint="eastAsia" w:ascii="宋体" w:hAnsi="宋体" w:cs="宋体"/>
          <w:bCs/>
          <w:color w:val="auto"/>
          <w:sz w:val="24"/>
          <w:highlight w:val="none"/>
          <w:u w:val="single"/>
        </w:rPr>
      </w:pPr>
      <w:r>
        <w:rPr>
          <w:rFonts w:hint="eastAsia" w:ascii="宋体" w:hAnsi="宋体" w:cs="宋体"/>
          <w:bCs/>
          <w:color w:val="auto"/>
          <w:sz w:val="24"/>
          <w:highlight w:val="none"/>
        </w:rPr>
        <w:t>开标时间：202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 xml:space="preserve"> 7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17 </w:t>
      </w:r>
      <w:r>
        <w:rPr>
          <w:rFonts w:hint="eastAsia" w:ascii="宋体" w:hAnsi="宋体" w:cs="宋体"/>
          <w:color w:val="auto"/>
          <w:sz w:val="24"/>
          <w:highlight w:val="none"/>
        </w:rPr>
        <w:t>日</w:t>
      </w:r>
      <w:r>
        <w:rPr>
          <w:rFonts w:hint="eastAsia" w:ascii="宋体" w:hAnsi="宋体" w:cs="宋体"/>
          <w:bCs/>
          <w:color w:val="auto"/>
          <w:sz w:val="24"/>
          <w:highlight w:val="none"/>
        </w:rPr>
        <w:t xml:space="preserve"> </w:t>
      </w:r>
      <w:r>
        <w:rPr>
          <w:rFonts w:hint="eastAsia" w:ascii="宋体" w:hAnsi="宋体" w:cs="宋体"/>
          <w:bCs/>
          <w:color w:val="auto"/>
          <w:sz w:val="24"/>
          <w:highlight w:val="none"/>
          <w:lang w:val="en-US" w:eastAsia="zh-CN"/>
        </w:rPr>
        <w:t>13:30</w:t>
      </w:r>
      <w:r>
        <w:rPr>
          <w:rFonts w:hint="eastAsia" w:ascii="宋体" w:hAnsi="宋体" w:cs="宋体"/>
          <w:bCs/>
          <w:color w:val="auto"/>
          <w:sz w:val="24"/>
          <w:highlight w:val="none"/>
        </w:rPr>
        <w:t>（北京时间）</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开标地点（网址）：</w:t>
      </w:r>
      <w:r>
        <w:rPr>
          <w:rFonts w:hint="eastAsia" w:ascii="宋体" w:hAnsi="宋体" w:cs="宋体"/>
          <w:color w:val="auto"/>
          <w:sz w:val="24"/>
          <w:highlight w:val="none"/>
        </w:rPr>
        <w:t>乐采云平台（https://hzjyg.lecaiyun.com）</w:t>
      </w:r>
      <w:r>
        <w:rPr>
          <w:rFonts w:hint="eastAsia" w:ascii="宋体" w:hAnsi="宋体" w:cs="宋体"/>
          <w:bCs/>
          <w:color w:val="auto"/>
          <w:sz w:val="24"/>
          <w:highlight w:val="none"/>
        </w:rPr>
        <w:t>（线下：</w:t>
      </w:r>
      <w:r>
        <w:rPr>
          <w:rFonts w:hint="eastAsia" w:ascii="宋体" w:hAnsi="宋体" w:cs="宋体"/>
          <w:bCs/>
          <w:color w:val="auto"/>
          <w:sz w:val="24"/>
          <w:highlight w:val="none"/>
          <w:lang w:eastAsia="zh-CN"/>
        </w:rPr>
        <w:t>杭州市上城区富春路308号华成国际发展大厦8楼</w:t>
      </w:r>
      <w:r>
        <w:rPr>
          <w:rFonts w:hint="eastAsia" w:ascii="宋体" w:hAnsi="宋体" w:cs="宋体"/>
          <w:bCs/>
          <w:color w:val="auto"/>
          <w:sz w:val="24"/>
          <w:highlight w:val="none"/>
        </w:rPr>
        <w:t>）</w:t>
      </w:r>
    </w:p>
    <w:p>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采购监督管理部门投诉。</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2.其他事项：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乐采云平台（https://hzjyg.lecaiyun.com）”进行招投标活动，不接受纸质投标文件；②投标准备：注册账号--点击“商家入驻”，进行政府采购投应商资料填写；申领CA数字证书---申领流程详见“乐采云平台-下载专区-电子交易客户端-CA驱动和申领流程”；安装“乐采云电子交易客户端”----前往“乐采云平台-下载专区-电子交易客户端”进行下载并安装；③招标文件的获取：使用账号登录或者使用CA登录杭州市教育局非依法招标（小额）项目平台；进入“项目采购”应用，在获取采购文件菜单中选择项目，获取招标文件；④投标文件的制作：在“乐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将依托杭州市教育局非依法招标（小额）项目平台完成本项目的电子交易活动，平台不接受未按上述方式获取招标文件的供应商进行投标活动；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乐采云平台”上传递交的投标文件无法按时解密，投标人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彩云平台“服务中心-帮助文档-项目采购-操作流程-电子招投标-采购项目电子交易管理操作指南-供应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1.采购人信息</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名称：</w:t>
      </w:r>
      <w:r>
        <w:rPr>
          <w:rFonts w:hint="eastAsia" w:ascii="宋体" w:hAnsi="宋体" w:cs="宋体"/>
          <w:color w:val="auto"/>
          <w:sz w:val="24"/>
          <w:highlight w:val="none"/>
          <w:lang w:eastAsia="zh-CN"/>
        </w:rPr>
        <w:t>浙江省杭州第七中学</w:t>
      </w:r>
      <w:r>
        <w:rPr>
          <w:rFonts w:hint="eastAsia" w:ascii="宋体" w:hAnsi="宋体"/>
          <w:color w:val="auto"/>
          <w:sz w:val="24"/>
          <w:highlight w:val="none"/>
        </w:rPr>
        <w:t>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地址：</w:t>
      </w:r>
      <w:r>
        <w:rPr>
          <w:rFonts w:hint="eastAsia" w:ascii="宋体" w:hAnsi="宋体" w:cs="宋体"/>
          <w:color w:val="auto"/>
          <w:sz w:val="24"/>
          <w:highlight w:val="none"/>
          <w:lang w:eastAsia="zh-CN"/>
        </w:rPr>
        <w:t>杭州市转塘环山路1号</w:t>
      </w:r>
      <w:r>
        <w:rPr>
          <w:rFonts w:hint="eastAsia" w:ascii="宋体" w:hAnsi="宋体"/>
          <w:color w:val="auto"/>
          <w:sz w:val="24"/>
          <w:highlight w:val="none"/>
        </w:rPr>
        <w:t>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传真：/  </w:t>
      </w:r>
    </w:p>
    <w:p>
      <w:pPr>
        <w:spacing w:line="360" w:lineRule="auto"/>
        <w:ind w:firstLineChars="200"/>
        <w:rPr>
          <w:rFonts w:hint="eastAsia" w:ascii="宋体" w:hAnsi="宋体" w:eastAsia="宋体"/>
          <w:color w:val="auto"/>
          <w:sz w:val="24"/>
          <w:highlight w:val="none"/>
          <w:lang w:val="en-US" w:eastAsia="zh-CN"/>
        </w:rPr>
      </w:pPr>
      <w:r>
        <w:rPr>
          <w:rFonts w:hint="eastAsia" w:ascii="宋体" w:hAnsi="宋体"/>
          <w:color w:val="auto"/>
          <w:sz w:val="24"/>
          <w:highlight w:val="none"/>
        </w:rPr>
        <w:t>项目联系人（询问）：</w:t>
      </w:r>
      <w:r>
        <w:rPr>
          <w:rFonts w:hint="eastAsia" w:ascii="宋体" w:hAnsi="宋体"/>
          <w:color w:val="auto"/>
          <w:sz w:val="24"/>
          <w:highlight w:val="none"/>
          <w:lang w:val="en-US" w:eastAsia="zh-CN"/>
        </w:rPr>
        <w:t>唐老师</w:t>
      </w:r>
    </w:p>
    <w:p>
      <w:pPr>
        <w:spacing w:line="360" w:lineRule="auto"/>
        <w:ind w:firstLineChars="200"/>
        <w:rPr>
          <w:rFonts w:hint="eastAsia" w:ascii="宋体" w:hAnsi="宋体"/>
          <w:color w:val="auto"/>
          <w:sz w:val="24"/>
          <w:highlight w:val="none"/>
        </w:rPr>
      </w:pPr>
      <w:r>
        <w:rPr>
          <w:rFonts w:hint="eastAsia" w:ascii="宋体" w:hAnsi="宋体"/>
          <w:color w:val="auto"/>
          <w:sz w:val="24"/>
          <w:highlight w:val="none"/>
        </w:rPr>
        <w:t>项目联系方式（询问）：0571-85457232</w:t>
      </w:r>
    </w:p>
    <w:p>
      <w:pPr>
        <w:spacing w:line="360" w:lineRule="auto"/>
        <w:ind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质疑联系人：</w:t>
      </w:r>
      <w:r>
        <w:rPr>
          <w:rFonts w:hint="eastAsia" w:ascii="宋体" w:hAnsi="宋体"/>
          <w:color w:val="auto"/>
          <w:sz w:val="24"/>
          <w:highlight w:val="none"/>
          <w:lang w:val="en-US" w:eastAsia="zh-CN"/>
        </w:rPr>
        <w:t>王</w:t>
      </w:r>
      <w:r>
        <w:rPr>
          <w:rFonts w:hint="eastAsia" w:ascii="宋体" w:hAnsi="宋体" w:cs="宋体"/>
          <w:color w:val="auto"/>
          <w:sz w:val="24"/>
          <w:highlight w:val="none"/>
        </w:rPr>
        <w:t>老师</w:t>
      </w:r>
    </w:p>
    <w:p>
      <w:pPr>
        <w:spacing w:line="360" w:lineRule="auto"/>
        <w:ind w:firstLineChars="200"/>
        <w:rPr>
          <w:rFonts w:hint="eastAsia" w:ascii="宋体" w:hAnsi="宋体" w:eastAsia="宋体"/>
          <w:color w:val="auto"/>
          <w:sz w:val="24"/>
          <w:highlight w:val="none"/>
          <w:lang w:eastAsia="zh-CN"/>
        </w:rPr>
      </w:pPr>
      <w:r>
        <w:rPr>
          <w:rFonts w:hint="eastAsia" w:ascii="宋体" w:hAnsi="宋体"/>
          <w:color w:val="auto"/>
          <w:sz w:val="24"/>
          <w:highlight w:val="none"/>
        </w:rPr>
        <w:t>质疑联系方式：</w:t>
      </w:r>
      <w:r>
        <w:rPr>
          <w:rFonts w:hint="eastAsia" w:ascii="宋体" w:hAnsi="宋体" w:cs="宋体"/>
          <w:color w:val="auto"/>
          <w:sz w:val="24"/>
          <w:highlight w:val="none"/>
        </w:rPr>
        <w:t>0571-87323502</w:t>
      </w:r>
      <w:r>
        <w:rPr>
          <w:rFonts w:hint="eastAsia" w:ascii="宋体" w:hAnsi="宋体"/>
          <w:color w:val="auto"/>
          <w:sz w:val="24"/>
          <w:highlight w:val="none"/>
        </w:rPr>
        <w:t xml:space="preserve">  </w:t>
      </w:r>
      <w:r>
        <w:rPr>
          <w:rFonts w:hint="eastAsia" w:ascii="宋体" w:hAnsi="宋体"/>
          <w:color w:val="auto"/>
          <w:sz w:val="24"/>
          <w:highlight w:val="none"/>
        </w:rPr>
        <w:t>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2.采购代理机构信息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名称：</w:t>
      </w:r>
      <w:r>
        <w:rPr>
          <w:rFonts w:hint="eastAsia" w:ascii="宋体" w:hAnsi="宋体"/>
          <w:color w:val="auto"/>
          <w:sz w:val="24"/>
          <w:highlight w:val="none"/>
          <w:lang w:eastAsia="zh-CN"/>
        </w:rPr>
        <w:t>浙江中际工程项目管理有限公司</w:t>
      </w:r>
      <w:r>
        <w:rPr>
          <w:rFonts w:hint="eastAsia" w:ascii="宋体" w:hAnsi="宋体"/>
          <w:color w:val="auto"/>
          <w:sz w:val="24"/>
          <w:highlight w:val="none"/>
        </w:rPr>
        <w:t>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lang w:eastAsia="zh-CN"/>
        </w:rPr>
        <w:t>杭州市上城区富春路308号华成国际发展大厦8楼</w:t>
      </w:r>
      <w:r>
        <w:rPr>
          <w:rFonts w:hint="eastAsia" w:ascii="宋体" w:hAnsi="宋体"/>
          <w:color w:val="auto"/>
          <w:sz w:val="24"/>
          <w:highlight w:val="none"/>
        </w:rPr>
        <w:t>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传真：0571-87631300             </w:t>
      </w:r>
    </w:p>
    <w:p>
      <w:pPr>
        <w:widowControl/>
        <w:snapToGrid w:val="0"/>
        <w:spacing w:line="360" w:lineRule="auto"/>
        <w:ind w:firstLine="480" w:firstLineChars="200"/>
        <w:jc w:val="left"/>
        <w:rPr>
          <w:rFonts w:hint="eastAsia" w:ascii="宋体" w:hAnsi="宋体" w:eastAsia="宋体" w:cs="宋体"/>
          <w:snapToGrid/>
          <w:color w:val="auto"/>
          <w:sz w:val="24"/>
          <w:szCs w:val="24"/>
          <w:highlight w:val="none"/>
          <w:lang w:eastAsia="zh-CN"/>
        </w:rPr>
      </w:pPr>
      <w:r>
        <w:rPr>
          <w:rFonts w:hint="eastAsia" w:ascii="宋体" w:hAnsi="宋体" w:eastAsia="宋体" w:cs="宋体"/>
          <w:snapToGrid/>
          <w:color w:val="auto"/>
          <w:sz w:val="24"/>
          <w:szCs w:val="24"/>
          <w:highlight w:val="none"/>
        </w:rPr>
        <w:t>传    真：</w:t>
      </w:r>
      <w:r>
        <w:rPr>
          <w:rFonts w:hint="eastAsia" w:ascii="宋体" w:hAnsi="宋体" w:cs="宋体"/>
          <w:snapToGrid/>
          <w:color w:val="auto"/>
          <w:sz w:val="24"/>
          <w:szCs w:val="24"/>
          <w:highlight w:val="none"/>
          <w:lang w:eastAsia="zh-CN"/>
        </w:rPr>
        <w:t>0571-86587311</w:t>
      </w:r>
    </w:p>
    <w:p>
      <w:pPr>
        <w:widowControl/>
        <w:snapToGrid w:val="0"/>
        <w:spacing w:line="360" w:lineRule="auto"/>
        <w:ind w:firstLine="480" w:firstLineChars="200"/>
        <w:jc w:val="left"/>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项目联系人（询问）：</w:t>
      </w:r>
      <w:r>
        <w:rPr>
          <w:rFonts w:hint="eastAsia" w:ascii="宋体" w:hAnsi="宋体" w:cs="宋体"/>
          <w:snapToGrid/>
          <w:color w:val="auto"/>
          <w:sz w:val="24"/>
          <w:szCs w:val="24"/>
          <w:highlight w:val="none"/>
          <w:lang w:eastAsia="zh-CN"/>
        </w:rPr>
        <w:t>付工</w:t>
      </w:r>
      <w:r>
        <w:rPr>
          <w:rFonts w:hint="eastAsia" w:ascii="宋体" w:hAnsi="宋体" w:eastAsia="宋体" w:cs="宋体"/>
          <w:snapToGrid/>
          <w:color w:val="auto"/>
          <w:sz w:val="24"/>
          <w:szCs w:val="24"/>
          <w:highlight w:val="none"/>
        </w:rPr>
        <w:t xml:space="preserve">    </w:t>
      </w:r>
    </w:p>
    <w:p>
      <w:pPr>
        <w:widowControl/>
        <w:snapToGrid w:val="0"/>
        <w:spacing w:line="360" w:lineRule="auto"/>
        <w:ind w:firstLine="480" w:firstLineChars="200"/>
        <w:jc w:val="left"/>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项目联系方式（询问）：</w:t>
      </w:r>
      <w:r>
        <w:rPr>
          <w:rFonts w:hint="eastAsia" w:ascii="宋体" w:hAnsi="宋体" w:cs="宋体"/>
          <w:snapToGrid/>
          <w:color w:val="auto"/>
          <w:sz w:val="24"/>
          <w:szCs w:val="24"/>
          <w:highlight w:val="none"/>
          <w:lang w:eastAsia="zh-CN"/>
        </w:rPr>
        <w:t>15382363926</w:t>
      </w:r>
      <w:r>
        <w:rPr>
          <w:rFonts w:hint="eastAsia" w:ascii="宋体" w:hAnsi="宋体" w:eastAsia="宋体" w:cs="宋体"/>
          <w:snapToGrid/>
          <w:color w:val="auto"/>
          <w:sz w:val="24"/>
          <w:szCs w:val="24"/>
          <w:highlight w:val="none"/>
        </w:rPr>
        <w:t xml:space="preserve">   </w:t>
      </w:r>
    </w:p>
    <w:p>
      <w:pPr>
        <w:widowControl/>
        <w:snapToGrid w:val="0"/>
        <w:spacing w:line="360" w:lineRule="auto"/>
        <w:ind w:firstLine="480" w:firstLineChars="200"/>
        <w:jc w:val="left"/>
        <w:rPr>
          <w:rFonts w:hint="eastAsia" w:ascii="宋体" w:hAnsi="宋体" w:eastAsia="宋体" w:cs="宋体"/>
          <w:snapToGrid/>
          <w:color w:val="auto"/>
          <w:sz w:val="24"/>
          <w:szCs w:val="24"/>
          <w:highlight w:val="none"/>
          <w:lang w:eastAsia="zh-CN"/>
        </w:rPr>
      </w:pPr>
      <w:r>
        <w:rPr>
          <w:rFonts w:hint="eastAsia" w:ascii="宋体" w:hAnsi="宋体" w:eastAsia="宋体" w:cs="宋体"/>
          <w:snapToGrid/>
          <w:color w:val="auto"/>
          <w:sz w:val="24"/>
          <w:szCs w:val="24"/>
          <w:highlight w:val="none"/>
        </w:rPr>
        <w:t>质疑联系人：</w:t>
      </w:r>
      <w:r>
        <w:rPr>
          <w:rFonts w:hint="eastAsia" w:ascii="宋体" w:hAnsi="宋体" w:cs="宋体"/>
          <w:snapToGrid/>
          <w:color w:val="auto"/>
          <w:sz w:val="24"/>
          <w:szCs w:val="24"/>
          <w:highlight w:val="none"/>
          <w:lang w:eastAsia="zh-CN"/>
        </w:rPr>
        <w:t>周经理</w:t>
      </w:r>
    </w:p>
    <w:p>
      <w:pPr>
        <w:spacing w:line="360" w:lineRule="auto"/>
        <w:ind w:firstLine="480" w:firstLineChars="200"/>
        <w:rPr>
          <w:rFonts w:hint="eastAsia" w:ascii="宋体" w:hAnsi="宋体"/>
          <w:color w:val="auto"/>
          <w:sz w:val="24"/>
          <w:highlight w:val="none"/>
        </w:rPr>
      </w:pPr>
      <w:r>
        <w:rPr>
          <w:rFonts w:hint="eastAsia" w:ascii="宋体" w:hAnsi="宋体" w:eastAsia="宋体" w:cs="宋体"/>
          <w:snapToGrid/>
          <w:color w:val="auto"/>
          <w:sz w:val="24"/>
          <w:szCs w:val="24"/>
          <w:highlight w:val="none"/>
        </w:rPr>
        <w:t>质疑联系方式：</w:t>
      </w:r>
      <w:r>
        <w:rPr>
          <w:rFonts w:hint="eastAsia" w:ascii="宋体" w:hAnsi="宋体" w:cs="宋体"/>
          <w:snapToGrid/>
          <w:color w:val="auto"/>
          <w:sz w:val="24"/>
          <w:szCs w:val="24"/>
          <w:highlight w:val="none"/>
          <w:lang w:eastAsia="zh-CN"/>
        </w:rPr>
        <w:t>0571-86587316</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w:t>
      </w:r>
    </w:p>
    <w:p>
      <w:pPr>
        <w:numPr>
          <w:ilvl w:val="0"/>
          <w:numId w:val="2"/>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采购监督管理部门</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名称：</w:t>
      </w:r>
      <w:r>
        <w:rPr>
          <w:rFonts w:hint="eastAsia" w:ascii="宋体" w:hAnsi="宋体" w:cs="宋体"/>
          <w:color w:val="auto"/>
          <w:sz w:val="24"/>
          <w:highlight w:val="none"/>
          <w:lang w:eastAsia="zh-CN"/>
        </w:rPr>
        <w:t>浙江省杭州第七中学</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olor w:val="auto"/>
          <w:sz w:val="24"/>
          <w:highlight w:val="none"/>
        </w:rPr>
        <w:t>地址：</w:t>
      </w:r>
      <w:r>
        <w:rPr>
          <w:rFonts w:hint="eastAsia" w:ascii="宋体" w:hAnsi="宋体" w:cs="宋体"/>
          <w:color w:val="auto"/>
          <w:sz w:val="24"/>
          <w:highlight w:val="none"/>
          <w:lang w:eastAsia="zh-CN"/>
        </w:rPr>
        <w:t>杭州市转塘环山路1号</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传真：/</w:t>
      </w:r>
    </w:p>
    <w:p>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color w:val="auto"/>
          <w:sz w:val="24"/>
          <w:highlight w:val="none"/>
        </w:rPr>
        <w:t>联系人：郑老师</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olor w:val="auto"/>
          <w:sz w:val="24"/>
          <w:highlight w:val="none"/>
        </w:rPr>
        <w:t>联系电话：0571-87328502</w:t>
      </w:r>
    </w:p>
    <w:p>
      <w:pPr>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若对项目采购电子交易系统操作有疑问，可登录乐采云（https://hzjyg.lecaiyun.com），点击右侧咨询小采，获取采小蜜智能服务管家帮助，或拨打乐采云服务热线95763获取热线服务帮助。       </w:t>
      </w:r>
    </w:p>
    <w:p>
      <w:pPr>
        <w:spacing w:line="360" w:lineRule="auto"/>
        <w:ind w:firstLine="480" w:firstLineChars="200"/>
        <w:rPr>
          <w:rFonts w:hint="eastAsia" w:hAnsi="宋体" w:cs="宋体"/>
          <w:b/>
          <w:color w:val="auto"/>
          <w:sz w:val="36"/>
          <w:szCs w:val="20"/>
          <w:highlight w:val="none"/>
        </w:rPr>
      </w:pPr>
      <w:r>
        <w:rPr>
          <w:rFonts w:hint="eastAsia" w:ascii="宋体" w:hAnsi="宋体" w:cs="宋体"/>
          <w:color w:val="auto"/>
          <w:sz w:val="24"/>
          <w:highlight w:val="none"/>
        </w:rPr>
        <w:t>CA问题联系电话（人工）：汇信CA 400-888-4636；天谷CA 400-087-8198。</w:t>
      </w:r>
      <w:r>
        <w:rPr>
          <w:rFonts w:hint="eastAsia" w:hAnsi="宋体" w:cs="宋体"/>
          <w:b/>
          <w:color w:val="auto"/>
          <w:sz w:val="36"/>
          <w:szCs w:val="20"/>
          <w:highlight w:val="none"/>
        </w:rPr>
        <w:br w:type="page"/>
      </w:r>
    </w:p>
    <w:p>
      <w:pPr>
        <w:pStyle w:val="10"/>
        <w:spacing w:line="360" w:lineRule="auto"/>
        <w:jc w:val="center"/>
        <w:rPr>
          <w:rFonts w:hint="eastAsia" w:hAnsi="宋体" w:cs="宋体"/>
          <w:b/>
          <w:color w:val="auto"/>
          <w:sz w:val="36"/>
          <w:szCs w:val="20"/>
          <w:highlight w:val="none"/>
        </w:rPr>
      </w:pPr>
      <w:r>
        <w:rPr>
          <w:rFonts w:hint="eastAsia" w:hAnsi="宋体" w:cs="宋体"/>
          <w:b/>
          <w:color w:val="auto"/>
          <w:sz w:val="36"/>
          <w:szCs w:val="20"/>
          <w:highlight w:val="none"/>
        </w:rPr>
        <w:t>第二部分</w:t>
      </w:r>
      <w:bookmarkEnd w:id="8"/>
      <w:r>
        <w:rPr>
          <w:rFonts w:hint="eastAsia" w:hAnsi="宋体" w:cs="宋体"/>
          <w:b/>
          <w:color w:val="auto"/>
          <w:sz w:val="36"/>
          <w:szCs w:val="20"/>
          <w:highlight w:val="none"/>
        </w:rPr>
        <w:t xml:space="preserve">  投标人须知</w:t>
      </w:r>
      <w:bookmarkEnd w:id="9"/>
    </w:p>
    <w:p>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17"/>
        <w:tblW w:w="93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70"/>
        <w:gridCol w:w="2253"/>
        <w:gridCol w:w="64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25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48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numPr>
                <w:ilvl w:val="0"/>
                <w:numId w:val="3"/>
              </w:numPr>
              <w:snapToGrid w:val="0"/>
              <w:spacing w:line="360" w:lineRule="auto"/>
              <w:jc w:val="center"/>
              <w:rPr>
                <w:rFonts w:hint="eastAsia" w:ascii="宋体" w:hAnsi="宋体"/>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tcMar>
              <w:top w:w="0" w:type="dxa"/>
              <w:left w:w="28" w:type="dxa"/>
              <w:bottom w:w="0" w:type="dxa"/>
              <w:right w:w="28" w:type="dxa"/>
            </w:tcMar>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项目属性及核心产品</w:t>
            </w:r>
          </w:p>
        </w:tc>
        <w:tc>
          <w:tcPr>
            <w:tcW w:w="6485"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pPr>
              <w:spacing w:line="360" w:lineRule="auto"/>
              <w:jc w:val="left"/>
              <w:rPr>
                <w:rFonts w:hint="eastAsia" w:ascii="宋体" w:hAnsi="宋体" w:eastAsia="宋体"/>
                <w:color w:val="auto"/>
                <w:sz w:val="24"/>
                <w:highlight w:val="none"/>
                <w:lang w:val="en-US" w:eastAsia="zh-CN"/>
              </w:rPr>
            </w:pPr>
            <w:r>
              <w:rPr>
                <w:rFonts w:hint="eastAsia" w:ascii="宋体" w:hAnsi="宋体"/>
                <w:color w:val="auto"/>
                <w:sz w:val="24"/>
                <w:highlight w:val="none"/>
              </w:rPr>
              <w:t>货物类</w:t>
            </w:r>
            <w:r>
              <w:rPr>
                <w:rFonts w:hint="eastAsia" w:ascii="宋体" w:hAnsi="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采购标的及其对应的中小企业划分标准所属行业</w:t>
            </w:r>
          </w:p>
        </w:tc>
        <w:tc>
          <w:tcPr>
            <w:tcW w:w="6485" w:type="dxa"/>
            <w:tcBorders>
              <w:top w:val="single" w:color="000000" w:sz="8" w:space="0"/>
              <w:left w:val="single" w:color="000000" w:sz="2" w:space="0"/>
              <w:bottom w:val="single" w:color="000000" w:sz="8" w:space="0"/>
              <w:right w:val="single" w:color="000000" w:sz="8" w:space="0"/>
            </w:tcBorders>
            <w:vAlign w:val="center"/>
          </w:tcPr>
          <w:p>
            <w:pPr>
              <w:snapToGrid/>
              <w:spacing w:line="360" w:lineRule="auto"/>
              <w:ind w:right="0" w:rightChars="0"/>
              <w:jc w:val="left"/>
              <w:outlineLvl w:val="1"/>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1）</w:t>
            </w:r>
            <w:r>
              <w:rPr>
                <w:rFonts w:hint="eastAsia" w:ascii="宋体" w:hAnsi="宋体"/>
                <w:color w:val="auto"/>
                <w:sz w:val="24"/>
                <w:highlight w:val="none"/>
              </w:rPr>
              <w:t>标的：</w:t>
            </w:r>
            <w:r>
              <w:rPr>
                <w:rFonts w:hint="eastAsia" w:ascii="宋体" w:hAnsi="宋体"/>
                <w:color w:val="auto"/>
                <w:sz w:val="24"/>
                <w:highlight w:val="none"/>
                <w:u w:val="single"/>
                <w:lang w:val="en-US" w:eastAsia="zh-CN"/>
              </w:rPr>
              <w:t>详见《第三部分  采购需求》“</w:t>
            </w:r>
            <w:r>
              <w:rPr>
                <w:rFonts w:hint="eastAsia" w:ascii="宋体" w:hAnsi="宋体" w:cs="宋体"/>
                <w:color w:val="auto"/>
                <w:sz w:val="24"/>
                <w:highlight w:val="none"/>
                <w:u w:val="single"/>
                <w:lang w:val="en-US" w:eastAsia="zh-CN"/>
              </w:rPr>
              <w:t>项目建设内容</w:t>
            </w:r>
            <w:r>
              <w:rPr>
                <w:rFonts w:hint="eastAsia" w:ascii="宋体" w:hAnsi="宋体"/>
                <w:color w:val="auto"/>
                <w:sz w:val="24"/>
                <w:highlight w:val="none"/>
                <w:u w:val="single"/>
                <w:lang w:val="en-US" w:eastAsia="zh-CN"/>
              </w:rPr>
              <w:t>”</w:t>
            </w:r>
            <w:r>
              <w:rPr>
                <w:rFonts w:hint="eastAsia" w:ascii="宋体" w:hAnsi="宋体"/>
                <w:color w:val="auto"/>
                <w:sz w:val="24"/>
                <w:highlight w:val="none"/>
              </w:rPr>
              <w:t>；属于</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软件和信息技术服务业</w:t>
            </w:r>
            <w:r>
              <w:rPr>
                <w:rFonts w:hint="eastAsia" w:ascii="宋体" w:hAnsi="宋体"/>
                <w:color w:val="auto"/>
                <w:sz w:val="24"/>
                <w:highlight w:val="none"/>
              </w:rPr>
              <w:t>；</w:t>
            </w:r>
          </w:p>
          <w:p>
            <w:pPr>
              <w:snapToGrid w:val="0"/>
              <w:spacing w:line="360" w:lineRule="auto"/>
              <w:ind w:right="143" w:rightChars="68"/>
              <w:jc w:val="left"/>
              <w:rPr>
                <w:rFonts w:hint="eastAsia" w:ascii="宋体" w:hAnsi="宋体"/>
                <w:color w:val="auto"/>
                <w:kern w:val="0"/>
                <w:sz w:val="24"/>
                <w:highlight w:val="none"/>
                <w:u w:val="single"/>
              </w:rPr>
            </w:pPr>
            <w:r>
              <w:rPr>
                <w:rFonts w:hint="eastAsia" w:ascii="宋体" w:hAnsi="宋体"/>
                <w:color w:val="auto"/>
                <w:kern w:val="0"/>
                <w:sz w:val="24"/>
                <w:highlight w:val="none"/>
              </w:rPr>
              <w:t>根据《关于印发中小企业划型标准规定的通知》（工信部联企业〔2011〕300号）第四条规定：</w:t>
            </w:r>
            <w:r>
              <w:rPr>
                <w:rFonts w:hint="eastAsia" w:ascii="宋体" w:hAnsi="宋体"/>
                <w:color w:val="auto"/>
                <w:kern w:val="0"/>
                <w:sz w:val="24"/>
                <w:highlight w:val="none"/>
                <w:u w:val="single"/>
                <w:lang w:val="en-US" w:eastAsia="zh-CN"/>
              </w:rPr>
              <w:t>软件和信息技术服务业</w:t>
            </w:r>
            <w:r>
              <w:rPr>
                <w:rFonts w:hint="eastAsia" w:ascii="宋体" w:hAnsi="宋体"/>
                <w:color w:val="auto"/>
                <w:kern w:val="0"/>
                <w:sz w:val="24"/>
                <w:highlight w:val="none"/>
              </w:rPr>
              <w:t>行业，</w:t>
            </w:r>
            <w:r>
              <w:rPr>
                <w:rFonts w:hint="eastAsia" w:ascii="宋体" w:hAnsi="宋体" w:eastAsia="宋体" w:cs="宋体"/>
                <w:i w:val="0"/>
                <w:iCs w:val="0"/>
                <w:caps w:val="0"/>
                <w:color w:val="auto"/>
                <w:spacing w:val="0"/>
                <w:sz w:val="24"/>
                <w:szCs w:val="24"/>
                <w:highlight w:val="none"/>
                <w:u w:val="single"/>
                <w:shd w:val="clear" w:fill="FFFFFF"/>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4"/>
              <w:tabs>
                <w:tab w:val="clear" w:pos="432"/>
              </w:tabs>
              <w:rPr>
                <w:rFonts w:hint="eastAsia" w:asciiTheme="minorEastAsia" w:hAnsiTheme="minorEastAsia" w:eastAsiaTheme="minorEastAsia" w:cstheme="minorEastAsia"/>
                <w:b w:val="0"/>
                <w:bCs w:val="0"/>
                <w:color w:val="auto"/>
                <w:kern w:val="0"/>
                <w:sz w:val="24"/>
                <w:szCs w:val="22"/>
                <w:highlight w:val="none"/>
                <w:shd w:val="clear" w:color="auto" w:fill="FFFFFF" w:themeFill="background1"/>
                <w:lang w:val="en-US"/>
              </w:rPr>
            </w:pPr>
            <w:r>
              <w:rPr>
                <w:rFonts w:hint="eastAsia" w:asciiTheme="minorEastAsia" w:hAnsiTheme="minorEastAsia" w:eastAsiaTheme="minorEastAsia" w:cstheme="minorEastAsia"/>
                <w:b w:val="0"/>
                <w:bCs w:val="0"/>
                <w:color w:val="auto"/>
                <w:kern w:val="0"/>
                <w:sz w:val="24"/>
                <w:szCs w:val="22"/>
                <w:highlight w:val="none"/>
                <w:shd w:val="clear" w:color="auto" w:fill="FFFFFF" w:themeFill="background1"/>
                <w:lang w:val="en-US" w:eastAsia="zh-CN"/>
              </w:rPr>
              <w:t>（2）</w:t>
            </w:r>
            <w:r>
              <w:rPr>
                <w:rFonts w:hint="eastAsia" w:asciiTheme="minorEastAsia" w:hAnsiTheme="minorEastAsia" w:eastAsiaTheme="minorEastAsia" w:cstheme="minorEastAsia"/>
                <w:b w:val="0"/>
                <w:bCs w:val="0"/>
                <w:color w:val="auto"/>
                <w:kern w:val="0"/>
                <w:sz w:val="24"/>
                <w:szCs w:val="22"/>
                <w:highlight w:val="none"/>
                <w:shd w:val="clear" w:color="auto" w:fill="FFFFFF" w:themeFill="background1"/>
                <w:lang w:val="en-US"/>
              </w:rPr>
              <w:t>中小企业扶持力度：</w:t>
            </w:r>
          </w:p>
          <w:p>
            <w:pPr>
              <w:pStyle w:val="4"/>
              <w:tabs>
                <w:tab w:val="clear" w:pos="432"/>
              </w:tabs>
              <w:ind w:left="12" w:hanging="12" w:hangingChars="5"/>
              <w:rPr>
                <w:rFonts w:hint="eastAsia" w:asciiTheme="minorEastAsia" w:hAnsiTheme="minorEastAsia" w:eastAsiaTheme="minorEastAsia" w:cstheme="minorEastAsia"/>
                <w:b w:val="0"/>
                <w:bCs/>
                <w:color w:val="auto"/>
                <w:kern w:val="0"/>
                <w:sz w:val="24"/>
                <w:szCs w:val="22"/>
                <w:highlight w:val="none"/>
                <w:shd w:val="clear" w:color="auto" w:fill="FFFFFF" w:themeFill="background1"/>
                <w:lang w:val="en-US"/>
              </w:rPr>
            </w:pPr>
            <w:r>
              <w:rPr>
                <w:rFonts w:hint="eastAsia" w:asciiTheme="minorEastAsia" w:hAnsiTheme="minorEastAsia" w:eastAsiaTheme="minorEastAsia" w:cstheme="minorEastAsia"/>
                <w:b w:val="0"/>
                <w:bCs/>
                <w:color w:val="auto"/>
                <w:kern w:val="0"/>
                <w:sz w:val="24"/>
                <w:szCs w:val="22"/>
                <w:highlight w:val="none"/>
                <w:shd w:val="clear" w:color="auto" w:fill="FFFFFF" w:themeFill="background1"/>
              </w:rPr>
              <w:sym w:font="Wingdings" w:char="00FE"/>
            </w:r>
            <w:r>
              <w:rPr>
                <w:rFonts w:hint="eastAsia" w:asciiTheme="minorEastAsia" w:hAnsiTheme="minorEastAsia" w:eastAsiaTheme="minorEastAsia" w:cstheme="minorEastAsia"/>
                <w:b w:val="0"/>
                <w:bCs/>
                <w:color w:val="auto"/>
                <w:kern w:val="0"/>
                <w:sz w:val="24"/>
                <w:szCs w:val="22"/>
                <w:highlight w:val="none"/>
                <w:shd w:val="clear" w:color="auto" w:fill="FFFFFF" w:themeFill="background1"/>
                <w:lang w:val="en-US"/>
              </w:rPr>
              <w:t>A</w:t>
            </w:r>
            <w:r>
              <w:rPr>
                <w:rFonts w:hint="eastAsia" w:asciiTheme="minorEastAsia" w:hAnsiTheme="minorEastAsia" w:eastAsiaTheme="minorEastAsia" w:cstheme="minorEastAsia"/>
                <w:b w:val="0"/>
                <w:bCs/>
                <w:color w:val="auto"/>
                <w:kern w:val="0"/>
                <w:sz w:val="24"/>
                <w:szCs w:val="22"/>
                <w:highlight w:val="none"/>
                <w:shd w:val="clear" w:color="auto" w:fill="FFFFFF" w:themeFill="background1"/>
                <w:lang w:val="en-US"/>
              </w:rPr>
              <w:t>本项目专门面向中小企业，不做价格扶持。</w:t>
            </w:r>
          </w:p>
          <w:p>
            <w:pPr>
              <w:pStyle w:val="4"/>
              <w:tabs>
                <w:tab w:val="clear" w:pos="432"/>
              </w:tabs>
              <w:ind w:left="12" w:hanging="12" w:hangingChars="5"/>
              <w:rPr>
                <w:rFonts w:hint="eastAsia" w:asciiTheme="minorEastAsia" w:hAnsiTheme="minorEastAsia" w:eastAsiaTheme="minorEastAsia" w:cstheme="minorEastAsia"/>
                <w:b w:val="0"/>
                <w:color w:val="auto"/>
                <w:kern w:val="0"/>
                <w:sz w:val="24"/>
                <w:szCs w:val="22"/>
                <w:highlight w:val="none"/>
                <w:shd w:val="clear" w:color="auto" w:fill="FFFFFF" w:themeFill="background1"/>
                <w:lang w:val="en-US"/>
              </w:rPr>
            </w:pPr>
            <w:r>
              <w:rPr>
                <w:rFonts w:hint="eastAsia" w:asciiTheme="minorEastAsia" w:hAnsiTheme="minorEastAsia" w:eastAsiaTheme="minorEastAsia" w:cstheme="minorEastAsia"/>
                <w:b w:val="0"/>
                <w:color w:val="auto"/>
                <w:kern w:val="0"/>
                <w:sz w:val="24"/>
                <w:szCs w:val="22"/>
                <w:highlight w:val="none"/>
                <w:shd w:val="clear" w:color="auto" w:fill="FFFFFF" w:themeFill="background1"/>
              </w:rPr>
              <w:sym w:font="Wingdings" w:char="00A8"/>
            </w:r>
            <w:r>
              <w:rPr>
                <w:rFonts w:hint="eastAsia" w:asciiTheme="minorEastAsia" w:hAnsiTheme="minorEastAsia" w:eastAsiaTheme="minorEastAsia" w:cstheme="minorEastAsia"/>
                <w:b w:val="0"/>
                <w:color w:val="auto"/>
                <w:kern w:val="0"/>
                <w:sz w:val="24"/>
                <w:szCs w:val="22"/>
                <w:highlight w:val="none"/>
                <w:shd w:val="clear" w:color="auto" w:fill="FFFFFF" w:themeFill="background1"/>
                <w:lang w:val="en-US"/>
              </w:rPr>
              <w:t>B本项目预留</w:t>
            </w:r>
            <w:r>
              <w:rPr>
                <w:rFonts w:hint="eastAsia" w:asciiTheme="minorEastAsia" w:hAnsiTheme="minorEastAsia" w:eastAsiaTheme="minorEastAsia" w:cstheme="minorEastAsia"/>
                <w:b w:val="0"/>
                <w:color w:val="auto"/>
                <w:kern w:val="0"/>
                <w:sz w:val="24"/>
                <w:szCs w:val="22"/>
                <w:highlight w:val="none"/>
                <w:u w:val="single"/>
                <w:shd w:val="clear" w:color="auto" w:fill="FFFFFF" w:themeFill="background1"/>
                <w:lang w:val="en-US"/>
              </w:rPr>
              <w:t xml:space="preserve"> 40 </w:t>
            </w:r>
            <w:r>
              <w:rPr>
                <w:rFonts w:hint="eastAsia" w:asciiTheme="minorEastAsia" w:hAnsiTheme="minorEastAsia" w:eastAsiaTheme="minorEastAsia" w:cstheme="minorEastAsia"/>
                <w:b w:val="0"/>
                <w:color w:val="auto"/>
                <w:kern w:val="0"/>
                <w:sz w:val="24"/>
                <w:szCs w:val="22"/>
                <w:highlight w:val="none"/>
                <w:u w:val="single"/>
                <w:shd w:val="clear" w:color="auto" w:fill="FFFFFF" w:themeFill="background1"/>
              </w:rPr>
              <w:t>%</w:t>
            </w:r>
            <w:r>
              <w:rPr>
                <w:rFonts w:hint="eastAsia" w:asciiTheme="minorEastAsia" w:hAnsiTheme="minorEastAsia" w:eastAsiaTheme="minorEastAsia" w:cstheme="minorEastAsia"/>
                <w:b w:val="0"/>
                <w:color w:val="auto"/>
                <w:kern w:val="0"/>
                <w:sz w:val="24"/>
                <w:szCs w:val="22"/>
                <w:highlight w:val="none"/>
                <w:shd w:val="clear" w:color="auto" w:fill="FFFFFF" w:themeFill="background1"/>
                <w:lang w:val="en-US"/>
              </w:rPr>
              <w:t>份额给中小企业，其中</w:t>
            </w:r>
            <w:r>
              <w:rPr>
                <w:rFonts w:hint="eastAsia" w:asciiTheme="minorEastAsia" w:hAnsiTheme="minorEastAsia" w:eastAsiaTheme="minorEastAsia" w:cstheme="minorEastAsia"/>
                <w:b w:val="0"/>
                <w:color w:val="auto"/>
                <w:kern w:val="0"/>
                <w:sz w:val="24"/>
                <w:szCs w:val="22"/>
                <w:highlight w:val="none"/>
                <w:u w:val="single"/>
                <w:shd w:val="clear" w:color="auto" w:fill="FFFFFF" w:themeFill="background1"/>
                <w:lang w:val="en-US"/>
              </w:rPr>
              <w:t xml:space="preserve"> 70 </w:t>
            </w:r>
            <w:r>
              <w:rPr>
                <w:rFonts w:hint="eastAsia" w:asciiTheme="minorEastAsia" w:hAnsiTheme="minorEastAsia" w:eastAsiaTheme="minorEastAsia" w:cstheme="minorEastAsia"/>
                <w:b w:val="0"/>
                <w:color w:val="auto"/>
                <w:kern w:val="0"/>
                <w:sz w:val="24"/>
                <w:szCs w:val="22"/>
                <w:highlight w:val="none"/>
                <w:u w:val="single"/>
                <w:shd w:val="clear" w:color="auto" w:fill="FFFFFF" w:themeFill="background1"/>
              </w:rPr>
              <w:t>%</w:t>
            </w:r>
            <w:r>
              <w:rPr>
                <w:rFonts w:hint="eastAsia" w:asciiTheme="minorEastAsia" w:hAnsiTheme="minorEastAsia" w:eastAsiaTheme="minorEastAsia" w:cstheme="minorEastAsia"/>
                <w:b w:val="0"/>
                <w:color w:val="auto"/>
                <w:kern w:val="0"/>
                <w:sz w:val="24"/>
                <w:szCs w:val="22"/>
                <w:highlight w:val="none"/>
                <w:shd w:val="clear" w:color="auto" w:fill="FFFFFF" w:themeFill="background1"/>
                <w:lang w:val="en-US"/>
              </w:rPr>
              <w:t>给小微企业，不再做价格扶持；</w:t>
            </w:r>
          </w:p>
          <w:p>
            <w:pPr>
              <w:snapToGrid w:val="0"/>
              <w:spacing w:line="348" w:lineRule="auto"/>
              <w:rPr>
                <w:rFonts w:eastAsiaTheme="minorEastAsia"/>
                <w:color w:val="auto"/>
                <w:sz w:val="24"/>
                <w:highlight w:val="none"/>
              </w:rPr>
            </w:pPr>
            <w:r>
              <w:rPr>
                <w:rFonts w:hint="eastAsia" w:asciiTheme="minorEastAsia" w:hAnsiTheme="minorEastAsia" w:eastAsiaTheme="minorEastAsia" w:cstheme="minorEastAsia"/>
                <w:b/>
                <w:bCs w:val="0"/>
                <w:color w:val="auto"/>
                <w:kern w:val="0"/>
                <w:sz w:val="24"/>
                <w:szCs w:val="22"/>
                <w:highlight w:val="none"/>
                <w:shd w:val="clear" w:color="auto" w:fill="FFFFFF" w:themeFill="background1"/>
              </w:rPr>
              <w:sym w:font="Wingdings" w:char="00A8"/>
            </w:r>
            <w:r>
              <w:rPr>
                <w:rFonts w:hint="eastAsia" w:asciiTheme="minorEastAsia" w:hAnsiTheme="minorEastAsia" w:eastAsiaTheme="minorEastAsia" w:cstheme="minorEastAsia"/>
                <w:b w:val="0"/>
                <w:bCs/>
                <w:color w:val="auto"/>
                <w:kern w:val="0"/>
                <w:sz w:val="24"/>
                <w:szCs w:val="22"/>
                <w:highlight w:val="none"/>
                <w:shd w:val="clear" w:color="auto" w:fill="FFFFFF" w:themeFill="background1"/>
              </w:rPr>
              <w:t>C</w:t>
            </w:r>
            <w:r>
              <w:rPr>
                <w:rFonts w:hint="eastAsia" w:ascii="宋体" w:hAnsi="宋体" w:cs="宋体"/>
                <w:b w:val="0"/>
                <w:bCs/>
                <w:color w:val="auto"/>
                <w:sz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cs="宋体"/>
                <w:b w:val="0"/>
                <w:bCs/>
                <w:color w:val="auto"/>
                <w:sz w:val="24"/>
                <w:highlight w:val="none"/>
                <w:u w:val="single"/>
              </w:rPr>
              <w:t>10</w:t>
            </w:r>
            <w:r>
              <w:rPr>
                <w:rFonts w:hint="eastAsia" w:ascii="宋体" w:hAnsi="宋体" w:cs="宋体"/>
                <w:b w:val="0"/>
                <w:bCs/>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b w:val="0"/>
                <w:bCs/>
                <w:color w:val="auto"/>
                <w:sz w:val="24"/>
                <w:highlight w:val="none"/>
                <w:u w:val="single"/>
              </w:rPr>
              <w:t xml:space="preserve"> 4 </w:t>
            </w:r>
            <w:r>
              <w:rPr>
                <w:rFonts w:hint="eastAsia" w:ascii="宋体" w:hAnsi="宋体" w:cs="宋体"/>
                <w:b w:val="0"/>
                <w:bCs/>
                <w:color w:val="auto"/>
                <w:sz w:val="24"/>
                <w:highlight w:val="none"/>
              </w:rPr>
              <w:t>%的扣除，用扣除后的价格参加评审。组成联合体或者接受分包的小微企业与联合体内其他企业、分包企业之间存在直接控股、管理关系的，不享受价格扣除优惠政策。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Cs/>
                <w:color w:val="auto"/>
                <w:sz w:val="24"/>
                <w:highlight w:val="none"/>
              </w:rPr>
            </w:pPr>
            <w:r>
              <w:rPr>
                <w:rFonts w:hint="eastAsia" w:cs="宋体" w:asciiTheme="majorEastAsia" w:hAnsiTheme="majorEastAsia" w:eastAsiaTheme="majorEastAsia"/>
                <w:bCs/>
                <w:color w:val="auto"/>
                <w:kern w:val="0"/>
                <w:sz w:val="24"/>
                <w:highlight w:val="none"/>
              </w:rPr>
              <w:t>履约保证金</w:t>
            </w:r>
          </w:p>
        </w:tc>
        <w:tc>
          <w:tcPr>
            <w:tcW w:w="648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Theme="majorEastAsia" w:hAnsiTheme="majorEastAsia" w:eastAsiaTheme="majorEastAsia"/>
                <w:b w:val="0"/>
                <w:bCs w:val="0"/>
                <w:color w:val="auto"/>
                <w:sz w:val="24"/>
                <w:highlight w:val="none"/>
              </w:rPr>
            </w:pPr>
            <w:sdt>
              <w:sdtPr>
                <w:rPr>
                  <w:rFonts w:hint="eastAsia" w:hAnsi="宋体" w:cs="宋体"/>
                  <w:color w:val="auto"/>
                  <w:kern w:val="0"/>
                  <w:sz w:val="24"/>
                  <w:highlight w:val="none"/>
                </w:rPr>
                <w:id w:val="918839376"/>
              </w:sdtPr>
              <w:sdtEndPr>
                <w:rPr>
                  <w:rFonts w:hint="eastAsia" w:hAnsi="宋体" w:cs="宋体"/>
                  <w:b/>
                  <w:bCs/>
                  <w:color w:val="auto"/>
                  <w:kern w:val="0"/>
                  <w:sz w:val="24"/>
                  <w:highlight w:val="none"/>
                </w:rPr>
              </w:sdtEndPr>
              <w:sdtContent>
                <w:sdt>
                  <w:sdtPr>
                    <w:rPr>
                      <w:rFonts w:hint="eastAsia" w:hAnsi="宋体" w:cs="宋体"/>
                      <w:color w:val="auto"/>
                      <w:kern w:val="0"/>
                      <w:sz w:val="24"/>
                      <w:highlight w:val="none"/>
                    </w:rPr>
                    <w:id w:val="147470819"/>
                  </w:sdtPr>
                  <w:sdtEndPr>
                    <w:rPr>
                      <w:rFonts w:hint="eastAsia" w:hAnsi="宋体" w:cs="宋体"/>
                      <w:b/>
                      <w:bCs/>
                      <w:color w:val="auto"/>
                      <w:kern w:val="0"/>
                      <w:sz w:val="24"/>
                      <w:highlight w:val="none"/>
                    </w:rPr>
                  </w:sdtEndPr>
                  <w:sdtContent>
                    <w:r>
                      <w:rPr>
                        <w:rFonts w:hint="eastAsia" w:hAnsi="宋体" w:cs="宋体"/>
                        <w:b/>
                        <w:bCs/>
                        <w:color w:val="auto"/>
                        <w:kern w:val="0"/>
                        <w:sz w:val="24"/>
                        <w:highlight w:val="none"/>
                      </w:rPr>
                      <w:sym w:font="Wingdings" w:char="00FE"/>
                    </w:r>
                  </w:sdtContent>
                </w:sdt>
              </w:sdtContent>
            </w:sdt>
            <w:r>
              <w:rPr>
                <w:rFonts w:hint="eastAsia" w:cs="宋体" w:asciiTheme="majorEastAsia" w:hAnsiTheme="majorEastAsia" w:eastAsiaTheme="majorEastAsia"/>
                <w:b/>
                <w:bCs/>
                <w:color w:val="auto"/>
                <w:kern w:val="0"/>
                <w:sz w:val="24"/>
                <w:highlight w:val="none"/>
              </w:rPr>
              <w:t>本项目不设履约保证金；</w:t>
            </w:r>
          </w:p>
          <w:p>
            <w:pPr>
              <w:snapToGrid w:val="0"/>
              <w:spacing w:line="360" w:lineRule="auto"/>
              <w:rPr>
                <w:rFonts w:hint="eastAsia" w:ascii="宋体" w:hAnsi="宋体" w:cs="宋体"/>
                <w:bCs/>
                <w:color w:val="auto"/>
                <w:kern w:val="0"/>
                <w:sz w:val="24"/>
                <w:highlight w:val="none"/>
              </w:rPr>
            </w:pPr>
            <w:sdt>
              <w:sdtPr>
                <w:rPr>
                  <w:rFonts w:hint="eastAsia" w:hAnsi="宋体" w:cs="宋体"/>
                  <w:color w:val="auto"/>
                  <w:kern w:val="0"/>
                  <w:sz w:val="24"/>
                  <w:highlight w:val="none"/>
                </w:rPr>
                <w:id w:val="-1"/>
              </w:sdtPr>
              <w:sdtEndPr>
                <w:rPr>
                  <w:rFonts w:hint="eastAsia" w:ascii="宋体" w:hAnsi="宋体" w:eastAsia="宋体" w:cs="宋体"/>
                  <w:b w:val="0"/>
                  <w:bCs w:val="0"/>
                  <w:color w:val="auto"/>
                  <w:kern w:val="0"/>
                  <w:sz w:val="24"/>
                  <w:highlight w:val="none"/>
                </w:rPr>
              </w:sdtEndPr>
              <w:sdtContent>
                <w:r>
                  <w:rPr>
                    <w:rFonts w:hint="eastAsia" w:ascii="宋体" w:hAnsi="宋体" w:eastAsia="宋体" w:cs="宋体"/>
                    <w:b w:val="0"/>
                    <w:bCs w:val="0"/>
                    <w:color w:val="auto"/>
                    <w:kern w:val="0"/>
                    <w:sz w:val="24"/>
                    <w:highlight w:val="none"/>
                  </w:rPr>
                  <w:sym w:font="Wingdings" w:char="00A8"/>
                </w:r>
              </w:sdtContent>
            </w:sdt>
            <w:r>
              <w:rPr>
                <w:rFonts w:hint="eastAsia" w:ascii="宋体" w:hAnsi="宋体" w:eastAsia="宋体" w:cs="宋体"/>
                <w:b w:val="0"/>
                <w:bCs w:val="0"/>
                <w:color w:val="auto"/>
                <w:kern w:val="0"/>
                <w:sz w:val="24"/>
                <w:highlight w:val="none"/>
              </w:rPr>
              <w:t>中标人在合同签订后7个工作日内，须向采购人提交合同金额最高</w:t>
            </w:r>
            <w:r>
              <w:rPr>
                <w:rFonts w:hint="eastAsia" w:ascii="宋体" w:hAnsi="宋体" w:eastAsia="宋体" w:cs="宋体"/>
                <w:b w:val="0"/>
                <w:bCs w:val="0"/>
                <w:color w:val="auto"/>
                <w:kern w:val="0"/>
                <w:sz w:val="24"/>
                <w:highlight w:val="none"/>
                <w:u w:val="single"/>
              </w:rPr>
              <w:t xml:space="preserve">  %</w:t>
            </w:r>
            <w:r>
              <w:rPr>
                <w:rFonts w:hint="eastAsia" w:ascii="宋体" w:hAnsi="宋体" w:eastAsia="宋体" w:cs="宋体"/>
                <w:b w:val="0"/>
                <w:bCs w:val="0"/>
                <w:color w:val="auto"/>
                <w:kern w:val="0"/>
                <w:sz w:val="24"/>
                <w:highlight w:val="none"/>
              </w:rPr>
              <w:t>的履约保证金。履约保证金以电汇、银行汇票、转账支票或金融机构、担保机构出具的保函等非现金形式缴纳。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是否允许采购进口产品</w:t>
            </w:r>
          </w:p>
        </w:tc>
        <w:tc>
          <w:tcPr>
            <w:tcW w:w="6485"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hint="eastAsia" w:ascii="宋体" w:hAnsi="宋体" w:cs="宋体"/>
                <w:bCs/>
                <w:color w:val="auto"/>
                <w:kern w:val="0"/>
                <w:sz w:val="24"/>
                <w:highlight w:val="none"/>
              </w:rPr>
            </w:pPr>
            <w:r>
              <w:rPr>
                <w:rFonts w:hint="eastAsia" w:ascii="宋体" w:hAnsi="宋体" w:cs="宋体"/>
                <w:b/>
                <w:color w:val="auto"/>
                <w:kern w:val="0"/>
                <w:sz w:val="24"/>
                <w:highlight w:val="none"/>
              </w:rPr>
              <w:sym w:font="Wingdings" w:char="F0FE"/>
            </w:r>
            <w:r>
              <w:rPr>
                <w:rFonts w:hint="eastAsia" w:ascii="宋体" w:hAnsi="宋体" w:cs="宋体"/>
                <w:b/>
                <w:color w:val="auto"/>
                <w:kern w:val="0"/>
                <w:sz w:val="24"/>
                <w:highlight w:val="none"/>
              </w:rPr>
              <w:t>本项目不允许采购进口产品。</w:t>
            </w:r>
          </w:p>
          <w:p>
            <w:pPr>
              <w:spacing w:line="360" w:lineRule="auto"/>
              <w:jc w:val="left"/>
              <w:rPr>
                <w:rFonts w:hint="eastAsia" w:ascii="宋体" w:hAnsi="宋体" w:cs="宋体"/>
                <w:bCs/>
                <w:color w:val="auto"/>
                <w:sz w:val="24"/>
                <w:highlight w:val="none"/>
              </w:rPr>
            </w:pPr>
            <w:r>
              <w:rPr>
                <w:rFonts w:hint="eastAsia" w:ascii="宋体" w:hAnsi="宋体" w:cs="宋体"/>
                <w:bCs/>
                <w:color w:val="auto"/>
                <w:kern w:val="0"/>
                <w:sz w:val="24"/>
                <w:highlight w:val="none"/>
              </w:rPr>
              <w:t>☐可以就</w:t>
            </w:r>
            <w:r>
              <w:rPr>
                <w:rFonts w:hint="eastAsia" w:ascii="宋体" w:hAnsi="宋体" w:cs="宋体"/>
                <w:bCs/>
                <w:color w:val="auto"/>
                <w:sz w:val="24"/>
                <w:highlight w:val="none"/>
                <w:u w:val="single"/>
              </w:rPr>
              <w:t xml:space="preserve">    </w:t>
            </w:r>
            <w:r>
              <w:rPr>
                <w:rFonts w:hint="eastAsia" w:ascii="宋体" w:hAnsi="宋体" w:cs="宋体"/>
                <w:bCs/>
                <w:color w:val="auto"/>
                <w:kern w:val="0"/>
                <w:sz w:val="24"/>
                <w:highlight w:val="none"/>
              </w:rPr>
              <w:t>采购进口产品。</w:t>
            </w:r>
            <w:r>
              <w:rPr>
                <w:rFonts w:hint="eastAsia" w:ascii="宋体" w:hAnsi="宋体" w:cs="宋体"/>
                <w:color w:val="auto"/>
                <w:kern w:val="0"/>
                <w:sz w:val="24"/>
                <w:highlight w:val="none"/>
              </w:rPr>
              <w:t>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分包</w:t>
            </w:r>
          </w:p>
        </w:tc>
        <w:tc>
          <w:tcPr>
            <w:tcW w:w="6485"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hint="eastAsia" w:ascii="宋体" w:hAnsi="宋体" w:cs="宋体"/>
                <w:b/>
                <w:bCs w:val="0"/>
                <w:color w:val="auto"/>
                <w:sz w:val="24"/>
                <w:highlight w:val="none"/>
              </w:rPr>
            </w:pPr>
            <w:r>
              <w:rPr>
                <w:rFonts w:ascii="Wingdings" w:hAnsi="Wingdings" w:cs="宋体"/>
                <w:b/>
                <w:bCs w:val="0"/>
                <w:color w:val="auto"/>
                <w:kern w:val="0"/>
                <w:sz w:val="24"/>
                <w:highlight w:val="none"/>
              </w:rPr>
              <w:sym w:font="Wingdings" w:char="00FE"/>
            </w:r>
            <w:r>
              <w:rPr>
                <w:rFonts w:hint="eastAsia" w:ascii="宋体" w:hAnsi="宋体" w:cs="宋体"/>
                <w:b/>
                <w:bCs w:val="0"/>
                <w:color w:val="auto"/>
                <w:kern w:val="0"/>
                <w:sz w:val="24"/>
                <w:highlight w:val="none"/>
              </w:rPr>
              <w:t xml:space="preserve"> A经采购人</w:t>
            </w:r>
            <w:r>
              <w:rPr>
                <w:rFonts w:hint="eastAsia" w:ascii="宋体" w:hAnsi="宋体" w:cs="宋体"/>
                <w:b/>
                <w:bCs w:val="0"/>
                <w:color w:val="auto"/>
                <w:sz w:val="24"/>
                <w:highlight w:val="none"/>
              </w:rPr>
              <w:t>同意将非主体、非关键性的</w:t>
            </w:r>
            <w:r>
              <w:rPr>
                <w:rFonts w:hint="eastAsia" w:ascii="宋体" w:hAnsi="宋体" w:cs="宋体"/>
                <w:b/>
                <w:bCs w:val="0"/>
                <w:color w:val="auto"/>
                <w:sz w:val="24"/>
                <w:highlight w:val="none"/>
                <w:u w:val="single"/>
              </w:rPr>
              <w:t xml:space="preserve">   </w:t>
            </w:r>
            <w:r>
              <w:rPr>
                <w:rFonts w:hint="eastAsia" w:ascii="宋体" w:hAnsi="宋体" w:cs="宋体"/>
                <w:b/>
                <w:bCs w:val="0"/>
                <w:color w:val="auto"/>
                <w:sz w:val="24"/>
                <w:highlight w:val="none"/>
              </w:rPr>
              <w:t>工作分包。</w:t>
            </w:r>
          </w:p>
          <w:p>
            <w:pPr>
              <w:spacing w:line="360" w:lineRule="auto"/>
              <w:jc w:val="left"/>
              <w:rPr>
                <w:rFonts w:hint="eastAsia" w:ascii="宋体" w:hAnsi="宋体" w:cs="宋体"/>
                <w:b w:val="0"/>
                <w:bCs/>
                <w:color w:val="auto"/>
                <w:sz w:val="24"/>
                <w:highlight w:val="none"/>
              </w:rPr>
            </w:pPr>
            <w:r>
              <w:rPr>
                <w:rFonts w:ascii="Wingdings" w:hAnsi="Wingdings" w:cs="宋体"/>
                <w:b w:val="0"/>
                <w:bCs/>
                <w:color w:val="auto"/>
                <w:kern w:val="0"/>
                <w:sz w:val="24"/>
                <w:highlight w:val="none"/>
              </w:rPr>
              <w:sym w:font="Wingdings" w:char="00A8"/>
            </w:r>
            <w:r>
              <w:rPr>
                <w:rFonts w:hint="eastAsia" w:ascii="宋体" w:hAnsi="宋体" w:cs="宋体"/>
                <w:b w:val="0"/>
                <w:bCs/>
                <w:color w:val="auto"/>
                <w:kern w:val="0"/>
                <w:sz w:val="24"/>
                <w:highlight w:val="none"/>
              </w:rPr>
              <w:t xml:space="preserve">  B</w:t>
            </w:r>
            <w:r>
              <w:rPr>
                <w:rFonts w:hint="eastAsia" w:ascii="宋体" w:hAnsi="宋体" w:cs="宋体"/>
                <w:b w:val="0"/>
                <w:bCs/>
                <w:color w:val="auto"/>
                <w:sz w:val="24"/>
                <w:highlight w:val="none"/>
              </w:rPr>
              <w:t>不同意分包。</w:t>
            </w:r>
          </w:p>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开标前答疑会或现场考察</w:t>
            </w:r>
          </w:p>
        </w:tc>
        <w:tc>
          <w:tcPr>
            <w:tcW w:w="6485"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hint="eastAsia" w:ascii="宋体" w:hAnsi="宋体" w:cs="宋体"/>
                <w:b/>
                <w:bCs w:val="0"/>
                <w:color w:val="auto"/>
                <w:sz w:val="24"/>
                <w:highlight w:val="none"/>
              </w:rPr>
            </w:pPr>
            <w:r>
              <w:rPr>
                <w:rFonts w:hint="eastAsia" w:ascii="宋体" w:hAnsi="宋体" w:cs="宋体"/>
                <w:b/>
                <w:bCs w:val="0"/>
                <w:color w:val="auto"/>
                <w:kern w:val="0"/>
                <w:sz w:val="24"/>
                <w:highlight w:val="none"/>
              </w:rPr>
              <w:sym w:font="Wingdings" w:char="00FE"/>
            </w:r>
            <w:r>
              <w:rPr>
                <w:rFonts w:hint="eastAsia" w:ascii="宋体" w:hAnsi="宋体" w:cs="宋体"/>
                <w:b/>
                <w:bCs w:val="0"/>
                <w:color w:val="auto"/>
                <w:kern w:val="0"/>
                <w:sz w:val="24"/>
                <w:highlight w:val="none"/>
              </w:rPr>
              <w:t>A</w:t>
            </w:r>
            <w:r>
              <w:rPr>
                <w:rFonts w:hint="eastAsia" w:ascii="宋体" w:hAnsi="宋体" w:cs="宋体"/>
                <w:b/>
                <w:bCs w:val="0"/>
                <w:color w:val="auto"/>
                <w:sz w:val="24"/>
                <w:highlight w:val="none"/>
              </w:rPr>
              <w:t>不组织。</w:t>
            </w:r>
          </w:p>
          <w:p>
            <w:pPr>
              <w:spacing w:line="360" w:lineRule="auto"/>
              <w:jc w:val="left"/>
              <w:rPr>
                <w:rFonts w:hint="eastAsia" w:ascii="宋体" w:hAnsi="宋体" w:cs="宋体"/>
                <w:bCs/>
                <w:color w:val="auto"/>
                <w:sz w:val="24"/>
                <w:highlight w:val="none"/>
              </w:rPr>
            </w:pPr>
            <w:r>
              <w:rPr>
                <w:rFonts w:hint="eastAsia" w:ascii="宋体" w:hAnsi="宋体" w:cs="宋体"/>
                <w:bCs/>
                <w:color w:val="auto"/>
                <w:kern w:val="0"/>
                <w:sz w:val="24"/>
                <w:highlight w:val="none"/>
              </w:rPr>
              <w:t>☐B组织，</w:t>
            </w:r>
            <w:r>
              <w:rPr>
                <w:rFonts w:hint="eastAsia" w:ascii="宋体" w:hAnsi="宋体" w:cs="宋体"/>
                <w:bCs/>
                <w:color w:val="auto"/>
                <w:sz w:val="24"/>
                <w:highlight w:val="none"/>
              </w:rPr>
              <w:t>时间：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,地点：</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，联系人：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，联系方式：</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w:t>
            </w:r>
          </w:p>
          <w:p>
            <w:pPr>
              <w:spacing w:line="360" w:lineRule="auto"/>
              <w:jc w:val="left"/>
              <w:rPr>
                <w:rFonts w:hint="eastAsia" w:ascii="宋体" w:hAnsi="宋体" w:cs="宋体"/>
                <w:bCs/>
                <w:color w:val="auto"/>
                <w:sz w:val="24"/>
                <w:highlight w:val="none"/>
              </w:rPr>
            </w:pPr>
            <w:r>
              <w:rPr>
                <w:rFonts w:hint="eastAsia" w:ascii="宋体" w:hAnsi="宋体" w:cs="宋体"/>
                <w:b w:val="0"/>
                <w:bCs/>
                <w:color w:val="auto"/>
                <w:kern w:val="0"/>
                <w:sz w:val="24"/>
                <w:highlight w:val="none"/>
              </w:rPr>
              <w:sym w:font="Wingdings" w:char="00A8"/>
            </w:r>
            <w:r>
              <w:rPr>
                <w:rFonts w:hint="eastAsia" w:ascii="宋体" w:hAnsi="宋体" w:cs="宋体"/>
                <w:b w:val="0"/>
                <w:bCs/>
                <w:color w:val="auto"/>
                <w:sz w:val="24"/>
                <w:highlight w:val="none"/>
              </w:rPr>
              <w:t>C不统一组织，供应商在获取采购文件后，自行至项目现场考察。地点：</w:t>
            </w:r>
            <w:r>
              <w:rPr>
                <w:rFonts w:hint="eastAsia" w:ascii="宋体" w:hAnsi="宋体" w:cs="宋体"/>
                <w:b w:val="0"/>
                <w:bCs/>
                <w:color w:val="auto"/>
                <w:sz w:val="24"/>
                <w:highlight w:val="none"/>
                <w:u w:val="single"/>
                <w:lang w:val="en-US" w:eastAsia="zh-CN"/>
              </w:rPr>
              <w:t xml:space="preserve">   </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，联系人：</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u w:val="single"/>
                <w:lang w:val="en-US" w:eastAsia="zh-CN"/>
              </w:rPr>
              <w:t xml:space="preserve">  </w:t>
            </w:r>
            <w:r>
              <w:rPr>
                <w:rFonts w:hint="eastAsia" w:ascii="宋体" w:hAnsi="宋体" w:cs="宋体"/>
                <w:b w:val="0"/>
                <w:bCs/>
                <w:color w:val="auto"/>
                <w:sz w:val="24"/>
                <w:highlight w:val="none"/>
              </w:rPr>
              <w:t>，联系方式：</w:t>
            </w:r>
            <w:r>
              <w:rPr>
                <w:rFonts w:hint="eastAsia" w:ascii="宋体" w:hAnsi="宋体" w:cs="宋体"/>
                <w:b w:val="0"/>
                <w:bCs/>
                <w:color w:val="auto"/>
                <w:sz w:val="24"/>
                <w:highlight w:val="none"/>
                <w:u w:val="single"/>
                <w:lang w:val="en-US" w:eastAsia="zh-CN"/>
              </w:rPr>
              <w:t xml:space="preserve">    </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19"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样品提供</w:t>
            </w:r>
          </w:p>
        </w:tc>
        <w:tc>
          <w:tcPr>
            <w:tcW w:w="6485"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hint="eastAsia" w:ascii="宋体" w:hAnsi="宋体" w:cs="宋体"/>
                <w:b/>
                <w:bCs w:val="0"/>
                <w:color w:val="auto"/>
                <w:sz w:val="24"/>
                <w:highlight w:val="none"/>
              </w:rPr>
            </w:pPr>
            <w:r>
              <w:rPr>
                <w:rFonts w:hint="eastAsia" w:ascii="Wingdings" w:hAnsi="Wingdings" w:eastAsia="MS Gothic" w:cs="宋体"/>
                <w:b/>
                <w:bCs w:val="0"/>
                <w:color w:val="auto"/>
                <w:kern w:val="0"/>
                <w:sz w:val="24"/>
                <w:highlight w:val="none"/>
              </w:rPr>
              <w:sym w:font="Wingdings" w:char="00FE"/>
            </w:r>
            <w:r>
              <w:rPr>
                <w:rFonts w:hint="eastAsia" w:ascii="宋体" w:hAnsi="宋体" w:cs="宋体"/>
                <w:b/>
                <w:bCs w:val="0"/>
                <w:color w:val="auto"/>
                <w:kern w:val="0"/>
                <w:sz w:val="24"/>
                <w:highlight w:val="none"/>
              </w:rPr>
              <w:t>A</w:t>
            </w:r>
            <w:r>
              <w:rPr>
                <w:rFonts w:hint="eastAsia" w:ascii="宋体" w:hAnsi="宋体" w:cs="宋体"/>
                <w:b/>
                <w:bCs w:val="0"/>
                <w:color w:val="auto"/>
                <w:sz w:val="24"/>
                <w:highlight w:val="none"/>
              </w:rPr>
              <w:t>不要求提供；</w:t>
            </w:r>
          </w:p>
          <w:p>
            <w:pPr>
              <w:spacing w:line="360" w:lineRule="auto"/>
              <w:jc w:val="left"/>
              <w:rPr>
                <w:rFonts w:hint="eastAsia" w:ascii="宋体" w:hAnsi="宋体" w:cs="宋体"/>
                <w:b w:val="0"/>
                <w:bCs/>
                <w:color w:val="auto"/>
                <w:kern w:val="0"/>
                <w:sz w:val="24"/>
                <w:highlight w:val="none"/>
              </w:rPr>
            </w:pPr>
            <w:r>
              <w:rPr>
                <w:rFonts w:hint="eastAsia" w:ascii="Wingdings" w:hAnsi="Wingdings" w:eastAsia="MS Gothic" w:cs="宋体"/>
                <w:b w:val="0"/>
                <w:bCs/>
                <w:color w:val="auto"/>
                <w:kern w:val="0"/>
                <w:sz w:val="24"/>
                <w:highlight w:val="none"/>
              </w:rPr>
              <w:sym w:font="Wingdings" w:char="00A8"/>
            </w:r>
            <w:r>
              <w:rPr>
                <w:rFonts w:hint="eastAsia" w:ascii="宋体" w:hAnsi="宋体" w:cs="宋体"/>
                <w:b w:val="0"/>
                <w:bCs/>
                <w:color w:val="auto"/>
                <w:kern w:val="0"/>
                <w:sz w:val="24"/>
                <w:highlight w:val="none"/>
              </w:rPr>
              <w:t>B要求提供。</w:t>
            </w:r>
          </w:p>
          <w:p>
            <w:pPr>
              <w:spacing w:line="360" w:lineRule="auto"/>
              <w:rPr>
                <w:rFonts w:hint="eastAsia" w:ascii="宋体" w:hAnsi="宋体"/>
                <w:b w:val="0"/>
                <w:bCs/>
                <w:snapToGrid w:val="0"/>
                <w:color w:val="auto"/>
                <w:kern w:val="28"/>
                <w:sz w:val="24"/>
                <w:highlight w:val="none"/>
              </w:rPr>
            </w:pPr>
            <w:r>
              <w:rPr>
                <w:rFonts w:hint="eastAsia" w:ascii="宋体" w:hAnsi="宋体"/>
                <w:b w:val="0"/>
                <w:bCs/>
                <w:color w:val="auto"/>
                <w:kern w:val="0"/>
                <w:sz w:val="24"/>
                <w:highlight w:val="none"/>
              </w:rPr>
              <w:t>（</w:t>
            </w:r>
            <w:r>
              <w:rPr>
                <w:rFonts w:ascii="宋体" w:hAnsi="宋体"/>
                <w:b w:val="0"/>
                <w:bCs/>
                <w:color w:val="auto"/>
                <w:kern w:val="0"/>
                <w:sz w:val="24"/>
                <w:highlight w:val="none"/>
              </w:rPr>
              <w:t>1）</w:t>
            </w:r>
            <w:r>
              <w:rPr>
                <w:rFonts w:hint="eastAsia" w:ascii="宋体" w:hAnsi="宋体"/>
                <w:b w:val="0"/>
                <w:bCs/>
                <w:snapToGrid w:val="0"/>
                <w:color w:val="auto"/>
                <w:kern w:val="28"/>
                <w:sz w:val="24"/>
                <w:highlight w:val="none"/>
              </w:rPr>
              <w:t>样品：</w:t>
            </w:r>
            <w:r>
              <w:rPr>
                <w:rFonts w:hint="eastAsia" w:ascii="宋体" w:hAnsi="宋体"/>
                <w:b w:val="0"/>
                <w:bCs/>
                <w:snapToGrid w:val="0"/>
                <w:color w:val="auto"/>
                <w:kern w:val="28"/>
                <w:sz w:val="24"/>
                <w:highlight w:val="none"/>
                <w:u w:val="single"/>
                <w:lang w:val="en-US" w:eastAsia="zh-CN"/>
              </w:rPr>
              <w:t xml:space="preserve">         </w:t>
            </w:r>
            <w:r>
              <w:rPr>
                <w:rFonts w:hint="eastAsia" w:ascii="宋体" w:hAnsi="宋体"/>
                <w:b w:val="0"/>
                <w:bCs/>
                <w:snapToGrid w:val="0"/>
                <w:color w:val="auto"/>
                <w:kern w:val="28"/>
                <w:sz w:val="24"/>
                <w:highlight w:val="none"/>
              </w:rPr>
              <w:t>；</w:t>
            </w:r>
          </w:p>
          <w:p>
            <w:pPr>
              <w:spacing w:line="360" w:lineRule="auto"/>
              <w:rPr>
                <w:rFonts w:hint="eastAsia"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2）</w:t>
            </w:r>
            <w:r>
              <w:rPr>
                <w:rFonts w:hint="eastAsia" w:ascii="宋体" w:hAnsi="宋体"/>
                <w:snapToGrid w:val="0"/>
                <w:color w:val="auto"/>
                <w:kern w:val="28"/>
                <w:sz w:val="24"/>
                <w:highlight w:val="none"/>
              </w:rPr>
              <w:t>样品制作的标准和要求：</w:t>
            </w:r>
            <w:r>
              <w:rPr>
                <w:rFonts w:hint="eastAsia" w:ascii="宋体" w:hAnsi="宋体"/>
                <w:color w:val="auto"/>
                <w:sz w:val="24"/>
                <w:highlight w:val="none"/>
                <w:u w:val="single"/>
              </w:rPr>
              <w:t>（详见第三部分 采购需求）</w:t>
            </w:r>
            <w:r>
              <w:rPr>
                <w:rFonts w:hint="eastAsia" w:ascii="宋体" w:hAnsi="宋体"/>
                <w:color w:val="auto"/>
                <w:kern w:val="0"/>
                <w:sz w:val="24"/>
                <w:highlight w:val="none"/>
              </w:rPr>
              <w:t>；</w:t>
            </w:r>
          </w:p>
          <w:p>
            <w:pPr>
              <w:spacing w:line="360" w:lineRule="auto"/>
              <w:rPr>
                <w:rFonts w:hint="eastAsia"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3）样品的评审方法以及评审标准</w:t>
            </w:r>
            <w:r>
              <w:rPr>
                <w:rFonts w:hint="eastAsia" w:ascii="宋体" w:hAnsi="宋体"/>
                <w:snapToGrid w:val="0"/>
                <w:color w:val="auto"/>
                <w:kern w:val="28"/>
                <w:sz w:val="24"/>
                <w:highlight w:val="none"/>
              </w:rPr>
              <w:t>：详见</w:t>
            </w:r>
            <w:r>
              <w:rPr>
                <w:rFonts w:hint="eastAsia" w:ascii="宋体" w:hAnsi="宋体"/>
                <w:color w:val="auto"/>
                <w:sz w:val="24"/>
                <w:highlight w:val="none"/>
                <w:u w:val="single"/>
              </w:rPr>
              <w:t>评标办法</w:t>
            </w:r>
            <w:r>
              <w:rPr>
                <w:rFonts w:hint="eastAsia" w:ascii="宋体" w:hAnsi="宋体"/>
                <w:color w:val="auto"/>
                <w:kern w:val="0"/>
                <w:sz w:val="24"/>
                <w:highlight w:val="none"/>
              </w:rPr>
              <w:t>；</w:t>
            </w:r>
          </w:p>
          <w:p>
            <w:pPr>
              <w:spacing w:line="360" w:lineRule="auto"/>
              <w:rPr>
                <w:rFonts w:hint="eastAsia"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4）是否需要随样品提交检测报告</w:t>
            </w:r>
            <w:r>
              <w:rPr>
                <w:rFonts w:hint="eastAsia" w:ascii="宋体" w:hAnsi="宋体"/>
                <w:color w:val="auto"/>
                <w:kern w:val="0"/>
                <w:sz w:val="24"/>
                <w:highlight w:val="none"/>
              </w:rPr>
              <w:t>：</w:t>
            </w:r>
            <w:r>
              <w:rPr>
                <w:rFonts w:ascii="宋体" w:hAnsi="宋体" w:cs="Arial"/>
                <w:color w:val="auto"/>
                <w:kern w:val="0"/>
                <w:sz w:val="24"/>
                <w:highlight w:val="none"/>
              </w:rPr>
              <w:sym w:font="Wingdings" w:char="00FE"/>
            </w:r>
            <w:r>
              <w:rPr>
                <w:rFonts w:ascii="宋体" w:hAnsi="宋体"/>
                <w:color w:val="auto"/>
                <w:kern w:val="0"/>
                <w:sz w:val="24"/>
                <w:highlight w:val="none"/>
              </w:rPr>
              <w:t>否；</w:t>
            </w:r>
            <w:r>
              <w:rPr>
                <w:rFonts w:ascii="宋体" w:hAnsi="MS Gothic" w:cs="Arial"/>
                <w:color w:val="auto"/>
                <w:kern w:val="0"/>
                <w:sz w:val="24"/>
                <w:highlight w:val="none"/>
              </w:rPr>
              <w:t>☐</w:t>
            </w:r>
            <w:r>
              <w:rPr>
                <w:rFonts w:ascii="宋体" w:hAnsi="宋体"/>
                <w:color w:val="auto"/>
                <w:kern w:val="0"/>
                <w:sz w:val="24"/>
                <w:highlight w:val="none"/>
              </w:rPr>
              <w:t>是，检测机构的要求</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kern w:val="0"/>
                <w:sz w:val="24"/>
                <w:highlight w:val="none"/>
              </w:rPr>
              <w:t>；检测内容</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kern w:val="0"/>
                <w:sz w:val="24"/>
                <w:highlight w:val="none"/>
              </w:rPr>
              <w:t>。</w:t>
            </w:r>
          </w:p>
          <w:p>
            <w:pPr>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5）提供样品的时间：</w:t>
            </w:r>
            <w:r>
              <w:rPr>
                <w:rFonts w:hint="eastAsia" w:ascii="宋体" w:hAnsi="宋体"/>
                <w:color w:val="auto"/>
                <w:sz w:val="24"/>
                <w:highlight w:val="none"/>
                <w:u w:val="single"/>
                <w:lang w:val="en-US" w:eastAsia="zh-CN"/>
              </w:rPr>
              <w:t>同提交投标文件截止时间</w:t>
            </w:r>
            <w:r>
              <w:rPr>
                <w:rFonts w:hint="eastAsia" w:ascii="宋体" w:hAnsi="宋体"/>
                <w:color w:val="auto"/>
                <w:kern w:val="0"/>
                <w:sz w:val="24"/>
                <w:highlight w:val="none"/>
              </w:rPr>
              <w:t>；地点：</w:t>
            </w:r>
            <w:r>
              <w:rPr>
                <w:rFonts w:hint="eastAsia" w:ascii="宋体" w:hAnsi="宋体"/>
                <w:color w:val="auto"/>
                <w:sz w:val="24"/>
                <w:highlight w:val="none"/>
                <w:u w:val="single"/>
                <w:lang w:val="en-US" w:eastAsia="zh-CN"/>
              </w:rPr>
              <w:t xml:space="preserve">        </w:t>
            </w:r>
            <w:r>
              <w:rPr>
                <w:rFonts w:hint="eastAsia" w:ascii="宋体" w:hAnsi="宋体"/>
                <w:color w:val="auto"/>
                <w:kern w:val="0"/>
                <w:sz w:val="24"/>
                <w:highlight w:val="none"/>
              </w:rPr>
              <w:t>；联系人</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w:t>
            </w:r>
            <w:r>
              <w:rPr>
                <w:rFonts w:hint="eastAsia" w:ascii="宋体" w:hAnsi="宋体"/>
                <w:color w:val="auto"/>
                <w:kern w:val="28"/>
                <w:sz w:val="24"/>
                <w:highlight w:val="none"/>
              </w:rPr>
              <w:t>联系电话：</w:t>
            </w:r>
            <w:r>
              <w:rPr>
                <w:rFonts w:hint="eastAsia" w:ascii="宋体" w:hAnsi="宋体"/>
                <w:color w:val="auto"/>
                <w:kern w:val="28"/>
                <w:sz w:val="24"/>
                <w:highlight w:val="none"/>
                <w:u w:val="single"/>
                <w:lang w:val="en-US" w:eastAsia="zh-CN"/>
              </w:rPr>
              <w:t xml:space="preserve">      </w:t>
            </w:r>
            <w:r>
              <w:rPr>
                <w:rFonts w:hint="eastAsia" w:ascii="宋体" w:hAnsi="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（6）</w:t>
            </w:r>
            <w:r>
              <w:rPr>
                <w:rFonts w:ascii="宋体" w:hAnsi="宋体"/>
                <w:color w:val="auto"/>
                <w:sz w:val="24"/>
                <w:highlight w:val="none"/>
              </w:rPr>
              <w:t>采购活动结束后，对于未中标人提供的样品，</w:t>
            </w:r>
            <w:r>
              <w:rPr>
                <w:rFonts w:hint="eastAsia" w:ascii="宋体" w:hAnsi="宋体"/>
                <w:color w:val="auto"/>
                <w:sz w:val="24"/>
                <w:highlight w:val="none"/>
              </w:rPr>
              <w:t>采购人、采购代理机构将通知</w:t>
            </w:r>
            <w:r>
              <w:rPr>
                <w:rFonts w:ascii="宋体" w:hAnsi="宋体"/>
                <w:color w:val="auto"/>
                <w:sz w:val="24"/>
                <w:highlight w:val="none"/>
              </w:rPr>
              <w:t>未中标人</w:t>
            </w:r>
            <w:r>
              <w:rPr>
                <w:rFonts w:hint="eastAsia" w:ascii="宋体" w:hAnsi="宋体"/>
                <w:color w:val="auto"/>
                <w:sz w:val="24"/>
                <w:highlight w:val="none"/>
              </w:rPr>
              <w:t>在规定的时间内取回，逾期未取回的，采购人、采购代理机构不负保管义务</w:t>
            </w:r>
            <w:r>
              <w:rPr>
                <w:rFonts w:ascii="宋体" w:hAnsi="宋体"/>
                <w:color w:val="auto"/>
                <w:sz w:val="24"/>
                <w:highlight w:val="none"/>
              </w:rPr>
              <w:t>；对于中标人提供的样品，</w:t>
            </w:r>
            <w:r>
              <w:rPr>
                <w:rFonts w:hint="eastAsia" w:ascii="宋体" w:hAnsi="宋体"/>
                <w:color w:val="auto"/>
                <w:sz w:val="24"/>
                <w:highlight w:val="none"/>
              </w:rPr>
              <w:t>采购人将进</w:t>
            </w:r>
            <w:r>
              <w:rPr>
                <w:rFonts w:ascii="宋体" w:hAnsi="宋体"/>
                <w:color w:val="auto"/>
                <w:sz w:val="24"/>
                <w:highlight w:val="none"/>
              </w:rPr>
              <w:t>行保管、封存，并作为履约验收的参考</w:t>
            </w:r>
            <w:r>
              <w:rPr>
                <w:rFonts w:hint="eastAsia" w:ascii="宋体" w:hAnsi="宋体"/>
                <w:color w:val="auto"/>
                <w:sz w:val="24"/>
                <w:highlight w:val="none"/>
              </w:rPr>
              <w:t>。（详见第三部分 采购需求）</w:t>
            </w:r>
          </w:p>
          <w:p>
            <w:pPr>
              <w:spacing w:line="360" w:lineRule="auto"/>
              <w:jc w:val="left"/>
              <w:rPr>
                <w:rFonts w:hint="eastAsia" w:ascii="宋体" w:hAnsi="宋体" w:cs="宋体"/>
                <w:bCs/>
                <w:color w:val="auto"/>
                <w:sz w:val="24"/>
                <w:highlight w:val="none"/>
              </w:rPr>
            </w:pPr>
            <w:r>
              <w:rPr>
                <w:rFonts w:hint="eastAsia" w:ascii="宋体" w:hAnsi="宋体"/>
                <w:color w:val="auto"/>
                <w:sz w:val="24"/>
                <w:highlight w:val="none"/>
              </w:rPr>
              <w:t>（</w:t>
            </w:r>
            <w:r>
              <w:rPr>
                <w:rFonts w:ascii="宋体" w:hAnsi="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88"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Cs/>
                <w:color w:val="auto"/>
                <w:sz w:val="24"/>
                <w:highlight w:val="none"/>
              </w:rPr>
            </w:pPr>
            <w:r>
              <w:rPr>
                <w:rFonts w:hint="eastAsia" w:ascii="宋体" w:hAnsi="宋体" w:cs="仿宋_GB2312"/>
                <w:bCs/>
                <w:color w:val="auto"/>
                <w:sz w:val="24"/>
                <w:highlight w:val="none"/>
              </w:rPr>
              <w:t>方案讲解演示</w:t>
            </w:r>
          </w:p>
        </w:tc>
        <w:tc>
          <w:tcPr>
            <w:tcW w:w="6485" w:type="dxa"/>
            <w:tcBorders>
              <w:top w:val="single" w:color="000000" w:sz="8" w:space="0"/>
              <w:left w:val="single" w:color="000000" w:sz="2" w:space="0"/>
              <w:bottom w:val="single" w:color="000000" w:sz="8" w:space="0"/>
              <w:right w:val="single" w:color="000000" w:sz="8" w:space="0"/>
            </w:tcBorders>
            <w:vAlign w:val="center"/>
          </w:tcPr>
          <w:p>
            <w:pPr>
              <w:spacing w:line="360" w:lineRule="auto"/>
              <w:ind w:right="143" w:rightChars="68" w:firstLine="82" w:firstLineChars="34"/>
              <w:jc w:val="left"/>
              <w:rPr>
                <w:rFonts w:ascii="宋体" w:hAnsi="宋体"/>
                <w:b/>
                <w:bCs w:val="0"/>
                <w:color w:val="auto"/>
                <w:sz w:val="24"/>
                <w:highlight w:val="none"/>
              </w:rPr>
            </w:pPr>
            <w:r>
              <w:rPr>
                <w:rFonts w:hint="eastAsia" w:ascii="Wingdings" w:hAnsi="Wingdings" w:eastAsia="MS Gothic" w:cs="宋体"/>
                <w:b/>
                <w:bCs w:val="0"/>
                <w:color w:val="auto"/>
                <w:kern w:val="0"/>
                <w:sz w:val="24"/>
                <w:highlight w:val="none"/>
              </w:rPr>
              <w:sym w:font="Wingdings" w:char="00A8"/>
            </w:r>
            <w:r>
              <w:rPr>
                <w:rFonts w:hint="eastAsia" w:ascii="宋体" w:hAnsi="宋体" w:cs="宋体"/>
                <w:b/>
                <w:bCs w:val="0"/>
                <w:color w:val="auto"/>
                <w:kern w:val="0"/>
                <w:sz w:val="24"/>
                <w:highlight w:val="none"/>
              </w:rPr>
              <w:t>A</w:t>
            </w:r>
            <w:r>
              <w:rPr>
                <w:rFonts w:hint="eastAsia" w:ascii="宋体" w:hAnsi="宋体"/>
                <w:b/>
                <w:bCs w:val="0"/>
                <w:color w:val="auto"/>
                <w:sz w:val="24"/>
                <w:highlight w:val="none"/>
              </w:rPr>
              <w:t>不组织；</w:t>
            </w:r>
          </w:p>
          <w:p>
            <w:pPr>
              <w:spacing w:line="360" w:lineRule="auto"/>
              <w:ind w:right="143" w:rightChars="68" w:firstLine="81" w:firstLineChars="34"/>
              <w:jc w:val="left"/>
              <w:rPr>
                <w:rFonts w:ascii="宋体" w:hAnsi="宋体"/>
                <w:b w:val="0"/>
                <w:bCs/>
                <w:color w:val="auto"/>
                <w:sz w:val="24"/>
                <w:highlight w:val="none"/>
              </w:rPr>
            </w:pPr>
            <w:r>
              <w:rPr>
                <w:rFonts w:hint="eastAsia" w:ascii="Wingdings" w:hAnsi="Wingdings" w:eastAsia="MS Gothic" w:cs="宋体"/>
                <w:b w:val="0"/>
                <w:bCs/>
                <w:color w:val="auto"/>
                <w:kern w:val="0"/>
                <w:sz w:val="24"/>
                <w:highlight w:val="none"/>
              </w:rPr>
              <w:sym w:font="Wingdings" w:char="00FE"/>
            </w:r>
            <w:r>
              <w:rPr>
                <w:rFonts w:ascii="宋体" w:hAnsi="宋体"/>
                <w:b w:val="0"/>
                <w:bCs/>
                <w:color w:val="auto"/>
                <w:sz w:val="24"/>
                <w:highlight w:val="none"/>
              </w:rPr>
              <w:t>B组织。</w:t>
            </w:r>
          </w:p>
          <w:p>
            <w:pPr>
              <w:snapToGrid w:val="0"/>
              <w:spacing w:line="360" w:lineRule="auto"/>
              <w:ind w:right="143" w:rightChars="68" w:firstLine="81" w:firstLineChars="34"/>
              <w:jc w:val="left"/>
              <w:rPr>
                <w:rFonts w:hint="eastAsia" w:ascii="宋体" w:hAnsi="宋体" w:cs="宋体"/>
                <w:bCs/>
                <w:color w:val="auto"/>
                <w:kern w:val="0"/>
                <w:sz w:val="24"/>
                <w:highlight w:val="none"/>
                <w:lang w:val="zh-CN"/>
              </w:rPr>
            </w:pPr>
            <w:r>
              <w:rPr>
                <w:rFonts w:hint="eastAsia" w:ascii="宋体" w:hAnsi="宋体"/>
                <w:bCs/>
                <w:color w:val="auto"/>
                <w:sz w:val="24"/>
                <w:highlight w:val="none"/>
              </w:rPr>
              <w:t>录屏讲解演示：</w:t>
            </w:r>
            <w:r>
              <w:rPr>
                <w:rFonts w:ascii="宋体" w:hAnsi="宋体"/>
                <w:bCs/>
                <w:color w:val="auto"/>
                <w:sz w:val="24"/>
                <w:highlight w:val="none"/>
              </w:rPr>
              <w:t>提供演示</w:t>
            </w:r>
            <w:r>
              <w:rPr>
                <w:rFonts w:hint="eastAsia" w:ascii="宋体" w:hAnsi="宋体"/>
                <w:bCs/>
                <w:color w:val="auto"/>
                <w:sz w:val="24"/>
                <w:highlight w:val="none"/>
                <w:lang w:val="en-US" w:eastAsia="zh-CN"/>
              </w:rPr>
              <w:t>视频</w:t>
            </w:r>
            <w:r>
              <w:rPr>
                <w:rFonts w:ascii="宋体" w:hAnsi="宋体"/>
                <w:bCs/>
                <w:color w:val="auto"/>
                <w:sz w:val="24"/>
                <w:highlight w:val="none"/>
              </w:rPr>
              <w:t>（视频格式为非常规格式提供</w:t>
            </w:r>
            <w:r>
              <w:rPr>
                <w:rFonts w:hint="eastAsia" w:ascii="宋体" w:hAnsi="宋体"/>
                <w:bCs/>
                <w:color w:val="auto"/>
                <w:sz w:val="24"/>
                <w:highlight w:val="none"/>
              </w:rPr>
              <w:t>视频</w:t>
            </w:r>
            <w:r>
              <w:rPr>
                <w:rFonts w:ascii="宋体" w:hAnsi="宋体"/>
                <w:bCs/>
                <w:color w:val="auto"/>
                <w:sz w:val="24"/>
                <w:highlight w:val="none"/>
              </w:rPr>
              <w:t>安装软件，以免无法播放），</w:t>
            </w:r>
            <w:r>
              <w:rPr>
                <w:rFonts w:hint="eastAsia" w:ascii="宋体" w:hAnsi="宋体"/>
                <w:bCs/>
                <w:color w:val="auto"/>
                <w:sz w:val="24"/>
                <w:highlight w:val="none"/>
                <w:u w:val="single"/>
                <w:lang w:val="en-US" w:eastAsia="zh-CN"/>
              </w:rPr>
              <w:t>采用优盘形式在投标截止时间前提交至</w:t>
            </w:r>
            <w:r>
              <w:rPr>
                <w:rFonts w:hint="eastAsia" w:ascii="宋体" w:hAnsi="宋体"/>
                <w:color w:val="auto"/>
                <w:sz w:val="24"/>
                <w:highlight w:val="none"/>
                <w:u w:val="single"/>
                <w:lang w:eastAsia="zh-CN"/>
              </w:rPr>
              <w:t>杭州市上城区富春路308号华成国际发展大厦8楼</w:t>
            </w:r>
            <w:r>
              <w:rPr>
                <w:rFonts w:ascii="宋体" w:hAnsi="宋体"/>
                <w:bCs/>
                <w:color w:val="auto"/>
                <w:sz w:val="24"/>
                <w:highlight w:val="none"/>
              </w:rPr>
              <w:t>。</w:t>
            </w:r>
            <w:r>
              <w:rPr>
                <w:rFonts w:hint="eastAsia" w:ascii="宋体" w:hAnsi="宋体"/>
                <w:bCs/>
                <w:color w:val="auto"/>
                <w:sz w:val="24"/>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7" w:hRule="atLeast"/>
          <w:jc w:val="center"/>
        </w:trPr>
        <w:tc>
          <w:tcPr>
            <w:tcW w:w="570" w:type="dxa"/>
            <w:tcBorders>
              <w:top w:val="single" w:color="auto" w:sz="4" w:space="0"/>
              <w:left w:val="single" w:color="auto" w:sz="4" w:space="0"/>
              <w:right w:val="single" w:color="auto" w:sz="4" w:space="0"/>
            </w:tcBorders>
            <w:vAlign w:val="center"/>
          </w:tcPr>
          <w:p>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投标人应当提供的资格、资信证明文件</w:t>
            </w:r>
          </w:p>
        </w:tc>
        <w:tc>
          <w:tcPr>
            <w:tcW w:w="6485"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（1）资格证明文件：见招标文件第二部分11.1。</w:t>
            </w:r>
          </w:p>
          <w:p>
            <w:pPr>
              <w:spacing w:line="360" w:lineRule="auto"/>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投标人未提供有效的资格证明文件的，视为投标人不具备招标文件中规定的资格要求，投标无效。</w:t>
            </w:r>
          </w:p>
          <w:p>
            <w:pPr>
              <w:spacing w:line="360" w:lineRule="auto"/>
              <w:jc w:val="left"/>
              <w:rPr>
                <w:rFonts w:hint="eastAsia" w:ascii="宋体" w:hAnsi="宋体" w:cs="宋体"/>
                <w:bCs/>
                <w:snapToGrid w:val="0"/>
                <w:color w:val="auto"/>
                <w:kern w:val="0"/>
                <w:sz w:val="24"/>
                <w:highlight w:val="none"/>
              </w:rPr>
            </w:pPr>
            <w:r>
              <w:rPr>
                <w:rFonts w:hint="eastAsia" w:ascii="宋体" w:hAnsi="宋体" w:cs="宋体"/>
                <w:bCs/>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70" w:type="dxa"/>
            <w:tcBorders>
              <w:top w:val="single" w:color="auto" w:sz="4" w:space="0"/>
              <w:left w:val="single" w:color="000000" w:sz="8" w:space="0"/>
              <w:bottom w:val="single" w:color="auto" w:sz="4" w:space="0"/>
              <w:right w:val="single" w:color="000000" w:sz="2" w:space="0"/>
            </w:tcBorders>
            <w:vAlign w:val="center"/>
          </w:tcPr>
          <w:p>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Cs/>
                <w:color w:val="auto"/>
                <w:sz w:val="24"/>
                <w:highlight w:val="none"/>
              </w:rPr>
            </w:pPr>
            <w:r>
              <w:rPr>
                <w:rFonts w:hint="eastAsia" w:ascii="宋体" w:hAnsi="宋体"/>
                <w:color w:val="auto"/>
                <w:sz w:val="24"/>
                <w:highlight w:val="none"/>
              </w:rPr>
              <w:t>中小企业信用融资</w:t>
            </w:r>
          </w:p>
        </w:tc>
        <w:tc>
          <w:tcPr>
            <w:tcW w:w="648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jc w:val="left"/>
              <w:rPr>
                <w:color w:val="auto"/>
                <w:sz w:val="24"/>
                <w:highlight w:val="none"/>
              </w:rPr>
            </w:pPr>
            <w:r>
              <w:rPr>
                <w:rFonts w:hint="eastAsia" w:ascii="宋体" w:hAnsi="宋体"/>
                <w:snapToGrid w:val="0"/>
                <w:color w:val="auto"/>
                <w:kern w:val="28"/>
                <w:sz w:val="24"/>
                <w:highlight w:val="none"/>
              </w:rPr>
              <w:t>投标人中标后也可在“乐采云”平台申请政采贷：操作路径：登录杭州市教育局非依法招标（小额）项目平台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3" w:hRule="atLeast"/>
          <w:jc w:val="center"/>
        </w:trPr>
        <w:tc>
          <w:tcPr>
            <w:tcW w:w="570" w:type="dxa"/>
            <w:tcBorders>
              <w:top w:val="single" w:color="auto" w:sz="4" w:space="0"/>
              <w:left w:val="single" w:color="000000" w:sz="8" w:space="0"/>
              <w:bottom w:val="single" w:color="auto" w:sz="4" w:space="0"/>
              <w:right w:val="single" w:color="000000" w:sz="2" w:space="0"/>
            </w:tcBorders>
            <w:vAlign w:val="center"/>
          </w:tcPr>
          <w:p>
            <w:pPr>
              <w:numPr>
                <w:ilvl w:val="0"/>
                <w:numId w:val="3"/>
              </w:numPr>
              <w:snapToGrid w:val="0"/>
              <w:spacing w:line="360" w:lineRule="auto"/>
              <w:jc w:val="center"/>
              <w:rPr>
                <w:rFonts w:hint="eastAsia" w:ascii="宋体" w:hAnsi="宋体" w:cs="宋体"/>
                <w:b w:val="0"/>
                <w:bCs/>
                <w:color w:val="auto"/>
                <w:sz w:val="24"/>
                <w:highlight w:val="none"/>
              </w:rPr>
            </w:pPr>
          </w:p>
        </w:tc>
        <w:tc>
          <w:tcPr>
            <w:tcW w:w="225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节能产品、环境标志产品</w:t>
            </w:r>
          </w:p>
        </w:tc>
        <w:tc>
          <w:tcPr>
            <w:tcW w:w="648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cs="宋体"/>
                <w:bCs/>
                <w:color w:val="auto"/>
                <w:kern w:val="0"/>
                <w:sz w:val="24"/>
                <w:highlight w:val="none"/>
              </w:rPr>
            </w:pPr>
            <w:r>
              <w:rPr>
                <w:rFonts w:hint="eastAsia"/>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w:t>
            </w:r>
            <w:r>
              <w:rPr>
                <w:rFonts w:hint="eastAsia" w:eastAsia="宋体"/>
                <w:color w:val="auto"/>
                <w:sz w:val="24"/>
                <w:szCs w:val="24"/>
                <w:highlight w:val="none"/>
              </w:rPr>
              <w:t>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000000" w:sz="8" w:space="0"/>
              <w:bottom w:val="single" w:color="auto" w:sz="4" w:space="0"/>
              <w:right w:val="single" w:color="000000" w:sz="2" w:space="0"/>
            </w:tcBorders>
            <w:vAlign w:val="center"/>
          </w:tcPr>
          <w:p>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报价要求</w:t>
            </w:r>
          </w:p>
        </w:tc>
        <w:tc>
          <w:tcPr>
            <w:tcW w:w="648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有关本项目实施所需的所有费用（含税费）均计入报价。投标文件</w:t>
            </w:r>
            <w:r>
              <w:rPr>
                <w:rFonts w:hint="eastAsia" w:ascii="宋体" w:hAnsi="宋体" w:cs="宋体"/>
                <w:bCs/>
                <w:color w:val="auto"/>
                <w:sz w:val="24"/>
                <w:highlight w:val="none"/>
              </w:rPr>
              <w:t>开标一览表（报价表）是报价的唯一载体，如投标人在乐采云平台填写的投标报价与投标文件报价文件中开标一览表（报价表）不一致的，以报价文件中开标一览表（报价表）为准。</w:t>
            </w:r>
            <w:r>
              <w:rPr>
                <w:rFonts w:hint="eastAsia" w:ascii="宋体" w:hAnsi="宋体" w:cs="宋体"/>
                <w:bCs/>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pPr>
              <w:snapToGrid w:val="0"/>
              <w:spacing w:line="360" w:lineRule="auto"/>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投标报价出现下列情形的，投标无效：</w:t>
            </w:r>
          </w:p>
          <w:p>
            <w:pPr>
              <w:snapToGrid w:val="0"/>
              <w:spacing w:line="360" w:lineRule="auto"/>
              <w:ind w:firstLine="240" w:firstLineChars="100"/>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投标文件出现不是唯一的、有选择性投标报价的；</w:t>
            </w:r>
          </w:p>
          <w:p>
            <w:pPr>
              <w:snapToGrid w:val="0"/>
              <w:spacing w:line="360" w:lineRule="auto"/>
              <w:ind w:firstLine="240" w:firstLineChars="100"/>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投标报价超过招标文件中规定的预算金额或者最高限价的；</w:t>
            </w:r>
          </w:p>
          <w:p>
            <w:pPr>
              <w:spacing w:line="360" w:lineRule="auto"/>
              <w:ind w:firstLine="240" w:firstLineChars="100"/>
              <w:jc w:val="left"/>
              <w:rPr>
                <w:rFonts w:hint="eastAsia" w:ascii="宋体" w:hAnsi="宋体" w:cs="宋体"/>
                <w:bCs/>
                <w:color w:val="auto"/>
                <w:sz w:val="24"/>
                <w:highlight w:val="none"/>
              </w:rPr>
            </w:pPr>
            <w:r>
              <w:rPr>
                <w:rFonts w:hint="eastAsia" w:ascii="宋体" w:hAnsi="宋体" w:cs="宋体"/>
                <w:bCs/>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color w:val="auto"/>
                <w:sz w:val="24"/>
                <w:highlight w:val="none"/>
              </w:rPr>
              <w:t>；</w:t>
            </w:r>
          </w:p>
          <w:p>
            <w:pPr>
              <w:spacing w:line="360" w:lineRule="auto"/>
              <w:ind w:firstLine="240" w:firstLineChars="100"/>
              <w:jc w:val="left"/>
              <w:rPr>
                <w:rFonts w:hint="eastAsia" w:ascii="宋体" w:hAnsi="宋体" w:cs="宋体"/>
                <w:bCs/>
                <w:color w:val="auto"/>
                <w:sz w:val="24"/>
                <w:highlight w:val="none"/>
              </w:rPr>
            </w:pPr>
            <w:r>
              <w:rPr>
                <w:rFonts w:hint="eastAsia" w:ascii="宋体" w:hAnsi="宋体" w:cs="宋体"/>
                <w:bCs/>
                <w:color w:val="auto"/>
                <w:kern w:val="0"/>
                <w:sz w:val="24"/>
                <w:highlight w:val="none"/>
              </w:rPr>
              <w:t>投标人对根据修正原则修正后的报价不确认的</w:t>
            </w:r>
            <w:r>
              <w:rPr>
                <w:rFonts w:hint="eastAsia" w:ascii="宋体" w:hAnsi="宋体" w:cs="宋体"/>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000000" w:sz="8" w:space="0"/>
              <w:bottom w:val="single" w:color="auto" w:sz="4" w:space="0"/>
              <w:right w:val="single" w:color="000000" w:sz="2" w:space="0"/>
            </w:tcBorders>
            <w:vAlign w:val="center"/>
          </w:tcPr>
          <w:p>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Cs/>
                <w:color w:val="auto"/>
                <w:sz w:val="24"/>
                <w:highlight w:val="none"/>
              </w:rPr>
            </w:pPr>
            <w:r>
              <w:rPr>
                <w:rFonts w:hint="eastAsia" w:ascii="宋体" w:hAnsi="宋体" w:cs="仿宋_GB2312"/>
                <w:bCs/>
                <w:color w:val="auto"/>
                <w:sz w:val="24"/>
                <w:highlight w:val="none"/>
              </w:rPr>
              <w:t>备份投标文件送达地点和签收人员</w:t>
            </w:r>
          </w:p>
        </w:tc>
        <w:tc>
          <w:tcPr>
            <w:tcW w:w="6485" w:type="dxa"/>
            <w:tcBorders>
              <w:top w:val="single" w:color="000000" w:sz="8" w:space="0"/>
              <w:left w:val="single" w:color="000000" w:sz="2" w:space="0"/>
              <w:bottom w:val="single" w:color="000000" w:sz="8" w:space="0"/>
              <w:right w:val="single" w:color="000000" w:sz="8" w:space="0"/>
            </w:tcBorders>
            <w:vAlign w:val="center"/>
          </w:tcPr>
          <w:p>
            <w:pPr>
              <w:pStyle w:val="10"/>
              <w:spacing w:line="360" w:lineRule="auto"/>
              <w:ind w:right="143" w:rightChars="68" w:firstLine="480" w:firstLineChars="200"/>
              <w:jc w:val="left"/>
              <w:rPr>
                <w:rFonts w:hint="eastAsia" w:hAnsi="宋体" w:cs="宋体"/>
                <w:bCs/>
                <w:color w:val="auto"/>
                <w:kern w:val="28"/>
                <w:sz w:val="24"/>
                <w:szCs w:val="24"/>
                <w:highlight w:val="none"/>
              </w:rPr>
            </w:pPr>
            <w:r>
              <w:rPr>
                <w:rFonts w:hint="eastAsia" w:hAnsi="宋体"/>
                <w:bCs/>
                <w:color w:val="auto"/>
                <w:kern w:val="28"/>
                <w:sz w:val="24"/>
                <w:szCs w:val="24"/>
                <w:highlight w:val="none"/>
              </w:rPr>
              <w:t>备份投标文件送达地点：</w:t>
            </w:r>
            <w:r>
              <w:rPr>
                <w:rFonts w:hint="eastAsia" w:hAnsi="宋体"/>
                <w:bCs/>
                <w:color w:val="auto"/>
                <w:sz w:val="24"/>
                <w:szCs w:val="24"/>
                <w:highlight w:val="none"/>
                <w:u w:val="single"/>
                <w:lang w:eastAsia="zh-CN"/>
              </w:rPr>
              <w:t>杭州市上城区富春路308号华成国际发展大厦8楼</w:t>
            </w:r>
            <w:r>
              <w:rPr>
                <w:rFonts w:hint="eastAsia" w:hAnsi="宋体"/>
                <w:bCs/>
                <w:color w:val="auto"/>
                <w:sz w:val="24"/>
                <w:szCs w:val="24"/>
                <w:highlight w:val="none"/>
                <w:u w:val="single"/>
              </w:rPr>
              <w:t>（接受邮寄，需在投标截止前寄达签收）</w:t>
            </w:r>
            <w:r>
              <w:rPr>
                <w:rFonts w:hint="eastAsia" w:hAnsi="宋体"/>
                <w:bCs/>
                <w:color w:val="auto"/>
                <w:kern w:val="28"/>
                <w:sz w:val="24"/>
                <w:szCs w:val="24"/>
                <w:highlight w:val="none"/>
              </w:rPr>
              <w:t>；备份投标文件签收人员联系电话：</w:t>
            </w:r>
            <w:r>
              <w:rPr>
                <w:rFonts w:hint="eastAsia" w:hAnsi="宋体"/>
                <w:bCs/>
                <w:color w:val="auto"/>
                <w:kern w:val="28"/>
                <w:sz w:val="24"/>
                <w:szCs w:val="24"/>
                <w:highlight w:val="none"/>
                <w:u w:val="single"/>
              </w:rPr>
              <w:t xml:space="preserve"> </w:t>
            </w:r>
            <w:r>
              <w:rPr>
                <w:rFonts w:hint="eastAsia" w:hAnsi="宋体"/>
                <w:bCs/>
                <w:color w:val="auto"/>
                <w:sz w:val="24"/>
                <w:szCs w:val="24"/>
                <w:highlight w:val="none"/>
                <w:u w:val="single"/>
                <w:lang w:eastAsia="zh-CN"/>
              </w:rPr>
              <w:t>付工</w:t>
            </w:r>
            <w:r>
              <w:rPr>
                <w:rFonts w:hint="eastAsia" w:hAnsi="宋体"/>
                <w:bCs/>
                <w:color w:val="auto"/>
                <w:sz w:val="24"/>
                <w:szCs w:val="24"/>
                <w:highlight w:val="none"/>
                <w:u w:val="single"/>
              </w:rPr>
              <w:t xml:space="preserve"> </w:t>
            </w:r>
            <w:r>
              <w:rPr>
                <w:rFonts w:hint="eastAsia" w:hAnsi="宋体"/>
                <w:bCs/>
                <w:color w:val="auto"/>
                <w:sz w:val="24"/>
                <w:szCs w:val="24"/>
                <w:highlight w:val="none"/>
                <w:u w:val="single"/>
                <w:lang w:eastAsia="zh-CN"/>
              </w:rPr>
              <w:t>15382363926</w:t>
            </w:r>
            <w:r>
              <w:rPr>
                <w:rFonts w:hint="eastAsia" w:hAnsi="宋体"/>
                <w:bCs/>
                <w:color w:val="auto"/>
                <w:sz w:val="24"/>
                <w:szCs w:val="24"/>
                <w:highlight w:val="none"/>
                <w:u w:val="single"/>
              </w:rPr>
              <w:t xml:space="preserve"> </w:t>
            </w:r>
            <w:r>
              <w:rPr>
                <w:rFonts w:hint="eastAsia" w:hAnsi="宋体" w:cs="仿宋_GB2312"/>
                <w:bCs/>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vMerge w:val="restart"/>
            <w:tcBorders>
              <w:top w:val="single" w:color="auto" w:sz="4" w:space="0"/>
              <w:left w:val="single" w:color="000000" w:sz="8" w:space="0"/>
              <w:right w:val="single" w:color="000000" w:sz="2" w:space="0"/>
            </w:tcBorders>
            <w:vAlign w:val="center"/>
          </w:tcPr>
          <w:p>
            <w:pPr>
              <w:numPr>
                <w:ilvl w:val="0"/>
                <w:numId w:val="3"/>
              </w:numPr>
              <w:snapToGrid w:val="0"/>
              <w:spacing w:line="360" w:lineRule="auto"/>
              <w:jc w:val="center"/>
              <w:rPr>
                <w:rFonts w:hint="eastAsia" w:ascii="宋体" w:hAnsi="宋体" w:cs="宋体"/>
                <w:bCs/>
                <w:color w:val="auto"/>
                <w:sz w:val="24"/>
                <w:highlight w:val="none"/>
              </w:rPr>
            </w:pPr>
          </w:p>
        </w:tc>
        <w:tc>
          <w:tcPr>
            <w:tcW w:w="225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cs="宋体"/>
                <w:bCs/>
                <w:color w:val="auto"/>
                <w:sz w:val="24"/>
                <w:highlight w:val="none"/>
              </w:rPr>
            </w:pPr>
            <w:r>
              <w:rPr>
                <w:rFonts w:hint="eastAsia" w:ascii="宋体" w:hAnsi="宋体" w:cs="仿宋_GB2312"/>
                <w:bCs/>
                <w:color w:val="auto"/>
                <w:sz w:val="24"/>
                <w:highlight w:val="none"/>
              </w:rPr>
              <w:t>特别说明</w:t>
            </w:r>
          </w:p>
        </w:tc>
        <w:tc>
          <w:tcPr>
            <w:tcW w:w="648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jc w:val="left"/>
              <w:rPr>
                <w:rFonts w:hint="eastAsia" w:ascii="宋体" w:hAnsi="宋体" w:cs="宋体"/>
                <w:bCs/>
                <w:snapToGrid w:val="0"/>
                <w:color w:val="auto"/>
                <w:kern w:val="28"/>
                <w:sz w:val="24"/>
                <w:highlight w:val="none"/>
              </w:rPr>
            </w:pPr>
            <w:r>
              <w:rPr>
                <w:rFonts w:hint="eastAsia" w:ascii="宋体" w:hAnsi="宋体" w:cs="宋体"/>
                <w:bCs/>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vMerge w:val="continue"/>
            <w:tcBorders>
              <w:left w:val="single" w:color="000000" w:sz="8" w:space="0"/>
              <w:right w:val="single" w:color="000000" w:sz="2" w:space="0"/>
            </w:tcBorders>
            <w:vAlign w:val="center"/>
          </w:tcPr>
          <w:p>
            <w:pPr>
              <w:snapToGrid w:val="0"/>
              <w:spacing w:line="360" w:lineRule="auto"/>
              <w:jc w:val="center"/>
              <w:rPr>
                <w:rFonts w:hint="eastAsia" w:ascii="宋体" w:hAnsi="宋体" w:cs="宋体"/>
                <w:bCs/>
                <w:color w:val="auto"/>
                <w:sz w:val="24"/>
                <w:highlight w:val="none"/>
              </w:rPr>
            </w:pPr>
          </w:p>
        </w:tc>
        <w:tc>
          <w:tcPr>
            <w:tcW w:w="2253" w:type="dxa"/>
            <w:vMerge w:val="continue"/>
            <w:tcBorders>
              <w:left w:val="single" w:color="000000" w:sz="2" w:space="0"/>
              <w:right w:val="single" w:color="000000" w:sz="8" w:space="0"/>
            </w:tcBorders>
            <w:vAlign w:val="center"/>
          </w:tcPr>
          <w:p>
            <w:pPr>
              <w:snapToGrid w:val="0"/>
              <w:spacing w:line="360" w:lineRule="auto"/>
              <w:jc w:val="left"/>
              <w:rPr>
                <w:rFonts w:hint="eastAsia" w:ascii="宋体" w:hAnsi="宋体" w:cs="宋体"/>
                <w:bCs/>
                <w:color w:val="auto"/>
                <w:sz w:val="24"/>
                <w:highlight w:val="none"/>
              </w:rPr>
            </w:pPr>
          </w:p>
        </w:tc>
        <w:tc>
          <w:tcPr>
            <w:tcW w:w="648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jc w:val="left"/>
              <w:rPr>
                <w:rFonts w:hint="eastAsia" w:ascii="宋体" w:hAnsi="宋体" w:cs="宋体"/>
                <w:bCs/>
                <w:snapToGrid w:val="0"/>
                <w:color w:val="auto"/>
                <w:kern w:val="28"/>
                <w:sz w:val="24"/>
                <w:highlight w:val="none"/>
              </w:rPr>
            </w:pPr>
            <w:r>
              <w:rPr>
                <w:rFonts w:hint="eastAsia" w:ascii="宋体" w:hAnsi="宋体" w:cs="宋体"/>
                <w:bCs/>
                <w:snapToGrid w:val="0"/>
                <w:color w:val="auto"/>
                <w:kern w:val="28"/>
                <w:sz w:val="24"/>
                <w:highlight w:val="none"/>
              </w:rPr>
              <w:t>☐联合体投标的，联合体各方均需按招标文件第四部分评标标准要求提供资信证明文件，否则视为不符合相关要求。</w:t>
            </w:r>
          </w:p>
          <w:p>
            <w:pPr>
              <w:spacing w:line="360" w:lineRule="auto"/>
              <w:ind w:firstLine="480" w:firstLineChars="200"/>
              <w:jc w:val="left"/>
              <w:rPr>
                <w:rFonts w:hint="eastAsia" w:ascii="宋体" w:hAnsi="宋体" w:cs="宋体"/>
                <w:bCs/>
                <w:snapToGrid w:val="0"/>
                <w:color w:val="auto"/>
                <w:kern w:val="28"/>
                <w:sz w:val="24"/>
                <w:highlight w:val="none"/>
              </w:rPr>
            </w:pPr>
            <w:r>
              <w:rPr>
                <w:rFonts w:hint="eastAsia" w:ascii="宋体" w:hAnsi="宋体" w:cs="宋体"/>
                <w:bCs/>
                <w:snapToGrid w:val="0"/>
                <w:color w:val="auto"/>
                <w:kern w:val="28"/>
                <w:sz w:val="24"/>
                <w:highlight w:val="none"/>
              </w:rPr>
              <w:sym w:font="Wingdings" w:char="F0FE"/>
            </w:r>
            <w:r>
              <w:rPr>
                <w:rFonts w:hint="eastAsia" w:ascii="宋体" w:hAnsi="宋体" w:cs="宋体"/>
                <w:bCs/>
                <w:snapToGrid w:val="0"/>
                <w:color w:val="auto"/>
                <w:kern w:val="28"/>
                <w:sz w:val="24"/>
                <w:highlight w:val="none"/>
              </w:rPr>
              <w:t>联合体投标的，联合体中有一方或者联合体成员根据分工按招标文件第四部分评标标准要求提供资信证明文件的，视为符合了相关要求。</w:t>
            </w:r>
            <w:r>
              <w:rPr>
                <w:rFonts w:hint="eastAsia" w:ascii="宋体" w:hAnsi="宋体" w:cs="宋体"/>
                <w:snapToGrid w:val="0"/>
                <w:color w:val="auto"/>
                <w:kern w:val="28"/>
                <w:sz w:val="24"/>
                <w:highlight w:val="none"/>
              </w:rPr>
              <w:t>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vMerge w:val="continue"/>
            <w:tcBorders>
              <w:left w:val="single" w:color="000000" w:sz="8" w:space="0"/>
              <w:right w:val="single" w:color="000000" w:sz="2" w:space="0"/>
            </w:tcBorders>
            <w:vAlign w:val="center"/>
          </w:tcPr>
          <w:p>
            <w:pPr>
              <w:snapToGrid w:val="0"/>
              <w:spacing w:line="360" w:lineRule="auto"/>
              <w:jc w:val="center"/>
              <w:rPr>
                <w:rFonts w:hint="eastAsia" w:ascii="宋体" w:hAnsi="宋体" w:cs="宋体"/>
                <w:bCs/>
                <w:color w:val="auto"/>
                <w:sz w:val="24"/>
                <w:highlight w:val="none"/>
              </w:rPr>
            </w:pPr>
          </w:p>
        </w:tc>
        <w:tc>
          <w:tcPr>
            <w:tcW w:w="2253" w:type="dxa"/>
            <w:vMerge w:val="continue"/>
            <w:tcBorders>
              <w:left w:val="single" w:color="000000" w:sz="2" w:space="0"/>
              <w:right w:val="single" w:color="000000" w:sz="8" w:space="0"/>
            </w:tcBorders>
            <w:vAlign w:val="center"/>
          </w:tcPr>
          <w:p>
            <w:pPr>
              <w:snapToGrid w:val="0"/>
              <w:spacing w:line="360" w:lineRule="auto"/>
              <w:jc w:val="left"/>
              <w:rPr>
                <w:rFonts w:hint="eastAsia" w:ascii="宋体" w:hAnsi="宋体" w:cs="宋体"/>
                <w:bCs/>
                <w:color w:val="auto"/>
                <w:sz w:val="24"/>
                <w:highlight w:val="none"/>
              </w:rPr>
            </w:pPr>
          </w:p>
        </w:tc>
        <w:tc>
          <w:tcPr>
            <w:tcW w:w="6485"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ind w:right="143" w:rightChars="68" w:firstLine="81" w:firstLineChars="34"/>
              <w:jc w:val="left"/>
              <w:rPr>
                <w:rFonts w:hint="eastAsia" w:ascii="宋体" w:hAnsi="宋体"/>
                <w:bCs/>
                <w:color w:val="auto"/>
                <w:kern w:val="28"/>
                <w:sz w:val="24"/>
                <w:highlight w:val="none"/>
              </w:rPr>
            </w:pPr>
            <w:r>
              <w:rPr>
                <w:rFonts w:hint="eastAsia" w:ascii="宋体" w:hAnsi="宋体"/>
                <w:bCs/>
                <w:color w:val="auto"/>
                <w:sz w:val="24"/>
                <w:highlight w:val="none"/>
              </w:rPr>
              <w:t>（1）</w:t>
            </w:r>
            <w:r>
              <w:rPr>
                <w:rFonts w:ascii="宋体" w:hAnsi="宋体"/>
                <w:bCs/>
                <w:color w:val="auto"/>
                <w:sz w:val="24"/>
                <w:highlight w:val="none"/>
              </w:rPr>
              <w:t>中标通知书发出后30日</w:t>
            </w:r>
            <w:r>
              <w:rPr>
                <w:rFonts w:hint="eastAsia" w:ascii="宋体" w:hAnsi="宋体"/>
                <w:b/>
                <w:color w:val="auto"/>
                <w:sz w:val="24"/>
                <w:highlight w:val="none"/>
              </w:rPr>
              <w:t>（鼓励有条件的缩短至10个工作日）</w:t>
            </w:r>
            <w:r>
              <w:rPr>
                <w:rFonts w:ascii="宋体" w:hAnsi="宋体"/>
                <w:bCs/>
                <w:color w:val="auto"/>
                <w:sz w:val="24"/>
                <w:highlight w:val="none"/>
              </w:rPr>
              <w:t>内，中标供应商持中标通知书与采购人签订合同</w:t>
            </w:r>
            <w:r>
              <w:rPr>
                <w:rFonts w:hint="eastAsia" w:ascii="宋体" w:hAnsi="宋体"/>
                <w:bCs/>
                <w:color w:val="auto"/>
                <w:sz w:val="24"/>
                <w:highlight w:val="none"/>
              </w:rPr>
              <w:t>。</w:t>
            </w:r>
          </w:p>
          <w:p>
            <w:pPr>
              <w:snapToGrid w:val="0"/>
              <w:spacing w:line="360" w:lineRule="auto"/>
              <w:ind w:right="143" w:rightChars="68" w:firstLine="81" w:firstLineChars="34"/>
              <w:jc w:val="left"/>
              <w:rPr>
                <w:rFonts w:hint="eastAsia" w:ascii="宋体" w:hAnsi="宋体"/>
                <w:bCs/>
                <w:color w:val="auto"/>
                <w:kern w:val="28"/>
                <w:sz w:val="24"/>
                <w:highlight w:val="none"/>
              </w:rPr>
            </w:pPr>
            <w:r>
              <w:rPr>
                <w:rFonts w:hint="eastAsia" w:ascii="宋体" w:hAnsi="宋体"/>
                <w:bCs/>
                <w:color w:val="auto"/>
                <w:kern w:val="28"/>
                <w:sz w:val="24"/>
                <w:highlight w:val="none"/>
              </w:rPr>
              <w:t>（2）</w:t>
            </w:r>
            <w:r>
              <w:rPr>
                <w:rFonts w:hint="eastAsia" w:ascii="宋体" w:hAnsi="宋体"/>
                <w:bCs/>
                <w:color w:val="auto"/>
                <w:sz w:val="24"/>
                <w:highlight w:val="none"/>
              </w:rPr>
              <w:t>中标供应商在收到中标通知后7个工作日内提交纸质版胶装投标文件（内容同电子投标文件）一正两副或系统解密版打印三份（封面盖章加骑缝），用于项目资料存档。（邮寄地址：</w:t>
            </w:r>
            <w:r>
              <w:rPr>
                <w:rFonts w:hint="eastAsia" w:ascii="宋体" w:hAnsi="宋体"/>
                <w:bCs/>
                <w:color w:val="auto"/>
                <w:sz w:val="24"/>
                <w:highlight w:val="none"/>
                <w:lang w:eastAsia="zh-CN"/>
              </w:rPr>
              <w:t>杭州市上城区富春路308号华成国际发展大厦8楼</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付工</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15382363926</w:t>
            </w:r>
            <w:r>
              <w:rPr>
                <w:rFonts w:hint="eastAsia" w:ascii="宋体" w:hAnsi="宋体"/>
                <w:bCs/>
                <w:color w:val="auto"/>
                <w:sz w:val="24"/>
                <w:highlight w:val="none"/>
              </w:rPr>
              <w:t>收）</w:t>
            </w:r>
          </w:p>
          <w:p>
            <w:pPr>
              <w:snapToGrid w:val="0"/>
              <w:spacing w:line="360" w:lineRule="auto"/>
              <w:ind w:right="143" w:rightChars="68" w:firstLine="81" w:firstLineChars="34"/>
              <w:jc w:val="left"/>
              <w:rPr>
                <w:rFonts w:hint="eastAsia" w:ascii="宋体" w:hAnsi="宋体" w:eastAsia="宋体" w:cs="Times New Roman"/>
                <w:bCs/>
                <w:color w:val="auto"/>
                <w:sz w:val="24"/>
                <w:highlight w:val="none"/>
              </w:rPr>
            </w:pPr>
            <w:r>
              <w:rPr>
                <w:rFonts w:hint="eastAsia" w:ascii="宋体" w:hAnsi="宋体"/>
                <w:bCs/>
                <w:color w:val="auto"/>
                <w:kern w:val="28"/>
                <w:sz w:val="24"/>
                <w:highlight w:val="none"/>
              </w:rPr>
              <w:t>（3）</w:t>
            </w:r>
            <w:r>
              <w:rPr>
                <w:rFonts w:hint="eastAsia" w:ascii="宋体" w:hAnsi="宋体"/>
                <w:bCs/>
                <w:color w:val="auto"/>
                <w:sz w:val="24"/>
                <w:highlight w:val="none"/>
              </w:rPr>
              <w:t>本项目招标代理服务费收费为：按《关于印发招标代理服务收费管理暂行办法的通知》（计价格【2002】1980号）收费标准的70%执行，</w:t>
            </w:r>
            <w:r>
              <w:rPr>
                <w:rFonts w:hint="eastAsia" w:ascii="宋体" w:hAnsi="宋体"/>
                <w:bCs/>
                <w:color w:val="auto"/>
                <w:sz w:val="24"/>
                <w:highlight w:val="none"/>
                <w:lang w:val="en-US" w:eastAsia="zh-CN"/>
              </w:rPr>
              <w:t>不足陆仟按陆仟元计取</w:t>
            </w:r>
            <w:r>
              <w:rPr>
                <w:rFonts w:hint="eastAsia" w:ascii="宋体" w:hAnsi="宋体"/>
                <w:bCs/>
                <w:color w:val="auto"/>
                <w:sz w:val="24"/>
                <w:highlight w:val="none"/>
              </w:rPr>
              <w:t>。</w:t>
            </w:r>
          </w:p>
          <w:p>
            <w:pPr>
              <w:snapToGrid w:val="0"/>
              <w:spacing w:line="360" w:lineRule="auto"/>
              <w:ind w:right="143" w:rightChars="68"/>
              <w:jc w:val="left"/>
              <w:rPr>
                <w:rFonts w:hint="eastAsia" w:ascii="宋体" w:hAnsi="宋体"/>
                <w:bCs/>
                <w:color w:val="auto"/>
                <w:sz w:val="24"/>
                <w:highlight w:val="none"/>
              </w:rPr>
            </w:pPr>
            <w:r>
              <w:rPr>
                <w:rFonts w:hint="eastAsia" w:ascii="宋体" w:hAnsi="宋体"/>
                <w:bCs/>
                <w:color w:val="auto"/>
                <w:sz w:val="24"/>
                <w:highlight w:val="none"/>
              </w:rPr>
              <w:sym w:font="Wingdings 2" w:char="00A3"/>
            </w:r>
            <w:r>
              <w:rPr>
                <w:rFonts w:hint="eastAsia" w:ascii="宋体" w:hAnsi="宋体"/>
                <w:bCs/>
                <w:color w:val="auto"/>
                <w:sz w:val="24"/>
                <w:highlight w:val="none"/>
              </w:rPr>
              <w:t>采购人在招标完成后支付；</w:t>
            </w:r>
          </w:p>
          <w:p>
            <w:pPr>
              <w:snapToGrid w:val="0"/>
              <w:spacing w:line="360" w:lineRule="auto"/>
              <w:ind w:right="143" w:rightChars="68"/>
              <w:jc w:val="left"/>
              <w:rPr>
                <w:rFonts w:hint="eastAsia" w:ascii="宋体" w:hAnsi="宋体"/>
                <w:b/>
                <w:color w:val="auto"/>
                <w:sz w:val="24"/>
                <w:highlight w:val="none"/>
              </w:rPr>
            </w:pPr>
            <w:r>
              <w:rPr>
                <w:rFonts w:hint="eastAsia" w:ascii="宋体" w:hAnsi="宋体"/>
                <w:b/>
                <w:color w:val="auto"/>
                <w:sz w:val="24"/>
                <w:highlight w:val="none"/>
              </w:rPr>
              <w:sym w:font="Wingdings 2" w:char="0052"/>
            </w:r>
            <w:r>
              <w:rPr>
                <w:rFonts w:hint="eastAsia" w:ascii="宋体" w:hAnsi="宋体"/>
                <w:b/>
                <w:color w:val="auto"/>
                <w:sz w:val="24"/>
                <w:highlight w:val="none"/>
              </w:rPr>
              <w:t>由中标供应商在领取中标通知书后7个工作日内向采购代理机构一次性缴纳。</w:t>
            </w:r>
          </w:p>
          <w:p>
            <w:pPr>
              <w:adjustRightIn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lang w:eastAsia="zh-CN"/>
              </w:rPr>
              <w:t>浙江中际工程项目管理有限公司</w:t>
            </w:r>
          </w:p>
          <w:p>
            <w:pPr>
              <w:adjustRightIn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lang w:eastAsia="zh-CN"/>
              </w:rPr>
              <w:t>中国银行杭州城东支行</w:t>
            </w:r>
          </w:p>
          <w:p>
            <w:pPr>
              <w:snapToGrid w:val="0"/>
              <w:spacing w:line="360" w:lineRule="auto"/>
              <w:ind w:right="143" w:rightChars="68" w:firstLine="81" w:firstLineChars="34"/>
              <w:jc w:val="left"/>
              <w:rPr>
                <w:rFonts w:hint="eastAsia" w:ascii="宋体" w:hAnsi="宋体" w:cs="Arial"/>
                <w:bCs/>
                <w:color w:val="auto"/>
                <w:kern w:val="0"/>
                <w:sz w:val="24"/>
                <w:highlight w:val="none"/>
              </w:rPr>
            </w:pPr>
            <w:r>
              <w:rPr>
                <w:rFonts w:hint="eastAsia" w:ascii="宋体" w:hAnsi="宋体" w:eastAsia="宋体" w:cs="宋体"/>
                <w:color w:val="auto"/>
                <w:sz w:val="24"/>
                <w:szCs w:val="24"/>
                <w:highlight w:val="none"/>
              </w:rPr>
              <w:t>帐    号：</w:t>
            </w:r>
            <w:r>
              <w:rPr>
                <w:rFonts w:hint="eastAsia" w:ascii="宋体" w:hAnsi="宋体" w:eastAsia="宋体" w:cs="宋体"/>
                <w:color w:val="auto"/>
                <w:sz w:val="24"/>
                <w:szCs w:val="24"/>
                <w:highlight w:val="none"/>
                <w:lang w:eastAsia="zh-CN"/>
              </w:rPr>
              <w:t>4013 5832 7200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cs="宋体"/>
                <w:bCs/>
                <w:color w:val="auto"/>
                <w:sz w:val="24"/>
                <w:highlight w:val="none"/>
              </w:rPr>
            </w:pPr>
            <w:bookmarkStart w:id="11" w:name="_Toc164416483"/>
            <w:bookmarkStart w:id="12" w:name="第三部分"/>
          </w:p>
        </w:tc>
        <w:tc>
          <w:tcPr>
            <w:tcW w:w="2253" w:type="dxa"/>
            <w:vMerge w:val="continue"/>
            <w:tcBorders>
              <w:left w:val="single" w:color="000000" w:sz="2" w:space="0"/>
              <w:bottom w:val="single" w:color="auto" w:sz="4" w:space="0"/>
              <w:right w:val="single" w:color="000000" w:sz="8" w:space="0"/>
            </w:tcBorders>
            <w:vAlign w:val="center"/>
          </w:tcPr>
          <w:p>
            <w:pPr>
              <w:snapToGrid w:val="0"/>
              <w:spacing w:line="360" w:lineRule="auto"/>
              <w:jc w:val="left"/>
              <w:rPr>
                <w:rFonts w:hint="eastAsia" w:ascii="宋体" w:hAnsi="宋体" w:cs="宋体"/>
                <w:bCs/>
                <w:color w:val="auto"/>
                <w:sz w:val="24"/>
                <w:highlight w:val="none"/>
              </w:rPr>
            </w:pPr>
          </w:p>
        </w:tc>
        <w:tc>
          <w:tcPr>
            <w:tcW w:w="6485"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ind w:right="143" w:rightChars="68" w:firstLine="82" w:firstLineChars="34"/>
              <w:jc w:val="left"/>
              <w:rPr>
                <w:rFonts w:hint="eastAsia" w:ascii="宋体" w:hAnsi="宋体"/>
                <w:bCs/>
                <w:color w:val="auto"/>
                <w:sz w:val="24"/>
                <w:highlight w:val="none"/>
              </w:rPr>
            </w:pPr>
            <w:r>
              <w:rPr>
                <w:rFonts w:hint="eastAsia" w:ascii="宋体" w:hAnsi="宋体" w:eastAsia="宋体" w:cs="宋体"/>
                <w:b/>
                <w:bCs/>
                <w:color w:val="auto"/>
                <w:sz w:val="24"/>
                <w:highlight w:val="none"/>
              </w:rPr>
              <w:t>根据《浙江省财政厅关于进一步规范政府采购秩序促进公平竞争的通知》（浙财采监〔2025〕2号）相关规定，在评审结束后、合同签订前，采购人、采购代理机构应及时通过网站查询、原件核对等方式对中标（成交）供应商在投标（响应）文件中涉及客观分评审内容的检测报告、认证证书等资料的真实性进行复核；如采购人或采购代理机构向供应商要求提交涉及客观分评审内容的资料时，中标（成交）供应商应积极配合，因未及时提供导致不利于供应商的判断，责任由供应商自行承担。</w:t>
            </w:r>
          </w:p>
        </w:tc>
      </w:tr>
      <w:bookmarkEnd w:id="10"/>
    </w:tbl>
    <w:p>
      <w:pPr>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pPr>
        <w:adjustRightInd/>
        <w:snapToGrid w:val="0"/>
        <w:spacing w:line="360" w:lineRule="auto"/>
        <w:ind w:firstLine="3605" w:firstLineChars="1197"/>
        <w:outlineLvl w:val="0"/>
        <w:rPr>
          <w:rFonts w:hint="eastAsia" w:ascii="宋体" w:hAnsi="宋体" w:cs="宋体"/>
          <w:b/>
          <w:color w:val="auto"/>
          <w:sz w:val="30"/>
          <w:szCs w:val="30"/>
          <w:highlight w:val="none"/>
        </w:rPr>
      </w:pPr>
      <w:r>
        <w:rPr>
          <w:rFonts w:hint="eastAsia" w:ascii="宋体" w:hAnsi="宋体" w:cs="宋体"/>
          <w:b/>
          <w:color w:val="auto"/>
          <w:sz w:val="30"/>
          <w:szCs w:val="30"/>
          <w:highlight w:val="none"/>
        </w:rPr>
        <w:t>一、总则</w:t>
      </w:r>
    </w:p>
    <w:p>
      <w:pPr>
        <w:snapToGrid w:val="0"/>
        <w:spacing w:line="348" w:lineRule="auto"/>
        <w:ind w:firstLine="361" w:firstLineChars="150"/>
        <w:jc w:val="left"/>
        <w:outlineLvl w:val="1"/>
        <w:rPr>
          <w:rFonts w:hint="eastAsia" w:ascii="宋体" w:hAnsi="宋体" w:cs="宋体"/>
          <w:b/>
          <w:color w:val="auto"/>
          <w:sz w:val="24"/>
          <w:highlight w:val="none"/>
        </w:rPr>
      </w:pPr>
      <w:r>
        <w:rPr>
          <w:rFonts w:hint="eastAsia" w:ascii="宋体" w:hAnsi="宋体" w:cs="宋体"/>
          <w:b/>
          <w:color w:val="auto"/>
          <w:sz w:val="24"/>
          <w:highlight w:val="none"/>
        </w:rPr>
        <w:t>1.适用范围</w:t>
      </w:r>
    </w:p>
    <w:p>
      <w:pPr>
        <w:snapToGrid w:val="0"/>
        <w:spacing w:line="348"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napToGrid w:val="0"/>
        <w:spacing w:line="348" w:lineRule="auto"/>
        <w:outlineLvl w:val="0"/>
        <w:rPr>
          <w:rFonts w:hint="eastAsia" w:ascii="宋体" w:hAnsi="宋体" w:cs="宋体"/>
          <w:b/>
          <w:color w:val="auto"/>
          <w:sz w:val="24"/>
          <w:highlight w:val="none"/>
        </w:rPr>
      </w:pPr>
      <w:r>
        <w:rPr>
          <w:rFonts w:hint="eastAsia" w:ascii="宋体" w:hAnsi="宋体" w:cs="宋体"/>
          <w:b/>
          <w:color w:val="auto"/>
          <w:sz w:val="24"/>
          <w:highlight w:val="none"/>
        </w:rPr>
        <w:t xml:space="preserve">   2.定义</w:t>
      </w:r>
    </w:p>
    <w:p>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napToGrid w:val="0"/>
        <w:spacing w:line="348"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2.6“电子交易平台”是指本项目政府采购活动所依托的乐采云平台（https://hzjyg.lecaiyun.com）。</w:t>
      </w:r>
    </w:p>
    <w:p>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r>
        <w:rPr>
          <w:rFonts w:ascii="宋体" w:hAnsi="宋体" w:cs="宋体"/>
          <w:color w:val="auto"/>
          <w:sz w:val="24"/>
          <w:highlight w:val="none"/>
        </w:rPr>
        <w:t>◆</w:t>
      </w:r>
      <w:r>
        <w:rPr>
          <w:rFonts w:hint="eastAsia" w:ascii="宋体" w:hAnsi="宋体" w:cs="宋体"/>
          <w:color w:val="auto"/>
          <w:sz w:val="24"/>
          <w:highlight w:val="none"/>
        </w:rPr>
        <w:t>”系指技术参数重要指标，“</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pPr>
        <w:snapToGrid w:val="0"/>
        <w:spacing w:line="348"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napToGrid w:val="0"/>
        <w:spacing w:line="348"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3"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鼓励供应商在参加采购过程中开展绿色设计、选择绿色材料、打造绿色制造工艺、开展绿色运输、做好废弃产品回收处理，实现产品全周期的绿色环保。鼓励采购单位对其提高预付款比例、免收履约保证金。</w:t>
      </w:r>
      <w:bookmarkEnd w:id="13"/>
    </w:p>
    <w:p>
      <w:pPr>
        <w:snapToGrid w:val="0"/>
        <w:spacing w:line="348"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 xml:space="preserve"> 支持中小企业发展</w:t>
      </w:r>
    </w:p>
    <w:p>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符合中小企业划分标准的个体工商户，在采购活动中视同中小企业。</w:t>
      </w:r>
    </w:p>
    <w:p>
      <w:pPr>
        <w:widowControl/>
        <w:snapToGrid w:val="0"/>
        <w:spacing w:line="348" w:lineRule="auto"/>
        <w:ind w:firstLine="480" w:firstLineChars="200"/>
        <w:jc w:val="left"/>
        <w:rPr>
          <w:rFonts w:hint="eastAsia" w:ascii="宋体" w:hAnsi="宋体" w:cs="宋体"/>
          <w:color w:val="auto"/>
          <w:kern w:val="0"/>
          <w:sz w:val="24"/>
          <w:highlight w:val="none"/>
        </w:rPr>
      </w:pPr>
      <w:r>
        <w:rPr>
          <w:rFonts w:ascii="宋体" w:hAnsi="宋体" w:cs="宋体"/>
          <w:bCs/>
          <w:color w:val="auto"/>
          <w:sz w:val="24"/>
          <w:highlight w:val="none"/>
        </w:rPr>
        <w:t>3.</w:t>
      </w:r>
      <w:r>
        <w:rPr>
          <w:rFonts w:hint="eastAsia" w:ascii="宋体" w:hAnsi="宋体" w:cs="宋体"/>
          <w:bCs/>
          <w:color w:val="auto"/>
          <w:sz w:val="24"/>
          <w:highlight w:val="none"/>
          <w:lang w:val="en-US" w:eastAsia="zh-CN"/>
        </w:rPr>
        <w:t>3</w:t>
      </w:r>
      <w:r>
        <w:rPr>
          <w:rFonts w:ascii="宋体" w:hAnsi="宋体" w:cs="宋体"/>
          <w:bCs/>
          <w:color w:val="auto"/>
          <w:sz w:val="24"/>
          <w:highlight w:val="none"/>
        </w:rPr>
        <w:t>.2</w:t>
      </w:r>
      <w:r>
        <w:rPr>
          <w:rFonts w:hint="eastAsia" w:ascii="宋体" w:hAnsi="宋体" w:cs="宋体"/>
          <w:color w:val="auto"/>
          <w:kern w:val="0"/>
          <w:sz w:val="24"/>
          <w:highlight w:val="none"/>
        </w:rPr>
        <w:t>在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napToGrid w:val="0"/>
        <w:spacing w:line="34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以联合体形式参加采购活动，联合体各方均为中小企业的，联合体视同中小企业。其中，联合体各方均为小微企业的，联合体视同小微企业。</w:t>
      </w:r>
    </w:p>
    <w:p>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3对于未预留份额专门面向中小企业的采购服务项目，以及预留份额采购服务项目中的非预留部分标项，对小型和微型企业的投标报价给予10%-20%的扣除，用扣除后的价格参与评审。接受大中型企业与小微企业组成联合体或者允许大中型企业向一家或者多家小微企业分包的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.4符合《关于促进残疾人就业政府采购政策的通知》（财库〔2017〕141号）规定的条件并提供《残疾人福利性单位声明函》（附件1）的残疾人福利性单位视同小型、微型企业；</w:t>
      </w:r>
    </w:p>
    <w:p>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48"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.6可享受中小企业扶持政策的投标人应按照招标文件格式要求提供《中小企业声明函》，《中小企业声明函》填写企业类型错误，导致该企业享受本不能享受的中小企业扶持政策，投标无效并依法承担法律责任。</w:t>
      </w:r>
    </w:p>
    <w:p>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.7中小企业享受扶持政策获得采购合同的，小微企业不得将合同分包给大中型企业，中型企业不得将合同分包给大型企业。</w:t>
      </w:r>
    </w:p>
    <w:p>
      <w:pPr>
        <w:snapToGrid w:val="0"/>
        <w:spacing w:line="348"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cs="宋体"/>
          <w:bCs/>
          <w:color w:val="auto"/>
          <w:sz w:val="24"/>
          <w:highlight w:val="none"/>
        </w:rPr>
        <w:t>支持创新发展</w:t>
      </w:r>
    </w:p>
    <w:p>
      <w:pPr>
        <w:snapToGrid w:val="0"/>
        <w:spacing w:line="348" w:lineRule="auto"/>
        <w:ind w:left="0" w:leftChars="0" w:firstLine="420" w:firstLineChars="175"/>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.1 首台套、“制造精品”、“专精特新”等创新产品按规定享受政府采购支持政策。</w:t>
      </w:r>
    </w:p>
    <w:p>
      <w:pPr>
        <w:snapToGrid w:val="0"/>
        <w:spacing w:line="348" w:lineRule="auto"/>
        <w:ind w:left="0" w:leftChars="0" w:firstLine="420" w:firstLineChars="175"/>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采购人应当贯彻落实知识产权保护相关法律法规，应当采购使用正版软件。</w:t>
      </w:r>
    </w:p>
    <w:p>
      <w:pPr>
        <w:snapToGrid w:val="0"/>
        <w:spacing w:line="348"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平等对待内外资企业和符合条件的破产重整企业</w:t>
      </w:r>
    </w:p>
    <w:p>
      <w:pPr>
        <w:snapToGrid w:val="0"/>
        <w:spacing w:line="348" w:lineRule="auto"/>
        <w:ind w:firstLine="240" w:firstLineChars="100"/>
        <w:rPr>
          <w:rFonts w:hint="eastAsia"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乐采云-项目采购-询问质疑投诉-询问列表；鼓励供应商在线提起质疑，路径为：乐采云-项目采购-询问质疑投诉-质疑列表。质疑供应商对在线质疑答复不满意的，可向同级采购监督管理部门提起投诉。</w:t>
      </w:r>
    </w:p>
    <w:p>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4.3.1提出质疑的供应商应当是参与所质疑项目采购活动的供应商。潜在供应商已依法获取其可质疑的招标文件的，可以对该文件提出质疑。</w:t>
      </w:r>
    </w:p>
    <w:p>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4.3.2.1对招标文件提出质疑的，质疑期限为供应商获得招标文件之日或者招标文件公告期限届满之日起计算。</w:t>
      </w:r>
    </w:p>
    <w:p>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4.3.2.2对采购过程提出质疑的，质疑期限为各采购程序环节结束之日起计算。4.3.2.3对采购结果提出质疑的，质疑期限自采购结果公告期限届满之日起计算。</w:t>
      </w:r>
    </w:p>
    <w:p>
      <w:pPr>
        <w:autoSpaceDE w:val="0"/>
        <w:autoSpaceDN w:val="0"/>
        <w:snapToGrid w:val="0"/>
        <w:spacing w:line="348" w:lineRule="auto"/>
        <w:ind w:firstLine="0" w:firstLineChars="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4.3.3供应商提出质疑应当提交质疑函和必要的证明材料。质疑函应当包括下列内容：</w:t>
      </w:r>
    </w:p>
    <w:p>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4.3.3.1供应商的姓名或者名称、地址、邮编、联系人及联系电话；</w:t>
      </w:r>
    </w:p>
    <w:p>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4.3.3.2质疑项目的名称、编号；</w:t>
      </w:r>
    </w:p>
    <w:p>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4.3.3.3具体、明确的质疑事项和与质疑事项相关的请求；</w:t>
      </w:r>
    </w:p>
    <w:p>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4.3.3.4事实依据；</w:t>
      </w:r>
    </w:p>
    <w:p>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4.3.3.5必要的法律依据；</w:t>
      </w:r>
    </w:p>
    <w:p>
      <w:pPr>
        <w:autoSpaceDE w:val="0"/>
        <w:autoSpaceDN w:val="0"/>
        <w:snapToGrid w:val="0"/>
        <w:spacing w:line="348" w:lineRule="auto"/>
        <w:ind w:firstLine="960" w:firstLineChars="4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4.3.3.6提出质疑的日期。</w:t>
      </w:r>
    </w:p>
    <w:p>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质疑函范本及制作说明详见附件2。</w:t>
      </w:r>
    </w:p>
    <w:p>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4.3.4对同一采购程序环节的质疑，供应商须在法定质疑期内一次性提出。</w:t>
      </w:r>
    </w:p>
    <w:p>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4.3.5采购人或者采购代理机构应当在收到供应商的书面质疑后七个工作日内作出答复，并以书面形式通知质疑供应商和其他与质疑处理结果有利害关系的采购当事人，但答复的内容不得涉及商业秘密。</w:t>
      </w:r>
    </w:p>
    <w:p>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4.3.6询问或者质疑事项可能影响采购结果的，采购人应当暂停签订合同，已经签订合同的，应当中止履行合同。</w:t>
      </w:r>
    </w:p>
    <w:p>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4.4供应商投诉</w:t>
      </w:r>
    </w:p>
    <w:p>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4.4.1质疑供应商对采购人、采购代理机构的答复不满意或者采购人、采购代理机构未在规定的时间内作出答复的，可以在答复期满后十五个工作日内向采购监督管理部门提出投诉。</w:t>
      </w:r>
    </w:p>
    <w:p>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4.4.2供应商投诉的事项不得超出已质疑事项的范围，基于质疑答复内容提出的投诉事项除外。</w:t>
      </w:r>
    </w:p>
    <w:p>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4.4.3供应商投诉应当有明确的请求和必要的证明材料。</w:t>
      </w:r>
    </w:p>
    <w:p>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4.4.4以联合体形式参加采购活动的，其投诉应当由组成联合体的所有供应商共同提出。</w:t>
      </w:r>
    </w:p>
    <w:p>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投诉书范本及制作说明详见附件3。</w:t>
      </w:r>
    </w:p>
    <w:p>
      <w:pPr>
        <w:adjustRightInd/>
        <w:snapToGrid w:val="0"/>
        <w:spacing w:line="348" w:lineRule="auto"/>
        <w:jc w:val="center"/>
        <w:outlineLvl w:val="0"/>
        <w:rPr>
          <w:rFonts w:hint="eastAsia" w:ascii="宋体" w:hAnsi="宋体" w:cs="宋体"/>
          <w:b/>
          <w:color w:val="auto"/>
          <w:sz w:val="32"/>
          <w:szCs w:val="20"/>
          <w:highlight w:val="none"/>
        </w:rPr>
      </w:pPr>
      <w:r>
        <w:rPr>
          <w:rFonts w:hint="eastAsia" w:ascii="宋体" w:hAnsi="宋体" w:cs="宋体"/>
          <w:b/>
          <w:color w:val="auto"/>
          <w:sz w:val="30"/>
          <w:szCs w:val="30"/>
          <w:highlight w:val="none"/>
        </w:rPr>
        <w:t>二、招标文件的构成、澄清、修改</w:t>
      </w:r>
    </w:p>
    <w:p>
      <w:pPr>
        <w:pStyle w:val="10"/>
        <w:snapToGrid w:val="0"/>
        <w:spacing w:line="348"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pPr>
        <w:pStyle w:val="10"/>
        <w:snapToGrid w:val="0"/>
        <w:spacing w:line="348"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10"/>
        <w:tabs>
          <w:tab w:val="left" w:pos="840"/>
        </w:tabs>
        <w:snapToGrid w:val="0"/>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pPr>
        <w:pStyle w:val="10"/>
        <w:tabs>
          <w:tab w:val="left" w:pos="840"/>
        </w:tabs>
        <w:snapToGrid w:val="0"/>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pPr>
        <w:pStyle w:val="10"/>
        <w:tabs>
          <w:tab w:val="left" w:pos="840"/>
        </w:tabs>
        <w:snapToGrid w:val="0"/>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pPr>
        <w:pStyle w:val="10"/>
        <w:tabs>
          <w:tab w:val="left" w:pos="840"/>
        </w:tabs>
        <w:snapToGrid w:val="0"/>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pPr>
        <w:pStyle w:val="10"/>
        <w:tabs>
          <w:tab w:val="left" w:pos="840"/>
        </w:tabs>
        <w:snapToGrid w:val="0"/>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pPr>
        <w:pStyle w:val="10"/>
        <w:tabs>
          <w:tab w:val="left" w:pos="840"/>
        </w:tabs>
        <w:snapToGrid w:val="0"/>
        <w:spacing w:line="348"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10"/>
        <w:snapToGrid w:val="0"/>
        <w:spacing w:line="348"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8"/>
        <w:snapToGrid w:val="0"/>
        <w:spacing w:line="348" w:lineRule="auto"/>
        <w:jc w:val="center"/>
        <w:rPr>
          <w:rFonts w:hint="eastAsia" w:hAnsi="宋体" w:cs="宋体"/>
          <w:b/>
          <w:color w:val="auto"/>
          <w:sz w:val="30"/>
          <w:szCs w:val="20"/>
          <w:highlight w:val="none"/>
        </w:rPr>
      </w:pPr>
      <w:r>
        <w:rPr>
          <w:rFonts w:hint="eastAsia" w:hAnsi="宋体" w:cs="宋体"/>
          <w:b/>
          <w:color w:val="auto"/>
          <w:sz w:val="30"/>
          <w:szCs w:val="20"/>
          <w:highlight w:val="none"/>
        </w:rPr>
        <w:t>三、投标</w:t>
      </w:r>
    </w:p>
    <w:p>
      <w:pPr>
        <w:pStyle w:val="10"/>
        <w:snapToGrid w:val="0"/>
        <w:spacing w:line="348"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pPr>
        <w:snapToGrid w:val="0"/>
        <w:spacing w:line="348"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10"/>
        <w:snapToGrid w:val="0"/>
        <w:spacing w:line="348"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10"/>
        <w:snapToGrid w:val="0"/>
        <w:spacing w:line="348"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10"/>
        <w:snapToGrid w:val="0"/>
        <w:spacing w:line="348" w:lineRule="auto"/>
        <w:rPr>
          <w:rFonts w:hint="eastAsia" w:hAnsi="宋体" w:cs="宋体"/>
          <w:b/>
          <w:color w:val="auto"/>
          <w:szCs w:val="24"/>
          <w:highlight w:val="none"/>
        </w:rPr>
      </w:pPr>
      <w:r>
        <w:rPr>
          <w:rFonts w:hint="eastAsia" w:hAnsi="宋体" w:cs="宋体"/>
          <w:b/>
          <w:color w:val="auto"/>
          <w:kern w:val="28"/>
          <w:sz w:val="24"/>
          <w:szCs w:val="24"/>
          <w:highlight w:val="none"/>
        </w:rPr>
        <w:t>9</w:t>
      </w:r>
      <w:r>
        <w:rPr>
          <w:rFonts w:hint="eastAsia" w:cs="宋体"/>
          <w:b/>
          <w:color w:val="auto"/>
          <w:highlight w:val="none"/>
        </w:rPr>
        <w:t xml:space="preserve">. </w:t>
      </w:r>
      <w:r>
        <w:rPr>
          <w:rFonts w:hint="eastAsia" w:hAnsi="宋体" w:cs="宋体"/>
          <w:b/>
          <w:color w:val="auto"/>
          <w:kern w:val="28"/>
          <w:sz w:val="24"/>
          <w:szCs w:val="24"/>
          <w:highlight w:val="none"/>
        </w:rPr>
        <w:t>投标保证金</w:t>
      </w:r>
    </w:p>
    <w:p>
      <w:pPr>
        <w:pStyle w:val="6"/>
        <w:spacing w:line="348"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pPr>
        <w:pStyle w:val="10"/>
        <w:snapToGrid w:val="0"/>
        <w:spacing w:line="348"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napToGrid w:val="0"/>
        <w:spacing w:line="348"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10"/>
        <w:snapToGrid w:val="0"/>
        <w:spacing w:line="348" w:lineRule="auto"/>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p>
    <w:p>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11.1.1符合参加采购活动应当具备的一般条件的承诺函；</w:t>
      </w:r>
    </w:p>
    <w:p>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48" w:lineRule="auto"/>
        <w:ind w:firstLine="482" w:firstLineChars="20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48"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48"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48"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pPr>
        <w:snapToGrid w:val="0"/>
        <w:spacing w:line="348"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48" w:lineRule="auto"/>
        <w:ind w:firstLine="960" w:firstLineChars="400"/>
        <w:rPr>
          <w:color w:val="auto"/>
          <w:highlight w:val="none"/>
        </w:rPr>
      </w:pPr>
      <w:r>
        <w:rPr>
          <w:rFonts w:hint="eastAsia" w:ascii="宋体" w:hAnsi="宋体" w:cs="宋体"/>
          <w:color w:val="auto"/>
          <w:sz w:val="24"/>
          <w:highlight w:val="none"/>
        </w:rPr>
        <w:t>11.3.2 报价情况说明；</w:t>
      </w:r>
    </w:p>
    <w:p>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w:t>
      </w:r>
      <w:r>
        <w:rPr>
          <w:rFonts w:hint="eastAsia" w:ascii="宋体" w:hAnsi="宋体"/>
          <w:snapToGrid w:val="0"/>
          <w:color w:val="auto"/>
          <w:kern w:val="28"/>
          <w:sz w:val="24"/>
          <w:highlight w:val="none"/>
        </w:rPr>
        <w:t>（如果有)</w:t>
      </w:r>
      <w:r>
        <w:rPr>
          <w:rFonts w:hint="eastAsia" w:ascii="宋体" w:hAnsi="宋体" w:cs="宋体"/>
          <w:color w:val="auto"/>
          <w:sz w:val="24"/>
          <w:highlight w:val="none"/>
        </w:rPr>
        <w:t>。</w:t>
      </w:r>
    </w:p>
    <w:p>
      <w:pPr>
        <w:snapToGrid w:val="0"/>
        <w:spacing w:line="348"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napToGrid w:val="0"/>
        <w:spacing w:line="348"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pStyle w:val="28"/>
        <w:snapToGrid w:val="0"/>
        <w:spacing w:before="0" w:line="348" w:lineRule="auto"/>
        <w:ind w:left="0" w:leftChars="0" w:firstLine="420" w:firstLineChars="175"/>
        <w:outlineLvl w:val="0"/>
        <w:rPr>
          <w:rFonts w:hint="eastAsia" w:ascii="宋体" w:hAnsi="宋体" w:cs="宋体"/>
          <w:color w:val="auto"/>
          <w:sz w:val="24"/>
          <w:highlight w:val="none"/>
        </w:rPr>
      </w:pPr>
      <w:r>
        <w:rPr>
          <w:rFonts w:hint="eastAsia" w:ascii="宋体" w:hAnsi="宋体" w:cs="宋体"/>
          <w:color w:val="auto"/>
          <w:sz w:val="24"/>
          <w:highlight w:val="none"/>
        </w:rPr>
        <w:t>投标人可事先在公开官网查询、核对相关证书和报告内容，确保投标（响应）文件资料准确无误。投标人应对投标文件中材料的真实性、合法性负责。</w:t>
      </w:r>
    </w:p>
    <w:p>
      <w:pPr>
        <w:pStyle w:val="28"/>
        <w:snapToGrid w:val="0"/>
        <w:spacing w:before="0" w:line="348" w:lineRule="auto"/>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cs="宋体"/>
          <w:b/>
          <w:color w:val="auto"/>
          <w:highlight w:val="none"/>
        </w:rPr>
        <w:t xml:space="preserve">. </w:t>
      </w:r>
      <w:r>
        <w:rPr>
          <w:rFonts w:hint="eastAsia" w:ascii="宋体" w:hAnsi="宋体" w:cs="宋体"/>
          <w:b/>
          <w:color w:val="auto"/>
          <w:szCs w:val="24"/>
          <w:highlight w:val="none"/>
        </w:rPr>
        <w:t>投标文件的编制</w:t>
      </w:r>
    </w:p>
    <w:p>
      <w:pPr>
        <w:snapToGrid w:val="0"/>
        <w:spacing w:line="348"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napToGrid w:val="0"/>
        <w:spacing w:line="348"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12.2投标人进行电子投标应安装客户端软件—“乐采云电子交易客户端”，并按照招标文件和电子交易平台的要求编制并加密投标文件。投标人未按规定加密的投标文件，电子交易平台将拒收并提示。</w:t>
      </w:r>
    </w:p>
    <w:p>
      <w:pPr>
        <w:snapToGrid w:val="0"/>
        <w:spacing w:line="348"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12.3使用“乐采云电子交易客户端”需要提前申领CA数字证书，申领流程请自行前往“</w:t>
      </w:r>
      <w:r>
        <w:rPr>
          <w:rFonts w:hint="eastAsia" w:ascii="宋体" w:hAnsi="宋体" w:cs="宋体"/>
          <w:color w:val="auto"/>
          <w:kern w:val="0"/>
          <w:sz w:val="24"/>
          <w:highlight w:val="none"/>
        </w:rPr>
        <w:t>乐采云平台</w:t>
      </w:r>
      <w:r>
        <w:rPr>
          <w:rFonts w:hint="eastAsia" w:ascii="宋体" w:hAnsi="宋体" w:cs="宋体"/>
          <w:color w:val="auto"/>
          <w:kern w:val="0"/>
          <w:sz w:val="24"/>
          <w:highlight w:val="none"/>
          <w:lang w:val="zh-CN"/>
        </w:rPr>
        <w:t>-下载专区-电子交易客户端-CA驱动和申领流程”进行查阅。</w:t>
      </w:r>
    </w:p>
    <w:p>
      <w:pPr>
        <w:snapToGrid w:val="0"/>
        <w:spacing w:line="348" w:lineRule="auto"/>
        <w:rPr>
          <w:rFonts w:hint="eastAsia" w:ascii="宋体" w:hAnsi="宋体" w:cs="宋体"/>
          <w:b/>
          <w:color w:val="auto"/>
          <w:sz w:val="24"/>
          <w:highlight w:val="none"/>
        </w:rPr>
      </w:pPr>
      <w:r>
        <w:rPr>
          <w:rFonts w:hint="eastAsia" w:ascii="宋体" w:hAnsi="宋体" w:cs="宋体"/>
          <w:b/>
          <w:color w:val="auto"/>
          <w:sz w:val="24"/>
          <w:highlight w:val="none"/>
        </w:rPr>
        <w:t>13</w:t>
      </w:r>
      <w:r>
        <w:rPr>
          <w:rFonts w:hint="eastAsia" w:cs="宋体"/>
          <w:b/>
          <w:color w:val="auto"/>
          <w:highlight w:val="none"/>
        </w:rPr>
        <w:t xml:space="preserve">. </w:t>
      </w:r>
      <w:r>
        <w:rPr>
          <w:rFonts w:hint="eastAsia" w:ascii="宋体" w:hAnsi="宋体" w:cs="宋体"/>
          <w:b/>
          <w:color w:val="auto"/>
          <w:sz w:val="24"/>
          <w:highlight w:val="none"/>
        </w:rPr>
        <w:t>投标文件的签署、盖章</w:t>
      </w:r>
    </w:p>
    <w:p>
      <w:pPr>
        <w:pStyle w:val="28"/>
        <w:snapToGrid w:val="0"/>
        <w:spacing w:before="0" w:line="348" w:lineRule="auto"/>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13.2为确保网上操作合法、有效和安全，投标人应当在投标截止时间前完成在“乐采云平台”的身份认证，确保在电子投标过程中能够对相关数据电文进行加密和使用电子签名。</w:t>
      </w:r>
    </w:p>
    <w:p>
      <w:pPr>
        <w:pStyle w:val="28"/>
        <w:snapToGrid w:val="0"/>
        <w:spacing w:before="0" w:line="348" w:lineRule="auto"/>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28"/>
        <w:snapToGrid w:val="0"/>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w:t>
      </w:r>
      <w:r>
        <w:rPr>
          <w:rFonts w:hint="eastAsia" w:cs="宋体"/>
          <w:b/>
          <w:color w:val="auto"/>
          <w:highlight w:val="none"/>
        </w:rPr>
        <w:t xml:space="preserve">. </w:t>
      </w:r>
      <w:r>
        <w:rPr>
          <w:rFonts w:hint="eastAsia" w:ascii="宋体" w:hAnsi="宋体" w:cs="宋体"/>
          <w:b/>
          <w:color w:val="auto"/>
          <w:szCs w:val="24"/>
          <w:highlight w:val="none"/>
        </w:rPr>
        <w:t>投标文件的提交、补充、修改、撤回</w:t>
      </w:r>
    </w:p>
    <w:p>
      <w:pPr>
        <w:pStyle w:val="28"/>
        <w:snapToGrid w:val="0"/>
        <w:spacing w:before="0" w:line="348" w:lineRule="auto"/>
        <w:ind w:firstLine="480"/>
        <w:rPr>
          <w:rFonts w:hint="eastAsia" w:ascii="宋体" w:hAnsi="宋体" w:cs="宋体"/>
          <w:color w:val="auto"/>
          <w:szCs w:val="24"/>
          <w:highlight w:val="none"/>
        </w:rPr>
      </w:pPr>
      <w:r>
        <w:rPr>
          <w:rFonts w:hint="eastAsia" w:ascii="宋体" w:hAnsi="宋体" w:cs="宋体"/>
          <w:color w:val="auto"/>
          <w:szCs w:val="24"/>
          <w:highlight w:val="none"/>
        </w:rPr>
        <w:t>14.1 投标人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28"/>
        <w:snapToGrid w:val="0"/>
        <w:spacing w:before="0" w:line="348" w:lineRule="auto"/>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14.2电子交易平台收到投标文件，将妥善保存并即时向投标人发出确认回执通知。在投标截止时间前，除投标人补充、修改或者撤回投标文件外，任何单位和个人不得解密或提取投标文件。</w:t>
      </w:r>
    </w:p>
    <w:p>
      <w:pPr>
        <w:pStyle w:val="28"/>
        <w:snapToGrid w:val="0"/>
        <w:spacing w:before="0" w:line="348" w:lineRule="auto"/>
        <w:ind w:firstLine="480"/>
        <w:rPr>
          <w:rFonts w:hint="eastAsia"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10"/>
        <w:snapToGrid w:val="0"/>
        <w:spacing w:line="348" w:lineRule="auto"/>
        <w:rPr>
          <w:rFonts w:hint="eastAsia" w:hAnsi="宋体" w:cs="宋体"/>
          <w:b/>
          <w:color w:val="auto"/>
          <w:sz w:val="24"/>
          <w:szCs w:val="24"/>
          <w:highlight w:val="none"/>
        </w:rPr>
      </w:pPr>
      <w:r>
        <w:rPr>
          <w:rFonts w:hint="eastAsia" w:hAnsi="宋体" w:cs="宋体"/>
          <w:b/>
          <w:color w:val="auto"/>
          <w:sz w:val="24"/>
          <w:szCs w:val="24"/>
          <w:highlight w:val="none"/>
        </w:rPr>
        <w:t>15</w:t>
      </w:r>
      <w:r>
        <w:rPr>
          <w:rFonts w:hint="eastAsia" w:cs="宋体"/>
          <w:b/>
          <w:color w:val="auto"/>
          <w:highlight w:val="none"/>
        </w:rPr>
        <w:t xml:space="preserve">. </w:t>
      </w:r>
      <w:r>
        <w:rPr>
          <w:rFonts w:hint="eastAsia" w:hAnsi="宋体" w:cs="宋体"/>
          <w:b/>
          <w:color w:val="auto"/>
          <w:sz w:val="24"/>
          <w:szCs w:val="24"/>
          <w:highlight w:val="none"/>
        </w:rPr>
        <w:t>备份投标文件</w:t>
      </w:r>
    </w:p>
    <w:p>
      <w:pPr>
        <w:pStyle w:val="10"/>
        <w:snapToGrid w:val="0"/>
        <w:spacing w:line="348"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10"/>
        <w:snapToGrid w:val="0"/>
        <w:spacing w:line="348"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15.2备份投标文件须在“乐采云投标客户端”制作生成，并储存在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10"/>
        <w:snapToGrid w:val="0"/>
        <w:spacing w:line="348"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10"/>
        <w:snapToGrid w:val="0"/>
        <w:spacing w:line="348"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10"/>
        <w:snapToGrid w:val="0"/>
        <w:spacing w:line="348"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28"/>
        <w:snapToGrid w:val="0"/>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w:t>
      </w:r>
      <w:r>
        <w:rPr>
          <w:rFonts w:hint="eastAsia" w:cs="宋体"/>
          <w:b/>
          <w:color w:val="auto"/>
          <w:highlight w:val="none"/>
        </w:rPr>
        <w:t xml:space="preserve">. </w:t>
      </w:r>
      <w:r>
        <w:rPr>
          <w:rFonts w:hint="eastAsia" w:ascii="宋体" w:hAnsi="宋体" w:cs="宋体"/>
          <w:b/>
          <w:color w:val="auto"/>
          <w:szCs w:val="24"/>
          <w:highlight w:val="none"/>
        </w:rPr>
        <w:t>投标文件的无效处理</w:t>
      </w:r>
    </w:p>
    <w:p>
      <w:pPr>
        <w:pStyle w:val="2"/>
        <w:snapToGrid w:val="0"/>
        <w:spacing w:line="348"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28"/>
        <w:snapToGrid w:val="0"/>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w:t>
      </w:r>
      <w:r>
        <w:rPr>
          <w:rFonts w:hint="eastAsia" w:cs="宋体"/>
          <w:b/>
          <w:color w:val="auto"/>
          <w:highlight w:val="none"/>
        </w:rPr>
        <w:t xml:space="preserve">. </w:t>
      </w:r>
      <w:r>
        <w:rPr>
          <w:rFonts w:hint="eastAsia" w:ascii="宋体" w:hAnsi="宋体" w:cs="宋体"/>
          <w:b/>
          <w:color w:val="auto"/>
          <w:szCs w:val="24"/>
          <w:highlight w:val="none"/>
        </w:rPr>
        <w:t>投标有效期</w:t>
      </w:r>
    </w:p>
    <w:p>
      <w:pPr>
        <w:snapToGrid w:val="0"/>
        <w:spacing w:line="348"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pPr>
        <w:pStyle w:val="28"/>
        <w:snapToGrid w:val="0"/>
        <w:spacing w:before="0" w:line="348" w:lineRule="auto"/>
        <w:ind w:firstLine="0" w:firstLineChars="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四、开标、资格审查与信用信息查询</w:t>
      </w:r>
    </w:p>
    <w:p>
      <w:pPr>
        <w:pStyle w:val="29"/>
        <w:snapToGrid w:val="0"/>
        <w:spacing w:before="0" w:line="348" w:lineRule="auto"/>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w:t>
      </w:r>
      <w:r>
        <w:rPr>
          <w:rFonts w:hint="eastAsia" w:cs="宋体"/>
          <w:b/>
          <w:color w:val="auto"/>
          <w:highlight w:val="none"/>
        </w:rPr>
        <w:t xml:space="preserve">. </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pPr>
        <w:pStyle w:val="29"/>
        <w:snapToGrid w:val="0"/>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29"/>
        <w:snapToGrid w:val="0"/>
        <w:spacing w:before="0" w:line="348"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29"/>
        <w:snapToGrid w:val="0"/>
        <w:spacing w:before="0" w:line="348"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napToGrid w:val="0"/>
        <w:spacing w:line="348"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cs="宋体"/>
          <w:b/>
          <w:color w:val="auto"/>
          <w:highlight w:val="none"/>
        </w:rPr>
        <w:t xml:space="preserve">. </w:t>
      </w:r>
      <w:r>
        <w:rPr>
          <w:rFonts w:hint="eastAsia" w:ascii="宋体" w:hAnsi="宋体" w:cs="宋体"/>
          <w:b/>
          <w:color w:val="auto"/>
          <w:sz w:val="24"/>
          <w:szCs w:val="20"/>
          <w:highlight w:val="none"/>
        </w:rPr>
        <w:t>资格审查</w:t>
      </w:r>
    </w:p>
    <w:p>
      <w:pPr>
        <w:pStyle w:val="28"/>
        <w:snapToGrid w:val="0"/>
        <w:spacing w:before="0" w:line="348" w:lineRule="auto"/>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19.1开标后，采购人或</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将依据法律法规和招标文件的规定，对投标人的资格进行审查。</w:t>
      </w:r>
    </w:p>
    <w:p>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kern w:val="0"/>
          <w:highlight w:val="none"/>
        </w:rPr>
        <w:t>19.2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kern w:val="0"/>
          <w:szCs w:val="24"/>
          <w:highlight w:val="none"/>
        </w:rPr>
        <w:t>19.3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kern w:val="0"/>
          <w:szCs w:val="24"/>
          <w:highlight w:val="none"/>
        </w:rPr>
        <w:t>19.4</w:t>
      </w:r>
      <w:r>
        <w:rPr>
          <w:rFonts w:hint="eastAsia" w:ascii="宋体" w:hAnsi="宋体" w:cs="宋体"/>
          <w:color w:val="auto"/>
          <w:highlight w:val="none"/>
        </w:rPr>
        <w:t>合格投标人不足3家的，不再评标。</w:t>
      </w:r>
    </w:p>
    <w:p>
      <w:pPr>
        <w:pStyle w:val="28"/>
        <w:snapToGrid w:val="0"/>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w:t>
      </w:r>
      <w:r>
        <w:rPr>
          <w:rFonts w:hint="eastAsia" w:cs="宋体"/>
          <w:b/>
          <w:color w:val="auto"/>
          <w:highlight w:val="none"/>
        </w:rPr>
        <w:t xml:space="preserve">. </w:t>
      </w:r>
      <w:r>
        <w:rPr>
          <w:rFonts w:hint="eastAsia" w:ascii="宋体" w:hAnsi="宋体" w:cs="宋体"/>
          <w:b/>
          <w:color w:val="auto"/>
          <w:szCs w:val="24"/>
          <w:highlight w:val="none"/>
        </w:rPr>
        <w:t>信用信息查询</w:t>
      </w:r>
    </w:p>
    <w:p>
      <w:pPr>
        <w:pStyle w:val="28"/>
        <w:snapToGrid w:val="0"/>
        <w:spacing w:before="0" w:line="348" w:lineRule="auto"/>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pPr>
        <w:pStyle w:val="28"/>
        <w:snapToGrid w:val="0"/>
        <w:spacing w:before="0" w:line="348" w:lineRule="auto"/>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28"/>
        <w:snapToGrid w:val="0"/>
        <w:spacing w:before="0" w:line="348" w:lineRule="auto"/>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20.3信用信息的使用规则：经查询列入失信被执行人名单、重大税收违法失信主体、政府采购严重违法失信行为记录名单的投标人将被拒绝参与采购活动。</w:t>
      </w:r>
    </w:p>
    <w:p>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投标人的身份共同参加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snapToGrid w:val="0"/>
        <w:spacing w:line="348" w:lineRule="auto"/>
        <w:jc w:val="center"/>
        <w:outlineLvl w:val="0"/>
        <w:rPr>
          <w:rFonts w:hint="eastAsia" w:ascii="宋体" w:hAnsi="宋体" w:cs="宋体"/>
          <w:b/>
          <w:color w:val="auto"/>
          <w:sz w:val="30"/>
          <w:szCs w:val="30"/>
          <w:highlight w:val="none"/>
        </w:rPr>
      </w:pPr>
      <w:r>
        <w:rPr>
          <w:rFonts w:hint="eastAsia" w:ascii="宋体" w:hAnsi="宋体" w:cs="宋体"/>
          <w:b/>
          <w:color w:val="auto"/>
          <w:sz w:val="30"/>
          <w:szCs w:val="30"/>
          <w:highlight w:val="none"/>
        </w:rPr>
        <w:t>五、评标</w:t>
      </w:r>
    </w:p>
    <w:p>
      <w:pPr>
        <w:snapToGrid w:val="0"/>
        <w:spacing w:line="348" w:lineRule="auto"/>
        <w:rPr>
          <w:rFonts w:hint="eastAsia"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b/>
          <w:color w:val="auto"/>
          <w:highlight w:val="none"/>
        </w:rPr>
        <w:t>.</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napToGrid w:val="0"/>
        <w:spacing w:line="348" w:lineRule="auto"/>
        <w:jc w:val="center"/>
        <w:outlineLvl w:val="0"/>
        <w:rPr>
          <w:rFonts w:hint="eastAsia" w:ascii="宋体" w:hAnsi="宋体" w:cs="宋体"/>
          <w:b/>
          <w:color w:val="auto"/>
          <w:sz w:val="30"/>
          <w:szCs w:val="30"/>
          <w:highlight w:val="none"/>
        </w:rPr>
      </w:pPr>
      <w:r>
        <w:rPr>
          <w:rFonts w:hint="eastAsia" w:ascii="宋体" w:hAnsi="宋体" w:cs="宋体"/>
          <w:b/>
          <w:color w:val="auto"/>
          <w:sz w:val="30"/>
          <w:szCs w:val="30"/>
          <w:highlight w:val="none"/>
        </w:rPr>
        <w:t>六、定标</w:t>
      </w:r>
    </w:p>
    <w:p>
      <w:pPr>
        <w:pStyle w:val="2"/>
        <w:snapToGrid w:val="0"/>
        <w:spacing w:line="348" w:lineRule="auto"/>
        <w:ind w:left="479" w:hanging="479" w:hangingChars="199"/>
        <w:rPr>
          <w:rFonts w:hint="eastAsia" w:cs="宋体"/>
          <w:b/>
          <w:color w:val="auto"/>
          <w:highlight w:val="none"/>
        </w:rPr>
      </w:pPr>
      <w:r>
        <w:rPr>
          <w:rFonts w:hint="eastAsia" w:cs="宋体"/>
          <w:b/>
          <w:color w:val="auto"/>
          <w:highlight w:val="none"/>
        </w:rPr>
        <w:t>22. 确定中标供应商</w:t>
      </w:r>
    </w:p>
    <w:p>
      <w:pPr>
        <w:pStyle w:val="28"/>
        <w:snapToGrid w:val="0"/>
        <w:spacing w:before="0" w:line="348" w:lineRule="auto"/>
        <w:ind w:firstLine="480"/>
        <w:rPr>
          <w:rFonts w:hint="eastAsia" w:ascii="宋体" w:hAnsi="宋体" w:cs="宋体"/>
          <w:b/>
          <w:color w:val="auto"/>
          <w:szCs w:val="24"/>
          <w:highlight w:val="none"/>
        </w:rPr>
      </w:pPr>
      <w:r>
        <w:rPr>
          <w:rFonts w:hint="eastAsia" w:ascii="宋体" w:hAnsi="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采购效率，鼓励在收到评审报告当天在线确定中标或者成交供应商。在采购结果确认环节，中标候选人撤销投标文件不能成为采购人不确认采购结果的正当理由。中标、成交通知书和中标、成交结果公告应当在规定时间内同时发出。</w:t>
      </w:r>
    </w:p>
    <w:p>
      <w:pPr>
        <w:pStyle w:val="28"/>
        <w:snapToGrid w:val="0"/>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napToGrid w:val="0"/>
        <w:spacing w:line="348"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23.1自中标供应商确定之日起2个工作日内，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通过电子交易平台向中标供应商发出中标通知书，同时编制发布采购结果公告。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napToGrid w:val="0"/>
        <w:spacing w:line="348"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的名称、地址、联系方式，项目名称和项目编号，中标供应商名称、地址和中标金额，主要中标标的的名称、规格型号、数量、单价、服务要求，开标记录、</w:t>
      </w:r>
      <w:bookmarkStart w:id="15" w:name="_Hlk101184471"/>
      <w:r>
        <w:rPr>
          <w:rFonts w:hint="eastAsia" w:ascii="宋体" w:hAnsi="宋体" w:cs="宋体"/>
          <w:color w:val="auto"/>
          <w:sz w:val="24"/>
          <w:highlight w:val="none"/>
        </w:rPr>
        <w:t>资格审查情况、评审专家抽取规则、符合性审查情况、</w:t>
      </w:r>
      <w:bookmarkEnd w:id="15"/>
      <w:r>
        <w:rPr>
          <w:rFonts w:hint="eastAsia" w:ascii="宋体" w:hAnsi="宋体" w:cs="宋体"/>
          <w:color w:val="auto"/>
          <w:sz w:val="24"/>
          <w:highlight w:val="none"/>
        </w:rPr>
        <w:t>未中标情况说明、中标公告期限以及评审专家名单、评分汇总及明细。</w:t>
      </w:r>
    </w:p>
    <w:p>
      <w:pPr>
        <w:widowControl/>
        <w:shd w:val="clear" w:color="auto" w:fill="FFFFFF"/>
        <w:snapToGrid w:val="0"/>
        <w:spacing w:line="348"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pPr>
        <w:widowControl/>
        <w:shd w:val="clear" w:color="auto" w:fill="FFFFFF"/>
        <w:snapToGrid w:val="0"/>
        <w:spacing w:line="348" w:lineRule="auto"/>
        <w:ind w:firstLine="480"/>
        <w:jc w:val="left"/>
        <w:rPr>
          <w:rFonts w:hint="eastAsia" w:ascii="宋体" w:hAnsi="宋体" w:cs="宋体"/>
          <w:b/>
          <w:color w:val="auto"/>
          <w:sz w:val="32"/>
          <w:highlight w:val="none"/>
        </w:rPr>
      </w:pPr>
      <w:r>
        <w:rPr>
          <w:rFonts w:hint="eastAsia" w:ascii="宋体" w:hAnsi="宋体" w:cs="宋体"/>
          <w:color w:val="auto"/>
          <w:sz w:val="24"/>
          <w:highlight w:val="none"/>
        </w:rPr>
        <w:t>23.4 由于中标、成交供应商原因导致重新采购的，应当承担支付代理费和专家评审费等费用在内的赔偿责任。</w:t>
      </w:r>
    </w:p>
    <w:p>
      <w:pPr>
        <w:snapToGrid w:val="0"/>
        <w:spacing w:line="348" w:lineRule="auto"/>
        <w:ind w:left="120" w:leftChars="57" w:firstLine="452" w:firstLineChars="15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七、合同授予</w:t>
      </w:r>
    </w:p>
    <w:p>
      <w:pPr>
        <w:pStyle w:val="2"/>
        <w:snapToGrid w:val="0"/>
        <w:spacing w:line="348"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
        <w:snapToGrid w:val="0"/>
        <w:spacing w:line="348" w:lineRule="auto"/>
        <w:ind w:left="479" w:hanging="479" w:hangingChars="199"/>
        <w:rPr>
          <w:rFonts w:hint="eastAsia" w:cs="宋体"/>
          <w:b/>
          <w:color w:val="auto"/>
          <w:highlight w:val="none"/>
        </w:rPr>
      </w:pPr>
      <w:r>
        <w:rPr>
          <w:rFonts w:hint="eastAsia" w:cs="宋体"/>
          <w:b/>
          <w:color w:val="auto"/>
          <w:highlight w:val="none"/>
        </w:rPr>
        <w:t>25. 合同的签订</w:t>
      </w:r>
    </w:p>
    <w:p>
      <w:pPr>
        <w:widowControl/>
        <w:shd w:val="clear" w:color="auto" w:fill="FFFFFF"/>
        <w:snapToGrid w:val="0"/>
        <w:spacing w:line="348"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供应商应当通过电子交易平台在中标通知书发出之日起三十日内，按照招标文件确定的事项签订采购合同。鼓励有条件的采购人视情缩减采购合同签订时限（10个工作日），提高采购效率，杜绝“冷、硬、横、推”等不当行为。</w:t>
      </w:r>
    </w:p>
    <w:p>
      <w:pPr>
        <w:pStyle w:val="28"/>
        <w:snapToGrid w:val="0"/>
        <w:spacing w:before="0" w:line="348" w:lineRule="auto"/>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25.2中标供应商按规定的日期、时间、地点，由法定代表人或其授权代表与采购人代表签订合同。如中标供应商为联合体的，由联合体成员各方法定代表人或其授权代表与采购人代表签订合同。</w:t>
      </w:r>
    </w:p>
    <w:p>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25.3如签订合同并生效后，中标供应商无故拒绝或延期，除按照合同条款处理外，列入不良行为记录一次，并给予通报。</w:t>
      </w:r>
    </w:p>
    <w:p>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25.4中标供应商拒绝与采购人签订合同的，采购人可以按照评审报告推荐的中标或者成交候选人名单排序，确定下一候选人为中标供应商，也可以重新开展采购活动。</w:t>
      </w:r>
    </w:p>
    <w:p>
      <w:pPr>
        <w:pStyle w:val="2"/>
        <w:snapToGrid w:val="0"/>
        <w:spacing w:line="348" w:lineRule="auto"/>
        <w:ind w:left="479" w:hanging="479" w:hangingChars="199"/>
        <w:rPr>
          <w:rFonts w:hint="eastAsia" w:cs="宋体"/>
          <w:b/>
          <w:color w:val="auto"/>
          <w:highlight w:val="none"/>
        </w:rPr>
      </w:pPr>
      <w:r>
        <w:rPr>
          <w:rFonts w:hint="eastAsia" w:cs="宋体"/>
          <w:b/>
          <w:color w:val="auto"/>
          <w:highlight w:val="none"/>
        </w:rPr>
        <w:t>26. 履约保证金</w:t>
      </w:r>
    </w:p>
    <w:p>
      <w:pPr>
        <w:tabs>
          <w:tab w:val="left" w:pos="0"/>
        </w:tabs>
        <w:snapToGrid w:val="0"/>
        <w:spacing w:line="348"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拟签订的合同文本要求中标供应商提交履约保证金的，中标供应商应当以支票、汇票、本票或者金融机构、担保机构出具的保函等非现金形式提交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%。鼓励和支持中标供应商以银行、保险公司出具的保函形式提供履约保证金。采购人不得拒收履约保函，项目验收结束后应及时退还，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4"/>
        <w:snapToGrid w:val="0"/>
        <w:spacing w:line="348" w:lineRule="auto"/>
        <w:rPr>
          <w:rFonts w:hint="eastAsia"/>
          <w:color w:val="auto"/>
          <w:highlight w:val="none"/>
        </w:rPr>
      </w:pPr>
      <w:r>
        <w:rPr>
          <w:rFonts w:ascii="宋体" w:hAnsi="宋体" w:eastAsia="宋体"/>
          <w:color w:val="auto"/>
          <w:sz w:val="24"/>
          <w:highlight w:val="none"/>
          <w:lang w:val="en-US"/>
        </w:rPr>
        <w:t>27.预付款</w:t>
      </w:r>
    </w:p>
    <w:p>
      <w:pPr>
        <w:adjustRightInd/>
        <w:snapToGrid w:val="0"/>
        <w:spacing w:line="348" w:lineRule="auto"/>
        <w:ind w:firstLine="480" w:firstLineChars="200"/>
        <w:rPr>
          <w:color w:val="auto"/>
          <w:highlight w:val="none"/>
        </w:rPr>
      </w:pPr>
      <w:r>
        <w:rPr>
          <w:rFonts w:hint="eastAsia" w:ascii="宋体" w:hAnsi="宋体"/>
          <w:color w:val="auto"/>
          <w:sz w:val="24"/>
          <w:highlight w:val="none"/>
        </w:rPr>
        <w:t>采购单位应当在采购合同中约定预付款，对中小企业合同预付款比例原则上不低于合同金额的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w:t>
      </w:r>
    </w:p>
    <w:p>
      <w:pPr>
        <w:snapToGrid w:val="0"/>
        <w:spacing w:line="348" w:lineRule="auto"/>
        <w:ind w:firstLine="3147" w:firstLineChars="1045"/>
        <w:rPr>
          <w:rFonts w:hint="eastAsia" w:ascii="宋体" w:hAnsi="宋体" w:cs="宋体"/>
          <w:b/>
          <w:color w:val="auto"/>
          <w:sz w:val="30"/>
          <w:szCs w:val="30"/>
          <w:highlight w:val="none"/>
        </w:rPr>
      </w:pPr>
      <w:r>
        <w:rPr>
          <w:rFonts w:hint="eastAsia" w:ascii="宋体" w:hAnsi="宋体" w:cs="宋体"/>
          <w:b/>
          <w:color w:val="auto"/>
          <w:sz w:val="30"/>
          <w:szCs w:val="30"/>
          <w:highlight w:val="none"/>
        </w:rPr>
        <w:t>八、电子交易活动的中止</w:t>
      </w:r>
    </w:p>
    <w:p>
      <w:pPr>
        <w:pStyle w:val="28"/>
        <w:snapToGrid w:val="0"/>
        <w:spacing w:before="0" w:line="348" w:lineRule="auto"/>
        <w:ind w:firstLine="0" w:firstLineChars="0"/>
        <w:rPr>
          <w:rFonts w:hint="eastAsia"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28"/>
        <w:snapToGrid w:val="0"/>
        <w:spacing w:before="0" w:line="348" w:lineRule="auto"/>
        <w:ind w:firstLine="0" w:firstLineChars="0"/>
        <w:rPr>
          <w:rFonts w:hint="eastAsia"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48" w:lineRule="auto"/>
        <w:ind w:left="120" w:leftChars="57" w:firstLine="452" w:firstLineChars="15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九、验收</w:t>
      </w:r>
    </w:p>
    <w:p>
      <w:pPr>
        <w:pStyle w:val="2"/>
        <w:snapToGrid w:val="0"/>
        <w:spacing w:line="348" w:lineRule="auto"/>
        <w:ind w:firstLine="0" w:firstLineChars="0"/>
        <w:rPr>
          <w:rFonts w:hint="eastAsia" w:cs="宋体"/>
          <w:b/>
          <w:color w:val="auto"/>
          <w:highlight w:val="none"/>
        </w:rPr>
      </w:pPr>
      <w:r>
        <w:rPr>
          <w:rFonts w:hint="eastAsia" w:cs="宋体"/>
          <w:b/>
          <w:color w:val="auto"/>
          <w:highlight w:val="none"/>
        </w:rPr>
        <w:t>30.验收</w:t>
      </w:r>
    </w:p>
    <w:p>
      <w:pPr>
        <w:tabs>
          <w:tab w:val="left" w:pos="0"/>
        </w:tabs>
        <w:snapToGrid w:val="0"/>
        <w:spacing w:line="348"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napToGrid w:val="0"/>
        <w:spacing w:line="348"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napToGrid w:val="0"/>
        <w:spacing w:line="348"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napToGrid w:val="0"/>
        <w:spacing w:line="348" w:lineRule="auto"/>
        <w:ind w:firstLine="480"/>
        <w:rPr>
          <w:rFonts w:hint="eastAsia"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17" w:right="1418" w:bottom="1417" w:left="1418" w:header="851" w:footer="992" w:gutter="0"/>
          <w:pgNumType w:fmt="decimal"/>
          <w:cols w:space="0" w:num="1"/>
          <w:titlePg/>
          <w:docGrid w:linePitch="312" w:charSpace="0"/>
        </w:sect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4"/>
    </w:p>
    <w:bookmarkEnd w:id="11"/>
    <w:bookmarkEnd w:id="12"/>
    <w:p>
      <w:pPr>
        <w:spacing w:line="360" w:lineRule="auto"/>
        <w:jc w:val="center"/>
        <w:outlineLvl w:val="0"/>
        <w:rPr>
          <w:rFonts w:hint="eastAsia" w:ascii="宋体" w:hAnsi="宋体" w:cs="宋体"/>
          <w:b/>
          <w:color w:val="auto"/>
          <w:sz w:val="36"/>
          <w:szCs w:val="36"/>
          <w:highlight w:val="none"/>
        </w:rPr>
      </w:pPr>
      <w:bookmarkStart w:id="16" w:name="第四部分"/>
      <w:r>
        <w:rPr>
          <w:rFonts w:hint="eastAsia" w:ascii="宋体" w:hAnsi="宋体" w:cs="宋体"/>
          <w:b/>
          <w:color w:val="auto"/>
          <w:sz w:val="36"/>
          <w:szCs w:val="36"/>
          <w:highlight w:val="none"/>
        </w:rPr>
        <w:t>第三部分   采购需求</w:t>
      </w:r>
    </w:p>
    <w:p>
      <w:pPr>
        <w:spacing w:line="360" w:lineRule="auto"/>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（一）项目概况</w:t>
      </w:r>
    </w:p>
    <w:p>
      <w:pPr>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随着信息技术的飞速发展，我校积极响应国家教育现代化号召，致力于打造智能化、数据化的新型校园环境。本项目旨在整合现有信息化系统资源，通过引进先进的智慧校园创新AI解决方案，全面升级我校的教学、管理及服务模式，实现校园运营管理的智能化和决策须支持的数据化。本次校园信息系统改造建设项目包括如下建设内容：</w:t>
      </w:r>
    </w:p>
    <w:tbl>
      <w:tblPr>
        <w:tblStyle w:val="17"/>
        <w:tblW w:w="8868" w:type="dxa"/>
        <w:tblInd w:w="88" w:type="dxa"/>
        <w:tblLayout w:type="fixed"/>
        <w:tblCellMar>
          <w:top w:w="0" w:type="dxa"/>
          <w:left w:w="108" w:type="dxa"/>
          <w:bottom w:w="0" w:type="dxa"/>
          <w:right w:w="108" w:type="dxa"/>
        </w:tblCellMar>
      </w:tblPr>
      <w:tblGrid>
        <w:gridCol w:w="664"/>
        <w:gridCol w:w="4290"/>
        <w:gridCol w:w="2026"/>
        <w:gridCol w:w="1888"/>
      </w:tblGrid>
      <w:tr>
        <w:tblPrEx>
          <w:tblCellMar>
            <w:top w:w="0" w:type="dxa"/>
            <w:left w:w="108" w:type="dxa"/>
            <w:bottom w:w="0" w:type="dxa"/>
            <w:right w:w="108" w:type="dxa"/>
          </w:tblCellMar>
        </w:tblPrEx>
        <w:trPr>
          <w:trHeight w:val="360" w:hRule="atLeast"/>
        </w:trPr>
        <w:tc>
          <w:tcPr>
            <w:tcW w:w="6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序号</w:t>
            </w:r>
          </w:p>
        </w:tc>
        <w:tc>
          <w:tcPr>
            <w:tcW w:w="42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产品名称</w:t>
            </w:r>
          </w:p>
        </w:tc>
        <w:tc>
          <w:tcPr>
            <w:tcW w:w="20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8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单位</w:t>
            </w:r>
          </w:p>
        </w:tc>
      </w:tr>
      <w:tr>
        <w:tblPrEx>
          <w:tblCellMar>
            <w:top w:w="0" w:type="dxa"/>
            <w:left w:w="108" w:type="dxa"/>
            <w:bottom w:w="0" w:type="dxa"/>
            <w:right w:w="108" w:type="dxa"/>
          </w:tblCellMar>
        </w:tblPrEx>
        <w:trPr>
          <w:trHeight w:val="360" w:hRule="atLeast"/>
        </w:trPr>
        <w:tc>
          <w:tcPr>
            <w:tcW w:w="6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c>
          <w:tcPr>
            <w:tcW w:w="42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AI美术</w:t>
            </w:r>
          </w:p>
        </w:tc>
        <w:tc>
          <w:tcPr>
            <w:tcW w:w="20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c>
          <w:tcPr>
            <w:tcW w:w="18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套</w:t>
            </w:r>
          </w:p>
        </w:tc>
      </w:tr>
      <w:tr>
        <w:tblPrEx>
          <w:tblCellMar>
            <w:top w:w="0" w:type="dxa"/>
            <w:left w:w="108" w:type="dxa"/>
            <w:bottom w:w="0" w:type="dxa"/>
            <w:right w:w="108" w:type="dxa"/>
          </w:tblCellMar>
        </w:tblPrEx>
        <w:trPr>
          <w:trHeight w:val="90" w:hRule="atLeast"/>
        </w:trPr>
        <w:tc>
          <w:tcPr>
            <w:tcW w:w="6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w:t>
            </w:r>
          </w:p>
        </w:tc>
        <w:tc>
          <w:tcPr>
            <w:tcW w:w="42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AI教学</w:t>
            </w:r>
          </w:p>
        </w:tc>
        <w:tc>
          <w:tcPr>
            <w:tcW w:w="20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c>
          <w:tcPr>
            <w:tcW w:w="18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套</w:t>
            </w:r>
          </w:p>
        </w:tc>
      </w:tr>
      <w:tr>
        <w:tblPrEx>
          <w:tblCellMar>
            <w:top w:w="0" w:type="dxa"/>
            <w:left w:w="108" w:type="dxa"/>
            <w:bottom w:w="0" w:type="dxa"/>
            <w:right w:w="108" w:type="dxa"/>
          </w:tblCellMar>
        </w:tblPrEx>
        <w:trPr>
          <w:trHeight w:val="360" w:hRule="atLeast"/>
        </w:trPr>
        <w:tc>
          <w:tcPr>
            <w:tcW w:w="6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w:t>
            </w:r>
          </w:p>
        </w:tc>
        <w:tc>
          <w:tcPr>
            <w:tcW w:w="42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AI办事</w:t>
            </w:r>
          </w:p>
        </w:tc>
        <w:tc>
          <w:tcPr>
            <w:tcW w:w="20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c>
          <w:tcPr>
            <w:tcW w:w="18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套</w:t>
            </w:r>
          </w:p>
        </w:tc>
      </w:tr>
      <w:tr>
        <w:tblPrEx>
          <w:tblCellMar>
            <w:top w:w="0" w:type="dxa"/>
            <w:left w:w="108" w:type="dxa"/>
            <w:bottom w:w="0" w:type="dxa"/>
            <w:right w:w="108" w:type="dxa"/>
          </w:tblCellMar>
        </w:tblPrEx>
        <w:trPr>
          <w:trHeight w:val="360" w:hRule="atLeast"/>
        </w:trPr>
        <w:tc>
          <w:tcPr>
            <w:tcW w:w="6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w:t>
            </w:r>
          </w:p>
        </w:tc>
        <w:tc>
          <w:tcPr>
            <w:tcW w:w="42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AI分析</w:t>
            </w:r>
          </w:p>
        </w:tc>
        <w:tc>
          <w:tcPr>
            <w:tcW w:w="20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c>
          <w:tcPr>
            <w:tcW w:w="18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套</w:t>
            </w:r>
          </w:p>
        </w:tc>
      </w:tr>
      <w:tr>
        <w:tblPrEx>
          <w:tblCellMar>
            <w:top w:w="0" w:type="dxa"/>
            <w:left w:w="108" w:type="dxa"/>
            <w:bottom w:w="0" w:type="dxa"/>
            <w:right w:w="108" w:type="dxa"/>
          </w:tblCellMar>
        </w:tblPrEx>
        <w:trPr>
          <w:trHeight w:val="360" w:hRule="atLeast"/>
        </w:trPr>
        <w:tc>
          <w:tcPr>
            <w:tcW w:w="6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w:t>
            </w:r>
          </w:p>
        </w:tc>
        <w:tc>
          <w:tcPr>
            <w:tcW w:w="42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val="en-US" w:eastAsia="zh-CN" w:bidi="ar"/>
              </w:rPr>
              <w:t>数字人</w:t>
            </w:r>
          </w:p>
        </w:tc>
        <w:tc>
          <w:tcPr>
            <w:tcW w:w="20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c>
          <w:tcPr>
            <w:tcW w:w="18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套</w:t>
            </w:r>
          </w:p>
        </w:tc>
      </w:tr>
    </w:tbl>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0"/>
          <w:highlight w:val="none"/>
        </w:rPr>
        <w:t>本次项目建设主要内容为杭州第七中学</w:t>
      </w:r>
      <w:r>
        <w:rPr>
          <w:rFonts w:hint="eastAsia" w:ascii="宋体" w:hAnsi="宋体" w:eastAsia="宋体" w:cs="宋体"/>
          <w:color w:val="auto"/>
          <w:sz w:val="24"/>
          <w:szCs w:val="20"/>
          <w:highlight w:val="none"/>
          <w:lang w:eastAsia="zh-CN"/>
        </w:rPr>
        <w:t>转塘校区人工智能教育试点二期</w:t>
      </w:r>
      <w:r>
        <w:rPr>
          <w:rFonts w:hint="eastAsia" w:ascii="宋体" w:hAnsi="宋体" w:eastAsia="宋体" w:cs="宋体"/>
          <w:color w:val="auto"/>
          <w:sz w:val="24"/>
          <w:szCs w:val="20"/>
          <w:highlight w:val="none"/>
        </w:rPr>
        <w:t>建设所需的软件产品</w:t>
      </w:r>
      <w:r>
        <w:rPr>
          <w:rFonts w:hint="eastAsia" w:ascii="宋体" w:hAnsi="宋体" w:eastAsia="宋体" w:cs="宋体"/>
          <w:color w:val="auto"/>
          <w:sz w:val="24"/>
          <w:highlight w:val="none"/>
        </w:rPr>
        <w:t>，合同内容（包含但不仅限于所需产品的设计和优化软件产品）、测试、验收配合、技术培训、售后服务以及伴随的其他一切内容。</w:t>
      </w:r>
    </w:p>
    <w:p>
      <w:pPr>
        <w:spacing w:line="360" w:lineRule="auto"/>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（二）预算金额（元）：</w:t>
      </w:r>
      <w:r>
        <w:rPr>
          <w:rFonts w:hint="eastAsia" w:ascii="宋体" w:hAnsi="宋体" w:eastAsia="宋体" w:cs="宋体"/>
          <w:color w:val="auto"/>
          <w:sz w:val="24"/>
          <w:highlight w:val="none"/>
          <w:u w:val="single"/>
          <w:lang w:val="en-US" w:eastAsia="zh-CN"/>
        </w:rPr>
        <w:t>80</w:t>
      </w:r>
      <w:r>
        <w:rPr>
          <w:rFonts w:hint="eastAsia" w:ascii="宋体" w:hAnsi="宋体" w:eastAsia="宋体" w:cs="宋体"/>
          <w:color w:val="auto"/>
          <w:sz w:val="24"/>
          <w:highlight w:val="none"/>
          <w:u w:val="single"/>
        </w:rPr>
        <w:t>万元</w:t>
      </w:r>
    </w:p>
    <w:p>
      <w:pPr>
        <w:spacing w:line="360" w:lineRule="auto"/>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（三）需满足的政府采购政策目标和具体须支持对象：扶持中小企业</w:t>
      </w:r>
    </w:p>
    <w:p>
      <w:pPr>
        <w:spacing w:line="360" w:lineRule="auto"/>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（四）拟采购标的的技术要求</w:t>
      </w:r>
    </w:p>
    <w:p>
      <w:pPr>
        <w:numPr>
          <w:ilvl w:val="0"/>
          <w:numId w:val="4"/>
        </w:numPr>
        <w:spacing w:line="360" w:lineRule="auto"/>
        <w:jc w:val="left"/>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主要技术要求</w:t>
      </w:r>
    </w:p>
    <w:tbl>
      <w:tblPr>
        <w:tblStyle w:val="17"/>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744"/>
        <w:gridCol w:w="838"/>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64" w:type="dxa"/>
            <w:shd w:val="clear" w:color="auto" w:fill="FFFFFF"/>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序号</w:t>
            </w:r>
          </w:p>
        </w:tc>
        <w:tc>
          <w:tcPr>
            <w:tcW w:w="744" w:type="dxa"/>
            <w:shd w:val="clear" w:color="auto" w:fill="FFFFFF"/>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产品名称</w:t>
            </w:r>
          </w:p>
        </w:tc>
        <w:tc>
          <w:tcPr>
            <w:tcW w:w="838" w:type="dxa"/>
            <w:shd w:val="clear" w:color="auto" w:fill="FFFFFF"/>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功能模块</w:t>
            </w:r>
          </w:p>
        </w:tc>
        <w:tc>
          <w:tcPr>
            <w:tcW w:w="7244" w:type="dxa"/>
            <w:shd w:val="clear" w:color="auto" w:fill="FFFFFF"/>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664" w:type="dxa"/>
            <w:vMerge w:val="restart"/>
            <w:shd w:val="clear" w:color="auto" w:fill="FFFFFF"/>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bidi="ar"/>
              </w:rPr>
              <w:t>1</w:t>
            </w:r>
          </w:p>
        </w:tc>
        <w:tc>
          <w:tcPr>
            <w:tcW w:w="744" w:type="dxa"/>
            <w:vMerge w:val="restart"/>
            <w:shd w:val="clear" w:color="auto" w:fill="FFFFFF"/>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val="en-US" w:eastAsia="zh-CN" w:bidi="ar"/>
              </w:rPr>
              <w:t>AI美术</w:t>
            </w:r>
          </w:p>
        </w:tc>
        <w:tc>
          <w:tcPr>
            <w:tcW w:w="838" w:type="dxa"/>
            <w:shd w:val="clear" w:color="auto" w:fill="FFFFFF"/>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eastAsia" w:ascii="宋体" w:hAnsi="宋体" w:eastAsia="宋体" w:cs="宋体"/>
                <w:color w:val="auto"/>
                <w:kern w:val="0"/>
                <w:sz w:val="21"/>
                <w:szCs w:val="21"/>
                <w:highlight w:val="none"/>
                <w:lang w:val="en-US" w:eastAsia="zh-CN" w:bidi="ar"/>
              </w:rPr>
            </w:pPr>
          </w:p>
          <w:p>
            <w:pPr>
              <w:keepNext w:val="0"/>
              <w:keepLines w:val="0"/>
              <w:pageBreakBefore w:val="0"/>
              <w:widowControl/>
              <w:kinsoku/>
              <w:wordWrap/>
              <w:overflowPunct/>
              <w:topLinePunct w:val="0"/>
              <w:bidi w:val="0"/>
              <w:adjustRightInd/>
              <w:snapToGrid/>
              <w:spacing w:line="276"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素描</w:t>
            </w:r>
          </w:p>
        </w:tc>
        <w:tc>
          <w:tcPr>
            <w:tcW w:w="7244" w:type="dxa"/>
            <w:shd w:val="clear" w:color="auto" w:fill="FFFFFF"/>
            <w:vAlign w:val="center"/>
          </w:tcPr>
          <w:p>
            <w:pPr>
              <w:keepNext w:val="0"/>
              <w:keepLines w:val="0"/>
              <w:pageBreakBefore w:val="0"/>
              <w:widowControl/>
              <w:kinsoku/>
              <w:wordWrap/>
              <w:overflowPunct/>
              <w:topLinePunct w:val="0"/>
              <w:bidi w:val="0"/>
              <w:adjustRightInd/>
              <w:snapToGrid/>
              <w:spacing w:line="276"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cs="宋体"/>
                <w:color w:val="auto"/>
                <w:sz w:val="21"/>
                <w:szCs w:val="21"/>
                <w:highlight w:val="none"/>
                <w:lang w:val="en-US" w:eastAsia="zh-CN"/>
              </w:rPr>
              <w:t>◆</w:t>
            </w:r>
            <w:r>
              <w:rPr>
                <w:rFonts w:hint="default" w:ascii="宋体" w:hAnsi="宋体" w:eastAsia="宋体" w:cs="宋体"/>
                <w:color w:val="auto"/>
                <w:kern w:val="0"/>
                <w:sz w:val="21"/>
                <w:szCs w:val="21"/>
                <w:highlight w:val="none"/>
                <w:lang w:val="en-US" w:eastAsia="zh-CN" w:bidi="ar"/>
              </w:rPr>
              <w:t>1、照片写生：支持根据输入的素描类型（几何体/静物/头像）、画面设置（结构素描/全因素素描）、参考照片、构图方式（横图/竖图）输出素描作品；</w:t>
            </w:r>
            <w:r>
              <w:rPr>
                <w:rFonts w:hint="eastAsia" w:ascii="宋体" w:hAnsi="宋体" w:eastAsia="宋体" w:cs="宋体"/>
                <w:color w:val="auto"/>
                <w:sz w:val="21"/>
                <w:szCs w:val="21"/>
                <w:highlight w:val="none"/>
                <w:lang w:val="en-US" w:eastAsia="zh-CN"/>
              </w:rPr>
              <w:t>【投标时须提供类似系统功能截图】</w:t>
            </w:r>
            <w:r>
              <w:rPr>
                <w:rFonts w:hint="default" w:ascii="宋体" w:hAnsi="宋体" w:eastAsia="宋体" w:cs="宋体"/>
                <w:color w:val="auto"/>
                <w:kern w:val="0"/>
                <w:sz w:val="21"/>
                <w:szCs w:val="21"/>
                <w:highlight w:val="none"/>
                <w:lang w:val="en-US" w:eastAsia="zh-CN" w:bidi="ar"/>
              </w:rPr>
              <w:br w:type="textWrapping"/>
            </w:r>
            <w:r>
              <w:rPr>
                <w:rFonts w:hint="default" w:ascii="宋体" w:hAnsi="宋体" w:eastAsia="宋体" w:cs="宋体"/>
                <w:color w:val="auto"/>
                <w:kern w:val="0"/>
                <w:sz w:val="21"/>
                <w:szCs w:val="21"/>
                <w:highlight w:val="none"/>
                <w:lang w:val="en-US" w:eastAsia="zh-CN" w:bidi="ar"/>
              </w:rPr>
              <w:t>2、画作优化：支持根据输入的素描类型（几何体/静物/头像）、画面设置（结构素描/全因素素描）、画作原图、构图方式（横图/竖图）输出优化后的素描作品；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Merge w:val="continue"/>
            <w:shd w:val="clear" w:color="auto" w:fill="FFFFFF"/>
            <w:vAlign w:val="center"/>
          </w:tcPr>
          <w:p>
            <w:pPr>
              <w:widowControl/>
              <w:jc w:val="center"/>
              <w:textAlignment w:val="center"/>
              <w:rPr>
                <w:rFonts w:hint="eastAsia" w:ascii="宋体" w:hAnsi="宋体" w:eastAsia="宋体" w:cs="宋体"/>
                <w:color w:val="auto"/>
                <w:kern w:val="0"/>
                <w:szCs w:val="21"/>
                <w:highlight w:val="none"/>
                <w:lang w:bidi="ar"/>
              </w:rPr>
            </w:pPr>
          </w:p>
        </w:tc>
        <w:tc>
          <w:tcPr>
            <w:tcW w:w="744" w:type="dxa"/>
            <w:vMerge w:val="continue"/>
            <w:shd w:val="clear" w:color="auto" w:fill="FFFFFF"/>
            <w:vAlign w:val="center"/>
          </w:tcPr>
          <w:p>
            <w:pPr>
              <w:widowControl/>
              <w:jc w:val="center"/>
              <w:textAlignment w:val="center"/>
              <w:rPr>
                <w:rFonts w:hint="eastAsia" w:ascii="宋体" w:hAnsi="宋体" w:eastAsia="宋体" w:cs="宋体"/>
                <w:color w:val="auto"/>
                <w:kern w:val="0"/>
                <w:szCs w:val="21"/>
                <w:highlight w:val="none"/>
                <w:lang w:val="en-US" w:eastAsia="zh-CN" w:bidi="ar"/>
              </w:rPr>
            </w:pPr>
          </w:p>
        </w:tc>
        <w:tc>
          <w:tcPr>
            <w:tcW w:w="838" w:type="dxa"/>
            <w:shd w:val="clear" w:color="auto" w:fill="FFFFFF"/>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色彩</w:t>
            </w:r>
          </w:p>
        </w:tc>
        <w:tc>
          <w:tcPr>
            <w:tcW w:w="7244" w:type="dxa"/>
            <w:shd w:val="clear" w:color="auto" w:fill="FFFFFF"/>
            <w:vAlign w:val="center"/>
          </w:tcPr>
          <w:p>
            <w:pPr>
              <w:keepNext w:val="0"/>
              <w:keepLines w:val="0"/>
              <w:pageBreakBefore w:val="0"/>
              <w:widowControl/>
              <w:kinsoku/>
              <w:wordWrap/>
              <w:overflowPunct/>
              <w:topLinePunct w:val="0"/>
              <w:bidi w:val="0"/>
              <w:adjustRightInd/>
              <w:snapToGrid/>
              <w:spacing w:line="276" w:lineRule="auto"/>
              <w:jc w:val="left"/>
              <w:textAlignment w:val="center"/>
              <w:rPr>
                <w:rFonts w:hint="eastAsia"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val="en-US" w:eastAsia="zh-CN" w:bidi="ar"/>
              </w:rPr>
              <w:t>1、照片写生：支持根据输入的色彩类型（静物/风景）、参考照片、构图方式（横图/竖图）输出色彩作品；</w:t>
            </w:r>
            <w:r>
              <w:rPr>
                <w:rFonts w:hint="default" w:ascii="宋体" w:hAnsi="宋体" w:eastAsia="宋体" w:cs="宋体"/>
                <w:color w:val="auto"/>
                <w:kern w:val="0"/>
                <w:sz w:val="21"/>
                <w:szCs w:val="21"/>
                <w:highlight w:val="none"/>
                <w:lang w:val="en-US" w:eastAsia="zh-CN" w:bidi="ar"/>
              </w:rPr>
              <w:br w:type="textWrapping"/>
            </w:r>
            <w:r>
              <w:rPr>
                <w:rFonts w:hint="default" w:ascii="宋体" w:hAnsi="宋体" w:eastAsia="宋体" w:cs="宋体"/>
                <w:color w:val="auto"/>
                <w:kern w:val="0"/>
                <w:sz w:val="21"/>
                <w:szCs w:val="21"/>
                <w:highlight w:val="none"/>
                <w:lang w:val="en-US" w:eastAsia="zh-CN" w:bidi="ar"/>
              </w:rPr>
              <w:t>2、画作优化；支持根据输入的色彩类型（静物/风景）、画作原图、构图方式（横图/竖图）输出优化后的色彩作品；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Merge w:val="continue"/>
            <w:shd w:val="clear" w:color="auto" w:fill="FFFFFF"/>
            <w:vAlign w:val="center"/>
          </w:tcPr>
          <w:p>
            <w:pPr>
              <w:widowControl/>
              <w:jc w:val="center"/>
              <w:textAlignment w:val="center"/>
              <w:rPr>
                <w:rFonts w:hint="eastAsia" w:ascii="宋体" w:hAnsi="宋体" w:eastAsia="宋体" w:cs="宋体"/>
                <w:color w:val="auto"/>
                <w:kern w:val="0"/>
                <w:szCs w:val="21"/>
                <w:highlight w:val="none"/>
                <w:lang w:bidi="ar"/>
              </w:rPr>
            </w:pPr>
          </w:p>
        </w:tc>
        <w:tc>
          <w:tcPr>
            <w:tcW w:w="744" w:type="dxa"/>
            <w:vMerge w:val="continue"/>
            <w:shd w:val="clear" w:color="auto" w:fill="FFFFFF"/>
            <w:vAlign w:val="center"/>
          </w:tcPr>
          <w:p>
            <w:pPr>
              <w:widowControl/>
              <w:jc w:val="center"/>
              <w:textAlignment w:val="center"/>
              <w:rPr>
                <w:rFonts w:hint="eastAsia" w:ascii="宋体" w:hAnsi="宋体" w:eastAsia="宋体" w:cs="宋体"/>
                <w:color w:val="auto"/>
                <w:kern w:val="0"/>
                <w:szCs w:val="21"/>
                <w:highlight w:val="none"/>
                <w:lang w:val="en-US" w:eastAsia="zh-CN" w:bidi="ar"/>
              </w:rPr>
            </w:pPr>
          </w:p>
        </w:tc>
        <w:tc>
          <w:tcPr>
            <w:tcW w:w="838" w:type="dxa"/>
            <w:shd w:val="clear" w:color="auto" w:fill="FFFFFF"/>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美术学伴</w:t>
            </w:r>
          </w:p>
        </w:tc>
        <w:tc>
          <w:tcPr>
            <w:tcW w:w="7244" w:type="dxa"/>
            <w:shd w:val="clear" w:color="auto" w:fill="FFFFFF"/>
            <w:vAlign w:val="center"/>
          </w:tcPr>
          <w:p>
            <w:pPr>
              <w:keepNext w:val="0"/>
              <w:keepLines w:val="0"/>
              <w:pageBreakBefore w:val="0"/>
              <w:widowControl/>
              <w:kinsoku/>
              <w:wordWrap/>
              <w:overflowPunct/>
              <w:topLinePunct w:val="0"/>
              <w:bidi w:val="0"/>
              <w:adjustRightInd/>
              <w:snapToGrid/>
              <w:spacing w:line="276" w:lineRule="auto"/>
              <w:jc w:val="left"/>
              <w:textAlignment w:val="center"/>
              <w:rPr>
                <w:rFonts w:hint="eastAsia"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val="en-US" w:eastAsia="zh-CN" w:bidi="ar"/>
              </w:rPr>
              <w:t>1、支持学生在</w:t>
            </w:r>
            <w:r>
              <w:rPr>
                <w:rFonts w:hint="eastAsia" w:ascii="宋体" w:hAnsi="宋体" w:eastAsia="宋体" w:cs="宋体"/>
                <w:color w:val="auto"/>
                <w:kern w:val="0"/>
                <w:sz w:val="21"/>
                <w:szCs w:val="21"/>
                <w:highlight w:val="none"/>
                <w:lang w:val="en-US" w:eastAsia="zh-CN" w:bidi="ar"/>
              </w:rPr>
              <w:t>学习终</w:t>
            </w:r>
            <w:r>
              <w:rPr>
                <w:rFonts w:hint="default" w:ascii="宋体" w:hAnsi="宋体" w:eastAsia="宋体" w:cs="宋体"/>
                <w:color w:val="auto"/>
                <w:kern w:val="0"/>
                <w:sz w:val="21"/>
                <w:szCs w:val="21"/>
                <w:highlight w:val="none"/>
                <w:lang w:val="en-US" w:eastAsia="zh-CN" w:bidi="ar"/>
              </w:rPr>
              <w:t>端上传画作，AI美术学伴自动反馈，如画作优化、画作优缺点评（AI+教师点评结合）等；</w:t>
            </w:r>
            <w:r>
              <w:rPr>
                <w:rFonts w:hint="default" w:ascii="宋体" w:hAnsi="宋体" w:eastAsia="宋体" w:cs="宋体"/>
                <w:color w:val="auto"/>
                <w:kern w:val="0"/>
                <w:sz w:val="21"/>
                <w:szCs w:val="21"/>
                <w:highlight w:val="none"/>
                <w:lang w:val="en-US" w:eastAsia="zh-CN" w:bidi="ar"/>
              </w:rPr>
              <w:br w:type="textWrapping"/>
            </w:r>
            <w:r>
              <w:rPr>
                <w:rFonts w:hint="default" w:ascii="宋体" w:hAnsi="宋体" w:eastAsia="宋体" w:cs="宋体"/>
                <w:color w:val="auto"/>
                <w:kern w:val="0"/>
                <w:sz w:val="21"/>
                <w:szCs w:val="21"/>
                <w:highlight w:val="none"/>
                <w:lang w:val="en-US" w:eastAsia="zh-CN" w:bidi="ar"/>
              </w:rPr>
              <w:t>2、学生作业采集：可按照教师布置的作业要求上传作业，任课老师可在教师端查看学生作业。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Merge w:val="restart"/>
            <w:shd w:val="clear" w:color="auto" w:fill="FFFFFF"/>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bidi="ar"/>
              </w:rPr>
              <w:t>2</w:t>
            </w:r>
          </w:p>
        </w:tc>
        <w:tc>
          <w:tcPr>
            <w:tcW w:w="744" w:type="dxa"/>
            <w:vMerge w:val="restart"/>
            <w:shd w:val="clear" w:color="auto" w:fill="FFFFFF"/>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val="en-US" w:eastAsia="zh-CN" w:bidi="ar"/>
              </w:rPr>
              <w:t>AI教学</w:t>
            </w:r>
          </w:p>
        </w:tc>
        <w:tc>
          <w:tcPr>
            <w:tcW w:w="838" w:type="dxa"/>
            <w:shd w:val="clear" w:color="auto" w:fill="FFFFFF"/>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课题研究</w:t>
            </w:r>
          </w:p>
        </w:tc>
        <w:tc>
          <w:tcPr>
            <w:tcW w:w="7244" w:type="dxa"/>
            <w:shd w:val="clear" w:color="auto" w:fill="FFFFFF"/>
            <w:vAlign w:val="center"/>
          </w:tcPr>
          <w:p>
            <w:pPr>
              <w:keepNext w:val="0"/>
              <w:keepLines w:val="0"/>
              <w:pageBreakBefore w:val="0"/>
              <w:widowControl/>
              <w:numPr>
                <w:ilvl w:val="0"/>
                <w:numId w:val="0"/>
              </w:numPr>
              <w:kinsoku/>
              <w:wordWrap/>
              <w:overflowPunct/>
              <w:topLinePunct w:val="0"/>
              <w:bidi w:val="0"/>
              <w:adjustRightInd/>
              <w:snapToGrid/>
              <w:spacing w:line="276"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kern w:val="0"/>
                <w:sz w:val="21"/>
                <w:szCs w:val="21"/>
                <w:highlight w:val="none"/>
                <w:lang w:bidi="ar"/>
              </w:rPr>
              <w:t>课题选题：根据教育领域的研究趋势热点及相关课题，为教师提供具有前瞻性的课题选题建议</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highlight w:val="none"/>
                <w:lang w:val="en-US" w:eastAsia="zh-CN"/>
              </w:rPr>
              <w:t>支持参考填入示例，输入课题名称、学段、立项申请书提纲一键生成立项申请书，按照立项申请书提纲进行输出。</w:t>
            </w:r>
            <w:r>
              <w:rPr>
                <w:rFonts w:hint="eastAsia" w:ascii="宋体" w:hAnsi="宋体" w:eastAsia="宋体" w:cs="宋体"/>
                <w:color w:val="auto"/>
                <w:sz w:val="21"/>
                <w:szCs w:val="21"/>
                <w:highlight w:val="none"/>
                <w:lang w:val="en-US" w:eastAsia="zh-CN"/>
              </w:rPr>
              <w:t>【投标时须提供类似系统功能截图】</w:t>
            </w:r>
          </w:p>
          <w:p>
            <w:pPr>
              <w:keepNext w:val="0"/>
              <w:keepLines w:val="0"/>
              <w:pageBreakBefore w:val="0"/>
              <w:widowControl/>
              <w:numPr>
                <w:ilvl w:val="0"/>
                <w:numId w:val="0"/>
              </w:numPr>
              <w:kinsoku/>
              <w:wordWrap/>
              <w:overflowPunct/>
              <w:topLinePunct w:val="0"/>
              <w:bidi w:val="0"/>
              <w:adjustRightInd/>
              <w:snapToGrid/>
              <w:spacing w:line="276" w:lineRule="auto"/>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课题报告：在申报书撰写过程中，智能分析已有研究成果，帮助教师梳理研究思路，完善申报书结构，支持参考填入示例，输入学段、研究主题一键生成立项申请书，输出结果包含研究热点、最新研究进展、现有研究的缺陷与不足、未来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Merge w:val="continue"/>
            <w:shd w:val="clear" w:color="auto" w:fill="FFFFFF"/>
            <w:vAlign w:val="center"/>
          </w:tcPr>
          <w:p>
            <w:pPr>
              <w:widowControl/>
              <w:jc w:val="center"/>
              <w:textAlignment w:val="center"/>
              <w:rPr>
                <w:rFonts w:hint="eastAsia" w:ascii="宋体" w:hAnsi="宋体" w:eastAsia="宋体" w:cs="宋体"/>
                <w:color w:val="auto"/>
                <w:kern w:val="0"/>
                <w:szCs w:val="21"/>
                <w:highlight w:val="none"/>
                <w:lang w:bidi="ar"/>
              </w:rPr>
            </w:pPr>
          </w:p>
        </w:tc>
        <w:tc>
          <w:tcPr>
            <w:tcW w:w="744" w:type="dxa"/>
            <w:vMerge w:val="continue"/>
            <w:shd w:val="clear" w:color="auto" w:fill="FFFFFF"/>
            <w:vAlign w:val="center"/>
          </w:tcPr>
          <w:p>
            <w:pPr>
              <w:widowControl/>
              <w:jc w:val="center"/>
              <w:textAlignment w:val="center"/>
              <w:rPr>
                <w:rFonts w:hint="eastAsia" w:ascii="宋体" w:hAnsi="宋体" w:eastAsia="宋体" w:cs="宋体"/>
                <w:color w:val="auto"/>
                <w:kern w:val="0"/>
                <w:szCs w:val="21"/>
                <w:highlight w:val="none"/>
                <w:lang w:val="en-US" w:eastAsia="zh-CN" w:bidi="ar"/>
              </w:rPr>
            </w:pPr>
          </w:p>
        </w:tc>
        <w:tc>
          <w:tcPr>
            <w:tcW w:w="838" w:type="dxa"/>
            <w:shd w:val="clear" w:color="auto" w:fill="FFFFFF"/>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教学研修</w:t>
            </w:r>
          </w:p>
        </w:tc>
        <w:tc>
          <w:tcPr>
            <w:tcW w:w="7244" w:type="dxa"/>
            <w:shd w:val="clear" w:color="auto" w:fill="FFFFFF"/>
            <w:vAlign w:val="center"/>
          </w:tcPr>
          <w:p>
            <w:pPr>
              <w:keepNext w:val="0"/>
              <w:keepLines w:val="0"/>
              <w:pageBreakBefore w:val="0"/>
              <w:widowControl/>
              <w:kinsoku/>
              <w:wordWrap/>
              <w:overflowPunct/>
              <w:topLinePunct w:val="0"/>
              <w:bidi w:val="0"/>
              <w:adjustRightInd/>
              <w:snapToGrid/>
              <w:spacing w:line="276"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支持听评课教师</w:t>
            </w:r>
            <w:r>
              <w:rPr>
                <w:rFonts w:hint="eastAsia" w:ascii="宋体" w:hAnsi="宋体" w:eastAsia="宋体" w:cs="宋体"/>
                <w:color w:val="auto"/>
                <w:kern w:val="0"/>
                <w:sz w:val="21"/>
                <w:szCs w:val="21"/>
                <w:highlight w:val="none"/>
                <w:lang w:bidi="ar"/>
              </w:rPr>
              <w:t>分别上传听评课结果，通过AI整合分析听评课</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输出</w:t>
            </w:r>
            <w:r>
              <w:rPr>
                <w:rFonts w:hint="eastAsia" w:ascii="宋体" w:hAnsi="宋体" w:eastAsia="宋体" w:cs="宋体"/>
                <w:color w:val="auto"/>
                <w:kern w:val="0"/>
                <w:sz w:val="21"/>
                <w:szCs w:val="21"/>
                <w:highlight w:val="none"/>
                <w:lang w:bidi="ar"/>
              </w:rPr>
              <w:t>诊断建议至教学处，帮助教师提升教学水平。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Merge w:val="restart"/>
            <w:shd w:val="clear" w:color="auto" w:fill="FFFFFF"/>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bidi="ar"/>
              </w:rPr>
              <w:t>3</w:t>
            </w:r>
          </w:p>
        </w:tc>
        <w:tc>
          <w:tcPr>
            <w:tcW w:w="744" w:type="dxa"/>
            <w:vMerge w:val="restart"/>
            <w:shd w:val="clear" w:color="auto" w:fill="FFFFFF"/>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val="en-US" w:eastAsia="zh-CN" w:bidi="ar"/>
              </w:rPr>
              <w:t>AI办事</w:t>
            </w:r>
          </w:p>
        </w:tc>
        <w:tc>
          <w:tcPr>
            <w:tcW w:w="838" w:type="dxa"/>
            <w:shd w:val="clear" w:color="auto" w:fill="FFFFFF"/>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报修申请</w:t>
            </w:r>
          </w:p>
        </w:tc>
        <w:tc>
          <w:tcPr>
            <w:tcW w:w="7244" w:type="dxa"/>
            <w:shd w:val="clear" w:color="auto" w:fill="FFFFFF"/>
            <w:vAlign w:val="center"/>
          </w:tcPr>
          <w:p>
            <w:pPr>
              <w:keepNext w:val="0"/>
              <w:keepLines w:val="0"/>
              <w:pageBreakBefore w:val="0"/>
              <w:widowControl/>
              <w:kinsoku/>
              <w:wordWrap/>
              <w:overflowPunct/>
              <w:topLinePunct w:val="0"/>
              <w:bidi w:val="0"/>
              <w:adjustRightInd/>
              <w:snapToGrid/>
              <w:spacing w:line="276"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支持教师通过语音描述/输入报修信息后，结合AI解析教师通过语音/文本描述的报修申请信息、提取相关参数并自动填充登记表单，简化登记流程。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Merge w:val="continue"/>
            <w:shd w:val="clear" w:color="auto" w:fill="FFFFFF"/>
            <w:vAlign w:val="center"/>
          </w:tcPr>
          <w:p>
            <w:pPr>
              <w:widowControl/>
              <w:jc w:val="center"/>
              <w:textAlignment w:val="center"/>
              <w:rPr>
                <w:rFonts w:hint="eastAsia" w:ascii="宋体" w:hAnsi="宋体" w:eastAsia="宋体" w:cs="宋体"/>
                <w:color w:val="auto"/>
                <w:kern w:val="0"/>
                <w:szCs w:val="21"/>
                <w:highlight w:val="none"/>
                <w:lang w:bidi="ar"/>
              </w:rPr>
            </w:pPr>
          </w:p>
        </w:tc>
        <w:tc>
          <w:tcPr>
            <w:tcW w:w="744" w:type="dxa"/>
            <w:vMerge w:val="continue"/>
            <w:shd w:val="clear" w:color="auto" w:fill="FFFFFF"/>
            <w:vAlign w:val="center"/>
          </w:tcPr>
          <w:p>
            <w:pPr>
              <w:widowControl/>
              <w:jc w:val="center"/>
              <w:textAlignment w:val="center"/>
              <w:rPr>
                <w:rFonts w:hint="eastAsia" w:ascii="宋体" w:hAnsi="宋体" w:eastAsia="宋体" w:cs="宋体"/>
                <w:color w:val="auto"/>
                <w:kern w:val="0"/>
                <w:szCs w:val="21"/>
                <w:highlight w:val="none"/>
                <w:lang w:val="en-US" w:eastAsia="zh-CN" w:bidi="ar"/>
              </w:rPr>
            </w:pPr>
          </w:p>
        </w:tc>
        <w:tc>
          <w:tcPr>
            <w:tcW w:w="838" w:type="dxa"/>
            <w:shd w:val="clear" w:color="auto" w:fill="FFFFFF"/>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校内通知</w:t>
            </w:r>
          </w:p>
        </w:tc>
        <w:tc>
          <w:tcPr>
            <w:tcW w:w="7244" w:type="dxa"/>
            <w:shd w:val="clear" w:color="auto" w:fill="FFFFFF"/>
            <w:vAlign w:val="center"/>
          </w:tcPr>
          <w:p>
            <w:pPr>
              <w:keepNext w:val="0"/>
              <w:keepLines w:val="0"/>
              <w:pageBreakBefore w:val="0"/>
              <w:widowControl/>
              <w:numPr>
                <w:ilvl w:val="0"/>
                <w:numId w:val="0"/>
              </w:numPr>
              <w:kinsoku/>
              <w:wordWrap/>
              <w:overflowPunct/>
              <w:topLinePunct w:val="0"/>
              <w:bidi w:val="0"/>
              <w:adjustRightInd/>
              <w:snapToGrid/>
              <w:spacing w:line="276"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cs="宋体"/>
                <w:color w:val="auto"/>
                <w:sz w:val="21"/>
                <w:szCs w:val="21"/>
                <w:highlight w:val="none"/>
                <w:lang w:val="en-US" w:eastAsia="zh-CN"/>
              </w:rPr>
              <w:t>◆</w:t>
            </w:r>
            <w:r>
              <w:rPr>
                <w:rFonts w:hint="eastAsia" w:ascii="宋体" w:hAnsi="宋体" w:eastAsia="宋体" w:cs="宋体"/>
                <w:color w:val="auto"/>
                <w:kern w:val="0"/>
                <w:sz w:val="21"/>
                <w:szCs w:val="21"/>
                <w:highlight w:val="none"/>
                <w:lang w:val="en-US" w:eastAsia="zh-CN" w:bidi="ar"/>
              </w:rPr>
              <w:t>提供</w:t>
            </w:r>
            <w:r>
              <w:rPr>
                <w:rFonts w:hint="eastAsia" w:ascii="宋体" w:hAnsi="宋体" w:eastAsia="宋体" w:cs="宋体"/>
                <w:color w:val="auto"/>
                <w:kern w:val="0"/>
                <w:sz w:val="21"/>
                <w:szCs w:val="21"/>
                <w:highlight w:val="none"/>
                <w:lang w:bidi="ar"/>
              </w:rPr>
              <w:t>“AI帮我写”</w:t>
            </w:r>
            <w:r>
              <w:rPr>
                <w:rFonts w:hint="eastAsia" w:ascii="宋体" w:hAnsi="宋体" w:eastAsia="宋体" w:cs="宋体"/>
                <w:color w:val="auto"/>
                <w:kern w:val="0"/>
                <w:sz w:val="21"/>
                <w:szCs w:val="21"/>
                <w:highlight w:val="none"/>
                <w:lang w:val="en-US" w:eastAsia="zh-CN" w:bidi="ar"/>
              </w:rPr>
              <w:t>校内通知</w:t>
            </w:r>
            <w:r>
              <w:rPr>
                <w:rFonts w:hint="eastAsia" w:ascii="宋体" w:hAnsi="宋体" w:eastAsia="宋体" w:cs="宋体"/>
                <w:color w:val="auto"/>
                <w:kern w:val="0"/>
                <w:sz w:val="21"/>
                <w:szCs w:val="21"/>
                <w:highlight w:val="none"/>
                <w:lang w:bidi="ar"/>
              </w:rPr>
              <w:t>功能，支持根据</w:t>
            </w:r>
            <w:r>
              <w:rPr>
                <w:rFonts w:hint="eastAsia" w:ascii="宋体" w:hAnsi="宋体" w:eastAsia="宋体" w:cs="宋体"/>
                <w:color w:val="auto"/>
                <w:kern w:val="0"/>
                <w:sz w:val="21"/>
                <w:szCs w:val="21"/>
                <w:highlight w:val="none"/>
                <w:lang w:val="en-US" w:eastAsia="zh-CN" w:bidi="ar"/>
              </w:rPr>
              <w:t>教师</w:t>
            </w:r>
            <w:r>
              <w:rPr>
                <w:rFonts w:hint="eastAsia" w:ascii="宋体" w:hAnsi="宋体" w:eastAsia="宋体" w:cs="宋体"/>
                <w:color w:val="auto"/>
                <w:kern w:val="0"/>
                <w:sz w:val="21"/>
                <w:szCs w:val="21"/>
                <w:highlight w:val="none"/>
                <w:lang w:bidi="ar"/>
              </w:rPr>
              <w:t>输入或上传文档内的关键信息，AI自动生成</w:t>
            </w:r>
            <w:r>
              <w:rPr>
                <w:rFonts w:hint="eastAsia" w:ascii="宋体" w:hAnsi="宋体" w:eastAsia="宋体" w:cs="宋体"/>
                <w:color w:val="auto"/>
                <w:kern w:val="0"/>
                <w:sz w:val="21"/>
                <w:szCs w:val="21"/>
                <w:highlight w:val="none"/>
                <w:lang w:val="en-US" w:eastAsia="zh-CN" w:bidi="ar"/>
              </w:rPr>
              <w:t>校内</w:t>
            </w:r>
            <w:r>
              <w:rPr>
                <w:rFonts w:hint="eastAsia" w:ascii="宋体" w:hAnsi="宋体" w:eastAsia="宋体" w:cs="宋体"/>
                <w:color w:val="auto"/>
                <w:kern w:val="0"/>
                <w:sz w:val="21"/>
                <w:szCs w:val="21"/>
                <w:highlight w:val="none"/>
                <w:lang w:bidi="ar"/>
              </w:rPr>
              <w:t>通知</w:t>
            </w:r>
            <w:r>
              <w:rPr>
                <w:rFonts w:hint="eastAsia" w:ascii="宋体" w:hAnsi="宋体" w:eastAsia="宋体" w:cs="宋体"/>
                <w:color w:val="auto"/>
                <w:kern w:val="0"/>
                <w:sz w:val="21"/>
                <w:szCs w:val="21"/>
                <w:highlight w:val="none"/>
                <w:lang w:val="en-US" w:eastAsia="zh-CN" w:bidi="ar"/>
              </w:rPr>
              <w:t>文案，教师可基于AI生成结果进行调整</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lang w:val="en-US" w:eastAsia="zh-CN"/>
              </w:rPr>
              <w:t>【投标时须提供类似系统功能截图】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Merge w:val="continue"/>
            <w:shd w:val="clear" w:color="auto" w:fill="FFFFFF"/>
            <w:vAlign w:val="center"/>
          </w:tcPr>
          <w:p>
            <w:pPr>
              <w:widowControl/>
              <w:jc w:val="center"/>
              <w:textAlignment w:val="center"/>
              <w:rPr>
                <w:rFonts w:hint="eastAsia" w:ascii="宋体" w:hAnsi="宋体" w:eastAsia="宋体" w:cs="宋体"/>
                <w:color w:val="auto"/>
                <w:kern w:val="0"/>
                <w:szCs w:val="21"/>
                <w:highlight w:val="none"/>
                <w:lang w:bidi="ar"/>
              </w:rPr>
            </w:pPr>
          </w:p>
        </w:tc>
        <w:tc>
          <w:tcPr>
            <w:tcW w:w="744" w:type="dxa"/>
            <w:vMerge w:val="continue"/>
            <w:shd w:val="clear" w:color="auto" w:fill="FFFFFF"/>
            <w:vAlign w:val="center"/>
          </w:tcPr>
          <w:p>
            <w:pPr>
              <w:widowControl/>
              <w:jc w:val="center"/>
              <w:textAlignment w:val="center"/>
              <w:rPr>
                <w:rFonts w:hint="eastAsia" w:ascii="宋体" w:hAnsi="宋体" w:eastAsia="宋体" w:cs="宋体"/>
                <w:color w:val="auto"/>
                <w:kern w:val="0"/>
                <w:szCs w:val="21"/>
                <w:highlight w:val="none"/>
                <w:lang w:val="en-US" w:eastAsia="zh-CN" w:bidi="ar"/>
              </w:rPr>
            </w:pPr>
          </w:p>
        </w:tc>
        <w:tc>
          <w:tcPr>
            <w:tcW w:w="838" w:type="dxa"/>
            <w:shd w:val="clear" w:color="auto" w:fill="FFFFFF"/>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学生评语</w:t>
            </w:r>
          </w:p>
        </w:tc>
        <w:tc>
          <w:tcPr>
            <w:tcW w:w="7244" w:type="dxa"/>
            <w:shd w:val="clear" w:color="auto" w:fill="FFFFFF"/>
            <w:vAlign w:val="center"/>
          </w:tcPr>
          <w:p>
            <w:pPr>
              <w:keepNext w:val="0"/>
              <w:keepLines w:val="0"/>
              <w:pageBreakBefore w:val="0"/>
              <w:widowControl/>
              <w:kinsoku/>
              <w:wordWrap/>
              <w:overflowPunct/>
              <w:topLinePunct w:val="0"/>
              <w:bidi w:val="0"/>
              <w:adjustRightInd/>
              <w:snapToGrid/>
              <w:spacing w:line="276"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提供“AI帮我写”教师评语功能，支持根据选择的学生表现维度（如</w:t>
            </w:r>
            <w:r>
              <w:rPr>
                <w:rFonts w:hint="eastAsia" w:ascii="宋体" w:hAnsi="宋体" w:eastAsia="宋体" w:cs="宋体"/>
                <w:color w:val="auto"/>
                <w:kern w:val="0"/>
                <w:sz w:val="21"/>
                <w:szCs w:val="21"/>
                <w:highlight w:val="none"/>
                <w:lang w:val="en-US" w:eastAsia="zh-CN" w:bidi="ar"/>
              </w:rPr>
              <w:t>学生</w:t>
            </w:r>
            <w:r>
              <w:rPr>
                <w:rFonts w:hint="eastAsia" w:ascii="宋体" w:hAnsi="宋体" w:eastAsia="宋体" w:cs="宋体"/>
                <w:color w:val="auto"/>
                <w:kern w:val="0"/>
                <w:sz w:val="21"/>
                <w:szCs w:val="21"/>
                <w:highlight w:val="none"/>
                <w:lang w:bidi="ar"/>
              </w:rPr>
              <w:t>考试成绩、</w:t>
            </w:r>
            <w:r>
              <w:rPr>
                <w:rFonts w:hint="eastAsia" w:ascii="宋体" w:hAnsi="宋体" w:eastAsia="宋体" w:cs="宋体"/>
                <w:color w:val="auto"/>
                <w:kern w:val="0"/>
                <w:sz w:val="21"/>
                <w:szCs w:val="21"/>
                <w:highlight w:val="none"/>
                <w:lang w:val="en-US" w:eastAsia="zh-CN" w:bidi="ar"/>
              </w:rPr>
              <w:t>学生德育表现、学生考勤表现</w:t>
            </w:r>
            <w:r>
              <w:rPr>
                <w:rFonts w:hint="eastAsia" w:ascii="宋体" w:hAnsi="宋体" w:eastAsia="宋体" w:cs="宋体"/>
                <w:color w:val="auto"/>
                <w:kern w:val="0"/>
                <w:sz w:val="21"/>
                <w:szCs w:val="21"/>
                <w:highlight w:val="none"/>
                <w:lang w:bidi="ar"/>
              </w:rPr>
              <w:t>等），拉取指定时间范围内的数据，AI自动生成评语。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Merge w:val="continue"/>
            <w:shd w:val="clear" w:color="auto" w:fill="FFFFFF"/>
            <w:vAlign w:val="center"/>
          </w:tcPr>
          <w:p>
            <w:pPr>
              <w:widowControl/>
              <w:jc w:val="center"/>
              <w:textAlignment w:val="center"/>
              <w:rPr>
                <w:rFonts w:hint="eastAsia" w:ascii="宋体" w:hAnsi="宋体" w:eastAsia="宋体" w:cs="宋体"/>
                <w:color w:val="auto"/>
                <w:kern w:val="0"/>
                <w:szCs w:val="21"/>
                <w:highlight w:val="none"/>
                <w:lang w:bidi="ar"/>
              </w:rPr>
            </w:pPr>
          </w:p>
        </w:tc>
        <w:tc>
          <w:tcPr>
            <w:tcW w:w="744" w:type="dxa"/>
            <w:vMerge w:val="continue"/>
            <w:shd w:val="clear" w:color="auto" w:fill="FFFFFF"/>
            <w:vAlign w:val="center"/>
          </w:tcPr>
          <w:p>
            <w:pPr>
              <w:widowControl/>
              <w:jc w:val="center"/>
              <w:textAlignment w:val="center"/>
              <w:rPr>
                <w:rFonts w:hint="eastAsia" w:ascii="宋体" w:hAnsi="宋体" w:eastAsia="宋体" w:cs="宋体"/>
                <w:color w:val="auto"/>
                <w:kern w:val="0"/>
                <w:szCs w:val="21"/>
                <w:highlight w:val="none"/>
                <w:lang w:val="en-US" w:eastAsia="zh-CN" w:bidi="ar"/>
              </w:rPr>
            </w:pPr>
          </w:p>
        </w:tc>
        <w:tc>
          <w:tcPr>
            <w:tcW w:w="838" w:type="dxa"/>
            <w:shd w:val="clear" w:color="auto" w:fill="FFFFFF"/>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资产管理</w:t>
            </w:r>
          </w:p>
        </w:tc>
        <w:tc>
          <w:tcPr>
            <w:tcW w:w="7244" w:type="dxa"/>
            <w:shd w:val="clear" w:color="auto" w:fill="FFFFFF"/>
            <w:vAlign w:val="center"/>
          </w:tcPr>
          <w:p>
            <w:pPr>
              <w:keepNext w:val="0"/>
              <w:keepLines w:val="0"/>
              <w:pageBreakBefore w:val="0"/>
              <w:widowControl/>
              <w:kinsoku/>
              <w:wordWrap/>
              <w:overflowPunct/>
              <w:topLinePunct w:val="0"/>
              <w:bidi w:val="0"/>
              <w:adjustRightInd/>
              <w:snapToGrid/>
              <w:spacing w:line="276" w:lineRule="auto"/>
              <w:jc w:val="left"/>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支持在学校已有的资产管理功能上，按照学校实际需求定制设计物品领用、资产入库明细表，可一键导出相关明细表。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Merge w:val="restart"/>
            <w:shd w:val="clear" w:color="auto" w:fill="FFFFFF"/>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bidi="ar"/>
              </w:rPr>
              <w:t>4</w:t>
            </w:r>
          </w:p>
        </w:tc>
        <w:tc>
          <w:tcPr>
            <w:tcW w:w="744" w:type="dxa"/>
            <w:vMerge w:val="restart"/>
            <w:shd w:val="clear" w:color="auto" w:fill="FFFFFF"/>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val="en-US" w:eastAsia="zh-CN" w:bidi="ar"/>
              </w:rPr>
              <w:t>AI分析</w:t>
            </w:r>
          </w:p>
        </w:tc>
        <w:tc>
          <w:tcPr>
            <w:tcW w:w="838" w:type="dxa"/>
            <w:shd w:val="clear" w:color="auto" w:fill="FFFFFF"/>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学生成绩</w:t>
            </w:r>
          </w:p>
        </w:tc>
        <w:tc>
          <w:tcPr>
            <w:tcW w:w="7244" w:type="dxa"/>
            <w:shd w:val="clear" w:color="auto" w:fill="FFFFFF"/>
            <w:vAlign w:val="center"/>
          </w:tcPr>
          <w:p>
            <w:pPr>
              <w:keepNext w:val="0"/>
              <w:keepLines w:val="0"/>
              <w:pageBreakBefore w:val="0"/>
              <w:widowControl/>
              <w:kinsoku/>
              <w:wordWrap/>
              <w:overflowPunct/>
              <w:topLinePunct w:val="0"/>
              <w:bidi w:val="0"/>
              <w:adjustRightInd/>
              <w:snapToGrid/>
              <w:spacing w:line="276"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须支持教师通过对话进行</w:t>
            </w:r>
            <w:r>
              <w:rPr>
                <w:rFonts w:hint="eastAsia" w:ascii="宋体" w:hAnsi="宋体" w:eastAsia="宋体" w:cs="宋体"/>
                <w:color w:val="auto"/>
                <w:kern w:val="0"/>
                <w:sz w:val="21"/>
                <w:szCs w:val="21"/>
                <w:highlight w:val="none"/>
                <w:lang w:val="en-US" w:eastAsia="zh-CN" w:bidi="ar"/>
              </w:rPr>
              <w:t>学生成绩</w:t>
            </w:r>
            <w:r>
              <w:rPr>
                <w:rFonts w:hint="eastAsia" w:ascii="宋体" w:hAnsi="宋体" w:eastAsia="宋体" w:cs="宋体"/>
                <w:color w:val="auto"/>
                <w:kern w:val="0"/>
                <w:sz w:val="21"/>
                <w:szCs w:val="21"/>
                <w:highlight w:val="none"/>
                <w:lang w:bidi="ar"/>
              </w:rPr>
              <w:t>分析，系统根据</w:t>
            </w:r>
            <w:r>
              <w:rPr>
                <w:rFonts w:hint="eastAsia" w:ascii="宋体" w:hAnsi="宋体" w:eastAsia="宋体" w:cs="宋体"/>
                <w:color w:val="auto"/>
                <w:kern w:val="0"/>
                <w:sz w:val="21"/>
                <w:szCs w:val="21"/>
                <w:highlight w:val="none"/>
                <w:lang w:val="en-US" w:eastAsia="zh-CN" w:bidi="ar"/>
              </w:rPr>
              <w:t>智慧校园平台产生的学生成绩</w:t>
            </w:r>
            <w:r>
              <w:rPr>
                <w:rFonts w:hint="eastAsia" w:ascii="宋体" w:hAnsi="宋体" w:eastAsia="宋体" w:cs="宋体"/>
                <w:color w:val="auto"/>
                <w:kern w:val="0"/>
                <w:sz w:val="21"/>
                <w:szCs w:val="21"/>
                <w:highlight w:val="none"/>
                <w:lang w:bidi="ar"/>
              </w:rPr>
              <w:t>数据可自动生成分析报表；</w:t>
            </w:r>
          </w:p>
          <w:p>
            <w:pPr>
              <w:pStyle w:val="8"/>
              <w:keepNext w:val="0"/>
              <w:keepLines w:val="0"/>
              <w:pageBreakBefore w:val="0"/>
              <w:numPr>
                <w:ilvl w:val="0"/>
                <w:numId w:val="5"/>
              </w:numPr>
              <w:kinsoku/>
              <w:wordWrap/>
              <w:overflowPunct/>
              <w:topLinePunct w:val="0"/>
              <w:bidi w:val="0"/>
              <w:adjustRightInd/>
              <w:snapToGrid/>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输入指令：支持管理者通过文字、语音、数据分析指令进行提问</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如学生成绩排名、学生成绩变化趋势等</w:t>
            </w:r>
            <w:r>
              <w:rPr>
                <w:rFonts w:hint="eastAsia" w:ascii="宋体" w:hAnsi="宋体" w:eastAsia="宋体" w:cs="宋体"/>
                <w:color w:val="auto"/>
                <w:kern w:val="0"/>
                <w:sz w:val="21"/>
                <w:szCs w:val="21"/>
                <w:highlight w:val="none"/>
                <w:lang w:bidi="ar"/>
              </w:rPr>
              <w:t>；</w:t>
            </w:r>
          </w:p>
          <w:p>
            <w:pPr>
              <w:pStyle w:val="8"/>
              <w:keepNext w:val="0"/>
              <w:keepLines w:val="0"/>
              <w:pageBreakBefore w:val="0"/>
              <w:numPr>
                <w:ilvl w:val="0"/>
                <w:numId w:val="5"/>
              </w:numPr>
              <w:kinsoku/>
              <w:wordWrap/>
              <w:overflowPunct/>
              <w:topLinePunct w:val="0"/>
              <w:bidi w:val="0"/>
              <w:adjustRightInd/>
              <w:snapToGrid/>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AI回复：系统须支持根据用户提问内容，自动识别语义，生成数据分析可视化图表；</w:t>
            </w:r>
          </w:p>
          <w:p>
            <w:pPr>
              <w:keepNext w:val="0"/>
              <w:keepLines w:val="0"/>
              <w:pageBreakBefore w:val="0"/>
              <w:widowControl/>
              <w:kinsoku/>
              <w:wordWrap/>
              <w:overflowPunct/>
              <w:topLinePunct w:val="0"/>
              <w:bidi w:val="0"/>
              <w:adjustRightInd/>
              <w:snapToGrid/>
              <w:spacing w:line="276"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结果反馈：支持对AI回复结果进行赞、踩、文本反馈、重新生成、复制回答、新建对话，并可基于用户反馈结果进行系统优化；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Merge w:val="continue"/>
            <w:shd w:val="clear" w:color="auto" w:fill="FFFFFF"/>
            <w:vAlign w:val="center"/>
          </w:tcPr>
          <w:p>
            <w:pPr>
              <w:widowControl/>
              <w:jc w:val="center"/>
              <w:textAlignment w:val="center"/>
              <w:rPr>
                <w:rFonts w:hint="eastAsia" w:ascii="宋体" w:hAnsi="宋体" w:eastAsia="宋体" w:cs="宋体"/>
                <w:color w:val="auto"/>
                <w:kern w:val="0"/>
                <w:szCs w:val="21"/>
                <w:highlight w:val="none"/>
                <w:lang w:bidi="ar"/>
              </w:rPr>
            </w:pPr>
          </w:p>
        </w:tc>
        <w:tc>
          <w:tcPr>
            <w:tcW w:w="744" w:type="dxa"/>
            <w:vMerge w:val="continue"/>
            <w:shd w:val="clear" w:color="auto" w:fill="FFFFFF"/>
            <w:vAlign w:val="center"/>
          </w:tcPr>
          <w:p>
            <w:pPr>
              <w:widowControl/>
              <w:jc w:val="center"/>
              <w:textAlignment w:val="center"/>
              <w:rPr>
                <w:rFonts w:hint="eastAsia" w:ascii="宋体" w:hAnsi="宋体" w:eastAsia="宋体" w:cs="宋体"/>
                <w:color w:val="auto"/>
                <w:kern w:val="0"/>
                <w:szCs w:val="21"/>
                <w:highlight w:val="none"/>
                <w:lang w:val="en-US" w:eastAsia="zh-CN" w:bidi="ar"/>
              </w:rPr>
            </w:pPr>
          </w:p>
        </w:tc>
        <w:tc>
          <w:tcPr>
            <w:tcW w:w="838" w:type="dxa"/>
            <w:shd w:val="clear" w:color="auto" w:fill="FFFFFF"/>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异常行为</w:t>
            </w:r>
          </w:p>
        </w:tc>
        <w:tc>
          <w:tcPr>
            <w:tcW w:w="7244" w:type="dxa"/>
            <w:shd w:val="clear" w:color="auto" w:fill="FFFFFF"/>
            <w:vAlign w:val="center"/>
          </w:tcPr>
          <w:p>
            <w:pPr>
              <w:keepNext w:val="0"/>
              <w:keepLines w:val="0"/>
              <w:pageBreakBefore w:val="0"/>
              <w:widowControl/>
              <w:kinsoku/>
              <w:wordWrap/>
              <w:overflowPunct/>
              <w:topLinePunct w:val="0"/>
              <w:bidi w:val="0"/>
              <w:adjustRightInd/>
              <w:snapToGrid/>
              <w:spacing w:line="276"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须支持教师通过对话进行</w:t>
            </w:r>
            <w:r>
              <w:rPr>
                <w:rFonts w:hint="eastAsia" w:ascii="宋体" w:hAnsi="宋体" w:eastAsia="宋体" w:cs="宋体"/>
                <w:color w:val="auto"/>
                <w:kern w:val="0"/>
                <w:sz w:val="21"/>
                <w:szCs w:val="21"/>
                <w:highlight w:val="none"/>
                <w:lang w:val="en-US" w:eastAsia="zh-CN" w:bidi="ar"/>
              </w:rPr>
              <w:t>学生校内行为</w:t>
            </w:r>
            <w:r>
              <w:rPr>
                <w:rFonts w:hint="eastAsia" w:ascii="宋体" w:hAnsi="宋体" w:eastAsia="宋体" w:cs="宋体"/>
                <w:color w:val="auto"/>
                <w:kern w:val="0"/>
                <w:sz w:val="21"/>
                <w:szCs w:val="21"/>
                <w:highlight w:val="none"/>
                <w:lang w:bidi="ar"/>
              </w:rPr>
              <w:t>分析，系统根据</w:t>
            </w:r>
            <w:r>
              <w:rPr>
                <w:rFonts w:hint="eastAsia" w:ascii="宋体" w:hAnsi="宋体" w:eastAsia="宋体" w:cs="宋体"/>
                <w:color w:val="auto"/>
                <w:kern w:val="0"/>
                <w:sz w:val="21"/>
                <w:szCs w:val="21"/>
                <w:highlight w:val="none"/>
                <w:lang w:val="en-US" w:eastAsia="zh-CN" w:bidi="ar"/>
              </w:rPr>
              <w:t>智慧校园平台产生的学生请假、到离校考勤、宿舍考勤、上课考勤、晚自修考勤、刷脸就医等</w:t>
            </w:r>
            <w:r>
              <w:rPr>
                <w:rFonts w:hint="eastAsia" w:ascii="宋体" w:hAnsi="宋体" w:eastAsia="宋体" w:cs="宋体"/>
                <w:color w:val="auto"/>
                <w:kern w:val="0"/>
                <w:sz w:val="21"/>
                <w:szCs w:val="21"/>
                <w:highlight w:val="none"/>
                <w:lang w:bidi="ar"/>
              </w:rPr>
              <w:t>数据可自动生成分析报表；</w:t>
            </w:r>
          </w:p>
          <w:p>
            <w:pPr>
              <w:pStyle w:val="8"/>
              <w:keepNext w:val="0"/>
              <w:keepLines w:val="0"/>
              <w:pageBreakBefore w:val="0"/>
              <w:numPr>
                <w:ilvl w:val="0"/>
                <w:numId w:val="6"/>
              </w:numPr>
              <w:kinsoku/>
              <w:wordWrap/>
              <w:overflowPunct/>
              <w:topLinePunct w:val="0"/>
              <w:bidi w:val="0"/>
              <w:adjustRightInd/>
              <w:snapToGrid/>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输入指令：支持管理者通过文字、语音、数据分析指令进行提问</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如宿舍异常归离寝、晚自修异常、学生异常出校等</w:t>
            </w:r>
            <w:r>
              <w:rPr>
                <w:rFonts w:hint="eastAsia" w:ascii="宋体" w:hAnsi="宋体" w:eastAsia="宋体" w:cs="宋体"/>
                <w:color w:val="auto"/>
                <w:kern w:val="0"/>
                <w:sz w:val="21"/>
                <w:szCs w:val="21"/>
                <w:highlight w:val="none"/>
                <w:lang w:bidi="ar"/>
              </w:rPr>
              <w:t>；</w:t>
            </w:r>
          </w:p>
          <w:p>
            <w:pPr>
              <w:pStyle w:val="8"/>
              <w:keepNext w:val="0"/>
              <w:keepLines w:val="0"/>
              <w:pageBreakBefore w:val="0"/>
              <w:numPr>
                <w:ilvl w:val="0"/>
                <w:numId w:val="6"/>
              </w:numPr>
              <w:kinsoku/>
              <w:wordWrap/>
              <w:overflowPunct/>
              <w:topLinePunct w:val="0"/>
              <w:bidi w:val="0"/>
              <w:adjustRightInd/>
              <w:snapToGrid/>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AI回复：系统须支持根据用户提问内容，自动识别语义，生成数据分析可视化图表；</w:t>
            </w:r>
          </w:p>
          <w:p>
            <w:pPr>
              <w:keepNext w:val="0"/>
              <w:keepLines w:val="0"/>
              <w:pageBreakBefore w:val="0"/>
              <w:widowControl/>
              <w:kinsoku/>
              <w:wordWrap/>
              <w:overflowPunct/>
              <w:topLinePunct w:val="0"/>
              <w:bidi w:val="0"/>
              <w:adjustRightInd/>
              <w:snapToGrid/>
              <w:spacing w:line="276"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结果反馈：支持对AI回复结果进行赞、踩、文本反馈、重新生成、复制回答、新建对话，并可基于用户反馈结果进行系统优化；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Merge w:val="continue"/>
            <w:shd w:val="clear" w:color="auto" w:fill="FFFFFF"/>
            <w:vAlign w:val="center"/>
          </w:tcPr>
          <w:p>
            <w:pPr>
              <w:widowControl/>
              <w:jc w:val="center"/>
              <w:textAlignment w:val="center"/>
              <w:rPr>
                <w:rFonts w:hint="eastAsia" w:ascii="宋体" w:hAnsi="宋体" w:eastAsia="宋体" w:cs="宋体"/>
                <w:color w:val="auto"/>
                <w:kern w:val="0"/>
                <w:szCs w:val="21"/>
                <w:highlight w:val="none"/>
                <w:lang w:bidi="ar"/>
              </w:rPr>
            </w:pPr>
          </w:p>
        </w:tc>
        <w:tc>
          <w:tcPr>
            <w:tcW w:w="744" w:type="dxa"/>
            <w:vMerge w:val="continue"/>
            <w:shd w:val="clear" w:color="auto" w:fill="FFFFFF"/>
            <w:vAlign w:val="center"/>
          </w:tcPr>
          <w:p>
            <w:pPr>
              <w:widowControl/>
              <w:jc w:val="center"/>
              <w:textAlignment w:val="center"/>
              <w:rPr>
                <w:rFonts w:hint="eastAsia" w:ascii="宋体" w:hAnsi="宋体" w:eastAsia="宋体" w:cs="宋体"/>
                <w:color w:val="auto"/>
                <w:kern w:val="0"/>
                <w:szCs w:val="21"/>
                <w:highlight w:val="none"/>
                <w:lang w:val="en-US" w:eastAsia="zh-CN" w:bidi="ar"/>
              </w:rPr>
            </w:pPr>
          </w:p>
        </w:tc>
        <w:tc>
          <w:tcPr>
            <w:tcW w:w="838" w:type="dxa"/>
            <w:shd w:val="clear" w:color="auto" w:fill="FFFFFF"/>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考勤情况</w:t>
            </w:r>
          </w:p>
        </w:tc>
        <w:tc>
          <w:tcPr>
            <w:tcW w:w="7244" w:type="dxa"/>
            <w:shd w:val="clear" w:color="auto" w:fill="FFFFFF"/>
            <w:vAlign w:val="center"/>
          </w:tcPr>
          <w:p>
            <w:pPr>
              <w:keepNext w:val="0"/>
              <w:keepLines w:val="0"/>
              <w:pageBreakBefore w:val="0"/>
              <w:widowControl/>
              <w:kinsoku/>
              <w:wordWrap/>
              <w:overflowPunct/>
              <w:topLinePunct w:val="0"/>
              <w:bidi w:val="0"/>
              <w:adjustRightInd/>
              <w:snapToGrid/>
              <w:spacing w:line="276"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须支持教师通过对话进行</w:t>
            </w:r>
            <w:r>
              <w:rPr>
                <w:rFonts w:hint="eastAsia" w:ascii="宋体" w:hAnsi="宋体" w:eastAsia="宋体" w:cs="宋体"/>
                <w:color w:val="auto"/>
                <w:kern w:val="0"/>
                <w:sz w:val="21"/>
                <w:szCs w:val="21"/>
                <w:highlight w:val="none"/>
                <w:lang w:val="en-US" w:eastAsia="zh-CN" w:bidi="ar"/>
              </w:rPr>
              <w:t>学生考勤情况</w:t>
            </w:r>
            <w:r>
              <w:rPr>
                <w:rFonts w:hint="eastAsia" w:ascii="宋体" w:hAnsi="宋体" w:eastAsia="宋体" w:cs="宋体"/>
                <w:color w:val="auto"/>
                <w:kern w:val="0"/>
                <w:sz w:val="21"/>
                <w:szCs w:val="21"/>
                <w:highlight w:val="none"/>
                <w:lang w:bidi="ar"/>
              </w:rPr>
              <w:t>分析，系统根据</w:t>
            </w:r>
            <w:r>
              <w:rPr>
                <w:rFonts w:hint="eastAsia" w:ascii="宋体" w:hAnsi="宋体" w:eastAsia="宋体" w:cs="宋体"/>
                <w:color w:val="auto"/>
                <w:kern w:val="0"/>
                <w:sz w:val="21"/>
                <w:szCs w:val="21"/>
                <w:highlight w:val="none"/>
                <w:lang w:val="en-US" w:eastAsia="zh-CN" w:bidi="ar"/>
              </w:rPr>
              <w:t>智慧校园平台产生的学生</w:t>
            </w:r>
            <w:r>
              <w:rPr>
                <w:rFonts w:hint="eastAsia" w:ascii="宋体" w:hAnsi="宋体" w:eastAsia="宋体" w:cs="宋体"/>
                <w:color w:val="auto"/>
                <w:kern w:val="0"/>
                <w:sz w:val="21"/>
                <w:szCs w:val="21"/>
                <w:highlight w:val="none"/>
                <w:lang w:bidi="ar"/>
              </w:rPr>
              <w:t>请假</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到离校考勤、宿舍考勤、晚自修考勤、上课考勤</w:t>
            </w:r>
            <w:r>
              <w:rPr>
                <w:rFonts w:hint="eastAsia" w:ascii="宋体" w:hAnsi="宋体" w:eastAsia="宋体" w:cs="宋体"/>
                <w:color w:val="auto"/>
                <w:kern w:val="0"/>
                <w:sz w:val="21"/>
                <w:szCs w:val="21"/>
                <w:highlight w:val="none"/>
                <w:lang w:bidi="ar"/>
              </w:rPr>
              <w:t>数据可自动生成分析报表；</w:t>
            </w:r>
          </w:p>
          <w:p>
            <w:pPr>
              <w:pStyle w:val="8"/>
              <w:keepNext w:val="0"/>
              <w:keepLines w:val="0"/>
              <w:pageBreakBefore w:val="0"/>
              <w:numPr>
                <w:ilvl w:val="0"/>
                <w:numId w:val="7"/>
              </w:numPr>
              <w:kinsoku/>
              <w:wordWrap/>
              <w:overflowPunct/>
              <w:topLinePunct w:val="0"/>
              <w:bidi w:val="0"/>
              <w:adjustRightInd/>
              <w:snapToGrid/>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输入指令：支持管理者通过文字、语音、数据分析指令进行提问</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如到离校考勤、上课考勤、晚自修考勤、请假退餐分析等</w:t>
            </w:r>
            <w:r>
              <w:rPr>
                <w:rFonts w:hint="eastAsia" w:ascii="宋体" w:hAnsi="宋体" w:eastAsia="宋体" w:cs="宋体"/>
                <w:color w:val="auto"/>
                <w:kern w:val="0"/>
                <w:sz w:val="21"/>
                <w:szCs w:val="21"/>
                <w:highlight w:val="none"/>
                <w:lang w:bidi="ar"/>
              </w:rPr>
              <w:t>；</w:t>
            </w:r>
          </w:p>
          <w:p>
            <w:pPr>
              <w:pStyle w:val="8"/>
              <w:keepNext w:val="0"/>
              <w:keepLines w:val="0"/>
              <w:pageBreakBefore w:val="0"/>
              <w:numPr>
                <w:ilvl w:val="0"/>
                <w:numId w:val="7"/>
              </w:numPr>
              <w:kinsoku/>
              <w:wordWrap/>
              <w:overflowPunct/>
              <w:topLinePunct w:val="0"/>
              <w:bidi w:val="0"/>
              <w:adjustRightInd/>
              <w:snapToGrid/>
              <w:spacing w:line="276"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AI回复：系统须支持根据用户提问内容，自动识别语义，生成数据分析可视化图表；</w:t>
            </w:r>
          </w:p>
          <w:p>
            <w:pPr>
              <w:keepNext w:val="0"/>
              <w:keepLines w:val="0"/>
              <w:pageBreakBefore w:val="0"/>
              <w:widowControl/>
              <w:numPr>
                <w:ilvl w:val="0"/>
                <w:numId w:val="0"/>
              </w:numPr>
              <w:kinsoku/>
              <w:wordWrap/>
              <w:overflowPunct/>
              <w:topLinePunct w:val="0"/>
              <w:bidi w:val="0"/>
              <w:adjustRightInd/>
              <w:snapToGrid/>
              <w:spacing w:line="276"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结果反馈：支持对AI回复结果进行赞、踩、文本反馈、重新生成、复制回答、新建对话，并可基于用户反馈结果进行系统优化；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Merge w:val="continue"/>
            <w:shd w:val="clear" w:color="auto" w:fill="FFFFFF"/>
            <w:vAlign w:val="center"/>
          </w:tcPr>
          <w:p>
            <w:pPr>
              <w:widowControl/>
              <w:jc w:val="center"/>
              <w:textAlignment w:val="center"/>
              <w:rPr>
                <w:rFonts w:hint="eastAsia" w:ascii="宋体" w:hAnsi="宋体" w:eastAsia="宋体" w:cs="宋体"/>
                <w:color w:val="auto"/>
                <w:kern w:val="0"/>
                <w:szCs w:val="21"/>
                <w:highlight w:val="none"/>
                <w:lang w:bidi="ar"/>
              </w:rPr>
            </w:pPr>
          </w:p>
        </w:tc>
        <w:tc>
          <w:tcPr>
            <w:tcW w:w="744" w:type="dxa"/>
            <w:vMerge w:val="continue"/>
            <w:shd w:val="clear" w:color="auto" w:fill="FFFFFF"/>
            <w:vAlign w:val="center"/>
          </w:tcPr>
          <w:p>
            <w:pPr>
              <w:widowControl/>
              <w:jc w:val="center"/>
              <w:textAlignment w:val="center"/>
              <w:rPr>
                <w:rFonts w:hint="eastAsia" w:ascii="宋体" w:hAnsi="宋体" w:eastAsia="宋体" w:cs="宋体"/>
                <w:color w:val="auto"/>
                <w:kern w:val="0"/>
                <w:szCs w:val="21"/>
                <w:highlight w:val="none"/>
                <w:lang w:val="en-US" w:eastAsia="zh-CN" w:bidi="ar"/>
              </w:rPr>
            </w:pPr>
          </w:p>
        </w:tc>
        <w:tc>
          <w:tcPr>
            <w:tcW w:w="838" w:type="dxa"/>
            <w:shd w:val="clear" w:color="auto" w:fill="FFFFFF"/>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食堂消费</w:t>
            </w:r>
          </w:p>
        </w:tc>
        <w:tc>
          <w:tcPr>
            <w:tcW w:w="7244" w:type="dxa"/>
            <w:shd w:val="clear" w:color="auto" w:fill="FFFFFF"/>
            <w:vAlign w:val="center"/>
          </w:tcPr>
          <w:p>
            <w:pPr>
              <w:keepNext w:val="0"/>
              <w:keepLines w:val="0"/>
              <w:pageBreakBefore w:val="0"/>
              <w:widowControl/>
              <w:kinsoku/>
              <w:wordWrap/>
              <w:overflowPunct/>
              <w:topLinePunct w:val="0"/>
              <w:bidi w:val="0"/>
              <w:adjustRightInd/>
              <w:snapToGrid/>
              <w:spacing w:line="276"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须支持教师通过对话进行</w:t>
            </w:r>
            <w:r>
              <w:rPr>
                <w:rFonts w:hint="eastAsia" w:ascii="宋体" w:hAnsi="宋体" w:eastAsia="宋体" w:cs="宋体"/>
                <w:color w:val="auto"/>
                <w:kern w:val="0"/>
                <w:sz w:val="21"/>
                <w:szCs w:val="21"/>
                <w:highlight w:val="none"/>
                <w:lang w:val="en-US" w:eastAsia="zh-CN" w:bidi="ar"/>
              </w:rPr>
              <w:t>食堂消费情况</w:t>
            </w:r>
            <w:r>
              <w:rPr>
                <w:rFonts w:hint="eastAsia" w:ascii="宋体" w:hAnsi="宋体" w:eastAsia="宋体" w:cs="宋体"/>
                <w:color w:val="auto"/>
                <w:kern w:val="0"/>
                <w:sz w:val="21"/>
                <w:szCs w:val="21"/>
                <w:highlight w:val="none"/>
                <w:lang w:bidi="ar"/>
              </w:rPr>
              <w:t>分析，系统根据</w:t>
            </w:r>
            <w:r>
              <w:rPr>
                <w:rFonts w:hint="eastAsia" w:ascii="宋体" w:hAnsi="宋体" w:eastAsia="宋体" w:cs="宋体"/>
                <w:color w:val="auto"/>
                <w:kern w:val="0"/>
                <w:sz w:val="21"/>
                <w:szCs w:val="21"/>
                <w:highlight w:val="none"/>
                <w:lang w:val="en-US" w:eastAsia="zh-CN" w:bidi="ar"/>
              </w:rPr>
              <w:t>食堂消费系统产生的食堂消费</w:t>
            </w:r>
            <w:r>
              <w:rPr>
                <w:rFonts w:hint="eastAsia" w:ascii="宋体" w:hAnsi="宋体" w:eastAsia="宋体" w:cs="宋体"/>
                <w:color w:val="auto"/>
                <w:kern w:val="0"/>
                <w:sz w:val="21"/>
                <w:szCs w:val="21"/>
                <w:highlight w:val="none"/>
                <w:lang w:bidi="ar"/>
              </w:rPr>
              <w:t>数据可自动生成分析报表；</w:t>
            </w:r>
          </w:p>
          <w:p>
            <w:pPr>
              <w:pStyle w:val="8"/>
              <w:keepNext w:val="0"/>
              <w:keepLines w:val="0"/>
              <w:pageBreakBefore w:val="0"/>
              <w:numPr>
                <w:ilvl w:val="0"/>
                <w:numId w:val="8"/>
              </w:numPr>
              <w:kinsoku/>
              <w:wordWrap/>
              <w:overflowPunct/>
              <w:topLinePunct w:val="0"/>
              <w:bidi w:val="0"/>
              <w:adjustRightInd/>
              <w:snapToGrid/>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输入指令：支持管理者通过文字、语音、数据分析指令进行提问</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如学生消费情况，年消费情况、阶段时间学生消费情况等</w:t>
            </w:r>
            <w:r>
              <w:rPr>
                <w:rFonts w:hint="eastAsia" w:ascii="宋体" w:hAnsi="宋体" w:eastAsia="宋体" w:cs="宋体"/>
                <w:color w:val="auto"/>
                <w:kern w:val="0"/>
                <w:sz w:val="21"/>
                <w:szCs w:val="21"/>
                <w:highlight w:val="none"/>
                <w:lang w:bidi="ar"/>
              </w:rPr>
              <w:t>；</w:t>
            </w:r>
          </w:p>
          <w:p>
            <w:pPr>
              <w:pStyle w:val="8"/>
              <w:keepNext w:val="0"/>
              <w:keepLines w:val="0"/>
              <w:pageBreakBefore w:val="0"/>
              <w:numPr>
                <w:ilvl w:val="0"/>
                <w:numId w:val="8"/>
              </w:numPr>
              <w:kinsoku/>
              <w:wordWrap/>
              <w:overflowPunct/>
              <w:topLinePunct w:val="0"/>
              <w:bidi w:val="0"/>
              <w:adjustRightInd/>
              <w:snapToGrid/>
              <w:spacing w:line="276"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AI回复：系统须支持根据用户提问内容，自动识别语义，生成数据分析可视化图表；</w:t>
            </w:r>
          </w:p>
          <w:p>
            <w:pPr>
              <w:pStyle w:val="8"/>
              <w:keepNext w:val="0"/>
              <w:keepLines w:val="0"/>
              <w:pageBreakBefore w:val="0"/>
              <w:numPr>
                <w:ilvl w:val="0"/>
                <w:numId w:val="8"/>
              </w:numPr>
              <w:kinsoku/>
              <w:wordWrap/>
              <w:overflowPunct/>
              <w:topLinePunct w:val="0"/>
              <w:bidi w:val="0"/>
              <w:adjustRightInd/>
              <w:snapToGrid/>
              <w:spacing w:line="276"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结果反馈：支持对AI回复结果进行赞、踩、文本反馈、重新生成、复制回答、新建对话，并可基于用户反馈结果进行系统优化；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Merge w:val="continue"/>
            <w:shd w:val="clear" w:color="auto" w:fill="FFFFFF"/>
            <w:vAlign w:val="center"/>
          </w:tcPr>
          <w:p>
            <w:pPr>
              <w:widowControl/>
              <w:jc w:val="center"/>
              <w:textAlignment w:val="center"/>
              <w:rPr>
                <w:rFonts w:hint="eastAsia" w:ascii="宋体" w:hAnsi="宋体" w:eastAsia="宋体" w:cs="宋体"/>
                <w:color w:val="auto"/>
                <w:kern w:val="0"/>
                <w:szCs w:val="21"/>
                <w:highlight w:val="none"/>
                <w:lang w:bidi="ar"/>
              </w:rPr>
            </w:pPr>
          </w:p>
        </w:tc>
        <w:tc>
          <w:tcPr>
            <w:tcW w:w="744" w:type="dxa"/>
            <w:vMerge w:val="continue"/>
            <w:shd w:val="clear" w:color="auto" w:fill="FFFFFF"/>
            <w:vAlign w:val="center"/>
          </w:tcPr>
          <w:p>
            <w:pPr>
              <w:widowControl/>
              <w:jc w:val="center"/>
              <w:textAlignment w:val="center"/>
              <w:rPr>
                <w:rFonts w:hint="eastAsia" w:ascii="宋体" w:hAnsi="宋体" w:eastAsia="宋体" w:cs="宋体"/>
                <w:color w:val="auto"/>
                <w:kern w:val="0"/>
                <w:szCs w:val="21"/>
                <w:highlight w:val="none"/>
                <w:lang w:val="en-US" w:eastAsia="zh-CN" w:bidi="ar"/>
              </w:rPr>
            </w:pPr>
          </w:p>
        </w:tc>
        <w:tc>
          <w:tcPr>
            <w:tcW w:w="838" w:type="dxa"/>
            <w:shd w:val="clear" w:color="auto" w:fill="FFFFFF"/>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教师课程</w:t>
            </w:r>
          </w:p>
        </w:tc>
        <w:tc>
          <w:tcPr>
            <w:tcW w:w="7244" w:type="dxa"/>
            <w:shd w:val="clear" w:color="auto" w:fill="FFFFFF"/>
            <w:vAlign w:val="center"/>
          </w:tcPr>
          <w:p>
            <w:pPr>
              <w:keepNext w:val="0"/>
              <w:keepLines w:val="0"/>
              <w:pageBreakBefore w:val="0"/>
              <w:widowControl/>
              <w:kinsoku/>
              <w:wordWrap/>
              <w:overflowPunct/>
              <w:topLinePunct w:val="0"/>
              <w:bidi w:val="0"/>
              <w:adjustRightInd/>
              <w:snapToGrid/>
              <w:spacing w:line="276"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须支持教师通过对话进行</w:t>
            </w:r>
            <w:r>
              <w:rPr>
                <w:rFonts w:hint="eastAsia" w:ascii="宋体" w:hAnsi="宋体" w:eastAsia="宋体" w:cs="宋体"/>
                <w:color w:val="auto"/>
                <w:kern w:val="0"/>
                <w:sz w:val="21"/>
                <w:szCs w:val="21"/>
                <w:highlight w:val="none"/>
                <w:lang w:val="en-US" w:eastAsia="zh-CN" w:bidi="ar"/>
              </w:rPr>
              <w:t>教师课程情况</w:t>
            </w:r>
            <w:r>
              <w:rPr>
                <w:rFonts w:hint="eastAsia" w:ascii="宋体" w:hAnsi="宋体" w:eastAsia="宋体" w:cs="宋体"/>
                <w:color w:val="auto"/>
                <w:kern w:val="0"/>
                <w:sz w:val="21"/>
                <w:szCs w:val="21"/>
                <w:highlight w:val="none"/>
                <w:lang w:bidi="ar"/>
              </w:rPr>
              <w:t>分析，系统根据</w:t>
            </w:r>
            <w:r>
              <w:rPr>
                <w:rFonts w:hint="eastAsia" w:ascii="宋体" w:hAnsi="宋体" w:eastAsia="宋体" w:cs="宋体"/>
                <w:color w:val="auto"/>
                <w:kern w:val="0"/>
                <w:sz w:val="21"/>
                <w:szCs w:val="21"/>
                <w:highlight w:val="none"/>
                <w:lang w:val="en-US" w:eastAsia="zh-CN" w:bidi="ar"/>
              </w:rPr>
              <w:t>智慧校园平台产生的教师课表、请假调代课、学校日程</w:t>
            </w:r>
            <w:r>
              <w:rPr>
                <w:rFonts w:hint="eastAsia" w:ascii="宋体" w:hAnsi="宋体" w:eastAsia="宋体" w:cs="宋体"/>
                <w:color w:val="auto"/>
                <w:kern w:val="0"/>
                <w:sz w:val="21"/>
                <w:szCs w:val="21"/>
                <w:highlight w:val="none"/>
                <w:lang w:bidi="ar"/>
              </w:rPr>
              <w:t>数据可自动生成分析报表；</w:t>
            </w:r>
          </w:p>
          <w:p>
            <w:pPr>
              <w:pStyle w:val="8"/>
              <w:keepNext w:val="0"/>
              <w:keepLines w:val="0"/>
              <w:pageBreakBefore w:val="0"/>
              <w:numPr>
                <w:ilvl w:val="0"/>
                <w:numId w:val="9"/>
              </w:numPr>
              <w:kinsoku/>
              <w:wordWrap/>
              <w:overflowPunct/>
              <w:topLinePunct w:val="0"/>
              <w:bidi w:val="0"/>
              <w:adjustRightInd/>
              <w:snapToGrid/>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输入</w:t>
            </w:r>
            <w:r>
              <w:rPr>
                <w:rFonts w:hint="eastAsia" w:ascii="宋体" w:hAnsi="宋体" w:eastAsia="宋体" w:cs="宋体"/>
                <w:color w:val="auto"/>
                <w:kern w:val="0"/>
                <w:sz w:val="21"/>
                <w:szCs w:val="21"/>
                <w:highlight w:val="none"/>
                <w:lang w:val="en-US" w:eastAsia="zh-CN" w:bidi="ar"/>
              </w:rPr>
              <w:t>考</w:t>
            </w:r>
            <w:r>
              <w:rPr>
                <w:rFonts w:hint="eastAsia" w:ascii="宋体" w:hAnsi="宋体" w:eastAsia="宋体" w:cs="宋体"/>
                <w:color w:val="auto"/>
                <w:kern w:val="0"/>
                <w:sz w:val="21"/>
                <w:szCs w:val="21"/>
                <w:highlight w:val="none"/>
                <w:lang w:bidi="ar"/>
              </w:rPr>
              <w:t>指令：支持管理者通过文字、语音、数据分析指令进行提问</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如教师课程、课时统计、代课统计、空闲教师等</w:t>
            </w:r>
            <w:r>
              <w:rPr>
                <w:rFonts w:hint="eastAsia" w:ascii="宋体" w:hAnsi="宋体" w:eastAsia="宋体" w:cs="宋体"/>
                <w:color w:val="auto"/>
                <w:kern w:val="0"/>
                <w:sz w:val="21"/>
                <w:szCs w:val="21"/>
                <w:highlight w:val="none"/>
                <w:lang w:bidi="ar"/>
              </w:rPr>
              <w:t>；</w:t>
            </w:r>
          </w:p>
          <w:p>
            <w:pPr>
              <w:pStyle w:val="8"/>
              <w:keepNext w:val="0"/>
              <w:keepLines w:val="0"/>
              <w:pageBreakBefore w:val="0"/>
              <w:numPr>
                <w:ilvl w:val="0"/>
                <w:numId w:val="9"/>
              </w:numPr>
              <w:kinsoku/>
              <w:wordWrap/>
              <w:overflowPunct/>
              <w:topLinePunct w:val="0"/>
              <w:bidi w:val="0"/>
              <w:adjustRightInd/>
              <w:snapToGrid/>
              <w:spacing w:line="276"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AI回复：系统须支持根据用户提问内容，自动识别语义，生成数据分析可视化图表；</w:t>
            </w:r>
          </w:p>
          <w:p>
            <w:pPr>
              <w:pStyle w:val="8"/>
              <w:keepNext w:val="0"/>
              <w:keepLines w:val="0"/>
              <w:pageBreakBefore w:val="0"/>
              <w:numPr>
                <w:ilvl w:val="0"/>
                <w:numId w:val="9"/>
              </w:numPr>
              <w:kinsoku/>
              <w:wordWrap/>
              <w:overflowPunct/>
              <w:topLinePunct w:val="0"/>
              <w:bidi w:val="0"/>
              <w:adjustRightInd/>
              <w:snapToGrid/>
              <w:spacing w:line="276"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结果反馈：支持对AI回复结果进行赞、踩、文本反馈、重新生成、复制回答、新建对话，并可基于用户反馈结果进行系统优化；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Merge w:val="continue"/>
            <w:shd w:val="clear" w:color="auto" w:fill="FFFFFF"/>
            <w:vAlign w:val="center"/>
          </w:tcPr>
          <w:p>
            <w:pPr>
              <w:widowControl/>
              <w:jc w:val="center"/>
              <w:textAlignment w:val="center"/>
              <w:rPr>
                <w:rFonts w:hint="eastAsia" w:ascii="宋体" w:hAnsi="宋体" w:eastAsia="宋体" w:cs="宋体"/>
                <w:color w:val="auto"/>
                <w:kern w:val="0"/>
                <w:szCs w:val="21"/>
                <w:highlight w:val="none"/>
                <w:lang w:bidi="ar"/>
              </w:rPr>
            </w:pPr>
          </w:p>
        </w:tc>
        <w:tc>
          <w:tcPr>
            <w:tcW w:w="744" w:type="dxa"/>
            <w:vMerge w:val="continue"/>
            <w:shd w:val="clear" w:color="auto" w:fill="FFFFFF"/>
            <w:vAlign w:val="center"/>
          </w:tcPr>
          <w:p>
            <w:pPr>
              <w:widowControl/>
              <w:jc w:val="center"/>
              <w:textAlignment w:val="center"/>
              <w:rPr>
                <w:rFonts w:hint="eastAsia" w:ascii="宋体" w:hAnsi="宋体" w:eastAsia="宋体" w:cs="宋体"/>
                <w:color w:val="auto"/>
                <w:kern w:val="0"/>
                <w:szCs w:val="21"/>
                <w:highlight w:val="none"/>
                <w:lang w:val="en-US" w:eastAsia="zh-CN" w:bidi="ar"/>
              </w:rPr>
            </w:pPr>
          </w:p>
        </w:tc>
        <w:tc>
          <w:tcPr>
            <w:tcW w:w="838" w:type="dxa"/>
            <w:shd w:val="clear" w:color="auto" w:fill="FFFFFF"/>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用印情况</w:t>
            </w:r>
          </w:p>
        </w:tc>
        <w:tc>
          <w:tcPr>
            <w:tcW w:w="7244" w:type="dxa"/>
            <w:shd w:val="clear" w:color="auto" w:fill="FFFFFF"/>
            <w:vAlign w:val="center"/>
          </w:tcPr>
          <w:p>
            <w:pPr>
              <w:keepNext w:val="0"/>
              <w:keepLines w:val="0"/>
              <w:pageBreakBefore w:val="0"/>
              <w:widowControl/>
              <w:kinsoku/>
              <w:wordWrap/>
              <w:overflowPunct/>
              <w:topLinePunct w:val="0"/>
              <w:bidi w:val="0"/>
              <w:adjustRightInd/>
              <w:snapToGrid/>
              <w:spacing w:line="276"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须支持教师通过对话进行</w:t>
            </w:r>
            <w:r>
              <w:rPr>
                <w:rFonts w:hint="eastAsia" w:ascii="宋体" w:hAnsi="宋体" w:eastAsia="宋体" w:cs="宋体"/>
                <w:color w:val="auto"/>
                <w:kern w:val="0"/>
                <w:sz w:val="21"/>
                <w:szCs w:val="21"/>
                <w:highlight w:val="none"/>
                <w:lang w:val="en-US" w:eastAsia="zh-CN" w:bidi="ar"/>
              </w:rPr>
              <w:t>校园用印情况</w:t>
            </w:r>
            <w:r>
              <w:rPr>
                <w:rFonts w:hint="eastAsia" w:ascii="宋体" w:hAnsi="宋体" w:eastAsia="宋体" w:cs="宋体"/>
                <w:color w:val="auto"/>
                <w:kern w:val="0"/>
                <w:sz w:val="21"/>
                <w:szCs w:val="21"/>
                <w:highlight w:val="none"/>
                <w:lang w:bidi="ar"/>
              </w:rPr>
              <w:t>分析，系统根据学校</w:t>
            </w:r>
            <w:r>
              <w:rPr>
                <w:rFonts w:hint="eastAsia" w:ascii="宋体" w:hAnsi="宋体" w:eastAsia="宋体" w:cs="宋体"/>
                <w:color w:val="auto"/>
                <w:kern w:val="0"/>
                <w:sz w:val="21"/>
                <w:szCs w:val="21"/>
                <w:highlight w:val="none"/>
                <w:lang w:val="en-US" w:eastAsia="zh-CN" w:bidi="ar"/>
              </w:rPr>
              <w:t>用印</w:t>
            </w:r>
            <w:r>
              <w:rPr>
                <w:rFonts w:hint="eastAsia" w:ascii="宋体" w:hAnsi="宋体" w:eastAsia="宋体" w:cs="宋体"/>
                <w:color w:val="auto"/>
                <w:kern w:val="0"/>
                <w:sz w:val="21"/>
                <w:szCs w:val="21"/>
                <w:highlight w:val="none"/>
                <w:lang w:bidi="ar"/>
              </w:rPr>
              <w:t>数据可自动生成分析报表；</w:t>
            </w:r>
          </w:p>
          <w:p>
            <w:pPr>
              <w:pStyle w:val="8"/>
              <w:keepNext w:val="0"/>
              <w:keepLines w:val="0"/>
              <w:pageBreakBefore w:val="0"/>
              <w:numPr>
                <w:ilvl w:val="0"/>
                <w:numId w:val="10"/>
              </w:numPr>
              <w:kinsoku/>
              <w:wordWrap/>
              <w:overflowPunct/>
              <w:topLinePunct w:val="0"/>
              <w:bidi w:val="0"/>
              <w:adjustRightInd/>
              <w:snapToGrid/>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输入指令：支持管理者通过文字、语音、数据分析指令进行提问</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如各年级、学科、老师用印情况等</w:t>
            </w:r>
            <w:r>
              <w:rPr>
                <w:rFonts w:hint="eastAsia" w:ascii="宋体" w:hAnsi="宋体" w:eastAsia="宋体" w:cs="宋体"/>
                <w:color w:val="auto"/>
                <w:kern w:val="0"/>
                <w:sz w:val="21"/>
                <w:szCs w:val="21"/>
                <w:highlight w:val="none"/>
                <w:lang w:bidi="ar"/>
              </w:rPr>
              <w:t>；</w:t>
            </w:r>
          </w:p>
          <w:p>
            <w:pPr>
              <w:pStyle w:val="8"/>
              <w:keepNext w:val="0"/>
              <w:keepLines w:val="0"/>
              <w:pageBreakBefore w:val="0"/>
              <w:numPr>
                <w:ilvl w:val="0"/>
                <w:numId w:val="10"/>
              </w:numPr>
              <w:kinsoku/>
              <w:wordWrap/>
              <w:overflowPunct/>
              <w:topLinePunct w:val="0"/>
              <w:bidi w:val="0"/>
              <w:adjustRightInd/>
              <w:snapToGrid/>
              <w:spacing w:line="276" w:lineRule="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AI回复：系统须支持根据用户提问内容，自动识别语义，生成数据分析可视化图表；</w:t>
            </w:r>
          </w:p>
          <w:p>
            <w:pPr>
              <w:pStyle w:val="8"/>
              <w:keepNext w:val="0"/>
              <w:keepLines w:val="0"/>
              <w:pageBreakBefore w:val="0"/>
              <w:numPr>
                <w:ilvl w:val="0"/>
                <w:numId w:val="10"/>
              </w:numPr>
              <w:kinsoku/>
              <w:wordWrap/>
              <w:overflowPunct/>
              <w:topLinePunct w:val="0"/>
              <w:bidi w:val="0"/>
              <w:adjustRightInd/>
              <w:snapToGrid/>
              <w:spacing w:line="276"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结果反馈：支持对AI回复结果进行赞、踩、文本反馈、重新生成、复制回答、新建对话，并可基于用户反馈结果进行系统优化；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Merge w:val="restart"/>
            <w:shd w:val="clear" w:color="auto" w:fill="FFFFFF"/>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bidi="ar"/>
              </w:rPr>
              <w:t>5</w:t>
            </w:r>
          </w:p>
        </w:tc>
        <w:tc>
          <w:tcPr>
            <w:tcW w:w="744" w:type="dxa"/>
            <w:vMerge w:val="restart"/>
            <w:shd w:val="clear" w:color="auto" w:fill="FFFFFF"/>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val="en-US" w:eastAsia="zh-CN" w:bidi="ar"/>
              </w:rPr>
              <w:t>数字人</w:t>
            </w:r>
          </w:p>
        </w:tc>
        <w:tc>
          <w:tcPr>
            <w:tcW w:w="838" w:type="dxa"/>
            <w:shd w:val="clear" w:color="auto" w:fill="FFFFFF"/>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形象定制</w:t>
            </w:r>
          </w:p>
        </w:tc>
        <w:tc>
          <w:tcPr>
            <w:tcW w:w="7244" w:type="dxa"/>
            <w:shd w:val="clear" w:color="auto" w:fill="FFFFFF"/>
            <w:vAlign w:val="center"/>
          </w:tcPr>
          <w:p>
            <w:pPr>
              <w:keepNext w:val="0"/>
              <w:keepLines w:val="0"/>
              <w:pageBreakBefore w:val="0"/>
              <w:widowControl/>
              <w:kinsoku/>
              <w:wordWrap/>
              <w:overflowPunct/>
              <w:topLinePunct w:val="0"/>
              <w:bidi w:val="0"/>
              <w:adjustRightInd/>
              <w:snapToGrid/>
              <w:spacing w:line="276" w:lineRule="auto"/>
              <w:jc w:val="left"/>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根据学校提供的素材定制数字人动态形象，生成4K高清数字人形象，效果需达到表情动作自然流畅，避免出现声音停止动作继续等穿帮的情况，支持集成到学校现有的AI大屏内使用。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664" w:type="dxa"/>
            <w:vMerge w:val="continue"/>
            <w:shd w:val="clear" w:color="auto" w:fill="FFFFFF"/>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eastAsia" w:ascii="宋体" w:hAnsi="宋体" w:eastAsia="宋体" w:cs="宋体"/>
                <w:color w:val="auto"/>
                <w:kern w:val="0"/>
                <w:sz w:val="21"/>
                <w:szCs w:val="21"/>
                <w:highlight w:val="none"/>
                <w:lang w:bidi="ar"/>
              </w:rPr>
            </w:pPr>
          </w:p>
        </w:tc>
        <w:tc>
          <w:tcPr>
            <w:tcW w:w="744" w:type="dxa"/>
            <w:vMerge w:val="continue"/>
            <w:shd w:val="clear" w:color="auto" w:fill="FFFFFF"/>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eastAsia" w:ascii="宋体" w:hAnsi="宋体" w:eastAsia="宋体" w:cs="宋体"/>
                <w:color w:val="auto"/>
                <w:kern w:val="0"/>
                <w:sz w:val="21"/>
                <w:szCs w:val="21"/>
                <w:highlight w:val="none"/>
                <w:lang w:bidi="ar"/>
              </w:rPr>
            </w:pPr>
          </w:p>
        </w:tc>
        <w:tc>
          <w:tcPr>
            <w:tcW w:w="838" w:type="dxa"/>
            <w:shd w:val="clear" w:color="auto" w:fill="FFFFFF"/>
            <w:vAlign w:val="center"/>
          </w:tcPr>
          <w:p>
            <w:pPr>
              <w:keepNext w:val="0"/>
              <w:keepLines w:val="0"/>
              <w:pageBreakBefore w:val="0"/>
              <w:widowControl/>
              <w:kinsoku/>
              <w:wordWrap/>
              <w:overflowPunct/>
              <w:topLinePunct w:val="0"/>
              <w:bidi w:val="0"/>
              <w:adjustRightInd/>
              <w:snapToGrid/>
              <w:spacing w:line="276" w:lineRule="auto"/>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服务调用</w:t>
            </w:r>
          </w:p>
        </w:tc>
        <w:tc>
          <w:tcPr>
            <w:tcW w:w="7244" w:type="dxa"/>
            <w:shd w:val="clear" w:color="auto" w:fill="FFFFFF"/>
            <w:vAlign w:val="center"/>
          </w:tcPr>
          <w:p>
            <w:pPr>
              <w:keepNext w:val="0"/>
              <w:keepLines w:val="0"/>
              <w:pageBreakBefore w:val="0"/>
              <w:widowControl/>
              <w:kinsoku/>
              <w:wordWrap/>
              <w:overflowPunct/>
              <w:topLinePunct w:val="0"/>
              <w:bidi w:val="0"/>
              <w:adjustRightInd/>
              <w:snapToGrid/>
              <w:spacing w:line="276" w:lineRule="auto"/>
              <w:jc w:val="left"/>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提供3年服务调用能力接口，支持学校新建业务系统或已有业务系统调用数字人能力，服务期内提供全面技术支持，包括系统更新、维护、故障排除、用户培训，确保数字人的持续优化和高效运行。</w:t>
            </w:r>
          </w:p>
        </w:tc>
      </w:tr>
    </w:tbl>
    <w:p>
      <w:pPr>
        <w:numPr>
          <w:ilvl w:val="0"/>
          <w:numId w:val="4"/>
        </w:numPr>
        <w:spacing w:line="360" w:lineRule="auto"/>
        <w:jc w:val="left"/>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补充技术要求</w:t>
      </w:r>
    </w:p>
    <w:p>
      <w:pPr>
        <w:spacing w:line="360" w:lineRule="auto"/>
        <w:ind w:left="210" w:leftChars="10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为更好与招标人信息化系统兼容，保证系统建设的一致性，本次项目平台系统建设必须满足学校提出的以下建设要求。投标时提供承诺函。</w:t>
      </w:r>
    </w:p>
    <w:tbl>
      <w:tblPr>
        <w:tblStyle w:val="17"/>
        <w:tblW w:w="942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1813"/>
        <w:gridCol w:w="6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48" w:type="dxa"/>
            <w:shd w:val="clear" w:color="auto" w:fill="auto"/>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大类</w:t>
            </w:r>
          </w:p>
        </w:tc>
        <w:tc>
          <w:tcPr>
            <w:tcW w:w="1813" w:type="dxa"/>
            <w:shd w:val="clear" w:color="auto" w:fill="auto"/>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小类</w:t>
            </w:r>
          </w:p>
        </w:tc>
        <w:tc>
          <w:tcPr>
            <w:tcW w:w="6267" w:type="dxa"/>
            <w:shd w:val="clear" w:color="auto" w:fill="auto"/>
          </w:tcPr>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详细要求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48" w:type="dxa"/>
            <w:vMerge w:val="restart"/>
            <w:shd w:val="clear" w:color="auto" w:fill="auto"/>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系统要求指南</w:t>
            </w:r>
          </w:p>
        </w:tc>
        <w:tc>
          <w:tcPr>
            <w:tcW w:w="1813" w:type="dxa"/>
            <w:shd w:val="clear" w:color="auto" w:fill="auto"/>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部署方式</w:t>
            </w:r>
          </w:p>
        </w:tc>
        <w:tc>
          <w:tcPr>
            <w:tcW w:w="6267" w:type="dxa"/>
            <w:shd w:val="clear" w:color="auto" w:fill="auto"/>
          </w:tcPr>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本地化部署，学校提供部署所需资源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48" w:type="dxa"/>
            <w:vMerge w:val="continue"/>
            <w:shd w:val="clear" w:color="auto" w:fill="auto"/>
            <w:vAlign w:val="center"/>
          </w:tcPr>
          <w:p>
            <w:pPr>
              <w:ind w:firstLine="442"/>
              <w:jc w:val="center"/>
              <w:rPr>
                <w:rFonts w:hint="eastAsia" w:ascii="宋体" w:hAnsi="宋体" w:eastAsia="宋体" w:cs="宋体"/>
                <w:color w:val="auto"/>
                <w:kern w:val="0"/>
                <w:szCs w:val="21"/>
                <w:highlight w:val="none"/>
                <w:lang w:bidi="ar"/>
              </w:rPr>
            </w:pPr>
          </w:p>
        </w:tc>
        <w:tc>
          <w:tcPr>
            <w:tcW w:w="1813" w:type="dxa"/>
            <w:shd w:val="clear" w:color="auto" w:fill="auto"/>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并发访问</w:t>
            </w:r>
          </w:p>
        </w:tc>
        <w:tc>
          <w:tcPr>
            <w:tcW w:w="6267" w:type="dxa"/>
            <w:shd w:val="clear" w:color="auto" w:fill="auto"/>
          </w:tcPr>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系统要求在用户使用高峰期能够平稳运行，至少满足100人同时在线，100人并发访问的需要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48" w:type="dxa"/>
            <w:vMerge w:val="continue"/>
            <w:shd w:val="clear" w:color="auto" w:fill="auto"/>
            <w:vAlign w:val="center"/>
          </w:tcPr>
          <w:p>
            <w:pPr>
              <w:ind w:firstLine="442"/>
              <w:jc w:val="center"/>
              <w:rPr>
                <w:rFonts w:hint="eastAsia" w:ascii="宋体" w:hAnsi="宋体" w:eastAsia="宋体" w:cs="宋体"/>
                <w:color w:val="auto"/>
                <w:kern w:val="0"/>
                <w:szCs w:val="21"/>
                <w:highlight w:val="none"/>
                <w:lang w:bidi="ar"/>
              </w:rPr>
            </w:pPr>
          </w:p>
        </w:tc>
        <w:tc>
          <w:tcPr>
            <w:tcW w:w="1813" w:type="dxa"/>
            <w:shd w:val="clear" w:color="auto" w:fill="auto"/>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UI要求</w:t>
            </w:r>
          </w:p>
        </w:tc>
        <w:tc>
          <w:tcPr>
            <w:tcW w:w="6267" w:type="dxa"/>
            <w:shd w:val="clear" w:color="auto" w:fill="auto"/>
          </w:tcPr>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系统须采用友好的操作界面，界面的结构、层次清晰明了，页面风格简洁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8" w:type="dxa"/>
            <w:vMerge w:val="restart"/>
            <w:shd w:val="clear" w:color="auto" w:fill="auto"/>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系统集成需求</w:t>
            </w:r>
          </w:p>
        </w:tc>
        <w:tc>
          <w:tcPr>
            <w:tcW w:w="1813" w:type="dxa"/>
            <w:shd w:val="clear" w:color="auto" w:fill="auto"/>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cs="宋体"/>
                <w:b/>
                <w:bCs/>
                <w:color w:val="auto"/>
                <w:kern w:val="0"/>
                <w:szCs w:val="21"/>
                <w:highlight w:val="none"/>
                <w:lang w:eastAsia="zh-CN" w:bidi="ar"/>
              </w:rPr>
              <w:t>◆</w:t>
            </w:r>
            <w:r>
              <w:rPr>
                <w:rFonts w:hint="eastAsia" w:ascii="宋体" w:hAnsi="宋体" w:eastAsia="宋体" w:cs="宋体"/>
                <w:color w:val="auto"/>
                <w:kern w:val="0"/>
                <w:szCs w:val="21"/>
                <w:highlight w:val="none"/>
                <w:lang w:bidi="ar"/>
              </w:rPr>
              <w:t>原有平台对接</w:t>
            </w:r>
          </w:p>
        </w:tc>
        <w:tc>
          <w:tcPr>
            <w:tcW w:w="6267" w:type="dxa"/>
            <w:shd w:val="clear" w:color="auto" w:fill="auto"/>
          </w:tcPr>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须支持与学校</w:t>
            </w:r>
            <w:r>
              <w:rPr>
                <w:rFonts w:hint="eastAsia" w:ascii="宋体" w:hAnsi="宋体" w:eastAsia="宋体" w:cs="宋体"/>
                <w:color w:val="auto"/>
                <w:kern w:val="0"/>
                <w:szCs w:val="21"/>
                <w:highlight w:val="none"/>
                <w:lang w:val="en-US" w:eastAsia="zh-CN" w:bidi="ar"/>
              </w:rPr>
              <w:t>原</w:t>
            </w:r>
            <w:r>
              <w:rPr>
                <w:rFonts w:hint="eastAsia" w:ascii="宋体" w:hAnsi="宋体" w:eastAsia="宋体" w:cs="宋体"/>
                <w:color w:val="auto"/>
                <w:kern w:val="0"/>
                <w:szCs w:val="21"/>
                <w:highlight w:val="none"/>
                <w:lang w:bidi="ar"/>
              </w:rPr>
              <w:t>有智慧校园平台进行无缝对接，实现统一用户认证、统一组织架构、统一业务标准、统一数据标准。</w:t>
            </w:r>
            <w:r>
              <w:rPr>
                <w:rFonts w:hint="eastAsia" w:ascii="宋体" w:hAnsi="宋体" w:eastAsia="宋体" w:cs="宋体"/>
                <w:color w:val="auto"/>
                <w:sz w:val="21"/>
                <w:szCs w:val="21"/>
                <w:highlight w:val="none"/>
                <w:lang w:val="en-US" w:eastAsia="zh-CN"/>
              </w:rPr>
              <w:t>【投标时须提供原有平台对接承诺函或相关证明材料】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48" w:type="dxa"/>
            <w:vMerge w:val="continue"/>
            <w:shd w:val="clear" w:color="auto" w:fill="auto"/>
            <w:vAlign w:val="center"/>
          </w:tcPr>
          <w:p>
            <w:pPr>
              <w:ind w:firstLine="442"/>
              <w:jc w:val="center"/>
              <w:rPr>
                <w:rFonts w:hint="eastAsia" w:ascii="宋体" w:hAnsi="宋体" w:eastAsia="宋体" w:cs="宋体"/>
                <w:color w:val="auto"/>
                <w:kern w:val="0"/>
                <w:szCs w:val="21"/>
                <w:highlight w:val="none"/>
                <w:lang w:bidi="ar"/>
              </w:rPr>
            </w:pPr>
          </w:p>
        </w:tc>
        <w:tc>
          <w:tcPr>
            <w:tcW w:w="1813" w:type="dxa"/>
            <w:shd w:val="clear" w:color="auto" w:fill="auto"/>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cs="宋体"/>
                <w:b/>
                <w:bCs/>
                <w:color w:val="auto"/>
                <w:kern w:val="0"/>
                <w:szCs w:val="21"/>
                <w:highlight w:val="none"/>
                <w:lang w:eastAsia="zh-CN" w:bidi="ar"/>
              </w:rPr>
              <w:t>◆</w:t>
            </w:r>
            <w:r>
              <w:rPr>
                <w:rFonts w:hint="eastAsia" w:ascii="宋体" w:hAnsi="宋体" w:eastAsia="宋体" w:cs="宋体"/>
                <w:color w:val="auto"/>
                <w:kern w:val="0"/>
                <w:szCs w:val="21"/>
                <w:highlight w:val="none"/>
                <w:lang w:bidi="ar"/>
              </w:rPr>
              <w:t>业务</w:t>
            </w:r>
            <w:r>
              <w:rPr>
                <w:rFonts w:hint="eastAsia" w:ascii="宋体" w:hAnsi="宋体" w:eastAsia="宋体" w:cs="宋体"/>
                <w:color w:val="auto"/>
                <w:kern w:val="0"/>
                <w:szCs w:val="21"/>
                <w:highlight w:val="none"/>
                <w:lang w:val="en-US" w:eastAsia="zh-CN" w:bidi="ar"/>
              </w:rPr>
              <w:t>应用</w:t>
            </w:r>
            <w:r>
              <w:rPr>
                <w:rFonts w:hint="eastAsia" w:ascii="宋体" w:hAnsi="宋体" w:eastAsia="宋体" w:cs="宋体"/>
                <w:color w:val="auto"/>
                <w:kern w:val="0"/>
                <w:szCs w:val="21"/>
                <w:highlight w:val="none"/>
                <w:lang w:bidi="ar"/>
              </w:rPr>
              <w:t>对接</w:t>
            </w:r>
          </w:p>
        </w:tc>
        <w:tc>
          <w:tcPr>
            <w:tcW w:w="6267" w:type="dxa"/>
            <w:shd w:val="clear" w:color="auto" w:fill="auto"/>
          </w:tcPr>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b w:val="0"/>
                <w:bCs w:val="0"/>
                <w:i w:val="0"/>
                <w:iCs w:val="0"/>
                <w:caps w:val="0"/>
                <w:color w:val="auto"/>
                <w:kern w:val="0"/>
                <w:sz w:val="21"/>
                <w:szCs w:val="21"/>
                <w:highlight w:val="none"/>
                <w:u w:val="none"/>
                <w:lang w:val="en-US" w:eastAsia="zh-CN" w:bidi="ar"/>
              </w:rPr>
              <w:t>本次项目建设内容须实现与学校原有</w:t>
            </w:r>
            <w:r>
              <w:rPr>
                <w:rFonts w:hint="eastAsia" w:ascii="宋体" w:hAnsi="宋体" w:eastAsia="宋体" w:cs="宋体"/>
                <w:color w:val="auto"/>
                <w:kern w:val="0"/>
                <w:szCs w:val="21"/>
                <w:highlight w:val="none"/>
                <w:lang w:bidi="ar"/>
              </w:rPr>
              <w:t>智慧校园平台</w:t>
            </w:r>
            <w:r>
              <w:rPr>
                <w:rFonts w:hint="eastAsia" w:ascii="宋体" w:hAnsi="宋体" w:eastAsia="宋体" w:cs="宋体"/>
                <w:color w:val="auto"/>
                <w:kern w:val="0"/>
                <w:szCs w:val="21"/>
                <w:highlight w:val="none"/>
                <w:lang w:val="en-US" w:eastAsia="zh-CN" w:bidi="ar"/>
              </w:rPr>
              <w:t>内</w:t>
            </w:r>
            <w:r>
              <w:rPr>
                <w:rFonts w:hint="eastAsia" w:ascii="宋体" w:hAnsi="宋体" w:eastAsia="宋体" w:cs="宋体"/>
                <w:b w:val="0"/>
                <w:bCs w:val="0"/>
                <w:i w:val="0"/>
                <w:iCs w:val="0"/>
                <w:caps w:val="0"/>
                <w:color w:val="auto"/>
                <w:kern w:val="0"/>
                <w:sz w:val="21"/>
                <w:szCs w:val="21"/>
                <w:highlight w:val="none"/>
                <w:u w:val="none"/>
                <w:lang w:val="en-US" w:eastAsia="zh-CN" w:bidi="ar"/>
              </w:rPr>
              <w:t>的AI美术、报修申请、校内通知、学生评语等业务应用进行深度对接，满足</w:t>
            </w:r>
            <w:r>
              <w:rPr>
                <w:rFonts w:hint="eastAsia" w:ascii="宋体" w:hAnsi="宋体" w:eastAsia="宋体" w:cs="宋体"/>
                <w:color w:val="auto"/>
                <w:kern w:val="0"/>
                <w:szCs w:val="21"/>
                <w:highlight w:val="none"/>
                <w:lang w:bidi="ar"/>
              </w:rPr>
              <w:t>实现AI</w:t>
            </w:r>
            <w:r>
              <w:rPr>
                <w:rFonts w:hint="eastAsia" w:ascii="宋体" w:hAnsi="宋体" w:eastAsia="宋体" w:cs="宋体"/>
                <w:color w:val="auto"/>
                <w:kern w:val="0"/>
                <w:szCs w:val="21"/>
                <w:highlight w:val="none"/>
                <w:lang w:val="en-US" w:eastAsia="zh-CN" w:bidi="ar"/>
              </w:rPr>
              <w:t>办事</w:t>
            </w:r>
            <w:r>
              <w:rPr>
                <w:rFonts w:hint="eastAsia" w:ascii="宋体" w:hAnsi="宋体" w:eastAsia="宋体" w:cs="宋体"/>
                <w:color w:val="auto"/>
                <w:kern w:val="0"/>
                <w:szCs w:val="21"/>
                <w:highlight w:val="none"/>
                <w:lang w:bidi="ar"/>
              </w:rPr>
              <w:t>与业务</w:t>
            </w:r>
            <w:r>
              <w:rPr>
                <w:rFonts w:hint="eastAsia" w:ascii="宋体" w:hAnsi="宋体" w:eastAsia="宋体" w:cs="宋体"/>
                <w:color w:val="auto"/>
                <w:kern w:val="0"/>
                <w:szCs w:val="21"/>
                <w:highlight w:val="none"/>
                <w:lang w:val="en-US" w:eastAsia="zh-CN" w:bidi="ar"/>
              </w:rPr>
              <w:t>应用</w:t>
            </w:r>
            <w:r>
              <w:rPr>
                <w:rFonts w:hint="eastAsia" w:ascii="宋体" w:hAnsi="宋体" w:eastAsia="宋体" w:cs="宋体"/>
                <w:color w:val="auto"/>
                <w:kern w:val="0"/>
                <w:szCs w:val="21"/>
                <w:highlight w:val="none"/>
                <w:lang w:bidi="ar"/>
              </w:rPr>
              <w:t>之间的</w:t>
            </w:r>
            <w:r>
              <w:rPr>
                <w:rFonts w:hint="eastAsia" w:ascii="宋体" w:hAnsi="宋体" w:eastAsia="宋体" w:cs="宋体"/>
                <w:color w:val="auto"/>
                <w:kern w:val="0"/>
                <w:szCs w:val="21"/>
                <w:highlight w:val="none"/>
                <w:lang w:val="en-US" w:eastAsia="zh-CN" w:bidi="ar"/>
              </w:rPr>
              <w:t>接口</w:t>
            </w:r>
            <w:r>
              <w:rPr>
                <w:rFonts w:hint="eastAsia" w:ascii="宋体" w:hAnsi="宋体" w:eastAsia="宋体" w:cs="宋体"/>
                <w:color w:val="auto"/>
                <w:kern w:val="0"/>
                <w:szCs w:val="21"/>
                <w:highlight w:val="none"/>
                <w:lang w:bidi="ar"/>
              </w:rPr>
              <w:t>调用（包含数据接口、业务流程的调用、数据调用过程中的安全保障机制）</w:t>
            </w:r>
            <w:r>
              <w:rPr>
                <w:rFonts w:hint="eastAsia" w:ascii="宋体" w:hAnsi="宋体" w:eastAsia="宋体" w:cs="宋体"/>
                <w:color w:val="auto"/>
                <w:sz w:val="21"/>
                <w:szCs w:val="21"/>
                <w:highlight w:val="none"/>
                <w:lang w:val="en-US" w:eastAsia="zh-CN"/>
              </w:rPr>
              <w:t>【投标时须提供业务应用对接承诺函或相关证明材料】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48" w:type="dxa"/>
            <w:vMerge w:val="continue"/>
            <w:shd w:val="clear" w:color="auto" w:fill="auto"/>
            <w:vAlign w:val="center"/>
          </w:tcPr>
          <w:p>
            <w:pPr>
              <w:ind w:firstLine="442"/>
              <w:jc w:val="center"/>
              <w:rPr>
                <w:rFonts w:hint="eastAsia" w:ascii="宋体" w:hAnsi="宋体" w:eastAsia="宋体" w:cs="宋体"/>
                <w:color w:val="auto"/>
                <w:kern w:val="0"/>
                <w:szCs w:val="21"/>
                <w:highlight w:val="none"/>
                <w:lang w:bidi="ar"/>
              </w:rPr>
            </w:pPr>
          </w:p>
        </w:tc>
        <w:tc>
          <w:tcPr>
            <w:tcW w:w="1813" w:type="dxa"/>
            <w:shd w:val="clear" w:color="auto" w:fill="auto"/>
            <w:vAlign w:val="center"/>
          </w:tcPr>
          <w:p>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cs="宋体"/>
                <w:b/>
                <w:bCs/>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业务数据对接</w:t>
            </w:r>
          </w:p>
        </w:tc>
        <w:tc>
          <w:tcPr>
            <w:tcW w:w="6267" w:type="dxa"/>
            <w:shd w:val="clear" w:color="auto" w:fill="auto"/>
          </w:tcPr>
          <w:p>
            <w:pPr>
              <w:widowControl/>
              <w:jc w:val="left"/>
              <w:textAlignment w:val="center"/>
              <w:rPr>
                <w:rFonts w:hint="default" w:ascii="宋体" w:hAnsi="宋体" w:eastAsia="宋体" w:cs="宋体"/>
                <w:b w:val="0"/>
                <w:bCs w:val="0"/>
                <w:i w:val="0"/>
                <w:iCs w:val="0"/>
                <w:caps w:val="0"/>
                <w:color w:val="auto"/>
                <w:kern w:val="0"/>
                <w:sz w:val="21"/>
                <w:szCs w:val="21"/>
                <w:highlight w:val="none"/>
                <w:u w:val="none"/>
                <w:lang w:val="en-US" w:eastAsia="zh-CN" w:bidi="ar"/>
              </w:rPr>
            </w:pPr>
            <w:r>
              <w:rPr>
                <w:rFonts w:hint="eastAsia" w:ascii="宋体" w:hAnsi="宋体" w:eastAsia="宋体" w:cs="宋体"/>
                <w:b w:val="0"/>
                <w:bCs w:val="0"/>
                <w:i w:val="0"/>
                <w:iCs w:val="0"/>
                <w:caps w:val="0"/>
                <w:color w:val="auto"/>
                <w:kern w:val="0"/>
                <w:sz w:val="21"/>
                <w:szCs w:val="21"/>
                <w:highlight w:val="none"/>
                <w:u w:val="none"/>
                <w:lang w:val="en-US" w:eastAsia="zh-CN" w:bidi="ar"/>
              </w:rPr>
              <w:t>本次项目建设内容须实现与学校原有数据中台内的业务数据进行无缝对接，满足</w:t>
            </w:r>
            <w:r>
              <w:rPr>
                <w:rFonts w:hint="eastAsia" w:ascii="宋体" w:hAnsi="宋体" w:eastAsia="宋体" w:cs="宋体"/>
                <w:color w:val="auto"/>
                <w:kern w:val="0"/>
                <w:szCs w:val="21"/>
                <w:highlight w:val="none"/>
                <w:lang w:bidi="ar"/>
              </w:rPr>
              <w:t>实现AI</w:t>
            </w:r>
            <w:r>
              <w:rPr>
                <w:rFonts w:hint="eastAsia" w:ascii="宋体" w:hAnsi="宋体" w:eastAsia="宋体" w:cs="宋体"/>
                <w:color w:val="auto"/>
                <w:kern w:val="0"/>
                <w:szCs w:val="21"/>
                <w:highlight w:val="none"/>
                <w:lang w:val="en-US" w:eastAsia="zh-CN" w:bidi="ar"/>
              </w:rPr>
              <w:t>分析</w:t>
            </w:r>
            <w:r>
              <w:rPr>
                <w:rFonts w:hint="eastAsia" w:ascii="宋体" w:hAnsi="宋体" w:eastAsia="宋体" w:cs="宋体"/>
                <w:color w:val="auto"/>
                <w:kern w:val="0"/>
                <w:szCs w:val="21"/>
                <w:highlight w:val="none"/>
                <w:lang w:bidi="ar"/>
              </w:rPr>
              <w:t>应用</w:t>
            </w:r>
            <w:r>
              <w:rPr>
                <w:rFonts w:hint="eastAsia" w:ascii="宋体" w:hAnsi="宋体" w:eastAsia="宋体" w:cs="宋体"/>
                <w:color w:val="auto"/>
                <w:kern w:val="0"/>
                <w:szCs w:val="21"/>
                <w:highlight w:val="none"/>
                <w:lang w:val="en-US" w:eastAsia="zh-CN" w:bidi="ar"/>
              </w:rPr>
              <w:t>数据的实时同步。</w:t>
            </w:r>
            <w:r>
              <w:rPr>
                <w:rFonts w:hint="eastAsia" w:ascii="宋体" w:hAnsi="宋体" w:eastAsia="宋体" w:cs="宋体"/>
                <w:color w:val="auto"/>
                <w:sz w:val="21"/>
                <w:szCs w:val="21"/>
                <w:highlight w:val="none"/>
                <w:lang w:val="en-US" w:eastAsia="zh-CN"/>
              </w:rPr>
              <w:t>【投标时须提供业务数据对接承诺函或相关证明材料】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48" w:type="dxa"/>
            <w:vMerge w:val="restart"/>
            <w:shd w:val="clear" w:color="auto" w:fill="auto"/>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实施要求</w:t>
            </w:r>
          </w:p>
        </w:tc>
        <w:tc>
          <w:tcPr>
            <w:tcW w:w="1813" w:type="dxa"/>
            <w:shd w:val="clear" w:color="auto" w:fill="auto"/>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实施方案及计划</w:t>
            </w:r>
          </w:p>
        </w:tc>
        <w:tc>
          <w:tcPr>
            <w:tcW w:w="6267" w:type="dxa"/>
            <w:shd w:val="clear" w:color="auto" w:fill="auto"/>
          </w:tcPr>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供应商须提供完整、可行的实施方案、实施计划及实施团队成员介绍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48" w:type="dxa"/>
            <w:vMerge w:val="continue"/>
            <w:shd w:val="clear" w:color="auto" w:fill="auto"/>
            <w:vAlign w:val="center"/>
          </w:tcPr>
          <w:p>
            <w:pPr>
              <w:ind w:firstLine="442"/>
              <w:jc w:val="center"/>
              <w:rPr>
                <w:rFonts w:hint="eastAsia" w:ascii="宋体" w:hAnsi="宋体" w:eastAsia="宋体" w:cs="宋体"/>
                <w:color w:val="auto"/>
                <w:kern w:val="0"/>
                <w:szCs w:val="21"/>
                <w:highlight w:val="none"/>
                <w:lang w:bidi="ar"/>
              </w:rPr>
            </w:pPr>
          </w:p>
        </w:tc>
        <w:tc>
          <w:tcPr>
            <w:tcW w:w="1813" w:type="dxa"/>
            <w:shd w:val="clear" w:color="auto" w:fill="auto"/>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cs="宋体"/>
                <w:b/>
                <w:bCs/>
                <w:color w:val="auto"/>
                <w:kern w:val="0"/>
                <w:szCs w:val="21"/>
                <w:highlight w:val="none"/>
                <w:lang w:eastAsia="zh-CN" w:bidi="ar"/>
              </w:rPr>
              <w:t>◆</w:t>
            </w:r>
            <w:r>
              <w:rPr>
                <w:rFonts w:hint="eastAsia" w:ascii="宋体" w:hAnsi="宋体" w:eastAsia="宋体" w:cs="宋体"/>
                <w:color w:val="auto"/>
                <w:kern w:val="0"/>
                <w:szCs w:val="21"/>
                <w:highlight w:val="none"/>
                <w:lang w:bidi="ar"/>
              </w:rPr>
              <w:t>驻场要求</w:t>
            </w:r>
          </w:p>
        </w:tc>
        <w:tc>
          <w:tcPr>
            <w:tcW w:w="6267" w:type="dxa"/>
            <w:shd w:val="clear" w:color="auto" w:fill="auto"/>
          </w:tcPr>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项目中AI应用涉及大量的AI算法优化，软件交付之日起1年内，提供</w:t>
            </w:r>
            <w:r>
              <w:rPr>
                <w:rFonts w:hint="eastAsia" w:ascii="宋体" w:hAnsi="宋体" w:eastAsia="宋体" w:cs="宋体"/>
                <w:color w:val="auto"/>
                <w:kern w:val="0"/>
                <w:szCs w:val="21"/>
                <w:highlight w:val="none"/>
                <w:lang w:val="en-US" w:eastAsia="zh-CN" w:bidi="ar"/>
              </w:rPr>
              <w:t>至少</w:t>
            </w:r>
            <w:r>
              <w:rPr>
                <w:rFonts w:hint="eastAsia" w:ascii="宋体" w:hAnsi="宋体" w:eastAsia="宋体" w:cs="宋体"/>
                <w:color w:val="auto"/>
                <w:kern w:val="0"/>
                <w:szCs w:val="21"/>
                <w:highlight w:val="none"/>
                <w:lang w:bidi="ar"/>
              </w:rPr>
              <w:t>1名软件工程师（人工智能开发）驻场服务。驻场人员要求具备5年以上相关工作经验，且驻场期间食宿费用自理，日到岗率应不低于80%，如因驻场人员技术不精等问题，甲方有权力进行更换。</w:t>
            </w:r>
            <w:r>
              <w:rPr>
                <w:rFonts w:hint="eastAsia" w:ascii="宋体" w:hAnsi="宋体" w:eastAsia="宋体" w:cs="宋体"/>
                <w:color w:val="auto"/>
                <w:sz w:val="21"/>
                <w:szCs w:val="21"/>
                <w:highlight w:val="none"/>
                <w:lang w:val="en-US" w:eastAsia="zh-CN"/>
              </w:rPr>
              <w:t>【投标时须提供驻场服务承诺函】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48" w:type="dxa"/>
            <w:vMerge w:val="continue"/>
            <w:shd w:val="clear" w:color="auto" w:fill="auto"/>
            <w:vAlign w:val="center"/>
          </w:tcPr>
          <w:p>
            <w:pPr>
              <w:ind w:firstLine="442"/>
              <w:jc w:val="center"/>
              <w:rPr>
                <w:rFonts w:hint="eastAsia" w:ascii="宋体" w:hAnsi="宋体" w:eastAsia="宋体" w:cs="宋体"/>
                <w:color w:val="auto"/>
                <w:kern w:val="0"/>
                <w:szCs w:val="21"/>
                <w:highlight w:val="none"/>
                <w:lang w:bidi="ar"/>
              </w:rPr>
            </w:pPr>
          </w:p>
        </w:tc>
        <w:tc>
          <w:tcPr>
            <w:tcW w:w="1813" w:type="dxa"/>
            <w:shd w:val="clear" w:color="auto" w:fill="auto"/>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实施人员要求</w:t>
            </w:r>
          </w:p>
        </w:tc>
        <w:tc>
          <w:tcPr>
            <w:tcW w:w="6267" w:type="dxa"/>
            <w:shd w:val="clear" w:color="auto" w:fill="auto"/>
          </w:tcPr>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实施团队成员应具有在同类项目的实施经验。项目实施的相关人员一经确定在项目实施过程中不得擅自更换，如为确保项目实施进度，根据情况需要可以提交人员变更申请报告，增加高级别的项目实施相关人员。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48" w:type="dxa"/>
            <w:shd w:val="clear" w:color="auto" w:fill="auto"/>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试运行要求</w:t>
            </w:r>
          </w:p>
        </w:tc>
        <w:tc>
          <w:tcPr>
            <w:tcW w:w="1813" w:type="dxa"/>
            <w:shd w:val="clear" w:color="auto" w:fill="auto"/>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试运行</w:t>
            </w:r>
          </w:p>
        </w:tc>
        <w:tc>
          <w:tcPr>
            <w:tcW w:w="6267" w:type="dxa"/>
            <w:shd w:val="clear" w:color="auto" w:fill="auto"/>
          </w:tcPr>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项目初步验收合格后，系统进入试运行阶段。供应商负责解决系统试运行期间出现的各种故障。在试运行期间,由于产品质量等造成功能或性能指标达不到要求,校方有权要求供应商进行更换或修复，所发生费用由投标人负担，且试运行期根据故障解决的时间进行顺延。试运行期结束后，且系统所有功能、性能指标达到技术规格书的要求时，供应商可按照要求准备齐全验收材料提出验收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48" w:type="dxa"/>
            <w:shd w:val="clear" w:color="auto" w:fill="auto"/>
            <w:vAlign w:val="center"/>
          </w:tcPr>
          <w:p>
            <w:pPr>
              <w:jc w:val="center"/>
              <w:rPr>
                <w:rFonts w:hint="eastAsia" w:ascii="宋体" w:hAnsi="宋体" w:eastAsia="宋体" w:cs="宋体"/>
                <w:color w:val="auto"/>
                <w:kern w:val="0"/>
                <w:szCs w:val="21"/>
                <w:highlight w:val="none"/>
                <w:lang w:bidi="ar"/>
              </w:rPr>
            </w:pPr>
            <w:r>
              <w:rPr>
                <w:rFonts w:hint="eastAsia" w:ascii="宋体" w:hAnsi="宋体" w:eastAsia="宋体" w:cs="宋体"/>
                <w:b w:val="0"/>
                <w:bCs w:val="0"/>
                <w:i w:val="0"/>
                <w:iCs w:val="0"/>
                <w:caps w:val="0"/>
                <w:color w:val="auto"/>
                <w:kern w:val="0"/>
                <w:sz w:val="21"/>
                <w:szCs w:val="21"/>
                <w:highlight w:val="none"/>
                <w:u w:val="none"/>
                <w:lang w:val="en-US" w:eastAsia="zh-CN" w:bidi="ar"/>
              </w:rPr>
              <w:t>培训要求</w:t>
            </w:r>
          </w:p>
        </w:tc>
        <w:tc>
          <w:tcPr>
            <w:tcW w:w="1813" w:type="dxa"/>
            <w:shd w:val="clear" w:color="auto" w:fill="auto"/>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b w:val="0"/>
                <w:bCs w:val="0"/>
                <w:i w:val="0"/>
                <w:iCs w:val="0"/>
                <w:caps w:val="0"/>
                <w:color w:val="auto"/>
                <w:kern w:val="0"/>
                <w:sz w:val="21"/>
                <w:szCs w:val="21"/>
                <w:highlight w:val="none"/>
                <w:u w:val="none"/>
                <w:lang w:val="en-US" w:eastAsia="zh-CN" w:bidi="ar"/>
              </w:rPr>
              <w:t>产品培训</w:t>
            </w:r>
          </w:p>
        </w:tc>
        <w:tc>
          <w:tcPr>
            <w:tcW w:w="6267" w:type="dxa"/>
            <w:shd w:val="clear" w:color="auto" w:fill="auto"/>
            <w:vAlign w:val="top"/>
          </w:tcPr>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b w:val="0"/>
                <w:bCs w:val="0"/>
                <w:i w:val="0"/>
                <w:iCs w:val="0"/>
                <w:caps w:val="0"/>
                <w:color w:val="auto"/>
                <w:kern w:val="0"/>
                <w:sz w:val="21"/>
                <w:szCs w:val="21"/>
                <w:highlight w:val="none"/>
                <w:u w:val="none"/>
                <w:lang w:val="en-US" w:eastAsia="zh-CN" w:bidi="ar"/>
              </w:rPr>
              <w:t>试</w:t>
            </w:r>
            <w:r>
              <w:rPr>
                <w:rFonts w:hint="eastAsia" w:ascii="宋体" w:hAnsi="宋体" w:eastAsia="宋体" w:cs="宋体"/>
                <w:color w:val="auto"/>
                <w:kern w:val="0"/>
                <w:szCs w:val="21"/>
                <w:highlight w:val="none"/>
                <w:lang w:val="en-US" w:eastAsia="zh-CN" w:bidi="ar"/>
              </w:rPr>
              <w:t>运行期间提供不少于1次面向教职工针对本项目产品使用的培训，不少于2天面向系统管理人员对本项目产品系统管理使用的培训，确保</w:t>
            </w:r>
            <w:r>
              <w:rPr>
                <w:rFonts w:hint="eastAsia" w:ascii="宋体" w:hAnsi="宋体" w:eastAsia="宋体" w:cs="宋体"/>
                <w:b w:val="0"/>
                <w:bCs w:val="0"/>
                <w:i w:val="0"/>
                <w:iCs w:val="0"/>
                <w:caps w:val="0"/>
                <w:color w:val="auto"/>
                <w:kern w:val="0"/>
                <w:sz w:val="21"/>
                <w:szCs w:val="21"/>
                <w:highlight w:val="none"/>
                <w:u w:val="none"/>
                <w:lang w:val="en-US" w:eastAsia="zh-CN" w:bidi="ar"/>
              </w:rPr>
              <w:t>相关人员熟练使用；提供培训课程、场次安排等说明。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8" w:type="dxa"/>
            <w:vMerge w:val="restart"/>
            <w:shd w:val="clear" w:color="auto" w:fill="auto"/>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成果移交</w:t>
            </w:r>
          </w:p>
        </w:tc>
        <w:tc>
          <w:tcPr>
            <w:tcW w:w="1813" w:type="dxa"/>
            <w:shd w:val="clear" w:color="auto" w:fill="auto"/>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交付清单</w:t>
            </w:r>
          </w:p>
        </w:tc>
        <w:tc>
          <w:tcPr>
            <w:tcW w:w="6267" w:type="dxa"/>
            <w:shd w:val="clear" w:color="auto" w:fill="auto"/>
          </w:tcPr>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在本期项目的开发过程中和交付使用后，供应商应该将各个阶段产生的全面、规范的成果和文档资料交付给校方，且要提供明确的交付清单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348" w:type="dxa"/>
            <w:vMerge w:val="continue"/>
            <w:shd w:val="clear" w:color="auto" w:fill="auto"/>
            <w:vAlign w:val="center"/>
          </w:tcPr>
          <w:p>
            <w:pPr>
              <w:ind w:firstLine="442"/>
              <w:jc w:val="center"/>
              <w:rPr>
                <w:rFonts w:hint="eastAsia" w:ascii="宋体" w:hAnsi="宋体" w:eastAsia="宋体" w:cs="宋体"/>
                <w:color w:val="auto"/>
                <w:kern w:val="0"/>
                <w:szCs w:val="21"/>
                <w:highlight w:val="none"/>
                <w:lang w:bidi="ar"/>
              </w:rPr>
            </w:pPr>
          </w:p>
        </w:tc>
        <w:tc>
          <w:tcPr>
            <w:tcW w:w="1813" w:type="dxa"/>
            <w:shd w:val="clear" w:color="auto" w:fill="auto"/>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交付内容</w:t>
            </w:r>
          </w:p>
        </w:tc>
        <w:tc>
          <w:tcPr>
            <w:tcW w:w="6267" w:type="dxa"/>
            <w:shd w:val="clear" w:color="auto" w:fill="auto"/>
          </w:tcPr>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交付内容包括但不限于：</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•满足招标要求的可运行的系统</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•技术文档：网络拓扑图、数据流向图、项目架构图、软件清单</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•管理文档：包括但不限于项目周报、计划、报告、讨论纲要、会议记录、驻点人员签到表等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•关键环节测试报告</w:t>
            </w:r>
          </w:p>
        </w:tc>
      </w:tr>
    </w:tbl>
    <w:p>
      <w:pPr>
        <w:spacing w:line="360" w:lineRule="auto"/>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（五））拟采购标的的商务要求</w:t>
      </w:r>
    </w:p>
    <w:p>
      <w:pPr>
        <w:spacing w:line="360" w:lineRule="auto"/>
        <w:ind w:left="210" w:leftChars="1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1.交付实施的时间期限：</w:t>
      </w:r>
      <w:r>
        <w:rPr>
          <w:rFonts w:hint="eastAsia" w:ascii="宋体" w:hAnsi="宋体" w:eastAsia="宋体" w:cs="宋体"/>
          <w:color w:val="auto"/>
          <w:sz w:val="24"/>
          <w:highlight w:val="none"/>
          <w:u w:val="single"/>
        </w:rPr>
        <w:t>合同签订后60个</w:t>
      </w:r>
      <w:r>
        <w:rPr>
          <w:rFonts w:hint="eastAsia" w:ascii="宋体" w:hAnsi="宋体" w:eastAsia="宋体" w:cs="宋体"/>
          <w:iCs/>
          <w:color w:val="auto"/>
          <w:sz w:val="24"/>
          <w:highlight w:val="none"/>
          <w:u w:val="single"/>
        </w:rPr>
        <w:t>自然日</w:t>
      </w:r>
      <w:r>
        <w:rPr>
          <w:rFonts w:hint="eastAsia" w:ascii="宋体" w:hAnsi="宋体" w:eastAsia="宋体" w:cs="宋体"/>
          <w:iCs/>
          <w:color w:val="auto"/>
          <w:sz w:val="24"/>
          <w:highlight w:val="none"/>
          <w:u w:val="single"/>
          <w:lang w:val="en-US" w:eastAsia="zh-CN"/>
        </w:rPr>
        <w:t>完成软件安装与开发调试，试运行30个自然日后进行终验。</w:t>
      </w:r>
    </w:p>
    <w:p>
      <w:pPr>
        <w:spacing w:line="360" w:lineRule="auto"/>
        <w:ind w:left="210" w:leftChars="1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2.交付实施的地点范围：</w:t>
      </w:r>
      <w:r>
        <w:rPr>
          <w:rFonts w:hint="eastAsia" w:ascii="宋体" w:hAnsi="宋体" w:eastAsia="宋体" w:cs="宋体"/>
          <w:color w:val="auto"/>
          <w:sz w:val="24"/>
          <w:highlight w:val="none"/>
          <w:u w:val="single"/>
        </w:rPr>
        <w:t>浙江省杭州第七中学</w:t>
      </w:r>
    </w:p>
    <w:p>
      <w:pPr>
        <w:spacing w:line="360" w:lineRule="auto"/>
        <w:ind w:left="210" w:left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3.付款条件进度和方式</w:t>
      </w:r>
    </w:p>
    <w:tbl>
      <w:tblPr>
        <w:tblStyle w:val="17"/>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891"/>
        <w:gridCol w:w="1701"/>
        <w:gridCol w:w="572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891" w:type="dxa"/>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701" w:type="dxa"/>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付款比例（%）</w:t>
            </w:r>
          </w:p>
        </w:tc>
        <w:tc>
          <w:tcPr>
            <w:tcW w:w="5720" w:type="dxa"/>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考核要求</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shd w:val="clear" w:color="auto" w:fill="auto"/>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701" w:type="dxa"/>
            <w:shd w:val="clear" w:color="auto" w:fill="auto"/>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40%</w:t>
            </w:r>
          </w:p>
        </w:tc>
        <w:tc>
          <w:tcPr>
            <w:tcW w:w="5720" w:type="dxa"/>
            <w:shd w:val="clear" w:color="auto" w:fill="auto"/>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合同</w:t>
            </w:r>
            <w:r>
              <w:rPr>
                <w:rFonts w:hint="eastAsia" w:ascii="宋体" w:hAnsi="宋体" w:eastAsia="宋体" w:cs="宋体"/>
                <w:color w:val="auto"/>
                <w:sz w:val="24"/>
                <w:highlight w:val="none"/>
                <w:lang w:val="en-US" w:eastAsia="zh-CN"/>
              </w:rPr>
              <w:t>签订及具备支付条件后</w:t>
            </w:r>
            <w:r>
              <w:rPr>
                <w:rFonts w:hint="eastAsia" w:ascii="宋体" w:hAnsi="宋体" w:eastAsia="宋体" w:cs="宋体"/>
                <w:color w:val="auto"/>
                <w:sz w:val="24"/>
                <w:highlight w:val="none"/>
                <w:lang w:val="zh-CN"/>
              </w:rPr>
              <w:t>7个工作日内，采购单位向供应商支付合同总价的</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rPr>
              <w:t>0%预付款</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91" w:hRule="atLeast"/>
        </w:trPr>
        <w:tc>
          <w:tcPr>
            <w:tcW w:w="891" w:type="dxa"/>
            <w:shd w:val="clear" w:color="auto" w:fill="auto"/>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701" w:type="dxa"/>
            <w:shd w:val="clear" w:color="auto" w:fill="auto"/>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0%</w:t>
            </w:r>
          </w:p>
        </w:tc>
        <w:tc>
          <w:tcPr>
            <w:tcW w:w="5720" w:type="dxa"/>
            <w:shd w:val="clear" w:color="auto" w:fill="auto"/>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安装调试完成并通过由使用单位组织的验收小组对项目</w:t>
            </w:r>
            <w:r>
              <w:rPr>
                <w:rFonts w:hint="eastAsia" w:ascii="宋体" w:hAnsi="宋体" w:eastAsia="宋体" w:cs="宋体"/>
                <w:color w:val="auto"/>
                <w:sz w:val="24"/>
                <w:highlight w:val="none"/>
                <w:lang w:val="en-US" w:eastAsia="zh-CN"/>
              </w:rPr>
              <w:t>初</w:t>
            </w:r>
            <w:r>
              <w:rPr>
                <w:rFonts w:hint="eastAsia" w:ascii="宋体" w:hAnsi="宋体" w:eastAsia="宋体" w:cs="宋体"/>
                <w:color w:val="auto"/>
                <w:sz w:val="24"/>
                <w:highlight w:val="none"/>
              </w:rPr>
              <w:t>验合格后10个工作日内，乙方凭发票、</w:t>
            </w:r>
            <w:r>
              <w:rPr>
                <w:rFonts w:hint="eastAsia" w:ascii="宋体" w:hAnsi="宋体" w:eastAsia="宋体" w:cs="宋体"/>
                <w:color w:val="auto"/>
                <w:sz w:val="24"/>
                <w:highlight w:val="none"/>
                <w:lang w:val="en-US" w:eastAsia="zh-CN"/>
              </w:rPr>
              <w:t>初</w:t>
            </w:r>
            <w:r>
              <w:rPr>
                <w:rFonts w:hint="eastAsia" w:ascii="宋体" w:hAnsi="宋体" w:eastAsia="宋体" w:cs="宋体"/>
                <w:color w:val="auto"/>
                <w:sz w:val="24"/>
                <w:highlight w:val="none"/>
              </w:rPr>
              <w:t>验报告、向甲方办理</w:t>
            </w:r>
            <w:r>
              <w:rPr>
                <w:rFonts w:hint="eastAsia" w:ascii="宋体" w:hAnsi="宋体" w:eastAsia="宋体" w:cs="宋体"/>
                <w:color w:val="auto"/>
                <w:sz w:val="24"/>
                <w:highlight w:val="none"/>
                <w:lang w:val="en-US" w:eastAsia="zh-CN"/>
              </w:rPr>
              <w:t>申请支付</w:t>
            </w:r>
            <w:r>
              <w:rPr>
                <w:rFonts w:hint="eastAsia" w:ascii="宋体" w:hAnsi="宋体" w:eastAsia="宋体" w:cs="宋体"/>
                <w:color w:val="auto"/>
                <w:sz w:val="24"/>
                <w:highlight w:val="none"/>
              </w:rPr>
              <w:t>合同</w:t>
            </w:r>
            <w:r>
              <w:rPr>
                <w:rFonts w:hint="eastAsia" w:ascii="宋体" w:hAnsi="宋体" w:eastAsia="宋体" w:cs="宋体"/>
                <w:color w:val="auto"/>
                <w:sz w:val="24"/>
                <w:highlight w:val="none"/>
                <w:lang w:val="en-US" w:eastAsia="zh-CN"/>
              </w:rPr>
              <w:t>40%的货款</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936" w:hRule="atLeast"/>
        </w:trPr>
        <w:tc>
          <w:tcPr>
            <w:tcW w:w="891" w:type="dxa"/>
            <w:shd w:val="clear" w:color="auto" w:fill="auto"/>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p>
        </w:tc>
        <w:tc>
          <w:tcPr>
            <w:tcW w:w="1701" w:type="dxa"/>
            <w:shd w:val="clear" w:color="auto" w:fill="auto"/>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20%</w:t>
            </w:r>
          </w:p>
        </w:tc>
        <w:tc>
          <w:tcPr>
            <w:tcW w:w="5720" w:type="dxa"/>
            <w:shd w:val="clear" w:color="auto" w:fill="auto"/>
            <w:vAlign w:val="top"/>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初验通过后并试运行一个月以上，</w:t>
            </w:r>
            <w:r>
              <w:rPr>
                <w:rFonts w:hint="eastAsia" w:ascii="宋体" w:hAnsi="宋体" w:eastAsia="宋体" w:cs="宋体"/>
                <w:color w:val="auto"/>
                <w:sz w:val="24"/>
                <w:highlight w:val="none"/>
              </w:rPr>
              <w:t>通过由使用单位组织的验收小组对项目</w:t>
            </w:r>
            <w:r>
              <w:rPr>
                <w:rFonts w:hint="eastAsia" w:ascii="宋体" w:hAnsi="宋体" w:eastAsia="宋体" w:cs="宋体"/>
                <w:color w:val="auto"/>
                <w:sz w:val="24"/>
                <w:highlight w:val="none"/>
                <w:lang w:val="en-US" w:eastAsia="zh-CN"/>
              </w:rPr>
              <w:t>终</w:t>
            </w:r>
            <w:r>
              <w:rPr>
                <w:rFonts w:hint="eastAsia" w:ascii="宋体" w:hAnsi="宋体" w:eastAsia="宋体" w:cs="宋体"/>
                <w:color w:val="auto"/>
                <w:sz w:val="24"/>
                <w:highlight w:val="none"/>
              </w:rPr>
              <w:t>验合格后，提交全部报告材料，通过正式验收后10个工作日内，乙方凭发票、验收报告向甲方办理合同余款</w:t>
            </w:r>
          </w:p>
        </w:tc>
      </w:tr>
    </w:tbl>
    <w:p>
      <w:pPr>
        <w:spacing w:line="360" w:lineRule="auto"/>
        <w:ind w:left="210" w:left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4.售后服务要求</w:t>
      </w:r>
    </w:p>
    <w:p>
      <w:pPr>
        <w:spacing w:line="360" w:lineRule="auto"/>
        <w:ind w:firstLine="42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质保期：所有产品提供不低于3年质保服务，所需费用全部计入投标总价内。服务期间承担平台维护工作，保障系统正常运行。在项目实施过程中及售后服务期内，供应商需承诺指定专人负责与用户保持长期的联系与服务。</w:t>
      </w:r>
    </w:p>
    <w:p>
      <w:pPr>
        <w:spacing w:line="360" w:lineRule="auto"/>
        <w:ind w:firstLine="42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（2）质保期内因产品本身缺陷造成各种故障应由供应商免费技术服务和维修。供应商应提供</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12</w:t>
      </w:r>
      <w:r>
        <w:rPr>
          <w:rFonts w:hint="eastAsia" w:ascii="宋体" w:hAnsi="宋体" w:eastAsia="宋体" w:cs="宋体"/>
          <w:color w:val="auto"/>
          <w:sz w:val="24"/>
          <w:highlight w:val="none"/>
          <w:u w:val="single"/>
        </w:rPr>
        <w:t>小时的质保和技术支持服务。在接到用户维修要求后1小时内响应，对远程无法解决的问题提供必要的现场技术须支持，2小时内到达现场，4小时内修复。在质保期内，如遇软件产品升级、改版，应免费提供更新、升级服务。</w:t>
      </w:r>
    </w:p>
    <w:p>
      <w:pPr>
        <w:spacing w:line="360" w:lineRule="auto"/>
        <w:ind w:firstLine="42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（3）质保期后提供终身技术支持服务，如涉及到系统升级应以优惠价格提供升级服务。</w:t>
      </w:r>
    </w:p>
    <w:p>
      <w:pPr>
        <w:spacing w:line="360" w:lineRule="auto"/>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（六）采购项目的其他要求</w:t>
      </w:r>
    </w:p>
    <w:p>
      <w:pPr>
        <w:spacing w:line="360" w:lineRule="auto"/>
        <w:ind w:firstLine="42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无</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宋体" w:hAnsi="宋体" w:cs="宋体"/>
          <w:b/>
          <w:color w:val="auto"/>
          <w:sz w:val="36"/>
          <w:szCs w:val="36"/>
          <w:highlight w:val="none"/>
        </w:rPr>
      </w:pPr>
      <w:r>
        <w:rPr>
          <w:rFonts w:hint="eastAsia" w:ascii="仿宋" w:hAnsi="仿宋" w:eastAsia="仿宋" w:cs="仿宋"/>
          <w:color w:val="auto"/>
          <w:sz w:val="24"/>
          <w:highlight w:val="none"/>
        </w:rPr>
        <w:br w:type="page"/>
      </w:r>
    </w:p>
    <w:p>
      <w:pPr>
        <w:numPr>
          <w:ilvl w:val="0"/>
          <w:numId w:val="0"/>
        </w:numPr>
        <w:ind w:leftChars="0"/>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第四部分</w:t>
      </w:r>
      <w:bookmarkStart w:id="17" w:name="_Toc184312097"/>
      <w:bookmarkEnd w:id="17"/>
      <w:bookmarkStart w:id="18" w:name="_Toc184313264"/>
      <w:bookmarkEnd w:id="18"/>
      <w:bookmarkStart w:id="19" w:name="_Toc184308072"/>
      <w:bookmarkEnd w:id="19"/>
      <w:bookmarkStart w:id="20" w:name="_Toc184308077"/>
      <w:bookmarkEnd w:id="20"/>
      <w:bookmarkStart w:id="21" w:name="_Toc184314434"/>
      <w:bookmarkEnd w:id="21"/>
      <w:bookmarkStart w:id="22" w:name="_Toc184308059"/>
      <w:bookmarkEnd w:id="22"/>
      <w:bookmarkStart w:id="23" w:name="_Toc184313295"/>
      <w:bookmarkEnd w:id="23"/>
      <w:bookmarkStart w:id="24" w:name="_Toc184314420"/>
      <w:bookmarkEnd w:id="24"/>
      <w:bookmarkStart w:id="25" w:name="_Toc184312092"/>
      <w:bookmarkEnd w:id="25"/>
      <w:bookmarkStart w:id="26" w:name="_Toc184308060"/>
      <w:bookmarkEnd w:id="26"/>
      <w:bookmarkStart w:id="27" w:name="_Toc184310274"/>
      <w:bookmarkEnd w:id="27"/>
      <w:bookmarkStart w:id="28" w:name="_Toc184313309"/>
      <w:bookmarkEnd w:id="28"/>
      <w:bookmarkStart w:id="29" w:name="_Toc184313300"/>
      <w:bookmarkEnd w:id="29"/>
      <w:bookmarkStart w:id="30" w:name="_Toc184313298"/>
      <w:bookmarkEnd w:id="30"/>
      <w:bookmarkStart w:id="31" w:name="_Toc184314454"/>
      <w:bookmarkEnd w:id="31"/>
      <w:bookmarkStart w:id="32" w:name="_Toc184312075"/>
      <w:bookmarkEnd w:id="32"/>
      <w:bookmarkStart w:id="33" w:name="_Toc184312107"/>
      <w:bookmarkEnd w:id="33"/>
      <w:bookmarkStart w:id="34" w:name="_Toc184314413"/>
      <w:bookmarkEnd w:id="34"/>
      <w:bookmarkStart w:id="35" w:name="_Toc184310278"/>
      <w:bookmarkEnd w:id="35"/>
      <w:bookmarkStart w:id="36" w:name="_Toc184310299"/>
      <w:bookmarkEnd w:id="36"/>
      <w:bookmarkStart w:id="37" w:name="_Toc184310279"/>
      <w:bookmarkEnd w:id="37"/>
      <w:bookmarkStart w:id="38" w:name="_Toc184310295"/>
      <w:bookmarkEnd w:id="38"/>
      <w:bookmarkStart w:id="39" w:name="_Toc184308103"/>
      <w:bookmarkEnd w:id="39"/>
      <w:bookmarkStart w:id="40" w:name="_Toc184312121"/>
      <w:bookmarkEnd w:id="40"/>
      <w:bookmarkStart w:id="41" w:name="_Toc184313241"/>
      <w:bookmarkEnd w:id="41"/>
      <w:bookmarkStart w:id="42" w:name="_Toc184308040"/>
      <w:bookmarkEnd w:id="42"/>
      <w:bookmarkStart w:id="43" w:name="_Toc184308037"/>
      <w:bookmarkEnd w:id="43"/>
      <w:bookmarkStart w:id="44" w:name="_Toc184314445"/>
      <w:bookmarkEnd w:id="44"/>
      <w:bookmarkStart w:id="45" w:name="_Toc184308079"/>
      <w:bookmarkEnd w:id="45"/>
      <w:bookmarkStart w:id="46" w:name="_Toc184313268"/>
      <w:bookmarkEnd w:id="46"/>
      <w:bookmarkStart w:id="47" w:name="_Toc184312074"/>
      <w:bookmarkEnd w:id="47"/>
      <w:bookmarkStart w:id="48" w:name="_Toc184312086"/>
      <w:bookmarkEnd w:id="48"/>
      <w:bookmarkStart w:id="49" w:name="_Toc184310283"/>
      <w:bookmarkEnd w:id="49"/>
      <w:bookmarkStart w:id="50" w:name="_Toc184308093"/>
      <w:bookmarkEnd w:id="50"/>
      <w:bookmarkStart w:id="51" w:name="_Toc184314451"/>
      <w:bookmarkEnd w:id="51"/>
      <w:bookmarkStart w:id="52" w:name="_Toc184308085"/>
      <w:bookmarkEnd w:id="52"/>
      <w:bookmarkStart w:id="53" w:name="_Toc184313283"/>
      <w:bookmarkEnd w:id="53"/>
      <w:bookmarkStart w:id="54" w:name="_Toc184310294"/>
      <w:bookmarkEnd w:id="54"/>
      <w:bookmarkStart w:id="55" w:name="_Toc184313267"/>
      <w:bookmarkEnd w:id="55"/>
      <w:bookmarkStart w:id="56" w:name="_Toc184313276"/>
      <w:bookmarkEnd w:id="56"/>
      <w:bookmarkStart w:id="57" w:name="_Toc184312123"/>
      <w:bookmarkEnd w:id="57"/>
      <w:bookmarkStart w:id="58" w:name="_Toc184314480"/>
      <w:bookmarkEnd w:id="58"/>
      <w:bookmarkStart w:id="59" w:name="_Toc184314429"/>
      <w:bookmarkEnd w:id="59"/>
      <w:bookmarkStart w:id="60" w:name="_Toc184314474"/>
      <w:bookmarkEnd w:id="60"/>
      <w:bookmarkStart w:id="61" w:name="_Toc184308051"/>
      <w:bookmarkEnd w:id="61"/>
      <w:bookmarkStart w:id="62" w:name="_Toc184312114"/>
      <w:bookmarkEnd w:id="62"/>
      <w:bookmarkStart w:id="63" w:name="_Toc184313242"/>
      <w:bookmarkEnd w:id="63"/>
      <w:bookmarkStart w:id="64" w:name="_Toc184313293"/>
      <w:bookmarkEnd w:id="64"/>
      <w:bookmarkStart w:id="65" w:name="_Toc184313289"/>
      <w:bookmarkEnd w:id="65"/>
      <w:bookmarkStart w:id="66" w:name="_Toc184312133"/>
      <w:bookmarkEnd w:id="66"/>
      <w:bookmarkStart w:id="67" w:name="_Toc184310313"/>
      <w:bookmarkEnd w:id="67"/>
      <w:bookmarkStart w:id="68" w:name="_Toc184314425"/>
      <w:bookmarkEnd w:id="68"/>
      <w:bookmarkStart w:id="69" w:name="_Toc184312116"/>
      <w:bookmarkEnd w:id="69"/>
      <w:bookmarkStart w:id="70" w:name="_Toc184313294"/>
      <w:bookmarkEnd w:id="70"/>
      <w:bookmarkStart w:id="71" w:name="_Toc184312080"/>
      <w:bookmarkEnd w:id="71"/>
      <w:bookmarkStart w:id="72" w:name="_Toc184310303"/>
      <w:bookmarkEnd w:id="72"/>
      <w:bookmarkStart w:id="73" w:name="_Toc184308078"/>
      <w:bookmarkEnd w:id="73"/>
      <w:bookmarkStart w:id="74" w:name="_Toc184312135"/>
      <w:bookmarkEnd w:id="74"/>
      <w:bookmarkStart w:id="75" w:name="_Toc184312138"/>
      <w:bookmarkEnd w:id="75"/>
      <w:bookmarkStart w:id="76" w:name="_Toc184314433"/>
      <w:bookmarkEnd w:id="76"/>
      <w:bookmarkStart w:id="77" w:name="_Toc184314412"/>
      <w:bookmarkEnd w:id="77"/>
      <w:bookmarkStart w:id="78" w:name="_Toc184310341"/>
      <w:bookmarkEnd w:id="78"/>
      <w:bookmarkStart w:id="79" w:name="_Toc184308067"/>
      <w:bookmarkEnd w:id="79"/>
      <w:bookmarkStart w:id="80" w:name="_Toc184313246"/>
      <w:bookmarkEnd w:id="80"/>
      <w:bookmarkStart w:id="81" w:name="_Toc184312127"/>
      <w:bookmarkEnd w:id="81"/>
      <w:bookmarkStart w:id="82" w:name="_Toc184310285"/>
      <w:bookmarkEnd w:id="82"/>
      <w:bookmarkStart w:id="83" w:name="_Toc184310310"/>
      <w:bookmarkEnd w:id="83"/>
      <w:bookmarkStart w:id="84" w:name="_Toc184310308"/>
      <w:bookmarkEnd w:id="84"/>
      <w:bookmarkStart w:id="85" w:name="_Toc184308088"/>
      <w:bookmarkEnd w:id="85"/>
      <w:bookmarkStart w:id="86" w:name="_Toc184310319"/>
      <w:bookmarkEnd w:id="86"/>
      <w:bookmarkStart w:id="87" w:name="_Toc184310331"/>
      <w:bookmarkEnd w:id="87"/>
      <w:bookmarkStart w:id="88" w:name="_Toc184310306"/>
      <w:bookmarkEnd w:id="88"/>
      <w:bookmarkStart w:id="89" w:name="_Toc184314465"/>
      <w:bookmarkEnd w:id="89"/>
      <w:bookmarkStart w:id="90" w:name="_Toc184313310"/>
      <w:bookmarkEnd w:id="90"/>
      <w:bookmarkStart w:id="91" w:name="_Toc184310336"/>
      <w:bookmarkEnd w:id="91"/>
      <w:bookmarkStart w:id="92" w:name="_Toc184308048"/>
      <w:bookmarkEnd w:id="92"/>
      <w:bookmarkStart w:id="93" w:name="_Toc184312099"/>
      <w:bookmarkEnd w:id="93"/>
      <w:bookmarkStart w:id="94" w:name="_Toc184308102"/>
      <w:bookmarkEnd w:id="94"/>
      <w:bookmarkStart w:id="95" w:name="_Toc184312091"/>
      <w:bookmarkEnd w:id="95"/>
      <w:bookmarkStart w:id="96" w:name="_Toc184312068"/>
      <w:bookmarkEnd w:id="96"/>
      <w:bookmarkStart w:id="97" w:name="_Toc184313260"/>
      <w:bookmarkEnd w:id="97"/>
      <w:bookmarkStart w:id="98" w:name="_Toc184314458"/>
      <w:bookmarkEnd w:id="98"/>
      <w:bookmarkStart w:id="99" w:name="_Toc184313284"/>
      <w:bookmarkEnd w:id="99"/>
      <w:bookmarkStart w:id="100" w:name="_Toc184310335"/>
      <w:bookmarkEnd w:id="100"/>
      <w:bookmarkStart w:id="101" w:name="_Toc184312124"/>
      <w:bookmarkEnd w:id="101"/>
      <w:bookmarkStart w:id="102" w:name="_Toc184312139"/>
      <w:bookmarkEnd w:id="102"/>
      <w:bookmarkStart w:id="103" w:name="_Toc184314447"/>
      <w:bookmarkEnd w:id="103"/>
      <w:bookmarkStart w:id="104" w:name="_Toc184314450"/>
      <w:bookmarkEnd w:id="104"/>
      <w:bookmarkStart w:id="105" w:name="_Toc184310298"/>
      <w:bookmarkEnd w:id="105"/>
      <w:bookmarkStart w:id="106" w:name="_Toc184312108"/>
      <w:bookmarkEnd w:id="106"/>
      <w:bookmarkStart w:id="107" w:name="_Toc184314453"/>
      <w:bookmarkEnd w:id="107"/>
      <w:bookmarkStart w:id="108" w:name="_Toc184310297"/>
      <w:bookmarkEnd w:id="108"/>
      <w:bookmarkStart w:id="109" w:name="_Toc184313282"/>
      <w:bookmarkEnd w:id="109"/>
      <w:bookmarkStart w:id="110" w:name="_Toc184313261"/>
      <w:bookmarkEnd w:id="110"/>
      <w:bookmarkStart w:id="111" w:name="_Toc184310328"/>
      <w:bookmarkEnd w:id="111"/>
      <w:bookmarkStart w:id="112" w:name="_Toc184308068"/>
      <w:bookmarkEnd w:id="112"/>
      <w:bookmarkStart w:id="113" w:name="_Toc184312094"/>
      <w:bookmarkEnd w:id="113"/>
      <w:bookmarkStart w:id="114" w:name="_Toc184312112"/>
      <w:bookmarkEnd w:id="114"/>
      <w:bookmarkStart w:id="115" w:name="_Toc184310281"/>
      <w:bookmarkEnd w:id="115"/>
      <w:bookmarkStart w:id="116" w:name="_Toc184313255"/>
      <w:bookmarkEnd w:id="116"/>
      <w:bookmarkStart w:id="117" w:name="_Toc184313257"/>
      <w:bookmarkEnd w:id="117"/>
      <w:bookmarkStart w:id="118" w:name="_Toc184308074"/>
      <w:bookmarkEnd w:id="118"/>
      <w:bookmarkStart w:id="119" w:name="_Toc184314449"/>
      <w:bookmarkEnd w:id="119"/>
      <w:bookmarkStart w:id="120" w:name="_Toc184312106"/>
      <w:bookmarkEnd w:id="120"/>
      <w:bookmarkStart w:id="121" w:name="_Toc184310342"/>
      <w:bookmarkEnd w:id="121"/>
      <w:bookmarkStart w:id="122" w:name="_Toc184310304"/>
      <w:bookmarkEnd w:id="122"/>
      <w:bookmarkStart w:id="123" w:name="_Toc184310322"/>
      <w:bookmarkEnd w:id="123"/>
      <w:bookmarkStart w:id="124" w:name="_Toc184308061"/>
      <w:bookmarkEnd w:id="124"/>
      <w:bookmarkStart w:id="125" w:name="_Toc184312085"/>
      <w:bookmarkEnd w:id="125"/>
      <w:bookmarkStart w:id="126" w:name="_Toc184308095"/>
      <w:bookmarkEnd w:id="126"/>
      <w:bookmarkStart w:id="127" w:name="_Toc184313258"/>
      <w:bookmarkEnd w:id="127"/>
      <w:bookmarkStart w:id="128" w:name="_Toc184312104"/>
      <w:bookmarkEnd w:id="128"/>
      <w:bookmarkStart w:id="129" w:name="_Toc184312077"/>
      <w:bookmarkEnd w:id="129"/>
      <w:bookmarkStart w:id="130" w:name="_Toc184308038"/>
      <w:bookmarkEnd w:id="130"/>
      <w:bookmarkStart w:id="131" w:name="_Toc184312072"/>
      <w:bookmarkEnd w:id="131"/>
      <w:bookmarkStart w:id="132" w:name="_Toc184313281"/>
      <w:bookmarkEnd w:id="132"/>
      <w:bookmarkStart w:id="133" w:name="_Toc184308075"/>
      <w:bookmarkEnd w:id="133"/>
      <w:bookmarkStart w:id="134" w:name="_Toc184314415"/>
      <w:bookmarkEnd w:id="134"/>
      <w:bookmarkStart w:id="135" w:name="_Toc184312137"/>
      <w:bookmarkEnd w:id="135"/>
      <w:bookmarkStart w:id="136" w:name="_Toc184308070"/>
      <w:bookmarkEnd w:id="136"/>
      <w:bookmarkStart w:id="137" w:name="_Toc184308057"/>
      <w:bookmarkEnd w:id="137"/>
      <w:bookmarkStart w:id="138" w:name="_Toc184313251"/>
      <w:bookmarkEnd w:id="138"/>
      <w:bookmarkStart w:id="139" w:name="_Toc184310272"/>
      <w:bookmarkEnd w:id="139"/>
      <w:bookmarkStart w:id="140" w:name="_Toc184314459"/>
      <w:bookmarkEnd w:id="140"/>
      <w:bookmarkStart w:id="141" w:name="_Toc184312089"/>
      <w:bookmarkEnd w:id="141"/>
      <w:bookmarkStart w:id="142" w:name="_Toc184312095"/>
      <w:bookmarkEnd w:id="142"/>
      <w:bookmarkStart w:id="143" w:name="_Toc184314435"/>
      <w:bookmarkEnd w:id="143"/>
      <w:bookmarkStart w:id="144" w:name="_Toc184308047"/>
      <w:bookmarkEnd w:id="144"/>
      <w:bookmarkStart w:id="145" w:name="_Toc184314414"/>
      <w:bookmarkEnd w:id="145"/>
      <w:bookmarkStart w:id="146" w:name="_Toc184314432"/>
      <w:bookmarkEnd w:id="146"/>
      <w:bookmarkStart w:id="147" w:name="_Toc184308083"/>
      <w:bookmarkEnd w:id="147"/>
      <w:bookmarkStart w:id="148" w:name="_Toc184314475"/>
      <w:bookmarkEnd w:id="148"/>
      <w:bookmarkStart w:id="149" w:name="_Toc184310326"/>
      <w:bookmarkEnd w:id="149"/>
      <w:bookmarkStart w:id="150" w:name="_Toc184310337"/>
      <w:bookmarkEnd w:id="150"/>
      <w:bookmarkStart w:id="151" w:name="_Toc184314437"/>
      <w:bookmarkEnd w:id="151"/>
      <w:bookmarkStart w:id="152" w:name="_Toc184312093"/>
      <w:bookmarkEnd w:id="152"/>
      <w:bookmarkStart w:id="153" w:name="_Toc184308063"/>
      <w:bookmarkEnd w:id="153"/>
      <w:bookmarkStart w:id="154" w:name="_Toc184310307"/>
      <w:bookmarkEnd w:id="154"/>
      <w:bookmarkStart w:id="155" w:name="_Toc184310284"/>
      <w:bookmarkEnd w:id="155"/>
      <w:bookmarkStart w:id="156" w:name="_Toc184312098"/>
      <w:bookmarkEnd w:id="156"/>
      <w:bookmarkStart w:id="157" w:name="_Toc184314419"/>
      <w:bookmarkEnd w:id="157"/>
      <w:bookmarkStart w:id="158" w:name="_Toc184312088"/>
      <w:bookmarkEnd w:id="158"/>
      <w:bookmarkStart w:id="159" w:name="_Toc184313290"/>
      <w:bookmarkEnd w:id="159"/>
      <w:bookmarkStart w:id="160" w:name="_Toc184308073"/>
      <w:bookmarkEnd w:id="160"/>
      <w:bookmarkStart w:id="161" w:name="_Toc184314446"/>
      <w:bookmarkEnd w:id="161"/>
      <w:bookmarkStart w:id="162" w:name="_Toc184313270"/>
      <w:bookmarkEnd w:id="162"/>
      <w:bookmarkStart w:id="163" w:name="_Toc184312076"/>
      <w:bookmarkEnd w:id="163"/>
      <w:bookmarkStart w:id="164" w:name="_Toc184314481"/>
      <w:bookmarkEnd w:id="164"/>
      <w:bookmarkStart w:id="165" w:name="_Toc184308064"/>
      <w:bookmarkEnd w:id="165"/>
      <w:bookmarkStart w:id="166" w:name="_Toc184314442"/>
      <w:bookmarkEnd w:id="166"/>
      <w:bookmarkStart w:id="167" w:name="_Toc184308084"/>
      <w:bookmarkEnd w:id="167"/>
      <w:bookmarkStart w:id="168" w:name="_Toc184308065"/>
      <w:bookmarkEnd w:id="168"/>
      <w:bookmarkStart w:id="169" w:name="_Toc184313271"/>
      <w:bookmarkEnd w:id="169"/>
      <w:bookmarkStart w:id="170" w:name="_Toc184313240"/>
      <w:bookmarkEnd w:id="170"/>
      <w:bookmarkStart w:id="171" w:name="_Toc184312122"/>
      <w:bookmarkEnd w:id="171"/>
      <w:bookmarkStart w:id="172" w:name="_Toc184310339"/>
      <w:bookmarkEnd w:id="172"/>
      <w:bookmarkStart w:id="173" w:name="_Toc184314443"/>
      <w:bookmarkEnd w:id="173"/>
      <w:bookmarkStart w:id="174" w:name="_Toc184308045"/>
      <w:bookmarkEnd w:id="174"/>
      <w:bookmarkStart w:id="175" w:name="_Toc184310344"/>
      <w:bookmarkEnd w:id="175"/>
      <w:bookmarkStart w:id="176" w:name="_Toc184312083"/>
      <w:bookmarkEnd w:id="176"/>
      <w:bookmarkStart w:id="177" w:name="_Toc184313272"/>
      <w:bookmarkEnd w:id="177"/>
      <w:bookmarkStart w:id="178" w:name="_Toc184312105"/>
      <w:bookmarkEnd w:id="178"/>
      <w:bookmarkStart w:id="179" w:name="_Toc184310282"/>
      <w:bookmarkEnd w:id="179"/>
      <w:bookmarkStart w:id="180" w:name="_Toc184314417"/>
      <w:bookmarkEnd w:id="180"/>
      <w:bookmarkStart w:id="181" w:name="_Toc184314444"/>
      <w:bookmarkEnd w:id="181"/>
      <w:bookmarkStart w:id="182" w:name="_Toc184308100"/>
      <w:bookmarkEnd w:id="182"/>
      <w:bookmarkStart w:id="183" w:name="_Toc184314423"/>
      <w:bookmarkEnd w:id="183"/>
      <w:bookmarkStart w:id="184" w:name="_Toc184308071"/>
      <w:bookmarkEnd w:id="184"/>
      <w:bookmarkStart w:id="185" w:name="_Toc184312070"/>
      <w:bookmarkEnd w:id="185"/>
      <w:bookmarkStart w:id="186" w:name="_Toc184313259"/>
      <w:bookmarkEnd w:id="186"/>
      <w:bookmarkStart w:id="187" w:name="_Toc184313307"/>
      <w:bookmarkEnd w:id="187"/>
      <w:bookmarkStart w:id="188" w:name="_Toc184314467"/>
      <w:bookmarkEnd w:id="188"/>
      <w:bookmarkStart w:id="189" w:name="_Toc184313248"/>
      <w:bookmarkEnd w:id="189"/>
      <w:bookmarkStart w:id="190" w:name="_Toc184312079"/>
      <w:bookmarkEnd w:id="190"/>
      <w:bookmarkStart w:id="191" w:name="_Toc184308041"/>
      <w:bookmarkEnd w:id="191"/>
      <w:bookmarkStart w:id="192" w:name="_Toc184308082"/>
      <w:bookmarkEnd w:id="192"/>
      <w:bookmarkStart w:id="193" w:name="_Toc184312103"/>
      <w:bookmarkEnd w:id="193"/>
      <w:bookmarkStart w:id="194" w:name="_Toc184312120"/>
      <w:bookmarkEnd w:id="194"/>
      <w:bookmarkStart w:id="195" w:name="_Toc184312111"/>
      <w:bookmarkEnd w:id="195"/>
      <w:bookmarkStart w:id="196" w:name="_Toc184313296"/>
      <w:bookmarkEnd w:id="196"/>
      <w:bookmarkStart w:id="197" w:name="_Toc184310329"/>
      <w:bookmarkEnd w:id="197"/>
      <w:bookmarkStart w:id="198" w:name="_Toc184313287"/>
      <w:bookmarkEnd w:id="198"/>
      <w:bookmarkStart w:id="199" w:name="_Toc184310276"/>
      <w:bookmarkEnd w:id="199"/>
      <w:bookmarkStart w:id="200" w:name="_Toc184313278"/>
      <w:bookmarkEnd w:id="200"/>
      <w:bookmarkStart w:id="201" w:name="_Toc184310291"/>
      <w:bookmarkEnd w:id="201"/>
      <w:bookmarkStart w:id="202" w:name="_Toc184308104"/>
      <w:bookmarkEnd w:id="202"/>
      <w:bookmarkStart w:id="203" w:name="_Toc184310330"/>
      <w:bookmarkEnd w:id="203"/>
      <w:bookmarkStart w:id="204" w:name="_Toc184310277"/>
      <w:bookmarkEnd w:id="204"/>
      <w:bookmarkStart w:id="205" w:name="_Toc184314440"/>
      <w:bookmarkEnd w:id="205"/>
      <w:bookmarkStart w:id="206" w:name="_Toc184312113"/>
      <w:bookmarkEnd w:id="206"/>
      <w:bookmarkStart w:id="207" w:name="_Toc184313292"/>
      <w:bookmarkEnd w:id="207"/>
      <w:bookmarkStart w:id="208" w:name="_Toc184312117"/>
      <w:bookmarkEnd w:id="208"/>
      <w:bookmarkStart w:id="209" w:name="_Toc184314441"/>
      <w:bookmarkEnd w:id="209"/>
      <w:bookmarkStart w:id="210" w:name="_Toc184310292"/>
      <w:bookmarkEnd w:id="210"/>
      <w:bookmarkStart w:id="211" w:name="_Toc184310327"/>
      <w:bookmarkEnd w:id="211"/>
      <w:bookmarkStart w:id="212" w:name="_Toc184312130"/>
      <w:bookmarkEnd w:id="212"/>
      <w:bookmarkStart w:id="213" w:name="_Toc184314456"/>
      <w:bookmarkEnd w:id="213"/>
      <w:bookmarkStart w:id="214" w:name="_Toc184310309"/>
      <w:bookmarkEnd w:id="214"/>
      <w:bookmarkStart w:id="215" w:name="_Toc184312100"/>
      <w:bookmarkEnd w:id="215"/>
      <w:bookmarkStart w:id="216" w:name="_Toc184314461"/>
      <w:bookmarkEnd w:id="216"/>
      <w:bookmarkStart w:id="217" w:name="_Toc184312126"/>
      <w:bookmarkEnd w:id="217"/>
      <w:bookmarkStart w:id="218" w:name="_Toc184313302"/>
      <w:bookmarkEnd w:id="218"/>
      <w:bookmarkStart w:id="219" w:name="_Toc184313252"/>
      <w:bookmarkEnd w:id="219"/>
      <w:bookmarkStart w:id="220" w:name="_Toc184314430"/>
      <w:bookmarkEnd w:id="220"/>
      <w:bookmarkStart w:id="221" w:name="_Toc184312069"/>
      <w:bookmarkEnd w:id="221"/>
      <w:bookmarkStart w:id="222" w:name="_Toc184314428"/>
      <w:bookmarkEnd w:id="222"/>
      <w:bookmarkStart w:id="223" w:name="_Toc184313286"/>
      <w:bookmarkEnd w:id="223"/>
      <w:bookmarkStart w:id="224" w:name="_Toc184308046"/>
      <w:bookmarkEnd w:id="224"/>
      <w:bookmarkStart w:id="225" w:name="_Toc184313253"/>
      <w:bookmarkEnd w:id="225"/>
      <w:bookmarkStart w:id="226" w:name="_Toc184313297"/>
      <w:bookmarkEnd w:id="226"/>
      <w:bookmarkStart w:id="227" w:name="_Toc184312109"/>
      <w:bookmarkEnd w:id="227"/>
      <w:bookmarkStart w:id="228" w:name="_Toc184308058"/>
      <w:bookmarkEnd w:id="228"/>
      <w:bookmarkStart w:id="229" w:name="_Toc184308069"/>
      <w:bookmarkEnd w:id="229"/>
      <w:bookmarkStart w:id="230" w:name="_Toc184308097"/>
      <w:bookmarkEnd w:id="230"/>
      <w:bookmarkStart w:id="231" w:name="_Toc184308062"/>
      <w:bookmarkEnd w:id="231"/>
      <w:bookmarkStart w:id="232" w:name="_Toc184310286"/>
      <w:bookmarkEnd w:id="232"/>
      <w:bookmarkStart w:id="233" w:name="_Toc184313239"/>
      <w:bookmarkEnd w:id="233"/>
      <w:bookmarkStart w:id="234" w:name="_Toc184313238"/>
      <w:bookmarkEnd w:id="234"/>
      <w:bookmarkStart w:id="235" w:name="_Toc184308044"/>
      <w:bookmarkEnd w:id="235"/>
      <w:bookmarkStart w:id="236" w:name="_Toc184310338"/>
      <w:bookmarkEnd w:id="236"/>
      <w:bookmarkStart w:id="237" w:name="_Toc184310314"/>
      <w:bookmarkEnd w:id="237"/>
      <w:bookmarkStart w:id="238" w:name="_Toc184308050"/>
      <w:bookmarkEnd w:id="238"/>
      <w:bookmarkStart w:id="239" w:name="_Toc184310316"/>
      <w:bookmarkEnd w:id="239"/>
      <w:bookmarkStart w:id="240" w:name="_Toc184314463"/>
      <w:bookmarkEnd w:id="240"/>
      <w:bookmarkStart w:id="241" w:name="_Toc184314431"/>
      <w:bookmarkEnd w:id="241"/>
      <w:bookmarkStart w:id="242" w:name="_Toc184313245"/>
      <w:bookmarkEnd w:id="242"/>
      <w:bookmarkStart w:id="243" w:name="_Toc184312078"/>
      <w:bookmarkEnd w:id="243"/>
      <w:bookmarkStart w:id="244" w:name="_Toc184314438"/>
      <w:bookmarkEnd w:id="244"/>
      <w:bookmarkStart w:id="245" w:name="_Toc184314477"/>
      <w:bookmarkEnd w:id="245"/>
      <w:bookmarkStart w:id="246" w:name="_Toc184314473"/>
      <w:bookmarkEnd w:id="246"/>
      <w:bookmarkStart w:id="247" w:name="_Toc184313269"/>
      <w:bookmarkEnd w:id="247"/>
      <w:bookmarkStart w:id="248" w:name="_Toc184313279"/>
      <w:bookmarkEnd w:id="248"/>
      <w:bookmarkStart w:id="249" w:name="_Toc184313244"/>
      <w:bookmarkEnd w:id="249"/>
      <w:bookmarkStart w:id="250" w:name="_Toc184312082"/>
      <w:bookmarkEnd w:id="250"/>
      <w:bookmarkStart w:id="251" w:name="_Toc184308089"/>
      <w:bookmarkEnd w:id="251"/>
      <w:bookmarkStart w:id="252" w:name="_Toc184312096"/>
      <w:bookmarkEnd w:id="252"/>
      <w:bookmarkStart w:id="253" w:name="_Toc184314427"/>
      <w:bookmarkEnd w:id="253"/>
      <w:bookmarkStart w:id="254" w:name="_Toc184310321"/>
      <w:bookmarkEnd w:id="254"/>
      <w:bookmarkStart w:id="255" w:name="_Toc184312071"/>
      <w:bookmarkEnd w:id="255"/>
      <w:bookmarkStart w:id="256" w:name="_Toc184313280"/>
      <w:bookmarkEnd w:id="256"/>
      <w:bookmarkStart w:id="257" w:name="_Toc184310300"/>
      <w:bookmarkEnd w:id="257"/>
      <w:bookmarkStart w:id="258" w:name="_Toc184312090"/>
      <w:bookmarkEnd w:id="258"/>
      <w:bookmarkStart w:id="259" w:name="_Toc184308039"/>
      <w:bookmarkEnd w:id="259"/>
      <w:bookmarkStart w:id="260" w:name="_Toc184313301"/>
      <w:bookmarkEnd w:id="260"/>
      <w:bookmarkStart w:id="261" w:name="_Toc184312131"/>
      <w:bookmarkEnd w:id="261"/>
      <w:bookmarkStart w:id="262" w:name="_Toc184312136"/>
      <w:bookmarkEnd w:id="262"/>
      <w:bookmarkStart w:id="263" w:name="_Toc184310318"/>
      <w:bookmarkEnd w:id="263"/>
      <w:bookmarkStart w:id="264" w:name="_Toc184312119"/>
      <w:bookmarkEnd w:id="264"/>
      <w:bookmarkStart w:id="265" w:name="_Toc184308101"/>
      <w:bookmarkEnd w:id="265"/>
      <w:bookmarkStart w:id="266" w:name="_Toc184308052"/>
      <w:bookmarkEnd w:id="266"/>
      <w:bookmarkStart w:id="267" w:name="_Toc184310324"/>
      <w:bookmarkEnd w:id="267"/>
      <w:bookmarkStart w:id="268" w:name="_Toc184314426"/>
      <w:bookmarkEnd w:id="268"/>
      <w:bookmarkStart w:id="269" w:name="_Toc184310302"/>
      <w:bookmarkEnd w:id="269"/>
      <w:bookmarkStart w:id="270" w:name="_Toc184312067"/>
      <w:bookmarkEnd w:id="270"/>
      <w:bookmarkStart w:id="271" w:name="_Toc184313305"/>
      <w:bookmarkEnd w:id="271"/>
      <w:bookmarkStart w:id="272" w:name="_Toc184308056"/>
      <w:bookmarkEnd w:id="272"/>
      <w:bookmarkStart w:id="273" w:name="_Toc184313299"/>
      <w:bookmarkEnd w:id="273"/>
      <w:bookmarkStart w:id="274" w:name="_Toc184313303"/>
      <w:bookmarkEnd w:id="274"/>
      <w:bookmarkStart w:id="275" w:name="_Toc184310340"/>
      <w:bookmarkEnd w:id="275"/>
      <w:bookmarkStart w:id="276" w:name="_Toc184313274"/>
      <w:bookmarkEnd w:id="276"/>
      <w:bookmarkStart w:id="277" w:name="_Toc184308036"/>
      <w:bookmarkEnd w:id="277"/>
      <w:bookmarkStart w:id="278" w:name="_Toc184313266"/>
      <w:bookmarkEnd w:id="278"/>
      <w:bookmarkStart w:id="279" w:name="_Toc184313247"/>
      <w:bookmarkEnd w:id="279"/>
      <w:bookmarkStart w:id="280" w:name="_Toc184314472"/>
      <w:bookmarkEnd w:id="280"/>
      <w:bookmarkStart w:id="281" w:name="_Toc184310323"/>
      <w:bookmarkEnd w:id="281"/>
      <w:bookmarkStart w:id="282" w:name="_Toc184312110"/>
      <w:bookmarkEnd w:id="282"/>
      <w:bookmarkStart w:id="283" w:name="_Toc184313263"/>
      <w:bookmarkEnd w:id="283"/>
      <w:bookmarkStart w:id="284" w:name="_Toc184310288"/>
      <w:bookmarkEnd w:id="284"/>
      <w:bookmarkStart w:id="285" w:name="_Toc184313308"/>
      <w:bookmarkEnd w:id="285"/>
      <w:bookmarkStart w:id="286" w:name="_Toc184313243"/>
      <w:bookmarkEnd w:id="286"/>
      <w:bookmarkStart w:id="287" w:name="_Toc184313249"/>
      <w:bookmarkEnd w:id="287"/>
      <w:bookmarkStart w:id="288" w:name="_Toc184310287"/>
      <w:bookmarkEnd w:id="288"/>
      <w:bookmarkStart w:id="289" w:name="_Toc184310301"/>
      <w:bookmarkEnd w:id="289"/>
      <w:bookmarkStart w:id="290" w:name="_Toc184313254"/>
      <w:bookmarkEnd w:id="290"/>
      <w:bookmarkStart w:id="291" w:name="_Toc184312081"/>
      <w:bookmarkEnd w:id="291"/>
      <w:bookmarkStart w:id="292" w:name="_Toc184313285"/>
      <w:bookmarkEnd w:id="292"/>
      <w:bookmarkStart w:id="293" w:name="_Toc184312118"/>
      <w:bookmarkEnd w:id="293"/>
      <w:bookmarkStart w:id="294" w:name="_Toc184314448"/>
      <w:bookmarkEnd w:id="294"/>
      <w:bookmarkStart w:id="295" w:name="_Toc184314410"/>
      <w:bookmarkEnd w:id="295"/>
      <w:bookmarkStart w:id="296" w:name="_Toc184308099"/>
      <w:bookmarkEnd w:id="296"/>
      <w:bookmarkStart w:id="297" w:name="_Toc184314411"/>
      <w:bookmarkEnd w:id="297"/>
      <w:bookmarkStart w:id="298" w:name="_Toc184308086"/>
      <w:bookmarkEnd w:id="298"/>
      <w:bookmarkStart w:id="299" w:name="_Toc184310343"/>
      <w:bookmarkEnd w:id="299"/>
      <w:bookmarkStart w:id="300" w:name="_Toc184308092"/>
      <w:bookmarkEnd w:id="300"/>
      <w:bookmarkStart w:id="301" w:name="_Toc184313277"/>
      <w:bookmarkEnd w:id="301"/>
      <w:bookmarkStart w:id="302" w:name="_Toc184308091"/>
      <w:bookmarkEnd w:id="302"/>
      <w:bookmarkStart w:id="303" w:name="_Toc184314422"/>
      <w:bookmarkEnd w:id="303"/>
      <w:bookmarkStart w:id="304" w:name="_Toc184314460"/>
      <w:bookmarkEnd w:id="304"/>
      <w:bookmarkStart w:id="305" w:name="_Toc184312101"/>
      <w:bookmarkEnd w:id="305"/>
      <w:bookmarkStart w:id="306" w:name="_Toc184312102"/>
      <w:bookmarkEnd w:id="306"/>
      <w:bookmarkStart w:id="307" w:name="_Toc184314464"/>
      <w:bookmarkEnd w:id="307"/>
      <w:bookmarkStart w:id="308" w:name="_Toc184313265"/>
      <w:bookmarkEnd w:id="308"/>
      <w:bookmarkStart w:id="309" w:name="_Toc184308053"/>
      <w:bookmarkEnd w:id="309"/>
      <w:bookmarkStart w:id="310" w:name="_Toc184308042"/>
      <w:bookmarkEnd w:id="310"/>
      <w:bookmarkStart w:id="311" w:name="_Toc184313291"/>
      <w:bookmarkEnd w:id="311"/>
      <w:bookmarkStart w:id="312" w:name="_Toc184308090"/>
      <w:bookmarkEnd w:id="312"/>
      <w:bookmarkStart w:id="313" w:name="_Toc184313288"/>
      <w:bookmarkEnd w:id="313"/>
      <w:bookmarkStart w:id="314" w:name="_Toc184312084"/>
      <w:bookmarkEnd w:id="314"/>
      <w:bookmarkStart w:id="315" w:name="_Toc184310293"/>
      <w:bookmarkEnd w:id="315"/>
      <w:bookmarkStart w:id="316" w:name="_Toc184314424"/>
      <w:bookmarkEnd w:id="316"/>
      <w:bookmarkStart w:id="317" w:name="_Toc184308054"/>
      <w:bookmarkEnd w:id="317"/>
      <w:bookmarkStart w:id="318" w:name="_Toc184313262"/>
      <w:bookmarkEnd w:id="318"/>
      <w:bookmarkStart w:id="319" w:name="_Toc184310289"/>
      <w:bookmarkEnd w:id="319"/>
      <w:bookmarkStart w:id="320" w:name="_Toc184308066"/>
      <w:bookmarkEnd w:id="320"/>
      <w:bookmarkStart w:id="321" w:name="_Toc184308096"/>
      <w:bookmarkEnd w:id="321"/>
      <w:bookmarkStart w:id="322" w:name="_Toc184314471"/>
      <w:bookmarkEnd w:id="322"/>
      <w:bookmarkStart w:id="323" w:name="_Toc184308105"/>
      <w:bookmarkEnd w:id="323"/>
      <w:bookmarkStart w:id="324" w:name="_Toc184310312"/>
      <w:bookmarkEnd w:id="324"/>
      <w:bookmarkStart w:id="325" w:name="_Toc184314479"/>
      <w:bookmarkEnd w:id="325"/>
      <w:bookmarkStart w:id="326" w:name="_Toc184308076"/>
      <w:bookmarkEnd w:id="326"/>
      <w:bookmarkStart w:id="327" w:name="_Toc184310317"/>
      <w:bookmarkEnd w:id="327"/>
      <w:bookmarkStart w:id="328" w:name="_Toc184308106"/>
      <w:bookmarkEnd w:id="328"/>
      <w:bookmarkStart w:id="329" w:name="_Toc184310311"/>
      <w:bookmarkEnd w:id="329"/>
      <w:bookmarkStart w:id="330" w:name="_Toc184313275"/>
      <w:bookmarkEnd w:id="330"/>
      <w:bookmarkStart w:id="331" w:name="_Toc184308043"/>
      <w:bookmarkEnd w:id="331"/>
      <w:bookmarkStart w:id="332" w:name="_Toc184314470"/>
      <w:bookmarkEnd w:id="332"/>
      <w:bookmarkStart w:id="333" w:name="_Toc184312128"/>
      <w:bookmarkEnd w:id="333"/>
      <w:bookmarkStart w:id="334" w:name="_Toc184310290"/>
      <w:bookmarkEnd w:id="334"/>
      <w:bookmarkStart w:id="335" w:name="_Toc184310325"/>
      <w:bookmarkEnd w:id="335"/>
      <w:bookmarkStart w:id="336" w:name="_Toc184308081"/>
      <w:bookmarkEnd w:id="336"/>
      <w:bookmarkStart w:id="337" w:name="_Toc184314421"/>
      <w:bookmarkEnd w:id="337"/>
      <w:bookmarkStart w:id="338" w:name="_Toc184312115"/>
      <w:bookmarkEnd w:id="338"/>
      <w:bookmarkStart w:id="339" w:name="_Toc184308107"/>
      <w:bookmarkEnd w:id="339"/>
      <w:bookmarkStart w:id="340" w:name="_Toc184313304"/>
      <w:bookmarkEnd w:id="340"/>
      <w:bookmarkStart w:id="341" w:name="_Toc184310275"/>
      <w:bookmarkEnd w:id="341"/>
      <w:bookmarkStart w:id="342" w:name="_Toc184308094"/>
      <w:bookmarkEnd w:id="342"/>
      <w:bookmarkStart w:id="343" w:name="_Toc184310333"/>
      <w:bookmarkEnd w:id="343"/>
      <w:bookmarkStart w:id="344" w:name="_Toc184310332"/>
      <w:bookmarkEnd w:id="344"/>
      <w:bookmarkStart w:id="345" w:name="_Toc184314462"/>
      <w:bookmarkEnd w:id="345"/>
      <w:bookmarkStart w:id="346" w:name="_Toc184308049"/>
      <w:bookmarkEnd w:id="346"/>
      <w:bookmarkStart w:id="347" w:name="_Toc184310296"/>
      <w:bookmarkEnd w:id="347"/>
      <w:bookmarkStart w:id="348" w:name="_Toc184310305"/>
      <w:bookmarkEnd w:id="348"/>
      <w:bookmarkStart w:id="349" w:name="_Toc184310273"/>
      <w:bookmarkEnd w:id="349"/>
      <w:bookmarkStart w:id="350" w:name="_Toc184314452"/>
      <w:bookmarkEnd w:id="350"/>
      <w:bookmarkStart w:id="351" w:name="_Toc184314455"/>
      <w:bookmarkEnd w:id="351"/>
      <w:bookmarkStart w:id="352" w:name="_Toc184312073"/>
      <w:bookmarkEnd w:id="352"/>
      <w:bookmarkStart w:id="353" w:name="_Toc184314436"/>
      <w:bookmarkEnd w:id="353"/>
      <w:bookmarkStart w:id="354" w:name="_Toc184314416"/>
      <w:bookmarkEnd w:id="354"/>
      <w:bookmarkStart w:id="355" w:name="_Toc184313306"/>
      <w:bookmarkEnd w:id="355"/>
      <w:bookmarkStart w:id="356" w:name="_Toc184308098"/>
      <w:bookmarkEnd w:id="356"/>
      <w:bookmarkStart w:id="357" w:name="_Toc184312132"/>
      <w:bookmarkEnd w:id="357"/>
      <w:bookmarkStart w:id="358" w:name="_Toc184314418"/>
      <w:bookmarkEnd w:id="358"/>
      <w:bookmarkStart w:id="359" w:name="_Toc184314469"/>
      <w:bookmarkEnd w:id="359"/>
      <w:bookmarkStart w:id="360" w:name="_Toc184314478"/>
      <w:bookmarkEnd w:id="360"/>
      <w:bookmarkStart w:id="361" w:name="_Toc184312125"/>
      <w:bookmarkEnd w:id="361"/>
      <w:bookmarkStart w:id="362" w:name="_Toc184308087"/>
      <w:bookmarkEnd w:id="362"/>
      <w:bookmarkStart w:id="363" w:name="_Toc184312134"/>
      <w:bookmarkEnd w:id="363"/>
      <w:bookmarkStart w:id="364" w:name="_Toc184308055"/>
      <w:bookmarkEnd w:id="364"/>
      <w:bookmarkStart w:id="365" w:name="_Toc184314476"/>
      <w:bookmarkEnd w:id="365"/>
      <w:bookmarkStart w:id="366" w:name="_Toc184308080"/>
      <w:bookmarkEnd w:id="366"/>
      <w:bookmarkStart w:id="367" w:name="_Toc184314466"/>
      <w:bookmarkEnd w:id="367"/>
      <w:bookmarkStart w:id="368" w:name="_Toc184313273"/>
      <w:bookmarkEnd w:id="368"/>
      <w:bookmarkStart w:id="369" w:name="_Toc184310334"/>
      <w:bookmarkEnd w:id="369"/>
      <w:bookmarkStart w:id="370" w:name="_Toc184314482"/>
      <w:bookmarkEnd w:id="370"/>
      <w:bookmarkStart w:id="371" w:name="_Toc184312087"/>
      <w:bookmarkEnd w:id="371"/>
      <w:bookmarkStart w:id="372" w:name="_Toc184312129"/>
      <w:bookmarkEnd w:id="372"/>
      <w:bookmarkStart w:id="373" w:name="_Toc184310320"/>
      <w:bookmarkEnd w:id="373"/>
      <w:bookmarkStart w:id="374" w:name="_Toc184313250"/>
      <w:bookmarkEnd w:id="374"/>
      <w:bookmarkStart w:id="375" w:name="_Toc184313256"/>
      <w:bookmarkEnd w:id="375"/>
      <w:bookmarkStart w:id="376" w:name="_Toc184310280"/>
      <w:bookmarkEnd w:id="376"/>
      <w:bookmarkStart w:id="377" w:name="_Toc184310315"/>
      <w:bookmarkEnd w:id="377"/>
      <w:bookmarkStart w:id="378" w:name="_Toc184308108"/>
      <w:bookmarkEnd w:id="378"/>
      <w:bookmarkStart w:id="379" w:name="_Toc184314457"/>
      <w:bookmarkEnd w:id="379"/>
      <w:bookmarkStart w:id="380" w:name="_Toc184314439"/>
      <w:bookmarkEnd w:id="380"/>
      <w:bookmarkStart w:id="381" w:name="_Toc184314468"/>
      <w:bookmarkEnd w:id="381"/>
      <w:r>
        <w:rPr>
          <w:rFonts w:hint="eastAsia" w:ascii="宋体" w:hAnsi="宋体" w:cs="宋体"/>
          <w:b/>
          <w:color w:val="auto"/>
          <w:sz w:val="36"/>
          <w:szCs w:val="36"/>
          <w:highlight w:val="none"/>
        </w:rPr>
        <w:t xml:space="preserve">  评标办法</w:t>
      </w:r>
    </w:p>
    <w:tbl>
      <w:tblPr>
        <w:tblStyle w:val="18"/>
        <w:tblW w:w="53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0"/>
        <w:gridCol w:w="7224"/>
        <w:gridCol w:w="691"/>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327" w:type="pct"/>
            <w:gridSpan w:val="2"/>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b/>
                <w:bCs w:val="0"/>
                <w:color w:val="auto"/>
                <w:sz w:val="22"/>
                <w:szCs w:val="22"/>
                <w:highlight w:val="none"/>
                <w:vertAlign w:val="baseline"/>
                <w:lang w:val="en-US" w:eastAsia="zh-CN"/>
              </w:rPr>
            </w:pPr>
            <w:r>
              <w:rPr>
                <w:rFonts w:hint="eastAsia" w:asciiTheme="minorEastAsia" w:hAnsiTheme="minorEastAsia" w:eastAsiaTheme="minorEastAsia" w:cstheme="minorEastAsia"/>
                <w:b/>
                <w:bCs w:val="0"/>
                <w:color w:val="auto"/>
                <w:sz w:val="22"/>
                <w:szCs w:val="22"/>
                <w:highlight w:val="none"/>
                <w:vertAlign w:val="baseline"/>
                <w:lang w:val="en-US" w:eastAsia="zh-CN"/>
              </w:rPr>
              <w:t>序号</w:t>
            </w:r>
          </w:p>
        </w:tc>
        <w:tc>
          <w:tcPr>
            <w:tcW w:w="3641" w:type="pct"/>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b/>
                <w:bCs w:val="0"/>
                <w:i w:val="0"/>
                <w:iCs w:val="0"/>
                <w:color w:val="auto"/>
                <w:sz w:val="22"/>
                <w:szCs w:val="22"/>
                <w:highlight w:val="none"/>
                <w:vertAlign w:val="baseline"/>
                <w:lang w:val="en-US" w:eastAsia="zh-CN"/>
              </w:rPr>
            </w:pPr>
            <w:r>
              <w:rPr>
                <w:rFonts w:hint="eastAsia" w:asciiTheme="minorEastAsia" w:hAnsiTheme="minorEastAsia" w:eastAsiaTheme="minorEastAsia" w:cstheme="minorEastAsia"/>
                <w:b/>
                <w:bCs w:val="0"/>
                <w:i w:val="0"/>
                <w:iCs w:val="0"/>
                <w:color w:val="auto"/>
                <w:sz w:val="22"/>
                <w:szCs w:val="22"/>
                <w:highlight w:val="none"/>
                <w:vertAlign w:val="baseline"/>
                <w:lang w:val="en-US" w:eastAsia="zh-CN"/>
              </w:rPr>
              <w:t>评标标准</w:t>
            </w:r>
          </w:p>
        </w:tc>
        <w:tc>
          <w:tcPr>
            <w:tcW w:w="348" w:type="pct"/>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b/>
                <w:bCs w:val="0"/>
                <w:i w:val="0"/>
                <w:iCs w:val="0"/>
                <w:color w:val="auto"/>
                <w:sz w:val="22"/>
                <w:szCs w:val="22"/>
                <w:highlight w:val="none"/>
                <w:vertAlign w:val="baseline"/>
                <w:lang w:val="en-US" w:eastAsia="zh-CN"/>
              </w:rPr>
            </w:pPr>
            <w:r>
              <w:rPr>
                <w:rFonts w:hint="eastAsia" w:asciiTheme="minorEastAsia" w:hAnsiTheme="minorEastAsia" w:eastAsiaTheme="minorEastAsia" w:cstheme="minorEastAsia"/>
                <w:b/>
                <w:bCs w:val="0"/>
                <w:i w:val="0"/>
                <w:iCs w:val="0"/>
                <w:color w:val="auto"/>
                <w:sz w:val="22"/>
                <w:szCs w:val="22"/>
                <w:highlight w:val="none"/>
                <w:vertAlign w:val="baseline"/>
                <w:lang w:val="en-US" w:eastAsia="zh-CN"/>
              </w:rPr>
              <w:t>分值</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b/>
                <w:bCs w:val="0"/>
                <w:i w:val="0"/>
                <w:iCs w:val="0"/>
                <w:color w:val="auto"/>
                <w:sz w:val="22"/>
                <w:szCs w:val="22"/>
                <w:highlight w:val="none"/>
                <w:lang w:val="en-US" w:eastAsia="zh-CN"/>
              </w:rPr>
            </w:pPr>
            <w:r>
              <w:rPr>
                <w:rFonts w:hint="eastAsia" w:asciiTheme="minorEastAsia" w:hAnsiTheme="minorEastAsia" w:eastAsiaTheme="minorEastAsia" w:cstheme="minorEastAsia"/>
                <w:b/>
                <w:bCs w:val="0"/>
                <w:i w:val="0"/>
                <w:iCs w:val="0"/>
                <w:color w:val="auto"/>
                <w:sz w:val="22"/>
                <w:szCs w:val="22"/>
                <w:highlight w:val="none"/>
                <w:vertAlign w:val="baseline"/>
                <w:lang w:val="en-US" w:eastAsia="zh-CN"/>
              </w:rPr>
              <w:t>权重</w:t>
            </w:r>
          </w:p>
        </w:tc>
        <w:tc>
          <w:tcPr>
            <w:tcW w:w="683" w:type="pct"/>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b/>
                <w:bCs w:val="0"/>
                <w:i w:val="0"/>
                <w:iCs w:val="0"/>
                <w:color w:val="auto"/>
                <w:sz w:val="22"/>
                <w:szCs w:val="22"/>
                <w:highlight w:val="none"/>
                <w:vertAlign w:val="baseline"/>
                <w:lang w:val="en-US" w:eastAsia="zh-CN"/>
              </w:rPr>
            </w:pPr>
            <w:r>
              <w:rPr>
                <w:rFonts w:hint="eastAsia" w:asciiTheme="minorEastAsia" w:hAnsiTheme="minorEastAsia" w:eastAsiaTheme="minorEastAsia" w:cstheme="minorEastAsia"/>
                <w:b/>
                <w:bCs w:val="0"/>
                <w:i w:val="0"/>
                <w:iCs w:val="0"/>
                <w:color w:val="auto"/>
                <w:sz w:val="22"/>
                <w:szCs w:val="22"/>
                <w:highlight w:val="none"/>
                <w:vertAlign w:val="baseline"/>
                <w:lang w:val="en-US" w:eastAsia="zh-CN"/>
              </w:rPr>
              <w:t>主/客观分属性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i w:val="0"/>
                <w:iCs w:val="0"/>
                <w:color w:val="auto"/>
                <w:sz w:val="22"/>
                <w:szCs w:val="22"/>
                <w:highlight w:val="none"/>
                <w:lang w:val="en-US" w:eastAsia="zh-CN"/>
              </w:rPr>
            </w:pPr>
            <w:r>
              <w:rPr>
                <w:rFonts w:hint="eastAsia" w:asciiTheme="minorEastAsia" w:hAnsiTheme="minorEastAsia" w:eastAsiaTheme="minorEastAsia" w:cstheme="minorEastAsia"/>
                <w:b w:val="0"/>
                <w:bCs/>
                <w:i w:val="0"/>
                <w:iCs w:val="0"/>
                <w:color w:val="auto"/>
                <w:sz w:val="22"/>
                <w:szCs w:val="22"/>
                <w:highlight w:val="none"/>
                <w:lang w:val="en-US" w:eastAsia="zh-CN"/>
              </w:rPr>
              <w:t>1</w:t>
            </w:r>
          </w:p>
        </w:tc>
        <w:tc>
          <w:tcPr>
            <w:tcW w:w="4677" w:type="pct"/>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i w:val="0"/>
                <w:iCs w:val="0"/>
                <w:color w:val="auto"/>
                <w:sz w:val="22"/>
                <w:szCs w:val="22"/>
                <w:highlight w:val="none"/>
                <w:vertAlign w:val="baseline"/>
                <w:lang w:val="en-US" w:eastAsia="zh-CN"/>
              </w:rPr>
            </w:pPr>
            <w:r>
              <w:rPr>
                <w:rFonts w:hint="eastAsia" w:asciiTheme="minorEastAsia" w:hAnsiTheme="minorEastAsia" w:eastAsiaTheme="minorEastAsia" w:cstheme="minorEastAsia"/>
                <w:b w:val="0"/>
                <w:bCs/>
                <w:i w:val="0"/>
                <w:iCs w:val="0"/>
                <w:color w:val="auto"/>
                <w:sz w:val="22"/>
                <w:szCs w:val="22"/>
                <w:highlight w:val="none"/>
                <w:lang w:val="en-US" w:eastAsia="zh-CN"/>
              </w:rPr>
              <w:t>报价文件（30分）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7"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sz w:val="22"/>
                <w:szCs w:val="22"/>
                <w:highlight w:val="none"/>
                <w:lang w:val="en-US" w:eastAsia="zh-CN"/>
              </w:rPr>
              <w:t>1.1</w:t>
            </w:r>
          </w:p>
        </w:tc>
        <w:tc>
          <w:tcPr>
            <w:tcW w:w="3641"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i w:val="0"/>
                <w:iCs w:val="0"/>
                <w:color w:val="auto"/>
                <w:sz w:val="22"/>
                <w:szCs w:val="22"/>
                <w:highlight w:val="none"/>
              </w:rPr>
            </w:pPr>
            <w:r>
              <w:rPr>
                <w:rFonts w:hint="eastAsia" w:asciiTheme="minorEastAsia" w:hAnsiTheme="minorEastAsia" w:eastAsiaTheme="minorEastAsia" w:cstheme="minorEastAsia"/>
                <w:b w:val="0"/>
                <w:bCs/>
                <w:i w:val="0"/>
                <w:iCs w:val="0"/>
                <w:color w:val="auto"/>
                <w:sz w:val="22"/>
                <w:szCs w:val="22"/>
                <w:highlight w:val="none"/>
              </w:rPr>
              <w:t>有效投标报价的最低价作为评标基准价，其最低报价为满分；按［投标报价得分=（评标基准价/投标报价）×</w:t>
            </w:r>
            <w:r>
              <w:rPr>
                <w:rFonts w:hint="eastAsia" w:asciiTheme="minorEastAsia" w:hAnsiTheme="minorEastAsia" w:eastAsiaTheme="minorEastAsia" w:cstheme="minorEastAsia"/>
                <w:b w:val="0"/>
                <w:bCs/>
                <w:i w:val="0"/>
                <w:iCs w:val="0"/>
                <w:color w:val="auto"/>
                <w:sz w:val="22"/>
                <w:szCs w:val="22"/>
                <w:highlight w:val="none"/>
                <w:u w:val="none"/>
                <w:lang w:val="en-US" w:eastAsia="zh-CN"/>
              </w:rPr>
              <w:t>30</w:t>
            </w:r>
            <w:r>
              <w:rPr>
                <w:rFonts w:hint="eastAsia" w:asciiTheme="minorEastAsia" w:hAnsiTheme="minorEastAsia" w:eastAsiaTheme="minorEastAsia" w:cstheme="minorEastAsia"/>
                <w:b w:val="0"/>
                <w:bCs/>
                <w:i w:val="0"/>
                <w:iCs w:val="0"/>
                <w:color w:val="auto"/>
                <w:sz w:val="22"/>
                <w:szCs w:val="22"/>
                <w:highlight w:val="none"/>
              </w:rPr>
              <w:t>］的计算公式计算。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i w:val="0"/>
                <w:iCs w:val="0"/>
                <w:color w:val="auto"/>
                <w:sz w:val="22"/>
                <w:szCs w:val="22"/>
                <w:highlight w:val="none"/>
              </w:rPr>
            </w:pPr>
            <w:r>
              <w:rPr>
                <w:rFonts w:hint="eastAsia" w:asciiTheme="minorEastAsia" w:hAnsiTheme="minorEastAsia" w:eastAsiaTheme="minorEastAsia" w:cstheme="minorEastAsia"/>
                <w:b w:val="0"/>
                <w:bCs/>
                <w:i w:val="0"/>
                <w:iCs w:val="0"/>
                <w:color w:val="auto"/>
                <w:sz w:val="22"/>
                <w:szCs w:val="22"/>
                <w:highlight w:val="none"/>
              </w:rPr>
              <w:t>备注：（1）评标过程中，不得去掉报价中的最高报价和最低报价；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sz w:val="22"/>
                <w:szCs w:val="22"/>
                <w:highlight w:val="none"/>
              </w:rPr>
              <w:t>（2）本项目</w:t>
            </w:r>
            <w:r>
              <w:rPr>
                <w:rFonts w:hint="eastAsia" w:asciiTheme="minorEastAsia" w:hAnsiTheme="minorEastAsia" w:eastAsiaTheme="minorEastAsia" w:cstheme="minorEastAsia"/>
                <w:b w:val="0"/>
                <w:bCs/>
                <w:i w:val="0"/>
                <w:iCs w:val="0"/>
                <w:color w:val="auto"/>
                <w:sz w:val="22"/>
                <w:szCs w:val="22"/>
                <w:highlight w:val="none"/>
                <w:lang w:val="en-US" w:eastAsia="zh-CN"/>
              </w:rPr>
              <w:t>是</w:t>
            </w:r>
            <w:r>
              <w:rPr>
                <w:rFonts w:hint="eastAsia" w:asciiTheme="minorEastAsia" w:hAnsiTheme="minorEastAsia" w:eastAsiaTheme="minorEastAsia" w:cstheme="minorEastAsia"/>
                <w:b w:val="0"/>
                <w:bCs/>
                <w:i w:val="0"/>
                <w:iCs w:val="0"/>
                <w:color w:val="auto"/>
                <w:sz w:val="22"/>
                <w:szCs w:val="22"/>
                <w:highlight w:val="none"/>
              </w:rPr>
              <w:t>专门面向中小企业的采购项目。</w:t>
            </w:r>
          </w:p>
        </w:tc>
        <w:tc>
          <w:tcPr>
            <w:tcW w:w="34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i w:val="0"/>
                <w:iCs w:val="0"/>
                <w:color w:val="auto"/>
                <w:kern w:val="2"/>
                <w:sz w:val="22"/>
                <w:szCs w:val="22"/>
                <w:highlight w:val="none"/>
                <w:lang w:val="en-US" w:eastAsia="zh-CN" w:bidi="ar-SA"/>
              </w:rPr>
            </w:pPr>
            <w:r>
              <w:rPr>
                <w:rFonts w:hint="default" w:asciiTheme="minorEastAsia" w:hAnsiTheme="minorEastAsia" w:eastAsiaTheme="minorEastAsia" w:cstheme="minorEastAsia"/>
                <w:b w:val="0"/>
                <w:bCs/>
                <w:i w:val="0"/>
                <w:iCs w:val="0"/>
                <w:color w:val="auto"/>
                <w:kern w:val="2"/>
                <w:sz w:val="22"/>
                <w:szCs w:val="22"/>
                <w:highlight w:val="none"/>
                <w:lang w:val="en-US" w:eastAsia="zh-CN" w:bidi="ar-SA"/>
              </w:rPr>
              <w:t>30</w:t>
            </w:r>
          </w:p>
        </w:tc>
        <w:tc>
          <w:tcPr>
            <w:tcW w:w="68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i w:val="0"/>
                <w:iCs w:val="0"/>
                <w:color w:val="auto"/>
                <w:sz w:val="22"/>
                <w:szCs w:val="22"/>
                <w:highlight w:val="none"/>
                <w:vertAlign w:val="baseline"/>
                <w:lang w:val="en-US" w:eastAsia="zh-CN"/>
              </w:rPr>
            </w:pPr>
            <w:r>
              <w:rPr>
                <w:rFonts w:hint="eastAsia" w:asciiTheme="minorEastAsia" w:hAnsiTheme="minorEastAsia" w:eastAsiaTheme="minorEastAsia" w:cstheme="minorEastAsia"/>
                <w:b w:val="0"/>
                <w:bCs/>
                <w:i w:val="0"/>
                <w:iCs w:val="0"/>
                <w:color w:val="auto"/>
                <w:sz w:val="22"/>
                <w:szCs w:val="22"/>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color w:val="auto"/>
                <w:kern w:val="2"/>
                <w:sz w:val="22"/>
                <w:szCs w:val="22"/>
                <w:highlight w:val="none"/>
                <w:lang w:val="en-US" w:eastAsia="zh-CN" w:bidi="ar-SA"/>
              </w:rPr>
            </w:pPr>
            <w:r>
              <w:rPr>
                <w:rFonts w:hint="eastAsia" w:asciiTheme="minorEastAsia" w:hAnsiTheme="minorEastAsia" w:eastAsiaTheme="minorEastAsia" w:cstheme="minorEastAsia"/>
                <w:b w:val="0"/>
                <w:bCs/>
                <w:color w:val="auto"/>
                <w:kern w:val="2"/>
                <w:sz w:val="22"/>
                <w:szCs w:val="22"/>
                <w:highlight w:val="none"/>
                <w:lang w:val="en-US" w:eastAsia="zh-CN" w:bidi="ar-SA"/>
              </w:rPr>
              <w:t>2</w:t>
            </w:r>
          </w:p>
        </w:tc>
        <w:tc>
          <w:tcPr>
            <w:tcW w:w="4677" w:type="pct"/>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i w:val="0"/>
                <w:iCs w:val="0"/>
                <w:color w:val="auto"/>
                <w:sz w:val="22"/>
                <w:szCs w:val="22"/>
                <w:highlight w:val="none"/>
                <w:lang w:val="en-US" w:eastAsia="zh-CN"/>
              </w:rPr>
            </w:pPr>
            <w:r>
              <w:rPr>
                <w:rFonts w:hint="eastAsia" w:asciiTheme="minorEastAsia" w:hAnsiTheme="minorEastAsia" w:eastAsiaTheme="minorEastAsia" w:cstheme="minorEastAsia"/>
                <w:b w:val="0"/>
                <w:bCs/>
                <w:i w:val="0"/>
                <w:iCs w:val="0"/>
                <w:color w:val="auto"/>
                <w:sz w:val="22"/>
                <w:szCs w:val="22"/>
                <w:highlight w:val="none"/>
                <w:lang w:val="en-US" w:eastAsia="zh-CN"/>
              </w:rPr>
              <w:t>商务资信（6分）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7"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color w:val="auto"/>
                <w:kern w:val="2"/>
                <w:sz w:val="22"/>
                <w:szCs w:val="22"/>
                <w:highlight w:val="none"/>
                <w:lang w:val="en-US" w:eastAsia="zh-CN" w:bidi="ar-SA"/>
              </w:rPr>
            </w:pPr>
            <w:r>
              <w:rPr>
                <w:rFonts w:hint="eastAsia" w:asciiTheme="minorEastAsia" w:hAnsiTheme="minorEastAsia" w:eastAsiaTheme="minorEastAsia" w:cstheme="minorEastAsia"/>
                <w:b w:val="0"/>
                <w:bCs/>
                <w:color w:val="auto"/>
                <w:sz w:val="22"/>
                <w:szCs w:val="22"/>
                <w:highlight w:val="none"/>
                <w:lang w:val="en-US" w:eastAsia="zh-CN"/>
              </w:rPr>
              <w:t>2.1</w:t>
            </w:r>
          </w:p>
        </w:tc>
        <w:tc>
          <w:tcPr>
            <w:tcW w:w="364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sz w:val="22"/>
                <w:szCs w:val="22"/>
                <w:highlight w:val="none"/>
                <w:lang w:val="en-US" w:eastAsia="zh-CN"/>
              </w:rPr>
              <w:t>同类项目经验。投标人或平台开发商须提供自2022年1月1日（以签订合同时间为准）以来完成类似系统建设案例。每个案例得1分，最高得2分。注：提供合同复印件。</w:t>
            </w:r>
          </w:p>
        </w:tc>
        <w:tc>
          <w:tcPr>
            <w:tcW w:w="34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2</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sz w:val="22"/>
                <w:szCs w:val="22"/>
                <w:highlight w:val="none"/>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7"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color w:val="auto"/>
                <w:kern w:val="2"/>
                <w:sz w:val="22"/>
                <w:szCs w:val="22"/>
                <w:highlight w:val="none"/>
                <w:lang w:val="en-US" w:eastAsia="zh-CN" w:bidi="ar-SA"/>
              </w:rPr>
            </w:pPr>
            <w:r>
              <w:rPr>
                <w:rFonts w:hint="eastAsia" w:asciiTheme="minorEastAsia" w:hAnsiTheme="minorEastAsia" w:eastAsiaTheme="minorEastAsia" w:cstheme="minorEastAsia"/>
                <w:b w:val="0"/>
                <w:bCs/>
                <w:color w:val="auto"/>
                <w:sz w:val="22"/>
                <w:szCs w:val="22"/>
                <w:highlight w:val="none"/>
                <w:lang w:val="en-US" w:eastAsia="zh-CN"/>
              </w:rPr>
              <w:t>2.2</w:t>
            </w:r>
          </w:p>
        </w:tc>
        <w:tc>
          <w:tcPr>
            <w:tcW w:w="364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企业资质。投标人</w:t>
            </w:r>
            <w:r>
              <w:rPr>
                <w:rFonts w:hint="eastAsia" w:asciiTheme="minorEastAsia" w:hAnsiTheme="minorEastAsia" w:eastAsiaTheme="minorEastAsia" w:cstheme="minorEastAsia"/>
                <w:b w:val="0"/>
                <w:bCs/>
                <w:i w:val="0"/>
                <w:iCs w:val="0"/>
                <w:color w:val="auto"/>
                <w:sz w:val="22"/>
                <w:szCs w:val="22"/>
                <w:highlight w:val="none"/>
                <w:lang w:val="en-US" w:eastAsia="zh-CN"/>
              </w:rPr>
              <w:t>或平台开发商</w:t>
            </w: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具有有效的信息技术服务管理体系认证证书、信息安全管理体系认证证书（两个证书体系涵盖范围必须包含软件开发），每个有效证书扫描件及截图证明得1分，共2分，未提供不得分。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注：所有认证证书均须提供证书扫描件及国家认证认可监督管理委员会官网（https://www.cnca.gov.cn/）截图加盖公章。</w:t>
            </w:r>
          </w:p>
        </w:tc>
        <w:tc>
          <w:tcPr>
            <w:tcW w:w="34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2</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7"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color w:val="auto"/>
                <w:kern w:val="2"/>
                <w:sz w:val="22"/>
                <w:szCs w:val="22"/>
                <w:highlight w:val="none"/>
                <w:lang w:val="en-US" w:eastAsia="zh-CN" w:bidi="ar-SA"/>
              </w:rPr>
            </w:pPr>
            <w:r>
              <w:rPr>
                <w:rFonts w:hint="eastAsia" w:asciiTheme="minorEastAsia" w:hAnsiTheme="minorEastAsia" w:eastAsiaTheme="minorEastAsia" w:cstheme="minorEastAsia"/>
                <w:b w:val="0"/>
                <w:bCs/>
                <w:color w:val="auto"/>
                <w:sz w:val="22"/>
                <w:szCs w:val="22"/>
                <w:highlight w:val="none"/>
                <w:lang w:val="en-US" w:eastAsia="zh-CN"/>
              </w:rPr>
              <w:t>2.3</w:t>
            </w:r>
          </w:p>
        </w:tc>
        <w:tc>
          <w:tcPr>
            <w:tcW w:w="364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产品成熟度。投标人所投类似“AI校园”产品取得计算机软件著作权登记证书的得2分，未提供不得分。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注：提供所投软件有效的计算机软件著作权登记证书复印件并加盖投标人电子签名或公章。</w:t>
            </w:r>
          </w:p>
        </w:tc>
        <w:tc>
          <w:tcPr>
            <w:tcW w:w="34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2</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7"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en-US" w:eastAsia="zh-CN"/>
              </w:rPr>
              <w:t>3</w:t>
            </w:r>
          </w:p>
        </w:tc>
        <w:tc>
          <w:tcPr>
            <w:tcW w:w="4672" w:type="pct"/>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项目团队（5分）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7"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en-US" w:eastAsia="zh-CN"/>
              </w:rPr>
              <w:t>3.1</w:t>
            </w:r>
          </w:p>
        </w:tc>
        <w:tc>
          <w:tcPr>
            <w:tcW w:w="3641"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项目负责人：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（1）具有信息化相关专业高级职称或资格证书得2分，中级职称证书或资格证书得1分；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（2）2022年1月1日以来具有类似信息化开发管理经验，每个0.5分，最高的1分；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注：提供人员履历、证书、业绩证明及近三个月内任意月份打印的社保证明。</w:t>
            </w:r>
          </w:p>
        </w:tc>
        <w:tc>
          <w:tcPr>
            <w:tcW w:w="34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3</w:t>
            </w:r>
          </w:p>
        </w:tc>
        <w:tc>
          <w:tcPr>
            <w:tcW w:w="68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7"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en-US" w:eastAsia="zh-CN"/>
              </w:rPr>
              <w:t>3.2</w:t>
            </w:r>
          </w:p>
        </w:tc>
        <w:tc>
          <w:tcPr>
            <w:tcW w:w="364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团队专业能力。项目团队成员层级配置和职责划分清晰完整，专业对口，技术水平较高，经验丰富的视为满足采购要求。完全满足得2分，部分满足得1分,不满足不得分。提供人员简介及及近三个月内任意月份打印的社保证明。</w:t>
            </w:r>
          </w:p>
        </w:tc>
        <w:tc>
          <w:tcPr>
            <w:tcW w:w="34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2</w:t>
            </w:r>
          </w:p>
        </w:tc>
        <w:tc>
          <w:tcPr>
            <w:tcW w:w="68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sz w:val="22"/>
                <w:szCs w:val="22"/>
                <w:highlight w:val="none"/>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7"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en-US" w:eastAsia="zh-CN"/>
              </w:rPr>
              <w:t>4</w:t>
            </w:r>
          </w:p>
        </w:tc>
        <w:tc>
          <w:tcPr>
            <w:tcW w:w="4672" w:type="pct"/>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技术方案（35分）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7"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en-US" w:eastAsia="zh-CN"/>
              </w:rPr>
              <w:t>4.1</w:t>
            </w:r>
          </w:p>
        </w:tc>
        <w:tc>
          <w:tcPr>
            <w:tcW w:w="3641"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highlight w:val="none"/>
                <w:lang w:val="en-US" w:eastAsia="zh-CN"/>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项目原有软硬件熟悉度。投标人需对采购人及相关单位/部门针对本项目涉及到的原有软硬件环境进行说明，说明内容具有权威性、准确性的视为满足采购要求。完全满足得2分，部分满足得1分，不满足不得分。</w:t>
            </w:r>
          </w:p>
        </w:tc>
        <w:tc>
          <w:tcPr>
            <w:tcW w:w="34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sz w:val="22"/>
                <w:szCs w:val="22"/>
                <w:highlight w:val="none"/>
                <w:lang w:val="en-US" w:eastAsia="zh-CN"/>
              </w:rPr>
              <w:t>2</w:t>
            </w:r>
          </w:p>
        </w:tc>
        <w:tc>
          <w:tcPr>
            <w:tcW w:w="68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sz w:val="22"/>
                <w:szCs w:val="22"/>
                <w:highlight w:val="none"/>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7"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en-US" w:eastAsia="zh-CN"/>
              </w:rPr>
              <w:t>4.2</w:t>
            </w:r>
          </w:p>
        </w:tc>
        <w:tc>
          <w:tcPr>
            <w:tcW w:w="3641"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投标技术响应与采购需求的符合性评价：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（1）技术响应完全符合采购需求的此项得满分；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（2）“◆”项技术要求存在负偏离的，每项扣2分；一般技术要求存在负偏离的，每项扣1分；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（3）一般商务要求存在负偏离的，每项扣2分；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（4）此项最多得25分，最低得0分。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备注：（1）上述“采购需求”是指本招标文件采购需求中所列的要求；（2）投标人在投标时应当在《商务技术偏离表》中注明对照采购需求进行投标响应，并按照规定提供相关技术材料（如有）。投标文件《商务技术偏离表》响应情况与投标文件中所提供的产品技术材料不一致时，以投标文件中所提供的产品技术材料为准；要求提供证明材料而未提供证明材料的，视为未响应，按负偏离处理。</w:t>
            </w:r>
          </w:p>
        </w:tc>
        <w:tc>
          <w:tcPr>
            <w:tcW w:w="34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25</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sz w:val="22"/>
                <w:szCs w:val="22"/>
                <w:highlight w:val="none"/>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7"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en-US" w:eastAsia="zh-CN"/>
              </w:rPr>
              <w:t>4.3</w:t>
            </w:r>
          </w:p>
        </w:tc>
        <w:tc>
          <w:tcPr>
            <w:tcW w:w="3641"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产品开发构架、组织架构、数据标准的一致性评价：投标人所投产品的开发架构、组织架构、数据标准与学校现有“智慧校园平台”的开发架构（B/S架构）、组织架构、数据标准具有一致性，或能够提供各系统数据对接方案，能够证明一致性或方案详细、合理、有效的得4分，方案较清晰合理的得2分，否则不得分。</w:t>
            </w:r>
          </w:p>
        </w:tc>
        <w:tc>
          <w:tcPr>
            <w:tcW w:w="34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4</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7"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en-US" w:eastAsia="zh-CN"/>
              </w:rPr>
              <w:t>4.4</w:t>
            </w:r>
          </w:p>
        </w:tc>
        <w:tc>
          <w:tcPr>
            <w:tcW w:w="3641"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产品功能开发方案评价。投标人基于采购需求，结合自身经验，对本项目建设的建设内容，需包含关键技术、功能设计、保障措施。方案内容完整清晰、合理明确、措施得当的视为满足采购要求。完全满足得4分，部分满足得2分,不满足不得分。</w:t>
            </w:r>
          </w:p>
        </w:tc>
        <w:tc>
          <w:tcPr>
            <w:tcW w:w="34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4</w:t>
            </w:r>
          </w:p>
        </w:tc>
        <w:tc>
          <w:tcPr>
            <w:tcW w:w="6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7"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en-US" w:eastAsia="zh-CN"/>
              </w:rPr>
              <w:t>5</w:t>
            </w:r>
          </w:p>
        </w:tc>
        <w:tc>
          <w:tcPr>
            <w:tcW w:w="4672" w:type="pct"/>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实施方案（10分）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7"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en-US" w:eastAsia="zh-CN"/>
              </w:rPr>
              <w:t>5.1</w:t>
            </w:r>
          </w:p>
        </w:tc>
        <w:tc>
          <w:tcPr>
            <w:tcW w:w="3641"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highlight w:val="none"/>
                <w:lang w:val="en-US" w:eastAsia="zh-CN"/>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项目实施方案：投标时投标人应提出合理的项目整体实施方案</w:t>
            </w:r>
            <w:r>
              <w:rPr>
                <w:rFonts w:hint="eastAsia" w:asciiTheme="minorEastAsia" w:hAnsiTheme="minorEastAsia" w:eastAsiaTheme="minorEastAsia" w:cstheme="minorEastAsia"/>
                <w:b w:val="0"/>
                <w:bCs/>
                <w:i w:val="0"/>
                <w:iCs w:val="0"/>
                <w:strike w:val="0"/>
                <w:color w:val="auto"/>
                <w:kern w:val="2"/>
                <w:sz w:val="22"/>
                <w:szCs w:val="22"/>
                <w:highlight w:val="none"/>
                <w:lang w:val="en-US" w:eastAsia="zh-CN" w:bidi="ar-SA"/>
              </w:rPr>
              <w:t>，对本项目的系统建设方案可以提出优化建议，并</w:t>
            </w: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阐明供货、调试、测试、试运行、验收等实施节点以及各阶段工作内容。方案内容完整、清晰、明确，且具备可行性的视为满足采购要求。完全满足得4分，部分满足得2分,否则不得分。</w:t>
            </w:r>
          </w:p>
        </w:tc>
        <w:tc>
          <w:tcPr>
            <w:tcW w:w="34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4</w:t>
            </w:r>
          </w:p>
        </w:tc>
        <w:tc>
          <w:tcPr>
            <w:tcW w:w="68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sz w:val="22"/>
                <w:szCs w:val="22"/>
                <w:highlight w:val="none"/>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7"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en-US" w:eastAsia="zh-CN"/>
              </w:rPr>
              <w:t>5.2</w:t>
            </w:r>
          </w:p>
        </w:tc>
        <w:tc>
          <w:tcPr>
            <w:tcW w:w="3641"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项目进度安排：根据项目进度需求，结合安装调试、设计开发、功能测试、试运行等合理安排项目实施进度，进度合理可行得2分，部分可行得1分，不可行不得分。</w:t>
            </w:r>
          </w:p>
        </w:tc>
        <w:tc>
          <w:tcPr>
            <w:tcW w:w="34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2</w:t>
            </w:r>
          </w:p>
        </w:tc>
        <w:tc>
          <w:tcPr>
            <w:tcW w:w="68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sz w:val="22"/>
                <w:szCs w:val="22"/>
                <w:highlight w:val="none"/>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7"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en-US" w:eastAsia="zh-CN"/>
              </w:rPr>
              <w:t>5.3</w:t>
            </w:r>
          </w:p>
        </w:tc>
        <w:tc>
          <w:tcPr>
            <w:tcW w:w="3641"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售后服务方案：投标人在投标时提供详细完整的售后服务措施和方案（包括①售后服务措施、②系统质量保证、③系统运维方案、④产品培训方案）。方案内容完整、清晰、明确，且具备可行性的视为满足采购要求。完全满足得4分，部分满足得2分，否则不得分</w:t>
            </w:r>
          </w:p>
        </w:tc>
        <w:tc>
          <w:tcPr>
            <w:tcW w:w="34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4</w:t>
            </w:r>
          </w:p>
        </w:tc>
        <w:tc>
          <w:tcPr>
            <w:tcW w:w="68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sz w:val="22"/>
                <w:szCs w:val="22"/>
                <w:highlight w:val="none"/>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7" w:type="pct"/>
            <w:gridSpan w:val="2"/>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heme="minorEastAsia" w:hAnsiTheme="minorEastAsia" w:eastAsiaTheme="minorEastAsia" w:cstheme="minorEastAsia"/>
                <w:b w:val="0"/>
                <w:bCs/>
                <w:color w:val="auto"/>
                <w:kern w:val="2"/>
                <w:sz w:val="22"/>
                <w:szCs w:val="22"/>
                <w:highlight w:val="none"/>
                <w:vertAlign w:val="baseline"/>
                <w:lang w:val="en-US" w:eastAsia="zh-CN" w:bidi="ar-SA"/>
              </w:rPr>
            </w:pPr>
            <w:r>
              <w:rPr>
                <w:rFonts w:hint="eastAsia" w:asciiTheme="minorEastAsia" w:hAnsiTheme="minorEastAsia" w:eastAsiaTheme="minorEastAsia" w:cstheme="minorEastAsia"/>
                <w:b w:val="0"/>
                <w:bCs/>
                <w:color w:val="auto"/>
                <w:kern w:val="2"/>
                <w:sz w:val="22"/>
                <w:szCs w:val="22"/>
                <w:highlight w:val="none"/>
                <w:vertAlign w:val="baseline"/>
                <w:lang w:val="en-US" w:eastAsia="zh-CN" w:bidi="ar-SA"/>
              </w:rPr>
              <w:t>6</w:t>
            </w:r>
          </w:p>
        </w:tc>
        <w:tc>
          <w:tcPr>
            <w:tcW w:w="3641"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i w:val="0"/>
                <w:iCs w:val="0"/>
                <w:color w:val="auto"/>
                <w:sz w:val="22"/>
                <w:szCs w:val="22"/>
                <w:highlight w:val="none"/>
                <w:lang w:val="en-US" w:eastAsia="zh-CN"/>
              </w:rPr>
            </w:pPr>
            <w:r>
              <w:rPr>
                <w:rFonts w:hint="eastAsia" w:asciiTheme="minorEastAsia" w:hAnsiTheme="minorEastAsia" w:eastAsiaTheme="minorEastAsia" w:cstheme="minorEastAsia"/>
                <w:b w:val="0"/>
                <w:bCs/>
                <w:i w:val="0"/>
                <w:iCs w:val="0"/>
                <w:color w:val="auto"/>
                <w:sz w:val="22"/>
                <w:szCs w:val="22"/>
                <w:highlight w:val="none"/>
                <w:lang w:val="en-US" w:eastAsia="zh-CN"/>
              </w:rPr>
              <w:t>功能演示</w:t>
            </w:r>
          </w:p>
          <w:p>
            <w:pPr>
              <w:keepNext w:val="0"/>
              <w:keepLines w:val="0"/>
              <w:pageBreakBefore w:val="0"/>
              <w:widowControl/>
              <w:kinsoku/>
              <w:wordWrap/>
              <w:overflowPunct/>
              <w:topLinePunct w:val="0"/>
              <w:bidi w:val="0"/>
              <w:adjustRightInd/>
              <w:snapToGrid/>
              <w:spacing w:line="240" w:lineRule="auto"/>
              <w:jc w:val="left"/>
              <w:textAlignment w:val="center"/>
              <w:rPr>
                <w:rFonts w:hint="eastAsia"/>
                <w:color w:val="auto"/>
                <w:highlight w:val="none"/>
                <w:lang w:val="en-US" w:eastAsia="zh-CN"/>
              </w:rPr>
            </w:pPr>
            <w:r>
              <w:rPr>
                <w:rFonts w:hint="eastAsia" w:asciiTheme="minorEastAsia" w:hAnsiTheme="minorEastAsia" w:eastAsiaTheme="minorEastAsia" w:cstheme="minorEastAsia"/>
                <w:b w:val="0"/>
                <w:bCs/>
                <w:i w:val="0"/>
                <w:iCs w:val="0"/>
                <w:color w:val="auto"/>
                <w:sz w:val="22"/>
                <w:szCs w:val="22"/>
                <w:highlight w:val="none"/>
                <w:lang w:val="en-US" w:eastAsia="zh-CN"/>
              </w:rPr>
              <w:t>（要求提供演示视频，不接受图片文字、PPT、原型图等类型的演示。演示时长控制在10分钟内）</w:t>
            </w:r>
          </w:p>
          <w:p>
            <w:pPr>
              <w:keepNext w:val="0"/>
              <w:keepLines w:val="0"/>
              <w:pageBreakBefore w:val="0"/>
              <w:widowControl/>
              <w:kinsoku/>
              <w:wordWrap/>
              <w:overflowPunct/>
              <w:topLinePunct w:val="0"/>
              <w:bidi w:val="0"/>
              <w:adjustRightInd/>
              <w:snapToGrid/>
              <w:spacing w:line="240" w:lineRule="auto"/>
              <w:jc w:val="left"/>
              <w:textAlignment w:val="center"/>
              <w:rPr>
                <w:rFonts w:hint="default"/>
                <w:color w:val="auto"/>
                <w:highlight w:val="none"/>
                <w:lang w:val="en-US" w:eastAsia="zh-CN"/>
              </w:rPr>
            </w:pPr>
            <w:r>
              <w:rPr>
                <w:rFonts w:hint="eastAsia"/>
                <w:color w:val="auto"/>
                <w:highlight w:val="none"/>
                <w:lang w:val="en-US" w:eastAsia="zh-CN"/>
              </w:rPr>
              <w:t>功能演示一：AI美术</w:t>
            </w:r>
          </w:p>
          <w:p>
            <w:pPr>
              <w:pStyle w:val="2"/>
              <w:spacing w:line="240" w:lineRule="auto"/>
              <w:ind w:left="0" w:leftChars="0" w:firstLine="0" w:firstLineChars="0"/>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en-US" w:eastAsia="zh-CN" w:bidi="ar-SA"/>
              </w:rPr>
              <w:t>演示素描-</w:t>
            </w:r>
            <w:r>
              <w:rPr>
                <w:rFonts w:hint="default" w:ascii="Times New Roman" w:hAnsi="Times New Roman" w:eastAsia="宋体" w:cs="Times New Roman"/>
                <w:color w:val="auto"/>
                <w:kern w:val="2"/>
                <w:sz w:val="21"/>
                <w:szCs w:val="24"/>
                <w:highlight w:val="none"/>
                <w:lang w:val="en-US" w:eastAsia="zh-CN" w:bidi="ar-SA"/>
              </w:rPr>
              <w:t>照片写生</w:t>
            </w:r>
            <w:r>
              <w:rPr>
                <w:rFonts w:hint="eastAsia" w:ascii="Times New Roman" w:hAnsi="Times New Roman" w:eastAsia="宋体" w:cs="Times New Roman"/>
                <w:color w:val="auto"/>
                <w:kern w:val="2"/>
                <w:sz w:val="21"/>
                <w:szCs w:val="24"/>
                <w:highlight w:val="none"/>
                <w:lang w:val="en-US" w:eastAsia="zh-CN" w:bidi="ar-SA"/>
              </w:rPr>
              <w:t>功能，AI生成几何体画作，</w:t>
            </w:r>
            <w:r>
              <w:rPr>
                <w:rFonts w:hint="default" w:ascii="Times New Roman" w:hAnsi="Times New Roman" w:eastAsia="宋体" w:cs="Times New Roman"/>
                <w:color w:val="auto"/>
                <w:kern w:val="2"/>
                <w:sz w:val="21"/>
                <w:szCs w:val="24"/>
                <w:highlight w:val="none"/>
                <w:lang w:val="en-US" w:eastAsia="zh-CN" w:bidi="ar-SA"/>
              </w:rPr>
              <w:t>支持根据输入素描类型、画面设置、参考照片、构图方式输出素描作品；（满足得</w:t>
            </w:r>
            <w:r>
              <w:rPr>
                <w:rFonts w:hint="eastAsia" w:ascii="Times New Roman" w:hAnsi="Times New Roman" w:eastAsia="宋体" w:cs="Times New Roman"/>
                <w:color w:val="auto"/>
                <w:kern w:val="2"/>
                <w:sz w:val="21"/>
                <w:szCs w:val="24"/>
                <w:highlight w:val="none"/>
                <w:lang w:val="en-US" w:eastAsia="zh-CN" w:bidi="ar-SA"/>
              </w:rPr>
              <w:t>2</w:t>
            </w:r>
            <w:r>
              <w:rPr>
                <w:rFonts w:hint="default" w:ascii="Times New Roman" w:hAnsi="Times New Roman" w:eastAsia="宋体" w:cs="Times New Roman"/>
                <w:color w:val="auto"/>
                <w:kern w:val="2"/>
                <w:sz w:val="21"/>
                <w:szCs w:val="24"/>
                <w:highlight w:val="none"/>
                <w:lang w:val="en-US" w:eastAsia="zh-CN" w:bidi="ar-SA"/>
              </w:rPr>
              <w:t>分，不展示或未完整满足不得分）</w:t>
            </w:r>
          </w:p>
          <w:p>
            <w:pPr>
              <w:keepNext w:val="0"/>
              <w:keepLines w:val="0"/>
              <w:pageBreakBefore w:val="0"/>
              <w:widowControl/>
              <w:numPr>
                <w:ilvl w:val="0"/>
                <w:numId w:val="0"/>
              </w:numPr>
              <w:kinsoku/>
              <w:wordWrap/>
              <w:overflowPunct/>
              <w:topLinePunct w:val="0"/>
              <w:bidi w:val="0"/>
              <w:adjustRightInd/>
              <w:snapToGrid/>
              <w:spacing w:line="240" w:lineRule="auto"/>
              <w:jc w:val="left"/>
              <w:textAlignment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演示素描-</w:t>
            </w:r>
            <w:r>
              <w:rPr>
                <w:rFonts w:hint="default" w:ascii="Times New Roman" w:hAnsi="Times New Roman" w:eastAsia="宋体" w:cs="Times New Roman"/>
                <w:color w:val="auto"/>
                <w:kern w:val="2"/>
                <w:sz w:val="21"/>
                <w:szCs w:val="24"/>
                <w:highlight w:val="none"/>
                <w:lang w:val="en-US" w:eastAsia="zh-CN" w:bidi="ar-SA"/>
              </w:rPr>
              <w:t>画作优化</w:t>
            </w:r>
            <w:r>
              <w:rPr>
                <w:rFonts w:hint="eastAsia" w:ascii="Times New Roman" w:hAnsi="Times New Roman" w:eastAsia="宋体" w:cs="Times New Roman"/>
                <w:color w:val="auto"/>
                <w:kern w:val="2"/>
                <w:sz w:val="21"/>
                <w:szCs w:val="24"/>
                <w:highlight w:val="none"/>
                <w:lang w:val="en-US" w:eastAsia="zh-CN" w:bidi="ar-SA"/>
              </w:rPr>
              <w:t>功能，AI优化几何体画作，</w:t>
            </w:r>
            <w:r>
              <w:rPr>
                <w:rFonts w:hint="default" w:ascii="Times New Roman" w:hAnsi="Times New Roman" w:eastAsia="宋体" w:cs="Times New Roman"/>
                <w:color w:val="auto"/>
                <w:kern w:val="2"/>
                <w:sz w:val="21"/>
                <w:szCs w:val="24"/>
                <w:highlight w:val="none"/>
                <w:lang w:val="en-US" w:eastAsia="zh-CN" w:bidi="ar-SA"/>
              </w:rPr>
              <w:t>支持根据输入的素描类型、画面设置、画作原图、构图方式输出优化后的素描作品；</w:t>
            </w:r>
            <w:r>
              <w:rPr>
                <w:rFonts w:hint="eastAsia"/>
                <w:color w:val="auto"/>
                <w:highlight w:val="none"/>
                <w:lang w:val="en-US" w:eastAsia="zh-CN"/>
              </w:rPr>
              <w:t>（满足得2分，不展示或未完整满足不得分）</w:t>
            </w:r>
          </w:p>
          <w:p>
            <w:pPr>
              <w:autoSpaceDE/>
              <w:autoSpaceDN/>
              <w:spacing w:line="240" w:lineRule="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功能演示二：</w:t>
            </w:r>
            <w:r>
              <w:rPr>
                <w:rFonts w:hint="eastAsia" w:ascii="Times New Roman" w:hAnsi="Times New Roman" w:eastAsia="宋体" w:cs="Times New Roman"/>
                <w:color w:val="auto"/>
                <w:highlight w:val="none"/>
                <w:lang w:val="en-US" w:eastAsia="zh-CN"/>
              </w:rPr>
              <w:t>AI教学</w:t>
            </w:r>
          </w:p>
          <w:p>
            <w:pPr>
              <w:keepNext w:val="0"/>
              <w:keepLines w:val="0"/>
              <w:pageBreakBefore w:val="0"/>
              <w:widowControl/>
              <w:numPr>
                <w:ilvl w:val="0"/>
                <w:numId w:val="11"/>
              </w:numPr>
              <w:kinsoku/>
              <w:wordWrap/>
              <w:overflowPunct/>
              <w:topLinePunct w:val="0"/>
              <w:bidi w:val="0"/>
              <w:adjustRightInd/>
              <w:snapToGrid/>
              <w:spacing w:line="240" w:lineRule="auto"/>
              <w:jc w:val="left"/>
              <w:textAlignment w:val="center"/>
              <w:rPr>
                <w:rFonts w:hint="default"/>
                <w:color w:val="auto"/>
                <w:highlight w:val="none"/>
                <w:lang w:val="en-US" w:eastAsia="zh-CN"/>
              </w:rPr>
            </w:pPr>
            <w:r>
              <w:rPr>
                <w:rFonts w:hint="eastAsia"/>
                <w:color w:val="auto"/>
                <w:highlight w:val="none"/>
                <w:lang w:val="en-US" w:eastAsia="zh-CN"/>
              </w:rPr>
              <w:t>演示课题报告功能，支持参考填入示例，输入课题名称、学段、立项申请书提纲一键生成立项申请书，按照立项申请书提纲进行输出，包含选题依据、研究框架、思路方法、创新之处、预期成果、参考文献。（满足得2分，不展示或未完整满足不得分）</w:t>
            </w:r>
          </w:p>
          <w:p>
            <w:pPr>
              <w:keepNext w:val="0"/>
              <w:keepLines w:val="0"/>
              <w:pageBreakBefore w:val="0"/>
              <w:widowControl/>
              <w:numPr>
                <w:ilvl w:val="0"/>
                <w:numId w:val="11"/>
              </w:numPr>
              <w:kinsoku/>
              <w:wordWrap/>
              <w:overflowPunct/>
              <w:topLinePunct w:val="0"/>
              <w:bidi w:val="0"/>
              <w:adjustRightInd/>
              <w:snapToGrid/>
              <w:spacing w:line="240" w:lineRule="auto"/>
              <w:jc w:val="left"/>
              <w:textAlignment w:val="center"/>
              <w:rPr>
                <w:rFonts w:hint="default"/>
                <w:color w:val="auto"/>
                <w:highlight w:val="none"/>
                <w:lang w:val="en-US" w:eastAsia="zh-CN"/>
              </w:rPr>
            </w:pPr>
            <w:r>
              <w:rPr>
                <w:rFonts w:hint="eastAsia"/>
                <w:color w:val="auto"/>
                <w:highlight w:val="none"/>
                <w:lang w:val="en-US" w:eastAsia="zh-CN"/>
              </w:rPr>
              <w:t>演示课题选题功能，支持参考填入示例，输入学段、研究主题一键生成立项申请书，输出结果包含研究热点、最新研究进展、现有研究的缺陷与不足、未来研究方向。（满足得2分，不展示或未完整满足不得分）</w:t>
            </w:r>
          </w:p>
          <w:p>
            <w:pPr>
              <w:keepNext w:val="0"/>
              <w:keepLines w:val="0"/>
              <w:pageBreakBefore w:val="0"/>
              <w:widowControl/>
              <w:kinsoku/>
              <w:wordWrap/>
              <w:overflowPunct/>
              <w:topLinePunct w:val="0"/>
              <w:bidi w:val="0"/>
              <w:adjustRightInd/>
              <w:snapToGrid/>
              <w:spacing w:line="240" w:lineRule="auto"/>
              <w:jc w:val="left"/>
              <w:textAlignment w:val="center"/>
              <w:rPr>
                <w:rFonts w:hint="eastAsia"/>
                <w:color w:val="auto"/>
                <w:highlight w:val="none"/>
                <w:lang w:val="en-US" w:eastAsia="zh-CN"/>
              </w:rPr>
            </w:pPr>
            <w:r>
              <w:rPr>
                <w:rFonts w:hint="eastAsia"/>
                <w:color w:val="auto"/>
                <w:highlight w:val="none"/>
                <w:lang w:val="en-US" w:eastAsia="zh-CN"/>
              </w:rPr>
              <w:t>功能演示三：AI办事</w:t>
            </w:r>
          </w:p>
          <w:p>
            <w:pPr>
              <w:keepNext w:val="0"/>
              <w:keepLines w:val="0"/>
              <w:pageBreakBefore w:val="0"/>
              <w:widowControl/>
              <w:numPr>
                <w:ilvl w:val="0"/>
                <w:numId w:val="12"/>
              </w:numPr>
              <w:kinsoku/>
              <w:wordWrap/>
              <w:overflowPunct/>
              <w:topLinePunct w:val="0"/>
              <w:bidi w:val="0"/>
              <w:adjustRightInd/>
              <w:snapToGrid/>
              <w:spacing w:line="240" w:lineRule="auto"/>
              <w:jc w:val="left"/>
              <w:textAlignment w:val="center"/>
              <w:rPr>
                <w:rFonts w:hint="eastAsia"/>
                <w:color w:val="auto"/>
                <w:highlight w:val="none"/>
                <w:lang w:val="en-US" w:eastAsia="zh-CN"/>
              </w:rPr>
            </w:pPr>
            <w:r>
              <w:rPr>
                <w:rFonts w:hint="eastAsia"/>
                <w:color w:val="auto"/>
                <w:highlight w:val="none"/>
                <w:lang w:val="en-US" w:eastAsia="zh-CN"/>
              </w:rPr>
              <w:t>演示AI校内通知功能，支持文本输入/文档上传的方式生成校内通知，支持将生成结果表述方式通过快捷指令进行调整，如更委婉、更直接、更简洁，可修改、重新生成、弃用、应用AI生成的校内通知。（满足得2分，不展示或未完整满足不得分）</w:t>
            </w:r>
          </w:p>
          <w:p>
            <w:pPr>
              <w:keepNext w:val="0"/>
              <w:keepLines w:val="0"/>
              <w:pageBreakBefore w:val="0"/>
              <w:widowControl/>
              <w:numPr>
                <w:ilvl w:val="0"/>
                <w:numId w:val="12"/>
              </w:numPr>
              <w:kinsoku/>
              <w:wordWrap/>
              <w:overflowPunct/>
              <w:topLinePunct w:val="0"/>
              <w:bidi w:val="0"/>
              <w:adjustRightInd/>
              <w:snapToGrid/>
              <w:spacing w:line="240" w:lineRule="auto"/>
              <w:jc w:val="left"/>
              <w:textAlignment w:val="center"/>
              <w:rPr>
                <w:rFonts w:hint="eastAsia"/>
                <w:color w:val="auto"/>
                <w:highlight w:val="none"/>
                <w:lang w:val="en-US" w:eastAsia="zh-CN"/>
              </w:rPr>
            </w:pPr>
            <w:r>
              <w:rPr>
                <w:rFonts w:hint="eastAsia"/>
                <w:color w:val="auto"/>
                <w:highlight w:val="none"/>
                <w:lang w:val="en-US" w:eastAsia="zh-CN"/>
              </w:rPr>
              <w:t>演示AI评语功能，支持班主任、任课教师根据学生表现维度（如学生考试成绩、学生德育表现、学生考勤表现等），拉取指定时间范围内的数据，AI自动生成评语，支持将生成结果表述方式通过快捷指令进行调整，如更委婉、更直接、更简洁，可修改、重新生成、弃用、应用AI生成的教师评语。（满足得2分，不展示或未完整满足不得分）</w:t>
            </w:r>
          </w:p>
          <w:p>
            <w:pPr>
              <w:keepNext w:val="0"/>
              <w:keepLines w:val="0"/>
              <w:pageBreakBefore w:val="0"/>
              <w:widowControl/>
              <w:kinsoku/>
              <w:wordWrap/>
              <w:overflowPunct/>
              <w:topLinePunct w:val="0"/>
              <w:bidi w:val="0"/>
              <w:adjustRightInd/>
              <w:snapToGrid/>
              <w:spacing w:line="240" w:lineRule="auto"/>
              <w:jc w:val="left"/>
              <w:textAlignment w:val="center"/>
              <w:rPr>
                <w:rFonts w:hint="eastAsia"/>
                <w:color w:val="auto"/>
                <w:highlight w:val="none"/>
                <w:lang w:val="en-US" w:eastAsia="zh-CN"/>
              </w:rPr>
            </w:pPr>
            <w:r>
              <w:rPr>
                <w:rFonts w:hint="eastAsia"/>
                <w:color w:val="auto"/>
                <w:highlight w:val="none"/>
                <w:lang w:val="en-US" w:eastAsia="zh-CN"/>
              </w:rPr>
              <w:t>功能演示四：AI分析</w:t>
            </w:r>
          </w:p>
          <w:p>
            <w:pPr>
              <w:keepNext w:val="0"/>
              <w:keepLines w:val="0"/>
              <w:pageBreakBefore w:val="0"/>
              <w:widowControl/>
              <w:kinsoku/>
              <w:wordWrap/>
              <w:overflowPunct/>
              <w:topLinePunct w:val="0"/>
              <w:bidi w:val="0"/>
              <w:adjustRightInd/>
              <w:snapToGrid/>
              <w:spacing w:line="240" w:lineRule="auto"/>
              <w:jc w:val="left"/>
              <w:textAlignment w:val="center"/>
              <w:rPr>
                <w:rFonts w:hint="default"/>
                <w:color w:val="auto"/>
                <w:highlight w:val="none"/>
                <w:lang w:val="en-US" w:eastAsia="zh-CN"/>
              </w:rPr>
            </w:pPr>
            <w:r>
              <w:rPr>
                <w:rFonts w:hint="eastAsia"/>
                <w:color w:val="auto"/>
                <w:highlight w:val="none"/>
                <w:lang w:val="en-US" w:eastAsia="zh-CN"/>
              </w:rPr>
              <w:t>演示AI异常行为分析功能，投标人自行准备一个学生行为相关的数据源，并创建一个AI一场行为分析智能体，通过语音/快捷指令发起提问，AI生成数据分析报表及相关建议。（满足得2分，不展示或未完整满足不得分）</w:t>
            </w:r>
          </w:p>
        </w:tc>
        <w:tc>
          <w:tcPr>
            <w:tcW w:w="348" w:type="pct"/>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heme="minorEastAsia" w:hAnsiTheme="minorEastAsia" w:eastAsiaTheme="minorEastAsia" w:cstheme="minorEastAsia"/>
                <w:b w:val="0"/>
                <w:bCs/>
                <w:i w:val="0"/>
                <w:iCs w:val="0"/>
                <w:color w:val="auto"/>
                <w:sz w:val="22"/>
                <w:szCs w:val="22"/>
                <w:highlight w:val="none"/>
                <w:lang w:val="en-US" w:eastAsia="zh-CN"/>
              </w:rPr>
            </w:pPr>
            <w:r>
              <w:rPr>
                <w:rFonts w:hint="eastAsia" w:asciiTheme="minorEastAsia" w:hAnsiTheme="minorEastAsia" w:eastAsiaTheme="minorEastAsia" w:cstheme="minorEastAsia"/>
                <w:b w:val="0"/>
                <w:bCs/>
                <w:i w:val="0"/>
                <w:iCs w:val="0"/>
                <w:color w:val="auto"/>
                <w:sz w:val="22"/>
                <w:szCs w:val="22"/>
                <w:highlight w:val="none"/>
                <w:lang w:val="en-US" w:eastAsia="zh-CN"/>
              </w:rPr>
              <w:t>14</w:t>
            </w:r>
          </w:p>
        </w:tc>
        <w:tc>
          <w:tcPr>
            <w:tcW w:w="683" w:type="pct"/>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b w:val="0"/>
                <w:bCs/>
                <w:i w:val="0"/>
                <w:iCs w:val="0"/>
                <w:color w:val="auto"/>
                <w:sz w:val="22"/>
                <w:szCs w:val="22"/>
                <w:highlight w:val="none"/>
                <w:lang w:val="en-US" w:eastAsia="zh-CN"/>
              </w:rPr>
            </w:pPr>
            <w:r>
              <w:rPr>
                <w:rFonts w:hint="eastAsia" w:asciiTheme="minorEastAsia" w:hAnsiTheme="minorEastAsia" w:eastAsiaTheme="minorEastAsia" w:cstheme="minorEastAsia"/>
                <w:b w:val="0"/>
                <w:bCs/>
                <w:i w:val="0"/>
                <w:iCs w:val="0"/>
                <w:color w:val="auto"/>
                <w:sz w:val="22"/>
                <w:szCs w:val="22"/>
                <w:highlight w:val="none"/>
                <w:lang w:val="en-US" w:eastAsia="zh-CN"/>
              </w:rPr>
              <w:t>客观</w:t>
            </w:r>
          </w:p>
        </w:tc>
      </w:tr>
    </w:tbl>
    <w:p>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一、评标方法</w:t>
      </w:r>
    </w:p>
    <w:p>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cs="宋体"/>
          <w:color w:val="auto"/>
          <w:kern w:val="0"/>
          <w:sz w:val="24"/>
          <w:highlight w:val="none"/>
        </w:rPr>
      </w:pPr>
      <w:r>
        <w:rPr>
          <w:rFonts w:hint="eastAsia" w:ascii="宋体" w:hAnsi="宋体" w:cs="宋体"/>
          <w:b/>
          <w:color w:val="auto"/>
          <w:sz w:val="24"/>
          <w:highlight w:val="none"/>
        </w:rPr>
        <w:t>二、评标标准</w:t>
      </w:r>
    </w:p>
    <w:p>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sz w:val="24"/>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三、评标程序</w:t>
      </w:r>
    </w:p>
    <w:p>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28"/>
        <w:spacing w:before="0"/>
        <w:ind w:firstLine="508" w:firstLineChars="212"/>
        <w:rPr>
          <w:rFonts w:hint="eastAsia" w:ascii="宋体" w:hAnsi="宋体" w:cs="宋体"/>
          <w:color w:val="auto"/>
          <w:kern w:val="0"/>
          <w:szCs w:val="24"/>
          <w:highlight w:val="none"/>
        </w:rPr>
      </w:pPr>
      <w:r>
        <w:rPr>
          <w:rFonts w:hint="eastAsia" w:ascii="宋体" w:hAnsi="宋体" w:cs="宋体"/>
          <w:color w:val="auto"/>
          <w:kern w:val="0"/>
          <w:szCs w:val="24"/>
          <w:highlight w:val="none"/>
        </w:rPr>
        <w:t>3.4.1投标文件报价出现前后不一致的，按照下列规定修正：</w:t>
      </w:r>
    </w:p>
    <w:p>
      <w:pPr>
        <w:pStyle w:val="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3.4.5对于未预留份额专门面向中小企业的采购服务项目，以及预留份额采购服务项目中的非预留部分标项，对小型和微型企业的投标报价给予10%</w:t>
      </w:r>
      <w:r>
        <w:rPr>
          <w:rFonts w:hint="eastAsia" w:asciiTheme="minorEastAsia" w:hAnsiTheme="minorEastAsia" w:eastAsiaTheme="minorEastAsia" w:cstheme="minorEastAsia"/>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采购服务项目，对于联合协议或者分包意向协议约定小微企业的合同份额占到合同总金额30%以上的，对联合体或者大中型企业的报价给予4%</w:t>
      </w:r>
      <w:r>
        <w:rPr>
          <w:rFonts w:hint="eastAsia" w:asciiTheme="minorEastAsia" w:hAnsiTheme="minorEastAsia" w:eastAsiaTheme="minorEastAsia" w:cstheme="minorEastAsia"/>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b w:val="0"/>
          <w:bCs/>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供应商推荐资格；评审得分相同的，采取随机抽取方式确定，其他同品牌投标人不作为中标候选人。</w:t>
      </w:r>
    </w:p>
    <w:p>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cs="宋体"/>
          <w:b/>
          <w:color w:val="auto"/>
          <w:sz w:val="24"/>
          <w:highlight w:val="none"/>
        </w:rPr>
      </w:pPr>
      <w:r>
        <w:rPr>
          <w:rFonts w:hint="eastAsia" w:ascii="宋体" w:hAnsi="宋体" w:cs="宋体"/>
          <w:b/>
          <w:color w:val="auto"/>
          <w:sz w:val="24"/>
          <w:highlight w:val="none"/>
        </w:rPr>
        <w:t>四、评标中的其他事项</w:t>
      </w:r>
    </w:p>
    <w:p>
      <w:pPr>
        <w:pStyle w:val="28"/>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hint="eastAsia" w:cs="宋体"/>
          <w:color w:val="auto"/>
          <w:highlight w:val="none"/>
        </w:rPr>
      </w:pPr>
      <w:r>
        <w:rPr>
          <w:rFonts w:hint="eastAsia" w:cs="宋体"/>
          <w:b/>
          <w:color w:val="auto"/>
          <w:kern w:val="0"/>
          <w:highlight w:val="none"/>
        </w:rPr>
        <w:t>4.2投标无效。</w:t>
      </w:r>
      <w:r>
        <w:rPr>
          <w:rFonts w:hint="eastAsia" w:cs="宋体"/>
          <w:color w:val="auto"/>
          <w:highlight w:val="none"/>
        </w:rPr>
        <w:t>有下列情形之一的，投标无效：</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4.2.3投标文件含有采购人不能接受的附加条件的；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4.2.4投标文件中承诺的投标有效期少于招标文件中载明的投标有效期的；</w:t>
      </w:r>
    </w:p>
    <w:p>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4.2.5投标文件出现不是唯一的、有选择性投标报价的；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4.2.6投标报价超过招标文件中规定的预算金额或者最高限价的；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4.2.8投标人对根据修正原则修正后的报价不确认的；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4.2.9投标人提供虚假材料投标的；</w:t>
      </w:r>
    </w:p>
    <w:p>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4.2.10投标人有恶意串通、妨碍其他投标人的竞争行为、损害采购人或者其他投标人的合法权益情形的；</w:t>
      </w:r>
    </w:p>
    <w:p>
      <w:pPr>
        <w:spacing w:line="360" w:lineRule="auto"/>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4.2.11</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12</w:t>
      </w:r>
      <w:r>
        <w:rPr>
          <w:rFonts w:hint="eastAsia" w:ascii="宋体" w:hAnsi="宋体" w:cs="宋体"/>
          <w:color w:val="auto"/>
          <w:kern w:val="0"/>
          <w:sz w:val="24"/>
          <w:highlight w:val="none"/>
        </w:rPr>
        <w:t>投标人仅提交备份投标文件，未在电子交易平台传输递交投标文件的，投标无效；</w:t>
      </w:r>
    </w:p>
    <w:p>
      <w:pPr>
        <w:pStyle w:val="4"/>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w:t>
      </w:r>
      <w:r>
        <w:rPr>
          <w:rFonts w:hint="eastAsia" w:ascii="宋体" w:hAnsi="宋体" w:eastAsia="宋体" w:cs="宋体"/>
          <w:b w:val="0"/>
          <w:bCs w:val="0"/>
          <w:color w:val="auto"/>
          <w:kern w:val="0"/>
          <w:sz w:val="24"/>
          <w:szCs w:val="24"/>
          <w:highlight w:val="none"/>
          <w:lang w:val="en-US" w:eastAsia="zh-CN"/>
        </w:rPr>
        <w:t>13</w:t>
      </w:r>
      <w:r>
        <w:rPr>
          <w:rFonts w:hint="eastAsia" w:ascii="宋体" w:hAnsi="宋体" w:eastAsia="宋体" w:cs="宋体"/>
          <w:b w:val="0"/>
          <w:bCs w:val="0"/>
          <w:color w:val="auto"/>
          <w:kern w:val="0"/>
          <w:sz w:val="24"/>
          <w:szCs w:val="24"/>
          <w:highlight w:val="none"/>
          <w:lang w:val="en-US"/>
        </w:rPr>
        <w:t>投标人未提供样品或提供的样品不满足采购需求实质性条件的，投标无效；</w:t>
      </w:r>
    </w:p>
    <w:p>
      <w:pPr>
        <w:pStyle w:val="4"/>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w:t>
      </w:r>
      <w:r>
        <w:rPr>
          <w:rFonts w:hint="eastAsia" w:ascii="宋体" w:hAnsi="宋体" w:eastAsia="宋体" w:cs="宋体"/>
          <w:b w:val="0"/>
          <w:bCs w:val="0"/>
          <w:color w:val="auto"/>
          <w:kern w:val="0"/>
          <w:sz w:val="24"/>
          <w:szCs w:val="24"/>
          <w:highlight w:val="none"/>
          <w:lang w:val="en-US" w:eastAsia="zh-CN"/>
        </w:rPr>
        <w:t>14</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pPr>
        <w:pStyle w:val="4"/>
        <w:ind w:left="0" w:leftChars="0" w:firstLine="420" w:firstLineChars="175"/>
        <w:jc w:val="both"/>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4.2.</w:t>
      </w:r>
      <w:r>
        <w:rPr>
          <w:rFonts w:hint="eastAsia" w:ascii="宋体" w:hAnsi="宋体" w:eastAsia="宋体" w:cs="宋体"/>
          <w:b w:val="0"/>
          <w:bCs w:val="0"/>
          <w:color w:val="auto"/>
          <w:kern w:val="0"/>
          <w:sz w:val="24"/>
          <w:highlight w:val="none"/>
          <w:lang w:val="en-US" w:eastAsia="zh-CN"/>
        </w:rPr>
        <w:t>15</w:t>
      </w:r>
      <w:r>
        <w:rPr>
          <w:rFonts w:hint="eastAsia" w:ascii="宋体" w:hAnsi="宋体" w:eastAsia="宋体" w:cs="宋体"/>
          <w:b w:val="0"/>
          <w:bCs w:val="0"/>
          <w:color w:val="auto"/>
          <w:kern w:val="0"/>
          <w:sz w:val="24"/>
          <w:highlight w:val="none"/>
        </w:rPr>
        <w:t>法律、法规、规章（适用本市的）及省级以上规范性文件（适用本市的）规定的其他无效情形。</w:t>
      </w:r>
    </w:p>
    <w:p>
      <w:pPr>
        <w:pStyle w:val="2"/>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pPr>
        <w:pStyle w:val="2"/>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pPr>
        <w:pStyle w:val="2"/>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pPr>
        <w:pStyle w:val="2"/>
        <w:snapToGrid w:val="0"/>
        <w:spacing w:line="360" w:lineRule="auto"/>
        <w:rPr>
          <w:rFonts w:hint="eastAsia" w:cs="宋体"/>
          <w:color w:val="auto"/>
          <w:highlight w:val="none"/>
        </w:rPr>
      </w:pPr>
      <w:r>
        <w:rPr>
          <w:rFonts w:hint="eastAsia" w:cs="宋体"/>
          <w:color w:val="auto"/>
          <w:highlight w:val="none"/>
        </w:rPr>
        <w:t>5.4因重大变故，采购任务取消的。</w:t>
      </w:r>
    </w:p>
    <w:p>
      <w:pPr>
        <w:pStyle w:val="2"/>
        <w:snapToGrid w:val="0"/>
        <w:spacing w:line="360" w:lineRule="auto"/>
        <w:rPr>
          <w:rFonts w:hint="eastAsia"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
        <w:snapToGrid w:val="0"/>
        <w:spacing w:line="360" w:lineRule="auto"/>
        <w:rPr>
          <w:rFonts w:hint="eastAsia" w:cs="宋体"/>
          <w:color w:val="auto"/>
          <w:highlight w:val="none"/>
        </w:rPr>
      </w:pPr>
      <w:r>
        <w:rPr>
          <w:rFonts w:hint="eastAsia" w:cs="宋体"/>
          <w:color w:val="auto"/>
          <w:highlight w:val="none"/>
        </w:rPr>
        <w:t>7.1未确定中标供应商的，终止本次采购活动，重新开展采购活动。</w:t>
      </w:r>
    </w:p>
    <w:p>
      <w:pPr>
        <w:pStyle w:val="2"/>
        <w:snapToGrid w:val="0"/>
        <w:spacing w:line="360" w:lineRule="auto"/>
        <w:rPr>
          <w:rFonts w:hint="eastAsia" w:cs="宋体"/>
          <w:color w:val="auto"/>
          <w:highlight w:val="none"/>
        </w:rPr>
      </w:pPr>
      <w:r>
        <w:rPr>
          <w:rFonts w:hint="eastAsia" w:cs="宋体"/>
          <w:color w:val="auto"/>
          <w:highlight w:val="none"/>
        </w:rPr>
        <w:t>7.2已确定中标供应商但尚未签订采购合同的，中标结果无效，从合格的中标候选人中另行确定中标供应商；没有合格的中标候选人的，重新开展采购活动。</w:t>
      </w:r>
    </w:p>
    <w:p>
      <w:pPr>
        <w:pStyle w:val="2"/>
        <w:snapToGrid w:val="0"/>
        <w:spacing w:line="360" w:lineRule="auto"/>
        <w:rPr>
          <w:rFonts w:hint="eastAsia" w:cs="宋体"/>
          <w:color w:val="auto"/>
          <w:highlight w:val="none"/>
        </w:rPr>
      </w:pPr>
      <w:r>
        <w:rPr>
          <w:rFonts w:hint="eastAsia" w:cs="宋体"/>
          <w:color w:val="auto"/>
          <w:highlight w:val="none"/>
        </w:rPr>
        <w:t>7.3采购合同已签订但尚未履行的，撤销合同，从合格的中标候选人中另行确定中标供应商；没有合格的中标候选人的，重新开展采购活动。</w:t>
      </w:r>
    </w:p>
    <w:p>
      <w:pPr>
        <w:pStyle w:val="2"/>
        <w:snapToGrid w:val="0"/>
        <w:spacing w:line="360" w:lineRule="auto"/>
        <w:rPr>
          <w:rFonts w:hint="eastAsia" w:cs="宋体"/>
          <w:color w:val="auto"/>
          <w:highlight w:val="none"/>
        </w:rPr>
      </w:pPr>
      <w:r>
        <w:rPr>
          <w:rFonts w:hint="eastAsia" w:cs="宋体"/>
          <w:color w:val="auto"/>
          <w:highlight w:val="none"/>
        </w:rPr>
        <w:t>7.4采购合同已经履行，给采购人、供应商造成损失的，由责任人承担赔偿责任。</w:t>
      </w:r>
    </w:p>
    <w:p>
      <w:pPr>
        <w:pStyle w:val="2"/>
        <w:snapToGrid w:val="0"/>
        <w:spacing w:line="360" w:lineRule="auto"/>
        <w:rPr>
          <w:rFonts w:hint="eastAsia" w:cs="宋体"/>
          <w:b/>
          <w:color w:val="auto"/>
          <w:sz w:val="36"/>
          <w:szCs w:val="36"/>
          <w:highlight w:val="none"/>
        </w:rPr>
      </w:pPr>
      <w:r>
        <w:rPr>
          <w:rFonts w:hint="eastAsia" w:cs="宋体"/>
          <w:color w:val="auto"/>
          <w:highlight w:val="none"/>
        </w:rPr>
        <w:t>7.5采购当事人有其他违反政府采购法或者政府采购法实施条例等法律法规规定的行为，经改正后仍然影响或者可能影响中标结果或者依法被认定为中标无效的，依照7.1-7.4规定处理。</w:t>
      </w:r>
      <w:bookmarkEnd w:id="16"/>
      <w:bookmarkStart w:id="382" w:name="第五部分"/>
      <w:bookmarkStart w:id="383" w:name="_Toc86217003"/>
      <w:r>
        <w:rPr>
          <w:rFonts w:hint="eastAsia" w:cs="宋体"/>
          <w:b/>
          <w:color w:val="auto"/>
          <w:highlight w:val="none"/>
        </w:rPr>
        <w:t xml:space="preserve">  </w:t>
      </w:r>
      <w:r>
        <w:rPr>
          <w:rFonts w:hint="eastAsia" w:cs="宋体"/>
          <w:b/>
          <w:color w:val="auto"/>
          <w:sz w:val="36"/>
          <w:szCs w:val="36"/>
          <w:highlight w:val="none"/>
        </w:rPr>
        <w:br w:type="page"/>
      </w:r>
    </w:p>
    <w:p>
      <w:p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hint="eastAsia" w:ascii="宋体" w:hAnsi="宋体" w:cs="宋体"/>
          <w:color w:val="auto"/>
          <w:sz w:val="24"/>
          <w:highlight w:val="none"/>
        </w:rPr>
      </w:pPr>
    </w:p>
    <w:p>
      <w:pPr>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HQZ-2025-</w:t>
      </w:r>
      <w:r>
        <w:rPr>
          <w:rFonts w:hint="eastAsia" w:ascii="宋体" w:hAnsi="宋体" w:cs="宋体"/>
          <w:color w:val="auto"/>
          <w:sz w:val="24"/>
          <w:highlight w:val="none"/>
          <w:u w:val="single"/>
          <w:lang w:val="en-US" w:eastAsia="zh-CN"/>
        </w:rPr>
        <w:t>005</w:t>
      </w:r>
      <w:r>
        <w:rPr>
          <w:rFonts w:hint="eastAsia" w:ascii="宋体" w:hAnsi="宋体" w:cs="宋体"/>
          <w:color w:val="auto"/>
          <w:sz w:val="24"/>
          <w:highlight w:val="none"/>
          <w:u w:val="single"/>
        </w:rPr>
        <w:t xml:space="preserve"> </w:t>
      </w:r>
    </w:p>
    <w:p>
      <w:pPr>
        <w:rPr>
          <w:rFonts w:hint="eastAsia" w:ascii="宋体" w:hAnsi="宋体" w:cs="宋体"/>
          <w:color w:val="auto"/>
          <w:sz w:val="24"/>
          <w:highlight w:val="none"/>
        </w:rPr>
      </w:pPr>
    </w:p>
    <w:p>
      <w:pPr>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spacing w:line="360" w:lineRule="auto"/>
        <w:ind w:left="-420" w:leftChars="-200" w:right="-420" w:rightChars="-200" w:firstLine="480" w:firstLineChars="200"/>
        <w:jc w:val="center"/>
        <w:outlineLvl w:val="0"/>
        <w:rPr>
          <w:rFonts w:hint="eastAsia" w:ascii="宋体" w:hAnsi="宋体" w:cs="宋体"/>
          <w:color w:val="auto"/>
          <w:sz w:val="24"/>
          <w:highlight w:val="none"/>
        </w:rPr>
      </w:pPr>
    </w:p>
    <w:p>
      <w:pPr>
        <w:pStyle w:val="24"/>
        <w:rPr>
          <w:rFonts w:hint="eastAsia"/>
          <w:color w:val="auto"/>
          <w:highlight w:val="none"/>
        </w:rPr>
      </w:pPr>
    </w:p>
    <w:p>
      <w:pPr>
        <w:spacing w:line="480" w:lineRule="auto"/>
        <w:jc w:val="center"/>
        <w:rPr>
          <w:rFonts w:hint="eastAsia" w:ascii="宋体" w:hAnsi="宋体"/>
          <w:b/>
          <w:color w:val="auto"/>
          <w:sz w:val="24"/>
          <w:highlight w:val="none"/>
        </w:rPr>
      </w:pPr>
    </w:p>
    <w:p>
      <w:pPr>
        <w:spacing w:line="480" w:lineRule="auto"/>
        <w:jc w:val="center"/>
        <w:rPr>
          <w:rFonts w:hint="eastAsia" w:ascii="宋体" w:hAnsi="宋体"/>
          <w:b/>
          <w:color w:val="auto"/>
          <w:sz w:val="36"/>
          <w:highlight w:val="none"/>
        </w:rPr>
      </w:pPr>
      <w:r>
        <w:rPr>
          <w:rFonts w:hint="eastAsia" w:ascii="宋体" w:hAnsi="宋体"/>
          <w:b/>
          <w:color w:val="auto"/>
          <w:sz w:val="36"/>
          <w:highlight w:val="none"/>
        </w:rPr>
        <w:t>采购合同参考范本</w:t>
      </w:r>
    </w:p>
    <w:p>
      <w:pPr>
        <w:spacing w:line="480" w:lineRule="auto"/>
        <w:jc w:val="center"/>
        <w:rPr>
          <w:rFonts w:hint="eastAsia" w:ascii="宋体" w:hAnsi="宋体"/>
          <w:b/>
          <w:color w:val="auto"/>
          <w:sz w:val="36"/>
          <w:highlight w:val="none"/>
        </w:rPr>
      </w:pPr>
      <w:r>
        <w:rPr>
          <w:rFonts w:hint="eastAsia" w:ascii="宋体" w:hAnsi="宋体"/>
          <w:b/>
          <w:color w:val="auto"/>
          <w:sz w:val="36"/>
          <w:highlight w:val="none"/>
        </w:rPr>
        <w:t>（货物类）</w:t>
      </w:r>
    </w:p>
    <w:p>
      <w:pPr>
        <w:pStyle w:val="32"/>
        <w:ind w:left="0" w:leftChars="0" w:firstLine="0" w:firstLineChars="0"/>
        <w:jc w:val="center"/>
        <w:rPr>
          <w:rFonts w:hint="eastAsia" w:ascii="宋体" w:hAnsi="宋体"/>
          <w:b/>
          <w:color w:val="auto"/>
          <w:highlight w:val="none"/>
        </w:rPr>
      </w:pPr>
      <w:r>
        <w:rPr>
          <w:rFonts w:hint="eastAsia" w:ascii="宋体" w:hAnsi="宋体"/>
          <w:b/>
          <w:color w:val="auto"/>
          <w:highlight w:val="none"/>
        </w:rPr>
        <w:t>第一部分 合同书</w:t>
      </w:r>
    </w:p>
    <w:p>
      <w:pPr>
        <w:spacing w:before="120" w:line="22" w:lineRule="atLeast"/>
        <w:rPr>
          <w:rFonts w:hint="eastAsia" w:ascii="宋体" w:hAnsi="宋体"/>
          <w:color w:val="auto"/>
          <w:sz w:val="24"/>
          <w:highlight w:val="none"/>
        </w:rPr>
      </w:pPr>
    </w:p>
    <w:p>
      <w:pPr>
        <w:pStyle w:val="24"/>
        <w:ind w:firstLine="480"/>
        <w:rPr>
          <w:rFonts w:hint="eastAsia" w:ascii="宋体" w:hAnsi="宋体"/>
          <w:color w:val="auto"/>
          <w:sz w:val="24"/>
          <w:highlight w:val="none"/>
        </w:rPr>
      </w:pPr>
    </w:p>
    <w:p>
      <w:pPr>
        <w:pStyle w:val="24"/>
        <w:ind w:firstLine="480"/>
        <w:rPr>
          <w:rFonts w:hint="eastAsia" w:ascii="宋体" w:hAnsi="宋体"/>
          <w:color w:val="auto"/>
          <w:sz w:val="24"/>
          <w:highlight w:val="none"/>
        </w:rPr>
      </w:pPr>
    </w:p>
    <w:p>
      <w:pPr>
        <w:pStyle w:val="4"/>
        <w:rPr>
          <w:rFonts w:hint="eastAsia"/>
          <w:color w:val="auto"/>
          <w:highlight w:val="none"/>
        </w:rPr>
      </w:pPr>
    </w:p>
    <w:p>
      <w:pPr>
        <w:spacing w:before="120" w:line="22" w:lineRule="atLeast"/>
        <w:ind w:left="960"/>
        <w:rPr>
          <w:rFonts w:hint="eastAsia"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p>
    <w:p>
      <w:pPr>
        <w:pStyle w:val="33"/>
        <w:spacing w:before="120" w:line="22" w:lineRule="atLeast"/>
        <w:rPr>
          <w:rFonts w:hint="eastAsia" w:ascii="宋体" w:hAnsi="宋体" w:eastAsia="宋体"/>
          <w:color w:val="auto"/>
          <w:highlight w:val="none"/>
        </w:rPr>
      </w:pPr>
    </w:p>
    <w:p>
      <w:pPr>
        <w:pStyle w:val="33"/>
        <w:spacing w:before="120" w:line="22" w:lineRule="atLeast"/>
        <w:rPr>
          <w:rFonts w:hint="eastAsia" w:ascii="宋体" w:hAnsi="宋体" w:eastAsia="宋体"/>
          <w:color w:val="auto"/>
          <w:highlight w:val="none"/>
        </w:rPr>
      </w:pPr>
    </w:p>
    <w:p>
      <w:pPr>
        <w:rPr>
          <w:rFonts w:hint="eastAsia" w:ascii="宋体" w:hAnsi="宋体"/>
          <w:color w:val="auto"/>
          <w:sz w:val="24"/>
          <w:highlight w:val="none"/>
        </w:rPr>
      </w:pPr>
    </w:p>
    <w:p>
      <w:pPr>
        <w:spacing w:before="120" w:line="22" w:lineRule="atLeast"/>
        <w:ind w:left="960"/>
        <w:rPr>
          <w:rFonts w:hint="eastAsia" w:ascii="宋体" w:hAnsi="宋体"/>
          <w:color w:val="auto"/>
          <w:sz w:val="24"/>
          <w:highlight w:val="none"/>
          <w:u w:val="single"/>
        </w:rPr>
      </w:pPr>
      <w:r>
        <w:rPr>
          <w:rFonts w:hint="eastAsia" w:ascii="宋体" w:hAnsi="宋体"/>
          <w:color w:val="auto"/>
          <w:sz w:val="24"/>
          <w:highlight w:val="none"/>
        </w:rPr>
        <w:t>甲方：</w:t>
      </w:r>
      <w:r>
        <w:rPr>
          <w:rFonts w:hint="eastAsia" w:ascii="宋体" w:hAnsi="宋体"/>
          <w:color w:val="auto"/>
          <w:sz w:val="24"/>
          <w:highlight w:val="none"/>
          <w:u w:val="single"/>
        </w:rPr>
        <w:t xml:space="preserve">                                       </w:t>
      </w:r>
    </w:p>
    <w:p>
      <w:pPr>
        <w:spacing w:before="120" w:line="22" w:lineRule="atLeast"/>
        <w:rPr>
          <w:rFonts w:hint="eastAsia" w:ascii="宋体" w:hAnsi="宋体"/>
          <w:color w:val="auto"/>
          <w:sz w:val="24"/>
          <w:highlight w:val="none"/>
        </w:rPr>
      </w:pPr>
    </w:p>
    <w:p>
      <w:pPr>
        <w:spacing w:before="120" w:line="22" w:lineRule="atLeast"/>
        <w:ind w:left="960"/>
        <w:rPr>
          <w:rFonts w:hint="eastAsia" w:ascii="宋体" w:hAnsi="宋体"/>
          <w:color w:val="auto"/>
          <w:sz w:val="24"/>
          <w:highlight w:val="none"/>
          <w:u w:val="single"/>
        </w:rPr>
      </w:pPr>
      <w:r>
        <w:rPr>
          <w:rFonts w:hint="eastAsia" w:ascii="宋体" w:hAnsi="宋体"/>
          <w:color w:val="auto"/>
          <w:sz w:val="24"/>
          <w:highlight w:val="none"/>
        </w:rPr>
        <w:t>乙方：</w:t>
      </w:r>
      <w:r>
        <w:rPr>
          <w:rFonts w:hint="eastAsia" w:ascii="宋体" w:hAnsi="宋体"/>
          <w:color w:val="auto"/>
          <w:sz w:val="24"/>
          <w:highlight w:val="none"/>
          <w:u w:val="single"/>
        </w:rPr>
        <w:t xml:space="preserve">                                       </w:t>
      </w:r>
    </w:p>
    <w:p>
      <w:pPr>
        <w:spacing w:before="120" w:line="22" w:lineRule="atLeast"/>
        <w:rPr>
          <w:rFonts w:hint="eastAsia" w:ascii="宋体" w:hAnsi="宋体"/>
          <w:color w:val="auto"/>
          <w:sz w:val="24"/>
          <w:highlight w:val="none"/>
        </w:rPr>
      </w:pPr>
    </w:p>
    <w:p>
      <w:pPr>
        <w:spacing w:before="120" w:line="22" w:lineRule="atLeast"/>
        <w:ind w:firstLine="960" w:firstLineChars="400"/>
        <w:rPr>
          <w:rFonts w:hint="eastAsia" w:ascii="宋体" w:hAnsi="宋体"/>
          <w:color w:val="auto"/>
          <w:sz w:val="24"/>
          <w:highlight w:val="none"/>
          <w:u w:val="single"/>
        </w:rPr>
      </w:pPr>
      <w:r>
        <w:rPr>
          <w:rFonts w:hint="eastAsia" w:ascii="宋体" w:hAnsi="宋体"/>
          <w:color w:val="auto"/>
          <w:sz w:val="24"/>
          <w:highlight w:val="none"/>
        </w:rPr>
        <w:t>签订地：</w:t>
      </w:r>
      <w:r>
        <w:rPr>
          <w:rFonts w:hint="eastAsia" w:ascii="宋体" w:hAnsi="宋体"/>
          <w:color w:val="auto"/>
          <w:sz w:val="24"/>
          <w:highlight w:val="none"/>
          <w:u w:val="single"/>
        </w:rPr>
        <w:t xml:space="preserve">                                     </w:t>
      </w:r>
    </w:p>
    <w:p>
      <w:pPr>
        <w:spacing w:before="120" w:line="22" w:lineRule="atLeast"/>
        <w:rPr>
          <w:rFonts w:hint="eastAsia" w:ascii="宋体" w:hAnsi="宋体"/>
          <w:color w:val="auto"/>
          <w:sz w:val="24"/>
          <w:highlight w:val="none"/>
        </w:rPr>
      </w:pPr>
    </w:p>
    <w:p>
      <w:pPr>
        <w:spacing w:before="120" w:line="22" w:lineRule="atLeast"/>
        <w:ind w:firstLine="960" w:firstLineChars="400"/>
        <w:rPr>
          <w:rFonts w:hint="eastAsia" w:ascii="宋体" w:hAnsi="宋体"/>
          <w:color w:val="auto"/>
          <w:sz w:val="24"/>
          <w:highlight w:val="none"/>
          <w:u w:val="single"/>
        </w:rPr>
      </w:pPr>
      <w:r>
        <w:rPr>
          <w:rFonts w:hint="eastAsia" w:ascii="宋体" w:hAnsi="宋体"/>
          <w:color w:val="auto"/>
          <w:sz w:val="24"/>
          <w:highlight w:val="none"/>
        </w:rPr>
        <w:t>签订日期：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widowControl/>
        <w:jc w:val="left"/>
        <w:rPr>
          <w:color w:val="auto"/>
          <w:highlight w:val="none"/>
        </w:rPr>
        <w:sectPr>
          <w:headerReference r:id="rId8" w:type="default"/>
          <w:footerReference r:id="rId9" w:type="default"/>
          <w:pgSz w:w="11907" w:h="16840"/>
          <w:pgMar w:top="1417" w:right="1417" w:bottom="1417" w:left="1417" w:header="851" w:footer="850" w:gutter="0"/>
          <w:pgNumType w:fmt="decimal"/>
          <w:cols w:space="0" w:num="1"/>
        </w:sectPr>
      </w:pPr>
    </w:p>
    <w:p>
      <w:pPr>
        <w:spacing w:line="360" w:lineRule="auto"/>
        <w:ind w:firstLine="480" w:firstLineChars="200"/>
        <w:jc w:val="left"/>
        <w:rPr>
          <w:rFonts w:hint="eastAsia" w:ascii="宋体" w:hAnsi="宋体"/>
          <w:color w:val="auto"/>
          <w:sz w:val="24"/>
          <w:highlight w:val="none"/>
          <w:u w:val="single"/>
        </w:rPr>
      </w:pPr>
    </w:p>
    <w:p>
      <w:pPr>
        <w:spacing w:line="360" w:lineRule="auto"/>
        <w:ind w:firstLine="480" w:firstLineChars="200"/>
        <w:jc w:val="left"/>
        <w:rPr>
          <w:rFonts w:hint="eastAsia" w:ascii="宋体" w:hAnsi="宋体"/>
          <w:color w:val="auto"/>
          <w:sz w:val="24"/>
          <w:highlight w:val="none"/>
        </w:rPr>
      </w:pP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浙江省杭州第七中学</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rPr>
        <w:t>公开招标方式</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浙江省杭州第七中学转塘校区人工智能教育试点二期项目</w:t>
      </w:r>
      <w:r>
        <w:rPr>
          <w:rFonts w:hint="eastAsia" w:ascii="宋体" w:hAnsi="宋体"/>
          <w:color w:val="auto"/>
          <w:sz w:val="24"/>
          <w:highlight w:val="none"/>
          <w:u w:val="single"/>
        </w:rPr>
        <w:t>（项目编号：</w:t>
      </w:r>
      <w:r>
        <w:rPr>
          <w:rFonts w:hint="eastAsia" w:ascii="宋体" w:hAnsi="宋体"/>
          <w:color w:val="auto"/>
          <w:sz w:val="24"/>
          <w:highlight w:val="none"/>
          <w:u w:val="single"/>
          <w:lang w:eastAsia="zh-CN"/>
        </w:rPr>
        <w:t>HQZ-2025-</w:t>
      </w:r>
      <w:r>
        <w:rPr>
          <w:rFonts w:hint="eastAsia" w:ascii="宋体" w:hAnsi="宋体"/>
          <w:color w:val="auto"/>
          <w:sz w:val="24"/>
          <w:highlight w:val="none"/>
          <w:u w:val="single"/>
          <w:lang w:val="en-US" w:eastAsia="zh-CN"/>
        </w:rPr>
        <w:t>005</w:t>
      </w:r>
      <w:r>
        <w:rPr>
          <w:rFonts w:hint="eastAsia" w:ascii="宋体" w:hAnsi="宋体"/>
          <w:color w:val="auto"/>
          <w:sz w:val="24"/>
          <w:highlight w:val="none"/>
          <w:u w:val="single"/>
        </w:rPr>
        <w:t>）</w:t>
      </w:r>
      <w:r>
        <w:rPr>
          <w:rFonts w:hint="eastAsia" w:ascii="宋体" w:hAnsi="宋体"/>
          <w:color w:val="auto"/>
          <w:sz w:val="24"/>
          <w:highlight w:val="none"/>
        </w:rPr>
        <w:t>进行了采购。经</w:t>
      </w:r>
      <w:r>
        <w:rPr>
          <w:rFonts w:ascii="宋体" w:hAnsi="宋体"/>
          <w:color w:val="auto"/>
          <w:sz w:val="24"/>
          <w:highlight w:val="none"/>
          <w:u w:val="single"/>
        </w:rPr>
        <w:t xml:space="preserve"> </w:t>
      </w:r>
      <w:r>
        <w:rPr>
          <w:rFonts w:hint="eastAsia" w:ascii="宋体" w:hAnsi="宋体"/>
          <w:color w:val="auto"/>
          <w:sz w:val="24"/>
          <w:highlight w:val="none"/>
          <w:u w:val="single"/>
        </w:rPr>
        <w:t>评审委员会</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（中标供应商名称） </w:t>
      </w:r>
      <w:r>
        <w:rPr>
          <w:rFonts w:hint="eastAsia" w:ascii="宋体" w:hAnsi="宋体"/>
          <w:color w:val="auto"/>
          <w:sz w:val="24"/>
          <w:highlight w:val="none"/>
        </w:rPr>
        <w:t>为该项目中标供应商。现于中标通知书发出后30日（鼓励有条件的缩短至10个工作日）内，按照采购文件确定的事项签订本合同。</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根据《中华人民共和国民法典》</w:t>
      </w:r>
      <w:r>
        <w:rPr>
          <w:rFonts w:hint="eastAsia"/>
          <w:color w:val="auto"/>
          <w:highlight w:val="none"/>
        </w:rPr>
        <w:t>、</w:t>
      </w:r>
      <w:r>
        <w:rPr>
          <w:rFonts w:hint="eastAsia" w:ascii="宋体" w:hAnsi="宋体"/>
          <w:color w:val="auto"/>
          <w:sz w:val="24"/>
          <w:highlight w:val="none"/>
        </w:rPr>
        <w:t>《中华人民共和国政府采购法》等相关法律法规之规定，按照平等、自愿、公平和诚实信用的原则，经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浙江省杭州第七中学</w:t>
      </w:r>
      <w:r>
        <w:rPr>
          <w:rFonts w:ascii="宋体" w:hAnsi="宋体"/>
          <w:color w:val="auto"/>
          <w:sz w:val="24"/>
          <w:highlight w:val="none"/>
          <w:u w:val="single"/>
        </w:rPr>
        <w:t xml:space="preserve">  </w:t>
      </w:r>
      <w:r>
        <w:rPr>
          <w:rFonts w:ascii="宋体" w:hAnsi="宋体"/>
          <w:color w:val="auto"/>
          <w:sz w:val="24"/>
          <w:highlight w:val="none"/>
        </w:rPr>
        <w:t>(以下简称：甲方)和</w:t>
      </w:r>
      <w:r>
        <w:rPr>
          <w:rFonts w:ascii="宋体" w:hAnsi="宋体"/>
          <w:color w:val="auto"/>
          <w:sz w:val="24"/>
          <w:highlight w:val="none"/>
          <w:u w:val="single"/>
        </w:rPr>
        <w:t xml:space="preserve">   （中标供应商名称）   </w:t>
      </w:r>
      <w:r>
        <w:rPr>
          <w:rFonts w:ascii="宋体" w:hAnsi="宋体"/>
          <w:color w:val="auto"/>
          <w:sz w:val="24"/>
          <w:highlight w:val="none"/>
        </w:rPr>
        <w:t>(以下简称：乙方)协商一致，约定以下合同</w:t>
      </w:r>
      <w:r>
        <w:rPr>
          <w:rFonts w:hint="eastAsia" w:ascii="宋体" w:hAnsi="宋体"/>
          <w:color w:val="auto"/>
          <w:sz w:val="24"/>
          <w:highlight w:val="none"/>
        </w:rPr>
        <w:t>条款，以兹共同遵守、全面履行。</w:t>
      </w:r>
    </w:p>
    <w:p>
      <w:pPr>
        <w:spacing w:line="360" w:lineRule="auto"/>
        <w:ind w:firstLine="482" w:firstLineChars="200"/>
        <w:outlineLvl w:val="0"/>
        <w:rPr>
          <w:rFonts w:hint="eastAsia" w:ascii="宋体" w:hAnsi="宋体"/>
          <w:color w:val="auto"/>
          <w:sz w:val="24"/>
          <w:highlight w:val="none"/>
        </w:rPr>
      </w:pPr>
      <w:bookmarkStart w:id="384" w:name="_Toc20421"/>
      <w:bookmarkStart w:id="385" w:name="_Toc22967"/>
      <w:bookmarkStart w:id="386" w:name="_Toc15367"/>
      <w:bookmarkStart w:id="387" w:name="_Toc19273"/>
      <w:bookmarkStart w:id="388"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84"/>
      <w:bookmarkEnd w:id="385"/>
      <w:bookmarkEnd w:id="386"/>
      <w:bookmarkEnd w:id="387"/>
      <w:bookmarkEnd w:id="388"/>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中标通知书；</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投标文件（含澄清或者说明文件）；</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招标文件（含澄清或者修改文件）；</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360" w:lineRule="auto"/>
        <w:ind w:firstLine="482" w:firstLineChars="200"/>
        <w:outlineLvl w:val="0"/>
        <w:rPr>
          <w:rFonts w:hint="eastAsia" w:ascii="宋体" w:hAnsi="宋体"/>
          <w:b/>
          <w:color w:val="auto"/>
          <w:sz w:val="24"/>
          <w:highlight w:val="none"/>
        </w:rPr>
      </w:pPr>
      <w:bookmarkStart w:id="389" w:name="_Toc6311"/>
      <w:bookmarkStart w:id="390" w:name="_Toc2918"/>
      <w:bookmarkStart w:id="391" w:name="_Toc6773"/>
      <w:bookmarkStart w:id="392" w:name="_Toc18585"/>
      <w:bookmarkStart w:id="393" w:name="_Toc22185"/>
      <w:r>
        <w:rPr>
          <w:rFonts w:ascii="宋体" w:hAnsi="宋体"/>
          <w:b/>
          <w:color w:val="auto"/>
          <w:sz w:val="24"/>
          <w:highlight w:val="none"/>
        </w:rPr>
        <w:t xml:space="preserve">1.2 </w:t>
      </w:r>
      <w:bookmarkEnd w:id="389"/>
      <w:bookmarkEnd w:id="390"/>
      <w:bookmarkEnd w:id="391"/>
      <w:bookmarkEnd w:id="392"/>
      <w:bookmarkEnd w:id="393"/>
      <w:r>
        <w:rPr>
          <w:rFonts w:hint="eastAsia" w:ascii="宋体" w:hAnsi="宋体"/>
          <w:b/>
          <w:color w:val="auto"/>
          <w:sz w:val="24"/>
          <w:highlight w:val="none"/>
        </w:rPr>
        <w:t>货物</w:t>
      </w:r>
    </w:p>
    <w:p>
      <w:pPr>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货物</w:t>
      </w:r>
      <w:r>
        <w:rPr>
          <w:rFonts w:ascii="宋体" w:hAnsi="宋体"/>
          <w:color w:val="auto"/>
          <w:sz w:val="24"/>
          <w:highlight w:val="none"/>
        </w:rPr>
        <w:t>名称：</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货物</w:t>
      </w:r>
      <w:r>
        <w:rPr>
          <w:rFonts w:ascii="宋体" w:hAnsi="宋体"/>
          <w:color w:val="auto"/>
          <w:sz w:val="24"/>
          <w:highlight w:val="none"/>
        </w:rPr>
        <w:t>数量：</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1.2.3 </w:t>
      </w:r>
      <w:r>
        <w:rPr>
          <w:rFonts w:hint="eastAsia" w:ascii="宋体" w:hAnsi="宋体"/>
          <w:color w:val="auto"/>
          <w:sz w:val="24"/>
          <w:highlight w:val="none"/>
        </w:rPr>
        <w:t>货物质量：</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360" w:lineRule="auto"/>
        <w:ind w:firstLine="482" w:firstLineChars="200"/>
        <w:outlineLvl w:val="0"/>
        <w:rPr>
          <w:rFonts w:hint="eastAsia" w:ascii="宋体" w:hAnsi="宋体"/>
          <w:b/>
          <w:color w:val="auto"/>
          <w:sz w:val="24"/>
          <w:highlight w:val="none"/>
        </w:rPr>
      </w:pPr>
      <w:bookmarkStart w:id="394" w:name="_Toc21124"/>
      <w:bookmarkStart w:id="395" w:name="_Toc4929"/>
      <w:bookmarkStart w:id="396" w:name="_Toc1386"/>
      <w:bookmarkStart w:id="397" w:name="_Toc5635"/>
      <w:bookmarkStart w:id="398" w:name="_Toc13918"/>
      <w:r>
        <w:rPr>
          <w:rFonts w:ascii="宋体" w:hAnsi="宋体"/>
          <w:b/>
          <w:color w:val="auto"/>
          <w:sz w:val="24"/>
          <w:highlight w:val="none"/>
        </w:rPr>
        <w:t>1.3 价款</w:t>
      </w:r>
      <w:bookmarkEnd w:id="394"/>
      <w:bookmarkEnd w:id="395"/>
      <w:bookmarkEnd w:id="396"/>
      <w:bookmarkEnd w:id="397"/>
      <w:bookmarkEnd w:id="398"/>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本合同总价为</w:t>
      </w:r>
      <w:r>
        <w:rPr>
          <w:rFonts w:hint="eastAsia" w:ascii="宋体" w:hAnsi="宋体"/>
          <w:color w:val="auto"/>
          <w:sz w:val="24"/>
          <w:highlight w:val="none"/>
        </w:rPr>
        <w:t>：</w:t>
      </w:r>
      <w:r>
        <w:rPr>
          <w:rFonts w:ascii="Arial" w:hAnsi="Arial" w:cs="Arial"/>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分项价格：</w:t>
      </w:r>
    </w:p>
    <w:tbl>
      <w:tblPr>
        <w:tblStyle w:val="17"/>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2886"/>
        <w:gridCol w:w="1428"/>
        <w:gridCol w:w="1297"/>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4"/>
              <w:spacing w:line="360" w:lineRule="auto"/>
              <w:jc w:val="center"/>
              <w:rPr>
                <w:rFonts w:hint="eastAsia" w:hAnsi="宋体"/>
                <w:color w:val="auto"/>
                <w:sz w:val="24"/>
                <w:highlight w:val="none"/>
              </w:rPr>
            </w:pPr>
            <w:r>
              <w:rPr>
                <w:rFonts w:hAnsi="宋体"/>
                <w:color w:val="auto"/>
                <w:sz w:val="24"/>
                <w:highlight w:val="none"/>
              </w:rPr>
              <w:t>序号</w:t>
            </w:r>
          </w:p>
        </w:tc>
        <w:tc>
          <w:tcPr>
            <w:tcW w:w="28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4"/>
              <w:spacing w:line="360" w:lineRule="auto"/>
              <w:ind w:firstLine="200"/>
              <w:jc w:val="center"/>
              <w:rPr>
                <w:rFonts w:hint="eastAsia" w:hAnsi="宋体"/>
                <w:color w:val="auto"/>
                <w:sz w:val="24"/>
                <w:highlight w:val="none"/>
              </w:rPr>
            </w:pPr>
            <w:r>
              <w:rPr>
                <w:rFonts w:hint="eastAsia" w:hAnsi="宋体"/>
                <w:color w:val="auto"/>
                <w:sz w:val="24"/>
                <w:highlight w:val="none"/>
              </w:rPr>
              <w:t>分项名称</w:t>
            </w:r>
          </w:p>
        </w:tc>
        <w:tc>
          <w:tcPr>
            <w:tcW w:w="14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4"/>
              <w:spacing w:line="360" w:lineRule="auto"/>
              <w:ind w:firstLine="200"/>
              <w:jc w:val="center"/>
              <w:rPr>
                <w:rFonts w:hint="eastAsia" w:hAnsi="宋体"/>
                <w:color w:val="auto"/>
                <w:sz w:val="24"/>
                <w:highlight w:val="none"/>
              </w:rPr>
            </w:pPr>
            <w:r>
              <w:rPr>
                <w:rFonts w:hint="eastAsia" w:hAnsi="宋体"/>
                <w:color w:val="auto"/>
                <w:sz w:val="24"/>
                <w:highlight w:val="none"/>
              </w:rPr>
              <w:t>单价</w:t>
            </w:r>
          </w:p>
        </w:tc>
        <w:tc>
          <w:tcPr>
            <w:tcW w:w="12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4"/>
              <w:spacing w:line="360" w:lineRule="auto"/>
              <w:jc w:val="center"/>
              <w:rPr>
                <w:rFonts w:hint="eastAsia" w:hAnsi="宋体"/>
                <w:color w:val="auto"/>
                <w:sz w:val="24"/>
                <w:highlight w:val="none"/>
              </w:rPr>
            </w:pPr>
            <w:r>
              <w:rPr>
                <w:rFonts w:hint="eastAsia" w:hAnsi="宋体"/>
                <w:color w:val="auto"/>
                <w:sz w:val="24"/>
                <w:highlight w:val="none"/>
              </w:rPr>
              <w:t>数量</w:t>
            </w: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4"/>
              <w:spacing w:line="360" w:lineRule="auto"/>
              <w:jc w:val="center"/>
              <w:rPr>
                <w:rFonts w:hint="eastAsia" w:hAnsi="宋体"/>
                <w:color w:val="auto"/>
                <w:sz w:val="24"/>
                <w:highlight w:val="none"/>
              </w:rPr>
            </w:pPr>
            <w:r>
              <w:rPr>
                <w:rFonts w:hAnsi="宋体"/>
                <w:color w:val="auto"/>
                <w:sz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4"/>
              <w:spacing w:line="360" w:lineRule="auto"/>
              <w:ind w:firstLine="200"/>
              <w:jc w:val="center"/>
              <w:rPr>
                <w:rFonts w:hint="eastAsia" w:hAnsi="宋体"/>
                <w:color w:val="auto"/>
                <w:sz w:val="24"/>
                <w:highlight w:val="none"/>
              </w:rPr>
            </w:pPr>
          </w:p>
        </w:tc>
        <w:tc>
          <w:tcPr>
            <w:tcW w:w="28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4"/>
              <w:spacing w:line="360" w:lineRule="auto"/>
              <w:ind w:firstLine="200"/>
              <w:jc w:val="center"/>
              <w:rPr>
                <w:rFonts w:hint="eastAsia" w:hAnsi="宋体"/>
                <w:color w:val="auto"/>
                <w:sz w:val="24"/>
                <w:highlight w:val="none"/>
              </w:rPr>
            </w:pPr>
          </w:p>
        </w:tc>
        <w:tc>
          <w:tcPr>
            <w:tcW w:w="14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4"/>
              <w:spacing w:line="360" w:lineRule="auto"/>
              <w:ind w:firstLine="200"/>
              <w:jc w:val="center"/>
              <w:rPr>
                <w:rFonts w:hint="eastAsia" w:hAnsi="宋体"/>
                <w:color w:val="auto"/>
                <w:sz w:val="24"/>
                <w:highlight w:val="none"/>
              </w:rPr>
            </w:pPr>
          </w:p>
        </w:tc>
        <w:tc>
          <w:tcPr>
            <w:tcW w:w="12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4"/>
              <w:spacing w:line="360" w:lineRule="auto"/>
              <w:ind w:firstLine="200"/>
              <w:jc w:val="center"/>
              <w:rPr>
                <w:rFonts w:hint="eastAsia" w:hAnsi="宋体"/>
                <w:color w:val="auto"/>
                <w:sz w:val="24"/>
                <w:highlight w:val="none"/>
              </w:rPr>
            </w:pP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4"/>
              <w:spacing w:line="360" w:lineRule="auto"/>
              <w:ind w:firstLine="200"/>
              <w:jc w:val="center"/>
              <w:rPr>
                <w:rFonts w:hint="eastAsia"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4"/>
              <w:spacing w:line="360" w:lineRule="auto"/>
              <w:ind w:firstLine="200"/>
              <w:jc w:val="center"/>
              <w:rPr>
                <w:rFonts w:hint="eastAsia" w:hAnsi="宋体"/>
                <w:color w:val="auto"/>
                <w:sz w:val="24"/>
                <w:highlight w:val="none"/>
              </w:rPr>
            </w:pPr>
          </w:p>
        </w:tc>
        <w:tc>
          <w:tcPr>
            <w:tcW w:w="28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4"/>
              <w:spacing w:line="360" w:lineRule="auto"/>
              <w:ind w:firstLine="200"/>
              <w:jc w:val="center"/>
              <w:rPr>
                <w:rFonts w:hint="eastAsia" w:hAnsi="宋体"/>
                <w:color w:val="auto"/>
                <w:sz w:val="24"/>
                <w:highlight w:val="none"/>
              </w:rPr>
            </w:pPr>
          </w:p>
        </w:tc>
        <w:tc>
          <w:tcPr>
            <w:tcW w:w="14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4"/>
              <w:spacing w:line="360" w:lineRule="auto"/>
              <w:ind w:firstLine="200"/>
              <w:jc w:val="center"/>
              <w:rPr>
                <w:rFonts w:hint="eastAsia" w:hAnsi="宋体"/>
                <w:color w:val="auto"/>
                <w:sz w:val="24"/>
                <w:highlight w:val="none"/>
              </w:rPr>
            </w:pPr>
          </w:p>
        </w:tc>
        <w:tc>
          <w:tcPr>
            <w:tcW w:w="12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4"/>
              <w:spacing w:line="360" w:lineRule="auto"/>
              <w:ind w:firstLine="200"/>
              <w:jc w:val="center"/>
              <w:rPr>
                <w:rFonts w:hint="eastAsia" w:hAnsi="宋体"/>
                <w:color w:val="auto"/>
                <w:sz w:val="24"/>
                <w:highlight w:val="none"/>
              </w:rPr>
            </w:pP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4"/>
              <w:spacing w:line="360" w:lineRule="auto"/>
              <w:ind w:firstLine="200"/>
              <w:jc w:val="center"/>
              <w:rPr>
                <w:rFonts w:hint="eastAsia"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047"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4"/>
              <w:spacing w:line="360" w:lineRule="auto"/>
              <w:ind w:firstLine="200"/>
              <w:jc w:val="left"/>
              <w:rPr>
                <w:rFonts w:hint="eastAsia" w:hAnsi="宋体"/>
                <w:color w:val="auto"/>
                <w:sz w:val="24"/>
                <w:highlight w:val="none"/>
              </w:rPr>
            </w:pPr>
            <w:r>
              <w:rPr>
                <w:rFonts w:hint="eastAsia" w:hAnsi="宋体"/>
                <w:color w:val="auto"/>
                <w:sz w:val="24"/>
                <w:highlight w:val="none"/>
              </w:rPr>
              <w:t>总价（大写）</w:t>
            </w: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4"/>
              <w:spacing w:line="360" w:lineRule="auto"/>
              <w:ind w:firstLine="200"/>
              <w:jc w:val="center"/>
              <w:rPr>
                <w:rFonts w:hint="eastAsia" w:hAnsi="宋体"/>
                <w:color w:val="auto"/>
                <w:sz w:val="24"/>
                <w:highlight w:val="none"/>
              </w:rPr>
            </w:pPr>
          </w:p>
        </w:tc>
      </w:tr>
    </w:tbl>
    <w:p>
      <w:pPr>
        <w:spacing w:line="360" w:lineRule="auto"/>
        <w:ind w:firstLine="482" w:firstLineChars="200"/>
        <w:outlineLvl w:val="0"/>
        <w:rPr>
          <w:rFonts w:hint="eastAsia" w:ascii="宋体" w:hAnsi="宋体"/>
          <w:b/>
          <w:color w:val="auto"/>
          <w:sz w:val="24"/>
          <w:highlight w:val="none"/>
        </w:rPr>
      </w:pPr>
      <w:bookmarkStart w:id="399" w:name="_Toc30158"/>
      <w:bookmarkStart w:id="400" w:name="_Toc26916"/>
      <w:bookmarkStart w:id="401" w:name="_Toc30506"/>
      <w:bookmarkStart w:id="402" w:name="_Toc14993"/>
      <w:bookmarkStart w:id="403" w:name="_Toc3654"/>
    </w:p>
    <w:bookmarkEnd w:id="399"/>
    <w:bookmarkEnd w:id="400"/>
    <w:bookmarkEnd w:id="401"/>
    <w:bookmarkEnd w:id="402"/>
    <w:bookmarkEnd w:id="403"/>
    <w:p>
      <w:pPr>
        <w:pStyle w:val="35"/>
        <w:spacing w:before="0" w:beforeAutospacing="0" w:after="0" w:afterAutospacing="0" w:line="360" w:lineRule="auto"/>
        <w:ind w:firstLine="480"/>
        <w:rPr>
          <w:rFonts w:hint="eastAsia"/>
          <w:b/>
          <w:color w:val="auto"/>
          <w:highlight w:val="none"/>
        </w:rPr>
      </w:pPr>
      <w:bookmarkStart w:id="404" w:name="_Toc1814"/>
      <w:bookmarkStart w:id="405" w:name="_Toc22618"/>
      <w:bookmarkStart w:id="406" w:name="_Toc10340"/>
      <w:r>
        <w:rPr>
          <w:rFonts w:hint="eastAsia"/>
          <w:b/>
          <w:color w:val="auto"/>
          <w:highlight w:val="none"/>
        </w:rPr>
        <w:t>1.4履约保证金</w:t>
      </w:r>
    </w:p>
    <w:p>
      <w:pPr>
        <w:pStyle w:val="35"/>
        <w:spacing w:before="0" w:beforeAutospacing="0" w:after="0" w:afterAutospacing="0" w:line="360" w:lineRule="auto"/>
        <w:ind w:firstLine="480"/>
        <w:rPr>
          <w:rFonts w:hint="eastAsia"/>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u w:val="single"/>
          <w:lang w:val="en-US" w:eastAsia="zh-CN"/>
        </w:rPr>
        <w:t xml:space="preserve"> 否 </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360" w:lineRule="auto"/>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w:t>
      </w:r>
    </w:p>
    <w:p>
      <w:pPr>
        <w:spacing w:line="360" w:lineRule="auto"/>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4"/>
        <w:tabs>
          <w:tab w:val="clear" w:pos="432"/>
        </w:tabs>
        <w:ind w:left="0" w:firstLine="480" w:firstLineChars="200"/>
        <w:rPr>
          <w:rFonts w:hint="eastAsia"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pPr>
        <w:spacing w:line="360" w:lineRule="auto"/>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1.5</w:t>
      </w:r>
      <w:bookmarkEnd w:id="404"/>
      <w:bookmarkEnd w:id="405"/>
      <w:bookmarkEnd w:id="406"/>
      <w:r>
        <w:rPr>
          <w:rFonts w:hint="eastAsia" w:ascii="宋体" w:hAnsi="宋体" w:cs="宋体"/>
          <w:b/>
          <w:color w:val="auto"/>
          <w:sz w:val="24"/>
          <w:highlight w:val="none"/>
        </w:rPr>
        <w:t>预付款</w:t>
      </w:r>
    </w:p>
    <w:p>
      <w:pPr>
        <w:pStyle w:val="35"/>
        <w:spacing w:before="0" w:beforeAutospacing="0" w:after="0" w:afterAutospacing="0" w:line="360" w:lineRule="auto"/>
        <w:ind w:firstLine="480"/>
        <w:rPr>
          <w:rFonts w:hint="eastAsia"/>
          <w:color w:val="auto"/>
          <w:highlight w:val="none"/>
        </w:rPr>
      </w:pPr>
      <w:r>
        <w:rPr>
          <w:rFonts w:hint="eastAsia"/>
          <w:color w:val="auto"/>
          <w:highlight w:val="none"/>
        </w:rPr>
        <w:t>甲方</w:t>
      </w:r>
      <w:r>
        <w:rPr>
          <w:rFonts w:hint="eastAsia"/>
          <w:color w:val="auto"/>
          <w:highlight w:val="none"/>
          <w:u w:val="single"/>
        </w:rPr>
        <w:t xml:space="preserve">  是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35"/>
        <w:spacing w:before="0" w:beforeAutospacing="0" w:after="0" w:afterAutospacing="0" w:line="360" w:lineRule="auto"/>
        <w:ind w:firstLine="480"/>
        <w:rPr>
          <w:rFonts w:hint="eastAsia"/>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35"/>
        <w:spacing w:before="0" w:beforeAutospacing="0" w:after="0" w:afterAutospacing="0" w:line="360" w:lineRule="auto"/>
        <w:ind w:firstLine="480"/>
        <w:rPr>
          <w:rFonts w:hint="eastAsia"/>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35"/>
        <w:spacing w:before="0" w:beforeAutospacing="0" w:after="0" w:afterAutospacing="0" w:line="360" w:lineRule="auto"/>
        <w:ind w:firstLine="480"/>
        <w:rPr>
          <w:rFonts w:hint="eastAsia"/>
          <w:b/>
          <w:bCs/>
          <w:color w:val="auto"/>
          <w:highlight w:val="none"/>
        </w:rPr>
      </w:pPr>
      <w:r>
        <w:rPr>
          <w:rFonts w:hint="eastAsia"/>
          <w:b/>
          <w:bCs/>
          <w:color w:val="auto"/>
          <w:highlight w:val="none"/>
        </w:rPr>
        <w:t>1.6资金支付</w:t>
      </w:r>
    </w:p>
    <w:p>
      <w:pPr>
        <w:pStyle w:val="35"/>
        <w:spacing w:before="0" w:beforeAutospacing="0" w:after="0" w:afterAutospacing="0" w:line="360" w:lineRule="auto"/>
        <w:ind w:firstLine="480"/>
        <w:rPr>
          <w:rFonts w:hint="eastAsia"/>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2" w:firstLineChars="200"/>
        <w:outlineLvl w:val="0"/>
        <w:rPr>
          <w:rFonts w:hint="eastAsia" w:ascii="宋体" w:hAnsi="宋体" w:cs="宋体"/>
          <w:b/>
          <w:color w:val="auto"/>
          <w:sz w:val="24"/>
          <w:highlight w:val="none"/>
        </w:rPr>
      </w:pPr>
      <w:bookmarkStart w:id="407" w:name="_Toc2846"/>
      <w:bookmarkStart w:id="408" w:name="_Toc19304"/>
      <w:bookmarkStart w:id="409" w:name="_Toc32071"/>
      <w:r>
        <w:rPr>
          <w:rFonts w:hint="eastAsia" w:ascii="宋体" w:hAnsi="宋体" w:cs="宋体"/>
          <w:b/>
          <w:color w:val="auto"/>
          <w:sz w:val="24"/>
          <w:highlight w:val="none"/>
        </w:rPr>
        <w:t>1.7货物交付期限、地点和方式</w:t>
      </w:r>
      <w:bookmarkEnd w:id="407"/>
      <w:bookmarkEnd w:id="408"/>
      <w:bookmarkEnd w:id="409"/>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2" w:firstLineChars="200"/>
        <w:outlineLvl w:val="0"/>
        <w:rPr>
          <w:rFonts w:hint="eastAsia" w:ascii="宋体" w:hAnsi="宋体" w:cs="宋体"/>
          <w:b/>
          <w:color w:val="auto"/>
          <w:sz w:val="24"/>
          <w:highlight w:val="none"/>
        </w:rPr>
      </w:pPr>
      <w:bookmarkStart w:id="410" w:name="_Toc21423"/>
      <w:bookmarkStart w:id="411" w:name="_Toc27250"/>
      <w:bookmarkStart w:id="412" w:name="_Toc19554"/>
      <w:r>
        <w:rPr>
          <w:rFonts w:hint="eastAsia" w:ascii="宋体" w:hAnsi="宋体" w:cs="宋体"/>
          <w:b/>
          <w:color w:val="auto"/>
          <w:sz w:val="24"/>
          <w:highlight w:val="none"/>
        </w:rPr>
        <w:t>1.8违约责任</w:t>
      </w:r>
      <w:bookmarkEnd w:id="410"/>
      <w:bookmarkEnd w:id="411"/>
      <w:bookmarkEnd w:id="412"/>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1.8.5如果出现监督管理部门在处理投诉事项期间，书面通知甲方暂停采购活动的情形，或者询问或质疑事项可能影响中标或者成交结果的，导致甲方中止履行合同的情形，均不视为甲方违约。</w:t>
      </w:r>
    </w:p>
    <w:p>
      <w:pPr>
        <w:spacing w:line="360" w:lineRule="auto"/>
        <w:ind w:left="-420" w:leftChars="-200" w:right="-420" w:rightChars="-200" w:firstLine="960" w:firstLineChars="400"/>
        <w:rPr>
          <w:rFonts w:hint="eastAsia"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pPr>
        <w:spacing w:line="360" w:lineRule="auto"/>
        <w:ind w:firstLine="482" w:firstLineChars="200"/>
        <w:outlineLvl w:val="0"/>
        <w:rPr>
          <w:rFonts w:hint="eastAsia" w:ascii="宋体" w:hAnsi="宋体" w:cs="宋体"/>
          <w:b/>
          <w:color w:val="auto"/>
          <w:sz w:val="24"/>
          <w:highlight w:val="none"/>
        </w:rPr>
      </w:pPr>
      <w:bookmarkStart w:id="413" w:name="_Toc28375"/>
      <w:bookmarkStart w:id="414" w:name="_Toc15583"/>
      <w:bookmarkStart w:id="415" w:name="_Toc16021"/>
      <w:r>
        <w:rPr>
          <w:rFonts w:hint="eastAsia" w:ascii="宋体" w:hAnsi="宋体" w:cs="宋体"/>
          <w:b/>
          <w:color w:val="auto"/>
          <w:sz w:val="24"/>
          <w:highlight w:val="none"/>
        </w:rPr>
        <w:t>1.9合同争议的解决</w:t>
      </w:r>
      <w:bookmarkEnd w:id="413"/>
      <w:bookmarkEnd w:id="414"/>
      <w:bookmarkEnd w:id="415"/>
    </w:p>
    <w:p>
      <w:pPr>
        <w:spacing w:line="360" w:lineRule="auto"/>
        <w:ind w:left="-61" w:leftChars="-29" w:right="-420" w:rightChars="-200"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1.9.1    </w:t>
      </w:r>
      <w:r>
        <w:rPr>
          <w:rFonts w:hint="eastAsia" w:ascii="宋体" w:hAnsi="宋体" w:cs="宋体"/>
          <w:color w:val="auto"/>
          <w:sz w:val="24"/>
          <w:highlight w:val="none"/>
        </w:rPr>
        <w:t>条款规定的方式解决：</w:t>
      </w:r>
    </w:p>
    <w:p>
      <w:pPr>
        <w:spacing w:line="360" w:lineRule="auto"/>
        <w:ind w:left="-420" w:leftChars="-200" w:right="-420" w:rightChars="-200" w:firstLine="840" w:firstLineChars="350"/>
        <w:rPr>
          <w:rFonts w:hint="eastAsia"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360" w:lineRule="auto"/>
        <w:ind w:left="-420" w:leftChars="-200" w:right="-420" w:rightChars="-200" w:firstLine="840" w:firstLineChars="350"/>
        <w:rPr>
          <w:rFonts w:hint="eastAsia"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360" w:lineRule="auto"/>
        <w:ind w:firstLine="482" w:firstLineChars="200"/>
        <w:outlineLvl w:val="0"/>
        <w:rPr>
          <w:rFonts w:hint="eastAsia" w:ascii="宋体" w:hAnsi="宋体" w:cs="宋体"/>
          <w:b/>
          <w:color w:val="auto"/>
          <w:sz w:val="24"/>
          <w:highlight w:val="none"/>
        </w:rPr>
      </w:pPr>
      <w:bookmarkStart w:id="416" w:name="_Toc11173"/>
      <w:bookmarkStart w:id="417" w:name="_Toc7245"/>
      <w:bookmarkStart w:id="418" w:name="_Toc15322"/>
      <w:r>
        <w:rPr>
          <w:rFonts w:hint="eastAsia" w:ascii="宋体" w:hAnsi="宋体" w:cs="宋体"/>
          <w:b/>
          <w:color w:val="auto"/>
          <w:sz w:val="24"/>
          <w:highlight w:val="none"/>
        </w:rPr>
        <w:t>2.0 合同生效</w:t>
      </w:r>
      <w:bookmarkEnd w:id="416"/>
      <w:bookmarkEnd w:id="417"/>
      <w:bookmarkEnd w:id="418"/>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本合同自双方当事人盖章签字时生效。</w:t>
      </w:r>
    </w:p>
    <w:p>
      <w:pPr>
        <w:rPr>
          <w:rFonts w:hint="eastAsia" w:ascii="宋体" w:hAnsi="宋体"/>
          <w:color w:val="auto"/>
          <w:sz w:val="24"/>
          <w:highlight w:val="none"/>
        </w:rPr>
      </w:pPr>
    </w:p>
    <w:p>
      <w:pPr>
        <w:autoSpaceDE w:val="0"/>
        <w:autoSpaceDN w:val="0"/>
        <w:spacing w:line="360" w:lineRule="auto"/>
        <w:rPr>
          <w:rFonts w:hint="eastAsia" w:ascii="宋体" w:hAnsi="宋体"/>
          <w:bCs/>
          <w:color w:val="auto"/>
          <w:sz w:val="24"/>
          <w:highlight w:val="none"/>
        </w:rPr>
      </w:pPr>
    </w:p>
    <w:p>
      <w:pPr>
        <w:autoSpaceDE w:val="0"/>
        <w:autoSpaceDN w:val="0"/>
        <w:spacing w:line="360" w:lineRule="auto"/>
        <w:rPr>
          <w:rFonts w:hint="eastAsia" w:ascii="宋体" w:hAnsi="宋体"/>
          <w:bCs/>
          <w:color w:val="auto"/>
          <w:sz w:val="24"/>
          <w:highlight w:val="none"/>
        </w:rPr>
      </w:pPr>
      <w:r>
        <w:rPr>
          <w:rFonts w:hint="eastAsia" w:ascii="宋体" w:hAnsi="宋体"/>
          <w:bCs/>
          <w:color w:val="auto"/>
          <w:sz w:val="24"/>
          <w:highlight w:val="none"/>
        </w:rPr>
        <w:t>本页为签章页，无正文。</w:t>
      </w:r>
    </w:p>
    <w:p>
      <w:pPr>
        <w:autoSpaceDE w:val="0"/>
        <w:autoSpaceDN w:val="0"/>
        <w:spacing w:line="360" w:lineRule="auto"/>
        <w:rPr>
          <w:rFonts w:hint="eastAsia" w:ascii="宋体" w:hAnsi="宋体"/>
          <w:b/>
          <w:color w:val="auto"/>
          <w:sz w:val="24"/>
          <w:highlight w:val="none"/>
        </w:rPr>
      </w:pPr>
    </w:p>
    <w:p>
      <w:pPr>
        <w:autoSpaceDE w:val="0"/>
        <w:autoSpaceDN w:val="0"/>
        <w:spacing w:line="360" w:lineRule="auto"/>
        <w:rPr>
          <w:rFonts w:hint="eastAsia" w:ascii="宋体" w:hAnsi="宋体"/>
          <w:color w:val="auto"/>
          <w:sz w:val="24"/>
          <w:highlight w:val="none"/>
        </w:rPr>
      </w:pPr>
      <w:r>
        <w:rPr>
          <w:rFonts w:hint="eastAsia" w:ascii="宋体" w:hAnsi="宋体"/>
          <w:b/>
          <w:color w:val="auto"/>
          <w:sz w:val="24"/>
          <w:highlight w:val="none"/>
        </w:rPr>
        <w:t>甲方</w:t>
      </w:r>
      <w:r>
        <w:rPr>
          <w:rFonts w:hint="eastAsia" w:ascii="宋体" w:hAnsi="宋体"/>
          <w:color w:val="auto"/>
          <w:sz w:val="24"/>
          <w:highlight w:val="none"/>
        </w:rPr>
        <w:t>：</w:t>
      </w:r>
      <w:r>
        <w:rPr>
          <w:rFonts w:hint="eastAsia" w:ascii="宋体" w:hAnsi="宋体"/>
          <w:color w:val="auto"/>
          <w:sz w:val="24"/>
          <w:highlight w:val="none"/>
          <w:lang w:eastAsia="zh-CN"/>
        </w:rPr>
        <w:t>浙江省杭州第七中学</w:t>
      </w:r>
      <w:r>
        <w:rPr>
          <w:rFonts w:ascii="宋体" w:hAnsi="宋体"/>
          <w:color w:val="auto"/>
          <w:sz w:val="24"/>
          <w:highlight w:val="none"/>
        </w:rPr>
        <w:t xml:space="preserve">                  </w:t>
      </w:r>
      <w:r>
        <w:rPr>
          <w:rFonts w:ascii="宋体" w:hAnsi="宋体"/>
          <w:b/>
          <w:color w:val="auto"/>
          <w:sz w:val="24"/>
          <w:highlight w:val="none"/>
        </w:rPr>
        <w:t>乙方</w:t>
      </w:r>
      <w:r>
        <w:rPr>
          <w:rFonts w:hint="eastAsia" w:ascii="宋体" w:hAnsi="宋体"/>
          <w:color w:val="auto"/>
          <w:sz w:val="24"/>
          <w:highlight w:val="none"/>
        </w:rPr>
        <w:t>：</w:t>
      </w:r>
    </w:p>
    <w:p>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统一社会信用代码：</w:t>
      </w:r>
      <w:r>
        <w:rPr>
          <w:rFonts w:ascii="宋体" w:hAnsi="宋体"/>
          <w:color w:val="auto"/>
          <w:sz w:val="24"/>
          <w:highlight w:val="none"/>
        </w:rPr>
        <w:t xml:space="preserve">                        </w:t>
      </w:r>
      <w:r>
        <w:rPr>
          <w:rFonts w:hint="eastAsia" w:ascii="宋体" w:hAnsi="宋体"/>
          <w:color w:val="auto"/>
          <w:sz w:val="24"/>
          <w:highlight w:val="none"/>
        </w:rPr>
        <w:t>统一社会信用代码或身份证号码：</w:t>
      </w:r>
    </w:p>
    <w:p>
      <w:pPr>
        <w:autoSpaceDE w:val="0"/>
        <w:autoSpaceDN w:val="0"/>
        <w:spacing w:line="360" w:lineRule="auto"/>
        <w:rPr>
          <w:rFonts w:hint="eastAsia" w:ascii="宋体" w:hAnsi="宋体"/>
          <w:color w:val="auto"/>
          <w:sz w:val="24"/>
          <w:highlight w:val="none"/>
        </w:rPr>
      </w:pPr>
    </w:p>
    <w:p>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住所：</w:t>
      </w:r>
      <w:r>
        <w:rPr>
          <w:rFonts w:ascii="宋体" w:hAnsi="宋体"/>
          <w:color w:val="auto"/>
          <w:sz w:val="24"/>
          <w:highlight w:val="none"/>
        </w:rPr>
        <w:t xml:space="preserve">                                   </w:t>
      </w:r>
      <w:r>
        <w:rPr>
          <w:rFonts w:hint="eastAsia" w:ascii="宋体" w:hAnsi="宋体"/>
          <w:color w:val="auto"/>
          <w:sz w:val="24"/>
          <w:highlight w:val="none"/>
        </w:rPr>
        <w:t>住所：</w:t>
      </w:r>
    </w:p>
    <w:p>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法定代表人或</w:t>
      </w:r>
      <w:r>
        <w:rPr>
          <w:rFonts w:ascii="宋体" w:hAnsi="宋体"/>
          <w:color w:val="auto"/>
          <w:sz w:val="24"/>
          <w:highlight w:val="none"/>
        </w:rPr>
        <w:t xml:space="preserve">                             </w:t>
      </w:r>
      <w:r>
        <w:rPr>
          <w:rFonts w:hint="eastAsia" w:ascii="宋体" w:hAnsi="宋体"/>
          <w:color w:val="auto"/>
          <w:sz w:val="24"/>
          <w:highlight w:val="none"/>
        </w:rPr>
        <w:t>法定代表人或</w:t>
      </w:r>
    </w:p>
    <w:p>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授权代表（签字）：</w:t>
      </w:r>
      <w:r>
        <w:rPr>
          <w:rFonts w:ascii="宋体" w:hAnsi="宋体"/>
          <w:color w:val="auto"/>
          <w:sz w:val="24"/>
          <w:highlight w:val="none"/>
        </w:rPr>
        <w:t xml:space="preserve">                       授权代表（签字）</w:t>
      </w:r>
      <w:r>
        <w:rPr>
          <w:rFonts w:hint="eastAsia" w:ascii="宋体" w:hAnsi="宋体"/>
          <w:color w:val="auto"/>
          <w:sz w:val="24"/>
          <w:highlight w:val="none"/>
        </w:rPr>
        <w:t>：</w:t>
      </w:r>
      <w:r>
        <w:rPr>
          <w:rFonts w:ascii="宋体" w:hAnsi="宋体"/>
          <w:color w:val="auto"/>
          <w:sz w:val="24"/>
          <w:highlight w:val="none"/>
        </w:rPr>
        <w:t xml:space="preserve"> </w:t>
      </w:r>
    </w:p>
    <w:p>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联系人：</w:t>
      </w:r>
      <w:r>
        <w:rPr>
          <w:rFonts w:ascii="宋体" w:hAnsi="宋体"/>
          <w:color w:val="auto"/>
          <w:sz w:val="24"/>
          <w:highlight w:val="none"/>
        </w:rPr>
        <w:t xml:space="preserve">                                 </w:t>
      </w:r>
      <w:r>
        <w:rPr>
          <w:rFonts w:hint="eastAsia" w:ascii="宋体" w:hAnsi="宋体"/>
          <w:color w:val="auto"/>
          <w:sz w:val="24"/>
          <w:highlight w:val="none"/>
        </w:rPr>
        <w:t>联系人：</w:t>
      </w:r>
    </w:p>
    <w:p>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约定送达地址：</w:t>
      </w:r>
      <w:r>
        <w:rPr>
          <w:rFonts w:ascii="宋体" w:hAnsi="宋体"/>
          <w:color w:val="auto"/>
          <w:sz w:val="24"/>
          <w:highlight w:val="none"/>
        </w:rPr>
        <w:t xml:space="preserve">                           </w:t>
      </w:r>
      <w:r>
        <w:rPr>
          <w:rFonts w:hint="eastAsia" w:ascii="宋体" w:hAnsi="宋体"/>
          <w:color w:val="auto"/>
          <w:sz w:val="24"/>
          <w:highlight w:val="none"/>
        </w:rPr>
        <w:t>约定送达地址：</w:t>
      </w:r>
    </w:p>
    <w:p>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邮政编码：</w:t>
      </w:r>
      <w:r>
        <w:rPr>
          <w:rFonts w:ascii="宋体" w:hAnsi="宋体"/>
          <w:color w:val="auto"/>
          <w:sz w:val="24"/>
          <w:highlight w:val="none"/>
        </w:rPr>
        <w:t xml:space="preserve">                               </w:t>
      </w:r>
      <w:r>
        <w:rPr>
          <w:rFonts w:hint="eastAsia" w:ascii="宋体" w:hAnsi="宋体"/>
          <w:color w:val="auto"/>
          <w:sz w:val="24"/>
          <w:highlight w:val="none"/>
        </w:rPr>
        <w:t>邮政编码：</w:t>
      </w:r>
    </w:p>
    <w:p>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电话：</w:t>
      </w:r>
      <w:r>
        <w:rPr>
          <w:rFonts w:ascii="宋体" w:hAnsi="宋体"/>
          <w:color w:val="auto"/>
          <w:sz w:val="24"/>
          <w:highlight w:val="none"/>
        </w:rPr>
        <w:t xml:space="preserve">                                   电话</w:t>
      </w:r>
      <w:r>
        <w:rPr>
          <w:rFonts w:hint="eastAsia" w:ascii="宋体" w:hAnsi="宋体"/>
          <w:color w:val="auto"/>
          <w:sz w:val="24"/>
          <w:highlight w:val="none"/>
        </w:rPr>
        <w:t>：</w:t>
      </w:r>
      <w:r>
        <w:rPr>
          <w:rFonts w:ascii="宋体" w:hAnsi="宋体"/>
          <w:color w:val="auto"/>
          <w:sz w:val="24"/>
          <w:highlight w:val="none"/>
        </w:rPr>
        <w:t xml:space="preserve"> </w:t>
      </w:r>
    </w:p>
    <w:p>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传真：</w:t>
      </w:r>
      <w:r>
        <w:rPr>
          <w:rFonts w:ascii="宋体" w:hAnsi="宋体"/>
          <w:color w:val="auto"/>
          <w:sz w:val="24"/>
          <w:highlight w:val="none"/>
        </w:rPr>
        <w:t xml:space="preserve">                                   </w:t>
      </w:r>
      <w:r>
        <w:rPr>
          <w:rFonts w:hint="eastAsia" w:ascii="宋体" w:hAnsi="宋体"/>
          <w:color w:val="auto"/>
          <w:sz w:val="24"/>
          <w:highlight w:val="none"/>
        </w:rPr>
        <w:t>传真：</w:t>
      </w:r>
    </w:p>
    <w:p>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电子邮箱：</w:t>
      </w:r>
      <w:r>
        <w:rPr>
          <w:rFonts w:ascii="宋体" w:hAnsi="宋体"/>
          <w:color w:val="auto"/>
          <w:sz w:val="24"/>
          <w:highlight w:val="none"/>
        </w:rPr>
        <w:t xml:space="preserve">                               </w:t>
      </w:r>
      <w:r>
        <w:rPr>
          <w:rFonts w:hint="eastAsia" w:ascii="宋体" w:hAnsi="宋体"/>
          <w:color w:val="auto"/>
          <w:sz w:val="24"/>
          <w:highlight w:val="none"/>
        </w:rPr>
        <w:t>电子邮箱：</w:t>
      </w:r>
    </w:p>
    <w:p>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rPr>
        <w:t xml:space="preserve">                               </w:t>
      </w:r>
      <w:r>
        <w:rPr>
          <w:rFonts w:hint="eastAsia" w:ascii="宋体" w:hAnsi="宋体"/>
          <w:color w:val="auto"/>
          <w:sz w:val="24"/>
          <w:highlight w:val="none"/>
        </w:rPr>
        <w:t>开户账号：</w:t>
      </w:r>
    </w:p>
    <w:p>
      <w:pPr>
        <w:spacing w:line="360" w:lineRule="auto"/>
        <w:rPr>
          <w:rFonts w:hint="eastAsia" w:ascii="宋体" w:hAnsi="宋体"/>
          <w:color w:val="auto"/>
          <w:sz w:val="24"/>
          <w:highlight w:val="none"/>
        </w:rPr>
      </w:pPr>
    </w:p>
    <w:p>
      <w:pPr>
        <w:pStyle w:val="32"/>
        <w:spacing w:after="0"/>
        <w:ind w:left="0" w:leftChars="0" w:firstLine="0" w:firstLineChars="0"/>
        <w:rPr>
          <w:rFonts w:hint="eastAsia" w:ascii="宋体" w:hAnsi="宋体"/>
          <w:b/>
          <w:color w:val="auto"/>
          <w:highlight w:val="none"/>
        </w:rPr>
      </w:pPr>
    </w:p>
    <w:p>
      <w:pPr>
        <w:rPr>
          <w:rFonts w:hint="eastAsia" w:ascii="宋体" w:hAnsi="宋体"/>
          <w:b/>
          <w:color w:val="auto"/>
          <w:highlight w:val="none"/>
        </w:rPr>
      </w:pPr>
      <w:r>
        <w:rPr>
          <w:rFonts w:hint="eastAsia" w:ascii="宋体" w:hAnsi="宋体"/>
          <w:b/>
          <w:color w:val="auto"/>
          <w:highlight w:val="none"/>
        </w:rPr>
        <w:br w:type="page"/>
      </w:r>
    </w:p>
    <w:p>
      <w:pPr>
        <w:pStyle w:val="32"/>
        <w:ind w:left="0" w:leftChars="0" w:firstLine="0" w:firstLineChars="0"/>
        <w:jc w:val="center"/>
        <w:rPr>
          <w:rFonts w:hint="eastAsia" w:ascii="宋体" w:hAnsi="宋体"/>
          <w:b/>
          <w:color w:val="auto"/>
          <w:highlight w:val="none"/>
        </w:rPr>
      </w:pPr>
      <w:r>
        <w:rPr>
          <w:rFonts w:hint="eastAsia" w:ascii="宋体" w:hAnsi="宋体"/>
          <w:b/>
          <w:color w:val="auto"/>
          <w:highlight w:val="none"/>
        </w:rPr>
        <w:t>第二部分</w:t>
      </w:r>
      <w:r>
        <w:rPr>
          <w:rFonts w:ascii="宋体" w:hAnsi="宋体"/>
          <w:b/>
          <w:color w:val="auto"/>
          <w:highlight w:val="none"/>
        </w:rPr>
        <w:t xml:space="preserve"> </w:t>
      </w:r>
      <w:r>
        <w:rPr>
          <w:rFonts w:hint="eastAsia" w:ascii="宋体" w:hAnsi="宋体"/>
          <w:b/>
          <w:color w:val="auto"/>
          <w:highlight w:val="none"/>
        </w:rPr>
        <w:t>合同一般条款</w:t>
      </w:r>
    </w:p>
    <w:p>
      <w:pPr>
        <w:spacing w:line="360" w:lineRule="auto"/>
        <w:ind w:firstLine="482" w:firstLineChars="200"/>
        <w:outlineLvl w:val="0"/>
        <w:rPr>
          <w:rFonts w:hint="eastAsia" w:ascii="宋体" w:hAnsi="宋体"/>
          <w:b/>
          <w:color w:val="auto"/>
          <w:sz w:val="24"/>
          <w:highlight w:val="none"/>
        </w:rPr>
      </w:pPr>
      <w:bookmarkStart w:id="419" w:name="_Toc19680"/>
      <w:bookmarkStart w:id="420" w:name="_Toc14021"/>
      <w:bookmarkStart w:id="421" w:name="_Toc25079"/>
      <w:bookmarkStart w:id="422" w:name="_Toc31297"/>
      <w:bookmarkStart w:id="423" w:name="_Toc5228"/>
      <w:r>
        <w:rPr>
          <w:rFonts w:ascii="宋体" w:hAnsi="宋体"/>
          <w:b/>
          <w:color w:val="auto"/>
          <w:sz w:val="24"/>
          <w:highlight w:val="none"/>
        </w:rPr>
        <w:t>2.1 定义</w:t>
      </w:r>
      <w:bookmarkEnd w:id="419"/>
      <w:bookmarkEnd w:id="420"/>
      <w:bookmarkEnd w:id="421"/>
      <w:bookmarkEnd w:id="422"/>
      <w:bookmarkEnd w:id="423"/>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2.1.1 “合同”系指采购人和中标供应商签订的载明双方当事人所达成的协议，并包括所有的附件、附录和构成合同的其他文件。</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2.1.2 “合同价”系指根据合同约定，中标供应商在完全履行合同义务后</w:t>
      </w:r>
      <w:r>
        <w:rPr>
          <w:rFonts w:hint="eastAsia" w:ascii="宋体" w:hAnsi="宋体"/>
          <w:color w:val="auto"/>
          <w:sz w:val="24"/>
          <w:highlight w:val="none"/>
        </w:rPr>
        <w:t>，</w:t>
      </w:r>
      <w:r>
        <w:rPr>
          <w:rFonts w:ascii="宋体" w:hAnsi="宋体"/>
          <w:color w:val="auto"/>
          <w:sz w:val="24"/>
          <w:highlight w:val="none"/>
        </w:rPr>
        <w:t>采购人应支付给中标供应商的价格。</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2.1.3 </w:t>
      </w:r>
      <w:r>
        <w:rPr>
          <w:rFonts w:hint="eastAsia" w:ascii="宋体" w:hAnsi="宋体"/>
          <w:color w:val="auto"/>
          <w:sz w:val="24"/>
          <w:highlight w:val="none"/>
        </w:rPr>
        <w:t>“货物”系指中标供应商根据合同约定应向采购人交付的一切各种形态和种类的物品，包括原材料、燃料、设备、机械、仪表、备件、计算机软件、产品等，并包括工具、手册等其他相关资料。</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olor w:val="auto"/>
          <w:sz w:val="24"/>
          <w:highlight w:val="none"/>
        </w:rPr>
        <w:t>中标供应商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2.1.5 “乙方”系指根据合同约定提供服务的中标供应商</w:t>
      </w:r>
      <w:r>
        <w:rPr>
          <w:rFonts w:hint="eastAsia" w:ascii="宋体" w:hAnsi="宋体"/>
          <w:color w:val="auto"/>
          <w:sz w:val="24"/>
          <w:highlight w:val="none"/>
        </w:rPr>
        <w:t>；两个以上的自然人、法人或者其他组织组成一个联合体，以一个供应商的身份共同参加采购的，联合体各方均应为乙方或者与乙方相同地位的合同当事人，并就合同约定的事项对甲方承担连带责任。</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2.1.6 “现场”系指合同约定提供服务的地点。</w:t>
      </w:r>
    </w:p>
    <w:p>
      <w:pPr>
        <w:spacing w:line="360" w:lineRule="auto"/>
        <w:ind w:firstLine="482" w:firstLineChars="200"/>
        <w:outlineLvl w:val="0"/>
        <w:rPr>
          <w:rFonts w:hint="eastAsia" w:ascii="宋体" w:hAnsi="宋体"/>
          <w:b/>
          <w:color w:val="auto"/>
          <w:sz w:val="24"/>
          <w:highlight w:val="none"/>
        </w:rPr>
      </w:pPr>
      <w:bookmarkStart w:id="424" w:name="_Toc16752"/>
      <w:bookmarkStart w:id="425" w:name="_Toc31402"/>
      <w:bookmarkStart w:id="426" w:name="_Toc23289"/>
      <w:bookmarkStart w:id="427" w:name="_Toc3769"/>
      <w:bookmarkStart w:id="428" w:name="_Toc19539"/>
      <w:r>
        <w:rPr>
          <w:rFonts w:ascii="宋体" w:hAnsi="宋体"/>
          <w:b/>
          <w:color w:val="auto"/>
          <w:sz w:val="24"/>
          <w:highlight w:val="none"/>
        </w:rPr>
        <w:t>2.2 技术规范</w:t>
      </w:r>
      <w:bookmarkEnd w:id="424"/>
      <w:bookmarkEnd w:id="425"/>
      <w:bookmarkEnd w:id="426"/>
      <w:bookmarkEnd w:id="427"/>
      <w:bookmarkEnd w:id="428"/>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360" w:lineRule="auto"/>
        <w:ind w:firstLine="482" w:firstLineChars="200"/>
        <w:outlineLvl w:val="0"/>
        <w:rPr>
          <w:rFonts w:hint="eastAsia" w:ascii="宋体" w:hAnsi="宋体"/>
          <w:b/>
          <w:color w:val="auto"/>
          <w:sz w:val="24"/>
          <w:highlight w:val="none"/>
        </w:rPr>
      </w:pPr>
      <w:bookmarkStart w:id="429" w:name="_Toc13673"/>
      <w:bookmarkStart w:id="430" w:name="_Toc12412"/>
      <w:bookmarkStart w:id="431" w:name="_Toc4133"/>
      <w:bookmarkStart w:id="432" w:name="_Toc9161"/>
      <w:bookmarkStart w:id="433" w:name="_Toc27945"/>
      <w:r>
        <w:rPr>
          <w:rFonts w:ascii="宋体" w:hAnsi="宋体"/>
          <w:b/>
          <w:color w:val="auto"/>
          <w:sz w:val="24"/>
          <w:highlight w:val="none"/>
        </w:rPr>
        <w:t>2.3 知识产权</w:t>
      </w:r>
      <w:bookmarkEnd w:id="429"/>
      <w:bookmarkEnd w:id="430"/>
      <w:bookmarkEnd w:id="431"/>
      <w:bookmarkEnd w:id="432"/>
      <w:bookmarkEnd w:id="433"/>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包装和装运</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2.4.1除</w:t>
      </w:r>
      <w:r>
        <w:rPr>
          <w:rFonts w:hint="eastAsia" w:ascii="宋体" w:hAnsi="宋体"/>
          <w:b/>
          <w:i/>
          <w:color w:val="auto"/>
          <w:sz w:val="24"/>
          <w:highlight w:val="none"/>
          <w:u w:val="single"/>
        </w:rPr>
        <w:t>合同专用条款</w:t>
      </w:r>
      <w:r>
        <w:rPr>
          <w:rFonts w:hint="eastAsia" w:ascii="宋体" w:hAnsi="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2.4.3 装运货物的要求和通知，详见</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360" w:lineRule="auto"/>
        <w:ind w:firstLine="482" w:firstLineChars="200"/>
        <w:outlineLvl w:val="0"/>
        <w:rPr>
          <w:rFonts w:hint="eastAsia" w:ascii="宋体" w:hAnsi="宋体"/>
          <w:b/>
          <w:color w:val="auto"/>
          <w:sz w:val="24"/>
          <w:highlight w:val="none"/>
        </w:rPr>
      </w:pPr>
      <w:bookmarkStart w:id="434" w:name="_Toc15447"/>
      <w:bookmarkStart w:id="435" w:name="_Toc31233"/>
      <w:bookmarkStart w:id="436" w:name="_Toc22011"/>
      <w:bookmarkStart w:id="437" w:name="_Toc26555"/>
      <w:bookmarkStart w:id="438" w:name="_Toc32670"/>
      <w:r>
        <w:rPr>
          <w:rFonts w:ascii="宋体" w:hAnsi="宋体"/>
          <w:b/>
          <w:color w:val="auto"/>
          <w:sz w:val="24"/>
          <w:highlight w:val="none"/>
        </w:rPr>
        <w:t xml:space="preserve">2.5 </w:t>
      </w:r>
      <w:bookmarkEnd w:id="434"/>
      <w:bookmarkEnd w:id="435"/>
      <w:bookmarkEnd w:id="436"/>
      <w:bookmarkEnd w:id="437"/>
      <w:bookmarkEnd w:id="438"/>
      <w:r>
        <w:rPr>
          <w:rFonts w:hint="eastAsia" w:ascii="宋体" w:hAnsi="宋体"/>
          <w:b/>
          <w:color w:val="auto"/>
          <w:sz w:val="24"/>
          <w:highlight w:val="none"/>
        </w:rPr>
        <w:t xml:space="preserve"> 履约检查和问题反馈</w:t>
      </w:r>
    </w:p>
    <w:p>
      <w:pPr>
        <w:spacing w:line="360" w:lineRule="auto"/>
        <w:ind w:firstLine="480" w:firstLineChars="200"/>
        <w:rPr>
          <w:rFonts w:hint="eastAsia" w:ascii="宋体" w:hAnsi="宋体"/>
          <w:color w:val="auto"/>
          <w:sz w:val="24"/>
          <w:highlight w:val="none"/>
        </w:rPr>
      </w:pPr>
      <w:bookmarkStart w:id="439" w:name="_Ref467379657"/>
      <w:r>
        <w:rPr>
          <w:rFonts w:hint="eastAsia" w:ascii="宋体" w:hAnsi="宋体"/>
          <w:color w:val="auto"/>
          <w:sz w:val="24"/>
          <w:highlight w:val="none"/>
        </w:rPr>
        <w:t>2.5.1</w:t>
      </w:r>
      <w:bookmarkEnd w:id="439"/>
      <w:bookmarkStart w:id="440" w:name="_Toc186431854"/>
      <w:r>
        <w:rPr>
          <w:rFonts w:hint="eastAsia" w:ascii="宋体" w:hAnsi="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2.5.2 合同履行期间，甲方有权将履行过程中出现的问题反馈给乙方，双方当事人应以书面形式约定需要完善和改进的内容</w:t>
      </w:r>
      <w:bookmarkEnd w:id="440"/>
      <w:r>
        <w:rPr>
          <w:rFonts w:ascii="宋体" w:hAnsi="宋体"/>
          <w:color w:val="auto"/>
          <w:sz w:val="24"/>
          <w:highlight w:val="none"/>
        </w:rPr>
        <w:t>。</w:t>
      </w:r>
    </w:p>
    <w:p>
      <w:pPr>
        <w:spacing w:line="360" w:lineRule="auto"/>
        <w:ind w:firstLine="482" w:firstLineChars="200"/>
        <w:outlineLvl w:val="0"/>
        <w:rPr>
          <w:rFonts w:hint="eastAsia" w:ascii="宋体" w:hAnsi="宋体"/>
          <w:b/>
          <w:color w:val="auto"/>
          <w:sz w:val="24"/>
          <w:highlight w:val="none"/>
        </w:rPr>
      </w:pPr>
      <w:bookmarkStart w:id="441" w:name="_Toc18990"/>
      <w:bookmarkStart w:id="442" w:name="_Toc13467"/>
      <w:bookmarkStart w:id="443" w:name="_Toc13154"/>
      <w:bookmarkStart w:id="444" w:name="_Toc30507"/>
      <w:bookmarkStart w:id="445" w:name="_Toc16163"/>
      <w:r>
        <w:rPr>
          <w:rFonts w:ascii="宋体" w:hAnsi="宋体"/>
          <w:b/>
          <w:color w:val="auto"/>
          <w:sz w:val="24"/>
          <w:highlight w:val="none"/>
        </w:rPr>
        <w:t>2.6 技术资料和保密义务</w:t>
      </w:r>
      <w:bookmarkEnd w:id="441"/>
      <w:bookmarkEnd w:id="442"/>
      <w:bookmarkEnd w:id="443"/>
      <w:bookmarkEnd w:id="444"/>
      <w:bookmarkEnd w:id="445"/>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360" w:lineRule="auto"/>
        <w:ind w:firstLine="482" w:firstLineChars="200"/>
        <w:outlineLvl w:val="0"/>
        <w:rPr>
          <w:rFonts w:hint="eastAsia" w:ascii="宋体" w:hAnsi="宋体"/>
          <w:b/>
          <w:color w:val="auto"/>
          <w:sz w:val="24"/>
          <w:highlight w:val="none"/>
        </w:rPr>
      </w:pPr>
      <w:bookmarkStart w:id="446"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46"/>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hint="eastAsia" w:ascii="宋体" w:hAnsi="宋体"/>
          <w:b/>
          <w:color w:val="auto"/>
          <w:sz w:val="24"/>
          <w:highlight w:val="none"/>
        </w:rPr>
      </w:pPr>
      <w:bookmarkStart w:id="447" w:name="_Toc22267"/>
      <w:r>
        <w:rPr>
          <w:rFonts w:ascii="宋体" w:hAnsi="宋体"/>
          <w:b/>
          <w:color w:val="auto"/>
          <w:sz w:val="24"/>
          <w:highlight w:val="none"/>
        </w:rPr>
        <w:t xml:space="preserve">2.8 </w:t>
      </w:r>
      <w:bookmarkEnd w:id="447"/>
      <w:r>
        <w:rPr>
          <w:rFonts w:hint="eastAsia" w:ascii="宋体" w:hAnsi="宋体"/>
          <w:b/>
          <w:color w:val="auto"/>
          <w:sz w:val="24"/>
          <w:highlight w:val="none"/>
        </w:rPr>
        <w:t>货物的风险负担</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货物或者在途货物或者交付给第一承运人后的货物毁损、灭失的风险负担详见</w:t>
      </w:r>
      <w:r>
        <w:rPr>
          <w:rFonts w:hint="eastAsia" w:ascii="宋体" w:hAnsi="宋体"/>
          <w:b/>
          <w:i/>
          <w:color w:val="auto"/>
          <w:sz w:val="24"/>
          <w:highlight w:val="none"/>
          <w:u w:val="single"/>
        </w:rPr>
        <w:t>合同专用条款</w:t>
      </w:r>
      <w:r>
        <w:rPr>
          <w:rFonts w:ascii="宋体" w:hAnsi="宋体"/>
          <w:color w:val="auto"/>
          <w:sz w:val="24"/>
          <w:highlight w:val="none"/>
        </w:rPr>
        <w:t>。</w:t>
      </w:r>
    </w:p>
    <w:p>
      <w:pPr>
        <w:spacing w:line="360" w:lineRule="auto"/>
        <w:ind w:firstLine="482" w:firstLineChars="200"/>
        <w:outlineLvl w:val="0"/>
        <w:rPr>
          <w:rFonts w:hint="eastAsia" w:ascii="宋体" w:hAnsi="宋体"/>
          <w:b/>
          <w:color w:val="auto"/>
          <w:sz w:val="24"/>
          <w:highlight w:val="none"/>
        </w:rPr>
      </w:pPr>
      <w:bookmarkStart w:id="448" w:name="_Toc10611"/>
      <w:r>
        <w:rPr>
          <w:rFonts w:ascii="宋体" w:hAnsi="宋体"/>
          <w:b/>
          <w:color w:val="auto"/>
          <w:sz w:val="24"/>
          <w:highlight w:val="none"/>
        </w:rPr>
        <w:t xml:space="preserve">2.9 </w:t>
      </w:r>
      <w:bookmarkEnd w:id="448"/>
      <w:r>
        <w:rPr>
          <w:rFonts w:hint="eastAsia" w:ascii="宋体" w:hAnsi="宋体"/>
          <w:b/>
          <w:color w:val="auto"/>
          <w:sz w:val="24"/>
          <w:highlight w:val="none"/>
        </w:rPr>
        <w:t>延迟交货</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360" w:lineRule="auto"/>
        <w:ind w:firstLine="482" w:firstLineChars="200"/>
        <w:outlineLvl w:val="0"/>
        <w:rPr>
          <w:rFonts w:hint="eastAsia" w:ascii="宋体" w:hAnsi="宋体"/>
          <w:b/>
          <w:color w:val="auto"/>
          <w:sz w:val="24"/>
          <w:highlight w:val="none"/>
        </w:rPr>
      </w:pPr>
      <w:bookmarkStart w:id="449" w:name="_Toc7502"/>
      <w:bookmarkStart w:id="450" w:name="_Toc259093683"/>
      <w:bookmarkStart w:id="451" w:name="_Toc487900364"/>
      <w:bookmarkStart w:id="452" w:name="_Toc279701254"/>
      <w:bookmarkStart w:id="453" w:name="_Ref467378121"/>
      <w:r>
        <w:rPr>
          <w:rFonts w:hint="eastAsia" w:ascii="宋体" w:hAnsi="宋体"/>
          <w:b/>
          <w:color w:val="auto"/>
          <w:sz w:val="24"/>
          <w:highlight w:val="none"/>
        </w:rPr>
        <w:t>2.10 合同变更</w:t>
      </w:r>
      <w:bookmarkEnd w:id="449"/>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54" w:name="_Toc259093688"/>
      <w:bookmarkStart w:id="455" w:name="_Toc279701259"/>
      <w:bookmarkStart w:id="456" w:name="_Toc487900369"/>
    </w:p>
    <w:p>
      <w:pPr>
        <w:spacing w:line="360" w:lineRule="auto"/>
        <w:ind w:firstLine="482" w:firstLineChars="200"/>
        <w:outlineLvl w:val="0"/>
        <w:rPr>
          <w:rFonts w:hint="eastAsia" w:ascii="宋体" w:hAnsi="宋体"/>
          <w:b/>
          <w:color w:val="auto"/>
          <w:sz w:val="24"/>
          <w:highlight w:val="none"/>
        </w:rPr>
      </w:pPr>
      <w:bookmarkStart w:id="457" w:name="_Toc15237"/>
      <w:bookmarkStart w:id="458" w:name="_Toc10366"/>
      <w:bookmarkStart w:id="459" w:name="_Toc22955"/>
      <w:r>
        <w:rPr>
          <w:rFonts w:hint="eastAsia" w:ascii="宋体" w:hAnsi="宋体"/>
          <w:b/>
          <w:color w:val="auto"/>
          <w:sz w:val="24"/>
          <w:highlight w:val="none"/>
        </w:rPr>
        <w:t>2.11 合同转让</w:t>
      </w:r>
      <w:bookmarkEnd w:id="454"/>
      <w:bookmarkEnd w:id="455"/>
      <w:bookmarkEnd w:id="456"/>
      <w:r>
        <w:rPr>
          <w:rFonts w:hint="eastAsia" w:ascii="宋体" w:hAnsi="宋体"/>
          <w:b/>
          <w:color w:val="auto"/>
          <w:sz w:val="24"/>
          <w:highlight w:val="none"/>
        </w:rPr>
        <w:t>和分包</w:t>
      </w:r>
      <w:bookmarkEnd w:id="457"/>
      <w:bookmarkEnd w:id="458"/>
      <w:bookmarkEnd w:id="459"/>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2.11.2乙方采取分包方式履行合同的，甲方可直接向分包供应商支付款项。</w:t>
      </w:r>
    </w:p>
    <w:p>
      <w:pPr>
        <w:spacing w:line="360" w:lineRule="auto"/>
        <w:ind w:firstLine="482" w:firstLineChars="200"/>
        <w:outlineLvl w:val="0"/>
        <w:rPr>
          <w:rFonts w:hint="eastAsia" w:ascii="宋体" w:hAnsi="宋体"/>
          <w:b/>
          <w:color w:val="auto"/>
          <w:sz w:val="24"/>
          <w:highlight w:val="none"/>
        </w:rPr>
      </w:pPr>
      <w:bookmarkStart w:id="460" w:name="_Toc14066"/>
      <w:bookmarkStart w:id="461" w:name="_Toc13566"/>
      <w:bookmarkStart w:id="462" w:name="_Toc16508"/>
      <w:r>
        <w:rPr>
          <w:rFonts w:hint="eastAsia" w:ascii="宋体" w:hAnsi="宋体"/>
          <w:b/>
          <w:color w:val="auto"/>
          <w:sz w:val="24"/>
          <w:highlight w:val="none"/>
        </w:rPr>
        <w:t>2.12 不可抗力</w:t>
      </w:r>
      <w:bookmarkEnd w:id="460"/>
      <w:bookmarkEnd w:id="461"/>
      <w:bookmarkEnd w:id="462"/>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2.12.1如果任何一方遭遇法律规定的不可抗力，致使合同履行受阻时，履行合同的期限应予延长，延长的期限应相当于不可抗力所影响的时间；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2.12.2 因不可抗力致使不能实现合同目的的，当事人可以解除合同；</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2.12.3 因不可抗力致使合同有变更必要的，双方当事人应在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约定时间内以书面形式变更合同；</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2.12.4受不可抗力影响的一方在不可抗力发生后，应在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约定时间内以书面形式通知对方当事人，并在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约定时间内，将有关部门出具的证明文件送达对方当事人。</w:t>
      </w:r>
    </w:p>
    <w:p>
      <w:pPr>
        <w:spacing w:line="360" w:lineRule="auto"/>
        <w:ind w:firstLine="482" w:firstLineChars="200"/>
        <w:outlineLvl w:val="0"/>
        <w:rPr>
          <w:rFonts w:hint="eastAsia" w:ascii="宋体" w:hAnsi="宋体"/>
          <w:b/>
          <w:color w:val="auto"/>
          <w:sz w:val="24"/>
          <w:highlight w:val="none"/>
        </w:rPr>
      </w:pPr>
      <w:bookmarkStart w:id="463" w:name="_Toc6969"/>
      <w:bookmarkStart w:id="464" w:name="_Toc279701255"/>
      <w:bookmarkStart w:id="465" w:name="_Toc689"/>
      <w:bookmarkStart w:id="466" w:name="_Toc30676"/>
      <w:bookmarkStart w:id="467" w:name="_Toc487900365"/>
      <w:bookmarkStart w:id="468" w:name="_Toc259093684"/>
      <w:r>
        <w:rPr>
          <w:rFonts w:hint="eastAsia" w:ascii="宋体" w:hAnsi="宋体"/>
          <w:b/>
          <w:color w:val="auto"/>
          <w:sz w:val="24"/>
          <w:highlight w:val="none"/>
        </w:rPr>
        <w:t>2.13 税费</w:t>
      </w:r>
      <w:bookmarkEnd w:id="463"/>
      <w:bookmarkEnd w:id="464"/>
      <w:bookmarkEnd w:id="465"/>
      <w:bookmarkEnd w:id="466"/>
      <w:bookmarkEnd w:id="467"/>
      <w:bookmarkEnd w:id="468"/>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与合同有关的一切税费，均按照中华人民共和国法律的相关规定。</w:t>
      </w:r>
    </w:p>
    <w:p>
      <w:pPr>
        <w:spacing w:line="360" w:lineRule="auto"/>
        <w:ind w:firstLine="482" w:firstLineChars="200"/>
        <w:outlineLvl w:val="0"/>
        <w:rPr>
          <w:rFonts w:hint="eastAsia" w:ascii="宋体" w:hAnsi="宋体"/>
          <w:b/>
          <w:color w:val="auto"/>
          <w:sz w:val="24"/>
          <w:highlight w:val="none"/>
        </w:rPr>
      </w:pPr>
      <w:bookmarkStart w:id="469" w:name="_Toc7102"/>
      <w:bookmarkStart w:id="470" w:name="_Toc259093687"/>
      <w:bookmarkStart w:id="471" w:name="_Toc8298"/>
      <w:bookmarkStart w:id="472" w:name="_Toc279701258"/>
      <w:bookmarkStart w:id="473" w:name="_Toc487900368"/>
      <w:bookmarkStart w:id="474" w:name="_Toc16959"/>
      <w:r>
        <w:rPr>
          <w:rFonts w:hint="eastAsia" w:ascii="宋体" w:hAnsi="宋体"/>
          <w:b/>
          <w:color w:val="auto"/>
          <w:sz w:val="24"/>
          <w:highlight w:val="none"/>
        </w:rPr>
        <w:t>2.14乙方破产</w:t>
      </w:r>
      <w:bookmarkEnd w:id="469"/>
      <w:bookmarkEnd w:id="470"/>
      <w:bookmarkEnd w:id="471"/>
      <w:bookmarkEnd w:id="472"/>
      <w:bookmarkEnd w:id="473"/>
      <w:bookmarkEnd w:id="474"/>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hint="eastAsia" w:ascii="宋体" w:hAnsi="宋体"/>
          <w:b/>
          <w:color w:val="auto"/>
          <w:sz w:val="24"/>
          <w:highlight w:val="none"/>
        </w:rPr>
      </w:pPr>
      <w:bookmarkStart w:id="475" w:name="_Toc29333"/>
      <w:bookmarkStart w:id="476" w:name="_Toc6134"/>
      <w:bookmarkStart w:id="477" w:name="_Toc15387"/>
      <w:r>
        <w:rPr>
          <w:rFonts w:hint="eastAsia" w:ascii="宋体" w:hAnsi="宋体"/>
          <w:b/>
          <w:color w:val="auto"/>
          <w:sz w:val="24"/>
          <w:highlight w:val="none"/>
        </w:rPr>
        <w:t>2.15 合同中止、终止</w:t>
      </w:r>
      <w:bookmarkEnd w:id="475"/>
      <w:bookmarkEnd w:id="476"/>
      <w:bookmarkEnd w:id="477"/>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2.15.1 双方当事人不得擅自中止或者终止合同；</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hint="eastAsia" w:ascii="宋体" w:hAnsi="宋体"/>
          <w:b/>
          <w:color w:val="auto"/>
          <w:sz w:val="24"/>
          <w:highlight w:val="none"/>
        </w:rPr>
      </w:pPr>
      <w:bookmarkStart w:id="478" w:name="_Toc1125"/>
      <w:bookmarkStart w:id="479" w:name="_Toc6596"/>
      <w:bookmarkStart w:id="480" w:name="_Toc14563"/>
      <w:r>
        <w:rPr>
          <w:rFonts w:hint="eastAsia" w:ascii="宋体" w:hAnsi="宋体"/>
          <w:b/>
          <w:color w:val="auto"/>
          <w:sz w:val="24"/>
          <w:highlight w:val="none"/>
        </w:rPr>
        <w:t>2.16检验和验收</w:t>
      </w:r>
      <w:bookmarkEnd w:id="478"/>
      <w:bookmarkEnd w:id="479"/>
      <w:bookmarkEnd w:id="480"/>
    </w:p>
    <w:p>
      <w:pPr>
        <w:tabs>
          <w:tab w:val="left" w:pos="360"/>
          <w:tab w:val="left" w:pos="540"/>
          <w:tab w:val="left" w:pos="1080"/>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约定时间内组织验收，并可依法邀请相关方参加，验收应出具验收书。</w:t>
      </w:r>
    </w:p>
    <w:p>
      <w:pPr>
        <w:tabs>
          <w:tab w:val="left" w:pos="360"/>
          <w:tab w:val="left" w:pos="540"/>
          <w:tab w:val="left" w:pos="1080"/>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2.16.3 检验和验收标准、程序等具体内容以及前述验收书的效力详见</w:t>
      </w:r>
      <w:r>
        <w:rPr>
          <w:rFonts w:hint="eastAsia" w:ascii="宋体" w:hAnsi="宋体"/>
          <w:b/>
          <w:i/>
          <w:color w:val="auto"/>
          <w:sz w:val="24"/>
          <w:highlight w:val="none"/>
          <w:u w:val="single"/>
        </w:rPr>
        <w:t>合同专用条款</w:t>
      </w:r>
      <w:r>
        <w:rPr>
          <w:rFonts w:hint="eastAsia" w:ascii="宋体" w:hAnsi="宋体"/>
          <w:i/>
          <w:color w:val="auto"/>
          <w:sz w:val="24"/>
          <w:highlight w:val="none"/>
        </w:rPr>
        <w:t>。</w:t>
      </w:r>
    </w:p>
    <w:bookmarkEnd w:id="450"/>
    <w:bookmarkEnd w:id="451"/>
    <w:bookmarkEnd w:id="452"/>
    <w:bookmarkEnd w:id="453"/>
    <w:p>
      <w:pPr>
        <w:spacing w:line="360" w:lineRule="auto"/>
        <w:ind w:firstLine="482" w:firstLineChars="200"/>
        <w:outlineLvl w:val="0"/>
        <w:rPr>
          <w:rFonts w:hint="eastAsia" w:ascii="宋体" w:hAnsi="宋体"/>
          <w:b/>
          <w:color w:val="auto"/>
          <w:sz w:val="24"/>
          <w:highlight w:val="none"/>
        </w:rPr>
      </w:pPr>
      <w:bookmarkStart w:id="481" w:name="_Toc279701261"/>
      <w:bookmarkStart w:id="482" w:name="_Toc259093690"/>
      <w:bookmarkStart w:id="483" w:name="_Toc487900371"/>
      <w:bookmarkStart w:id="484" w:name="_Toc11284"/>
      <w:bookmarkStart w:id="485" w:name="_Toc25182"/>
      <w:bookmarkStart w:id="486" w:name="_Toc19604"/>
      <w:r>
        <w:rPr>
          <w:rFonts w:hint="eastAsia" w:ascii="宋体" w:hAnsi="宋体"/>
          <w:b/>
          <w:color w:val="auto"/>
          <w:sz w:val="24"/>
          <w:highlight w:val="none"/>
        </w:rPr>
        <w:t>2.17 通知</w:t>
      </w:r>
      <w:bookmarkEnd w:id="481"/>
      <w:bookmarkEnd w:id="482"/>
      <w:bookmarkEnd w:id="483"/>
      <w:r>
        <w:rPr>
          <w:rFonts w:hint="eastAsia" w:ascii="宋体" w:hAnsi="宋体"/>
          <w:b/>
          <w:color w:val="auto"/>
          <w:sz w:val="24"/>
          <w:highlight w:val="none"/>
        </w:rPr>
        <w:t>和送达</w:t>
      </w:r>
      <w:bookmarkEnd w:id="484"/>
      <w:bookmarkEnd w:id="485"/>
      <w:bookmarkEnd w:id="486"/>
    </w:p>
    <w:p>
      <w:pPr>
        <w:spacing w:line="360" w:lineRule="auto"/>
        <w:ind w:firstLine="480" w:firstLineChars="200"/>
        <w:rPr>
          <w:rFonts w:hint="eastAsia" w:ascii="宋体" w:hAnsi="宋体"/>
          <w:color w:val="auto"/>
          <w:sz w:val="24"/>
          <w:highlight w:val="none"/>
        </w:rPr>
      </w:pPr>
      <w:bookmarkStart w:id="487" w:name="_Toc3135"/>
      <w:bookmarkStart w:id="488" w:name="_Toc6698"/>
      <w:bookmarkStart w:id="489" w:name="_Toc487900372"/>
      <w:bookmarkStart w:id="490" w:name="_Toc259093691"/>
      <w:bookmarkStart w:id="491" w:name="_Toc279701262"/>
      <w:r>
        <w:rPr>
          <w:rFonts w:hint="eastAsia" w:ascii="宋体" w:hAnsi="宋体"/>
          <w:color w:val="auto"/>
          <w:sz w:val="24"/>
          <w:highlight w:val="none"/>
        </w:rPr>
        <w:t xml:space="preserve">2.17.1任何一方因履行合同而以合同第一部分尾部所列明的传真或电子邮件 </w:t>
      </w:r>
      <w:r>
        <w:rPr>
          <w:rFonts w:hint="eastAsia"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hint="eastAsia"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bookmarkEnd w:id="487"/>
      <w:bookmarkEnd w:id="488"/>
    </w:p>
    <w:p>
      <w:pPr>
        <w:spacing w:line="360" w:lineRule="auto"/>
        <w:ind w:firstLine="480" w:firstLineChars="200"/>
        <w:rPr>
          <w:rFonts w:hint="eastAsia" w:ascii="宋体" w:hAnsi="宋体"/>
          <w:color w:val="auto"/>
          <w:sz w:val="24"/>
          <w:highlight w:val="none"/>
        </w:rPr>
      </w:pPr>
      <w:bookmarkStart w:id="492" w:name="_Toc23128"/>
      <w:bookmarkStart w:id="493" w:name="_Toc23294"/>
      <w:r>
        <w:rPr>
          <w:rFonts w:hint="eastAsia"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2"/>
      <w:bookmarkEnd w:id="493"/>
    </w:p>
    <w:p>
      <w:pPr>
        <w:spacing w:line="360" w:lineRule="auto"/>
        <w:ind w:firstLine="482" w:firstLineChars="200"/>
        <w:outlineLvl w:val="0"/>
        <w:rPr>
          <w:rFonts w:hint="eastAsia" w:ascii="宋体" w:hAnsi="宋体"/>
          <w:b/>
          <w:color w:val="auto"/>
          <w:sz w:val="24"/>
          <w:highlight w:val="none"/>
        </w:rPr>
      </w:pPr>
      <w:bookmarkStart w:id="494" w:name="_Toc18540"/>
      <w:bookmarkStart w:id="495" w:name="_Toc30599"/>
      <w:bookmarkStart w:id="496" w:name="_Toc4355"/>
      <w:r>
        <w:rPr>
          <w:rFonts w:hint="eastAsia" w:ascii="宋体" w:hAnsi="宋体"/>
          <w:b/>
          <w:color w:val="auto"/>
          <w:sz w:val="24"/>
          <w:highlight w:val="none"/>
        </w:rPr>
        <w:t>2.18 计量单位</w:t>
      </w:r>
      <w:bookmarkEnd w:id="489"/>
      <w:bookmarkEnd w:id="490"/>
      <w:bookmarkEnd w:id="491"/>
      <w:bookmarkEnd w:id="494"/>
      <w:bookmarkEnd w:id="495"/>
      <w:bookmarkEnd w:id="496"/>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除技术规范中另有规定外,合同的计量单位均使用国家法定计量单位。</w:t>
      </w:r>
    </w:p>
    <w:p>
      <w:pPr>
        <w:spacing w:line="360" w:lineRule="auto"/>
        <w:ind w:firstLine="482" w:firstLineChars="200"/>
        <w:outlineLvl w:val="0"/>
        <w:rPr>
          <w:rFonts w:hint="eastAsia" w:ascii="宋体" w:hAnsi="宋体"/>
          <w:b/>
          <w:color w:val="auto"/>
          <w:sz w:val="24"/>
          <w:highlight w:val="none"/>
        </w:rPr>
      </w:pPr>
      <w:bookmarkStart w:id="497" w:name="_Toc10330"/>
      <w:bookmarkStart w:id="498" w:name="_Toc12773"/>
      <w:bookmarkStart w:id="499" w:name="_Toc279701263"/>
      <w:bookmarkStart w:id="500" w:name="_Toc487900373"/>
      <w:bookmarkStart w:id="501" w:name="_Toc259093692"/>
      <w:bookmarkStart w:id="502" w:name="_Toc18567"/>
      <w:r>
        <w:rPr>
          <w:rFonts w:hint="eastAsia" w:ascii="宋体" w:hAnsi="宋体"/>
          <w:b/>
          <w:color w:val="auto"/>
          <w:sz w:val="24"/>
          <w:highlight w:val="none"/>
        </w:rPr>
        <w:t>2.19 合同使用的文字和适用的法律</w:t>
      </w:r>
      <w:bookmarkEnd w:id="497"/>
      <w:bookmarkEnd w:id="498"/>
      <w:bookmarkEnd w:id="499"/>
      <w:bookmarkEnd w:id="500"/>
      <w:bookmarkEnd w:id="501"/>
      <w:bookmarkEnd w:id="502"/>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2.19.1 合同使用汉语书就、变更和解释；</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2.19.2 合同适用中华人民共和国法律。</w:t>
      </w:r>
    </w:p>
    <w:p>
      <w:pPr>
        <w:spacing w:line="360" w:lineRule="auto"/>
        <w:ind w:firstLine="482" w:firstLineChars="200"/>
        <w:outlineLvl w:val="0"/>
        <w:rPr>
          <w:rFonts w:hint="eastAsia" w:ascii="宋体" w:hAnsi="宋体"/>
          <w:b/>
          <w:color w:val="auto"/>
          <w:sz w:val="24"/>
          <w:highlight w:val="none"/>
        </w:rPr>
      </w:pPr>
      <w:bookmarkStart w:id="503" w:name="_Toc12004"/>
      <w:bookmarkStart w:id="504" w:name="_Toc279701264"/>
      <w:bookmarkStart w:id="505" w:name="_Toc259093693"/>
      <w:bookmarkStart w:id="506" w:name="_Toc16673"/>
      <w:bookmarkStart w:id="507" w:name="_Toc3148"/>
      <w:bookmarkStart w:id="508" w:name="_Toc487900374"/>
      <w:r>
        <w:rPr>
          <w:rFonts w:hint="eastAsia" w:ascii="宋体" w:hAnsi="宋体"/>
          <w:b/>
          <w:color w:val="auto"/>
          <w:sz w:val="24"/>
          <w:highlight w:val="none"/>
        </w:rPr>
        <w:t>2.20</w:t>
      </w:r>
      <w:bookmarkEnd w:id="503"/>
      <w:bookmarkEnd w:id="504"/>
      <w:bookmarkEnd w:id="505"/>
      <w:bookmarkEnd w:id="506"/>
      <w:bookmarkEnd w:id="507"/>
      <w:bookmarkEnd w:id="508"/>
      <w:bookmarkStart w:id="509" w:name="_Toc19890"/>
      <w:bookmarkStart w:id="510" w:name="_Toc6885"/>
      <w:bookmarkStart w:id="511" w:name="_Toc14001"/>
      <w:r>
        <w:rPr>
          <w:rFonts w:hint="eastAsia" w:ascii="宋体" w:hAnsi="宋体"/>
          <w:b/>
          <w:color w:val="auto"/>
          <w:sz w:val="24"/>
          <w:highlight w:val="none"/>
        </w:rPr>
        <w:t>合同份数</w:t>
      </w:r>
      <w:bookmarkEnd w:id="509"/>
      <w:bookmarkEnd w:id="510"/>
      <w:bookmarkEnd w:id="511"/>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合同份数按</w:t>
      </w:r>
      <w:r>
        <w:rPr>
          <w:rFonts w:hint="eastAsia" w:ascii="宋体" w:hAnsi="宋体"/>
          <w:b/>
          <w:i/>
          <w:color w:val="auto"/>
          <w:sz w:val="24"/>
          <w:highlight w:val="none"/>
          <w:u w:val="single"/>
        </w:rPr>
        <w:t>合同专用条款</w:t>
      </w:r>
      <w:r>
        <w:rPr>
          <w:rFonts w:hint="eastAsia" w:ascii="宋体" w:hAnsi="宋体"/>
          <w:color w:val="auto"/>
          <w:sz w:val="24"/>
          <w:highlight w:val="none"/>
        </w:rPr>
        <w:t>规定，每份均具有同等法律效力。</w:t>
      </w:r>
    </w:p>
    <w:p>
      <w:pPr>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2.2</w:t>
      </w:r>
      <w:r>
        <w:rPr>
          <w:rFonts w:hint="eastAsia" w:ascii="宋体" w:hAnsi="宋体"/>
          <w:b/>
          <w:color w:val="auto"/>
          <w:sz w:val="24"/>
          <w:highlight w:val="none"/>
        </w:rPr>
        <w:t>1甲乙双方的权利和义务</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详见</w:t>
      </w:r>
      <w:r>
        <w:rPr>
          <w:rFonts w:ascii="宋体" w:hAnsi="宋体"/>
          <w:b/>
          <w:i/>
          <w:color w:val="auto"/>
          <w:sz w:val="24"/>
          <w:highlight w:val="none"/>
          <w:u w:val="single"/>
        </w:rPr>
        <w:t>合同专用条款</w:t>
      </w:r>
      <w:r>
        <w:rPr>
          <w:rFonts w:hint="eastAsia" w:ascii="宋体" w:hAnsi="宋体"/>
          <w:color w:val="auto"/>
          <w:sz w:val="24"/>
          <w:highlight w:val="none"/>
        </w:rPr>
        <w:t>。</w:t>
      </w:r>
    </w:p>
    <w:p>
      <w:pPr>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2.2</w:t>
      </w:r>
      <w:r>
        <w:rPr>
          <w:rFonts w:hint="eastAsia" w:ascii="宋体" w:hAnsi="宋体"/>
          <w:b/>
          <w:color w:val="auto"/>
          <w:sz w:val="24"/>
          <w:highlight w:val="none"/>
        </w:rPr>
        <w:t>2质保及售后条款</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详见</w:t>
      </w:r>
      <w:r>
        <w:rPr>
          <w:rFonts w:hint="eastAsia" w:ascii="宋体" w:hAnsi="宋体"/>
          <w:b/>
          <w:bCs/>
          <w:i/>
          <w:iCs/>
          <w:color w:val="auto"/>
          <w:sz w:val="24"/>
          <w:highlight w:val="none"/>
          <w:u w:val="single"/>
        </w:rPr>
        <w:t>合同专用条款</w:t>
      </w:r>
      <w:r>
        <w:rPr>
          <w:rFonts w:hint="eastAsia" w:ascii="宋体" w:hAnsi="宋体"/>
          <w:color w:val="auto"/>
          <w:sz w:val="24"/>
          <w:highlight w:val="none"/>
        </w:rPr>
        <w:t>。</w:t>
      </w:r>
    </w:p>
    <w:p>
      <w:pPr>
        <w:rPr>
          <w:rFonts w:hint="eastAsia" w:ascii="宋体" w:hAnsi="宋体"/>
          <w:b/>
          <w:color w:val="auto"/>
          <w:highlight w:val="none"/>
        </w:rPr>
      </w:pPr>
      <w:r>
        <w:rPr>
          <w:rFonts w:hint="eastAsia" w:ascii="宋体" w:hAnsi="宋体"/>
          <w:b/>
          <w:color w:val="auto"/>
          <w:highlight w:val="none"/>
        </w:rPr>
        <w:br w:type="page"/>
      </w:r>
    </w:p>
    <w:p>
      <w:pPr>
        <w:pStyle w:val="32"/>
        <w:spacing w:line="560" w:lineRule="exact"/>
        <w:ind w:left="0" w:leftChars="0" w:firstLine="0" w:firstLineChars="0"/>
        <w:jc w:val="center"/>
        <w:rPr>
          <w:rFonts w:hint="eastAsia" w:ascii="宋体" w:hAnsi="宋体"/>
          <w:b/>
          <w:color w:val="auto"/>
          <w:highlight w:val="none"/>
        </w:rPr>
      </w:pPr>
      <w:r>
        <w:rPr>
          <w:rFonts w:hint="eastAsia" w:ascii="宋体" w:hAnsi="宋体"/>
          <w:b/>
          <w:color w:val="auto"/>
          <w:highlight w:val="none"/>
        </w:rPr>
        <w:t>第三部分  合同专用条款</w:t>
      </w:r>
    </w:p>
    <w:p>
      <w:pPr>
        <w:spacing w:line="360" w:lineRule="auto"/>
        <w:ind w:left="-420" w:leftChars="-200" w:right="-420" w:rightChars="-200" w:firstLine="480" w:firstLineChars="200"/>
        <w:rPr>
          <w:rFonts w:hint="eastAsia" w:ascii="宋体" w:hAnsi="宋体"/>
          <w:color w:val="auto"/>
          <w:sz w:val="24"/>
          <w:highlight w:val="none"/>
        </w:rPr>
      </w:pPr>
      <w:r>
        <w:rPr>
          <w:rFonts w:hint="eastAsia" w:ascii="宋体" w:hAnsi="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7"/>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00" w:lineRule="auto"/>
              <w:jc w:val="center"/>
              <w:rPr>
                <w:rFonts w:hint="eastAsia"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pPr>
              <w:spacing w:line="300" w:lineRule="auto"/>
              <w:jc w:val="center"/>
              <w:rPr>
                <w:rFonts w:hint="eastAsia"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1.4.2</w:t>
            </w:r>
          </w:p>
        </w:tc>
        <w:tc>
          <w:tcPr>
            <w:tcW w:w="4534" w:type="pct"/>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不收取</w:t>
            </w: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pPr>
              <w:spacing w:line="30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合同签订及具备支付条件后7个工作日内，</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支付合同总价的40%预付款</w:t>
            </w:r>
            <w:r>
              <w:rPr>
                <w:rFonts w:hint="eastAsia" w:ascii="宋体" w:hAnsi="宋体" w:cs="宋体"/>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不扣回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pPr>
              <w:spacing w:line="300" w:lineRule="auto"/>
              <w:rPr>
                <w:rFonts w:hint="eastAsia" w:ascii="宋体" w:hAnsi="宋体" w:cs="宋体"/>
                <w:color w:val="auto"/>
                <w:sz w:val="24"/>
                <w:highlight w:val="none"/>
              </w:rPr>
            </w:pPr>
            <w:r>
              <w:rPr>
                <w:rFonts w:hint="eastAsia" w:ascii="宋体" w:hAnsi="宋体"/>
                <w:color w:val="auto"/>
                <w:kern w:val="0"/>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pPr>
              <w:pStyle w:val="14"/>
              <w:numPr>
                <w:ilvl w:val="0"/>
                <w:numId w:val="13"/>
              </w:numPr>
              <w:snapToGrid w:val="0"/>
              <w:spacing w:before="0" w:beforeAutospacing="0" w:after="0" w:afterAutospacing="0" w:line="30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安装调试完成并通过由使用单位组织的验收小组对项目</w:t>
            </w:r>
            <w:r>
              <w:rPr>
                <w:rFonts w:hint="eastAsia" w:ascii="宋体" w:hAnsi="宋体" w:eastAsia="宋体" w:cs="宋体"/>
                <w:color w:val="auto"/>
                <w:sz w:val="24"/>
                <w:highlight w:val="none"/>
                <w:lang w:val="en-US" w:eastAsia="zh-CN"/>
              </w:rPr>
              <w:t>初</w:t>
            </w:r>
            <w:r>
              <w:rPr>
                <w:rFonts w:hint="eastAsia" w:ascii="宋体" w:hAnsi="宋体" w:eastAsia="宋体" w:cs="宋体"/>
                <w:color w:val="auto"/>
                <w:sz w:val="24"/>
                <w:highlight w:val="none"/>
              </w:rPr>
              <w:t>验合格后10个工作日内，乙方凭发票、</w:t>
            </w:r>
            <w:r>
              <w:rPr>
                <w:rFonts w:hint="eastAsia" w:ascii="宋体" w:hAnsi="宋体" w:eastAsia="宋体" w:cs="宋体"/>
                <w:color w:val="auto"/>
                <w:sz w:val="24"/>
                <w:highlight w:val="none"/>
                <w:lang w:val="en-US" w:eastAsia="zh-CN"/>
              </w:rPr>
              <w:t>初</w:t>
            </w:r>
            <w:r>
              <w:rPr>
                <w:rFonts w:hint="eastAsia" w:ascii="宋体" w:hAnsi="宋体" w:eastAsia="宋体" w:cs="宋体"/>
                <w:color w:val="auto"/>
                <w:sz w:val="24"/>
                <w:highlight w:val="none"/>
              </w:rPr>
              <w:t>验报告、向甲方办理</w:t>
            </w:r>
            <w:r>
              <w:rPr>
                <w:rFonts w:hint="eastAsia" w:ascii="宋体" w:hAnsi="宋体" w:eastAsia="宋体" w:cs="宋体"/>
                <w:color w:val="auto"/>
                <w:sz w:val="24"/>
                <w:highlight w:val="none"/>
                <w:lang w:val="en-US" w:eastAsia="zh-CN"/>
              </w:rPr>
              <w:t>申请支付</w:t>
            </w:r>
            <w:r>
              <w:rPr>
                <w:rFonts w:hint="eastAsia" w:ascii="宋体" w:hAnsi="宋体" w:eastAsia="宋体" w:cs="宋体"/>
                <w:color w:val="auto"/>
                <w:sz w:val="24"/>
                <w:highlight w:val="none"/>
              </w:rPr>
              <w:t>合同</w:t>
            </w:r>
            <w:r>
              <w:rPr>
                <w:rFonts w:hint="eastAsia" w:ascii="宋体" w:hAnsi="宋体" w:eastAsia="宋体" w:cs="宋体"/>
                <w:color w:val="auto"/>
                <w:sz w:val="24"/>
                <w:highlight w:val="none"/>
                <w:lang w:val="en-US" w:eastAsia="zh-CN"/>
              </w:rPr>
              <w:t>40%的货款</w:t>
            </w:r>
            <w:r>
              <w:rPr>
                <w:rFonts w:hint="eastAsia" w:ascii="宋体" w:hAnsi="宋体" w:eastAsia="宋体" w:cs="宋体"/>
                <w:color w:val="auto"/>
                <w:sz w:val="24"/>
                <w:szCs w:val="24"/>
                <w:highlight w:val="none"/>
                <w:lang w:val="en-US" w:eastAsia="zh-CN"/>
              </w:rPr>
              <w:t>。</w:t>
            </w:r>
          </w:p>
          <w:p>
            <w:pPr>
              <w:pStyle w:val="14"/>
              <w:numPr>
                <w:ilvl w:val="0"/>
                <w:numId w:val="13"/>
              </w:numPr>
              <w:snapToGrid w:val="0"/>
              <w:spacing w:before="0" w:beforeAutospacing="0" w:after="0" w:afterAutospacing="0" w:line="300" w:lineRule="auto"/>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eastAsia="宋体" w:cs="宋体"/>
                <w:color w:val="auto"/>
                <w:sz w:val="24"/>
                <w:highlight w:val="none"/>
                <w:lang w:val="en-US" w:eastAsia="zh-CN"/>
              </w:rPr>
              <w:t>初验通过后并试运行一个月以上，</w:t>
            </w:r>
            <w:r>
              <w:rPr>
                <w:rFonts w:hint="eastAsia" w:ascii="宋体" w:hAnsi="宋体" w:eastAsia="宋体" w:cs="宋体"/>
                <w:color w:val="auto"/>
                <w:sz w:val="24"/>
                <w:highlight w:val="none"/>
              </w:rPr>
              <w:t>通过由使用单位组织的验收小组对项目</w:t>
            </w:r>
            <w:r>
              <w:rPr>
                <w:rFonts w:hint="eastAsia" w:ascii="宋体" w:hAnsi="宋体" w:eastAsia="宋体" w:cs="宋体"/>
                <w:color w:val="auto"/>
                <w:sz w:val="24"/>
                <w:highlight w:val="none"/>
                <w:lang w:val="en-US" w:eastAsia="zh-CN"/>
              </w:rPr>
              <w:t>终</w:t>
            </w:r>
            <w:r>
              <w:rPr>
                <w:rFonts w:hint="eastAsia" w:ascii="宋体" w:hAnsi="宋体" w:eastAsia="宋体" w:cs="宋体"/>
                <w:color w:val="auto"/>
                <w:sz w:val="24"/>
                <w:highlight w:val="none"/>
              </w:rPr>
              <w:t>验合格后，提交全部报告材料，通过正式验收后10个工作日内，乙方凭发票、验收报告向甲方办理合同余款</w:t>
            </w:r>
            <w:r>
              <w:rPr>
                <w:rFonts w:hint="eastAsia" w:ascii="宋体" w:hAnsi="宋体" w:eastAsia="宋体" w:cs="宋体"/>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pPr>
              <w:pStyle w:val="6"/>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hint="eastAsia"/>
                <w:color w:val="auto"/>
                <w:highlight w:val="none"/>
              </w:rPr>
            </w:pPr>
            <w:r>
              <w:rPr>
                <w:rFonts w:hint="eastAsia" w:hAnsi="宋体" w:cs="宋体"/>
                <w:color w:val="auto"/>
                <w:sz w:val="24"/>
                <w:highlight w:val="none"/>
                <w:lang w:val="en-US" w:eastAsia="zh-CN"/>
              </w:rPr>
              <w:t>合同签订后60个自然日完成软件安装与开发调试，试运行30个自然日后进行终验</w:t>
            </w: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pPr>
              <w:adjustRightInd/>
              <w:spacing w:line="300" w:lineRule="auto"/>
              <w:rPr>
                <w:rFonts w:hint="eastAsia" w:ascii="宋体" w:hAnsi="宋体"/>
                <w:color w:val="auto"/>
                <w:kern w:val="0"/>
                <w:sz w:val="24"/>
                <w:highlight w:val="none"/>
              </w:rPr>
            </w:pPr>
            <w:r>
              <w:rPr>
                <w:rFonts w:hint="eastAsia" w:ascii="宋体" w:hAnsi="宋体"/>
                <w:color w:val="auto"/>
                <w:kern w:val="0"/>
                <w:sz w:val="24"/>
                <w:highlight w:val="none"/>
              </w:rPr>
              <w:t>采购人指定地点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pPr>
              <w:adjustRightInd/>
              <w:spacing w:line="300" w:lineRule="auto"/>
              <w:rPr>
                <w:rFonts w:hint="eastAsia" w:ascii="宋体" w:hAnsi="宋体"/>
                <w:color w:val="auto"/>
                <w:kern w:val="0"/>
                <w:sz w:val="24"/>
                <w:highlight w:val="none"/>
              </w:rPr>
            </w:pPr>
            <w:r>
              <w:rPr>
                <w:rFonts w:hint="eastAsia" w:ascii="宋体" w:hAnsi="宋体"/>
                <w:color w:val="auto"/>
                <w:kern w:val="0"/>
                <w:sz w:val="24"/>
                <w:highlight w:val="none"/>
              </w:rPr>
              <w:t>现场交付</w:t>
            </w:r>
          </w:p>
          <w:p>
            <w:pPr>
              <w:spacing w:line="300" w:lineRule="auto"/>
              <w:rPr>
                <w:color w:val="auto"/>
                <w:highlight w:val="none"/>
              </w:rPr>
            </w:pPr>
            <w:r>
              <w:rPr>
                <w:rFonts w:hint="eastAsia" w:ascii="宋体" w:hAnsi="宋体"/>
                <w:color w:val="auto"/>
                <w:kern w:val="0"/>
                <w:sz w:val="24"/>
                <w:highlight w:val="none"/>
              </w:rPr>
              <w:t>乙方在货物发运手续办理完毕后24小时内或货到甲方48小时前通知甲方，以准备接货。货物在交付甲方前发生的风险均由乙方负责。货物在规定的交付期限内由乙方送达甲方指定的地点视为交付，乙方同时需通知甲方货物已送达。对其在制造、购置、运输、存放及交货过程中的丢失或损坏进行全面保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其他违约条款（可自行补充）</w:t>
            </w:r>
          </w:p>
          <w:p>
            <w:pPr>
              <w:numPr>
                <w:ilvl w:val="0"/>
                <w:numId w:val="14"/>
              </w:numPr>
              <w:spacing w:line="300" w:lineRule="auto"/>
              <w:ind w:firstLine="240" w:firstLineChars="100"/>
              <w:rPr>
                <w:rFonts w:hint="eastAsia" w:ascii="宋体" w:hAnsi="宋体" w:cs="宋体"/>
                <w:color w:val="auto"/>
                <w:sz w:val="24"/>
                <w:highlight w:val="none"/>
              </w:rPr>
            </w:pPr>
            <w:r>
              <w:rPr>
                <w:rFonts w:hint="eastAsia" w:ascii="宋体" w:hAnsi="宋体"/>
                <w:color w:val="auto"/>
                <w:sz w:val="24"/>
                <w:highlight w:val="none"/>
              </w:rPr>
              <w:t>甲方有权对质量不合格产品进行拒收，由此产生的损失由乙方承担；</w:t>
            </w:r>
          </w:p>
          <w:p>
            <w:pPr>
              <w:numPr>
                <w:ilvl w:val="0"/>
                <w:numId w:val="14"/>
              </w:numPr>
              <w:spacing w:line="300" w:lineRule="auto"/>
              <w:ind w:firstLine="240" w:firstLineChars="100"/>
              <w:rPr>
                <w:rFonts w:hint="eastAsia" w:ascii="宋体" w:hAnsi="宋体" w:cs="宋体"/>
                <w:color w:val="auto"/>
                <w:sz w:val="24"/>
                <w:highlight w:val="none"/>
              </w:rPr>
            </w:pPr>
            <w:r>
              <w:rPr>
                <w:rFonts w:ascii="宋体" w:hAnsi="宋体" w:cs="宋体"/>
                <w:color w:val="auto"/>
                <w:sz w:val="24"/>
                <w:highlight w:val="none"/>
              </w:rPr>
              <w:t>乙方所交的货物品种、型号、规格、技术参数、质量不符合合同规定及招投标文件规定标准的，或项目经验收不合格的，甲方有权拒收该货物，乙方愿意更换货物但逾期交货的，按乙方逾期交货处理。乙方拒绝更换货物的，甲方可单方面解除合同，同时乙方应按合同价款的10%承担违约金，并退还全部已收款项。</w:t>
            </w:r>
          </w:p>
          <w:p>
            <w:pPr>
              <w:numPr>
                <w:ilvl w:val="0"/>
                <w:numId w:val="14"/>
              </w:numPr>
              <w:spacing w:line="300" w:lineRule="auto"/>
              <w:ind w:firstLine="240" w:firstLineChars="100"/>
              <w:rPr>
                <w:rFonts w:hint="eastAsia" w:ascii="宋体" w:hAnsi="宋体" w:cs="宋体"/>
                <w:color w:val="auto"/>
                <w:sz w:val="24"/>
                <w:highlight w:val="none"/>
              </w:rPr>
            </w:pPr>
            <w:r>
              <w:rPr>
                <w:rFonts w:ascii="宋体" w:hAnsi="宋体" w:cs="宋体"/>
                <w:color w:val="auto"/>
                <w:sz w:val="24"/>
                <w:highlight w:val="none"/>
              </w:rPr>
              <w:t>上述第</w:t>
            </w:r>
            <w:r>
              <w:rPr>
                <w:rFonts w:hint="eastAsia" w:ascii="宋体" w:hAnsi="宋体" w:cs="宋体"/>
                <w:color w:val="auto"/>
                <w:sz w:val="24"/>
                <w:highlight w:val="none"/>
              </w:rPr>
              <w:t>2</w:t>
            </w:r>
            <w:r>
              <w:rPr>
                <w:rFonts w:ascii="宋体" w:hAnsi="宋体" w:cs="宋体"/>
                <w:color w:val="auto"/>
                <w:sz w:val="24"/>
                <w:highlight w:val="none"/>
              </w:rPr>
              <w:t>项应退回或更换的货物，由乙方在验收后一周内运离安装地点，所需费用由乙方承担。如乙方在二周内不处理（搬走）的，视为乙方放弃，甲方有权自行处置（包括废物处理）。</w:t>
            </w:r>
          </w:p>
          <w:p>
            <w:pPr>
              <w:numPr>
                <w:ilvl w:val="0"/>
                <w:numId w:val="14"/>
              </w:numPr>
              <w:spacing w:line="300" w:lineRule="auto"/>
              <w:ind w:firstLine="240" w:firstLineChars="100"/>
              <w:rPr>
                <w:rFonts w:hint="eastAsia" w:ascii="宋体" w:hAnsi="宋体" w:cs="宋体"/>
                <w:color w:val="auto"/>
                <w:sz w:val="24"/>
                <w:highlight w:val="none"/>
              </w:rPr>
            </w:pPr>
            <w:r>
              <w:rPr>
                <w:rFonts w:ascii="宋体" w:hAnsi="宋体" w:cs="宋体"/>
                <w:color w:val="auto"/>
                <w:sz w:val="24"/>
                <w:highlight w:val="none"/>
              </w:rPr>
              <w:t>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pPr>
              <w:numPr>
                <w:ilvl w:val="0"/>
                <w:numId w:val="14"/>
              </w:numPr>
              <w:spacing w:line="300" w:lineRule="auto"/>
              <w:ind w:firstLine="240" w:firstLineChars="100"/>
              <w:rPr>
                <w:rFonts w:hint="eastAsia" w:ascii="宋体" w:hAnsi="宋体" w:cs="宋体"/>
                <w:color w:val="auto"/>
                <w:sz w:val="24"/>
                <w:highlight w:val="none"/>
              </w:rPr>
            </w:pPr>
            <w:r>
              <w:rPr>
                <w:rFonts w:hint="eastAsia" w:ascii="宋体" w:hAnsi="宋体" w:cs="宋体"/>
                <w:color w:val="auto"/>
                <w:kern w:val="0"/>
                <w:sz w:val="24"/>
                <w:highlight w:val="none"/>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1.9.1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1.9.1</w:t>
            </w:r>
          </w:p>
        </w:tc>
        <w:tc>
          <w:tcPr>
            <w:tcW w:w="4534" w:type="pct"/>
            <w:vAlign w:val="center"/>
          </w:tcPr>
          <w:p>
            <w:pPr>
              <w:spacing w:line="30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杭州市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1.9.2</w:t>
            </w:r>
          </w:p>
        </w:tc>
        <w:tc>
          <w:tcPr>
            <w:tcW w:w="4534" w:type="pct"/>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pPr>
              <w:spacing w:line="300" w:lineRule="auto"/>
              <w:ind w:left="-420" w:leftChars="-200" w:right="-420" w:rightChars="-200" w:firstLine="480" w:firstLineChars="200"/>
              <w:rPr>
                <w:rFonts w:hint="eastAsia" w:ascii="宋体" w:hAnsi="宋体" w:cs="宋体"/>
                <w:color w:val="auto"/>
                <w:sz w:val="24"/>
                <w:highlight w:val="none"/>
              </w:rPr>
            </w:pPr>
            <w:r>
              <w:rPr>
                <w:rFonts w:hint="eastAsia" w:ascii="宋体" w:hAnsi="宋体"/>
                <w:color w:val="auto"/>
                <w:sz w:val="24"/>
                <w:highlight w:val="none"/>
              </w:rPr>
              <w:t>乙方应保证提供服务过程中不会侵犯任何第三方的知识产权。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pPr>
              <w:spacing w:line="300" w:lineRule="auto"/>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非甲方人为故意损坏情况外，均由乙方承担。货物到达甲方指点地点至安装交付前均由乙方做好防护工作，直至验收合格移交甲方。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pPr>
              <w:spacing w:line="300" w:lineRule="auto"/>
              <w:rPr>
                <w:rFonts w:hint="eastAsia" w:ascii="宋体" w:hAnsi="宋体" w:cs="宋体"/>
                <w:color w:val="auto"/>
                <w:sz w:val="24"/>
                <w:highlight w:val="none"/>
              </w:rPr>
            </w:pPr>
            <w:r>
              <w:rPr>
                <w:rFonts w:hint="eastAsia" w:ascii="宋体" w:hAnsi="宋体"/>
                <w:color w:val="auto"/>
                <w:sz w:val="24"/>
                <w:highlight w:val="none"/>
              </w:rPr>
              <w:t>不可抗力时间发生后7天内。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pPr>
              <w:spacing w:line="300" w:lineRule="auto"/>
              <w:rPr>
                <w:rFonts w:hint="eastAsia" w:ascii="宋体" w:hAnsi="宋体" w:cs="宋体"/>
                <w:color w:val="auto"/>
                <w:sz w:val="24"/>
                <w:highlight w:val="none"/>
              </w:rPr>
            </w:pPr>
            <w:r>
              <w:rPr>
                <w:rFonts w:hint="eastAsia" w:ascii="宋体" w:hAnsi="宋体"/>
                <w:color w:val="auto"/>
                <w:sz w:val="24"/>
                <w:highlight w:val="none"/>
              </w:rPr>
              <w:t>不可抗力时间发生后7内天，14天内。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乙方提交验收申请</w:t>
            </w:r>
            <w:r>
              <w:rPr>
                <w:rFonts w:hint="eastAsia" w:ascii="宋体" w:hAnsi="宋体" w:cs="宋体"/>
                <w:color w:val="auto"/>
                <w:sz w:val="24"/>
                <w:highlight w:val="none"/>
                <w:lang w:val="en-US" w:eastAsia="zh-CN"/>
              </w:rPr>
              <w:t>后，甲方</w:t>
            </w:r>
            <w:r>
              <w:rPr>
                <w:rFonts w:hint="eastAsia" w:ascii="宋体" w:hAnsi="宋体" w:cs="宋体"/>
                <w:color w:val="auto"/>
                <w:sz w:val="24"/>
                <w:highlight w:val="none"/>
              </w:rPr>
              <w:t>组织验收会议。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pPr>
              <w:spacing w:line="300" w:lineRule="auto"/>
              <w:rPr>
                <w:rFonts w:hint="eastAsia" w:ascii="宋体" w:hAnsi="宋体" w:cs="宋体"/>
                <w:color w:val="auto"/>
                <w:sz w:val="24"/>
                <w:highlight w:val="none"/>
              </w:rPr>
            </w:pPr>
            <w:r>
              <w:rPr>
                <w:rFonts w:hint="eastAsia" w:ascii="宋体" w:hAnsi="宋体"/>
                <w:color w:val="auto"/>
                <w:sz w:val="24"/>
                <w:highlight w:val="none"/>
              </w:rPr>
              <w:t>检验和验收标准，以及前述验收文件的有效性以招标采购需求为准。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00" w:lineRule="auto"/>
              <w:ind w:left="-420" w:leftChars="-200" w:right="-420" w:rightChars="-200"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pPr>
              <w:spacing w:line="300" w:lineRule="auto"/>
              <w:rPr>
                <w:rFonts w:hint="eastAsia" w:ascii="宋体" w:hAnsi="宋体" w:cs="宋体"/>
                <w:color w:val="auto"/>
                <w:sz w:val="24"/>
                <w:highlight w:val="none"/>
              </w:rPr>
            </w:pPr>
            <w:r>
              <w:rPr>
                <w:rFonts w:hint="eastAsia" w:ascii="宋体" w:hAnsi="宋体"/>
                <w:color w:val="auto"/>
                <w:sz w:val="24"/>
                <w:highlight w:val="none"/>
              </w:rPr>
              <w:t>共</w:t>
            </w:r>
            <w:r>
              <w:rPr>
                <w:rFonts w:hint="eastAsia" w:ascii="宋体" w:hAnsi="宋体"/>
                <w:color w:val="auto"/>
                <w:sz w:val="24"/>
                <w:highlight w:val="none"/>
                <w:u w:val="single"/>
              </w:rPr>
              <w:t xml:space="preserve">   </w:t>
            </w:r>
            <w:r>
              <w:rPr>
                <w:rFonts w:hint="eastAsia" w:ascii="宋体" w:hAnsi="宋体"/>
                <w:color w:val="auto"/>
                <w:sz w:val="24"/>
                <w:highlight w:val="none"/>
              </w:rPr>
              <w:t>份，甲方执</w:t>
            </w:r>
            <w:r>
              <w:rPr>
                <w:rFonts w:hint="eastAsia" w:ascii="宋体" w:hAnsi="宋体"/>
                <w:color w:val="auto"/>
                <w:sz w:val="24"/>
                <w:highlight w:val="none"/>
                <w:u w:val="single"/>
              </w:rPr>
              <w:t xml:space="preserve">   </w:t>
            </w:r>
            <w:r>
              <w:rPr>
                <w:rFonts w:hint="eastAsia" w:ascii="宋体" w:hAnsi="宋体"/>
                <w:color w:val="auto"/>
                <w:sz w:val="24"/>
                <w:highlight w:val="none"/>
              </w:rPr>
              <w:t>份，乙方执</w:t>
            </w:r>
            <w:r>
              <w:rPr>
                <w:rFonts w:hint="eastAsia" w:ascii="宋体" w:hAnsi="宋体"/>
                <w:color w:val="auto"/>
                <w:sz w:val="24"/>
                <w:highlight w:val="none"/>
                <w:u w:val="single"/>
              </w:rPr>
              <w:t xml:space="preserve">   </w:t>
            </w:r>
            <w:r>
              <w:rPr>
                <w:rFonts w:hint="eastAsia" w:ascii="宋体" w:hAnsi="宋体"/>
                <w:color w:val="auto"/>
                <w:sz w:val="24"/>
                <w:highlight w:val="none"/>
              </w:rPr>
              <w:t>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00" w:lineRule="auto"/>
              <w:ind w:left="-420" w:leftChars="-200" w:right="-420" w:rightChars="-200"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2.21</w:t>
            </w:r>
          </w:p>
        </w:tc>
        <w:tc>
          <w:tcPr>
            <w:tcW w:w="4534" w:type="pct"/>
            <w:vAlign w:val="center"/>
          </w:tcPr>
          <w:p>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甲乙双方的权利和义务</w:t>
            </w:r>
          </w:p>
          <w:p>
            <w:pPr>
              <w:tabs>
                <w:tab w:val="left" w:pos="0"/>
              </w:tabs>
              <w:spacing w:line="300" w:lineRule="auto"/>
              <w:ind w:firstLine="240" w:firstLineChars="100"/>
              <w:rPr>
                <w:color w:val="auto"/>
                <w:sz w:val="24"/>
                <w:highlight w:val="none"/>
              </w:rPr>
            </w:pPr>
            <w:r>
              <w:rPr>
                <w:rFonts w:hint="eastAsia"/>
                <w:color w:val="auto"/>
                <w:sz w:val="24"/>
                <w:highlight w:val="none"/>
              </w:rPr>
              <w:t>一、甲方</w:t>
            </w:r>
            <w:r>
              <w:rPr>
                <w:rFonts w:hint="eastAsia" w:ascii="宋体" w:hAnsi="宋体"/>
                <w:color w:val="auto"/>
                <w:sz w:val="24"/>
                <w:highlight w:val="none"/>
              </w:rPr>
              <w:t>权利和义务</w:t>
            </w:r>
          </w:p>
          <w:p>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1、为乙方工作提供良好的外部条件，并按照合同约定支付款项；</w:t>
            </w:r>
          </w:p>
          <w:p>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2、甲方按双方约定的内容和时间，向乙方提供与项目有关的可以提供的资料；</w:t>
            </w:r>
          </w:p>
          <w:p>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3、甲方授权一名熟悉本项目情况的代表，负责与乙方联系，更换代表前将提前通知乙方；</w:t>
            </w:r>
          </w:p>
          <w:p>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4、甲方对乙方提供的项目工作方案具有审定权、修改权，并有权要求乙方按甲方的要求修改方案,乙方不得以此为由要求增加任何费用；</w:t>
            </w:r>
          </w:p>
          <w:p>
            <w:pPr>
              <w:tabs>
                <w:tab w:val="left" w:pos="0"/>
              </w:tabs>
              <w:spacing w:line="300" w:lineRule="auto"/>
              <w:ind w:firstLine="240" w:firstLineChars="100"/>
              <w:rPr>
                <w:color w:val="auto"/>
                <w:sz w:val="24"/>
                <w:highlight w:val="none"/>
              </w:rPr>
            </w:pPr>
            <w:r>
              <w:rPr>
                <w:rFonts w:hint="eastAsia" w:ascii="宋体" w:hAnsi="宋体"/>
                <w:color w:val="auto"/>
                <w:sz w:val="24"/>
                <w:highlight w:val="none"/>
              </w:rPr>
              <w:t>5、根据实际情况，甲方有权要求乙方对已经确认的方案进行修改、变通，乙方应当配合执行，以保证项目顺利进行；</w:t>
            </w:r>
          </w:p>
          <w:p>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6、甲方有权对质量不合格产品进行拒收，由此。</w:t>
            </w:r>
          </w:p>
          <w:p>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二、乙方权利和义务</w:t>
            </w:r>
          </w:p>
          <w:p>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1、根据投标文件的承诺，乙方向甲方委派项目组人员，人员应当固定。乙方更换人员必须经甲方书面同意，否则甲方有权解除本合同；</w:t>
            </w:r>
          </w:p>
          <w:p>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2、乙方针对该项目出具的工作方案，均须事先经甲方书面确认后方可实施。乙方应当负责本项目的所有外部关系联系与协调；</w:t>
            </w:r>
          </w:p>
          <w:p>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3、乙方应指派一名授权项目代表，负责与甲方的联络。代表更换应至少提前两天通知甲方。项目</w:t>
            </w:r>
            <w:r>
              <w:rPr>
                <w:rFonts w:hint="eastAsia"/>
                <w:color w:val="auto"/>
                <w:sz w:val="24"/>
                <w:highlight w:val="none"/>
              </w:rPr>
              <w:t>负责人：</w:t>
            </w:r>
            <w:r>
              <w:rPr>
                <w:rFonts w:hint="eastAsia"/>
                <w:color w:val="auto"/>
                <w:sz w:val="24"/>
                <w:highlight w:val="none"/>
                <w:u w:val="single"/>
              </w:rPr>
              <w:t xml:space="preserve">     </w:t>
            </w:r>
            <w:r>
              <w:rPr>
                <w:rFonts w:hint="eastAsia"/>
                <w:color w:val="auto"/>
                <w:sz w:val="24"/>
                <w:highlight w:val="none"/>
              </w:rPr>
              <w:t>；联系电话：</w:t>
            </w:r>
            <w:r>
              <w:rPr>
                <w:rFonts w:hint="eastAsia"/>
                <w:color w:val="auto"/>
                <w:sz w:val="24"/>
                <w:highlight w:val="none"/>
                <w:u w:val="single"/>
              </w:rPr>
              <w:t xml:space="preserve">     </w:t>
            </w:r>
            <w:r>
              <w:rPr>
                <w:rFonts w:hint="eastAsia"/>
                <w:color w:val="auto"/>
                <w:sz w:val="24"/>
                <w:highlight w:val="none"/>
              </w:rPr>
              <w:t>；邮箱：</w:t>
            </w:r>
            <w:r>
              <w:rPr>
                <w:rFonts w:hint="eastAsia"/>
                <w:color w:val="auto"/>
                <w:sz w:val="24"/>
                <w:highlight w:val="none"/>
                <w:u w:val="single"/>
              </w:rPr>
              <w:t xml:space="preserve">     </w:t>
            </w:r>
            <w:r>
              <w:rPr>
                <w:rFonts w:hint="eastAsia"/>
                <w:color w:val="auto"/>
                <w:sz w:val="24"/>
                <w:highlight w:val="none"/>
              </w:rPr>
              <w:t>。</w:t>
            </w:r>
          </w:p>
          <w:p>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4、乙方承诺按照招标文件要求和投标文件承诺提供各项服务；</w:t>
            </w:r>
          </w:p>
          <w:p>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5、乙方提供</w:t>
            </w:r>
            <w:r>
              <w:rPr>
                <w:rFonts w:ascii="宋体" w:hAnsi="宋体" w:cs="仿宋_GB2312"/>
                <w:color w:val="auto"/>
                <w:sz w:val="24"/>
                <w:highlight w:val="none"/>
              </w:rPr>
              <w:t>通风场地进行货物存放，且保证货物质量，接到</w:t>
            </w:r>
            <w:r>
              <w:rPr>
                <w:rFonts w:hint="eastAsia" w:ascii="宋体" w:hAnsi="宋体" w:cs="仿宋_GB2312"/>
                <w:color w:val="auto"/>
                <w:sz w:val="24"/>
                <w:highlight w:val="none"/>
              </w:rPr>
              <w:t>甲方</w:t>
            </w:r>
            <w:r>
              <w:rPr>
                <w:rFonts w:ascii="宋体" w:hAnsi="宋体" w:cs="仿宋_GB2312"/>
                <w:color w:val="auto"/>
                <w:sz w:val="24"/>
                <w:highlight w:val="none"/>
              </w:rPr>
              <w:t>发货通知后配合发货及安装</w:t>
            </w:r>
            <w:r>
              <w:rPr>
                <w:rFonts w:hint="eastAsia" w:ascii="宋体" w:hAnsi="宋体" w:cs="仿宋_GB2312"/>
                <w:color w:val="auto"/>
                <w:sz w:val="24"/>
                <w:highlight w:val="none"/>
              </w:rPr>
              <w:t>；</w:t>
            </w:r>
          </w:p>
          <w:p>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6、乙方提供的所有产品均应符合质量合格标准；</w:t>
            </w:r>
          </w:p>
          <w:p>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7、乙方必须在规定期间内完成招标文件要求和投标文件承诺的服务内容，并通过甲方的验收，否则甲方有权终止合同，并索回全部支付的货款，赔偿延误的损失。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00" w:lineRule="auto"/>
              <w:ind w:left="-420" w:leftChars="-200" w:right="-420" w:rightChars="-200"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2.22</w:t>
            </w:r>
          </w:p>
        </w:tc>
        <w:tc>
          <w:tcPr>
            <w:tcW w:w="4534" w:type="pct"/>
            <w:vAlign w:val="center"/>
          </w:tcPr>
          <w:p>
            <w:pPr>
              <w:spacing w:line="300" w:lineRule="auto"/>
              <w:rPr>
                <w:color w:val="auto"/>
                <w:sz w:val="24"/>
                <w:highlight w:val="none"/>
              </w:rPr>
            </w:pPr>
            <w:r>
              <w:rPr>
                <w:rFonts w:hint="eastAsia"/>
                <w:color w:val="auto"/>
                <w:sz w:val="24"/>
                <w:highlight w:val="none"/>
              </w:rPr>
              <w:t>质保期：</w:t>
            </w:r>
            <w:r>
              <w:rPr>
                <w:color w:val="auto"/>
                <w:sz w:val="24"/>
                <w:highlight w:val="none"/>
              </w:rPr>
              <w:t>质保期为验收合格之日起</w:t>
            </w:r>
            <w:r>
              <w:rPr>
                <w:rFonts w:hint="eastAsia"/>
                <w:color w:val="auto"/>
                <w:sz w:val="24"/>
                <w:highlight w:val="none"/>
                <w:u w:val="single"/>
              </w:rPr>
              <w:t xml:space="preserve">    </w:t>
            </w:r>
            <w:r>
              <w:rPr>
                <w:color w:val="auto"/>
                <w:sz w:val="24"/>
                <w:highlight w:val="none"/>
              </w:rPr>
              <w:t>年。</w:t>
            </w:r>
          </w:p>
          <w:p>
            <w:pPr>
              <w:spacing w:line="300" w:lineRule="auto"/>
              <w:rPr>
                <w:color w:val="auto"/>
                <w:sz w:val="24"/>
                <w:highlight w:val="none"/>
              </w:rPr>
            </w:pPr>
            <w:r>
              <w:rPr>
                <w:rFonts w:hint="eastAsia"/>
                <w:color w:val="auto"/>
                <w:sz w:val="24"/>
                <w:highlight w:val="none"/>
              </w:rPr>
              <w:t>质保范围：</w:t>
            </w:r>
            <w:r>
              <w:rPr>
                <w:rFonts w:hint="eastAsia" w:ascii="宋体" w:hAnsi="宋体"/>
                <w:color w:val="auto"/>
                <w:sz w:val="24"/>
                <w:highlight w:val="none"/>
              </w:rPr>
              <w:t>保修期内产品因设计、质量出现问题，均由乙方即时解决（包括更换配件耗材）。</w:t>
            </w:r>
          </w:p>
          <w:p>
            <w:pPr>
              <w:tabs>
                <w:tab w:val="left" w:pos="0"/>
              </w:tabs>
              <w:spacing w:line="300" w:lineRule="auto"/>
              <w:rPr>
                <w:rFonts w:hint="eastAsia" w:ascii="宋体" w:hAnsi="宋体"/>
                <w:color w:val="auto"/>
                <w:sz w:val="24"/>
                <w:highlight w:val="none"/>
              </w:rPr>
            </w:pPr>
            <w:r>
              <w:rPr>
                <w:rFonts w:hint="eastAsia"/>
                <w:color w:val="auto"/>
                <w:sz w:val="24"/>
                <w:highlight w:val="none"/>
              </w:rPr>
              <w:t>售后服务内容：（根据投标响应补充）</w:t>
            </w:r>
          </w:p>
        </w:tc>
      </w:tr>
    </w:tbl>
    <w:p>
      <w:pPr>
        <w:spacing w:line="360" w:lineRule="auto"/>
        <w:ind w:left="-420" w:leftChars="-200" w:right="-420" w:rightChars="-200" w:firstLine="960" w:firstLineChars="400"/>
        <w:rPr>
          <w:rFonts w:hint="eastAsia" w:ascii="宋体" w:hAnsi="宋体" w:cs="宋体"/>
          <w:color w:val="auto"/>
          <w:sz w:val="24"/>
          <w:highlight w:val="none"/>
          <w:lang w:val="en-US" w:eastAsia="zh-CN"/>
        </w:rPr>
      </w:pPr>
    </w:p>
    <w:p>
      <w:pPr>
        <w:spacing w:line="360" w:lineRule="auto"/>
        <w:ind w:left="-420" w:leftChars="-200" w:right="-420" w:rightChars="-200" w:firstLine="960" w:firstLineChars="400"/>
        <w:rPr>
          <w:rFonts w:hint="eastAsia" w:ascii="宋体" w:hAnsi="宋体" w:eastAsia="宋体"/>
          <w:color w:val="auto"/>
          <w:sz w:val="24"/>
          <w:highlight w:val="none"/>
          <w:lang w:eastAsia="zh-CN"/>
        </w:rPr>
      </w:pPr>
      <w:r>
        <w:rPr>
          <w:rFonts w:hint="eastAsia" w:ascii="宋体" w:hAnsi="宋体" w:cs="宋体"/>
          <w:color w:val="auto"/>
          <w:sz w:val="24"/>
          <w:highlight w:val="none"/>
          <w:lang w:val="en-US" w:eastAsia="zh-CN"/>
        </w:rPr>
        <w:t>合同</w:t>
      </w:r>
      <w:r>
        <w:rPr>
          <w:rFonts w:hint="eastAsia" w:ascii="宋体" w:hAnsi="宋体" w:eastAsia="宋体" w:cs="宋体"/>
          <w:color w:val="auto"/>
          <w:sz w:val="24"/>
          <w:highlight w:val="none"/>
        </w:rPr>
        <w:t>其他要求</w:t>
      </w:r>
      <w:r>
        <w:rPr>
          <w:rFonts w:hint="eastAsia" w:ascii="宋体" w:hAnsi="宋体" w:cs="宋体"/>
          <w:color w:val="auto"/>
          <w:sz w:val="24"/>
          <w:highlight w:val="none"/>
          <w:lang w:eastAsia="zh-CN"/>
        </w:rPr>
        <w:t>：</w:t>
      </w:r>
    </w:p>
    <w:p>
      <w:pPr>
        <w:spacing w:line="360" w:lineRule="auto"/>
        <w:ind w:firstLine="480" w:firstLineChars="200"/>
        <w:jc w:val="left"/>
        <w:rPr>
          <w:rFonts w:hint="eastAsia" w:ascii="宋体" w:hAnsi="宋体" w:eastAsia="宋体" w:cs="宋体"/>
          <w:iCs/>
          <w:color w:val="auto"/>
          <w:sz w:val="24"/>
          <w:szCs w:val="24"/>
          <w:highlight w:val="none"/>
          <w:u w:val="single"/>
        </w:rPr>
      </w:pPr>
      <w:r>
        <w:rPr>
          <w:rFonts w:hint="eastAsia" w:ascii="宋体" w:hAnsi="宋体" w:eastAsia="宋体" w:cs="宋体"/>
          <w:iCs/>
          <w:color w:val="auto"/>
          <w:sz w:val="24"/>
          <w:szCs w:val="24"/>
          <w:highlight w:val="none"/>
          <w:lang w:eastAsia="zh-CN"/>
        </w:rPr>
        <w:t>1</w:t>
      </w:r>
      <w:r>
        <w:rPr>
          <w:rFonts w:hint="eastAsia" w:ascii="宋体" w:hAnsi="宋体" w:eastAsia="宋体" w:cs="宋体"/>
          <w:iCs/>
          <w:color w:val="auto"/>
          <w:sz w:val="24"/>
          <w:szCs w:val="24"/>
          <w:highlight w:val="none"/>
        </w:rPr>
        <w:t>.资金支付方式：</w:t>
      </w:r>
      <w:r>
        <w:rPr>
          <w:rFonts w:hint="eastAsia" w:ascii="宋体" w:hAnsi="宋体" w:eastAsia="宋体" w:cs="宋体"/>
          <w:iCs/>
          <w:color w:val="auto"/>
          <w:sz w:val="24"/>
          <w:szCs w:val="24"/>
          <w:highlight w:val="none"/>
          <w:u w:val="single"/>
        </w:rPr>
        <w:t xml:space="preserve">      电汇        </w:t>
      </w:r>
    </w:p>
    <w:p>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iCs/>
          <w:color w:val="auto"/>
          <w:sz w:val="24"/>
          <w:szCs w:val="24"/>
          <w:highlight w:val="none"/>
          <w:lang w:eastAsia="zh-CN"/>
        </w:rPr>
        <w:t>2</w:t>
      </w:r>
      <w:r>
        <w:rPr>
          <w:rFonts w:hint="eastAsia" w:ascii="宋体" w:hAnsi="宋体" w:eastAsia="宋体" w:cs="宋体"/>
          <w:iCs/>
          <w:color w:val="auto"/>
          <w:sz w:val="24"/>
          <w:szCs w:val="24"/>
          <w:highlight w:val="none"/>
        </w:rPr>
        <w:t>.验收、交付标准和方法：</w:t>
      </w:r>
      <w:r>
        <w:rPr>
          <w:rFonts w:hint="eastAsia" w:ascii="宋体" w:hAnsi="宋体" w:eastAsia="宋体" w:cs="宋体"/>
          <w:color w:val="auto"/>
          <w:sz w:val="24"/>
          <w:szCs w:val="24"/>
          <w:highlight w:val="none"/>
          <w:u w:val="single"/>
        </w:rPr>
        <w:t>按照</w:t>
      </w:r>
      <w:r>
        <w:rPr>
          <w:rFonts w:hint="eastAsia" w:ascii="宋体" w:hAnsi="宋体" w:eastAsia="宋体" w:cs="宋体"/>
          <w:color w:val="auto"/>
          <w:sz w:val="24"/>
          <w:szCs w:val="24"/>
          <w:highlight w:val="none"/>
          <w:u w:val="single"/>
          <w:lang w:val="en-US" w:eastAsia="zh-CN"/>
        </w:rPr>
        <w:t>验收</w:t>
      </w:r>
      <w:r>
        <w:rPr>
          <w:rFonts w:hint="eastAsia" w:ascii="宋体" w:hAnsi="宋体" w:eastAsia="宋体" w:cs="宋体"/>
          <w:color w:val="auto"/>
          <w:sz w:val="24"/>
          <w:szCs w:val="24"/>
          <w:highlight w:val="none"/>
          <w:u w:val="single"/>
        </w:rPr>
        <w:t>流程设置，对启动验收、制定验收方案、成立验收小组、出具验收报告、形成验收意见、作出验收评价的全过程验收情况进行记录。验收合格后，按合同要求交付并由采购人支付相应的采购资金。</w:t>
      </w:r>
    </w:p>
    <w:p>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iCs/>
          <w:color w:val="auto"/>
          <w:sz w:val="24"/>
          <w:szCs w:val="24"/>
          <w:highlight w:val="none"/>
          <w:lang w:eastAsia="zh-CN"/>
        </w:rPr>
        <w:t>3</w:t>
      </w:r>
      <w:r>
        <w:rPr>
          <w:rFonts w:hint="eastAsia" w:ascii="宋体" w:hAnsi="宋体" w:eastAsia="宋体" w:cs="宋体"/>
          <w:iCs/>
          <w:color w:val="auto"/>
          <w:sz w:val="24"/>
          <w:szCs w:val="24"/>
          <w:highlight w:val="none"/>
        </w:rPr>
        <w:t>.质量保修范围和保修期：</w:t>
      </w:r>
      <w:r>
        <w:rPr>
          <w:rFonts w:hint="eastAsia" w:ascii="宋体" w:hAnsi="宋体" w:eastAsia="宋体" w:cs="宋体"/>
          <w:color w:val="auto"/>
          <w:sz w:val="24"/>
          <w:szCs w:val="24"/>
          <w:highlight w:val="none"/>
          <w:u w:val="single"/>
        </w:rPr>
        <w:t>提供3年质保服务。服务期间承担维护工作，保障系统正常运行。在项目实施过程中及售后服务期内，供应商需承诺指定专人负责与用户保持长期的联系与服务。</w:t>
      </w:r>
    </w:p>
    <w:p>
      <w:pPr>
        <w:spacing w:line="360" w:lineRule="auto"/>
        <w:ind w:firstLine="480" w:firstLineChars="200"/>
        <w:jc w:val="left"/>
        <w:rPr>
          <w:rFonts w:hint="eastAsia" w:ascii="宋体" w:hAnsi="宋体" w:eastAsia="宋体" w:cs="宋体"/>
          <w:iCs/>
          <w:color w:val="auto"/>
          <w:sz w:val="24"/>
          <w:szCs w:val="24"/>
          <w:highlight w:val="none"/>
          <w:u w:val="single"/>
        </w:rPr>
      </w:pPr>
      <w:r>
        <w:rPr>
          <w:rFonts w:hint="eastAsia" w:ascii="宋体" w:hAnsi="宋体" w:eastAsia="宋体" w:cs="宋体"/>
          <w:iCs/>
          <w:color w:val="auto"/>
          <w:sz w:val="24"/>
          <w:szCs w:val="24"/>
          <w:highlight w:val="none"/>
          <w:lang w:eastAsia="zh-CN"/>
        </w:rPr>
        <w:t>4</w:t>
      </w:r>
      <w:r>
        <w:rPr>
          <w:rFonts w:hint="eastAsia" w:ascii="宋体" w:hAnsi="宋体" w:eastAsia="宋体" w:cs="宋体"/>
          <w:iCs/>
          <w:color w:val="auto"/>
          <w:sz w:val="24"/>
          <w:szCs w:val="24"/>
          <w:highlight w:val="none"/>
        </w:rPr>
        <w:t>.知识产权归属、处理方式：</w:t>
      </w:r>
      <w:r>
        <w:rPr>
          <w:rFonts w:hint="eastAsia" w:ascii="宋体" w:hAnsi="宋体" w:eastAsia="宋体" w:cs="宋体"/>
          <w:iCs/>
          <w:color w:val="auto"/>
          <w:sz w:val="24"/>
          <w:szCs w:val="24"/>
          <w:highlight w:val="none"/>
          <w:u w:val="single"/>
        </w:rPr>
        <w:t>软件产品的开发内容归属于采购人，成品软件知识产权归属于供应商。采购方依据合同条款享有有限且合理的使用权，并承担对供应商知识产权的保护责任，不得擅自转让这些权利。</w:t>
      </w:r>
    </w:p>
    <w:p>
      <w:pPr>
        <w:spacing w:line="360" w:lineRule="auto"/>
        <w:ind w:firstLine="480" w:firstLineChars="200"/>
        <w:jc w:val="left"/>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lang w:eastAsia="zh-CN"/>
        </w:rPr>
        <w:t>5</w:t>
      </w:r>
      <w:r>
        <w:rPr>
          <w:rFonts w:hint="eastAsia" w:ascii="宋体" w:hAnsi="宋体" w:eastAsia="宋体" w:cs="宋体"/>
          <w:iCs/>
          <w:color w:val="auto"/>
          <w:sz w:val="24"/>
          <w:szCs w:val="24"/>
          <w:highlight w:val="none"/>
        </w:rPr>
        <w:t>.成本补偿、风险分担约定</w:t>
      </w:r>
    </w:p>
    <w:p>
      <w:pPr>
        <w:spacing w:line="360" w:lineRule="auto"/>
        <w:ind w:firstLine="42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val="en-US" w:eastAsia="zh-CN"/>
        </w:rPr>
        <w:t>标的物在交付前</w:t>
      </w:r>
      <w:r>
        <w:rPr>
          <w:rFonts w:hint="eastAsia" w:ascii="宋体" w:hAnsi="宋体" w:eastAsia="宋体" w:cs="宋体"/>
          <w:color w:val="auto"/>
          <w:sz w:val="24"/>
          <w:szCs w:val="24"/>
          <w:highlight w:val="none"/>
          <w:u w:val="single"/>
        </w:rPr>
        <w:t>毁损、灭失的风险负担，全部由乙方承担。</w:t>
      </w:r>
    </w:p>
    <w:p>
      <w:pPr>
        <w:spacing w:line="360" w:lineRule="auto"/>
        <w:ind w:firstLine="480" w:firstLineChars="200"/>
        <w:jc w:val="left"/>
        <w:rPr>
          <w:rFonts w:hint="eastAsia" w:ascii="宋体" w:hAnsi="宋体" w:eastAsia="宋体" w:cs="宋体"/>
          <w:iCs/>
          <w:color w:val="auto"/>
          <w:sz w:val="24"/>
          <w:szCs w:val="24"/>
          <w:highlight w:val="none"/>
          <w:u w:val="single"/>
        </w:rPr>
      </w:pPr>
      <w:r>
        <w:rPr>
          <w:rFonts w:hint="eastAsia" w:ascii="宋体" w:hAnsi="宋体" w:eastAsia="宋体" w:cs="宋体"/>
          <w:iCs/>
          <w:color w:val="auto"/>
          <w:sz w:val="24"/>
          <w:szCs w:val="24"/>
          <w:highlight w:val="none"/>
          <w:lang w:eastAsia="zh-CN"/>
        </w:rPr>
        <w:t>6</w:t>
      </w:r>
      <w:r>
        <w:rPr>
          <w:rFonts w:hint="eastAsia" w:ascii="宋体" w:hAnsi="宋体" w:eastAsia="宋体" w:cs="宋体"/>
          <w:iCs/>
          <w:color w:val="auto"/>
          <w:sz w:val="24"/>
          <w:szCs w:val="24"/>
          <w:highlight w:val="none"/>
        </w:rPr>
        <w:t>.违约责任与解决争议的方法：</w:t>
      </w:r>
      <w:r>
        <w:rPr>
          <w:rFonts w:hint="eastAsia" w:ascii="宋体" w:hAnsi="宋体" w:eastAsia="宋体" w:cs="宋体"/>
          <w:iCs/>
          <w:color w:val="auto"/>
          <w:sz w:val="24"/>
          <w:szCs w:val="24"/>
          <w:highlight w:val="none"/>
          <w:u w:val="single"/>
        </w:rPr>
        <w:t>除不可抗力外，如果乙方没有按照本合同约定的期限、地点和方式交付标的物，那么甲方可要求乙方支付违约金，违约金按每迟延交付标的物一日的应交付而未交付标的物价格的0.5%计算，最高限额为本合同总价的20 %；迟延交付标的物的违约金计算数额达到前述最高限额之日起，甲方有权在要求乙方支付违约金的同时，书面通知乙方解除本合同；除不可抗力外，如果甲方没有按照本合同约定的付款方式付款，那么乙方可要求甲方支付违约金，违约金按每迟延付款一日的应付而未付款的0.5 %计算，最高限额为本合同总价的20%；迟延付款的违约金计算数额达到前述最高限额之日起，乙方有权在要求甲方支付违约金的同时，书面通知甲方解除本合同；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如果出现政府采购监督管理部门在处理投诉事项期间，书面通知甲方暂停采购活动的情形，或者询问或质疑事项可能影响中标结果的，导致甲方中止履行合同的情形，均不视为甲方违约。合同履行过程中发生的任何争议，双方当事人均可通过和解或者调解解决；不愿和解、调解或者和解、调解不成的，可以选择将争议提交杭州市仲裁委员会依申请仲裁时其现行有效的仲裁规则裁决。</w:t>
      </w:r>
    </w:p>
    <w:p>
      <w:pPr>
        <w:spacing w:line="360" w:lineRule="auto"/>
        <w:ind w:left="-420" w:leftChars="-200" w:right="-420" w:rightChars="-200" w:firstLine="420" w:firstLineChars="200"/>
        <w:rPr>
          <w:rFonts w:hint="eastAsia" w:ascii="宋体" w:hAnsi="宋体"/>
          <w:color w:val="auto"/>
          <w:highlight w:val="none"/>
        </w:rPr>
      </w:pPr>
    </w:p>
    <w:p>
      <w:pPr>
        <w:spacing w:line="360" w:lineRule="auto"/>
        <w:ind w:left="-420" w:leftChars="-200" w:right="-420" w:rightChars="-200" w:firstLine="480" w:firstLineChars="200"/>
        <w:rPr>
          <w:rFonts w:hint="eastAsia" w:ascii="宋体" w:hAnsi="宋体"/>
          <w:color w:val="auto"/>
          <w:sz w:val="24"/>
          <w:highlight w:val="none"/>
        </w:rPr>
      </w:pPr>
    </w:p>
    <w:p>
      <w:pPr>
        <w:spacing w:line="360" w:lineRule="auto"/>
        <w:ind w:left="-420" w:leftChars="-200" w:right="-420" w:rightChars="-200"/>
        <w:rPr>
          <w:rFonts w:hint="eastAsia" w:ascii="宋体" w:hAnsi="宋体"/>
          <w:color w:val="auto"/>
          <w:sz w:val="24"/>
          <w:highlight w:val="none"/>
        </w:rPr>
      </w:pPr>
    </w:p>
    <w:p>
      <w:pPr>
        <w:spacing w:line="360" w:lineRule="auto"/>
        <w:rPr>
          <w:rFonts w:hint="eastAsia" w:ascii="宋体" w:hAnsi="宋体" w:cs="宋体"/>
          <w:color w:val="auto"/>
          <w:sz w:val="24"/>
          <w:highlight w:val="none"/>
        </w:rPr>
      </w:pPr>
    </w:p>
    <w:p>
      <w:pPr>
        <w:rPr>
          <w:color w:val="auto"/>
          <w:highlight w:val="none"/>
        </w:rPr>
      </w:pPr>
    </w:p>
    <w:p>
      <w:pPr>
        <w:rPr>
          <w:color w:val="auto"/>
          <w:highlight w:val="none"/>
        </w:rPr>
      </w:pPr>
    </w:p>
    <w:p>
      <w:pPr>
        <w:spacing w:line="360" w:lineRule="auto"/>
        <w:ind w:left="-420" w:leftChars="-200" w:right="-420" w:rightChars="-200" w:firstLine="480" w:firstLineChars="200"/>
        <w:jc w:val="center"/>
        <w:outlineLvl w:val="0"/>
        <w:rPr>
          <w:rFonts w:hint="eastAsia" w:ascii="宋体" w:hAnsi="宋体" w:cs="宋体"/>
          <w:color w:val="auto"/>
          <w:sz w:val="24"/>
          <w:highlight w:val="none"/>
        </w:rPr>
      </w:pPr>
    </w:p>
    <w:p>
      <w:pPr>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第六部分</w:t>
      </w:r>
      <w:bookmarkEnd w:id="382"/>
      <w:bookmarkEnd w:id="383"/>
      <w:r>
        <w:rPr>
          <w:rFonts w:hint="eastAsia" w:ascii="宋体" w:hAnsi="宋体" w:cs="宋体"/>
          <w:b/>
          <w:color w:val="auto"/>
          <w:sz w:val="36"/>
          <w:szCs w:val="20"/>
          <w:highlight w:val="none"/>
        </w:rPr>
        <w:t xml:space="preserve">  应提交的有关格式范例</w:t>
      </w:r>
    </w:p>
    <w:p>
      <w:pPr>
        <w:spacing w:line="360" w:lineRule="auto"/>
        <w:jc w:val="center"/>
        <w:outlineLvl w:val="0"/>
        <w:rPr>
          <w:rFonts w:hint="eastAsia" w:ascii="宋体" w:hAnsi="宋体" w:cs="宋体"/>
          <w:b/>
          <w:color w:val="auto"/>
          <w:kern w:val="0"/>
          <w:sz w:val="36"/>
          <w:szCs w:val="36"/>
          <w:highlight w:val="none"/>
        </w:rPr>
      </w:pPr>
    </w:p>
    <w:p>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hint="eastAsia" w:ascii="宋体" w:hAnsi="宋体" w:cs="宋体"/>
          <w:b/>
          <w:color w:val="auto"/>
          <w:kern w:val="0"/>
          <w:sz w:val="36"/>
          <w:szCs w:val="36"/>
          <w:highlight w:val="none"/>
        </w:rPr>
      </w:pPr>
    </w:p>
    <w:p>
      <w:pPr>
        <w:numPr>
          <w:ilvl w:val="0"/>
          <w:numId w:val="1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符合参加采购活动应当具备的一般条件的承诺函…………………（页码）</w:t>
      </w:r>
    </w:p>
    <w:p>
      <w:pPr>
        <w:numPr>
          <w:ilvl w:val="0"/>
          <w:numId w:val="15"/>
        </w:num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联合协议</w:t>
      </w:r>
      <w:r>
        <w:rPr>
          <w:rFonts w:hint="eastAsia" w:ascii="宋体" w:hAnsi="宋体" w:cs="宋体"/>
          <w:color w:val="auto"/>
          <w:sz w:val="24"/>
          <w:highlight w:val="none"/>
        </w:rPr>
        <w:t>………………………………………………………………（页码）</w:t>
      </w:r>
    </w:p>
    <w:p>
      <w:pPr>
        <w:numPr>
          <w:ilvl w:val="0"/>
          <w:numId w:val="1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落实采购政策需满足的资格要求……………………………………（页码）</w:t>
      </w:r>
    </w:p>
    <w:p>
      <w:pPr>
        <w:numPr>
          <w:ilvl w:val="0"/>
          <w:numId w:val="1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本项目的特定资格要求………………………………………………（页码）</w:t>
      </w:r>
    </w:p>
    <w:p>
      <w:pPr>
        <w:snapToGrid w:val="0"/>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hint="eastAsia" w:ascii="宋体" w:hAnsi="宋体" w:cs="宋体"/>
          <w:color w:val="auto"/>
          <w:sz w:val="24"/>
          <w:highlight w:val="none"/>
        </w:rPr>
      </w:pPr>
    </w:p>
    <w:p>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浙江省杭州第七中学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浙江中际工程项目管理有限公司</w:t>
      </w:r>
      <w:r>
        <w:rPr>
          <w:rFonts w:hint="eastAsia" w:ascii="宋体" w:hAnsi="宋体" w:cs="宋体"/>
          <w:color w:val="auto"/>
          <w:sz w:val="24"/>
          <w:highlight w:val="none"/>
        </w:rPr>
        <w:t>：</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浙江省杭州第七中学转塘校区人工智能教育试点二期项目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HQZ-2025-</w:t>
      </w:r>
      <w:r>
        <w:rPr>
          <w:rFonts w:hint="eastAsia" w:ascii="宋体" w:hAnsi="宋体" w:cs="宋体"/>
          <w:color w:val="auto"/>
          <w:sz w:val="24"/>
          <w:highlight w:val="none"/>
          <w:lang w:val="en-US" w:eastAsia="zh-CN"/>
        </w:rPr>
        <w:t>005</w:t>
      </w:r>
      <w:r>
        <w:rPr>
          <w:rFonts w:hint="eastAsia" w:ascii="宋体" w:hAnsi="宋体" w:cs="宋体"/>
          <w:color w:val="auto"/>
          <w:sz w:val="24"/>
          <w:highlight w:val="none"/>
        </w:rPr>
        <w:t>】采购活动，郑重承诺：</w:t>
      </w:r>
    </w:p>
    <w:p>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pStyle w:val="4"/>
        <w:rPr>
          <w:rFonts w:hint="eastAsia" w:ascii="宋体" w:hAnsi="宋体" w:cs="宋体"/>
          <w:color w:val="auto"/>
          <w:sz w:val="24"/>
          <w:highlight w:val="none"/>
        </w:rPr>
      </w:pPr>
    </w:p>
    <w:p>
      <w:pPr>
        <w:rPr>
          <w:rFonts w:hint="eastAsia" w:ascii="宋体" w:hAnsi="宋体" w:cs="宋体"/>
          <w:color w:val="auto"/>
          <w:sz w:val="24"/>
          <w:highlight w:val="none"/>
        </w:rPr>
      </w:pPr>
    </w:p>
    <w:p>
      <w:pPr>
        <w:pStyle w:val="4"/>
        <w:rPr>
          <w:rFonts w:hint="eastAsia"/>
          <w:color w:val="auto"/>
          <w:highlight w:val="none"/>
        </w:rPr>
      </w:pPr>
    </w:p>
    <w:p>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rPr>
          <w:rFonts w:hint="eastAsia" w:ascii="宋体" w:hAnsi="宋体" w:cs="宋体"/>
          <w:color w:val="auto"/>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三、落实采购政策需满足的资格要求</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（根据招标公告落实采购政策需满足的资格要求选择提供相应的材料；未要求的，无需提供）</w:t>
      </w:r>
    </w:p>
    <w:p>
      <w:pP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hint="eastAsia" w:ascii="宋体" w:hAnsi="宋体" w:cs="宋体"/>
          <w:color w:val="auto"/>
          <w:sz w:val="24"/>
          <w:highlight w:val="none"/>
        </w:rPr>
      </w:pPr>
    </w:p>
    <w:p>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投标人本身提供所有标的均由中小企业承接的，并相应达到了前述比例要求，视同符合了资格条件，无需再与其他中小企业组成联合体参加采购活动，无需提供联合协议。</w:t>
      </w:r>
    </w:p>
    <w:p>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投标人本身提供所有标的均由中小企业承接的，并相应达到了前述比例要求，视同符合了资格条件，无需再向中小企业分包，无需提供分包意向协议。</w:t>
      </w: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注：大型企业联合投标或分包需提供对应协议</w:t>
      </w:r>
    </w:p>
    <w:p>
      <w:pPr>
        <w:widowControl/>
        <w:spacing w:line="360" w:lineRule="auto"/>
        <w:ind w:left="150"/>
        <w:jc w:val="center"/>
        <w:rPr>
          <w:rFonts w:hint="eastAsia" w:ascii="宋体" w:hAnsi="宋体" w:cs="宋体"/>
          <w:b/>
          <w:color w:val="auto"/>
          <w:kern w:val="0"/>
          <w:sz w:val="32"/>
          <w:szCs w:val="32"/>
          <w:highlight w:val="none"/>
        </w:rPr>
      </w:pPr>
    </w:p>
    <w:p>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hint="eastAsia" w:ascii="宋体" w:hAnsi="宋体" w:cs="宋体"/>
          <w:color w:val="auto"/>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hint="eastAsia" w:ascii="宋体" w:hAnsi="宋体" w:cs="宋体"/>
          <w:b/>
          <w:color w:val="auto"/>
          <w:kern w:val="0"/>
          <w:sz w:val="24"/>
          <w:highlight w:val="none"/>
        </w:rPr>
      </w:pPr>
    </w:p>
    <w:p>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numPr>
          <w:ilvl w:val="0"/>
          <w:numId w:val="1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投标函………………………………………………………………………（页码）</w:t>
      </w:r>
    </w:p>
    <w:p>
      <w:pPr>
        <w:numPr>
          <w:ilvl w:val="0"/>
          <w:numId w:val="1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授权委托书或法定代表人（单位负责人、自然人本人）身份证明……（页码）</w:t>
      </w:r>
    </w:p>
    <w:p>
      <w:pPr>
        <w:numPr>
          <w:ilvl w:val="0"/>
          <w:numId w:val="1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分包意向协议………………………………………………………………（页码）</w:t>
      </w:r>
    </w:p>
    <w:p>
      <w:pPr>
        <w:numPr>
          <w:ilvl w:val="0"/>
          <w:numId w:val="1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符合性审查资料……………………………………………………………（页码）</w:t>
      </w:r>
    </w:p>
    <w:p>
      <w:pPr>
        <w:numPr>
          <w:ilvl w:val="0"/>
          <w:numId w:val="1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评标标准相应的商务技术资料……………………………………………（页码）</w:t>
      </w:r>
    </w:p>
    <w:p>
      <w:pPr>
        <w:numPr>
          <w:ilvl w:val="0"/>
          <w:numId w:val="1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投标标的清单………………………………………………………………（页码）</w:t>
      </w:r>
    </w:p>
    <w:p>
      <w:pPr>
        <w:numPr>
          <w:ilvl w:val="0"/>
          <w:numId w:val="1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商务技术偏离表……………………………………………………………（页码）</w:t>
      </w:r>
    </w:p>
    <w:p>
      <w:pPr>
        <w:numPr>
          <w:ilvl w:val="0"/>
          <w:numId w:val="1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zh-CN"/>
        </w:rPr>
        <w:t>采购供应商廉洁自律承诺书</w:t>
      </w:r>
      <w:r>
        <w:rPr>
          <w:rFonts w:hint="eastAsia" w:ascii="宋体" w:hAnsi="宋体" w:cs="宋体"/>
          <w:color w:val="auto"/>
          <w:sz w:val="24"/>
          <w:highlight w:val="none"/>
        </w:rPr>
        <w:t>…………………………………………（页码）</w:t>
      </w: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浙江省杭州第七中学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浙江中际工程项目管理有限公司</w:t>
      </w:r>
      <w:r>
        <w:rPr>
          <w:rFonts w:hint="eastAsia" w:ascii="宋体" w:hAnsi="宋体" w:cs="宋体"/>
          <w:color w:val="auto"/>
          <w:sz w:val="24"/>
          <w:highlight w:val="none"/>
        </w:rPr>
        <w:t>：</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浙江省杭州第七中学转塘校区人工智能教育试点二期项目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HQZ-2025-</w:t>
      </w:r>
      <w:r>
        <w:rPr>
          <w:rFonts w:hint="eastAsia" w:ascii="宋体" w:hAnsi="宋体" w:cs="宋体"/>
          <w:color w:val="auto"/>
          <w:sz w:val="24"/>
          <w:highlight w:val="none"/>
          <w:lang w:val="en-US" w:eastAsia="zh-CN"/>
        </w:rPr>
        <w:t>005</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2" w:name="_Hlk101257010"/>
      <w:r>
        <w:rPr>
          <w:rFonts w:hint="eastAsia" w:ascii="宋体" w:hAnsi="宋体" w:cs="宋体"/>
          <w:snapToGrid w:val="0"/>
          <w:color w:val="auto"/>
          <w:kern w:val="28"/>
          <w:sz w:val="24"/>
          <w:szCs w:val="20"/>
          <w:highlight w:val="none"/>
        </w:rPr>
        <w:t>（如果有)</w:t>
      </w:r>
      <w:bookmarkEnd w:id="512"/>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落实采购政策需满足的资格要求（如果有）；</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2.3.2报价情况说明（如果有）（如供应商报价低于项目预算50%的，应当提交本文档，详细阐述不影响产品质量或者诚信履约的具体原因）；</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2.3.3中小企业声明函（如果有）。</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对通过乐采云平台开展的质疑、投诉等活动，我方承诺并接受平台以电子送达的方式送达相关文书。我方认可电子送达与邮寄送达具有同等法律效力，以文书到达乐采云平台日期为送达日期，本公司保证乐采云平台账号真实有效。</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hint="eastAsia" w:ascii="宋体" w:hAnsi="宋体" w:cs="宋体"/>
          <w:color w:val="auto"/>
          <w:kern w:val="0"/>
          <w:sz w:val="24"/>
          <w:highlight w:val="none"/>
          <w:u w:val="single"/>
        </w:rPr>
      </w:pPr>
      <w:r>
        <w:rPr>
          <w:rFonts w:hint="eastAsia" w:ascii="宋体" w:hAnsi="宋体" w:cs="宋体"/>
          <w:color w:val="auto"/>
          <w:sz w:val="24"/>
          <w:highlight w:val="none"/>
        </w:rPr>
        <w:t xml:space="preserve">     日期：  年   月   日</w:t>
      </w: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rPr>
          <w:rFonts w:hint="eastAsia" w:ascii="宋体" w:hAnsi="宋体" w:cs="宋体"/>
          <w:color w:val="auto"/>
          <w:sz w:val="24"/>
          <w:highlight w:val="none"/>
        </w:rPr>
      </w:pPr>
      <w:r>
        <w:rPr>
          <w:rFonts w:hint="eastAsia" w:ascii="宋体" w:hAnsi="宋体" w:cs="宋体"/>
          <w:color w:val="auto"/>
          <w:sz w:val="24"/>
          <w:highlight w:val="none"/>
        </w:rPr>
        <w:br w:type="page"/>
      </w:r>
    </w:p>
    <w:p>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w:t>
      </w:r>
      <w:r>
        <w:rPr>
          <w:rFonts w:hint="eastAsia" w:ascii="宋体" w:hAnsi="宋体" w:cs="宋体"/>
          <w:b/>
          <w:color w:val="auto"/>
          <w:kern w:val="0"/>
          <w:sz w:val="28"/>
          <w:szCs w:val="28"/>
          <w:highlight w:val="none"/>
          <w:lang w:val="zh-CN"/>
        </w:rPr>
        <w:t>授权委托书或法定代表人（单位负责人、自然人本人）身份证明</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528" w:firstLineChars="787"/>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浙江省杭州第七中学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浙江中际工程项目管理有限公司</w:t>
      </w:r>
      <w:r>
        <w:rPr>
          <w:rFonts w:hint="eastAsia" w:ascii="宋体" w:hAnsi="宋体" w:cs="宋体"/>
          <w:color w:val="auto"/>
          <w:kern w:val="0"/>
          <w:sz w:val="24"/>
          <w:highlight w:val="none"/>
          <w:lang w:val="zh-CN"/>
        </w:rPr>
        <w:t>：</w:t>
      </w:r>
    </w:p>
    <w:p>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，所在单位：</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浙江省杭州第七中学转塘校区人工智能教育试点二期项目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HQZ-2025-</w:t>
      </w:r>
      <w:r>
        <w:rPr>
          <w:rFonts w:hint="eastAsia" w:ascii="宋体" w:hAnsi="宋体" w:cs="宋体"/>
          <w:color w:val="auto"/>
          <w:sz w:val="24"/>
          <w:highlight w:val="none"/>
          <w:lang w:val="en-US" w:eastAsia="zh-CN"/>
        </w:rPr>
        <w:t>005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采购投标的一切事项，其法律后果由我方承担。</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hint="eastAsia" w:ascii="宋体" w:hAnsi="宋体" w:cs="宋体"/>
          <w:color w:val="auto"/>
          <w:sz w:val="24"/>
          <w:highlight w:val="none"/>
        </w:rPr>
      </w:pPr>
    </w:p>
    <w:p>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浙江省杭州第七中学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浙江中际工程项目管理有限公司</w:t>
      </w:r>
      <w:r>
        <w:rPr>
          <w:rFonts w:hint="eastAsia" w:ascii="宋体" w:hAnsi="宋体" w:cs="宋体"/>
          <w:color w:val="auto"/>
          <w:kern w:val="0"/>
          <w:sz w:val="24"/>
          <w:highlight w:val="none"/>
          <w:lang w:val="zh-CN"/>
        </w:rPr>
        <w:t>：</w:t>
      </w:r>
    </w:p>
    <w:p>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，所在单位：</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浙江省杭州第七中学转塘校区人工智能教育试点二期项目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HQZ-2025-</w:t>
      </w:r>
      <w:r>
        <w:rPr>
          <w:rFonts w:hint="eastAsia" w:ascii="宋体" w:hAnsi="宋体" w:cs="宋体"/>
          <w:color w:val="auto"/>
          <w:sz w:val="24"/>
          <w:highlight w:val="none"/>
          <w:lang w:val="en-US" w:eastAsia="zh-CN"/>
        </w:rPr>
        <w:t>005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采购投标的一切事项，其法律后果由我方承担。</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hint="eastAsia" w:ascii="宋体" w:hAnsi="宋体" w:cs="宋体"/>
          <w:b/>
          <w:color w:val="auto"/>
          <w:kern w:val="0"/>
          <w:sz w:val="32"/>
          <w:szCs w:val="32"/>
          <w:highlight w:val="none"/>
        </w:rPr>
      </w:pPr>
    </w:p>
    <w:p>
      <w:pPr>
        <w:rPr>
          <w:rFonts w:hint="eastAsia" w:ascii="宋体" w:hAnsi="宋体" w:cs="宋体"/>
          <w:color w:val="auto"/>
          <w:highlight w:val="none"/>
        </w:rPr>
      </w:pPr>
    </w:p>
    <w:p>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napToGrid w:val="0"/>
        <w:spacing w:line="360" w:lineRule="auto"/>
        <w:rPr>
          <w:rFonts w:hint="eastAsia" w:ascii="宋体" w:hAnsi="宋体" w:cs="宋体"/>
          <w:b/>
          <w:color w:val="auto"/>
          <w:kern w:val="0"/>
          <w:sz w:val="32"/>
          <w:szCs w:val="32"/>
          <w:highlight w:val="none"/>
          <w:lang w:val="zh-CN"/>
        </w:rPr>
      </w:pPr>
      <w:r>
        <w:rPr>
          <w:rFonts w:hint="eastAsia" w:ascii="宋体" w:hAnsi="宋体" w:cs="宋体"/>
          <w:color w:val="auto"/>
          <w:kern w:val="0"/>
          <w:sz w:val="24"/>
          <w:highlight w:val="none"/>
          <w:lang w:val="zh-CN"/>
        </w:rPr>
        <w:t>注：▲</w:t>
      </w:r>
      <w:r>
        <w:rPr>
          <w:rFonts w:hint="eastAsia" w:ascii="宋体" w:hAnsi="宋体" w:cs="宋体"/>
          <w:color w:val="auto"/>
          <w:kern w:val="0"/>
          <w:sz w:val="24"/>
          <w:highlight w:val="none"/>
        </w:rPr>
        <w:t>投标人</w:t>
      </w:r>
      <w:r>
        <w:rPr>
          <w:rFonts w:hint="eastAsia" w:ascii="宋体" w:hAnsi="宋体" w:cs="宋体"/>
          <w:color w:val="auto"/>
          <w:kern w:val="0"/>
          <w:sz w:val="24"/>
          <w:highlight w:val="none"/>
          <w:lang w:val="zh-CN"/>
        </w:rPr>
        <w:t>委派不在本单位缴纳社保的人员作为授权代表（代理人）的，应当在投标（响应）文件中，说明具体原因、授权代表缴纳社保的单位，并附列该授权代表缴纳社保清单。</w:t>
      </w:r>
    </w:p>
    <w:p>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36"/>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36"/>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pPr>
              <w:pStyle w:val="36"/>
              <w:adjustRightInd w:val="0"/>
              <w:spacing w:line="360" w:lineRule="auto"/>
              <w:rPr>
                <w:rFonts w:hint="eastAsia" w:hAnsi="宋体" w:cs="宋体"/>
                <w:bCs/>
                <w:color w:val="auto"/>
                <w:sz w:val="24"/>
                <w:highlight w:val="none"/>
              </w:rPr>
            </w:pPr>
          </w:p>
        </w:tc>
      </w:tr>
    </w:tbl>
    <w:p>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snapToGrid w:val="0"/>
        <w:spacing w:line="360" w:lineRule="auto"/>
        <w:ind w:right="480"/>
        <w:rPr>
          <w:rFonts w:hint="eastAsia"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hint="eastAsia" w:ascii="宋体" w:hAnsi="宋体" w:cs="宋体"/>
          <w:color w:val="auto"/>
          <w:kern w:val="0"/>
          <w:sz w:val="24"/>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hint="eastAsia" w:ascii="宋体" w:hAnsi="宋体" w:cs="宋体"/>
          <w:b/>
          <w:color w:val="auto"/>
          <w:kern w:val="0"/>
          <w:sz w:val="32"/>
          <w:szCs w:val="32"/>
          <w:highlight w:val="none"/>
        </w:rPr>
      </w:pPr>
    </w:p>
    <w:tbl>
      <w:tblPr>
        <w:tblStyle w:val="17"/>
        <w:tblW w:w="9746"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86" w:type="dxa"/>
            <w:vAlign w:val="center"/>
          </w:tcPr>
          <w:p>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hint="eastAsia" w:ascii="宋体" w:hAnsi="宋体" w:cs="宋体"/>
                <w:color w:val="auto"/>
                <w:sz w:val="24"/>
                <w:highlight w:val="none"/>
              </w:rPr>
            </w:pPr>
          </w:p>
          <w:p>
            <w:pPr>
              <w:rPr>
                <w:rFonts w:hint="eastAsia" w:ascii="宋体" w:hAnsi="宋体" w:cs="宋体"/>
                <w:color w:val="auto"/>
                <w:sz w:val="24"/>
                <w:highlight w:val="none"/>
              </w:rPr>
            </w:pPr>
            <w:r>
              <w:rPr>
                <w:rFonts w:hint="eastAsia" w:ascii="宋体" w:hAnsi="宋体" w:cs="宋体"/>
                <w:color w:val="auto"/>
                <w:sz w:val="24"/>
                <w:highlight w:val="none"/>
              </w:rPr>
              <w:t>见投标文件</w:t>
            </w:r>
          </w:p>
          <w:p>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pPr>
        <w:pStyle w:val="26"/>
        <w:ind w:firstLine="480" w:firstLineChars="200"/>
        <w:rPr>
          <w:rFonts w:hint="default" w:eastAsia="宋体"/>
          <w:color w:val="auto"/>
          <w:highlight w:val="none"/>
          <w:lang w:val="en-US" w:eastAsia="zh-CN"/>
        </w:rPr>
      </w:pPr>
      <w:r>
        <w:rPr>
          <w:rFonts w:hint="eastAsia" w:hAnsi="宋体" w:cs="宋体"/>
          <w:color w:val="auto"/>
          <w:sz w:val="24"/>
          <w:highlight w:val="none"/>
          <w:lang w:val="en-US" w:eastAsia="zh-CN"/>
        </w:rPr>
        <w:t>2.</w:t>
      </w:r>
      <w:r>
        <w:rPr>
          <w:rFonts w:hint="eastAsia" w:ascii="宋体" w:hAnsi="宋体" w:eastAsia="宋体" w:cs="宋体"/>
          <w:color w:val="auto"/>
          <w:sz w:val="24"/>
          <w:highlight w:val="none"/>
        </w:rPr>
        <w:t>招标文件中实质性要求必须明确响应。</w:t>
      </w: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pStyle w:val="4"/>
        <w:rPr>
          <w:rFonts w:hint="eastAsia"/>
          <w:color w:val="auto"/>
          <w:highlight w:val="none"/>
          <w:lang w:val="en-US"/>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pacing w:line="360" w:lineRule="auto"/>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733"/>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序号</w:t>
            </w:r>
          </w:p>
        </w:tc>
        <w:tc>
          <w:tcPr>
            <w:tcW w:w="5733" w:type="dxa"/>
            <w:tcBorders>
              <w:top w:val="single" w:color="auto" w:sz="4" w:space="0"/>
              <w:left w:val="nil"/>
              <w:bottom w:val="single" w:color="auto" w:sz="4" w:space="0"/>
              <w:right w:val="single" w:color="auto" w:sz="4" w:space="0"/>
            </w:tcBorders>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投标文件中评标标准相应的商务技术资料目录*</w:t>
            </w:r>
          </w:p>
        </w:tc>
        <w:tc>
          <w:tcPr>
            <w:tcW w:w="2778" w:type="dxa"/>
            <w:tcBorders>
              <w:top w:val="single" w:color="auto" w:sz="4" w:space="0"/>
              <w:left w:val="nil"/>
              <w:bottom w:val="single" w:color="auto" w:sz="4" w:space="0"/>
              <w:right w:val="single" w:color="auto" w:sz="4" w:space="0"/>
            </w:tcBorders>
          </w:tcPr>
          <w:p>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5733" w:type="dxa"/>
            <w:tcBorders>
              <w:top w:val="single" w:color="auto" w:sz="4" w:space="0"/>
              <w:left w:val="nil"/>
              <w:bottom w:val="single" w:color="auto" w:sz="4" w:space="0"/>
              <w:right w:val="single" w:color="auto" w:sz="4" w:space="0"/>
            </w:tcBorders>
            <w:vAlign w:val="top"/>
          </w:tcPr>
          <w:p>
            <w:pPr>
              <w:snapToGrid w:val="0"/>
              <w:spacing w:line="360" w:lineRule="auto"/>
              <w:jc w:val="center"/>
              <w:rPr>
                <w:rFonts w:hint="eastAsia" w:ascii="宋体" w:hAnsi="宋体" w:cs="宋体"/>
                <w:color w:val="auto"/>
                <w:sz w:val="24"/>
                <w:highlight w:val="none"/>
              </w:rPr>
            </w:pPr>
            <w:r>
              <w:rPr>
                <w:rFonts w:hint="eastAsia" w:ascii="宋体" w:hAnsi="宋体" w:cs="宋体"/>
                <w:b w:val="0"/>
                <w:bCs/>
                <w:color w:val="auto"/>
                <w:sz w:val="24"/>
                <w:highlight w:val="none"/>
                <w:vertAlign w:val="baseline"/>
                <w:lang w:val="en-US" w:eastAsia="zh-CN"/>
              </w:rPr>
              <w:t>XXX（预先填写）</w:t>
            </w:r>
          </w:p>
        </w:tc>
        <w:tc>
          <w:tcPr>
            <w:tcW w:w="2778" w:type="dxa"/>
            <w:tcBorders>
              <w:top w:val="single" w:color="auto" w:sz="4" w:space="0"/>
              <w:left w:val="nil"/>
              <w:bottom w:val="single" w:color="auto" w:sz="4" w:space="0"/>
              <w:right w:val="single" w:color="auto" w:sz="4" w:space="0"/>
            </w:tcBorders>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5733" w:type="dxa"/>
            <w:tcBorders>
              <w:top w:val="single" w:color="auto" w:sz="4" w:space="0"/>
              <w:left w:val="nil"/>
              <w:bottom w:val="single" w:color="auto" w:sz="4" w:space="0"/>
              <w:right w:val="single" w:color="auto" w:sz="4" w:space="0"/>
            </w:tcBorders>
            <w:vAlign w:val="top"/>
          </w:tcPr>
          <w:p>
            <w:pPr>
              <w:snapToGrid w:val="0"/>
              <w:spacing w:line="360" w:lineRule="auto"/>
              <w:jc w:val="center"/>
              <w:rPr>
                <w:rFonts w:hint="eastAsia" w:ascii="宋体" w:hAnsi="宋体" w:cs="宋体"/>
                <w:color w:val="auto"/>
                <w:sz w:val="24"/>
                <w:highlight w:val="none"/>
                <w:lang w:bidi="ar"/>
              </w:rPr>
            </w:pPr>
            <w:r>
              <w:rPr>
                <w:rFonts w:hint="eastAsia" w:ascii="宋体" w:hAnsi="宋体" w:cs="宋体"/>
                <w:b w:val="0"/>
                <w:bCs/>
                <w:color w:val="auto"/>
                <w:sz w:val="24"/>
                <w:highlight w:val="none"/>
                <w:vertAlign w:val="baseline"/>
                <w:lang w:val="en-US" w:eastAsia="zh-CN"/>
              </w:rPr>
              <w:t>XXX</w:t>
            </w:r>
          </w:p>
        </w:tc>
        <w:tc>
          <w:tcPr>
            <w:tcW w:w="2778"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cs="宋体"/>
                <w:color w:val="auto"/>
                <w:sz w:val="24"/>
                <w:highlight w:val="none"/>
                <w:u w:val="singl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5733" w:type="dxa"/>
            <w:tcBorders>
              <w:top w:val="single" w:color="auto" w:sz="4" w:space="0"/>
              <w:left w:val="nil"/>
              <w:bottom w:val="single" w:color="auto" w:sz="4" w:space="0"/>
              <w:right w:val="single" w:color="auto" w:sz="4" w:space="0"/>
            </w:tcBorders>
            <w:vAlign w:val="center"/>
          </w:tcPr>
          <w:p>
            <w:pPr>
              <w:snapToGrid w:val="0"/>
              <w:spacing w:line="360" w:lineRule="auto"/>
              <w:rPr>
                <w:rFonts w:hint="eastAsia" w:ascii="宋体" w:hAnsi="宋体" w:cs="宋体"/>
                <w:color w:val="auto"/>
                <w:sz w:val="24"/>
                <w:highlight w:val="none"/>
                <w:lang w:bidi="ar"/>
              </w:rPr>
            </w:pPr>
          </w:p>
        </w:tc>
        <w:tc>
          <w:tcPr>
            <w:tcW w:w="2778" w:type="dxa"/>
            <w:tcBorders>
              <w:top w:val="single" w:color="auto" w:sz="4" w:space="0"/>
              <w:left w:val="nil"/>
              <w:bottom w:val="single" w:color="auto" w:sz="4" w:space="0"/>
              <w:right w:val="single" w:color="auto" w:sz="4" w:space="0"/>
            </w:tcBorders>
          </w:tcPr>
          <w:p>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5733" w:type="dxa"/>
            <w:tcBorders>
              <w:top w:val="single" w:color="auto" w:sz="4" w:space="0"/>
              <w:left w:val="nil"/>
              <w:bottom w:val="single" w:color="auto" w:sz="4" w:space="0"/>
              <w:right w:val="single" w:color="auto" w:sz="4" w:space="0"/>
            </w:tcBorders>
          </w:tcPr>
          <w:p>
            <w:pPr>
              <w:pStyle w:val="23"/>
              <w:widowControl w:val="0"/>
              <w:spacing w:line="360" w:lineRule="auto"/>
              <w:ind w:firstLine="0" w:firstLineChars="0"/>
              <w:jc w:val="both"/>
              <w:rPr>
                <w:rFonts w:hint="eastAsia" w:ascii="宋体" w:hAnsi="宋体" w:eastAsia="宋体" w:cs="宋体"/>
                <w:bCs/>
                <w:color w:val="auto"/>
                <w:sz w:val="24"/>
                <w:szCs w:val="24"/>
                <w:highlight w:val="none"/>
              </w:rPr>
            </w:pPr>
          </w:p>
        </w:tc>
        <w:tc>
          <w:tcPr>
            <w:tcW w:w="2778"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5733" w:type="dxa"/>
            <w:tcBorders>
              <w:top w:val="single" w:color="auto" w:sz="4" w:space="0"/>
              <w:left w:val="nil"/>
              <w:bottom w:val="single" w:color="auto" w:sz="4" w:space="0"/>
              <w:right w:val="single" w:color="auto" w:sz="4" w:space="0"/>
            </w:tcBorders>
          </w:tcPr>
          <w:p>
            <w:pPr>
              <w:pStyle w:val="23"/>
              <w:widowControl w:val="0"/>
              <w:spacing w:line="360" w:lineRule="auto"/>
              <w:ind w:firstLine="0" w:firstLineChars="0"/>
              <w:jc w:val="both"/>
              <w:rPr>
                <w:rFonts w:hint="eastAsia" w:ascii="宋体" w:hAnsi="宋体" w:eastAsia="宋体" w:cs="宋体"/>
                <w:b/>
                <w:bCs/>
                <w:color w:val="auto"/>
                <w:sz w:val="24"/>
                <w:szCs w:val="24"/>
                <w:highlight w:val="none"/>
              </w:rPr>
            </w:pPr>
          </w:p>
        </w:tc>
        <w:tc>
          <w:tcPr>
            <w:tcW w:w="2778" w:type="dxa"/>
            <w:tcBorders>
              <w:top w:val="single" w:color="auto" w:sz="4" w:space="0"/>
              <w:left w:val="nil"/>
              <w:bottom w:val="single" w:color="auto" w:sz="4" w:space="0"/>
              <w:right w:val="single" w:color="auto" w:sz="4" w:space="0"/>
            </w:tcBorders>
          </w:tcPr>
          <w:p>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5733" w:type="dxa"/>
            <w:tcBorders>
              <w:top w:val="single" w:color="auto" w:sz="4" w:space="0"/>
              <w:left w:val="nil"/>
              <w:bottom w:val="single" w:color="auto" w:sz="4" w:space="0"/>
              <w:right w:val="single" w:color="auto" w:sz="4" w:space="0"/>
            </w:tcBorders>
          </w:tcPr>
          <w:p>
            <w:pPr>
              <w:pStyle w:val="23"/>
              <w:widowControl w:val="0"/>
              <w:spacing w:line="360" w:lineRule="auto"/>
              <w:ind w:firstLine="0" w:firstLineChars="0"/>
              <w:jc w:val="both"/>
              <w:rPr>
                <w:rFonts w:hint="eastAsia" w:ascii="宋体" w:hAnsi="宋体" w:eastAsia="宋体" w:cs="宋体"/>
                <w:b/>
                <w:bCs/>
                <w:color w:val="auto"/>
                <w:sz w:val="24"/>
                <w:szCs w:val="24"/>
                <w:highlight w:val="none"/>
              </w:rPr>
            </w:pPr>
          </w:p>
        </w:tc>
        <w:tc>
          <w:tcPr>
            <w:tcW w:w="2778"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5733"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left"/>
              <w:rPr>
                <w:rFonts w:hint="eastAsia" w:ascii="宋体" w:hAnsi="宋体" w:cs="宋体"/>
                <w:b/>
                <w:bCs/>
                <w:color w:val="auto"/>
                <w:sz w:val="24"/>
                <w:highlight w:val="none"/>
              </w:rPr>
            </w:pPr>
          </w:p>
        </w:tc>
        <w:tc>
          <w:tcPr>
            <w:tcW w:w="2778" w:type="dxa"/>
            <w:tcBorders>
              <w:top w:val="single" w:color="auto" w:sz="4" w:space="0"/>
              <w:left w:val="nil"/>
              <w:bottom w:val="single" w:color="auto" w:sz="4" w:space="0"/>
              <w:right w:val="single" w:color="auto" w:sz="4" w:space="0"/>
            </w:tcBorders>
          </w:tcPr>
          <w:p>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5733" w:type="dxa"/>
            <w:tcBorders>
              <w:top w:val="single" w:color="auto" w:sz="4" w:space="0"/>
              <w:left w:val="nil"/>
              <w:bottom w:val="single" w:color="auto" w:sz="4" w:space="0"/>
              <w:right w:val="single" w:color="auto" w:sz="4" w:space="0"/>
            </w:tcBorders>
            <w:shd w:val="clear" w:color="auto" w:fill="FFFFFF"/>
            <w:vAlign w:val="center"/>
          </w:tcPr>
          <w:p>
            <w:pPr>
              <w:spacing w:line="360" w:lineRule="auto"/>
              <w:rPr>
                <w:rFonts w:hint="eastAsia" w:ascii="宋体" w:hAnsi="宋体" w:cs="宋体"/>
                <w:b/>
                <w:bCs/>
                <w:color w:val="auto"/>
                <w:sz w:val="24"/>
                <w:highlight w:val="none"/>
              </w:rPr>
            </w:pPr>
          </w:p>
        </w:tc>
        <w:tc>
          <w:tcPr>
            <w:tcW w:w="2778"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5733" w:type="dxa"/>
            <w:tcBorders>
              <w:top w:val="single" w:color="auto" w:sz="4" w:space="0"/>
              <w:left w:val="nil"/>
              <w:bottom w:val="single" w:color="auto" w:sz="4" w:space="0"/>
              <w:right w:val="single" w:color="auto" w:sz="4" w:space="0"/>
            </w:tcBorders>
          </w:tcPr>
          <w:p>
            <w:pPr>
              <w:pStyle w:val="23"/>
              <w:widowControl w:val="0"/>
              <w:spacing w:line="360" w:lineRule="auto"/>
              <w:ind w:firstLine="0" w:firstLineChars="0"/>
              <w:jc w:val="both"/>
              <w:rPr>
                <w:rFonts w:hint="eastAsia" w:ascii="宋体" w:hAnsi="宋体" w:eastAsia="宋体" w:cs="宋体"/>
                <w:b/>
                <w:bCs/>
                <w:color w:val="auto"/>
                <w:sz w:val="24"/>
                <w:szCs w:val="24"/>
                <w:highlight w:val="none"/>
              </w:rPr>
            </w:pPr>
          </w:p>
        </w:tc>
        <w:tc>
          <w:tcPr>
            <w:tcW w:w="2778" w:type="dxa"/>
            <w:tcBorders>
              <w:top w:val="single" w:color="auto" w:sz="4" w:space="0"/>
              <w:left w:val="nil"/>
              <w:bottom w:val="single" w:color="auto" w:sz="4" w:space="0"/>
              <w:right w:val="single" w:color="auto" w:sz="4" w:space="0"/>
            </w:tcBorders>
          </w:tcPr>
          <w:p>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5733" w:type="dxa"/>
            <w:tcBorders>
              <w:top w:val="single" w:color="auto" w:sz="4" w:space="0"/>
              <w:left w:val="nil"/>
              <w:bottom w:val="single" w:color="auto" w:sz="4" w:space="0"/>
              <w:right w:val="single" w:color="auto" w:sz="4" w:space="0"/>
            </w:tcBorders>
          </w:tcPr>
          <w:p>
            <w:pPr>
              <w:snapToGrid w:val="0"/>
              <w:spacing w:line="360" w:lineRule="auto"/>
              <w:ind w:firstLine="480" w:firstLineChars="200"/>
              <w:jc w:val="center"/>
              <w:rPr>
                <w:rFonts w:hint="eastAsia" w:ascii="宋体" w:hAnsi="宋体" w:cs="宋体"/>
                <w:color w:val="auto"/>
                <w:sz w:val="24"/>
                <w:highlight w:val="none"/>
              </w:rPr>
            </w:pPr>
          </w:p>
        </w:tc>
        <w:tc>
          <w:tcPr>
            <w:tcW w:w="2778" w:type="dxa"/>
            <w:tcBorders>
              <w:top w:val="single" w:color="auto" w:sz="4" w:space="0"/>
              <w:left w:val="nil"/>
              <w:bottom w:val="single" w:color="auto" w:sz="4" w:space="0"/>
              <w:right w:val="single" w:color="auto" w:sz="4" w:space="0"/>
            </w:tcBorders>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bl>
    <w:p>
      <w:pPr>
        <w:jc w:val="left"/>
        <w:rPr>
          <w:rFonts w:hint="eastAsia" w:ascii="宋体" w:hAnsi="宋体" w:cs="仿宋_GB2312"/>
          <w:b/>
          <w:color w:val="auto"/>
          <w:sz w:val="32"/>
          <w:szCs w:val="32"/>
          <w:highlight w:val="none"/>
        </w:rPr>
      </w:pPr>
    </w:p>
    <w:p>
      <w:pPr>
        <w:rPr>
          <w:rFonts w:hint="eastAsia" w:ascii="宋体" w:hAnsi="宋体" w:cs="仿宋_GB2312"/>
          <w:b/>
          <w:color w:val="auto"/>
          <w:sz w:val="28"/>
          <w:szCs w:val="28"/>
          <w:highlight w:val="none"/>
        </w:rPr>
      </w:pPr>
      <w:r>
        <w:rPr>
          <w:rFonts w:hint="eastAsia" w:ascii="宋体" w:hAnsi="宋体" w:cs="仿宋_GB2312"/>
          <w:b/>
          <w:color w:val="auto"/>
          <w:sz w:val="28"/>
          <w:szCs w:val="28"/>
          <w:highlight w:val="none"/>
        </w:rPr>
        <w:br w:type="page"/>
      </w:r>
    </w:p>
    <w:p>
      <w:pPr>
        <w:jc w:val="left"/>
        <w:rPr>
          <w:rFonts w:hint="eastAsia" w:ascii="宋体" w:hAnsi="宋体" w:cs="仿宋_GB2312"/>
          <w:b/>
          <w:color w:val="auto"/>
          <w:sz w:val="28"/>
          <w:szCs w:val="28"/>
          <w:highlight w:val="none"/>
        </w:rPr>
      </w:pPr>
      <w:r>
        <w:rPr>
          <w:rFonts w:hint="eastAsia" w:ascii="宋体" w:hAnsi="宋体" w:cs="仿宋_GB2312"/>
          <w:b/>
          <w:color w:val="auto"/>
          <w:sz w:val="28"/>
          <w:szCs w:val="28"/>
          <w:highlight w:val="none"/>
        </w:rPr>
        <w:t>参考格式1</w:t>
      </w:r>
    </w:p>
    <w:p>
      <w:pPr>
        <w:rPr>
          <w:rFonts w:hint="eastAsia" w:ascii="宋体" w:hAnsi="宋体"/>
          <w:color w:val="auto"/>
          <w:sz w:val="24"/>
          <w:szCs w:val="22"/>
          <w:highlight w:val="none"/>
        </w:rPr>
      </w:pPr>
      <w:r>
        <w:rPr>
          <w:rFonts w:hint="eastAsia" w:ascii="宋体" w:hAnsi="宋体"/>
          <w:color w:val="auto"/>
          <w:sz w:val="24"/>
          <w:szCs w:val="22"/>
          <w:highlight w:val="none"/>
        </w:rPr>
        <w:t>投标人简况表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5"/>
        <w:gridCol w:w="1600"/>
        <w:gridCol w:w="1134"/>
        <w:gridCol w:w="1614"/>
        <w:gridCol w:w="795"/>
        <w:gridCol w:w="1418"/>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jc w:val="center"/>
        </w:trPr>
        <w:tc>
          <w:tcPr>
            <w:tcW w:w="1195" w:type="dxa"/>
            <w:vAlign w:val="center"/>
          </w:tcPr>
          <w:p>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单位名称</w:t>
            </w:r>
          </w:p>
        </w:tc>
        <w:tc>
          <w:tcPr>
            <w:tcW w:w="5143" w:type="dxa"/>
            <w:gridSpan w:val="4"/>
            <w:vAlign w:val="center"/>
          </w:tcPr>
          <w:p>
            <w:pPr>
              <w:autoSpaceDE w:val="0"/>
              <w:snapToGrid w:val="0"/>
              <w:spacing w:line="360" w:lineRule="auto"/>
              <w:jc w:val="center"/>
              <w:rPr>
                <w:rFonts w:hint="eastAsia" w:ascii="宋体" w:hAnsi="宋体" w:cs="宋体"/>
                <w:color w:val="auto"/>
                <w:sz w:val="24"/>
                <w:highlight w:val="none"/>
                <w:lang w:val="zh-CN"/>
              </w:rPr>
            </w:pPr>
          </w:p>
        </w:tc>
        <w:tc>
          <w:tcPr>
            <w:tcW w:w="1418" w:type="dxa"/>
            <w:vAlign w:val="center"/>
          </w:tcPr>
          <w:p>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成立时间</w:t>
            </w:r>
          </w:p>
        </w:tc>
        <w:tc>
          <w:tcPr>
            <w:tcW w:w="1515" w:type="dxa"/>
            <w:vAlign w:val="center"/>
          </w:tcPr>
          <w:p>
            <w:pPr>
              <w:autoSpaceDE w:val="0"/>
              <w:snapToGrid w:val="0"/>
              <w:spacing w:line="360" w:lineRule="auto"/>
              <w:jc w:val="center"/>
              <w:rPr>
                <w:rFonts w:hint="eastAsia" w:ascii="宋体" w:hAnsi="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1" w:hRule="atLeast"/>
          <w:jc w:val="center"/>
        </w:trPr>
        <w:tc>
          <w:tcPr>
            <w:tcW w:w="1195" w:type="dxa"/>
            <w:vAlign w:val="center"/>
          </w:tcPr>
          <w:p>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资质等级</w:t>
            </w:r>
          </w:p>
        </w:tc>
        <w:tc>
          <w:tcPr>
            <w:tcW w:w="1600" w:type="dxa"/>
            <w:vAlign w:val="center"/>
          </w:tcPr>
          <w:p>
            <w:pPr>
              <w:autoSpaceDE w:val="0"/>
              <w:snapToGrid w:val="0"/>
              <w:spacing w:line="360" w:lineRule="auto"/>
              <w:jc w:val="center"/>
              <w:rPr>
                <w:rFonts w:hint="eastAsia" w:ascii="宋体" w:hAnsi="宋体" w:cs="宋体"/>
                <w:color w:val="auto"/>
                <w:sz w:val="24"/>
                <w:highlight w:val="none"/>
                <w:lang w:val="zh-CN"/>
              </w:rPr>
            </w:pPr>
          </w:p>
        </w:tc>
        <w:tc>
          <w:tcPr>
            <w:tcW w:w="1134" w:type="dxa"/>
            <w:vAlign w:val="center"/>
          </w:tcPr>
          <w:p>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经营方式</w:t>
            </w:r>
          </w:p>
        </w:tc>
        <w:tc>
          <w:tcPr>
            <w:tcW w:w="2409" w:type="dxa"/>
            <w:gridSpan w:val="2"/>
            <w:vAlign w:val="center"/>
          </w:tcPr>
          <w:p>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□有限责任公司</w:t>
            </w:r>
          </w:p>
          <w:p>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□个人独立经营方式</w:t>
            </w:r>
          </w:p>
          <w:p>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□合伙经营方式</w:t>
            </w:r>
          </w:p>
          <w:p>
            <w:pPr>
              <w:autoSpaceDE w:val="0"/>
              <w:snapToGrid w:val="0"/>
              <w:jc w:val="left"/>
              <w:rPr>
                <w:rFonts w:hint="eastAsia" w:ascii="宋体" w:hAnsi="宋体"/>
                <w:color w:val="auto"/>
                <w:highlight w:val="none"/>
                <w:lang w:val="zh-CN"/>
              </w:rPr>
            </w:pPr>
            <w:r>
              <w:rPr>
                <w:rFonts w:hint="eastAsia" w:ascii="宋体" w:hAnsi="宋体" w:cs="宋体"/>
                <w:color w:val="auto"/>
                <w:sz w:val="24"/>
                <w:highlight w:val="none"/>
                <w:lang w:val="zh-CN"/>
              </w:rPr>
              <w:t>□其他</w:t>
            </w:r>
          </w:p>
        </w:tc>
        <w:tc>
          <w:tcPr>
            <w:tcW w:w="1418" w:type="dxa"/>
            <w:vAlign w:val="center"/>
          </w:tcPr>
          <w:p>
            <w:pPr>
              <w:autoSpaceDE w:val="0"/>
              <w:snapToGrid w:val="0"/>
              <w:jc w:val="center"/>
              <w:rPr>
                <w:rFonts w:hint="eastAsia" w:ascii="宋体" w:hAnsi="宋体"/>
                <w:color w:val="auto"/>
                <w:highlight w:val="none"/>
              </w:rPr>
            </w:pPr>
            <w:r>
              <w:rPr>
                <w:rFonts w:hint="eastAsia" w:ascii="宋体" w:hAnsi="宋体" w:cs="宋体"/>
                <w:color w:val="auto"/>
                <w:sz w:val="24"/>
                <w:highlight w:val="none"/>
                <w:lang w:val="zh-CN"/>
              </w:rPr>
              <w:t>企业性质</w:t>
            </w:r>
          </w:p>
        </w:tc>
        <w:tc>
          <w:tcPr>
            <w:tcW w:w="1515" w:type="dxa"/>
            <w:vAlign w:val="center"/>
          </w:tcPr>
          <w:p>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□事业单位</w:t>
            </w:r>
          </w:p>
          <w:p>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□国企</w:t>
            </w:r>
          </w:p>
          <w:p>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□民营</w:t>
            </w:r>
          </w:p>
          <w:p>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□个体经营者</w:t>
            </w:r>
          </w:p>
          <w:p>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□自然人</w:t>
            </w:r>
          </w:p>
          <w:p>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5" w:hRule="atLeast"/>
          <w:jc w:val="center"/>
        </w:trPr>
        <w:tc>
          <w:tcPr>
            <w:tcW w:w="1195" w:type="dxa"/>
            <w:vAlign w:val="center"/>
          </w:tcPr>
          <w:p>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注册资金</w:t>
            </w:r>
          </w:p>
        </w:tc>
        <w:tc>
          <w:tcPr>
            <w:tcW w:w="1600" w:type="dxa"/>
            <w:vAlign w:val="center"/>
          </w:tcPr>
          <w:p>
            <w:pPr>
              <w:autoSpaceDE w:val="0"/>
              <w:snapToGrid w:val="0"/>
              <w:spacing w:line="360" w:lineRule="auto"/>
              <w:jc w:val="center"/>
              <w:rPr>
                <w:rFonts w:hint="eastAsia" w:ascii="宋体" w:hAnsi="宋体" w:cs="宋体"/>
                <w:color w:val="auto"/>
                <w:sz w:val="24"/>
                <w:highlight w:val="none"/>
                <w:lang w:val="zh-CN"/>
              </w:rPr>
            </w:pPr>
          </w:p>
        </w:tc>
        <w:tc>
          <w:tcPr>
            <w:tcW w:w="1134" w:type="dxa"/>
            <w:vAlign w:val="center"/>
          </w:tcPr>
          <w:p>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地    址</w:t>
            </w:r>
          </w:p>
        </w:tc>
        <w:tc>
          <w:tcPr>
            <w:tcW w:w="5342" w:type="dxa"/>
            <w:gridSpan w:val="4"/>
            <w:vAlign w:val="center"/>
          </w:tcPr>
          <w:p>
            <w:pPr>
              <w:autoSpaceDE w:val="0"/>
              <w:snapToGrid w:val="0"/>
              <w:spacing w:line="360" w:lineRule="auto"/>
              <w:jc w:val="center"/>
              <w:rPr>
                <w:rFonts w:hint="eastAsia" w:ascii="宋体" w:hAnsi="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8" w:hRule="atLeast"/>
          <w:jc w:val="center"/>
        </w:trPr>
        <w:tc>
          <w:tcPr>
            <w:tcW w:w="1195" w:type="dxa"/>
            <w:vAlign w:val="center"/>
          </w:tcPr>
          <w:p>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经营范围</w:t>
            </w:r>
          </w:p>
        </w:tc>
        <w:tc>
          <w:tcPr>
            <w:tcW w:w="8076" w:type="dxa"/>
            <w:gridSpan w:val="6"/>
            <w:vAlign w:val="center"/>
          </w:tcPr>
          <w:p>
            <w:pPr>
              <w:autoSpaceDE w:val="0"/>
              <w:snapToGrid w:val="0"/>
              <w:spacing w:line="360" w:lineRule="auto"/>
              <w:rPr>
                <w:rFonts w:hint="eastAsia" w:ascii="宋体" w:hAnsi="宋体" w:cs="宋体"/>
                <w:color w:val="auto"/>
                <w:sz w:val="24"/>
                <w:highlight w:val="none"/>
                <w:lang w:val="zh-CN"/>
              </w:rPr>
            </w:pPr>
          </w:p>
          <w:p>
            <w:pPr>
              <w:autoSpaceDE w:val="0"/>
              <w:snapToGrid w:val="0"/>
              <w:spacing w:line="360" w:lineRule="auto"/>
              <w:rPr>
                <w:rFonts w:hint="eastAsia" w:ascii="宋体" w:hAnsi="宋体" w:cs="宋体"/>
                <w:color w:val="auto"/>
                <w:sz w:val="24"/>
                <w:highlight w:val="none"/>
                <w:lang w:val="zh-CN"/>
              </w:rPr>
            </w:pPr>
          </w:p>
          <w:p>
            <w:pPr>
              <w:autoSpaceDE w:val="0"/>
              <w:snapToGrid w:val="0"/>
              <w:spacing w:line="360" w:lineRule="auto"/>
              <w:rPr>
                <w:rFonts w:hint="eastAsia" w:ascii="宋体" w:hAnsi="宋体" w:cs="宋体"/>
                <w:color w:val="auto"/>
                <w:sz w:val="24"/>
                <w:highlight w:val="none"/>
                <w:lang w:val="zh-CN"/>
              </w:rPr>
            </w:pPr>
          </w:p>
          <w:p>
            <w:pPr>
              <w:autoSpaceDE w:val="0"/>
              <w:snapToGrid w:val="0"/>
              <w:spacing w:line="360" w:lineRule="auto"/>
              <w:rPr>
                <w:rFonts w:hint="eastAsia" w:ascii="宋体" w:hAnsi="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jc w:val="center"/>
        </w:trPr>
        <w:tc>
          <w:tcPr>
            <w:tcW w:w="1195" w:type="dxa"/>
            <w:vMerge w:val="restart"/>
            <w:vAlign w:val="center"/>
          </w:tcPr>
          <w:p>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单位</w:t>
            </w:r>
          </w:p>
          <w:p>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职工</w:t>
            </w:r>
          </w:p>
        </w:tc>
        <w:tc>
          <w:tcPr>
            <w:tcW w:w="4348" w:type="dxa"/>
            <w:gridSpan w:val="3"/>
            <w:vAlign w:val="center"/>
          </w:tcPr>
          <w:p>
            <w:pPr>
              <w:autoSpaceDE w:val="0"/>
              <w:snapToGrid w:val="0"/>
              <w:jc w:val="center"/>
              <w:rPr>
                <w:rFonts w:hint="eastAsia" w:ascii="宋体" w:hAnsi="宋体"/>
                <w:color w:val="auto"/>
                <w:highlight w:val="none"/>
              </w:rPr>
            </w:pPr>
            <w:r>
              <w:rPr>
                <w:rFonts w:hint="eastAsia" w:ascii="宋体" w:hAnsi="宋体" w:cs="宋体"/>
                <w:color w:val="auto"/>
                <w:sz w:val="24"/>
                <w:highlight w:val="none"/>
                <w:lang w:val="zh-CN"/>
              </w:rPr>
              <w:t>人数</w:t>
            </w:r>
          </w:p>
        </w:tc>
        <w:tc>
          <w:tcPr>
            <w:tcW w:w="3728" w:type="dxa"/>
            <w:gridSpan w:val="3"/>
            <w:vAlign w:val="center"/>
          </w:tcPr>
          <w:p>
            <w:pPr>
              <w:autoSpaceDE w:val="0"/>
              <w:snapToGrid w:val="0"/>
              <w:jc w:val="center"/>
              <w:rPr>
                <w:rFonts w:hint="eastAsia" w:ascii="宋体" w:hAnsi="宋体"/>
                <w:color w:val="auto"/>
                <w:highlight w:val="none"/>
              </w:rPr>
            </w:pPr>
            <w:r>
              <w:rPr>
                <w:rFonts w:hint="eastAsia" w:ascii="宋体" w:hAnsi="宋体" w:cs="宋体"/>
                <w:color w:val="auto"/>
                <w:sz w:val="24"/>
                <w:highlight w:val="none"/>
                <w:lang w:val="zh-CN"/>
              </w:rPr>
              <w:t>具有执业资格的管理人员人数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8" w:hRule="atLeast"/>
          <w:jc w:val="center"/>
        </w:trPr>
        <w:tc>
          <w:tcPr>
            <w:tcW w:w="1195" w:type="dxa"/>
            <w:vMerge w:val="continue"/>
            <w:vAlign w:val="center"/>
          </w:tcPr>
          <w:p>
            <w:pPr>
              <w:autoSpaceDE w:val="0"/>
              <w:snapToGrid w:val="0"/>
              <w:spacing w:line="360" w:lineRule="auto"/>
              <w:jc w:val="center"/>
              <w:rPr>
                <w:rFonts w:hint="eastAsia" w:ascii="宋体" w:hAnsi="宋体" w:cs="宋体"/>
                <w:color w:val="auto"/>
                <w:sz w:val="24"/>
                <w:highlight w:val="none"/>
                <w:lang w:val="zh-CN"/>
              </w:rPr>
            </w:pPr>
          </w:p>
        </w:tc>
        <w:tc>
          <w:tcPr>
            <w:tcW w:w="4348" w:type="dxa"/>
            <w:gridSpan w:val="3"/>
            <w:vAlign w:val="center"/>
          </w:tcPr>
          <w:p>
            <w:pPr>
              <w:autoSpaceDE w:val="0"/>
              <w:snapToGrid w:val="0"/>
              <w:spacing w:line="360" w:lineRule="auto"/>
              <w:jc w:val="center"/>
              <w:rPr>
                <w:rFonts w:hint="eastAsia" w:ascii="宋体" w:hAnsi="宋体" w:cs="宋体"/>
                <w:color w:val="auto"/>
                <w:sz w:val="24"/>
                <w:highlight w:val="none"/>
                <w:lang w:val="zh-CN"/>
              </w:rPr>
            </w:pPr>
          </w:p>
        </w:tc>
        <w:tc>
          <w:tcPr>
            <w:tcW w:w="3728" w:type="dxa"/>
            <w:gridSpan w:val="3"/>
            <w:vAlign w:val="center"/>
          </w:tcPr>
          <w:p>
            <w:pPr>
              <w:autoSpaceDE w:val="0"/>
              <w:snapToGrid w:val="0"/>
              <w:spacing w:line="360" w:lineRule="auto"/>
              <w:jc w:val="center"/>
              <w:rPr>
                <w:rFonts w:hint="eastAsia" w:ascii="宋体" w:hAnsi="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0" w:hRule="atLeast"/>
          <w:jc w:val="center"/>
        </w:trPr>
        <w:tc>
          <w:tcPr>
            <w:tcW w:w="1195" w:type="dxa"/>
            <w:vAlign w:val="center"/>
          </w:tcPr>
          <w:p>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rPr>
              <w:t>获奖情况</w:t>
            </w:r>
          </w:p>
          <w:p>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rPr>
              <w:t>(荣誉)</w:t>
            </w:r>
          </w:p>
        </w:tc>
        <w:tc>
          <w:tcPr>
            <w:tcW w:w="8076" w:type="dxa"/>
            <w:gridSpan w:val="6"/>
            <w:vAlign w:val="center"/>
          </w:tcPr>
          <w:p>
            <w:pPr>
              <w:autoSpaceDE w:val="0"/>
              <w:snapToGrid w:val="0"/>
              <w:spacing w:line="360" w:lineRule="auto"/>
              <w:jc w:val="center"/>
              <w:rPr>
                <w:rFonts w:hint="eastAsia" w:ascii="宋体" w:hAnsi="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0" w:hRule="atLeast"/>
          <w:jc w:val="center"/>
        </w:trPr>
        <w:tc>
          <w:tcPr>
            <w:tcW w:w="1195" w:type="dxa"/>
            <w:vAlign w:val="center"/>
          </w:tcPr>
          <w:p>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单</w:t>
            </w:r>
          </w:p>
          <w:p>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位</w:t>
            </w:r>
          </w:p>
          <w:p>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简</w:t>
            </w:r>
          </w:p>
          <w:p>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历</w:t>
            </w:r>
          </w:p>
        </w:tc>
        <w:tc>
          <w:tcPr>
            <w:tcW w:w="8076" w:type="dxa"/>
            <w:gridSpan w:val="6"/>
          </w:tcPr>
          <w:p>
            <w:pPr>
              <w:autoSpaceDE w:val="0"/>
              <w:snapToGrid w:val="0"/>
              <w:spacing w:line="360" w:lineRule="auto"/>
              <w:jc w:val="center"/>
              <w:rPr>
                <w:rFonts w:hint="eastAsia" w:ascii="宋体" w:hAnsi="宋体" w:cs="宋体"/>
                <w:color w:val="auto"/>
                <w:sz w:val="24"/>
                <w:highlight w:val="none"/>
                <w:lang w:val="zh-CN"/>
              </w:rPr>
            </w:pPr>
          </w:p>
        </w:tc>
      </w:tr>
    </w:tbl>
    <w:p>
      <w:pPr>
        <w:autoSpaceDE w:val="0"/>
        <w:snapToGrid w:val="0"/>
        <w:spacing w:line="360" w:lineRule="auto"/>
        <w:ind w:firstLine="840"/>
        <w:rPr>
          <w:rFonts w:hint="eastAsia" w:ascii="宋体" w:hAnsi="宋体"/>
          <w:color w:val="auto"/>
          <w:highlight w:val="none"/>
        </w:rPr>
      </w:pPr>
      <w:r>
        <w:rPr>
          <w:rFonts w:hint="eastAsia" w:ascii="宋体" w:hAnsi="宋体" w:cs="宋体"/>
          <w:color w:val="auto"/>
          <w:sz w:val="24"/>
          <w:highlight w:val="none"/>
          <w:lang w:val="zh-CN"/>
        </w:rPr>
        <w:t>附企业、人员的相关证书复印件。如有其它补充材料，格式自拟。（文本中已提供的资料无需重复提供）</w:t>
      </w:r>
    </w:p>
    <w:p>
      <w:pPr>
        <w:snapToGrid w:val="0"/>
        <w:spacing w:line="360" w:lineRule="auto"/>
        <w:ind w:firstLine="576"/>
        <w:jc w:val="center"/>
        <w:rPr>
          <w:rFonts w:hint="eastAsia" w:ascii="宋体" w:hAnsi="宋体" w:cs="仿宋_GB2312"/>
          <w:color w:val="auto"/>
          <w:sz w:val="24"/>
          <w:highlight w:val="none"/>
          <w:lang w:val="zh-CN"/>
        </w:rPr>
      </w:pPr>
      <w:r>
        <w:rPr>
          <w:rFonts w:hint="eastAsia" w:ascii="宋体" w:hAnsi="宋体" w:cs="仿宋_GB2312"/>
          <w:color w:val="auto"/>
          <w:sz w:val="24"/>
          <w:highlight w:val="none"/>
          <w:lang w:val="zh-CN"/>
        </w:rPr>
        <w:t xml:space="preserve">                     </w:t>
      </w:r>
      <w:r>
        <w:rPr>
          <w:rFonts w:ascii="宋体" w:hAnsi="宋体" w:cs="仿宋_GB2312"/>
          <w:color w:val="auto"/>
          <w:sz w:val="24"/>
          <w:highlight w:val="none"/>
          <w:lang w:val="zh-CN"/>
        </w:rPr>
        <w:t xml:space="preserve">  </w:t>
      </w:r>
      <w:r>
        <w:rPr>
          <w:rFonts w:hint="eastAsia" w:ascii="宋体" w:hAnsi="宋体" w:cs="仿宋_GB2312"/>
          <w:color w:val="auto"/>
          <w:sz w:val="24"/>
          <w:highlight w:val="none"/>
          <w:lang w:val="zh-CN"/>
        </w:rPr>
        <w:t>投标人</w:t>
      </w:r>
      <w:r>
        <w:rPr>
          <w:rFonts w:ascii="宋体" w:hAnsi="宋体" w:cs="仿宋_GB2312"/>
          <w:color w:val="auto"/>
          <w:sz w:val="24"/>
          <w:highlight w:val="none"/>
          <w:lang w:val="zh-CN"/>
        </w:rPr>
        <w:t xml:space="preserve">名称(电子签名)：                </w:t>
      </w:r>
    </w:p>
    <w:p>
      <w:pPr>
        <w:snapToGrid w:val="0"/>
        <w:spacing w:line="360" w:lineRule="auto"/>
        <w:ind w:firstLine="576"/>
        <w:jc w:val="center"/>
        <w:rPr>
          <w:rFonts w:hint="eastAsia" w:ascii="宋体" w:hAnsi="宋体" w:cs="仿宋_GB2312"/>
          <w:b/>
          <w:color w:val="auto"/>
          <w:sz w:val="32"/>
          <w:szCs w:val="32"/>
          <w:highlight w:val="none"/>
        </w:rPr>
      </w:pPr>
      <w:r>
        <w:rPr>
          <w:rFonts w:ascii="宋体" w:hAnsi="宋体" w:cs="仿宋_GB2312"/>
          <w:color w:val="auto"/>
          <w:sz w:val="24"/>
          <w:highlight w:val="none"/>
          <w:lang w:val="zh-CN"/>
        </w:rPr>
        <w:t xml:space="preserve">                   日期：  年  月  日</w:t>
      </w:r>
    </w:p>
    <w:p>
      <w:pPr>
        <w:rPr>
          <w:rFonts w:hint="eastAsia" w:ascii="宋体" w:hAnsi="宋体" w:cs="仿宋_GB2312"/>
          <w:b/>
          <w:color w:val="auto"/>
          <w:sz w:val="28"/>
          <w:szCs w:val="28"/>
          <w:highlight w:val="none"/>
        </w:rPr>
      </w:pPr>
      <w:r>
        <w:rPr>
          <w:rFonts w:hint="eastAsia" w:ascii="宋体" w:hAnsi="宋体" w:cs="仿宋_GB2312"/>
          <w:b/>
          <w:color w:val="auto"/>
          <w:sz w:val="28"/>
          <w:szCs w:val="28"/>
          <w:highlight w:val="none"/>
        </w:rPr>
        <w:br w:type="page"/>
      </w:r>
    </w:p>
    <w:p>
      <w:pPr>
        <w:jc w:val="left"/>
        <w:rPr>
          <w:rFonts w:hint="eastAsia" w:ascii="宋体" w:hAnsi="宋体" w:cs="仿宋_GB2312"/>
          <w:b/>
          <w:color w:val="auto"/>
          <w:sz w:val="28"/>
          <w:szCs w:val="28"/>
          <w:highlight w:val="none"/>
        </w:rPr>
      </w:pPr>
      <w:r>
        <w:rPr>
          <w:rFonts w:hint="eastAsia" w:ascii="宋体" w:hAnsi="宋体" w:cs="仿宋_GB2312"/>
          <w:b/>
          <w:color w:val="auto"/>
          <w:sz w:val="28"/>
          <w:szCs w:val="28"/>
          <w:highlight w:val="none"/>
        </w:rPr>
        <w:t>参考格式2</w:t>
      </w:r>
    </w:p>
    <w:p>
      <w:pPr>
        <w:rPr>
          <w:rFonts w:hint="eastAsia" w:ascii="宋体" w:hAnsi="宋体"/>
          <w:color w:val="auto"/>
          <w:highlight w:val="none"/>
        </w:rPr>
      </w:pPr>
    </w:p>
    <w:p>
      <w:pPr>
        <w:autoSpaceDE w:val="0"/>
        <w:spacing w:line="360" w:lineRule="auto"/>
        <w:ind w:firstLine="120"/>
        <w:jc w:val="center"/>
        <w:rPr>
          <w:rFonts w:hint="eastAsia" w:ascii="宋体" w:hAnsi="宋体"/>
          <w:color w:val="auto"/>
          <w:highlight w:val="none"/>
        </w:rPr>
      </w:pPr>
      <w:r>
        <w:rPr>
          <w:rFonts w:hint="eastAsia" w:ascii="宋体" w:hAnsi="宋体" w:cs="宋体"/>
          <w:b/>
          <w:color w:val="auto"/>
          <w:sz w:val="30"/>
          <w:szCs w:val="30"/>
          <w:highlight w:val="none"/>
        </w:rPr>
        <w:t>20  年  月  日以</w:t>
      </w:r>
      <w:r>
        <w:rPr>
          <w:rFonts w:hint="eastAsia" w:ascii="宋体" w:hAnsi="宋体" w:cs="宋体"/>
          <w:b/>
          <w:color w:val="auto"/>
          <w:sz w:val="30"/>
          <w:szCs w:val="30"/>
          <w:highlight w:val="none"/>
          <w:lang w:val="zh-CN"/>
        </w:rPr>
        <w:t>来主要业绩证明</w:t>
      </w:r>
    </w:p>
    <w:p>
      <w:pPr>
        <w:autoSpaceDE w:val="0"/>
        <w:spacing w:line="360" w:lineRule="auto"/>
        <w:ind w:firstLine="120"/>
        <w:rPr>
          <w:rFonts w:hint="eastAsia" w:ascii="宋体" w:hAnsi="宋体"/>
          <w:color w:val="auto"/>
          <w:sz w:val="24"/>
          <w:szCs w:val="22"/>
          <w:highlight w:val="none"/>
        </w:rPr>
      </w:pPr>
      <w:r>
        <w:rPr>
          <w:rFonts w:ascii="宋体" w:hAnsi="宋体"/>
          <w:color w:val="auto"/>
          <w:sz w:val="24"/>
          <w:szCs w:val="22"/>
          <w:highlight w:val="none"/>
        </w:rPr>
        <w:t>附表</w:t>
      </w:r>
      <w:r>
        <w:rPr>
          <w:rFonts w:hint="eastAsia" w:ascii="宋体" w:hAnsi="宋体"/>
          <w:color w:val="auto"/>
          <w:sz w:val="24"/>
          <w:szCs w:val="22"/>
          <w:highlight w:val="none"/>
        </w:rPr>
        <w:t>：</w:t>
      </w:r>
      <w:r>
        <w:rPr>
          <w:rFonts w:ascii="宋体" w:hAnsi="宋体"/>
          <w:color w:val="auto"/>
          <w:sz w:val="24"/>
          <w:szCs w:val="22"/>
          <w:highlight w:val="none"/>
        </w:rPr>
        <w:t>相关项目业绩一览表</w:t>
      </w:r>
    </w:p>
    <w:tbl>
      <w:tblPr>
        <w:tblStyle w:val="17"/>
        <w:tblW w:w="4998" w:type="pct"/>
        <w:tblInd w:w="0" w:type="dxa"/>
        <w:tblLayout w:type="autofit"/>
        <w:tblCellMar>
          <w:top w:w="0" w:type="dxa"/>
          <w:left w:w="108" w:type="dxa"/>
          <w:bottom w:w="0" w:type="dxa"/>
          <w:right w:w="108" w:type="dxa"/>
        </w:tblCellMar>
      </w:tblPr>
      <w:tblGrid>
        <w:gridCol w:w="1770"/>
        <w:gridCol w:w="934"/>
        <w:gridCol w:w="1336"/>
        <w:gridCol w:w="1404"/>
        <w:gridCol w:w="1137"/>
        <w:gridCol w:w="1492"/>
        <w:gridCol w:w="1209"/>
      </w:tblGrid>
      <w:tr>
        <w:tblPrEx>
          <w:tblCellMar>
            <w:top w:w="0" w:type="dxa"/>
            <w:left w:w="108" w:type="dxa"/>
            <w:bottom w:w="0" w:type="dxa"/>
            <w:right w:w="108" w:type="dxa"/>
          </w:tblCellMar>
        </w:tblPrEx>
        <w:trPr>
          <w:trHeight w:val="1177" w:hRule="atLeast"/>
        </w:trPr>
        <w:tc>
          <w:tcPr>
            <w:tcW w:w="953"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项目名称</w:t>
            </w:r>
          </w:p>
        </w:tc>
        <w:tc>
          <w:tcPr>
            <w:tcW w:w="503"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项目</w:t>
            </w:r>
          </w:p>
          <w:p>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类型</w:t>
            </w:r>
          </w:p>
        </w:tc>
        <w:tc>
          <w:tcPr>
            <w:tcW w:w="719"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简要描述</w:t>
            </w:r>
          </w:p>
        </w:tc>
        <w:tc>
          <w:tcPr>
            <w:tcW w:w="756"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合同金额</w:t>
            </w:r>
          </w:p>
          <w:p>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（万元）</w:t>
            </w:r>
          </w:p>
        </w:tc>
        <w:tc>
          <w:tcPr>
            <w:tcW w:w="612"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合同签订日期</w:t>
            </w:r>
          </w:p>
        </w:tc>
        <w:tc>
          <w:tcPr>
            <w:tcW w:w="803"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项目地址与采购单位联系电话</w:t>
            </w:r>
          </w:p>
        </w:tc>
        <w:tc>
          <w:tcPr>
            <w:tcW w:w="651"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所在页码</w:t>
            </w:r>
          </w:p>
        </w:tc>
      </w:tr>
      <w:tr>
        <w:tblPrEx>
          <w:tblCellMar>
            <w:top w:w="0" w:type="dxa"/>
            <w:left w:w="108" w:type="dxa"/>
            <w:bottom w:w="0" w:type="dxa"/>
            <w:right w:w="108" w:type="dxa"/>
          </w:tblCellMar>
        </w:tblPrEx>
        <w:trPr>
          <w:trHeight w:val="894" w:hRule="atLeast"/>
        </w:trPr>
        <w:tc>
          <w:tcPr>
            <w:tcW w:w="95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color w:val="auto"/>
                <w:sz w:val="24"/>
                <w:highlight w:val="none"/>
              </w:rPr>
            </w:pPr>
          </w:p>
        </w:tc>
        <w:tc>
          <w:tcPr>
            <w:tcW w:w="50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color w:val="auto"/>
                <w:sz w:val="24"/>
                <w:highlight w:val="none"/>
              </w:rPr>
            </w:pPr>
          </w:p>
        </w:tc>
        <w:tc>
          <w:tcPr>
            <w:tcW w:w="71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color w:val="auto"/>
                <w:sz w:val="24"/>
                <w:highlight w:val="none"/>
              </w:rPr>
            </w:pPr>
          </w:p>
        </w:tc>
        <w:tc>
          <w:tcPr>
            <w:tcW w:w="756"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color w:val="auto"/>
                <w:sz w:val="24"/>
                <w:highlight w:val="none"/>
              </w:rPr>
            </w:pPr>
          </w:p>
        </w:tc>
        <w:tc>
          <w:tcPr>
            <w:tcW w:w="612"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color w:val="auto"/>
                <w:sz w:val="24"/>
                <w:highlight w:val="none"/>
              </w:rPr>
            </w:pPr>
          </w:p>
        </w:tc>
        <w:tc>
          <w:tcPr>
            <w:tcW w:w="80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color w:val="auto"/>
                <w:sz w:val="24"/>
                <w:highlight w:val="none"/>
              </w:rPr>
            </w:pPr>
          </w:p>
        </w:tc>
        <w:tc>
          <w:tcPr>
            <w:tcW w:w="651"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920" w:hRule="atLeast"/>
        </w:trPr>
        <w:tc>
          <w:tcPr>
            <w:tcW w:w="95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color w:val="auto"/>
                <w:sz w:val="24"/>
                <w:highlight w:val="none"/>
              </w:rPr>
            </w:pPr>
          </w:p>
        </w:tc>
        <w:tc>
          <w:tcPr>
            <w:tcW w:w="50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color w:val="auto"/>
                <w:sz w:val="24"/>
                <w:highlight w:val="none"/>
              </w:rPr>
            </w:pPr>
          </w:p>
        </w:tc>
        <w:tc>
          <w:tcPr>
            <w:tcW w:w="71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color w:val="auto"/>
                <w:sz w:val="24"/>
                <w:highlight w:val="none"/>
              </w:rPr>
            </w:pPr>
          </w:p>
        </w:tc>
        <w:tc>
          <w:tcPr>
            <w:tcW w:w="756"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color w:val="auto"/>
                <w:sz w:val="24"/>
                <w:highlight w:val="none"/>
              </w:rPr>
            </w:pPr>
          </w:p>
        </w:tc>
        <w:tc>
          <w:tcPr>
            <w:tcW w:w="612"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color w:val="auto"/>
                <w:sz w:val="24"/>
                <w:highlight w:val="none"/>
              </w:rPr>
            </w:pPr>
          </w:p>
        </w:tc>
        <w:tc>
          <w:tcPr>
            <w:tcW w:w="80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color w:val="auto"/>
                <w:sz w:val="24"/>
                <w:highlight w:val="none"/>
              </w:rPr>
            </w:pPr>
          </w:p>
        </w:tc>
        <w:tc>
          <w:tcPr>
            <w:tcW w:w="651"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920" w:hRule="atLeast"/>
        </w:trPr>
        <w:tc>
          <w:tcPr>
            <w:tcW w:w="95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color w:val="auto"/>
                <w:sz w:val="24"/>
                <w:highlight w:val="none"/>
              </w:rPr>
            </w:pPr>
          </w:p>
        </w:tc>
        <w:tc>
          <w:tcPr>
            <w:tcW w:w="50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color w:val="auto"/>
                <w:sz w:val="24"/>
                <w:highlight w:val="none"/>
              </w:rPr>
            </w:pPr>
          </w:p>
        </w:tc>
        <w:tc>
          <w:tcPr>
            <w:tcW w:w="71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color w:val="auto"/>
                <w:sz w:val="24"/>
                <w:highlight w:val="none"/>
              </w:rPr>
            </w:pPr>
          </w:p>
        </w:tc>
        <w:tc>
          <w:tcPr>
            <w:tcW w:w="756"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color w:val="auto"/>
                <w:sz w:val="24"/>
                <w:highlight w:val="none"/>
              </w:rPr>
            </w:pPr>
          </w:p>
        </w:tc>
        <w:tc>
          <w:tcPr>
            <w:tcW w:w="612"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color w:val="auto"/>
                <w:sz w:val="24"/>
                <w:highlight w:val="none"/>
              </w:rPr>
            </w:pPr>
          </w:p>
        </w:tc>
        <w:tc>
          <w:tcPr>
            <w:tcW w:w="80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color w:val="auto"/>
                <w:sz w:val="24"/>
                <w:highlight w:val="none"/>
              </w:rPr>
            </w:pPr>
          </w:p>
        </w:tc>
        <w:tc>
          <w:tcPr>
            <w:tcW w:w="651"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color w:val="auto"/>
                <w:sz w:val="24"/>
                <w:highlight w:val="none"/>
              </w:rPr>
            </w:pPr>
          </w:p>
        </w:tc>
      </w:tr>
    </w:tbl>
    <w:p>
      <w:pPr>
        <w:autoSpaceDE w:val="0"/>
        <w:spacing w:line="360" w:lineRule="auto"/>
        <w:rPr>
          <w:rFonts w:hint="eastAsia" w:ascii="宋体" w:hAnsi="宋体"/>
          <w:color w:val="auto"/>
          <w:highlight w:val="none"/>
        </w:rPr>
      </w:pPr>
      <w:r>
        <w:rPr>
          <w:rFonts w:hint="eastAsia" w:ascii="宋体" w:hAnsi="宋体" w:cs="宋体"/>
          <w:b/>
          <w:color w:val="auto"/>
          <w:sz w:val="24"/>
          <w:highlight w:val="none"/>
        </w:rPr>
        <w:t xml:space="preserve">  注：投标人可按上述的格式自行编制，须随表提交相应的业绩证明材料（详见评分要求）并注明所在投标商务文件页码。</w:t>
      </w:r>
    </w:p>
    <w:p>
      <w:pPr>
        <w:snapToGrid w:val="0"/>
        <w:spacing w:line="360" w:lineRule="auto"/>
        <w:ind w:firstLine="576"/>
        <w:jc w:val="center"/>
        <w:rPr>
          <w:rFonts w:hint="eastAsia" w:ascii="宋体" w:hAnsi="宋体" w:cs="仿宋_GB2312"/>
          <w:color w:val="auto"/>
          <w:sz w:val="24"/>
          <w:highlight w:val="none"/>
          <w:lang w:val="zh-CN"/>
        </w:rPr>
      </w:pPr>
      <w:r>
        <w:rPr>
          <w:rFonts w:hint="eastAsia" w:ascii="宋体" w:hAnsi="宋体" w:cs="仿宋_GB2312"/>
          <w:color w:val="auto"/>
          <w:sz w:val="24"/>
          <w:highlight w:val="none"/>
          <w:lang w:val="zh-CN"/>
        </w:rPr>
        <w:t xml:space="preserve">                       投标人</w:t>
      </w:r>
      <w:r>
        <w:rPr>
          <w:rFonts w:ascii="宋体" w:hAnsi="宋体" w:cs="仿宋_GB2312"/>
          <w:color w:val="auto"/>
          <w:sz w:val="24"/>
          <w:highlight w:val="none"/>
          <w:lang w:val="zh-CN"/>
        </w:rPr>
        <w:t xml:space="preserve">名称(电子签名)：                </w:t>
      </w:r>
    </w:p>
    <w:p>
      <w:pPr>
        <w:snapToGrid w:val="0"/>
        <w:spacing w:line="360" w:lineRule="auto"/>
        <w:ind w:firstLine="576"/>
        <w:jc w:val="center"/>
        <w:rPr>
          <w:rFonts w:hint="eastAsia" w:ascii="宋体" w:hAnsi="宋体"/>
          <w:color w:val="auto"/>
          <w:highlight w:val="none"/>
        </w:rPr>
      </w:pPr>
      <w:r>
        <w:rPr>
          <w:rFonts w:ascii="宋体" w:hAnsi="宋体" w:cs="仿宋_GB2312"/>
          <w:color w:val="auto"/>
          <w:sz w:val="24"/>
          <w:highlight w:val="none"/>
          <w:lang w:val="zh-CN"/>
        </w:rPr>
        <w:t xml:space="preserve">                   日期：  年  月  日</w:t>
      </w:r>
    </w:p>
    <w:p>
      <w:pPr>
        <w:jc w:val="center"/>
        <w:rPr>
          <w:rFonts w:hint="eastAsia" w:ascii="宋体" w:hAnsi="宋体" w:cs="宋体"/>
          <w:b/>
          <w:color w:val="auto"/>
          <w:kern w:val="0"/>
          <w:sz w:val="32"/>
          <w:szCs w:val="32"/>
          <w:highlight w:val="none"/>
        </w:rPr>
      </w:pPr>
    </w:p>
    <w:p>
      <w:pPr>
        <w:rPr>
          <w:rFonts w:hint="eastAsia" w:ascii="宋体" w:hAnsi="宋体"/>
          <w:b/>
          <w:color w:val="auto"/>
          <w:kern w:val="0"/>
          <w:sz w:val="32"/>
          <w:highlight w:val="none"/>
        </w:rPr>
      </w:pPr>
      <w:r>
        <w:rPr>
          <w:rFonts w:hint="eastAsia" w:ascii="宋体" w:hAnsi="宋体"/>
          <w:b/>
          <w:color w:val="auto"/>
          <w:kern w:val="0"/>
          <w:sz w:val="32"/>
          <w:highlight w:val="none"/>
        </w:rPr>
        <w:t>参考格式3</w:t>
      </w:r>
    </w:p>
    <w:p>
      <w:pPr>
        <w:jc w:val="center"/>
        <w:rPr>
          <w:rFonts w:hint="eastAsia" w:ascii="宋体" w:hAnsi="宋体"/>
          <w:b/>
          <w:color w:val="auto"/>
          <w:kern w:val="0"/>
          <w:sz w:val="32"/>
          <w:highlight w:val="none"/>
        </w:rPr>
      </w:pPr>
      <w:r>
        <w:rPr>
          <w:rFonts w:hint="eastAsia" w:ascii="宋体" w:hAnsi="宋体"/>
          <w:b/>
          <w:color w:val="auto"/>
          <w:kern w:val="0"/>
          <w:sz w:val="32"/>
          <w:highlight w:val="none"/>
        </w:rPr>
        <w:t>拟投入项目成员情况表</w:t>
      </w:r>
    </w:p>
    <w:tbl>
      <w:tblPr>
        <w:tblStyle w:val="17"/>
        <w:tblW w:w="4996" w:type="pct"/>
        <w:jc w:val="center"/>
        <w:tblLayout w:type="autofit"/>
        <w:tblCellMar>
          <w:top w:w="0" w:type="dxa"/>
          <w:left w:w="108" w:type="dxa"/>
          <w:bottom w:w="0" w:type="dxa"/>
          <w:right w:w="108" w:type="dxa"/>
        </w:tblCellMar>
      </w:tblPr>
      <w:tblGrid>
        <w:gridCol w:w="929"/>
        <w:gridCol w:w="929"/>
        <w:gridCol w:w="490"/>
        <w:gridCol w:w="693"/>
        <w:gridCol w:w="1258"/>
        <w:gridCol w:w="1090"/>
        <w:gridCol w:w="951"/>
        <w:gridCol w:w="1098"/>
        <w:gridCol w:w="700"/>
        <w:gridCol w:w="1141"/>
      </w:tblGrid>
      <w:tr>
        <w:tblPrEx>
          <w:tblCellMar>
            <w:top w:w="0" w:type="dxa"/>
            <w:left w:w="108" w:type="dxa"/>
            <w:bottom w:w="0" w:type="dxa"/>
            <w:right w:w="108" w:type="dxa"/>
          </w:tblCellMar>
        </w:tblPrEx>
        <w:trPr>
          <w:trHeight w:val="544"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宋体" w:hAnsi="宋体"/>
                <w:color w:val="auto"/>
                <w:sz w:val="24"/>
                <w:highlight w:val="none"/>
              </w:rPr>
            </w:pPr>
            <w:r>
              <w:rPr>
                <w:rFonts w:hint="eastAsia" w:ascii="宋体" w:hAnsi="宋体"/>
                <w:color w:val="auto"/>
                <w:sz w:val="24"/>
                <w:highlight w:val="none"/>
              </w:rPr>
              <w:t>团队</w:t>
            </w:r>
          </w:p>
          <w:p>
            <w:pPr>
              <w:autoSpaceDE w:val="0"/>
              <w:snapToGrid w:val="0"/>
              <w:jc w:val="center"/>
              <w:rPr>
                <w:rFonts w:hint="eastAsia" w:ascii="宋体" w:hAnsi="宋体"/>
                <w:color w:val="auto"/>
                <w:sz w:val="24"/>
                <w:highlight w:val="none"/>
              </w:rPr>
            </w:pPr>
            <w:r>
              <w:rPr>
                <w:rFonts w:hint="eastAsia" w:ascii="宋体" w:hAnsi="宋体"/>
                <w:color w:val="auto"/>
                <w:sz w:val="24"/>
                <w:highlight w:val="none"/>
              </w:rPr>
              <w:t>职务</w:t>
            </w: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宋体" w:hAnsi="宋体"/>
                <w:color w:val="auto"/>
                <w:sz w:val="24"/>
                <w:highlight w:val="none"/>
              </w:rPr>
            </w:pPr>
            <w:r>
              <w:rPr>
                <w:rFonts w:hint="eastAsia" w:ascii="宋体" w:hAnsi="宋体"/>
                <w:color w:val="auto"/>
                <w:sz w:val="24"/>
                <w:highlight w:val="none"/>
              </w:rPr>
              <w:t>姓名</w:t>
            </w: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宋体" w:hAnsi="宋体"/>
                <w:color w:val="auto"/>
                <w:sz w:val="24"/>
                <w:highlight w:val="none"/>
              </w:rPr>
            </w:pPr>
            <w:r>
              <w:rPr>
                <w:rFonts w:hint="eastAsia" w:ascii="宋体" w:hAnsi="宋体"/>
                <w:color w:val="auto"/>
                <w:sz w:val="24"/>
                <w:highlight w:val="none"/>
              </w:rPr>
              <w:t>性别</w:t>
            </w: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宋体" w:hAnsi="宋体"/>
                <w:color w:val="auto"/>
                <w:sz w:val="24"/>
                <w:highlight w:val="none"/>
              </w:rPr>
            </w:pPr>
            <w:r>
              <w:rPr>
                <w:rFonts w:hint="eastAsia" w:ascii="宋体" w:hAnsi="宋体"/>
                <w:color w:val="auto"/>
                <w:sz w:val="24"/>
                <w:highlight w:val="none"/>
              </w:rPr>
              <w:t>年龄</w:t>
            </w: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宋体" w:hAnsi="宋体"/>
                <w:color w:val="auto"/>
                <w:sz w:val="24"/>
                <w:highlight w:val="none"/>
              </w:rPr>
            </w:pPr>
            <w:r>
              <w:rPr>
                <w:rFonts w:hint="eastAsia" w:ascii="宋体" w:hAnsi="宋体"/>
                <w:color w:val="auto"/>
                <w:sz w:val="24"/>
                <w:highlight w:val="none"/>
              </w:rPr>
              <w:t>身份证号码</w:t>
            </w: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宋体" w:hAnsi="宋体"/>
                <w:color w:val="auto"/>
                <w:sz w:val="24"/>
                <w:highlight w:val="none"/>
              </w:rPr>
            </w:pPr>
            <w:r>
              <w:rPr>
                <w:rFonts w:hint="eastAsia" w:ascii="宋体" w:hAnsi="宋体"/>
                <w:color w:val="auto"/>
                <w:sz w:val="24"/>
                <w:highlight w:val="none"/>
              </w:rPr>
              <w:t>学历/专业</w:t>
            </w: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宋体" w:hAnsi="宋体"/>
                <w:color w:val="auto"/>
                <w:sz w:val="24"/>
                <w:highlight w:val="none"/>
              </w:rPr>
            </w:pPr>
            <w:r>
              <w:rPr>
                <w:rFonts w:hint="eastAsia" w:ascii="宋体" w:hAnsi="宋体"/>
                <w:color w:val="auto"/>
                <w:sz w:val="24"/>
                <w:highlight w:val="none"/>
              </w:rPr>
              <w:t>职称/执业资格</w:t>
            </w: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宋体" w:hAnsi="宋体"/>
                <w:color w:val="auto"/>
                <w:sz w:val="24"/>
                <w:highlight w:val="none"/>
              </w:rPr>
            </w:pPr>
            <w:r>
              <w:rPr>
                <w:rFonts w:hint="eastAsia" w:ascii="宋体" w:hAnsi="宋体"/>
                <w:color w:val="auto"/>
                <w:sz w:val="24"/>
                <w:highlight w:val="none"/>
              </w:rPr>
              <w:t>证书号码</w:t>
            </w: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宋体" w:hAnsi="宋体"/>
                <w:color w:val="auto"/>
                <w:sz w:val="24"/>
                <w:highlight w:val="none"/>
              </w:rPr>
            </w:pPr>
            <w:r>
              <w:rPr>
                <w:rFonts w:hint="eastAsia" w:ascii="宋体" w:hAnsi="宋体"/>
                <w:color w:val="auto"/>
                <w:sz w:val="24"/>
                <w:highlight w:val="none"/>
              </w:rPr>
              <w:t>对应页码</w:t>
            </w: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宋体" w:hAnsi="宋体"/>
                <w:color w:val="auto"/>
                <w:sz w:val="24"/>
                <w:highlight w:val="none"/>
              </w:rPr>
            </w:pPr>
            <w:r>
              <w:rPr>
                <w:rFonts w:hint="eastAsia" w:ascii="宋体" w:hAnsi="宋体"/>
                <w:color w:val="auto"/>
                <w:sz w:val="24"/>
                <w:highlight w:val="none"/>
              </w:rPr>
              <w:t>……</w:t>
            </w:r>
          </w:p>
          <w:p>
            <w:pPr>
              <w:autoSpaceDE w:val="0"/>
              <w:snapToGrid w:val="0"/>
              <w:jc w:val="center"/>
              <w:rPr>
                <w:rFonts w:hint="eastAsia" w:ascii="宋体" w:hAnsi="宋体"/>
                <w:color w:val="auto"/>
                <w:sz w:val="24"/>
                <w:highlight w:val="none"/>
              </w:rPr>
            </w:pPr>
            <w:r>
              <w:rPr>
                <w:rFonts w:hint="eastAsia" w:ascii="宋体" w:hAnsi="宋体"/>
                <w:color w:val="auto"/>
                <w:sz w:val="24"/>
                <w:highlight w:val="none"/>
              </w:rPr>
              <w:t>自行补充</w:t>
            </w:r>
          </w:p>
        </w:tc>
      </w:tr>
      <w:tr>
        <w:tblPrEx>
          <w:tblCellMar>
            <w:top w:w="0" w:type="dxa"/>
            <w:left w:w="108" w:type="dxa"/>
            <w:bottom w:w="0" w:type="dxa"/>
            <w:right w:w="108" w:type="dxa"/>
          </w:tblCellMar>
        </w:tblPrEx>
        <w:trPr>
          <w:trHeight w:val="559"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r>
              <w:rPr>
                <w:rFonts w:hint="eastAsia" w:ascii="宋体" w:hAnsi="宋体"/>
                <w:color w:val="auto"/>
                <w:sz w:val="24"/>
                <w:highlight w:val="none"/>
              </w:rPr>
              <w:t>项目负责人</w:t>
            </w: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r>
      <w:tr>
        <w:tblPrEx>
          <w:tblCellMar>
            <w:top w:w="0" w:type="dxa"/>
            <w:left w:w="108" w:type="dxa"/>
            <w:bottom w:w="0" w:type="dxa"/>
            <w:right w:w="108" w:type="dxa"/>
          </w:tblCellMar>
        </w:tblPrEx>
        <w:trPr>
          <w:trHeight w:val="559"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r>
      <w:tr>
        <w:tblPrEx>
          <w:tblCellMar>
            <w:top w:w="0" w:type="dxa"/>
            <w:left w:w="108" w:type="dxa"/>
            <w:bottom w:w="0" w:type="dxa"/>
            <w:right w:w="108" w:type="dxa"/>
          </w:tblCellMar>
        </w:tblPrEx>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r>
      <w:tr>
        <w:tblPrEx>
          <w:tblCellMar>
            <w:top w:w="0" w:type="dxa"/>
            <w:left w:w="108" w:type="dxa"/>
            <w:bottom w:w="0" w:type="dxa"/>
            <w:right w:w="108" w:type="dxa"/>
          </w:tblCellMar>
        </w:tblPrEx>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r>
      <w:tr>
        <w:tblPrEx>
          <w:tblCellMar>
            <w:top w:w="0" w:type="dxa"/>
            <w:left w:w="108" w:type="dxa"/>
            <w:bottom w:w="0" w:type="dxa"/>
            <w:right w:w="108" w:type="dxa"/>
          </w:tblCellMar>
        </w:tblPrEx>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r>
      <w:tr>
        <w:tblPrEx>
          <w:tblCellMar>
            <w:top w:w="0" w:type="dxa"/>
            <w:left w:w="108" w:type="dxa"/>
            <w:bottom w:w="0" w:type="dxa"/>
            <w:right w:w="108" w:type="dxa"/>
          </w:tblCellMar>
        </w:tblPrEx>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r>
    </w:tbl>
    <w:p>
      <w:pPr>
        <w:rPr>
          <w:rFonts w:hint="eastAsia" w:ascii="宋体" w:hAnsi="宋体"/>
          <w:b/>
          <w:color w:val="auto"/>
          <w:kern w:val="0"/>
          <w:sz w:val="32"/>
          <w:highlight w:val="none"/>
        </w:rPr>
      </w:pPr>
    </w:p>
    <w:p>
      <w:pPr>
        <w:rPr>
          <w:rFonts w:hint="eastAsia" w:ascii="宋体" w:hAnsi="宋体"/>
          <w:b/>
          <w:color w:val="auto"/>
          <w:kern w:val="0"/>
          <w:sz w:val="32"/>
          <w:highlight w:val="none"/>
        </w:rPr>
      </w:pPr>
      <w:r>
        <w:rPr>
          <w:rFonts w:hint="eastAsia" w:ascii="宋体" w:hAnsi="宋体"/>
          <w:b/>
          <w:color w:val="auto"/>
          <w:kern w:val="0"/>
          <w:sz w:val="32"/>
          <w:highlight w:val="none"/>
        </w:rPr>
        <w:t>参考格式4</w:t>
      </w:r>
    </w:p>
    <w:p>
      <w:pPr>
        <w:widowControl/>
        <w:jc w:val="center"/>
        <w:rPr>
          <w:rFonts w:hint="eastAsia" w:ascii="宋体" w:hAnsi="宋体"/>
          <w:b/>
          <w:color w:val="auto"/>
          <w:kern w:val="0"/>
          <w:sz w:val="30"/>
          <w:highlight w:val="none"/>
        </w:rPr>
      </w:pPr>
      <w:r>
        <w:rPr>
          <w:rFonts w:hint="eastAsia" w:ascii="宋体" w:hAnsi="宋体"/>
          <w:b/>
          <w:color w:val="auto"/>
          <w:kern w:val="0"/>
          <w:sz w:val="30"/>
          <w:highlight w:val="none"/>
        </w:rPr>
        <w:t>拟投入本项目的主要团队成员情况表</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0"/>
        <w:gridCol w:w="294"/>
        <w:gridCol w:w="1098"/>
        <w:gridCol w:w="747"/>
        <w:gridCol w:w="674"/>
        <w:gridCol w:w="1106"/>
        <w:gridCol w:w="314"/>
        <w:gridCol w:w="1439"/>
        <w:gridCol w:w="18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姓</w:t>
            </w:r>
            <w:r>
              <w:rPr>
                <w:rFonts w:hint="eastAsia" w:ascii="宋体" w:hAnsi="宋体"/>
                <w:color w:val="auto"/>
                <w:sz w:val="24"/>
                <w:highlight w:val="none"/>
              </w:rPr>
              <w:tab/>
            </w:r>
            <w:r>
              <w:rPr>
                <w:rFonts w:hint="eastAsia" w:ascii="宋体" w:hAnsi="宋体"/>
                <w:color w:val="auto"/>
                <w:sz w:val="24"/>
                <w:highlight w:val="none"/>
              </w:rPr>
              <w:t>名</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性</w:t>
            </w:r>
            <w:r>
              <w:rPr>
                <w:rFonts w:hint="eastAsia" w:ascii="宋体" w:hAnsi="宋体"/>
                <w:color w:val="auto"/>
                <w:sz w:val="24"/>
                <w:highlight w:val="none"/>
              </w:rPr>
              <w:tab/>
            </w:r>
            <w:r>
              <w:rPr>
                <w:rFonts w:hint="eastAsia" w:ascii="宋体" w:hAnsi="宋体"/>
                <w:color w:val="auto"/>
                <w:sz w:val="24"/>
                <w:highlight w:val="none"/>
              </w:rPr>
              <w:t>别</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年</w:t>
            </w:r>
            <w:r>
              <w:rPr>
                <w:rFonts w:hint="eastAsia" w:ascii="宋体" w:hAnsi="宋体"/>
                <w:color w:val="auto"/>
                <w:sz w:val="24"/>
                <w:highlight w:val="none"/>
              </w:rPr>
              <w:tab/>
            </w:r>
            <w:r>
              <w:rPr>
                <w:rFonts w:hint="eastAsia" w:ascii="宋体" w:hAnsi="宋体"/>
                <w:color w:val="auto"/>
                <w:sz w:val="24"/>
                <w:highlight w:val="none"/>
              </w:rPr>
              <w:t>龄</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身份证号码</w:t>
            </w:r>
          </w:p>
        </w:tc>
        <w:tc>
          <w:tcPr>
            <w:tcW w:w="4233" w:type="dxa"/>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学</w:t>
            </w:r>
            <w:r>
              <w:rPr>
                <w:rFonts w:hint="eastAsia" w:ascii="宋体" w:hAnsi="宋体"/>
                <w:color w:val="auto"/>
                <w:sz w:val="24"/>
                <w:highlight w:val="none"/>
              </w:rPr>
              <w:tab/>
            </w:r>
            <w:r>
              <w:rPr>
                <w:rFonts w:hint="eastAsia" w:ascii="宋体" w:hAnsi="宋体"/>
                <w:color w:val="auto"/>
                <w:sz w:val="24"/>
                <w:highlight w:val="none"/>
              </w:rPr>
              <w:t>历</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拟任职务</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职</w:t>
            </w:r>
            <w:r>
              <w:rPr>
                <w:rFonts w:hint="eastAsia" w:ascii="宋体" w:hAnsi="宋体"/>
                <w:color w:val="auto"/>
                <w:sz w:val="24"/>
                <w:highlight w:val="none"/>
              </w:rPr>
              <w:tab/>
            </w:r>
            <w:r>
              <w:rPr>
                <w:rFonts w:hint="eastAsia" w:ascii="宋体" w:hAnsi="宋体"/>
                <w:color w:val="auto"/>
                <w:sz w:val="24"/>
                <w:highlight w:val="none"/>
              </w:rPr>
              <w:t>称</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证书编号</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执业证书</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证书编号</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8899"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参加工作时间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起止时间</w:t>
            </w: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任职单位</w:t>
            </w: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职务</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8899"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lang w:eastAsia="zh-CN"/>
              </w:rPr>
            </w:pPr>
            <w:r>
              <w:rPr>
                <w:rFonts w:hint="eastAsia" w:ascii="宋体" w:hAnsi="宋体"/>
                <w:color w:val="auto"/>
                <w:sz w:val="24"/>
                <w:highlight w:val="none"/>
                <w:lang w:eastAsia="zh-CN"/>
              </w:rPr>
              <w:t>已成功实施的类似项目情况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项目名称</w:t>
            </w: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采购人</w:t>
            </w: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起止年月</w:t>
            </w: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该项目中任职</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项目类型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8"/>
              <w:tabs>
                <w:tab w:val="left" w:pos="483"/>
              </w:tabs>
              <w:spacing w:before="104"/>
              <w:jc w:val="center"/>
              <w:rPr>
                <w:rFonts w:hint="eastAsia" w:ascii="宋体" w:hAnsi="宋体"/>
                <w:color w:val="auto"/>
                <w:sz w:val="24"/>
                <w:highlight w:val="none"/>
              </w:rPr>
            </w:pPr>
          </w:p>
        </w:tc>
      </w:tr>
    </w:tbl>
    <w:p>
      <w:pPr>
        <w:autoSpaceDE w:val="0"/>
        <w:autoSpaceDN w:val="0"/>
        <w:snapToGrid w:val="0"/>
        <w:spacing w:line="360" w:lineRule="auto"/>
        <w:rPr>
          <w:rFonts w:hint="eastAsia" w:ascii="宋体" w:hAnsi="宋体"/>
          <w:b/>
          <w:color w:val="auto"/>
          <w:sz w:val="24"/>
          <w:highlight w:val="none"/>
        </w:rPr>
      </w:pPr>
      <w:r>
        <w:rPr>
          <w:rFonts w:hint="eastAsia" w:ascii="宋体" w:hAnsi="宋体"/>
          <w:b/>
          <w:color w:val="auto"/>
          <w:sz w:val="24"/>
          <w:highlight w:val="none"/>
        </w:rPr>
        <w:t>参考格式，可酌情调整补充</w:t>
      </w:r>
    </w:p>
    <w:p>
      <w:pPr>
        <w:rPr>
          <w:rFonts w:hint="eastAsia" w:ascii="宋体" w:hAnsi="宋体"/>
          <w:b/>
          <w:color w:val="auto"/>
          <w:kern w:val="0"/>
          <w:sz w:val="32"/>
          <w:highlight w:val="none"/>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17"/>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13"/>
        <w:gridCol w:w="1150"/>
        <w:gridCol w:w="1301"/>
        <w:gridCol w:w="2865"/>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货物名称</w:t>
            </w:r>
          </w:p>
        </w:tc>
        <w:tc>
          <w:tcPr>
            <w:tcW w:w="115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
                <w:color w:val="auto"/>
                <w:sz w:val="24"/>
                <w:highlight w:val="none"/>
              </w:rPr>
            </w:pP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28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7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4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28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p>
        </w:tc>
        <w:tc>
          <w:tcPr>
            <w:tcW w:w="17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4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28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p>
        </w:tc>
        <w:tc>
          <w:tcPr>
            <w:tcW w:w="17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4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28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p>
        </w:tc>
        <w:tc>
          <w:tcPr>
            <w:tcW w:w="17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p>
        </w:tc>
      </w:tr>
    </w:tbl>
    <w:p>
      <w:pPr>
        <w:spacing w:line="360" w:lineRule="auto"/>
        <w:ind w:right="42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注：按本格式和要求提供。</w:t>
      </w: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364"/>
        <w:gridCol w:w="872"/>
        <w:gridCol w:w="3225"/>
        <w:gridCol w:w="313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4097" w:type="dxa"/>
            <w:gridSpan w:val="2"/>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132" w:type="dxa"/>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6"/>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商务偏离表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4097" w:type="dxa"/>
            <w:gridSpan w:val="2"/>
          </w:tcPr>
          <w:p>
            <w:pPr>
              <w:jc w:val="center"/>
              <w:rPr>
                <w:rFonts w:hint="eastAsia" w:ascii="宋体" w:hAnsi="宋体" w:cs="宋体"/>
                <w:b/>
                <w:color w:val="auto"/>
                <w:kern w:val="0"/>
                <w:sz w:val="32"/>
                <w:szCs w:val="32"/>
                <w:highlight w:val="none"/>
              </w:rPr>
            </w:pPr>
          </w:p>
        </w:tc>
        <w:tc>
          <w:tcPr>
            <w:tcW w:w="3132" w:type="dxa"/>
          </w:tcPr>
          <w:p>
            <w:pPr>
              <w:jc w:val="center"/>
              <w:rPr>
                <w:rFonts w:hint="eastAsia" w:ascii="宋体" w:hAnsi="宋体" w:cs="宋体"/>
                <w:b/>
                <w:color w:val="auto"/>
                <w:kern w:val="0"/>
                <w:sz w:val="32"/>
                <w:szCs w:val="32"/>
                <w:highlight w:val="none"/>
              </w:rPr>
            </w:pPr>
          </w:p>
        </w:tc>
        <w:tc>
          <w:tcPr>
            <w:tcW w:w="1276" w:type="dxa"/>
          </w:tcPr>
          <w:p>
            <w:pPr>
              <w:jc w:val="center"/>
              <w:rPr>
                <w:rFonts w:hint="eastAsia"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4097" w:type="dxa"/>
            <w:gridSpan w:val="2"/>
          </w:tcPr>
          <w:p>
            <w:pPr>
              <w:jc w:val="center"/>
              <w:rPr>
                <w:rFonts w:hint="eastAsia" w:ascii="宋体" w:hAnsi="宋体" w:cs="宋体"/>
                <w:b/>
                <w:color w:val="auto"/>
                <w:kern w:val="0"/>
                <w:sz w:val="32"/>
                <w:szCs w:val="32"/>
                <w:highlight w:val="none"/>
              </w:rPr>
            </w:pPr>
          </w:p>
        </w:tc>
        <w:tc>
          <w:tcPr>
            <w:tcW w:w="3132" w:type="dxa"/>
          </w:tcPr>
          <w:p>
            <w:pPr>
              <w:jc w:val="center"/>
              <w:rPr>
                <w:rFonts w:hint="eastAsia" w:ascii="宋体" w:hAnsi="宋体" w:cs="宋体"/>
                <w:b/>
                <w:color w:val="auto"/>
                <w:kern w:val="0"/>
                <w:sz w:val="32"/>
                <w:szCs w:val="32"/>
                <w:highlight w:val="none"/>
              </w:rPr>
            </w:pPr>
          </w:p>
        </w:tc>
        <w:tc>
          <w:tcPr>
            <w:tcW w:w="1276" w:type="dxa"/>
          </w:tcPr>
          <w:p>
            <w:pPr>
              <w:jc w:val="center"/>
              <w:rPr>
                <w:rFonts w:hint="eastAsia"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4097" w:type="dxa"/>
            <w:gridSpan w:val="2"/>
          </w:tcPr>
          <w:p>
            <w:pPr>
              <w:jc w:val="center"/>
              <w:rPr>
                <w:rFonts w:hint="eastAsia" w:ascii="宋体" w:hAnsi="宋体" w:cs="宋体"/>
                <w:b/>
                <w:color w:val="auto"/>
                <w:kern w:val="0"/>
                <w:sz w:val="32"/>
                <w:szCs w:val="32"/>
                <w:highlight w:val="none"/>
              </w:rPr>
            </w:pPr>
          </w:p>
        </w:tc>
        <w:tc>
          <w:tcPr>
            <w:tcW w:w="3132" w:type="dxa"/>
          </w:tcPr>
          <w:p>
            <w:pPr>
              <w:jc w:val="center"/>
              <w:rPr>
                <w:rFonts w:hint="eastAsia" w:ascii="宋体" w:hAnsi="宋体" w:cs="宋体"/>
                <w:b/>
                <w:color w:val="auto"/>
                <w:kern w:val="0"/>
                <w:sz w:val="32"/>
                <w:szCs w:val="32"/>
                <w:highlight w:val="none"/>
              </w:rPr>
            </w:pPr>
          </w:p>
        </w:tc>
        <w:tc>
          <w:tcPr>
            <w:tcW w:w="1276" w:type="dxa"/>
          </w:tcPr>
          <w:p>
            <w:pPr>
              <w:jc w:val="center"/>
              <w:rPr>
                <w:rFonts w:hint="eastAsia"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6"/>
          </w:tcPr>
          <w:p>
            <w:pPr>
              <w:jc w:val="center"/>
              <w:rPr>
                <w:rFonts w:hint="eastAsia" w:ascii="宋体" w:hAnsi="宋体" w:cs="宋体"/>
                <w:b/>
                <w:color w:val="auto"/>
                <w:kern w:val="0"/>
                <w:sz w:val="32"/>
                <w:szCs w:val="32"/>
                <w:highlight w:val="none"/>
              </w:rPr>
            </w:pPr>
            <w:r>
              <w:rPr>
                <w:rFonts w:hint="eastAsia" w:ascii="宋体" w:hAnsi="宋体" w:cs="宋体"/>
                <w:b/>
                <w:bCs/>
                <w:color w:val="auto"/>
                <w:sz w:val="24"/>
                <w:highlight w:val="none"/>
              </w:rPr>
              <w:t>技术偏离表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1236" w:type="dxa"/>
            <w:gridSpan w:val="2"/>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货物名称/型号</w:t>
            </w:r>
          </w:p>
        </w:tc>
        <w:tc>
          <w:tcPr>
            <w:tcW w:w="3225" w:type="dxa"/>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132" w:type="dxa"/>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1236" w:type="dxa"/>
            <w:gridSpan w:val="2"/>
          </w:tcPr>
          <w:p>
            <w:pPr>
              <w:jc w:val="center"/>
              <w:rPr>
                <w:rFonts w:hint="eastAsia" w:ascii="宋体" w:hAnsi="宋体" w:cs="宋体"/>
                <w:b/>
                <w:color w:val="auto"/>
                <w:kern w:val="0"/>
                <w:sz w:val="32"/>
                <w:szCs w:val="32"/>
                <w:highlight w:val="none"/>
              </w:rPr>
            </w:pPr>
          </w:p>
        </w:tc>
        <w:tc>
          <w:tcPr>
            <w:tcW w:w="3225" w:type="dxa"/>
          </w:tcPr>
          <w:p>
            <w:pPr>
              <w:jc w:val="center"/>
              <w:rPr>
                <w:rFonts w:hint="eastAsia" w:ascii="宋体" w:hAnsi="宋体" w:cs="宋体"/>
                <w:b/>
                <w:color w:val="auto"/>
                <w:kern w:val="0"/>
                <w:sz w:val="32"/>
                <w:szCs w:val="32"/>
                <w:highlight w:val="none"/>
              </w:rPr>
            </w:pPr>
          </w:p>
        </w:tc>
        <w:tc>
          <w:tcPr>
            <w:tcW w:w="3132" w:type="dxa"/>
          </w:tcPr>
          <w:p>
            <w:pPr>
              <w:jc w:val="center"/>
              <w:rPr>
                <w:rFonts w:hint="eastAsia" w:ascii="宋体" w:hAnsi="宋体" w:cs="宋体"/>
                <w:b/>
                <w:color w:val="auto"/>
                <w:kern w:val="0"/>
                <w:sz w:val="32"/>
                <w:szCs w:val="32"/>
                <w:highlight w:val="none"/>
              </w:rPr>
            </w:pPr>
          </w:p>
        </w:tc>
        <w:tc>
          <w:tcPr>
            <w:tcW w:w="1276" w:type="dxa"/>
          </w:tcPr>
          <w:p>
            <w:pPr>
              <w:jc w:val="center"/>
              <w:rPr>
                <w:rFonts w:hint="eastAsia"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1236" w:type="dxa"/>
            <w:gridSpan w:val="2"/>
          </w:tcPr>
          <w:p>
            <w:pPr>
              <w:jc w:val="center"/>
              <w:rPr>
                <w:rFonts w:hint="eastAsia" w:ascii="宋体" w:hAnsi="宋体" w:cs="宋体"/>
                <w:b/>
                <w:color w:val="auto"/>
                <w:kern w:val="0"/>
                <w:sz w:val="32"/>
                <w:szCs w:val="32"/>
                <w:highlight w:val="none"/>
              </w:rPr>
            </w:pPr>
          </w:p>
        </w:tc>
        <w:tc>
          <w:tcPr>
            <w:tcW w:w="3225" w:type="dxa"/>
          </w:tcPr>
          <w:p>
            <w:pPr>
              <w:jc w:val="center"/>
              <w:rPr>
                <w:rFonts w:hint="eastAsia" w:ascii="宋体" w:hAnsi="宋体" w:cs="宋体"/>
                <w:b/>
                <w:color w:val="auto"/>
                <w:kern w:val="0"/>
                <w:sz w:val="32"/>
                <w:szCs w:val="32"/>
                <w:highlight w:val="none"/>
              </w:rPr>
            </w:pPr>
          </w:p>
        </w:tc>
        <w:tc>
          <w:tcPr>
            <w:tcW w:w="3132" w:type="dxa"/>
          </w:tcPr>
          <w:p>
            <w:pPr>
              <w:jc w:val="center"/>
              <w:rPr>
                <w:rFonts w:hint="eastAsia" w:ascii="宋体" w:hAnsi="宋体" w:cs="宋体"/>
                <w:b/>
                <w:color w:val="auto"/>
                <w:kern w:val="0"/>
                <w:sz w:val="32"/>
                <w:szCs w:val="32"/>
                <w:highlight w:val="none"/>
              </w:rPr>
            </w:pPr>
          </w:p>
        </w:tc>
        <w:tc>
          <w:tcPr>
            <w:tcW w:w="1276" w:type="dxa"/>
          </w:tcPr>
          <w:p>
            <w:pPr>
              <w:jc w:val="center"/>
              <w:rPr>
                <w:rFonts w:hint="eastAsia"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1236" w:type="dxa"/>
            <w:gridSpan w:val="2"/>
          </w:tcPr>
          <w:p>
            <w:pPr>
              <w:jc w:val="center"/>
              <w:rPr>
                <w:rFonts w:hint="eastAsia" w:ascii="宋体" w:hAnsi="宋体" w:cs="宋体"/>
                <w:b/>
                <w:color w:val="auto"/>
                <w:kern w:val="0"/>
                <w:sz w:val="32"/>
                <w:szCs w:val="32"/>
                <w:highlight w:val="none"/>
              </w:rPr>
            </w:pPr>
          </w:p>
        </w:tc>
        <w:tc>
          <w:tcPr>
            <w:tcW w:w="3225" w:type="dxa"/>
          </w:tcPr>
          <w:p>
            <w:pPr>
              <w:jc w:val="center"/>
              <w:rPr>
                <w:rFonts w:hint="eastAsia" w:ascii="宋体" w:hAnsi="宋体" w:cs="宋体"/>
                <w:b/>
                <w:color w:val="auto"/>
                <w:kern w:val="0"/>
                <w:sz w:val="32"/>
                <w:szCs w:val="32"/>
                <w:highlight w:val="none"/>
              </w:rPr>
            </w:pPr>
          </w:p>
        </w:tc>
        <w:tc>
          <w:tcPr>
            <w:tcW w:w="3132" w:type="dxa"/>
          </w:tcPr>
          <w:p>
            <w:pPr>
              <w:jc w:val="center"/>
              <w:rPr>
                <w:rFonts w:hint="eastAsia" w:ascii="宋体" w:hAnsi="宋体" w:cs="宋体"/>
                <w:b/>
                <w:color w:val="auto"/>
                <w:kern w:val="0"/>
                <w:sz w:val="32"/>
                <w:szCs w:val="32"/>
                <w:highlight w:val="none"/>
              </w:rPr>
            </w:pPr>
          </w:p>
        </w:tc>
        <w:tc>
          <w:tcPr>
            <w:tcW w:w="1276" w:type="dxa"/>
          </w:tcPr>
          <w:p>
            <w:pPr>
              <w:jc w:val="center"/>
              <w:rPr>
                <w:rFonts w:hint="eastAsia" w:ascii="宋体" w:hAnsi="宋体" w:cs="宋体"/>
                <w:b/>
                <w:color w:val="auto"/>
                <w:kern w:val="0"/>
                <w:sz w:val="32"/>
                <w:szCs w:val="32"/>
                <w:highlight w:val="none"/>
              </w:rPr>
            </w:pPr>
          </w:p>
        </w:tc>
      </w:tr>
    </w:tbl>
    <w:p>
      <w:pPr>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投标人保证：除商务技术偏离表列出的偏离外，投标人响应招标文件的全部要求。有佐证材料的请标明佐证材料页码。</w:t>
      </w:r>
    </w:p>
    <w:p>
      <w:pPr>
        <w:spacing w:line="360" w:lineRule="auto"/>
        <w:jc w:val="center"/>
        <w:rPr>
          <w:rFonts w:hint="eastAsia" w:ascii="宋体" w:hAnsi="宋体" w:cs="宋体"/>
          <w:b/>
          <w:color w:val="auto"/>
          <w:kern w:val="0"/>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pPr>
        <w:rPr>
          <w:rFonts w:hint="eastAsia" w:ascii="宋体" w:hAnsi="宋体" w:cs="宋体"/>
          <w:b/>
          <w:bCs/>
          <w:color w:val="auto"/>
          <w:sz w:val="32"/>
          <w:szCs w:val="32"/>
          <w:highlight w:val="none"/>
        </w:rPr>
      </w:pPr>
    </w:p>
    <w:p>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spacing w:line="360" w:lineRule="auto"/>
        <w:jc w:val="center"/>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pPr>
        <w:adjustRightInd/>
        <w:snapToGrid w:val="0"/>
        <w:spacing w:line="360" w:lineRule="auto"/>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lang w:eastAsia="zh-CN"/>
        </w:rPr>
        <w:t>浙江省杭州第七中学</w:t>
      </w:r>
      <w:r>
        <w:rPr>
          <w:rFonts w:hint="eastAsia" w:ascii="宋体" w:hAnsi="宋体" w:cs="仿宋_GB2312"/>
          <w:snapToGrid w:val="0"/>
          <w:color w:val="auto"/>
          <w:kern w:val="0"/>
          <w:sz w:val="24"/>
          <w:szCs w:val="20"/>
          <w:highlight w:val="none"/>
        </w:rPr>
        <w:t>、</w:t>
      </w:r>
      <w:r>
        <w:rPr>
          <w:rFonts w:hint="eastAsia" w:ascii="宋体" w:hAnsi="宋体" w:cs="仿宋_GB2312"/>
          <w:snapToGrid w:val="0"/>
          <w:color w:val="auto"/>
          <w:kern w:val="0"/>
          <w:sz w:val="24"/>
          <w:szCs w:val="20"/>
          <w:highlight w:val="none"/>
          <w:lang w:eastAsia="zh-CN"/>
        </w:rPr>
        <w:t>浙江中际工程项目管理有限公司</w:t>
      </w:r>
      <w:r>
        <w:rPr>
          <w:rFonts w:hint="eastAsia" w:ascii="宋体" w:hAnsi="宋体" w:cs="仿宋_GB2312"/>
          <w:snapToGrid w:val="0"/>
          <w:color w:val="auto"/>
          <w:kern w:val="0"/>
          <w:sz w:val="24"/>
          <w:szCs w:val="20"/>
          <w:highlight w:val="none"/>
        </w:rPr>
        <w:t>：</w:t>
      </w:r>
    </w:p>
    <w:p>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我单位响应你单位项目招标要求参加投标。在这次投标过程中和中标后，我们将严格遵守国家法律法规要求，并郑重承诺：</w:t>
      </w:r>
    </w:p>
    <w:p>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 xml:space="preserve">一、不向项目有关人员及部门赠送礼金礼物、有价证券、回扣以及中介费、介绍费、咨询费等好处费； </w:t>
      </w:r>
    </w:p>
    <w:p>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 xml:space="preserve">二、不为项目有关人员及部门报销应由你方单位或个人支付的费用； </w:t>
      </w:r>
    </w:p>
    <w:p>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 xml:space="preserve">三、不向项目有关人员及部门提供有可能影响公正的宴请和健身娱乐等活动； </w:t>
      </w:r>
    </w:p>
    <w:p>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四、不为项目有关人员及部门出国（境）、旅游等提供方便；</w:t>
      </w:r>
    </w:p>
    <w:p>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五、不为项目有关人员个人装修住房、婚丧嫁娶、配偶子女工作安排等提供</w:t>
      </w:r>
    </w:p>
    <w:p>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好处；</w:t>
      </w:r>
    </w:p>
    <w:p>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 xml:space="preserve">六、严格遵守《中华人民共和国政府采购法》、《中华人民共和国招标投标法》、《中华人民共和国民法典》等法律法规，诚实守信，合法经营，坚决抵制各种违法违纪行为。 </w:t>
      </w:r>
    </w:p>
    <w:p>
      <w:pPr>
        <w:adjustRightInd/>
        <w:snapToGrid w:val="0"/>
        <w:spacing w:line="360" w:lineRule="auto"/>
        <w:ind w:firstLine="424" w:firstLineChars="177"/>
        <w:rPr>
          <w:rFonts w:hint="eastAsia" w:ascii="宋体" w:hAnsi="宋体" w:cs="宋体"/>
          <w:color w:val="auto"/>
          <w:kern w:val="0"/>
          <w:sz w:val="24"/>
          <w:highlight w:val="none"/>
          <w:lang w:val="zh-CN"/>
        </w:rPr>
      </w:pPr>
      <w:r>
        <w:rPr>
          <w:rFonts w:hint="eastAsia" w:ascii="宋体" w:hAnsi="宋体" w:cs="仿宋_GB2312"/>
          <w:snapToGrid w:val="0"/>
          <w:color w:val="auto"/>
          <w:kern w:val="0"/>
          <w:sz w:val="24"/>
          <w:szCs w:val="20"/>
          <w:highlight w:val="none"/>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djustRightInd/>
        <w:snapToGrid w:val="0"/>
        <w:spacing w:line="336" w:lineRule="auto"/>
        <w:ind w:firstLine="4915" w:firstLineChars="2048"/>
        <w:rPr>
          <w:rFonts w:hint="eastAsia" w:ascii="宋体" w:hAnsi="宋体" w:cs="宋体"/>
          <w:color w:val="auto"/>
          <w:kern w:val="0"/>
          <w:sz w:val="24"/>
          <w:highlight w:val="none"/>
          <w:lang w:val="zh-CN"/>
        </w:rPr>
      </w:pPr>
    </w:p>
    <w:p>
      <w:pPr>
        <w:adjustRightInd/>
        <w:snapToGrid w:val="0"/>
        <w:spacing w:line="336" w:lineRule="auto"/>
        <w:ind w:firstLine="4915" w:firstLineChars="2048"/>
        <w:rPr>
          <w:rFonts w:hint="eastAsia" w:ascii="宋体" w:hAnsi="宋体" w:cs="宋体"/>
          <w:color w:val="auto"/>
          <w:kern w:val="0"/>
          <w:sz w:val="24"/>
          <w:highlight w:val="none"/>
          <w:lang w:val="zh-CN"/>
        </w:rPr>
      </w:pPr>
    </w:p>
    <w:p>
      <w:pPr>
        <w:adjustRightInd/>
        <w:snapToGrid w:val="0"/>
        <w:spacing w:line="336" w:lineRule="auto"/>
        <w:ind w:firstLine="4915" w:firstLineChars="2048"/>
        <w:rPr>
          <w:rFonts w:hint="eastAsia" w:ascii="宋体" w:hAnsi="宋体" w:cs="仿宋_GB2312"/>
          <w:snapToGrid w:val="0"/>
          <w:color w:val="auto"/>
          <w:kern w:val="0"/>
          <w:sz w:val="24"/>
          <w:szCs w:val="20"/>
          <w:highlight w:val="none"/>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pPr>
        <w:spacing w:line="360" w:lineRule="auto"/>
        <w:jc w:val="center"/>
        <w:rPr>
          <w:rFonts w:hint="eastAsia" w:ascii="宋体" w:hAnsi="宋体" w:cs="宋体"/>
          <w:color w:val="auto"/>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hint="eastAsia"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hint="eastAsia" w:ascii="宋体" w:hAnsi="宋体" w:cs="宋体"/>
          <w:b/>
          <w:color w:val="auto"/>
          <w:kern w:val="0"/>
          <w:sz w:val="36"/>
          <w:szCs w:val="36"/>
          <w:highlight w:val="none"/>
        </w:rPr>
      </w:pPr>
    </w:p>
    <w:p>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hint="eastAsia" w:ascii="宋体" w:hAnsi="宋体" w:cs="宋体"/>
          <w:b/>
          <w:color w:val="auto"/>
          <w:kern w:val="0"/>
          <w:sz w:val="36"/>
          <w:szCs w:val="36"/>
          <w:highlight w:val="none"/>
        </w:rPr>
      </w:pPr>
    </w:p>
    <w:p>
      <w:pPr>
        <w:numPr>
          <w:ilvl w:val="0"/>
          <w:numId w:val="17"/>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pPr>
        <w:numPr>
          <w:ilvl w:val="0"/>
          <w:numId w:val="17"/>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中小企业声明函………………………………………………………………（页码）</w:t>
      </w: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pStyle w:val="39"/>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pPr>
        <w:pStyle w:val="39"/>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24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浙江省杭州第七中学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浙江中际工程项目管理有限公司</w:t>
      </w:r>
      <w:r>
        <w:rPr>
          <w:rFonts w:hint="eastAsia" w:ascii="宋体" w:hAnsi="宋体" w:cs="宋体"/>
          <w:color w:val="auto"/>
          <w:kern w:val="0"/>
          <w:sz w:val="24"/>
          <w:highlight w:val="none"/>
          <w:lang w:val="zh-CN"/>
        </w:rPr>
        <w:t>：</w:t>
      </w:r>
    </w:p>
    <w:p>
      <w:pPr>
        <w:snapToGrid w:val="0"/>
        <w:spacing w:line="24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浙江省杭州第七中学转塘校区人工智能教育试点二期项目</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HQZ-2025-</w:t>
      </w:r>
      <w:r>
        <w:rPr>
          <w:rFonts w:hint="eastAsia" w:ascii="宋体" w:hAnsi="宋体" w:cs="宋体"/>
          <w:color w:val="auto"/>
          <w:sz w:val="24"/>
          <w:highlight w:val="none"/>
          <w:lang w:val="en-US" w:eastAsia="zh-CN"/>
        </w:rPr>
        <w:t>005</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17"/>
        <w:tblW w:w="14796"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417"/>
        <w:gridCol w:w="1842"/>
        <w:gridCol w:w="3117"/>
        <w:gridCol w:w="993"/>
        <w:gridCol w:w="1558"/>
        <w:gridCol w:w="1988"/>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63" w:type="dxa"/>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842" w:type="dxa"/>
          </w:tcPr>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3117" w:type="dxa"/>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558" w:type="dxa"/>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单价</w:t>
            </w:r>
          </w:p>
        </w:tc>
        <w:tc>
          <w:tcPr>
            <w:tcW w:w="1988" w:type="dxa"/>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合计</w:t>
            </w:r>
          </w:p>
        </w:tc>
        <w:tc>
          <w:tcPr>
            <w:tcW w:w="3118" w:type="dxa"/>
            <w:vAlign w:val="center"/>
          </w:tcPr>
          <w:p>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63" w:type="dxa"/>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2" w:type="dxa"/>
            <w:vAlign w:val="center"/>
          </w:tcPr>
          <w:p>
            <w:pPr>
              <w:snapToGrid w:val="0"/>
              <w:spacing w:line="360" w:lineRule="auto"/>
              <w:jc w:val="center"/>
              <w:rPr>
                <w:rFonts w:hint="eastAsia" w:ascii="宋体" w:hAnsi="宋体" w:cs="宋体"/>
                <w:color w:val="auto"/>
                <w:sz w:val="24"/>
                <w:highlight w:val="none"/>
              </w:rPr>
            </w:pPr>
          </w:p>
        </w:tc>
        <w:tc>
          <w:tcPr>
            <w:tcW w:w="3117" w:type="dxa"/>
            <w:vAlign w:val="center"/>
          </w:tcPr>
          <w:p>
            <w:pPr>
              <w:snapToGrid w:val="0"/>
              <w:spacing w:line="360" w:lineRule="auto"/>
              <w:jc w:val="center"/>
              <w:rPr>
                <w:rFonts w:hint="eastAsia" w:ascii="宋体" w:hAnsi="宋体" w:cs="宋体"/>
                <w:color w:val="auto"/>
                <w:sz w:val="24"/>
                <w:highlight w:val="none"/>
              </w:rPr>
            </w:pPr>
          </w:p>
        </w:tc>
        <w:tc>
          <w:tcPr>
            <w:tcW w:w="993" w:type="dxa"/>
            <w:vAlign w:val="center"/>
          </w:tcPr>
          <w:p>
            <w:pPr>
              <w:snapToGrid w:val="0"/>
              <w:spacing w:line="360" w:lineRule="auto"/>
              <w:jc w:val="center"/>
              <w:rPr>
                <w:rFonts w:hint="eastAsia" w:ascii="宋体" w:hAnsi="宋体" w:cs="宋体"/>
                <w:color w:val="auto"/>
                <w:sz w:val="24"/>
                <w:highlight w:val="none"/>
              </w:rPr>
            </w:pPr>
          </w:p>
        </w:tc>
        <w:tc>
          <w:tcPr>
            <w:tcW w:w="1558" w:type="dxa"/>
            <w:vAlign w:val="center"/>
          </w:tcPr>
          <w:p>
            <w:pPr>
              <w:spacing w:line="360" w:lineRule="auto"/>
              <w:jc w:val="center"/>
              <w:rPr>
                <w:rFonts w:hint="eastAsia" w:ascii="宋体" w:hAnsi="宋体" w:cs="宋体"/>
                <w:color w:val="auto"/>
                <w:sz w:val="24"/>
                <w:highlight w:val="none"/>
              </w:rPr>
            </w:pPr>
          </w:p>
        </w:tc>
        <w:tc>
          <w:tcPr>
            <w:tcW w:w="1988" w:type="dxa"/>
            <w:vAlign w:val="center"/>
          </w:tcPr>
          <w:p>
            <w:pPr>
              <w:spacing w:line="360" w:lineRule="auto"/>
              <w:jc w:val="center"/>
              <w:rPr>
                <w:rFonts w:hint="eastAsia" w:ascii="宋体" w:hAnsi="宋体" w:cs="宋体"/>
                <w:color w:val="auto"/>
                <w:sz w:val="24"/>
                <w:highlight w:val="none"/>
              </w:rPr>
            </w:pPr>
          </w:p>
        </w:tc>
        <w:tc>
          <w:tcPr>
            <w:tcW w:w="3118" w:type="dxa"/>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63" w:type="dxa"/>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2" w:type="dxa"/>
            <w:vAlign w:val="center"/>
          </w:tcPr>
          <w:p>
            <w:pPr>
              <w:snapToGrid w:val="0"/>
              <w:spacing w:line="360" w:lineRule="auto"/>
              <w:jc w:val="center"/>
              <w:rPr>
                <w:rFonts w:hint="eastAsia" w:ascii="宋体" w:hAnsi="宋体" w:cs="宋体"/>
                <w:color w:val="auto"/>
                <w:sz w:val="24"/>
                <w:highlight w:val="none"/>
              </w:rPr>
            </w:pPr>
          </w:p>
        </w:tc>
        <w:tc>
          <w:tcPr>
            <w:tcW w:w="3117" w:type="dxa"/>
            <w:vAlign w:val="center"/>
          </w:tcPr>
          <w:p>
            <w:pPr>
              <w:snapToGrid w:val="0"/>
              <w:spacing w:line="360" w:lineRule="auto"/>
              <w:jc w:val="center"/>
              <w:rPr>
                <w:rFonts w:hint="eastAsia" w:ascii="宋体" w:hAnsi="宋体" w:cs="宋体"/>
                <w:color w:val="auto"/>
                <w:sz w:val="24"/>
                <w:highlight w:val="none"/>
              </w:rPr>
            </w:pPr>
          </w:p>
        </w:tc>
        <w:tc>
          <w:tcPr>
            <w:tcW w:w="993" w:type="dxa"/>
            <w:vAlign w:val="center"/>
          </w:tcPr>
          <w:p>
            <w:pPr>
              <w:snapToGrid w:val="0"/>
              <w:spacing w:line="360" w:lineRule="auto"/>
              <w:jc w:val="center"/>
              <w:rPr>
                <w:rFonts w:hint="eastAsia" w:ascii="宋体" w:hAnsi="宋体" w:cs="宋体"/>
                <w:color w:val="auto"/>
                <w:sz w:val="24"/>
                <w:highlight w:val="none"/>
              </w:rPr>
            </w:pPr>
          </w:p>
        </w:tc>
        <w:tc>
          <w:tcPr>
            <w:tcW w:w="1558" w:type="dxa"/>
            <w:vAlign w:val="center"/>
          </w:tcPr>
          <w:p>
            <w:pPr>
              <w:spacing w:line="360" w:lineRule="auto"/>
              <w:jc w:val="center"/>
              <w:rPr>
                <w:rFonts w:hint="eastAsia" w:ascii="宋体" w:hAnsi="宋体" w:cs="宋体"/>
                <w:color w:val="auto"/>
                <w:sz w:val="24"/>
                <w:highlight w:val="none"/>
              </w:rPr>
            </w:pPr>
          </w:p>
        </w:tc>
        <w:tc>
          <w:tcPr>
            <w:tcW w:w="1988" w:type="dxa"/>
            <w:vAlign w:val="center"/>
          </w:tcPr>
          <w:p>
            <w:pPr>
              <w:spacing w:line="360" w:lineRule="auto"/>
              <w:jc w:val="center"/>
              <w:rPr>
                <w:rFonts w:hint="eastAsia" w:ascii="宋体" w:hAnsi="宋体" w:cs="宋体"/>
                <w:color w:val="auto"/>
                <w:sz w:val="24"/>
                <w:highlight w:val="none"/>
              </w:rPr>
            </w:pPr>
          </w:p>
        </w:tc>
        <w:tc>
          <w:tcPr>
            <w:tcW w:w="3118" w:type="dxa"/>
            <w:vAlign w:val="center"/>
          </w:tcPr>
          <w:p>
            <w:pPr>
              <w:spacing w:line="360" w:lineRule="auto"/>
              <w:jc w:val="center"/>
              <w:rPr>
                <w:rFonts w:hint="eastAsia"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63" w:type="dxa"/>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pPr>
              <w:snapToGrid w:val="0"/>
              <w:spacing w:line="360" w:lineRule="auto"/>
              <w:jc w:val="center"/>
              <w:rPr>
                <w:rFonts w:hint="eastAsia" w:ascii="宋体" w:hAnsi="宋体" w:cs="宋体"/>
                <w:color w:val="auto"/>
                <w:sz w:val="24"/>
                <w:highlight w:val="none"/>
              </w:rPr>
            </w:pPr>
          </w:p>
        </w:tc>
        <w:tc>
          <w:tcPr>
            <w:tcW w:w="1842" w:type="dxa"/>
            <w:vAlign w:val="center"/>
          </w:tcPr>
          <w:p>
            <w:pPr>
              <w:snapToGrid w:val="0"/>
              <w:spacing w:line="360" w:lineRule="auto"/>
              <w:jc w:val="center"/>
              <w:rPr>
                <w:rFonts w:hint="eastAsia" w:ascii="宋体" w:hAnsi="宋体" w:cs="宋体"/>
                <w:color w:val="auto"/>
                <w:sz w:val="24"/>
                <w:highlight w:val="none"/>
              </w:rPr>
            </w:pPr>
          </w:p>
        </w:tc>
        <w:tc>
          <w:tcPr>
            <w:tcW w:w="3117" w:type="dxa"/>
            <w:vAlign w:val="center"/>
          </w:tcPr>
          <w:p>
            <w:pPr>
              <w:snapToGrid w:val="0"/>
              <w:spacing w:line="360" w:lineRule="auto"/>
              <w:jc w:val="center"/>
              <w:rPr>
                <w:rFonts w:hint="eastAsia" w:ascii="宋体" w:hAnsi="宋体" w:cs="宋体"/>
                <w:color w:val="auto"/>
                <w:sz w:val="24"/>
                <w:highlight w:val="none"/>
              </w:rPr>
            </w:pPr>
          </w:p>
        </w:tc>
        <w:tc>
          <w:tcPr>
            <w:tcW w:w="993" w:type="dxa"/>
            <w:vAlign w:val="center"/>
          </w:tcPr>
          <w:p>
            <w:pPr>
              <w:snapToGrid w:val="0"/>
              <w:spacing w:line="360" w:lineRule="auto"/>
              <w:jc w:val="center"/>
              <w:rPr>
                <w:rFonts w:hint="eastAsia" w:ascii="宋体" w:hAnsi="宋体" w:cs="宋体"/>
                <w:color w:val="auto"/>
                <w:sz w:val="24"/>
                <w:highlight w:val="none"/>
              </w:rPr>
            </w:pPr>
          </w:p>
        </w:tc>
        <w:tc>
          <w:tcPr>
            <w:tcW w:w="1558" w:type="dxa"/>
            <w:vAlign w:val="center"/>
          </w:tcPr>
          <w:p>
            <w:pPr>
              <w:spacing w:line="360" w:lineRule="auto"/>
              <w:jc w:val="center"/>
              <w:rPr>
                <w:rFonts w:hint="eastAsia" w:ascii="宋体" w:hAnsi="宋体" w:cs="宋体"/>
                <w:color w:val="auto"/>
                <w:sz w:val="24"/>
                <w:highlight w:val="none"/>
              </w:rPr>
            </w:pPr>
          </w:p>
        </w:tc>
        <w:tc>
          <w:tcPr>
            <w:tcW w:w="1988" w:type="dxa"/>
            <w:vAlign w:val="center"/>
          </w:tcPr>
          <w:p>
            <w:pPr>
              <w:spacing w:line="360" w:lineRule="auto"/>
              <w:jc w:val="center"/>
              <w:rPr>
                <w:rFonts w:hint="eastAsia" w:ascii="宋体" w:hAnsi="宋体" w:cs="宋体"/>
                <w:color w:val="auto"/>
                <w:sz w:val="24"/>
                <w:highlight w:val="none"/>
              </w:rPr>
            </w:pPr>
          </w:p>
        </w:tc>
        <w:tc>
          <w:tcPr>
            <w:tcW w:w="3118" w:type="dxa"/>
            <w:vAlign w:val="center"/>
          </w:tcPr>
          <w:p>
            <w:pPr>
              <w:spacing w:line="360" w:lineRule="auto"/>
              <w:jc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63" w:type="dxa"/>
            <w:vAlign w:val="center"/>
          </w:tcPr>
          <w:p>
            <w:pPr>
              <w:spacing w:line="360" w:lineRule="auto"/>
              <w:jc w:val="center"/>
              <w:rPr>
                <w:rFonts w:hint="eastAsia" w:ascii="宋体" w:hAnsi="宋体" w:cs="宋体"/>
                <w:color w:val="auto"/>
                <w:sz w:val="24"/>
                <w:highlight w:val="none"/>
              </w:rPr>
            </w:pPr>
          </w:p>
        </w:tc>
        <w:tc>
          <w:tcPr>
            <w:tcW w:w="1417" w:type="dxa"/>
            <w:vAlign w:val="center"/>
          </w:tcPr>
          <w:p>
            <w:pPr>
              <w:snapToGrid w:val="0"/>
              <w:spacing w:line="360" w:lineRule="auto"/>
              <w:jc w:val="center"/>
              <w:rPr>
                <w:rFonts w:hint="eastAsia" w:ascii="宋体" w:hAnsi="宋体" w:cs="宋体"/>
                <w:color w:val="auto"/>
                <w:sz w:val="24"/>
                <w:highlight w:val="none"/>
              </w:rPr>
            </w:pPr>
          </w:p>
        </w:tc>
        <w:tc>
          <w:tcPr>
            <w:tcW w:w="1842" w:type="dxa"/>
            <w:vAlign w:val="center"/>
          </w:tcPr>
          <w:p>
            <w:pPr>
              <w:snapToGrid w:val="0"/>
              <w:spacing w:line="360" w:lineRule="auto"/>
              <w:jc w:val="center"/>
              <w:rPr>
                <w:rFonts w:hint="eastAsia" w:ascii="宋体" w:hAnsi="宋体" w:cs="宋体"/>
                <w:color w:val="auto"/>
                <w:sz w:val="24"/>
                <w:highlight w:val="none"/>
              </w:rPr>
            </w:pPr>
          </w:p>
        </w:tc>
        <w:tc>
          <w:tcPr>
            <w:tcW w:w="3117" w:type="dxa"/>
            <w:vAlign w:val="center"/>
          </w:tcPr>
          <w:p>
            <w:pPr>
              <w:snapToGrid w:val="0"/>
              <w:spacing w:line="360" w:lineRule="auto"/>
              <w:jc w:val="center"/>
              <w:rPr>
                <w:rFonts w:hint="eastAsia" w:ascii="宋体" w:hAnsi="宋体" w:cs="宋体"/>
                <w:color w:val="auto"/>
                <w:sz w:val="24"/>
                <w:highlight w:val="none"/>
              </w:rPr>
            </w:pPr>
          </w:p>
        </w:tc>
        <w:tc>
          <w:tcPr>
            <w:tcW w:w="993" w:type="dxa"/>
            <w:vAlign w:val="center"/>
          </w:tcPr>
          <w:p>
            <w:pPr>
              <w:snapToGrid w:val="0"/>
              <w:spacing w:line="360" w:lineRule="auto"/>
              <w:jc w:val="center"/>
              <w:rPr>
                <w:rFonts w:hint="eastAsia" w:ascii="宋体" w:hAnsi="宋体" w:cs="宋体"/>
                <w:color w:val="auto"/>
                <w:sz w:val="24"/>
                <w:highlight w:val="none"/>
              </w:rPr>
            </w:pPr>
          </w:p>
        </w:tc>
        <w:tc>
          <w:tcPr>
            <w:tcW w:w="1558" w:type="dxa"/>
            <w:vAlign w:val="center"/>
          </w:tcPr>
          <w:p>
            <w:pPr>
              <w:spacing w:line="360" w:lineRule="auto"/>
              <w:jc w:val="center"/>
              <w:rPr>
                <w:rFonts w:hint="eastAsia" w:ascii="宋体" w:hAnsi="宋体" w:cs="宋体"/>
                <w:color w:val="auto"/>
                <w:sz w:val="24"/>
                <w:highlight w:val="none"/>
              </w:rPr>
            </w:pPr>
          </w:p>
        </w:tc>
        <w:tc>
          <w:tcPr>
            <w:tcW w:w="1988" w:type="dxa"/>
            <w:vAlign w:val="center"/>
          </w:tcPr>
          <w:p>
            <w:pPr>
              <w:spacing w:line="360" w:lineRule="auto"/>
              <w:jc w:val="center"/>
              <w:rPr>
                <w:rFonts w:hint="eastAsia" w:ascii="宋体" w:hAnsi="宋体" w:cs="宋体"/>
                <w:color w:val="auto"/>
                <w:sz w:val="24"/>
                <w:highlight w:val="none"/>
              </w:rPr>
            </w:pPr>
          </w:p>
        </w:tc>
        <w:tc>
          <w:tcPr>
            <w:tcW w:w="3118" w:type="dxa"/>
            <w:vAlign w:val="center"/>
          </w:tcPr>
          <w:p>
            <w:pPr>
              <w:spacing w:line="360" w:lineRule="auto"/>
              <w:jc w:val="center"/>
              <w:rPr>
                <w:rFonts w:hint="eastAsia"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63" w:type="dxa"/>
            <w:vAlign w:val="center"/>
          </w:tcPr>
          <w:p>
            <w:pPr>
              <w:spacing w:line="360" w:lineRule="auto"/>
              <w:jc w:val="center"/>
              <w:rPr>
                <w:rFonts w:hint="eastAsia" w:ascii="宋体" w:hAnsi="宋体" w:cs="宋体"/>
                <w:color w:val="auto"/>
                <w:sz w:val="24"/>
                <w:highlight w:val="none"/>
              </w:rPr>
            </w:pPr>
          </w:p>
        </w:tc>
        <w:tc>
          <w:tcPr>
            <w:tcW w:w="1417" w:type="dxa"/>
            <w:vAlign w:val="center"/>
          </w:tcPr>
          <w:p>
            <w:pPr>
              <w:snapToGrid w:val="0"/>
              <w:spacing w:line="360" w:lineRule="auto"/>
              <w:jc w:val="center"/>
              <w:rPr>
                <w:rFonts w:hint="eastAsia" w:ascii="宋体" w:hAnsi="宋体" w:cs="宋体"/>
                <w:color w:val="auto"/>
                <w:sz w:val="24"/>
                <w:highlight w:val="none"/>
              </w:rPr>
            </w:pPr>
          </w:p>
        </w:tc>
        <w:tc>
          <w:tcPr>
            <w:tcW w:w="1842" w:type="dxa"/>
            <w:vAlign w:val="center"/>
          </w:tcPr>
          <w:p>
            <w:pPr>
              <w:snapToGrid w:val="0"/>
              <w:spacing w:line="360" w:lineRule="auto"/>
              <w:jc w:val="center"/>
              <w:rPr>
                <w:rFonts w:hint="eastAsia" w:ascii="宋体" w:hAnsi="宋体" w:cs="宋体"/>
                <w:color w:val="auto"/>
                <w:sz w:val="24"/>
                <w:highlight w:val="none"/>
              </w:rPr>
            </w:pPr>
          </w:p>
        </w:tc>
        <w:tc>
          <w:tcPr>
            <w:tcW w:w="3117" w:type="dxa"/>
            <w:vAlign w:val="center"/>
          </w:tcPr>
          <w:p>
            <w:pPr>
              <w:snapToGrid w:val="0"/>
              <w:spacing w:line="360" w:lineRule="auto"/>
              <w:jc w:val="center"/>
              <w:rPr>
                <w:rFonts w:hint="eastAsia" w:ascii="宋体" w:hAnsi="宋体" w:cs="宋体"/>
                <w:color w:val="auto"/>
                <w:sz w:val="24"/>
                <w:highlight w:val="none"/>
              </w:rPr>
            </w:pPr>
          </w:p>
        </w:tc>
        <w:tc>
          <w:tcPr>
            <w:tcW w:w="993" w:type="dxa"/>
            <w:vAlign w:val="center"/>
          </w:tcPr>
          <w:p>
            <w:pPr>
              <w:snapToGrid w:val="0"/>
              <w:spacing w:line="360" w:lineRule="auto"/>
              <w:jc w:val="center"/>
              <w:rPr>
                <w:rFonts w:hint="eastAsia" w:ascii="宋体" w:hAnsi="宋体" w:cs="宋体"/>
                <w:color w:val="auto"/>
                <w:sz w:val="24"/>
                <w:highlight w:val="none"/>
              </w:rPr>
            </w:pPr>
          </w:p>
        </w:tc>
        <w:tc>
          <w:tcPr>
            <w:tcW w:w="1558" w:type="dxa"/>
            <w:vAlign w:val="center"/>
          </w:tcPr>
          <w:p>
            <w:pPr>
              <w:spacing w:line="360" w:lineRule="auto"/>
              <w:jc w:val="center"/>
              <w:rPr>
                <w:rFonts w:hint="eastAsia" w:ascii="宋体" w:hAnsi="宋体" w:cs="宋体"/>
                <w:color w:val="auto"/>
                <w:sz w:val="24"/>
                <w:highlight w:val="none"/>
              </w:rPr>
            </w:pPr>
          </w:p>
        </w:tc>
        <w:tc>
          <w:tcPr>
            <w:tcW w:w="1988" w:type="dxa"/>
            <w:vAlign w:val="center"/>
          </w:tcPr>
          <w:p>
            <w:pPr>
              <w:spacing w:line="360" w:lineRule="auto"/>
              <w:jc w:val="center"/>
              <w:rPr>
                <w:rFonts w:hint="eastAsia" w:ascii="宋体" w:hAnsi="宋体" w:cs="宋体"/>
                <w:color w:val="auto"/>
                <w:sz w:val="24"/>
                <w:highlight w:val="none"/>
              </w:rPr>
            </w:pPr>
          </w:p>
        </w:tc>
        <w:tc>
          <w:tcPr>
            <w:tcW w:w="3118" w:type="dxa"/>
            <w:vAlign w:val="center"/>
          </w:tcPr>
          <w:p>
            <w:pPr>
              <w:spacing w:line="360" w:lineRule="auto"/>
              <w:jc w:val="center"/>
              <w:rPr>
                <w:rFonts w:hint="eastAsia"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22" w:type="dxa"/>
            <w:gridSpan w:val="3"/>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7656" w:type="dxa"/>
            <w:gridSpan w:val="4"/>
            <w:vAlign w:val="center"/>
          </w:tcPr>
          <w:p>
            <w:pPr>
              <w:spacing w:line="360" w:lineRule="auto"/>
              <w:jc w:val="center"/>
              <w:rPr>
                <w:rFonts w:hint="eastAsia" w:ascii="宋体" w:hAnsi="宋体" w:cs="宋体"/>
                <w:color w:val="auto"/>
                <w:sz w:val="24"/>
                <w:highlight w:val="none"/>
              </w:rPr>
            </w:pPr>
          </w:p>
        </w:tc>
        <w:tc>
          <w:tcPr>
            <w:tcW w:w="3118" w:type="dxa"/>
            <w:vAlign w:val="center"/>
          </w:tcPr>
          <w:p>
            <w:pPr>
              <w:spacing w:line="360" w:lineRule="auto"/>
              <w:jc w:val="center"/>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实施期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22" w:type="dxa"/>
            <w:gridSpan w:val="3"/>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7656" w:type="dxa"/>
            <w:gridSpan w:val="4"/>
            <w:vAlign w:val="center"/>
          </w:tcPr>
          <w:p>
            <w:pPr>
              <w:spacing w:line="360" w:lineRule="auto"/>
              <w:jc w:val="center"/>
              <w:rPr>
                <w:rFonts w:hint="eastAsia" w:ascii="宋体" w:hAnsi="宋体" w:cs="宋体"/>
                <w:color w:val="auto"/>
                <w:sz w:val="24"/>
                <w:highlight w:val="none"/>
              </w:rPr>
            </w:pPr>
          </w:p>
        </w:tc>
        <w:tc>
          <w:tcPr>
            <w:tcW w:w="3118" w:type="dxa"/>
            <w:vAlign w:val="center"/>
          </w:tcPr>
          <w:p>
            <w:pPr>
              <w:spacing w:line="360" w:lineRule="auto"/>
              <w:jc w:val="center"/>
              <w:rPr>
                <w:rFonts w:hint="eastAsia" w:ascii="宋体" w:hAnsi="宋体" w:cs="宋体"/>
                <w:color w:val="auto"/>
                <w:sz w:val="24"/>
                <w:highlight w:val="none"/>
              </w:rPr>
            </w:pPr>
          </w:p>
        </w:tc>
      </w:tr>
    </w:tbl>
    <w:p>
      <w:pPr>
        <w:snapToGrid w:val="0"/>
        <w:spacing w:line="360" w:lineRule="auto"/>
        <w:ind w:left="480" w:leftChars="0" w:firstLine="0" w:firstLineChars="0"/>
        <w:rPr>
          <w:rFonts w:hint="eastAsia" w:ascii="宋体" w:hAnsi="宋体" w:cs="宋体"/>
          <w:color w:val="auto"/>
          <w:kern w:val="0"/>
          <w:sz w:val="21"/>
          <w:szCs w:val="21"/>
          <w:highlight w:val="none"/>
        </w:rPr>
      </w:pPr>
      <w:r>
        <w:rPr>
          <w:rFonts w:hint="eastAsia" w:ascii="宋体" w:hAnsi="宋体" w:cs="宋体"/>
          <w:b/>
          <w:color w:val="auto"/>
          <w:kern w:val="0"/>
          <w:sz w:val="24"/>
          <w:highlight w:val="none"/>
          <w:lang w:val="zh-CN"/>
        </w:rPr>
        <w:t>注：</w:t>
      </w:r>
      <w:r>
        <w:rPr>
          <w:rFonts w:hint="eastAsia" w:ascii="宋体" w:hAnsi="宋体" w:cs="宋体"/>
          <w:color w:val="auto"/>
          <w:kern w:val="0"/>
          <w:sz w:val="21"/>
          <w:szCs w:val="21"/>
          <w:highlight w:val="none"/>
          <w:lang w:val="zh-CN"/>
        </w:rPr>
        <w:t>1、投标人需按本表格式填写</w:t>
      </w:r>
      <w:r>
        <w:rPr>
          <w:rFonts w:hint="eastAsia" w:ascii="宋体" w:hAnsi="宋体" w:cs="宋体"/>
          <w:b/>
          <w:color w:val="auto"/>
          <w:kern w:val="0"/>
          <w:sz w:val="21"/>
          <w:szCs w:val="21"/>
          <w:highlight w:val="none"/>
          <w:lang w:val="zh-CN"/>
        </w:rPr>
        <w:t>，</w:t>
      </w:r>
      <w:r>
        <w:rPr>
          <w:rFonts w:hint="eastAsia" w:ascii="宋体" w:hAnsi="宋体" w:cs="宋体"/>
          <w:b/>
          <w:color w:val="auto"/>
          <w:kern w:val="0"/>
          <w:sz w:val="21"/>
          <w:szCs w:val="21"/>
          <w:highlight w:val="none"/>
        </w:rPr>
        <w:t>否则视为</w:t>
      </w:r>
      <w:r>
        <w:rPr>
          <w:rFonts w:hint="eastAsia" w:ascii="宋体" w:hAnsi="宋体" w:cs="宋体"/>
          <w:b/>
          <w:color w:val="auto"/>
          <w:sz w:val="21"/>
          <w:szCs w:val="21"/>
          <w:highlight w:val="none"/>
        </w:rPr>
        <w:t>投标文件含有采购人不能接受的附加条件，投标无效</w:t>
      </w:r>
      <w:r>
        <w:rPr>
          <w:rFonts w:hint="eastAsia" w:ascii="宋体" w:hAnsi="宋体" w:cs="宋体"/>
          <w:b/>
          <w:color w:val="auto"/>
          <w:kern w:val="0"/>
          <w:sz w:val="21"/>
          <w:szCs w:val="21"/>
          <w:highlight w:val="none"/>
          <w:lang w:val="zh-CN"/>
        </w:rPr>
        <w:t>。</w:t>
      </w:r>
      <w:r>
        <w:rPr>
          <w:rFonts w:hint="eastAsia" w:ascii="宋体" w:hAnsi="宋体" w:cs="宋体"/>
          <w:b/>
          <w:color w:val="auto"/>
          <w:kern w:val="0"/>
          <w:sz w:val="21"/>
          <w:szCs w:val="21"/>
          <w:highlight w:val="none"/>
        </w:rPr>
        <w:t>若上述表格不足以说明报价情况，可附报价明细表做进一步补充说明</w:t>
      </w:r>
    </w:p>
    <w:p>
      <w:pPr>
        <w:spacing w:line="240" w:lineRule="auto"/>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2、有关本项目实施所涉及的一切费用均计入报价。</w:t>
      </w:r>
      <w:r>
        <w:rPr>
          <w:rFonts w:hint="eastAsia" w:ascii="宋体" w:hAnsi="宋体" w:cs="宋体"/>
          <w:b/>
          <w:bCs/>
          <w:color w:val="auto"/>
          <w:kern w:val="0"/>
          <w:sz w:val="21"/>
          <w:szCs w:val="21"/>
          <w:highlight w:val="none"/>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auto"/>
          <w:kern w:val="0"/>
          <w:sz w:val="21"/>
          <w:szCs w:val="21"/>
          <w:highlight w:val="none"/>
          <w:lang w:val="zh-CN"/>
        </w:rPr>
        <w:t>采购内容未包含在《开标一览表（报价表）》名称栏中，投标人不能作出合理解释的，</w:t>
      </w:r>
      <w:r>
        <w:rPr>
          <w:rFonts w:hint="eastAsia" w:ascii="宋体" w:hAnsi="宋体" w:cs="宋体"/>
          <w:b/>
          <w:color w:val="auto"/>
          <w:kern w:val="0"/>
          <w:sz w:val="21"/>
          <w:szCs w:val="21"/>
          <w:highlight w:val="none"/>
        </w:rPr>
        <w:t>视为</w:t>
      </w:r>
      <w:r>
        <w:rPr>
          <w:rFonts w:hint="eastAsia" w:ascii="宋体" w:hAnsi="宋体" w:cs="宋体"/>
          <w:b/>
          <w:color w:val="auto"/>
          <w:sz w:val="21"/>
          <w:szCs w:val="21"/>
          <w:highlight w:val="none"/>
        </w:rPr>
        <w:t>投标文件含有采购人不能接受的附加条件的，投标无效。</w:t>
      </w:r>
    </w:p>
    <w:p>
      <w:pPr>
        <w:snapToGrid w:val="0"/>
        <w:spacing w:line="240" w:lineRule="auto"/>
        <w:ind w:firstLine="420" w:firstLineChars="200"/>
        <w:jc w:val="left"/>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240" w:lineRule="auto"/>
        <w:ind w:firstLine="420" w:firstLineChars="200"/>
        <w:jc w:val="left"/>
        <w:rPr>
          <w:rFonts w:hint="eastAsia" w:ascii="宋体" w:hAnsi="宋体" w:cs="宋体"/>
          <w:color w:val="auto"/>
          <w:kern w:val="0"/>
          <w:sz w:val="21"/>
          <w:szCs w:val="21"/>
          <w:highlight w:val="none"/>
          <w:lang w:val="zh-CN"/>
        </w:rPr>
      </w:pPr>
      <w:r>
        <w:rPr>
          <w:rFonts w:ascii="宋体" w:hAnsi="宋体" w:cs="宋体"/>
          <w:color w:val="auto"/>
          <w:kern w:val="0"/>
          <w:sz w:val="21"/>
          <w:szCs w:val="21"/>
          <w:highlight w:val="none"/>
          <w:lang w:val="zh-CN"/>
        </w:rPr>
        <w:t>4</w:t>
      </w:r>
      <w:r>
        <w:rPr>
          <w:rFonts w:hint="eastAsia" w:ascii="宋体" w:hAnsi="宋体" w:cs="宋体"/>
          <w:color w:val="auto"/>
          <w:kern w:val="0"/>
          <w:sz w:val="21"/>
          <w:szCs w:val="21"/>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240" w:lineRule="auto"/>
        <w:ind w:firstLine="42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1"/>
          <w:szCs w:val="21"/>
          <w:highlight w:val="none"/>
        </w:rPr>
        <w:t>5、项目负责人应与商务技术文件中一致</w:t>
      </w:r>
      <w:r>
        <w:rPr>
          <w:rFonts w:hint="eastAsia" w:ascii="宋体" w:hAnsi="宋体" w:cs="宋体"/>
          <w:color w:val="auto"/>
          <w:kern w:val="0"/>
          <w:sz w:val="21"/>
          <w:szCs w:val="21"/>
          <w:highlight w:val="none"/>
          <w:lang w:val="zh-CN"/>
        </w:rPr>
        <w:t>。</w:t>
      </w:r>
    </w:p>
    <w:p>
      <w:pPr>
        <w:pStyle w:val="39"/>
        <w:keepNext w:val="0"/>
        <w:pageBreakBefore w:val="0"/>
        <w:tabs>
          <w:tab w:val="clear" w:pos="720"/>
        </w:tabs>
        <w:snapToGrid w:val="0"/>
        <w:spacing w:before="120" w:after="120"/>
        <w:ind w:firstLine="0"/>
        <w:jc w:val="both"/>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pPr>
        <w:pStyle w:val="39"/>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pPr>
        <w:pStyle w:val="39"/>
        <w:keepNext w:val="0"/>
        <w:pageBreakBefore w:val="0"/>
        <w:tabs>
          <w:tab w:val="clear" w:pos="720"/>
        </w:tabs>
        <w:snapToGrid w:val="0"/>
        <w:spacing w:before="120" w:after="12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pPr>
        <w:pStyle w:val="3"/>
        <w:keepNext w:val="0"/>
        <w:keepLines w:val="0"/>
        <w:pageBreakBefore/>
        <w:widowControl/>
        <w:spacing w:before="100" w:beforeAutospacing="1" w:after="100" w:afterAutospacing="1" w:line="360" w:lineRule="auto"/>
        <w:ind w:left="0" w:firstLine="0" w:firstLineChars="0"/>
        <w:rPr>
          <w:rFonts w:hint="eastAsia" w:ascii="宋体" w:hAnsi="宋体" w:cs="宋体"/>
          <w:color w:val="auto"/>
          <w:highlight w:val="none"/>
        </w:rPr>
      </w:pPr>
      <w:bookmarkStart w:id="513" w:name="_Toc465665161"/>
      <w:r>
        <w:rPr>
          <w:rFonts w:hint="eastAsia" w:ascii="宋体" w:hAnsi="宋体" w:cs="宋体"/>
          <w:color w:val="auto"/>
          <w:highlight w:val="none"/>
        </w:rPr>
        <w:t>附件</w:t>
      </w:r>
      <w:bookmarkEnd w:id="513"/>
    </w:p>
    <w:p>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hint="eastAsia" w:ascii="宋体" w:hAnsi="宋体" w:cs="宋体"/>
          <w:b/>
          <w:color w:val="auto"/>
          <w:spacing w:val="6"/>
          <w:sz w:val="32"/>
          <w:szCs w:val="32"/>
          <w:highlight w:val="none"/>
        </w:rPr>
      </w:pPr>
      <w:bookmarkStart w:id="514" w:name="OLE_LINK14"/>
      <w:bookmarkStart w:id="515" w:name="OLE_LINK13"/>
      <w:r>
        <w:rPr>
          <w:rFonts w:hint="eastAsia" w:ascii="宋体" w:hAnsi="宋体" w:cs="宋体"/>
          <w:b/>
          <w:color w:val="auto"/>
          <w:spacing w:val="6"/>
          <w:sz w:val="32"/>
          <w:szCs w:val="32"/>
          <w:highlight w:val="none"/>
        </w:rPr>
        <w:t>残疾人福利性单位声明函</w:t>
      </w:r>
    </w:p>
    <w:bookmarkEnd w:id="514"/>
    <w:bookmarkEnd w:id="515"/>
    <w:p>
      <w:pPr>
        <w:spacing w:line="360" w:lineRule="auto"/>
        <w:rPr>
          <w:rFonts w:hint="eastAsia" w:ascii="宋体" w:hAnsi="宋体" w:cs="宋体"/>
          <w:b/>
          <w:color w:val="auto"/>
          <w:spacing w:val="6"/>
          <w:sz w:val="30"/>
          <w:szCs w:val="30"/>
          <w:highlight w:val="none"/>
        </w:rPr>
      </w:pP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hint="eastAsia" w:ascii="宋体" w:hAnsi="宋体" w:cs="宋体"/>
          <w:color w:val="auto"/>
          <w:sz w:val="24"/>
          <w:highlight w:val="none"/>
        </w:rPr>
      </w:pPr>
    </w:p>
    <w:p>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3600" w:firstLineChars="1500"/>
        <w:rPr>
          <w:rFonts w:hint="eastAsia"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480" w:firstLineChars="200"/>
        <w:rPr>
          <w:rFonts w:hint="eastAsia" w:ascii="宋体" w:hAnsi="宋体" w:cs="宋体"/>
          <w:color w:val="auto"/>
          <w:sz w:val="24"/>
          <w:highlight w:val="none"/>
        </w:rPr>
      </w:pPr>
    </w:p>
    <w:p>
      <w:pPr>
        <w:spacing w:line="360" w:lineRule="auto"/>
        <w:ind w:firstLine="420" w:firstLineChars="200"/>
        <w:rPr>
          <w:rFonts w:hint="eastAsia" w:ascii="宋体" w:hAnsi="宋体" w:cs="宋体"/>
          <w:color w:val="auto"/>
          <w:highlight w:val="none"/>
        </w:rPr>
      </w:pPr>
    </w:p>
    <w:p>
      <w:pPr>
        <w:spacing w:line="360" w:lineRule="auto"/>
        <w:ind w:firstLine="420" w:firstLineChars="200"/>
        <w:rPr>
          <w:rFonts w:hint="eastAsia" w:ascii="宋体" w:hAnsi="宋体" w:cs="宋体"/>
          <w:color w:val="auto"/>
          <w:highlight w:val="none"/>
        </w:rPr>
      </w:pPr>
    </w:p>
    <w:p>
      <w:pPr>
        <w:spacing w:line="360" w:lineRule="auto"/>
        <w:ind w:firstLine="420" w:firstLineChars="200"/>
        <w:rPr>
          <w:rFonts w:hint="eastAsia" w:ascii="宋体" w:hAnsi="宋体" w:cs="宋体"/>
          <w:color w:val="auto"/>
          <w:highlight w:val="none"/>
        </w:rPr>
      </w:pPr>
    </w:p>
    <w:p>
      <w:pPr>
        <w:spacing w:line="360" w:lineRule="auto"/>
        <w:ind w:firstLine="420" w:firstLineChars="200"/>
        <w:rPr>
          <w:rFonts w:hint="eastAsia" w:ascii="宋体" w:hAnsi="宋体" w:cs="宋体"/>
          <w:color w:val="auto"/>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hint="eastAsia" w:ascii="宋体" w:hAnsi="宋体" w:cs="宋体"/>
          <w:b/>
          <w:bCs/>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rPr>
          <w:rFonts w:hint="eastAsia" w:ascii="宋体" w:hAnsi="宋体" w:cs="宋体"/>
          <w:b/>
          <w:color w:val="auto"/>
          <w:sz w:val="24"/>
          <w:highlight w:val="none"/>
        </w:rPr>
      </w:pPr>
      <w:r>
        <w:rPr>
          <w:rFonts w:hint="eastAsia" w:ascii="宋体" w:hAnsi="宋体" w:cs="宋体"/>
          <w:b/>
          <w:color w:val="auto"/>
          <w:sz w:val="24"/>
          <w:highlight w:val="none"/>
        </w:rPr>
        <w:br w:type="page"/>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cs="宋体"/>
          <w:color w:val="auto"/>
          <w:sz w:val="30"/>
          <w:szCs w:val="30"/>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hint="eastAsia" w:ascii="宋体" w:hAnsi="宋体" w:cs="宋体"/>
          <w:b/>
          <w:color w:val="auto"/>
          <w:sz w:val="24"/>
          <w:highlight w:val="none"/>
        </w:rPr>
      </w:pPr>
    </w:p>
    <w:p>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采购人/代理机构于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autoSpaceDE/>
        <w:autoSpaceDN/>
        <w:jc w:val="left"/>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hint="eastAsia" w:ascii="宋体" w:hAnsi="宋体" w:cs="宋体"/>
          <w:color w:val="auto"/>
          <w:sz w:val="24"/>
          <w:highlight w:val="none"/>
          <w:u w:val="single"/>
        </w:rPr>
      </w:pP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浙江省杭州第七中学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浙江中际工程项目管理有限公司</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浙江省杭州第七中学转塘校区人工智能教育试点二期项目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HQZ-2025-</w:t>
      </w:r>
      <w:r>
        <w:rPr>
          <w:rFonts w:hint="eastAsia" w:ascii="宋体" w:hAnsi="宋体" w:cs="宋体"/>
          <w:color w:val="auto"/>
          <w:sz w:val="24"/>
          <w:highlight w:val="none"/>
          <w:lang w:val="en-US" w:eastAsia="zh-CN"/>
        </w:rPr>
        <w:t>005</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hint="eastAsia" w:ascii="宋体" w:hAnsi="宋体" w:cs="宋体"/>
          <w:color w:val="auto"/>
          <w:sz w:val="24"/>
          <w:highlight w:val="none"/>
        </w:rPr>
      </w:pPr>
    </w:p>
    <w:p>
      <w:pPr>
        <w:spacing w:line="360" w:lineRule="auto"/>
        <w:ind w:firstLine="0"/>
        <w:rPr>
          <w:rFonts w:hint="eastAsia" w:ascii="宋体" w:hAnsi="宋体" w:cs="宋体"/>
          <w:color w:val="auto"/>
          <w:sz w:val="24"/>
          <w:highlight w:val="none"/>
        </w:rPr>
      </w:pPr>
    </w:p>
    <w:p>
      <w:pPr>
        <w:spacing w:line="360" w:lineRule="auto"/>
        <w:ind w:firstLine="494"/>
        <w:rPr>
          <w:rFonts w:hint="eastAsia" w:ascii="宋体" w:hAnsi="宋体" w:cs="宋体"/>
          <w:color w:val="auto"/>
          <w:sz w:val="24"/>
          <w:highlight w:val="none"/>
        </w:rPr>
      </w:pPr>
    </w:p>
    <w:p>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hint="eastAsia" w:ascii="宋体" w:hAnsi="宋体" w:cs="宋体"/>
          <w:b/>
          <w:bCs/>
          <w:color w:val="auto"/>
          <w:sz w:val="24"/>
          <w:highlight w:val="none"/>
        </w:rPr>
      </w:pPr>
    </w:p>
    <w:p>
      <w:pPr>
        <w:rPr>
          <w:rFonts w:hint="eastAsia" w:ascii="宋体" w:hAnsi="宋体" w:cs="宋体"/>
          <w:b/>
          <w:bCs/>
          <w:color w:val="auto"/>
          <w:sz w:val="24"/>
          <w:highlight w:val="none"/>
        </w:rPr>
      </w:pPr>
    </w:p>
    <w:p>
      <w:pPr>
        <w:rPr>
          <w:rFonts w:hint="eastAsia"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0" distR="0" simplePos="0" relativeHeight="25166438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045"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209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&#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HP+MHYAAAACgEAAA8AAAAAAAAAAQAgAAAAIgAAAGRy&#10;cy9kb3ducmV2LnhtbFBLAQIUABQAAAAIAIdO4kCNv3ZSzAEAAMYDAAAOAAAAAAAAAAEAIAAAACcB&#10;AABkcnMvZTJvRG9jLnhtbFBLBQYAAAAABgAGAFkBAABlBQAAAAA=&#10;">
                <v:fill on="t" focussize="0,0"/>
                <v:stroke color="#000000"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0" distR="0" simplePos="0" relativeHeight="25166540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1046"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107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07BY2AAAAAoBAAAPAAAAAAAAAAEAIAAAACIAAABk&#10;cnMvZG93bnJldi54bWxQSwECFAAUAAAACACHTuJAmEwR3c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both"/>
        <w:rPr>
          <w:rFonts w:hint="eastAsia"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24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24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浙江省杭州第七中学转塘校区人工智能教育试点二期项目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HQZ-2025-</w:t>
      </w:r>
      <w:r>
        <w:rPr>
          <w:rFonts w:hint="eastAsia" w:ascii="宋体" w:hAnsi="宋体" w:cs="宋体"/>
          <w:color w:val="auto"/>
          <w:sz w:val="24"/>
          <w:highlight w:val="none"/>
          <w:lang w:val="en-US" w:eastAsia="zh-CN"/>
        </w:rPr>
        <w:t>005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24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24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24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24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24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24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24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24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6"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6"/>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7"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w:t>
      </w:r>
      <w:r>
        <w:rPr>
          <w:rFonts w:hint="eastAsia" w:ascii="宋体" w:hAnsi="宋体" w:cs="宋体"/>
          <w:b/>
          <w:color w:val="auto"/>
          <w:kern w:val="0"/>
          <w:sz w:val="24"/>
          <w:highlight w:val="none"/>
        </w:rPr>
        <w:t>前附表</w:t>
      </w:r>
      <w:r>
        <w:rPr>
          <w:rFonts w:hint="eastAsia" w:ascii="宋体" w:hAnsi="宋体" w:cs="宋体"/>
          <w:b/>
          <w:color w:val="auto"/>
          <w:kern w:val="0"/>
          <w:sz w:val="24"/>
          <w:highlight w:val="none"/>
          <w:lang w:val="zh-CN"/>
        </w:rPr>
        <w:t>确定的比例给予扣除。供应商</w:t>
      </w:r>
      <w:r>
        <w:rPr>
          <w:rFonts w:hint="eastAsia" w:ascii="宋体" w:hAnsi="宋体" w:cs="宋体"/>
          <w:b/>
          <w:color w:val="auto"/>
          <w:sz w:val="24"/>
          <w:highlight w:val="none"/>
        </w:rPr>
        <w:t>拟享受以上价格扣除政策的，填写有关内容。</w:t>
      </w:r>
      <w:bookmarkEnd w:id="517"/>
      <w:r>
        <w:rPr>
          <w:rFonts w:hint="eastAsia" w:ascii="宋体" w:hAnsi="宋体" w:cs="宋体"/>
          <w:b/>
          <w:color w:val="auto"/>
          <w:kern w:val="0"/>
          <w:sz w:val="24"/>
          <w:highlight w:val="none"/>
          <w:lang w:val="zh-CN"/>
        </w:rPr>
        <w:t>）</w:t>
      </w:r>
    </w:p>
    <w:p>
      <w:pPr>
        <w:spacing w:line="24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51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8"/>
    </w:p>
    <w:p>
      <w:pPr>
        <w:snapToGrid w:val="0"/>
        <w:spacing w:line="24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24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24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1、联合体各方不再单独参加或者与其他供应商另外组成联合体参加同一合同项下的采购活动。</w:t>
      </w:r>
    </w:p>
    <w:p>
      <w:pPr>
        <w:snapToGrid w:val="0"/>
        <w:spacing w:line="24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24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240" w:lineRule="auto"/>
        <w:ind w:firstLine="0" w:firstLineChars="0"/>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240" w:lineRule="auto"/>
        <w:ind w:firstLine="0" w:firstLineChars="0"/>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24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240" w:lineRule="auto"/>
        <w:ind w:firstLine="0" w:firstLineChars="0"/>
        <w:jc w:val="right"/>
        <w:rPr>
          <w:rFonts w:hint="eastAsia" w:ascii="宋体" w:hAnsi="宋体" w:cs="宋体"/>
          <w:color w:val="auto"/>
          <w:kern w:val="0"/>
          <w:sz w:val="24"/>
          <w:highlight w:val="none"/>
          <w:lang w:val="zh-CN"/>
        </w:rPr>
      </w:pPr>
    </w:p>
    <w:p>
      <w:pPr>
        <w:snapToGrid w:val="0"/>
        <w:spacing w:line="24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240" w:lineRule="auto"/>
        <w:ind w:right="420"/>
        <w:rPr>
          <w:rFonts w:hint="eastAsia" w:ascii="宋体" w:hAnsi="宋体" w:cs="宋体"/>
          <w:b/>
          <w:color w:val="auto"/>
          <w:spacing w:val="6"/>
          <w:sz w:val="32"/>
          <w:szCs w:val="32"/>
          <w:highlight w:val="none"/>
        </w:rPr>
      </w:pPr>
      <w:r>
        <w:rPr>
          <w:rFonts w:hint="eastAsia" w:ascii="宋体" w:hAnsi="宋体" w:cs="宋体"/>
          <w:color w:val="auto"/>
          <w:sz w:val="24"/>
          <w:highlight w:val="none"/>
        </w:rPr>
        <w:t>注：按本格式和要求提供。</w:t>
      </w:r>
    </w:p>
    <w:p>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288"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浙江省杭州第七中学转塘校区人工智能教育试点二期项目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HQZ-2025-</w:t>
      </w:r>
      <w:r>
        <w:rPr>
          <w:rFonts w:hint="eastAsia" w:ascii="宋体" w:hAnsi="宋体" w:cs="宋体"/>
          <w:color w:val="auto"/>
          <w:sz w:val="24"/>
          <w:highlight w:val="none"/>
          <w:lang w:val="en-US" w:eastAsia="zh-CN"/>
        </w:rPr>
        <w:t>005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4"/>
        <w:spacing w:line="288" w:lineRule="auto"/>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pacing w:line="288"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288"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w:t>
      </w:r>
      <w:r>
        <w:rPr>
          <w:rFonts w:hint="eastAsia" w:ascii="宋体" w:hAnsi="宋体" w:cs="宋体"/>
          <w:b/>
          <w:color w:val="auto"/>
          <w:kern w:val="0"/>
          <w:sz w:val="24"/>
          <w:highlight w:val="none"/>
        </w:rPr>
        <w:t>前附表</w:t>
      </w:r>
      <w:r>
        <w:rPr>
          <w:rFonts w:hint="eastAsia" w:ascii="宋体" w:hAnsi="宋体" w:cs="宋体"/>
          <w:b/>
          <w:color w:val="auto"/>
          <w:kern w:val="0"/>
          <w:sz w:val="24"/>
          <w:highlight w:val="none"/>
          <w:lang w:val="zh-CN"/>
        </w:rPr>
        <w:t>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288"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288"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288"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288"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288" w:lineRule="auto"/>
        <w:ind w:left="5758" w:leftChars="342" w:hanging="5040" w:hangingChars="2100"/>
        <w:jc w:val="left"/>
        <w:rPr>
          <w:rFonts w:hint="eastAsia"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pPr>
        <w:snapToGrid w:val="0"/>
        <w:spacing w:line="288" w:lineRule="auto"/>
        <w:ind w:left="5758" w:leftChars="342" w:hanging="5040" w:hangingChars="210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投标人名称(电子签名)：</w:t>
      </w:r>
    </w:p>
    <w:p>
      <w:pPr>
        <w:snapToGrid w:val="0"/>
        <w:spacing w:line="288"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288" w:lineRule="auto"/>
        <w:jc w:val="center"/>
        <w:rPr>
          <w:rFonts w:hint="eastAsia" w:ascii="宋体" w:hAnsi="宋体" w:cs="宋体"/>
          <w:color w:val="auto"/>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w:t>
      </w:r>
    </w:p>
    <w:p>
      <w:pPr>
        <w:spacing w:line="288"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autoSpaceDN/>
        <w:spacing w:line="288" w:lineRule="auto"/>
        <w:jc w:val="center"/>
        <w:rPr>
          <w:rFonts w:hint="eastAsia" w:ascii="宋体" w:hAnsi="宋体"/>
          <w:b/>
          <w:color w:val="auto"/>
          <w:sz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b/>
          <w:color w:val="auto"/>
          <w:sz w:val="32"/>
          <w:highlight w:val="none"/>
        </w:rPr>
        <w:t>中小企业声明函（货物）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pPr>
        <w:rPr>
          <w:color w:val="auto"/>
          <w:highlight w:val="none"/>
        </w:rPr>
      </w:pPr>
    </w:p>
    <w:bookmarkEnd w:id="519"/>
    <w:sectPr>
      <w:headerReference r:id="rId22" w:type="default"/>
      <w:footerReference r:id="rId23" w:type="default"/>
      <w:pgSz w:w="11906" w:h="16838"/>
      <w:pgMar w:top="1440" w:right="1803" w:bottom="1440" w:left="1803" w:header="851" w:footer="992" w:gutter="0"/>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64</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64</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68</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68</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20"/>
      </w:rPr>
    </w:pPr>
    <w:r>
      <w:fldChar w:fldCharType="begin"/>
    </w:r>
    <w:r>
      <w:rPr>
        <w:rStyle w:val="20"/>
      </w:rPr>
      <w:instrText xml:space="preserve">PAGE  </w:instrTex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24</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24</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39</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39</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38</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38</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58</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58</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57</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57</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66</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66</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6" w:space="4"/>
      </w:pBdr>
      <w:jc w:val="right"/>
    </w:pPr>
    <w:r>
      <w:t></w:t>
    </w:r>
    <w:r>
      <w:rPr>
        <w:rFonts w:hint="eastAsia"/>
      </w:rPr>
      <w:t xml:space="preserve">      </w:t>
    </w:r>
    <w:r>
      <w:rPr>
        <w:rFonts w:hint="eastAsia"/>
        <w:lang w:eastAsia="zh-CN"/>
      </w:rPr>
      <w:t>浙江中际工程项目管理有限公司</w:t>
    </w:r>
    <w:r>
      <w:rPr>
        <w:rFonts w:hint="eastAsia"/>
      </w:rPr>
      <w:t>公开招标文件</w:t>
    </w:r>
  </w:p>
  <w:p>
    <w:pPr>
      <w:pStyle w:val="15"/>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仿宋_GB2312"/>
        <w:b/>
        <w:i/>
        <w:iCs/>
        <w:u w:val="single"/>
      </w:rPr>
    </w:pPr>
    <w:r>
      <w:t></w:t>
    </w:r>
    <w:r>
      <w:rPr>
        <w:rFonts w:hint="eastAsia"/>
        <w:lang w:eastAsia="zh-CN"/>
      </w:rPr>
      <w:t>浙江中际工程项目管理有限公司</w:t>
    </w: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rPr>
        <w:rFonts w:hint="eastAsia"/>
        <w:lang w:val="zh-CN" w:eastAsia="zh-CN"/>
      </w:rPr>
      <w:t>浙江中际工程项目管理有限公司</w:t>
    </w:r>
    <w:r>
      <w:rPr>
        <w:rFonts w:hint="eastAsia"/>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w:rPr>
        <w:rFonts w:hint="eastAsia"/>
        <w:lang w:val="en-US" w:eastAsia="zh-CN"/>
      </w:rPr>
      <w:t xml:space="preserve">                                                     </w:t>
    </w:r>
    <w:r>
      <w:rPr>
        <w:rFonts w:hint="eastAsia"/>
        <w:lang w:eastAsia="zh-CN"/>
      </w:rPr>
      <w:t>浙江中际工程项目管理有限公司</w:t>
    </w:r>
    <w:r>
      <w:rPr>
        <w:rFonts w:hint="eastAsia"/>
      </w:rP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仿宋_GB2312"/>
        <w:b/>
        <w:i/>
        <w:u w:val="single"/>
      </w:rPr>
    </w:pPr>
    <w:r>
      <w:t></w:t>
    </w:r>
    <w:r>
      <w:rPr>
        <w:rFonts w:hint="eastAsia"/>
      </w:rPr>
      <w:t xml:space="preserve">                                                  </w:t>
    </w:r>
    <w:r>
      <w:t xml:space="preserve">    </w:t>
    </w:r>
    <w:r>
      <w:rPr>
        <w:rFonts w:hint="eastAsia"/>
        <w:lang w:eastAsia="zh-CN"/>
      </w:rPr>
      <w:t>浙江中际工程项目管理有限公司</w:t>
    </w:r>
    <w:r>
      <w:rPr>
        <w:rFonts w:hint="eastAsia"/>
      </w:rPr>
      <w:t>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t></w:t>
    </w:r>
    <w:r>
      <w:rPr>
        <w:rFonts w:hint="eastAsia"/>
      </w:rPr>
      <w:t xml:space="preserve">         </w:t>
    </w:r>
  </w:p>
  <w:p>
    <w:pPr>
      <w:pStyle w:val="12"/>
    </w:pPr>
    <w:r>
      <w:rPr>
        <w:rFonts w:hint="eastAsia"/>
      </w:rPr>
      <w:t xml:space="preserve">                                                          </w:t>
    </w:r>
    <w:r>
      <w:rPr>
        <w:rFonts w:hint="eastAsia"/>
        <w:lang w:eastAsia="zh-CN"/>
      </w:rPr>
      <w:t>浙江中际工程项目管理有限公司</w:t>
    </w:r>
    <w:r>
      <w:rPr>
        <w:rFonts w:hint="eastAsia"/>
      </w:rP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仿宋_GB2312"/>
        <w:b/>
        <w:i/>
        <w:u w:val="single"/>
      </w:rPr>
    </w:pPr>
    <w:r>
      <w:t></w:t>
    </w:r>
    <w:r>
      <w:rPr>
        <w:rFonts w:hint="eastAsia"/>
      </w:rPr>
      <w:t xml:space="preserve">                                        </w:t>
    </w:r>
    <w:r>
      <w:rPr>
        <w:rFonts w:hint="eastAsia"/>
        <w:lang w:eastAsia="zh-CN"/>
      </w:rPr>
      <w:t>浙江中际工程项目管理有限公司</w:t>
    </w:r>
    <w:r>
      <w:rPr>
        <w:rFonts w:hint="eastAsia"/>
      </w:rPr>
      <w:t>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t></w:t>
    </w:r>
    <w:r>
      <w:rPr>
        <w:rFonts w:hint="eastAsia"/>
      </w:rPr>
      <w:t xml:space="preserve">                 </w:t>
    </w:r>
    <w:r>
      <w:t xml:space="preserve">                                </w:t>
    </w:r>
    <w:r>
      <w:rPr>
        <w:rFonts w:hint="eastAsia"/>
      </w:rPr>
      <w:t xml:space="preserve">         </w:t>
    </w:r>
    <w:r>
      <w:rPr>
        <w:rFonts w:hint="eastAsia"/>
        <w:lang w:eastAsia="zh-CN"/>
      </w:rPr>
      <w:t>浙江中际工程项目管理有限公司</w:t>
    </w:r>
    <w:r>
      <w:rPr>
        <w:rFonts w:hint="eastAsia"/>
      </w:rPr>
      <w:t>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仿宋_GB2312"/>
        <w:b/>
        <w:i/>
        <w:u w:val="single"/>
      </w:rPr>
    </w:pPr>
    <w:r>
      <w:rPr>
        <w:rFonts w:hint="eastAsia"/>
      </w:rPr>
      <w:t xml:space="preserve">                                 </w:t>
    </w:r>
    <w:r>
      <w:rPr>
        <w:rFonts w:hint="eastAsia"/>
        <w:lang w:eastAsia="zh-CN"/>
      </w:rPr>
      <w:t>浙江中际工程项目管理有限公司</w:t>
    </w:r>
    <w:r>
      <w:rPr>
        <w:rFonts w:hint="eastAsia"/>
      </w:rPr>
      <w:t>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rPr>
        <w:rFonts w:hint="eastAsia"/>
      </w:rPr>
      <w:t xml:space="preserve">                                                                                                        </w:t>
    </w:r>
    <w:r>
      <w:rPr>
        <w:rFonts w:hint="eastAsia"/>
        <w:lang w:eastAsia="zh-CN"/>
      </w:rPr>
      <w:t>浙江中际工程项目管理有限公司</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BACD4"/>
    <w:multiLevelType w:val="singleLevel"/>
    <w:tmpl w:val="891BACD4"/>
    <w:lvl w:ilvl="0" w:tentative="0">
      <w:start w:val="1"/>
      <w:numFmt w:val="decimal"/>
      <w:suff w:val="nothing"/>
      <w:lvlText w:val="%1、"/>
      <w:lvlJc w:val="left"/>
    </w:lvl>
  </w:abstractNum>
  <w:abstractNum w:abstractNumId="1">
    <w:nsid w:val="8A54A119"/>
    <w:multiLevelType w:val="singleLevel"/>
    <w:tmpl w:val="8A54A119"/>
    <w:lvl w:ilvl="0" w:tentative="0">
      <w:start w:val="1"/>
      <w:numFmt w:val="decimal"/>
      <w:suff w:val="nothing"/>
      <w:lvlText w:val="%1、"/>
      <w:lvlJc w:val="left"/>
    </w:lvl>
  </w:abstractNum>
  <w:abstractNum w:abstractNumId="2">
    <w:nsid w:val="B4ECF861"/>
    <w:multiLevelType w:val="singleLevel"/>
    <w:tmpl w:val="B4ECF861"/>
    <w:lvl w:ilvl="0" w:tentative="0">
      <w:start w:val="1"/>
      <w:numFmt w:val="decimal"/>
      <w:suff w:val="nothing"/>
      <w:lvlText w:val="%1、"/>
      <w:lvlJc w:val="left"/>
    </w:lvl>
  </w:abstractNum>
  <w:abstractNum w:abstractNumId="3">
    <w:nsid w:val="C679BC72"/>
    <w:multiLevelType w:val="singleLevel"/>
    <w:tmpl w:val="C679BC72"/>
    <w:lvl w:ilvl="0" w:tentative="0">
      <w:start w:val="1"/>
      <w:numFmt w:val="decimal"/>
      <w:suff w:val="nothing"/>
      <w:lvlText w:val="%1、"/>
      <w:lvlJc w:val="left"/>
    </w:lvl>
  </w:abstractNum>
  <w:abstractNum w:abstractNumId="4">
    <w:nsid w:val="C6BA1FC0"/>
    <w:multiLevelType w:val="singleLevel"/>
    <w:tmpl w:val="C6BA1FC0"/>
    <w:lvl w:ilvl="0" w:tentative="0">
      <w:start w:val="1"/>
      <w:numFmt w:val="decimal"/>
      <w:suff w:val="nothing"/>
      <w:lvlText w:val="%1、"/>
      <w:lvlJc w:val="left"/>
    </w:lvl>
  </w:abstractNum>
  <w:abstractNum w:abstractNumId="5">
    <w:nsid w:val="D6390654"/>
    <w:multiLevelType w:val="singleLevel"/>
    <w:tmpl w:val="D6390654"/>
    <w:lvl w:ilvl="0" w:tentative="0">
      <w:start w:val="3"/>
      <w:numFmt w:val="decimal"/>
      <w:lvlText w:val="%1."/>
      <w:lvlJc w:val="left"/>
      <w:pPr>
        <w:tabs>
          <w:tab w:val="left" w:pos="312"/>
        </w:tabs>
      </w:pPr>
    </w:lvl>
  </w:abstractNum>
  <w:abstractNum w:abstractNumId="6">
    <w:nsid w:val="00000004"/>
    <w:multiLevelType w:val="singleLevel"/>
    <w:tmpl w:val="00000004"/>
    <w:lvl w:ilvl="0" w:tentative="0">
      <w:start w:val="1"/>
      <w:numFmt w:val="decimal"/>
      <w:suff w:val="nothing"/>
      <w:lvlText w:val="%1）"/>
      <w:lvlJc w:val="left"/>
    </w:lvl>
  </w:abstractNum>
  <w:abstractNum w:abstractNumId="7">
    <w:nsid w:val="1E85981C"/>
    <w:multiLevelType w:val="singleLevel"/>
    <w:tmpl w:val="1E85981C"/>
    <w:lvl w:ilvl="0" w:tentative="0">
      <w:start w:val="1"/>
      <w:numFmt w:val="chineseCounting"/>
      <w:suff w:val="nothing"/>
      <w:lvlText w:val="%1、"/>
      <w:lvlJc w:val="left"/>
      <w:pPr>
        <w:ind w:left="0" w:firstLine="420"/>
      </w:pPr>
      <w:rPr>
        <w:rFonts w:hint="eastAsia"/>
      </w:rPr>
    </w:lvl>
  </w:abstractNum>
  <w:abstractNum w:abstractNumId="8">
    <w:nsid w:val="2036B20A"/>
    <w:multiLevelType w:val="singleLevel"/>
    <w:tmpl w:val="2036B20A"/>
    <w:lvl w:ilvl="0" w:tentative="0">
      <w:start w:val="1"/>
      <w:numFmt w:val="decimal"/>
      <w:suff w:val="nothing"/>
      <w:lvlText w:val="%1、"/>
      <w:lvlJc w:val="left"/>
    </w:lvl>
  </w:abstractNum>
  <w:abstractNum w:abstractNumId="9">
    <w:nsid w:val="24DB1F0A"/>
    <w:multiLevelType w:val="singleLevel"/>
    <w:tmpl w:val="24DB1F0A"/>
    <w:lvl w:ilvl="0" w:tentative="0">
      <w:start w:val="1"/>
      <w:numFmt w:val="decimal"/>
      <w:suff w:val="nothing"/>
      <w:lvlText w:val="%1、"/>
      <w:lvlJc w:val="left"/>
    </w:lvl>
  </w:abstractNum>
  <w:abstractNum w:abstractNumId="10">
    <w:nsid w:val="264C2A15"/>
    <w:multiLevelType w:val="singleLevel"/>
    <w:tmpl w:val="264C2A15"/>
    <w:lvl w:ilvl="0" w:tentative="0">
      <w:start w:val="1"/>
      <w:numFmt w:val="chineseCounting"/>
      <w:suff w:val="nothing"/>
      <w:lvlText w:val="%1、"/>
      <w:lvlJc w:val="left"/>
      <w:pPr>
        <w:ind w:left="0" w:firstLine="420"/>
      </w:pPr>
      <w:rPr>
        <w:rFonts w:hint="eastAsia"/>
      </w:rPr>
    </w:lvl>
  </w:abstractNum>
  <w:abstractNum w:abstractNumId="11">
    <w:nsid w:val="2BA043B9"/>
    <w:multiLevelType w:val="singleLevel"/>
    <w:tmpl w:val="2BA043B9"/>
    <w:lvl w:ilvl="0" w:tentative="0">
      <w:start w:val="1"/>
      <w:numFmt w:val="chineseCounting"/>
      <w:suff w:val="nothing"/>
      <w:lvlText w:val="%1、"/>
      <w:lvlJc w:val="left"/>
      <w:pPr>
        <w:ind w:left="0" w:firstLine="420"/>
      </w:pPr>
      <w:rPr>
        <w:rFonts w:hint="eastAsia"/>
      </w:rPr>
    </w:lvl>
  </w:abstractNum>
  <w:abstractNum w:abstractNumId="12">
    <w:nsid w:val="31DE9B29"/>
    <w:multiLevelType w:val="singleLevel"/>
    <w:tmpl w:val="31DE9B29"/>
    <w:lvl w:ilvl="0" w:tentative="0">
      <w:start w:val="1"/>
      <w:numFmt w:val="decimal"/>
      <w:lvlText w:val="%1"/>
      <w:lvlJc w:val="center"/>
      <w:pPr>
        <w:tabs>
          <w:tab w:val="left" w:pos="204"/>
        </w:tabs>
        <w:ind w:left="0" w:firstLine="203"/>
      </w:pPr>
      <w:rPr>
        <w:rFonts w:hint="default"/>
      </w:rPr>
    </w:lvl>
  </w:abstractNum>
  <w:abstractNum w:abstractNumId="13">
    <w:nsid w:val="44CB6C70"/>
    <w:multiLevelType w:val="singleLevel"/>
    <w:tmpl w:val="44CB6C70"/>
    <w:lvl w:ilvl="0" w:tentative="0">
      <w:start w:val="3"/>
      <w:numFmt w:val="decimal"/>
      <w:lvlText w:val="%1."/>
      <w:lvlJc w:val="left"/>
      <w:pPr>
        <w:tabs>
          <w:tab w:val="left" w:pos="312"/>
        </w:tabs>
      </w:pPr>
    </w:lvl>
  </w:abstractNum>
  <w:abstractNum w:abstractNumId="14">
    <w:nsid w:val="48B65AD5"/>
    <w:multiLevelType w:val="singleLevel"/>
    <w:tmpl w:val="48B65AD5"/>
    <w:lvl w:ilvl="0" w:tentative="0">
      <w:start w:val="1"/>
      <w:numFmt w:val="decimal"/>
      <w:suff w:val="nothing"/>
      <w:lvlText w:val="%1、"/>
      <w:lvlJc w:val="left"/>
    </w:lvl>
  </w:abstractNum>
  <w:abstractNum w:abstractNumId="15">
    <w:nsid w:val="54E8F7D0"/>
    <w:multiLevelType w:val="singleLevel"/>
    <w:tmpl w:val="54E8F7D0"/>
    <w:lvl w:ilvl="0" w:tentative="0">
      <w:start w:val="1"/>
      <w:numFmt w:val="decimal"/>
      <w:suff w:val="nothing"/>
      <w:lvlText w:val="%1、"/>
      <w:lvlJc w:val="left"/>
    </w:lvl>
  </w:abstractNum>
  <w:abstractNum w:abstractNumId="16">
    <w:nsid w:val="5C110D55"/>
    <w:multiLevelType w:val="singleLevel"/>
    <w:tmpl w:val="5C110D55"/>
    <w:lvl w:ilvl="0" w:tentative="0">
      <w:start w:val="1"/>
      <w:numFmt w:val="decimal"/>
      <w:suff w:val="nothing"/>
      <w:lvlText w:val="%1、"/>
      <w:lvlJc w:val="left"/>
    </w:lvl>
  </w:abstractNum>
  <w:num w:numId="1">
    <w:abstractNumId w:val="13"/>
  </w:num>
  <w:num w:numId="2">
    <w:abstractNumId w:val="5"/>
  </w:num>
  <w:num w:numId="3">
    <w:abstractNumId w:val="12"/>
  </w:num>
  <w:num w:numId="4">
    <w:abstractNumId w:val="16"/>
  </w:num>
  <w:num w:numId="5">
    <w:abstractNumId w:val="8"/>
  </w:num>
  <w:num w:numId="6">
    <w:abstractNumId w:val="1"/>
  </w:num>
  <w:num w:numId="7">
    <w:abstractNumId w:val="9"/>
  </w:num>
  <w:num w:numId="8">
    <w:abstractNumId w:val="0"/>
  </w:num>
  <w:num w:numId="9">
    <w:abstractNumId w:val="14"/>
  </w:num>
  <w:num w:numId="10">
    <w:abstractNumId w:val="3"/>
  </w:num>
  <w:num w:numId="11">
    <w:abstractNumId w:val="2"/>
  </w:num>
  <w:num w:numId="12">
    <w:abstractNumId w:val="4"/>
  </w:num>
  <w:num w:numId="13">
    <w:abstractNumId w:val="15"/>
  </w:num>
  <w:num w:numId="14">
    <w:abstractNumId w:val="6"/>
  </w:num>
  <w:num w:numId="15">
    <w:abstractNumId w:val="10"/>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wODBiZDlhNTNhYWIxZTNhZDRhNDExODQ4MjM5OGMifQ=="/>
    <w:docVar w:name="KSO_WPS_MARK_KEY" w:val="6da6bb56-7df6-4e9a-af67-224e419c7c6d"/>
  </w:docVars>
  <w:rsids>
    <w:rsidRoot w:val="6F0B5468"/>
    <w:rsid w:val="00113833"/>
    <w:rsid w:val="00134844"/>
    <w:rsid w:val="00190D4E"/>
    <w:rsid w:val="00193D61"/>
    <w:rsid w:val="001A0A68"/>
    <w:rsid w:val="001F613F"/>
    <w:rsid w:val="00235A05"/>
    <w:rsid w:val="002920CE"/>
    <w:rsid w:val="003617D7"/>
    <w:rsid w:val="00370DEC"/>
    <w:rsid w:val="004441F7"/>
    <w:rsid w:val="0044606B"/>
    <w:rsid w:val="00472FBF"/>
    <w:rsid w:val="004E708F"/>
    <w:rsid w:val="004F056A"/>
    <w:rsid w:val="0056224C"/>
    <w:rsid w:val="005859FF"/>
    <w:rsid w:val="005A7318"/>
    <w:rsid w:val="00710CA5"/>
    <w:rsid w:val="007E35CB"/>
    <w:rsid w:val="0082249A"/>
    <w:rsid w:val="00914494"/>
    <w:rsid w:val="00945AD6"/>
    <w:rsid w:val="00B4383E"/>
    <w:rsid w:val="00B45118"/>
    <w:rsid w:val="00B46232"/>
    <w:rsid w:val="00B80CC6"/>
    <w:rsid w:val="00BA31AA"/>
    <w:rsid w:val="00C303F8"/>
    <w:rsid w:val="00C46B04"/>
    <w:rsid w:val="00C565C3"/>
    <w:rsid w:val="00C574C2"/>
    <w:rsid w:val="00D863DB"/>
    <w:rsid w:val="00D93347"/>
    <w:rsid w:val="00E86715"/>
    <w:rsid w:val="00E9123D"/>
    <w:rsid w:val="00EA2A32"/>
    <w:rsid w:val="00FA6C7B"/>
    <w:rsid w:val="00FD1D85"/>
    <w:rsid w:val="01550A4C"/>
    <w:rsid w:val="01A7022B"/>
    <w:rsid w:val="01BB1A8C"/>
    <w:rsid w:val="01C112A2"/>
    <w:rsid w:val="01CC5EE4"/>
    <w:rsid w:val="023B13D2"/>
    <w:rsid w:val="023C4482"/>
    <w:rsid w:val="024119BF"/>
    <w:rsid w:val="025F7AF4"/>
    <w:rsid w:val="02DA6FE9"/>
    <w:rsid w:val="02FE0280"/>
    <w:rsid w:val="04051239"/>
    <w:rsid w:val="045331DC"/>
    <w:rsid w:val="04995B68"/>
    <w:rsid w:val="04D25727"/>
    <w:rsid w:val="04E86B91"/>
    <w:rsid w:val="05582DA3"/>
    <w:rsid w:val="05586526"/>
    <w:rsid w:val="05993309"/>
    <w:rsid w:val="059A406C"/>
    <w:rsid w:val="059F2ABC"/>
    <w:rsid w:val="05F72770"/>
    <w:rsid w:val="05FF04F0"/>
    <w:rsid w:val="061E22CB"/>
    <w:rsid w:val="064E1F37"/>
    <w:rsid w:val="06F7130D"/>
    <w:rsid w:val="071115D9"/>
    <w:rsid w:val="07177C01"/>
    <w:rsid w:val="071C2558"/>
    <w:rsid w:val="073C02AB"/>
    <w:rsid w:val="08033CE1"/>
    <w:rsid w:val="0879548F"/>
    <w:rsid w:val="08802820"/>
    <w:rsid w:val="08860018"/>
    <w:rsid w:val="08AA1A9F"/>
    <w:rsid w:val="08B40DD4"/>
    <w:rsid w:val="08DB3D05"/>
    <w:rsid w:val="09700D6D"/>
    <w:rsid w:val="09E46528"/>
    <w:rsid w:val="09E663FF"/>
    <w:rsid w:val="0A151BBE"/>
    <w:rsid w:val="0A73070F"/>
    <w:rsid w:val="0A762860"/>
    <w:rsid w:val="0A946387"/>
    <w:rsid w:val="0B1D5D60"/>
    <w:rsid w:val="0B445062"/>
    <w:rsid w:val="0B9C60FD"/>
    <w:rsid w:val="0BAF6F1B"/>
    <w:rsid w:val="0C14456A"/>
    <w:rsid w:val="0C1E0C7D"/>
    <w:rsid w:val="0C3A6017"/>
    <w:rsid w:val="0C647F7C"/>
    <w:rsid w:val="0CB96FC9"/>
    <w:rsid w:val="0CD075A6"/>
    <w:rsid w:val="0CF307C8"/>
    <w:rsid w:val="0D2E7A52"/>
    <w:rsid w:val="0D4542A8"/>
    <w:rsid w:val="0D533015"/>
    <w:rsid w:val="0DBE2B84"/>
    <w:rsid w:val="0DBE3F58"/>
    <w:rsid w:val="0DD96299"/>
    <w:rsid w:val="0DF9431B"/>
    <w:rsid w:val="0E3D0227"/>
    <w:rsid w:val="0E906705"/>
    <w:rsid w:val="0E930AE3"/>
    <w:rsid w:val="0EE409F0"/>
    <w:rsid w:val="0F1128D2"/>
    <w:rsid w:val="0F3E7FEF"/>
    <w:rsid w:val="0FA518C7"/>
    <w:rsid w:val="0FE73891"/>
    <w:rsid w:val="1077526D"/>
    <w:rsid w:val="107C6D44"/>
    <w:rsid w:val="109828BB"/>
    <w:rsid w:val="10B704EB"/>
    <w:rsid w:val="10B96A6B"/>
    <w:rsid w:val="10C377C2"/>
    <w:rsid w:val="112051D6"/>
    <w:rsid w:val="117162D7"/>
    <w:rsid w:val="12057DA5"/>
    <w:rsid w:val="12932477"/>
    <w:rsid w:val="12C30BED"/>
    <w:rsid w:val="1393060F"/>
    <w:rsid w:val="13A85431"/>
    <w:rsid w:val="13B15AB2"/>
    <w:rsid w:val="13D937D5"/>
    <w:rsid w:val="1410454B"/>
    <w:rsid w:val="141D3B70"/>
    <w:rsid w:val="14372491"/>
    <w:rsid w:val="144E2788"/>
    <w:rsid w:val="15150099"/>
    <w:rsid w:val="15231C08"/>
    <w:rsid w:val="152446DB"/>
    <w:rsid w:val="1564469E"/>
    <w:rsid w:val="156E0E66"/>
    <w:rsid w:val="15BF370C"/>
    <w:rsid w:val="15C375BB"/>
    <w:rsid w:val="15E46A1F"/>
    <w:rsid w:val="186143F9"/>
    <w:rsid w:val="18D04EED"/>
    <w:rsid w:val="193C34F7"/>
    <w:rsid w:val="194D1938"/>
    <w:rsid w:val="19503C3D"/>
    <w:rsid w:val="19956E5A"/>
    <w:rsid w:val="1A03632C"/>
    <w:rsid w:val="1A575468"/>
    <w:rsid w:val="1A59109B"/>
    <w:rsid w:val="1AA45716"/>
    <w:rsid w:val="1AEA2B8A"/>
    <w:rsid w:val="1B564CF9"/>
    <w:rsid w:val="1B7B0307"/>
    <w:rsid w:val="1B80217C"/>
    <w:rsid w:val="1B985E6F"/>
    <w:rsid w:val="1C0B1DD9"/>
    <w:rsid w:val="1C0B465B"/>
    <w:rsid w:val="1C545906"/>
    <w:rsid w:val="1C625190"/>
    <w:rsid w:val="1C8B1A0F"/>
    <w:rsid w:val="1CD21D69"/>
    <w:rsid w:val="1D014845"/>
    <w:rsid w:val="1DB346AC"/>
    <w:rsid w:val="1DD9240E"/>
    <w:rsid w:val="1E5052A0"/>
    <w:rsid w:val="1E576CB3"/>
    <w:rsid w:val="1E880DDE"/>
    <w:rsid w:val="1F163669"/>
    <w:rsid w:val="1F914041"/>
    <w:rsid w:val="20243872"/>
    <w:rsid w:val="20410D99"/>
    <w:rsid w:val="205920E7"/>
    <w:rsid w:val="207256F4"/>
    <w:rsid w:val="20841B24"/>
    <w:rsid w:val="209E27C3"/>
    <w:rsid w:val="20B971DB"/>
    <w:rsid w:val="211D59BC"/>
    <w:rsid w:val="21384E3C"/>
    <w:rsid w:val="213C58F5"/>
    <w:rsid w:val="21843C8D"/>
    <w:rsid w:val="21A612CF"/>
    <w:rsid w:val="22366666"/>
    <w:rsid w:val="228D1E28"/>
    <w:rsid w:val="228D6F97"/>
    <w:rsid w:val="2291483C"/>
    <w:rsid w:val="22E01E91"/>
    <w:rsid w:val="23066A9B"/>
    <w:rsid w:val="230B3947"/>
    <w:rsid w:val="23C3584E"/>
    <w:rsid w:val="23C8145D"/>
    <w:rsid w:val="23F14C78"/>
    <w:rsid w:val="241432D7"/>
    <w:rsid w:val="24942439"/>
    <w:rsid w:val="24BC26FD"/>
    <w:rsid w:val="25702511"/>
    <w:rsid w:val="2589601F"/>
    <w:rsid w:val="25FC16DB"/>
    <w:rsid w:val="260B672B"/>
    <w:rsid w:val="2684198C"/>
    <w:rsid w:val="268C5894"/>
    <w:rsid w:val="26D33BB6"/>
    <w:rsid w:val="26FA69AC"/>
    <w:rsid w:val="271866BD"/>
    <w:rsid w:val="2775116C"/>
    <w:rsid w:val="27E0108D"/>
    <w:rsid w:val="28717060"/>
    <w:rsid w:val="28772780"/>
    <w:rsid w:val="28C44619"/>
    <w:rsid w:val="28DC615D"/>
    <w:rsid w:val="2932368C"/>
    <w:rsid w:val="29C84FE7"/>
    <w:rsid w:val="2A362444"/>
    <w:rsid w:val="2AB34544"/>
    <w:rsid w:val="2B113F4B"/>
    <w:rsid w:val="2B492246"/>
    <w:rsid w:val="2B7868A3"/>
    <w:rsid w:val="2BC50595"/>
    <w:rsid w:val="2BCB18BB"/>
    <w:rsid w:val="2C3167C0"/>
    <w:rsid w:val="2CC10504"/>
    <w:rsid w:val="2D3975EC"/>
    <w:rsid w:val="2D884752"/>
    <w:rsid w:val="2D946D08"/>
    <w:rsid w:val="2DD3386E"/>
    <w:rsid w:val="2E853A7D"/>
    <w:rsid w:val="2E9C399B"/>
    <w:rsid w:val="2EA72782"/>
    <w:rsid w:val="2EDA67F9"/>
    <w:rsid w:val="2EE7237C"/>
    <w:rsid w:val="2F166361"/>
    <w:rsid w:val="2F2346E4"/>
    <w:rsid w:val="2F3A142F"/>
    <w:rsid w:val="2F3A3A5B"/>
    <w:rsid w:val="2F865A10"/>
    <w:rsid w:val="2F8D29E4"/>
    <w:rsid w:val="302C307F"/>
    <w:rsid w:val="30A92647"/>
    <w:rsid w:val="30D9771F"/>
    <w:rsid w:val="30E93E34"/>
    <w:rsid w:val="30FD57B2"/>
    <w:rsid w:val="311F2586"/>
    <w:rsid w:val="312A0AEF"/>
    <w:rsid w:val="317E4255"/>
    <w:rsid w:val="31817CB4"/>
    <w:rsid w:val="31C4140F"/>
    <w:rsid w:val="31FA7FF7"/>
    <w:rsid w:val="32145E29"/>
    <w:rsid w:val="327A76B3"/>
    <w:rsid w:val="332A0C75"/>
    <w:rsid w:val="33687B72"/>
    <w:rsid w:val="3398282D"/>
    <w:rsid w:val="33B44C72"/>
    <w:rsid w:val="33C55150"/>
    <w:rsid w:val="33DE41EA"/>
    <w:rsid w:val="34841204"/>
    <w:rsid w:val="3538471B"/>
    <w:rsid w:val="3558300F"/>
    <w:rsid w:val="35787085"/>
    <w:rsid w:val="35A434F0"/>
    <w:rsid w:val="35A91436"/>
    <w:rsid w:val="363B2715"/>
    <w:rsid w:val="36707A9F"/>
    <w:rsid w:val="36A4650C"/>
    <w:rsid w:val="36E2757E"/>
    <w:rsid w:val="371A7F91"/>
    <w:rsid w:val="378C3889"/>
    <w:rsid w:val="37DB76D8"/>
    <w:rsid w:val="381673B4"/>
    <w:rsid w:val="38377B51"/>
    <w:rsid w:val="3845755F"/>
    <w:rsid w:val="38987938"/>
    <w:rsid w:val="38A00F55"/>
    <w:rsid w:val="38D67AE9"/>
    <w:rsid w:val="39774D2B"/>
    <w:rsid w:val="39E95978"/>
    <w:rsid w:val="39F35FBD"/>
    <w:rsid w:val="3A053765"/>
    <w:rsid w:val="3A1A4D37"/>
    <w:rsid w:val="3A3E5737"/>
    <w:rsid w:val="3A415021"/>
    <w:rsid w:val="3A852A06"/>
    <w:rsid w:val="3B3A1B15"/>
    <w:rsid w:val="3B460CD5"/>
    <w:rsid w:val="3B49152E"/>
    <w:rsid w:val="3B507392"/>
    <w:rsid w:val="3B851508"/>
    <w:rsid w:val="3BAA5C47"/>
    <w:rsid w:val="3BDC18D0"/>
    <w:rsid w:val="3BFF41E4"/>
    <w:rsid w:val="3C5C5D08"/>
    <w:rsid w:val="3C65673D"/>
    <w:rsid w:val="3C83241C"/>
    <w:rsid w:val="3C88242C"/>
    <w:rsid w:val="3CC60841"/>
    <w:rsid w:val="3D046221"/>
    <w:rsid w:val="3D993D3A"/>
    <w:rsid w:val="3DAB5EF3"/>
    <w:rsid w:val="3DBD4546"/>
    <w:rsid w:val="3DDE0313"/>
    <w:rsid w:val="3E485474"/>
    <w:rsid w:val="3E493585"/>
    <w:rsid w:val="3E614CE2"/>
    <w:rsid w:val="3E770C94"/>
    <w:rsid w:val="3EFC7798"/>
    <w:rsid w:val="3F400D9C"/>
    <w:rsid w:val="3FAB39E6"/>
    <w:rsid w:val="40343E52"/>
    <w:rsid w:val="40834247"/>
    <w:rsid w:val="40A46F0C"/>
    <w:rsid w:val="413E5E04"/>
    <w:rsid w:val="41BB74B3"/>
    <w:rsid w:val="42426490"/>
    <w:rsid w:val="428C0CF8"/>
    <w:rsid w:val="42DD4FD8"/>
    <w:rsid w:val="43276201"/>
    <w:rsid w:val="4365358A"/>
    <w:rsid w:val="43685813"/>
    <w:rsid w:val="43A1625D"/>
    <w:rsid w:val="440940D0"/>
    <w:rsid w:val="4449126C"/>
    <w:rsid w:val="45223691"/>
    <w:rsid w:val="458A5D69"/>
    <w:rsid w:val="460A6426"/>
    <w:rsid w:val="46486168"/>
    <w:rsid w:val="46646FFD"/>
    <w:rsid w:val="46740791"/>
    <w:rsid w:val="46A5572C"/>
    <w:rsid w:val="46B51653"/>
    <w:rsid w:val="46B53A67"/>
    <w:rsid w:val="46E666CD"/>
    <w:rsid w:val="46E7333E"/>
    <w:rsid w:val="47024B89"/>
    <w:rsid w:val="47497D8B"/>
    <w:rsid w:val="475A5281"/>
    <w:rsid w:val="479118DA"/>
    <w:rsid w:val="47AC3472"/>
    <w:rsid w:val="47DA6754"/>
    <w:rsid w:val="47E856D7"/>
    <w:rsid w:val="48396CD0"/>
    <w:rsid w:val="489A1407"/>
    <w:rsid w:val="48D56167"/>
    <w:rsid w:val="48F55A38"/>
    <w:rsid w:val="4905669E"/>
    <w:rsid w:val="4916467F"/>
    <w:rsid w:val="4924150C"/>
    <w:rsid w:val="4948669A"/>
    <w:rsid w:val="496B7088"/>
    <w:rsid w:val="4A0838D4"/>
    <w:rsid w:val="4A40107D"/>
    <w:rsid w:val="4A496B89"/>
    <w:rsid w:val="4ABF6405"/>
    <w:rsid w:val="4AC922B5"/>
    <w:rsid w:val="4AE22334"/>
    <w:rsid w:val="4BA8577B"/>
    <w:rsid w:val="4BA940F3"/>
    <w:rsid w:val="4BC407DF"/>
    <w:rsid w:val="4C26756B"/>
    <w:rsid w:val="4C9A392D"/>
    <w:rsid w:val="4CD86AB8"/>
    <w:rsid w:val="4CE95658"/>
    <w:rsid w:val="4D6D754D"/>
    <w:rsid w:val="4D7560E1"/>
    <w:rsid w:val="4DF161CE"/>
    <w:rsid w:val="4E15298E"/>
    <w:rsid w:val="4E34172C"/>
    <w:rsid w:val="4EB22173"/>
    <w:rsid w:val="4ECA5048"/>
    <w:rsid w:val="4F2F3E51"/>
    <w:rsid w:val="4F98252E"/>
    <w:rsid w:val="4FCF2738"/>
    <w:rsid w:val="4FDB028D"/>
    <w:rsid w:val="50070165"/>
    <w:rsid w:val="503B52D9"/>
    <w:rsid w:val="507408A5"/>
    <w:rsid w:val="507C20E1"/>
    <w:rsid w:val="50DC208A"/>
    <w:rsid w:val="51835D03"/>
    <w:rsid w:val="51AB3D3B"/>
    <w:rsid w:val="5200004C"/>
    <w:rsid w:val="522A0567"/>
    <w:rsid w:val="5239498B"/>
    <w:rsid w:val="52765354"/>
    <w:rsid w:val="53724057"/>
    <w:rsid w:val="53770D76"/>
    <w:rsid w:val="54192E5F"/>
    <w:rsid w:val="54277215"/>
    <w:rsid w:val="546E44B5"/>
    <w:rsid w:val="54853A7E"/>
    <w:rsid w:val="54F5099E"/>
    <w:rsid w:val="55440CC4"/>
    <w:rsid w:val="55652DB0"/>
    <w:rsid w:val="557650C0"/>
    <w:rsid w:val="56017B2C"/>
    <w:rsid w:val="5618723E"/>
    <w:rsid w:val="563F126D"/>
    <w:rsid w:val="5697490A"/>
    <w:rsid w:val="56E8305B"/>
    <w:rsid w:val="574B380A"/>
    <w:rsid w:val="575925A3"/>
    <w:rsid w:val="57DE4C7D"/>
    <w:rsid w:val="586A6F1E"/>
    <w:rsid w:val="592D2D99"/>
    <w:rsid w:val="595016D7"/>
    <w:rsid w:val="595C325E"/>
    <w:rsid w:val="595D7C19"/>
    <w:rsid w:val="59D76F69"/>
    <w:rsid w:val="59E2532D"/>
    <w:rsid w:val="59EB2B4D"/>
    <w:rsid w:val="5A516754"/>
    <w:rsid w:val="5AF81503"/>
    <w:rsid w:val="5AF979AA"/>
    <w:rsid w:val="5B372D50"/>
    <w:rsid w:val="5B986898"/>
    <w:rsid w:val="5BE841C4"/>
    <w:rsid w:val="5BF021D6"/>
    <w:rsid w:val="5C1967A5"/>
    <w:rsid w:val="5C20631D"/>
    <w:rsid w:val="5C841E70"/>
    <w:rsid w:val="5D6E72BD"/>
    <w:rsid w:val="5D73171C"/>
    <w:rsid w:val="5D973379"/>
    <w:rsid w:val="5DE35E5B"/>
    <w:rsid w:val="5E7E512E"/>
    <w:rsid w:val="5EC901D4"/>
    <w:rsid w:val="5EE36BFD"/>
    <w:rsid w:val="5F2C4A61"/>
    <w:rsid w:val="5F420A26"/>
    <w:rsid w:val="5FBF2E48"/>
    <w:rsid w:val="5FE55FC5"/>
    <w:rsid w:val="60601D56"/>
    <w:rsid w:val="611B3B25"/>
    <w:rsid w:val="61282D71"/>
    <w:rsid w:val="61BD3787"/>
    <w:rsid w:val="627921C2"/>
    <w:rsid w:val="62EC7193"/>
    <w:rsid w:val="63027431"/>
    <w:rsid w:val="630B0298"/>
    <w:rsid w:val="63D57354"/>
    <w:rsid w:val="6428594B"/>
    <w:rsid w:val="64742735"/>
    <w:rsid w:val="6497295D"/>
    <w:rsid w:val="65256627"/>
    <w:rsid w:val="652C1351"/>
    <w:rsid w:val="65393A14"/>
    <w:rsid w:val="65CC417E"/>
    <w:rsid w:val="662B08C5"/>
    <w:rsid w:val="663E0BF4"/>
    <w:rsid w:val="66AC7448"/>
    <w:rsid w:val="66E3632D"/>
    <w:rsid w:val="67126367"/>
    <w:rsid w:val="6729338F"/>
    <w:rsid w:val="672D1422"/>
    <w:rsid w:val="674C61F2"/>
    <w:rsid w:val="679E624B"/>
    <w:rsid w:val="67B70F91"/>
    <w:rsid w:val="680256B8"/>
    <w:rsid w:val="684E1A03"/>
    <w:rsid w:val="686A49F4"/>
    <w:rsid w:val="6876263A"/>
    <w:rsid w:val="68C3183B"/>
    <w:rsid w:val="691D346F"/>
    <w:rsid w:val="6A6A1EA4"/>
    <w:rsid w:val="6AB852EF"/>
    <w:rsid w:val="6ADA1864"/>
    <w:rsid w:val="6AEE41CC"/>
    <w:rsid w:val="6B5415A7"/>
    <w:rsid w:val="6B6A4927"/>
    <w:rsid w:val="6B6D4F70"/>
    <w:rsid w:val="6B7D28AC"/>
    <w:rsid w:val="6B8312D6"/>
    <w:rsid w:val="6C6D67E7"/>
    <w:rsid w:val="6CD3222A"/>
    <w:rsid w:val="6D0632C6"/>
    <w:rsid w:val="6D693580"/>
    <w:rsid w:val="6DA42705"/>
    <w:rsid w:val="6DB66489"/>
    <w:rsid w:val="6E146DCC"/>
    <w:rsid w:val="6E313E22"/>
    <w:rsid w:val="6E62359E"/>
    <w:rsid w:val="6E861244"/>
    <w:rsid w:val="6EA60EBE"/>
    <w:rsid w:val="6F0B4673"/>
    <w:rsid w:val="6F0B5468"/>
    <w:rsid w:val="6F4D3791"/>
    <w:rsid w:val="6F53759C"/>
    <w:rsid w:val="6F6E7F67"/>
    <w:rsid w:val="70323211"/>
    <w:rsid w:val="70475516"/>
    <w:rsid w:val="70B6462C"/>
    <w:rsid w:val="70DD533F"/>
    <w:rsid w:val="713F0604"/>
    <w:rsid w:val="71567590"/>
    <w:rsid w:val="716D017F"/>
    <w:rsid w:val="716D6F1F"/>
    <w:rsid w:val="719E357C"/>
    <w:rsid w:val="71EA08E2"/>
    <w:rsid w:val="725F6D15"/>
    <w:rsid w:val="72691A36"/>
    <w:rsid w:val="73BB6668"/>
    <w:rsid w:val="73DB46AB"/>
    <w:rsid w:val="74081C21"/>
    <w:rsid w:val="74445FBF"/>
    <w:rsid w:val="747054F6"/>
    <w:rsid w:val="74A139FC"/>
    <w:rsid w:val="752F70A3"/>
    <w:rsid w:val="75F4786B"/>
    <w:rsid w:val="75FA2CB7"/>
    <w:rsid w:val="762806BC"/>
    <w:rsid w:val="76873458"/>
    <w:rsid w:val="76C71299"/>
    <w:rsid w:val="76C82320"/>
    <w:rsid w:val="76E9529A"/>
    <w:rsid w:val="777D28C3"/>
    <w:rsid w:val="77A5222A"/>
    <w:rsid w:val="77D13586"/>
    <w:rsid w:val="78465777"/>
    <w:rsid w:val="7867437A"/>
    <w:rsid w:val="787F513D"/>
    <w:rsid w:val="78A65E29"/>
    <w:rsid w:val="78CB53B3"/>
    <w:rsid w:val="79294D66"/>
    <w:rsid w:val="79512C69"/>
    <w:rsid w:val="79C85450"/>
    <w:rsid w:val="79EF64B4"/>
    <w:rsid w:val="79F0261A"/>
    <w:rsid w:val="79F2235B"/>
    <w:rsid w:val="79FD1A07"/>
    <w:rsid w:val="7A0F4B04"/>
    <w:rsid w:val="7A3A3803"/>
    <w:rsid w:val="7AED6609"/>
    <w:rsid w:val="7B2F10F2"/>
    <w:rsid w:val="7B8514C1"/>
    <w:rsid w:val="7C0A3932"/>
    <w:rsid w:val="7C381DD5"/>
    <w:rsid w:val="7CFC65EB"/>
    <w:rsid w:val="7D3903CE"/>
    <w:rsid w:val="7D5316BF"/>
    <w:rsid w:val="7D8C7224"/>
    <w:rsid w:val="7DC7089B"/>
    <w:rsid w:val="7DCF322F"/>
    <w:rsid w:val="7E2801EC"/>
    <w:rsid w:val="7E4516D8"/>
    <w:rsid w:val="7E5414C6"/>
    <w:rsid w:val="7EA46247"/>
    <w:rsid w:val="7EC91B47"/>
    <w:rsid w:val="7F1D2A1C"/>
    <w:rsid w:val="7F5F1D67"/>
    <w:rsid w:val="7FE11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line="480" w:lineRule="exact"/>
      <w:ind w:firstLine="480" w:firstLineChars="200"/>
    </w:pPr>
    <w:rPr>
      <w:rFonts w:ascii="宋体" w:hAnsi="宋体"/>
      <w:sz w:val="24"/>
    </w:rPr>
  </w:style>
  <w:style w:type="paragraph" w:styleId="6">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annotation text"/>
    <w:basedOn w:val="1"/>
    <w:qFormat/>
    <w:uiPriority w:val="99"/>
    <w:pPr>
      <w:jc w:val="left"/>
    </w:pPr>
  </w:style>
  <w:style w:type="paragraph" w:styleId="8">
    <w:name w:val="Body Text"/>
    <w:basedOn w:val="1"/>
    <w:next w:val="9"/>
    <w:qFormat/>
    <w:uiPriority w:val="0"/>
    <w:pPr>
      <w:autoSpaceDE w:val="0"/>
      <w:autoSpaceDN w:val="0"/>
      <w:spacing w:line="360" w:lineRule="auto"/>
    </w:pPr>
    <w:rPr>
      <w:rFonts w:ascii="宋体" w:hAnsi="Arial" w:cs="Arial"/>
      <w:snapToGrid w:val="0"/>
      <w:sz w:val="24"/>
      <w:szCs w:val="21"/>
      <w:lang w:val="zh-CN"/>
    </w:rPr>
  </w:style>
  <w:style w:type="paragraph" w:styleId="9">
    <w:name w:val="Body Text First Indent"/>
    <w:basedOn w:val="8"/>
    <w:next w:val="1"/>
    <w:qFormat/>
    <w:uiPriority w:val="0"/>
    <w:pPr>
      <w:ind w:firstLine="420"/>
    </w:pPr>
    <w:rPr>
      <w:rFonts w:hAnsi="Calibri"/>
      <w:szCs w:val="20"/>
    </w:rPr>
  </w:style>
  <w:style w:type="paragraph" w:styleId="10">
    <w:name w:val="Plain Text"/>
    <w:basedOn w:val="1"/>
    <w:qFormat/>
    <w:uiPriority w:val="0"/>
    <w:rPr>
      <w:rFonts w:ascii="宋体" w:hAnsi="Courier New" w:cs="Arial"/>
      <w:snapToGrid w:val="0"/>
      <w:szCs w:val="21"/>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oc 6"/>
    <w:basedOn w:val="1"/>
    <w:next w:val="1"/>
    <w:qFormat/>
    <w:uiPriority w:val="0"/>
    <w:pPr>
      <w:ind w:left="2100" w:leftChars="1000"/>
    </w:pPr>
  </w:style>
  <w:style w:type="paragraph" w:styleId="14">
    <w:name w:val="Normal (Web)"/>
    <w:basedOn w:val="1"/>
    <w:qFormat/>
    <w:uiPriority w:val="99"/>
    <w:pPr>
      <w:widowControl/>
      <w:spacing w:before="100" w:beforeAutospacing="1" w:after="100" w:afterAutospacing="1"/>
      <w:jc w:val="left"/>
    </w:pPr>
    <w:rPr>
      <w:rFonts w:ascii="宋体" w:hAnsi="宋体"/>
      <w:kern w:val="0"/>
      <w:sz w:val="24"/>
    </w:rPr>
  </w:style>
  <w:style w:type="paragraph" w:styleId="15">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6">
    <w:name w:val="Body Text First Indent 2"/>
    <w:basedOn w:val="2"/>
    <w:qFormat/>
    <w:uiPriority w:val="0"/>
    <w:pPr>
      <w:adjustRightInd/>
      <w:spacing w:after="120" w:line="240" w:lineRule="auto"/>
      <w:ind w:left="420" w:leftChars="200" w:firstLine="210"/>
    </w:pPr>
    <w:rPr>
      <w:sz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rPr>
      <w:rFonts w:ascii="Arial" w:hAnsi="Arial" w:eastAsia="黑体" w:cs="Arial"/>
      <w:snapToGrid w:val="0"/>
      <w:kern w:val="0"/>
      <w:szCs w:val="21"/>
    </w:rPr>
  </w:style>
  <w:style w:type="character" w:styleId="21">
    <w:name w:val="Hyperlink"/>
    <w:qFormat/>
    <w:uiPriority w:val="99"/>
    <w:rPr>
      <w:rFonts w:ascii="Arial" w:hAnsi="Arial" w:eastAsia="黑体" w:cs="Arial"/>
      <w:snapToGrid w:val="0"/>
      <w:color w:val="000000"/>
      <w:kern w:val="0"/>
      <w:sz w:val="18"/>
      <w:szCs w:val="18"/>
      <w:u w:val="none"/>
    </w:rPr>
  </w:style>
  <w:style w:type="character" w:styleId="22">
    <w:name w:val="annotation reference"/>
    <w:qFormat/>
    <w:uiPriority w:val="99"/>
    <w:rPr>
      <w:sz w:val="21"/>
      <w:szCs w:val="21"/>
    </w:rPr>
  </w:style>
  <w:style w:type="paragraph" w:customStyle="1" w:styleId="2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4">
    <w:name w:val="正文空2字"/>
    <w:basedOn w:val="2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5">
    <w:name w:val="左对齐正文"/>
    <w:qFormat/>
    <w:uiPriority w:val="99"/>
    <w:rPr>
      <w:rFonts w:ascii="Calibri" w:hAnsi="Calibri" w:eastAsia="仿宋_GB2312" w:cs="Calibri"/>
      <w:kern w:val="2"/>
      <w:sz w:val="32"/>
      <w:szCs w:val="32"/>
      <w:lang w:val="en-US" w:eastAsia="zh-CN" w:bidi="ar-SA"/>
    </w:rPr>
  </w:style>
  <w:style w:type="paragraph" w:customStyle="1" w:styleId="26">
    <w:name w:val="Default"/>
    <w:next w:val="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28">
    <w:name w:val="正文2"/>
    <w:basedOn w:val="1"/>
    <w:qFormat/>
    <w:uiPriority w:val="0"/>
    <w:pPr>
      <w:spacing w:before="156" w:line="360" w:lineRule="auto"/>
      <w:ind w:firstLine="510" w:firstLineChars="200"/>
    </w:pPr>
    <w:rPr>
      <w:sz w:val="24"/>
      <w:szCs w:val="20"/>
    </w:rPr>
  </w:style>
  <w:style w:type="paragraph" w:customStyle="1" w:styleId="2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table" w:customStyle="1" w:styleId="30">
    <w:name w:val="网格型7"/>
    <w:basedOn w:val="17"/>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1">
    <w:name w:val="List Paragraph"/>
    <w:basedOn w:val="1"/>
    <w:qFormat/>
    <w:uiPriority w:val="34"/>
    <w:pPr>
      <w:spacing w:line="360" w:lineRule="auto"/>
      <w:ind w:firstLine="200" w:firstLineChars="200"/>
    </w:pPr>
    <w:rPr>
      <w:rFonts w:eastAsia="楷体_GB2312" w:cs="Lucida Sans"/>
      <w:sz w:val="24"/>
    </w:rPr>
  </w:style>
  <w:style w:type="paragraph" w:customStyle="1" w:styleId="32">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3">
    <w:name w:val="索引 11"/>
    <w:basedOn w:val="1"/>
    <w:next w:val="1"/>
    <w:qFormat/>
    <w:uiPriority w:val="99"/>
    <w:pPr>
      <w:adjustRightInd/>
      <w:spacing w:line="360" w:lineRule="auto"/>
    </w:pPr>
    <w:rPr>
      <w:rFonts w:ascii="仿宋_GB2312" w:eastAsia="仿宋_GB2312"/>
      <w:sz w:val="24"/>
      <w:szCs w:val="20"/>
    </w:rPr>
  </w:style>
  <w:style w:type="paragraph" w:customStyle="1" w:styleId="34">
    <w:name w:val="纯文本1"/>
    <w:basedOn w:val="1"/>
    <w:qFormat/>
    <w:uiPriority w:val="0"/>
    <w:pPr>
      <w:adjustRightInd/>
    </w:pPr>
    <w:rPr>
      <w:rFonts w:ascii="宋体" w:hAnsi="Courier New"/>
      <w:kern w:val="0"/>
      <w:sz w:val="20"/>
      <w:szCs w:val="20"/>
    </w:rPr>
  </w:style>
  <w:style w:type="paragraph" w:customStyle="1" w:styleId="35">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6">
    <w:name w:val="纯文本_0_0"/>
    <w:basedOn w:val="37"/>
    <w:qFormat/>
    <w:uiPriority w:val="0"/>
    <w:rPr>
      <w:rFonts w:ascii="宋体" w:hAnsi="Courier New"/>
      <w:szCs w:val="21"/>
    </w:rPr>
  </w:style>
  <w:style w:type="paragraph" w:customStyle="1" w:styleId="3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Table Paragraph"/>
    <w:basedOn w:val="1"/>
    <w:qFormat/>
    <w:uiPriority w:val="0"/>
    <w:pPr>
      <w:adjustRightInd/>
      <w:jc w:val="left"/>
    </w:pPr>
    <w:rPr>
      <w:rFonts w:ascii="Calibri" w:hAnsi="Calibri"/>
      <w:kern w:val="0"/>
      <w:sz w:val="22"/>
      <w:szCs w:val="22"/>
      <w:lang w:eastAsia="en-US"/>
    </w:rPr>
  </w:style>
  <w:style w:type="paragraph" w:customStyle="1" w:styleId="3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40">
    <w:name w:val="font71"/>
    <w:basedOn w:val="19"/>
    <w:qFormat/>
    <w:uiPriority w:val="0"/>
    <w:rPr>
      <w:rFonts w:hint="eastAsia" w:ascii="宋体" w:hAnsi="宋体" w:eastAsia="宋体" w:cs="宋体"/>
      <w:color w:val="000000"/>
      <w:sz w:val="22"/>
      <w:szCs w:val="22"/>
      <w:u w:val="none"/>
    </w:rPr>
  </w:style>
  <w:style w:type="character" w:customStyle="1" w:styleId="41">
    <w:name w:val="font151"/>
    <w:basedOn w:val="19"/>
    <w:qFormat/>
    <w:uiPriority w:val="0"/>
    <w:rPr>
      <w:rFonts w:hint="eastAsia" w:ascii="宋体" w:hAnsi="宋体" w:eastAsia="宋体" w:cs="宋体"/>
      <w:color w:val="000000"/>
      <w:sz w:val="20"/>
      <w:szCs w:val="20"/>
      <w:u w:val="none"/>
    </w:rPr>
  </w:style>
  <w:style w:type="paragraph" w:customStyle="1" w:styleId="42">
    <w:name w:val="正文说明"/>
    <w:basedOn w:val="1"/>
    <w:qFormat/>
    <w:uiPriority w:val="0"/>
    <w:pPr>
      <w:adjustRightInd/>
      <w:spacing w:line="360" w:lineRule="auto"/>
    </w:pPr>
    <w:rPr>
      <w:kern w:val="0"/>
      <w:sz w:val="24"/>
    </w:rPr>
  </w:style>
  <w:style w:type="paragraph" w:customStyle="1" w:styleId="43">
    <w:name w:val="一级标题"/>
    <w:basedOn w:val="1"/>
    <w:next w:val="1"/>
    <w:qFormat/>
    <w:uiPriority w:val="0"/>
    <w:pPr>
      <w:spacing w:line="360" w:lineRule="auto"/>
      <w:outlineLvl w:val="0"/>
    </w:pPr>
    <w:rPr>
      <w:rFonts w:ascii="仿宋" w:hAnsi="仿宋" w:eastAsia="仿宋" w:cs="仿宋_GB2312"/>
      <w:b/>
      <w:sz w:val="32"/>
      <w:szCs w:val="24"/>
    </w:rPr>
  </w:style>
  <w:style w:type="character" w:customStyle="1" w:styleId="44">
    <w:name w:val="font61"/>
    <w:basedOn w:val="19"/>
    <w:qFormat/>
    <w:uiPriority w:val="0"/>
    <w:rPr>
      <w:rFonts w:hint="eastAsia" w:ascii="宋体" w:hAnsi="宋体" w:eastAsia="宋体" w:cs="宋体"/>
      <w:color w:val="000000"/>
      <w:sz w:val="18"/>
      <w:szCs w:val="18"/>
      <w:u w:val="none"/>
    </w:rPr>
  </w:style>
  <w:style w:type="paragraph" w:customStyle="1" w:styleId="45">
    <w:name w:val="_正文段落"/>
    <w:basedOn w:val="1"/>
    <w:qFormat/>
    <w:uiPriority w:val="0"/>
    <w:pPr>
      <w:adjustRightInd/>
      <w:ind w:firstLine="560"/>
    </w:pPr>
    <w:rPr>
      <w:rFonts w:ascii="仿宋_GB2312" w:hAnsi="仿宋" w:eastAsia="仿宋_GB2312"/>
      <w:kern w:val="0"/>
      <w:sz w:val="28"/>
      <w:szCs w:val="28"/>
    </w:rPr>
  </w:style>
  <w:style w:type="character" w:customStyle="1" w:styleId="46">
    <w:name w:val="font91"/>
    <w:basedOn w:val="19"/>
    <w:qFormat/>
    <w:uiPriority w:val="0"/>
    <w:rPr>
      <w:rFonts w:hint="eastAsia" w:ascii="宋体" w:hAnsi="宋体" w:eastAsia="宋体" w:cs="宋体"/>
      <w:color w:val="FF0000"/>
      <w:sz w:val="28"/>
      <w:szCs w:val="28"/>
      <w:u w:val="none"/>
    </w:rPr>
  </w:style>
  <w:style w:type="table" w:customStyle="1" w:styleId="4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41672</Words>
  <Characters>43856</Characters>
  <Lines>333</Lines>
  <Paragraphs>93</Paragraphs>
  <TotalTime>25</TotalTime>
  <ScaleCrop>false</ScaleCrop>
  <LinksUpToDate>false</LinksUpToDate>
  <CharactersWithSpaces>49530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2024-11-01T11:18:00Z</dcterms:created>
  <dc:creator>C</dc:creator>
  <cp:lastModifiedBy>浙江中际工程项目管理有限公司</cp:lastModifiedBy>
  <dcterms:modified xsi:type="dcterms:W3CDTF">2025-06-25T04:39:55Z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C1DD98707D2F4BA2B4226BE064B41289_13</vt:lpwstr>
  </property>
  <property fmtid="{D5CDD505-2E9C-101B-9397-08002B2CF9AE}" pid="4" name="KSOTemplateDocerSaveRecord">
    <vt:lpwstr>eyJoZGlkIjoiNDMwNTFiYmFmYjhiOWY0NmU1M2I3NDc4YjJlZDZjMDkiLCJ1c2VySWQiOiIxNTE5NDQ2Mzg0In0=</vt:lpwstr>
  </property>
</Properties>
</file>