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E3E0C">
      <w:pPr>
        <w:autoSpaceDE w:val="0"/>
        <w:autoSpaceDN w:val="0"/>
        <w:spacing w:line="500" w:lineRule="atLeast"/>
        <w:jc w:val="center"/>
        <w:textAlignment w:val="bottom"/>
        <w:rPr>
          <w:rFonts w:hint="eastAsia" w:ascii="宋体" w:hAnsi="宋体" w:eastAsia="宋体" w:cs="宋体"/>
          <w:b/>
          <w:bCs/>
          <w:color w:val="auto"/>
          <w:spacing w:val="120"/>
          <w:sz w:val="72"/>
          <w:szCs w:val="72"/>
          <w:highlight w:val="none"/>
        </w:rPr>
      </w:pPr>
    </w:p>
    <w:p w14:paraId="1614BB58">
      <w:pPr>
        <w:autoSpaceDE w:val="0"/>
        <w:autoSpaceDN w:val="0"/>
        <w:spacing w:line="500" w:lineRule="atLeast"/>
        <w:jc w:val="distribute"/>
        <w:textAlignment w:val="bottom"/>
        <w:rPr>
          <w:rFonts w:hint="eastAsia" w:ascii="宋体" w:hAnsi="宋体" w:eastAsia="宋体" w:cs="宋体"/>
          <w:bCs/>
          <w:color w:val="auto"/>
          <w:sz w:val="84"/>
          <w:szCs w:val="84"/>
          <w:highlight w:val="none"/>
        </w:rPr>
      </w:pPr>
      <w:r>
        <w:rPr>
          <w:rFonts w:hint="eastAsia" w:ascii="宋体" w:hAnsi="宋体" w:eastAsia="宋体" w:cs="宋体"/>
          <w:b/>
          <w:bCs/>
          <w:color w:val="auto"/>
          <w:spacing w:val="120"/>
          <w:sz w:val="72"/>
          <w:szCs w:val="72"/>
          <w:highlight w:val="none"/>
        </w:rPr>
        <w:t>温州市</w:t>
      </w:r>
      <w:r>
        <w:rPr>
          <w:rFonts w:hint="eastAsia" w:ascii="宋体" w:hAnsi="宋体" w:eastAsia="宋体" w:cs="宋体"/>
          <w:b/>
          <w:bCs/>
          <w:color w:val="auto"/>
          <w:spacing w:val="120"/>
          <w:sz w:val="72"/>
          <w:szCs w:val="72"/>
          <w:highlight w:val="none"/>
          <w:lang w:val="en-US" w:eastAsia="zh-CN"/>
        </w:rPr>
        <w:t>鹿城区</w:t>
      </w:r>
      <w:r>
        <w:rPr>
          <w:rFonts w:hint="eastAsia" w:ascii="宋体" w:hAnsi="宋体" w:eastAsia="宋体" w:cs="宋体"/>
          <w:b/>
          <w:bCs/>
          <w:color w:val="auto"/>
          <w:spacing w:val="120"/>
          <w:sz w:val="72"/>
          <w:szCs w:val="72"/>
          <w:highlight w:val="none"/>
        </w:rPr>
        <w:t>国有企业</w:t>
      </w:r>
    </w:p>
    <w:p w14:paraId="33797745">
      <w:pPr>
        <w:spacing w:line="400" w:lineRule="atLeast"/>
        <w:jc w:val="center"/>
        <w:rPr>
          <w:rFonts w:hint="eastAsia" w:ascii="宋体" w:hAnsi="宋体" w:eastAsia="宋体" w:cs="宋体"/>
          <w:b/>
          <w:color w:val="auto"/>
          <w:sz w:val="52"/>
          <w:highlight w:val="none"/>
        </w:rPr>
      </w:pPr>
    </w:p>
    <w:p w14:paraId="2EAAF262">
      <w:pPr>
        <w:spacing w:line="400" w:lineRule="atLeast"/>
        <w:jc w:val="center"/>
        <w:rPr>
          <w:rFonts w:hint="eastAsia" w:ascii="宋体" w:hAnsi="宋体" w:eastAsia="宋体" w:cs="宋体"/>
          <w:b/>
          <w:color w:val="auto"/>
          <w:sz w:val="52"/>
          <w:highlight w:val="none"/>
        </w:rPr>
      </w:pPr>
    </w:p>
    <w:p w14:paraId="47E512AE">
      <w:pPr>
        <w:autoSpaceDE w:val="0"/>
        <w:autoSpaceDN w:val="0"/>
        <w:spacing w:line="500" w:lineRule="atLeast"/>
        <w:jc w:val="center"/>
        <w:textAlignment w:val="bottom"/>
        <w:rPr>
          <w:rFonts w:hint="eastAsia" w:ascii="宋体" w:hAnsi="宋体" w:eastAsia="宋体" w:cs="宋体"/>
          <w:b/>
          <w:bCs/>
          <w:color w:val="auto"/>
          <w:sz w:val="72"/>
          <w:szCs w:val="72"/>
          <w:highlight w:val="none"/>
        </w:rPr>
      </w:pPr>
    </w:p>
    <w:p w14:paraId="2E8D2FE5">
      <w:pPr>
        <w:autoSpaceDE w:val="0"/>
        <w:autoSpaceDN w:val="0"/>
        <w:spacing w:line="500" w:lineRule="atLeast"/>
        <w:jc w:val="center"/>
        <w:textAlignment w:val="bottom"/>
        <w:rPr>
          <w:rFonts w:hint="eastAsia" w:ascii="宋体" w:hAnsi="宋体" w:eastAsia="宋体" w:cs="宋体"/>
          <w:b/>
          <w:color w:val="auto"/>
          <w:sz w:val="72"/>
          <w:szCs w:val="72"/>
          <w:highlight w:val="none"/>
        </w:rPr>
      </w:pPr>
      <w:r>
        <w:rPr>
          <w:rFonts w:hint="eastAsia" w:ascii="宋体" w:hAnsi="宋体" w:eastAsia="宋体" w:cs="宋体"/>
          <w:b/>
          <w:bCs/>
          <w:color w:val="auto"/>
          <w:sz w:val="72"/>
          <w:szCs w:val="72"/>
          <w:highlight w:val="none"/>
        </w:rPr>
        <w:t>采 购 文 件</w:t>
      </w:r>
    </w:p>
    <w:p w14:paraId="695244CA">
      <w:pPr>
        <w:spacing w:line="400" w:lineRule="atLeast"/>
        <w:jc w:val="center"/>
        <w:rPr>
          <w:rFonts w:hint="eastAsia" w:ascii="宋体" w:hAnsi="宋体" w:eastAsia="宋体" w:cs="宋体"/>
          <w:b/>
          <w:color w:val="auto"/>
          <w:sz w:val="32"/>
          <w:highlight w:val="none"/>
        </w:rPr>
      </w:pPr>
    </w:p>
    <w:p w14:paraId="18EE1565">
      <w:pPr>
        <w:jc w:val="center"/>
        <w:rPr>
          <w:rFonts w:hint="eastAsia" w:ascii="宋体" w:hAnsi="宋体" w:eastAsia="宋体" w:cs="宋体"/>
          <w:b/>
          <w:bCs/>
          <w:color w:val="auto"/>
          <w:sz w:val="24"/>
          <w:highlight w:val="none"/>
        </w:rPr>
      </w:pPr>
    </w:p>
    <w:p w14:paraId="53E34F34">
      <w:pPr>
        <w:jc w:val="center"/>
        <w:rPr>
          <w:rFonts w:hint="eastAsia" w:ascii="宋体" w:hAnsi="宋体" w:eastAsia="宋体" w:cs="宋体"/>
          <w:b/>
          <w:bCs/>
          <w:color w:val="auto"/>
          <w:sz w:val="24"/>
          <w:highlight w:val="none"/>
        </w:rPr>
      </w:pPr>
    </w:p>
    <w:p w14:paraId="5133BAFF">
      <w:pPr>
        <w:jc w:val="center"/>
        <w:rPr>
          <w:rFonts w:hint="eastAsia" w:ascii="宋体" w:hAnsi="宋体" w:eastAsia="宋体" w:cs="宋体"/>
          <w:b/>
          <w:bCs/>
          <w:color w:val="auto"/>
          <w:sz w:val="24"/>
          <w:highlight w:val="none"/>
        </w:rPr>
      </w:pPr>
    </w:p>
    <w:p w14:paraId="6640DB0D">
      <w:pPr>
        <w:jc w:val="center"/>
        <w:rPr>
          <w:rFonts w:hint="eastAsia" w:ascii="宋体" w:hAnsi="宋体" w:eastAsia="宋体" w:cs="宋体"/>
          <w:b/>
          <w:bCs/>
          <w:color w:val="auto"/>
          <w:sz w:val="24"/>
          <w:highlight w:val="none"/>
        </w:rPr>
      </w:pPr>
    </w:p>
    <w:p w14:paraId="7204E338">
      <w:pPr>
        <w:keepNext w:val="0"/>
        <w:keepLines w:val="0"/>
        <w:pageBreakBefore w:val="0"/>
        <w:widowControl w:val="0"/>
        <w:tabs>
          <w:tab w:val="left" w:pos="1276"/>
          <w:tab w:val="left" w:pos="2977"/>
        </w:tabs>
        <w:kinsoku/>
        <w:wordWrap/>
        <w:overflowPunct/>
        <w:topLinePunct w:val="0"/>
        <w:autoSpaceDE/>
        <w:autoSpaceDN/>
        <w:bidi w:val="0"/>
        <w:adjustRightInd/>
        <w:snapToGrid/>
        <w:spacing w:line="600" w:lineRule="exact"/>
        <w:ind w:left="0" w:leftChars="0" w:right="0" w:firstLine="1205" w:firstLineChars="400"/>
        <w:jc w:val="left"/>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采购编号：</w:t>
      </w:r>
      <w:r>
        <w:rPr>
          <w:rFonts w:hint="eastAsia" w:ascii="宋体" w:hAnsi="宋体" w:eastAsia="宋体" w:cs="宋体"/>
          <w:b/>
          <w:color w:val="auto"/>
          <w:sz w:val="30"/>
          <w:szCs w:val="30"/>
          <w:highlight w:val="none"/>
          <w:lang w:eastAsia="zh-CN"/>
        </w:rPr>
        <w:t>ZJDFZB-2025060175</w:t>
      </w:r>
    </w:p>
    <w:p w14:paraId="09C05449">
      <w:pPr>
        <w:keepNext w:val="0"/>
        <w:keepLines w:val="0"/>
        <w:pageBreakBefore w:val="0"/>
        <w:widowControl w:val="0"/>
        <w:tabs>
          <w:tab w:val="left" w:pos="1276"/>
          <w:tab w:val="left" w:pos="2977"/>
        </w:tabs>
        <w:kinsoku/>
        <w:wordWrap/>
        <w:overflowPunct/>
        <w:topLinePunct w:val="0"/>
        <w:autoSpaceDE/>
        <w:autoSpaceDN/>
        <w:bidi w:val="0"/>
        <w:adjustRightInd/>
        <w:snapToGrid/>
        <w:spacing w:line="600" w:lineRule="exact"/>
        <w:ind w:left="0" w:leftChars="0" w:right="0" w:firstLine="1205" w:firstLineChars="400"/>
        <w:jc w:val="left"/>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采购项目：</w:t>
      </w:r>
      <w:r>
        <w:rPr>
          <w:rFonts w:hint="eastAsia" w:ascii="宋体" w:hAnsi="宋体" w:eastAsia="宋体" w:cs="宋体"/>
          <w:b/>
          <w:color w:val="auto"/>
          <w:sz w:val="30"/>
          <w:szCs w:val="30"/>
          <w:highlight w:val="none"/>
          <w:lang w:eastAsia="zh-CN"/>
        </w:rPr>
        <w:t>温州市鹿城区旅游发展投资有限公司观光车采购项目</w:t>
      </w:r>
    </w:p>
    <w:p w14:paraId="31660201">
      <w:pPr>
        <w:keepNext w:val="0"/>
        <w:keepLines w:val="0"/>
        <w:pageBreakBefore w:val="0"/>
        <w:widowControl w:val="0"/>
        <w:tabs>
          <w:tab w:val="left" w:pos="1276"/>
          <w:tab w:val="left" w:pos="4860"/>
        </w:tabs>
        <w:kinsoku/>
        <w:wordWrap/>
        <w:overflowPunct/>
        <w:topLinePunct w:val="0"/>
        <w:autoSpaceDE/>
        <w:autoSpaceDN/>
        <w:bidi w:val="0"/>
        <w:adjustRightInd/>
        <w:snapToGrid/>
        <w:spacing w:line="600" w:lineRule="exact"/>
        <w:ind w:left="0" w:leftChars="0" w:right="0" w:firstLine="1205" w:firstLineChars="400"/>
        <w:jc w:val="left"/>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采购方式：公 开 招 标</w:t>
      </w:r>
    </w:p>
    <w:p w14:paraId="6C2B0567">
      <w:pPr>
        <w:jc w:val="left"/>
        <w:rPr>
          <w:rFonts w:hint="eastAsia" w:ascii="宋体" w:hAnsi="宋体" w:eastAsia="宋体" w:cs="宋体"/>
          <w:b/>
          <w:bCs/>
          <w:color w:val="auto"/>
          <w:sz w:val="24"/>
          <w:highlight w:val="none"/>
        </w:rPr>
      </w:pPr>
    </w:p>
    <w:p w14:paraId="4ADCCBE4">
      <w:pPr>
        <w:jc w:val="left"/>
        <w:rPr>
          <w:rFonts w:hint="eastAsia" w:ascii="宋体" w:hAnsi="宋体" w:eastAsia="宋体" w:cs="宋体"/>
          <w:b/>
          <w:bCs/>
          <w:color w:val="auto"/>
          <w:sz w:val="24"/>
          <w:highlight w:val="none"/>
        </w:rPr>
      </w:pPr>
    </w:p>
    <w:p w14:paraId="38821609">
      <w:pPr>
        <w:jc w:val="left"/>
        <w:rPr>
          <w:rFonts w:hint="eastAsia" w:ascii="宋体" w:hAnsi="宋体" w:eastAsia="宋体" w:cs="宋体"/>
          <w:b/>
          <w:bCs/>
          <w:color w:val="auto"/>
          <w:sz w:val="24"/>
          <w:highlight w:val="none"/>
        </w:rPr>
      </w:pPr>
    </w:p>
    <w:p w14:paraId="2D9477C9">
      <w:pPr>
        <w:jc w:val="center"/>
        <w:rPr>
          <w:rFonts w:hint="eastAsia" w:ascii="宋体" w:hAnsi="宋体" w:eastAsia="宋体" w:cs="宋体"/>
          <w:b/>
          <w:bCs/>
          <w:color w:val="auto"/>
          <w:sz w:val="24"/>
          <w:highlight w:val="none"/>
        </w:rPr>
      </w:pPr>
    </w:p>
    <w:p w14:paraId="266DC77B">
      <w:pPr>
        <w:jc w:val="center"/>
        <w:rPr>
          <w:rFonts w:hint="eastAsia" w:ascii="宋体" w:hAnsi="宋体" w:eastAsia="宋体" w:cs="宋体"/>
          <w:b/>
          <w:bCs/>
          <w:color w:val="auto"/>
          <w:sz w:val="24"/>
          <w:highlight w:val="none"/>
        </w:rPr>
      </w:pPr>
    </w:p>
    <w:p w14:paraId="79EB82AD">
      <w:pPr>
        <w:spacing w:line="600" w:lineRule="exact"/>
        <w:rPr>
          <w:rFonts w:hint="eastAsia" w:ascii="宋体" w:hAnsi="宋体" w:eastAsia="宋体" w:cs="宋体"/>
          <w:b/>
          <w:color w:val="auto"/>
          <w:sz w:val="30"/>
          <w:szCs w:val="30"/>
          <w:highlight w:val="none"/>
        </w:rPr>
      </w:pPr>
    </w:p>
    <w:p w14:paraId="785AD060">
      <w:pPr>
        <w:spacing w:line="600" w:lineRule="exact"/>
        <w:ind w:firstLine="1906" w:firstLineChars="633"/>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  购  人：</w:t>
      </w:r>
      <w:r>
        <w:rPr>
          <w:rFonts w:hint="eastAsia" w:ascii="宋体" w:hAnsi="宋体" w:eastAsia="宋体" w:cs="宋体"/>
          <w:b/>
          <w:color w:val="auto"/>
          <w:sz w:val="30"/>
          <w:szCs w:val="30"/>
          <w:highlight w:val="none"/>
          <w:lang w:eastAsia="zh-CN"/>
        </w:rPr>
        <w:t>温州市鹿城区旅游发展投资有限公司</w:t>
      </w:r>
    </w:p>
    <w:p w14:paraId="656DB656">
      <w:pPr>
        <w:spacing w:line="600" w:lineRule="exact"/>
        <w:ind w:firstLine="1906" w:firstLineChars="500"/>
        <w:rPr>
          <w:rFonts w:hint="eastAsia" w:ascii="宋体" w:hAnsi="宋体" w:eastAsia="宋体" w:cs="宋体"/>
          <w:b/>
          <w:color w:val="auto"/>
          <w:spacing w:val="12"/>
          <w:sz w:val="30"/>
          <w:szCs w:val="30"/>
          <w:highlight w:val="none"/>
          <w:lang w:eastAsia="zh-CN"/>
        </w:rPr>
      </w:pPr>
      <w:r>
        <w:rPr>
          <w:rFonts w:hint="eastAsia" w:ascii="宋体" w:hAnsi="宋体" w:eastAsia="宋体" w:cs="宋体"/>
          <w:b/>
          <w:color w:val="auto"/>
          <w:spacing w:val="40"/>
          <w:sz w:val="30"/>
          <w:szCs w:val="30"/>
          <w:highlight w:val="none"/>
        </w:rPr>
        <w:t>采购代理</w:t>
      </w:r>
      <w:r>
        <w:rPr>
          <w:rFonts w:hint="eastAsia" w:ascii="宋体" w:hAnsi="宋体" w:eastAsia="宋体" w:cs="宋体"/>
          <w:b/>
          <w:color w:val="auto"/>
          <w:sz w:val="30"/>
          <w:szCs w:val="30"/>
          <w:highlight w:val="none"/>
        </w:rPr>
        <w:t>：</w:t>
      </w:r>
      <w:r>
        <w:rPr>
          <w:rFonts w:hint="eastAsia" w:ascii="宋体" w:hAnsi="宋体" w:eastAsia="宋体" w:cs="宋体"/>
          <w:b/>
          <w:color w:val="auto"/>
          <w:spacing w:val="12"/>
          <w:sz w:val="30"/>
          <w:szCs w:val="30"/>
          <w:highlight w:val="none"/>
          <w:lang w:eastAsia="zh-CN"/>
        </w:rPr>
        <w:t>浙江德丰项目管理有限公司</w:t>
      </w:r>
    </w:p>
    <w:p w14:paraId="621386DB">
      <w:pPr>
        <w:spacing w:line="600" w:lineRule="exact"/>
        <w:ind w:firstLine="1437" w:firstLineChars="377"/>
        <w:jc w:val="center"/>
        <w:rPr>
          <w:rFonts w:hint="eastAsia" w:ascii="宋体" w:hAnsi="宋体" w:eastAsia="宋体" w:cs="宋体"/>
          <w:b/>
          <w:color w:val="auto"/>
          <w:spacing w:val="40"/>
          <w:sz w:val="30"/>
          <w:szCs w:val="30"/>
          <w:highlight w:val="none"/>
        </w:rPr>
      </w:pPr>
    </w:p>
    <w:p w14:paraId="3C004B37">
      <w:pPr>
        <w:rPr>
          <w:rFonts w:hint="eastAsia" w:ascii="宋体" w:hAnsi="宋体" w:eastAsia="宋体" w:cs="宋体"/>
          <w:color w:val="auto"/>
          <w:highlight w:val="none"/>
        </w:rPr>
      </w:pPr>
    </w:p>
    <w:p w14:paraId="746B2C46">
      <w:pPr>
        <w:spacing w:line="600" w:lineRule="exact"/>
        <w:jc w:val="center"/>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二〇二五年</w:t>
      </w:r>
      <w:r>
        <w:rPr>
          <w:rFonts w:hint="eastAsia" w:ascii="宋体" w:hAnsi="宋体" w:eastAsia="宋体" w:cs="宋体"/>
          <w:b/>
          <w:color w:val="auto"/>
          <w:spacing w:val="40"/>
          <w:sz w:val="30"/>
          <w:szCs w:val="30"/>
          <w:highlight w:val="none"/>
          <w:lang w:val="en-US" w:eastAsia="zh-CN"/>
        </w:rPr>
        <w:t>七</w:t>
      </w:r>
      <w:r>
        <w:rPr>
          <w:rFonts w:hint="eastAsia" w:ascii="宋体" w:hAnsi="宋体" w:eastAsia="宋体" w:cs="宋体"/>
          <w:b/>
          <w:color w:val="auto"/>
          <w:spacing w:val="40"/>
          <w:sz w:val="30"/>
          <w:szCs w:val="30"/>
          <w:highlight w:val="none"/>
        </w:rPr>
        <w:t>月</w:t>
      </w:r>
    </w:p>
    <w:p w14:paraId="5B940C83">
      <w:pPr>
        <w:spacing w:line="6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pacing w:val="40"/>
          <w:sz w:val="30"/>
          <w:szCs w:val="30"/>
          <w:highlight w:val="none"/>
        </w:rPr>
        <w:br w:type="page"/>
      </w:r>
      <w:r>
        <w:rPr>
          <w:rFonts w:hint="eastAsia" w:ascii="宋体" w:hAnsi="宋体" w:eastAsia="宋体" w:cs="宋体"/>
          <w:b/>
          <w:bCs/>
          <w:color w:val="auto"/>
          <w:sz w:val="32"/>
          <w:szCs w:val="32"/>
          <w:highlight w:val="none"/>
        </w:rPr>
        <w:t>目    录</w:t>
      </w:r>
    </w:p>
    <w:p w14:paraId="578E2E9D">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TOC \o "1-3" \h \z \u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_Toc31357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浙江德丰项目管理有限公司关于温州市鹿城区旅游发展投资有限公司观光车采购项目（自主）的采购公告</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_Toc31357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3</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1397999E">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_Toc32285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第一部分    投标人须知</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_Toc32285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7</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292C9658">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_Toc4442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一、 投标人须知前附表</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_Toc4442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7</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78A85715">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_Toc4603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二、 说明</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_Toc4603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9</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05FD77C4">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_Toc25344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三、 采购文件</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_Toc25344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9</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3F4CB868">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_Toc12646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四、 投标文件的编制</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_Toc12646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10</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5B0038A1">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_Toc4932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五、 投标文件的递交</w:t>
      </w:r>
      <w:bookmarkStart w:id="201" w:name="_GoBack"/>
      <w:bookmarkEnd w:id="201"/>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_Toc4932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13</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6D1949CD">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_Toc4653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六、 开标和评标</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_Toc4653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13</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635565DD">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_Toc17627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七、 授予合同</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_Toc17627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16</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7DC3FDD4">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_Toc1990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第二部分   采购内容及要求</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_Toc1990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18</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4460A1A9">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_Toc12944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第三部分   评标原则及方法</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_Toc12944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23</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4982547D">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_Toc2621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第四部分   合同格式</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_Toc2621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26</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1EB4CD6F">
      <w:pPr>
        <w:pStyle w:val="26"/>
        <w:tabs>
          <w:tab w:val="right" w:leader="dot" w:pos="9638"/>
          <w:tab w:val="clear" w:pos="9628"/>
        </w:tabs>
        <w:rPr>
          <w:rFonts w:hint="eastAsia" w:ascii="宋体" w:hAnsi="宋体" w:eastAsia="宋体" w:cs="宋体"/>
          <w:color w:val="auto"/>
          <w:szCs w:val="30"/>
          <w:highlight w:val="none"/>
          <w:lang w:val="en-US" w:eastAsia="zh-CN"/>
        </w:rPr>
      </w:pP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HYPERLINK \l _Toc8971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第五部分   附件</w:t>
      </w:r>
      <w:r>
        <w:rPr>
          <w:rFonts w:hint="eastAsia" w:ascii="宋体" w:hAnsi="宋体" w:eastAsia="宋体" w:cs="宋体"/>
          <w:color w:val="auto"/>
          <w:szCs w:val="30"/>
          <w:highlight w:val="none"/>
          <w:lang w:val="en-US" w:eastAsia="zh-CN"/>
        </w:rPr>
        <w:tab/>
      </w:r>
      <w:r>
        <w:rPr>
          <w:rFonts w:hint="eastAsia" w:ascii="宋体" w:hAnsi="宋体" w:eastAsia="宋体" w:cs="宋体"/>
          <w:color w:val="auto"/>
          <w:szCs w:val="30"/>
          <w:highlight w:val="none"/>
          <w:lang w:val="en-US" w:eastAsia="zh-CN"/>
        </w:rPr>
        <w:fldChar w:fldCharType="begin"/>
      </w:r>
      <w:r>
        <w:rPr>
          <w:rFonts w:hint="eastAsia" w:ascii="宋体" w:hAnsi="宋体" w:eastAsia="宋体" w:cs="宋体"/>
          <w:color w:val="auto"/>
          <w:szCs w:val="30"/>
          <w:highlight w:val="none"/>
          <w:lang w:val="en-US" w:eastAsia="zh-CN"/>
        </w:rPr>
        <w:instrText xml:space="preserve"> PAGEREF _Toc8971 \h </w:instrText>
      </w:r>
      <w:r>
        <w:rPr>
          <w:rFonts w:hint="eastAsia" w:ascii="宋体" w:hAnsi="宋体" w:eastAsia="宋体" w:cs="宋体"/>
          <w:color w:val="auto"/>
          <w:szCs w:val="30"/>
          <w:highlight w:val="none"/>
          <w:lang w:val="en-US" w:eastAsia="zh-CN"/>
        </w:rPr>
        <w:fldChar w:fldCharType="separate"/>
      </w:r>
      <w:r>
        <w:rPr>
          <w:rFonts w:hint="eastAsia" w:ascii="宋体" w:hAnsi="宋体" w:eastAsia="宋体" w:cs="宋体"/>
          <w:color w:val="auto"/>
          <w:szCs w:val="30"/>
          <w:highlight w:val="none"/>
          <w:lang w:val="en-US" w:eastAsia="zh-CN"/>
        </w:rPr>
        <w:t>32</w:t>
      </w:r>
      <w:r>
        <w:rPr>
          <w:rFonts w:hint="eastAsia" w:ascii="宋体" w:hAnsi="宋体" w:eastAsia="宋体" w:cs="宋体"/>
          <w:color w:val="auto"/>
          <w:szCs w:val="30"/>
          <w:highlight w:val="none"/>
          <w:lang w:val="en-US" w:eastAsia="zh-CN"/>
        </w:rPr>
        <w:fldChar w:fldCharType="end"/>
      </w:r>
      <w:r>
        <w:rPr>
          <w:rFonts w:hint="eastAsia" w:ascii="宋体" w:hAnsi="宋体" w:eastAsia="宋体" w:cs="宋体"/>
          <w:color w:val="auto"/>
          <w:szCs w:val="30"/>
          <w:highlight w:val="none"/>
          <w:lang w:val="en-US" w:eastAsia="zh-CN"/>
        </w:rPr>
        <w:fldChar w:fldCharType="end"/>
      </w:r>
    </w:p>
    <w:p w14:paraId="18FE2574">
      <w:pPr>
        <w:pStyle w:val="26"/>
        <w:tabs>
          <w:tab w:val="right" w:leader="dot" w:pos="9638"/>
          <w:tab w:val="clear" w:pos="9628"/>
        </w:tabs>
        <w:rPr>
          <w:rFonts w:hint="eastAsia" w:ascii="宋体" w:hAnsi="宋体" w:eastAsia="宋体" w:cs="宋体"/>
          <w:b/>
          <w:bCs w:val="0"/>
          <w:color w:val="auto"/>
          <w:sz w:val="22"/>
          <w:szCs w:val="22"/>
          <w:highlight w:val="none"/>
        </w:rPr>
      </w:pPr>
      <w:r>
        <w:rPr>
          <w:rFonts w:hint="eastAsia" w:ascii="宋体" w:hAnsi="宋体" w:eastAsia="宋体" w:cs="宋体"/>
          <w:color w:val="auto"/>
          <w:szCs w:val="30"/>
          <w:highlight w:val="none"/>
          <w:lang w:val="en-US" w:eastAsia="zh-CN"/>
        </w:rPr>
        <w:fldChar w:fldCharType="end"/>
      </w:r>
    </w:p>
    <w:p w14:paraId="5498C88B">
      <w:pPr>
        <w:spacing w:line="5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注：采购文件中部分加“▲”及加下划线的条款，为采购的实质性要求和条件，着重提醒各投标人注意，并认真查看采购文件中的每一个条款及要求，因误读采购文件而造成的后果，采购人概不负责。</w:t>
      </w:r>
    </w:p>
    <w:p w14:paraId="6B7C4C05">
      <w:pPr>
        <w:spacing w:line="560" w:lineRule="exact"/>
        <w:rPr>
          <w:rFonts w:hint="eastAsia" w:ascii="宋体" w:hAnsi="宋体" w:eastAsia="宋体" w:cs="宋体"/>
          <w:b/>
          <w:bCs/>
          <w:color w:val="auto"/>
          <w:sz w:val="22"/>
          <w:szCs w:val="22"/>
          <w:highlight w:val="none"/>
        </w:rPr>
      </w:pPr>
    </w:p>
    <w:p w14:paraId="679BD266">
      <w:pPr>
        <w:spacing w:line="380" w:lineRule="exact"/>
        <w:ind w:right="720"/>
        <w:rPr>
          <w:rFonts w:hint="eastAsia" w:ascii="宋体" w:hAnsi="宋体" w:eastAsia="宋体" w:cs="宋体"/>
          <w:color w:val="auto"/>
          <w:sz w:val="22"/>
          <w:szCs w:val="22"/>
          <w:highlight w:val="none"/>
        </w:rPr>
      </w:pPr>
    </w:p>
    <w:p w14:paraId="1F32CF12">
      <w:pPr>
        <w:spacing w:line="380" w:lineRule="exact"/>
        <w:ind w:right="720"/>
        <w:rPr>
          <w:rFonts w:hint="eastAsia" w:ascii="宋体" w:hAnsi="宋体" w:eastAsia="宋体" w:cs="宋体"/>
          <w:color w:val="auto"/>
          <w:sz w:val="22"/>
          <w:szCs w:val="22"/>
          <w:highlight w:val="none"/>
        </w:rPr>
      </w:pPr>
    </w:p>
    <w:p w14:paraId="1DB02469">
      <w:pPr>
        <w:spacing w:line="380" w:lineRule="exact"/>
        <w:ind w:right="720"/>
        <w:rPr>
          <w:rFonts w:hint="eastAsia" w:ascii="宋体" w:hAnsi="宋体" w:eastAsia="宋体" w:cs="宋体"/>
          <w:b/>
          <w:color w:val="auto"/>
          <w:kern w:val="0"/>
          <w:sz w:val="28"/>
          <w:szCs w:val="28"/>
          <w:highlight w:val="none"/>
        </w:rPr>
      </w:pPr>
      <w:r>
        <w:rPr>
          <w:rFonts w:hint="eastAsia" w:ascii="宋体" w:hAnsi="宋体" w:eastAsia="宋体" w:cs="宋体"/>
          <w:color w:val="auto"/>
          <w:sz w:val="22"/>
          <w:szCs w:val="22"/>
          <w:highlight w:val="none"/>
        </w:rPr>
        <w:br w:type="page"/>
      </w:r>
    </w:p>
    <w:p w14:paraId="1D88F89F">
      <w:pPr>
        <w:pStyle w:val="4"/>
        <w:tabs>
          <w:tab w:val="left" w:pos="840"/>
        </w:tabs>
        <w:rPr>
          <w:rFonts w:hint="eastAsia" w:ascii="宋体" w:hAnsi="宋体" w:eastAsia="宋体" w:cs="宋体"/>
          <w:color w:val="auto"/>
          <w:sz w:val="30"/>
          <w:szCs w:val="30"/>
          <w:highlight w:val="none"/>
          <w:lang w:eastAsia="zh-CN"/>
        </w:rPr>
      </w:pPr>
      <w:bookmarkStart w:id="0" w:name="_Toc31357"/>
      <w:bookmarkStart w:id="1" w:name="_Toc44227979"/>
      <w:r>
        <w:rPr>
          <w:rFonts w:hint="eastAsia" w:ascii="宋体" w:hAnsi="宋体" w:eastAsia="宋体" w:cs="宋体"/>
          <w:color w:val="auto"/>
          <w:sz w:val="30"/>
          <w:szCs w:val="30"/>
          <w:highlight w:val="none"/>
          <w:lang w:val="en-US" w:eastAsia="zh-CN"/>
        </w:rPr>
        <w:t>浙江德丰项目管理有限公司</w:t>
      </w:r>
      <w:r>
        <w:rPr>
          <w:rFonts w:hint="eastAsia" w:ascii="宋体" w:hAnsi="宋体" w:eastAsia="宋体" w:cs="宋体"/>
          <w:color w:val="auto"/>
          <w:sz w:val="30"/>
          <w:szCs w:val="30"/>
          <w:highlight w:val="none"/>
          <w:lang w:eastAsia="zh-CN"/>
        </w:rPr>
        <w:t>关于温州市鹿城区旅游发展投资有限公司观光车采购项目（自主）的采购公告</w:t>
      </w:r>
      <w:bookmarkEnd w:id="0"/>
      <w:bookmarkEnd w:id="1"/>
    </w:p>
    <w:p w14:paraId="3CDC63CA">
      <w:pPr>
        <w:widowControl/>
        <w:spacing w:line="400" w:lineRule="exact"/>
        <w:jc w:val="center"/>
        <w:rPr>
          <w:rFonts w:hint="eastAsia" w:ascii="宋体" w:hAnsi="宋体" w:eastAsia="宋体" w:cs="宋体"/>
          <w:b/>
          <w:color w:val="auto"/>
          <w:kern w:val="0"/>
          <w:sz w:val="24"/>
          <w:highlight w:val="none"/>
        </w:rPr>
      </w:pPr>
    </w:p>
    <w:p w14:paraId="61EE5F68">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根据</w:t>
      </w:r>
      <w:r>
        <w:rPr>
          <w:rFonts w:hint="eastAsia" w:ascii="宋体" w:hAnsi="宋体" w:eastAsia="宋体" w:cs="宋体"/>
          <w:color w:val="auto"/>
          <w:kern w:val="0"/>
          <w:sz w:val="22"/>
          <w:szCs w:val="22"/>
          <w:highlight w:val="none"/>
          <w:lang w:eastAsia="zh-CN"/>
        </w:rPr>
        <w:t>《温州市鹿城区区属国有企业采购指导意见（试行）》</w:t>
      </w:r>
      <w:r>
        <w:rPr>
          <w:rFonts w:hint="eastAsia" w:ascii="宋体" w:hAnsi="宋体" w:eastAsia="宋体" w:cs="宋体"/>
          <w:color w:val="auto"/>
          <w:kern w:val="0"/>
          <w:sz w:val="22"/>
          <w:szCs w:val="22"/>
          <w:highlight w:val="none"/>
        </w:rPr>
        <w:t>等有关规定，</w:t>
      </w:r>
      <w:r>
        <w:rPr>
          <w:rFonts w:hint="eastAsia" w:ascii="宋体" w:hAnsi="宋体" w:eastAsia="宋体" w:cs="宋体"/>
          <w:color w:val="auto"/>
          <w:kern w:val="0"/>
          <w:sz w:val="22"/>
          <w:szCs w:val="22"/>
          <w:highlight w:val="none"/>
          <w:lang w:eastAsia="zh-CN"/>
        </w:rPr>
        <w:t>浙江德丰项目管理有限公司</w:t>
      </w:r>
      <w:r>
        <w:rPr>
          <w:rFonts w:hint="eastAsia" w:ascii="宋体" w:hAnsi="宋体" w:eastAsia="宋体" w:cs="宋体"/>
          <w:color w:val="auto"/>
          <w:kern w:val="0"/>
          <w:sz w:val="22"/>
          <w:szCs w:val="22"/>
          <w:highlight w:val="none"/>
        </w:rPr>
        <w:t>受</w:t>
      </w:r>
      <w:r>
        <w:rPr>
          <w:rFonts w:hint="eastAsia" w:ascii="宋体" w:hAnsi="宋体" w:eastAsia="宋体" w:cs="宋体"/>
          <w:color w:val="auto"/>
          <w:kern w:val="0"/>
          <w:sz w:val="22"/>
          <w:szCs w:val="22"/>
          <w:highlight w:val="none"/>
          <w:lang w:eastAsia="zh-CN"/>
        </w:rPr>
        <w:t>温州市鹿城区旅游发展投资有限公司</w:t>
      </w:r>
      <w:r>
        <w:rPr>
          <w:rFonts w:hint="eastAsia" w:ascii="宋体" w:hAnsi="宋体" w:eastAsia="宋体" w:cs="宋体"/>
          <w:color w:val="auto"/>
          <w:kern w:val="0"/>
          <w:sz w:val="22"/>
          <w:szCs w:val="22"/>
          <w:highlight w:val="none"/>
        </w:rPr>
        <w:t>委托，就</w:t>
      </w:r>
      <w:r>
        <w:rPr>
          <w:rFonts w:hint="eastAsia" w:ascii="宋体" w:hAnsi="宋体" w:eastAsia="宋体" w:cs="宋体"/>
          <w:bCs/>
          <w:color w:val="auto"/>
          <w:kern w:val="0"/>
          <w:sz w:val="22"/>
          <w:szCs w:val="22"/>
          <w:highlight w:val="none"/>
          <w:lang w:eastAsia="zh-CN"/>
        </w:rPr>
        <w:t>温州市鹿城区旅游发展投资有限公司观光车采购项目</w:t>
      </w:r>
      <w:r>
        <w:rPr>
          <w:rFonts w:hint="eastAsia" w:ascii="宋体" w:hAnsi="宋体" w:eastAsia="宋体" w:cs="宋体"/>
          <w:color w:val="auto"/>
          <w:kern w:val="0"/>
          <w:sz w:val="22"/>
          <w:szCs w:val="22"/>
          <w:highlight w:val="none"/>
        </w:rPr>
        <w:t>以公开招标方式进行国企采购，欢迎国内合格的投标人前来投标。</w:t>
      </w:r>
    </w:p>
    <w:p w14:paraId="2D649FA8">
      <w:pPr>
        <w:widowControl/>
        <w:spacing w:line="400" w:lineRule="exact"/>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rPr>
        <w:t>一、采购编号：</w:t>
      </w:r>
      <w:r>
        <w:rPr>
          <w:rFonts w:hint="eastAsia" w:ascii="宋体" w:hAnsi="宋体" w:eastAsia="宋体" w:cs="宋体"/>
          <w:b/>
          <w:bCs/>
          <w:color w:val="auto"/>
          <w:kern w:val="0"/>
          <w:sz w:val="22"/>
          <w:szCs w:val="22"/>
          <w:highlight w:val="none"/>
          <w:lang w:eastAsia="zh-CN"/>
        </w:rPr>
        <w:t>ZJDFZB-2025060175</w:t>
      </w:r>
    </w:p>
    <w:p w14:paraId="2AFA2A3C">
      <w:pPr>
        <w:widowControl/>
        <w:spacing w:line="40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二、采购类型：国企采购（非政府采购项目）</w:t>
      </w:r>
    </w:p>
    <w:p w14:paraId="17CB8546">
      <w:pPr>
        <w:widowControl/>
        <w:spacing w:line="40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三、采购项目概况：（内容、用途、数量、简要技术要求等）</w:t>
      </w:r>
    </w:p>
    <w:tbl>
      <w:tblPr>
        <w:tblStyle w:val="34"/>
        <w:tblW w:w="4998" w:type="pct"/>
        <w:tblInd w:w="0" w:type="dxa"/>
        <w:tblLayout w:type="autofit"/>
        <w:tblCellMar>
          <w:top w:w="0" w:type="dxa"/>
          <w:left w:w="108" w:type="dxa"/>
          <w:bottom w:w="0" w:type="dxa"/>
          <w:right w:w="108" w:type="dxa"/>
        </w:tblCellMar>
      </w:tblPr>
      <w:tblGrid>
        <w:gridCol w:w="966"/>
        <w:gridCol w:w="2906"/>
        <w:gridCol w:w="2025"/>
        <w:gridCol w:w="4287"/>
      </w:tblGrid>
      <w:tr w14:paraId="41F0EC12">
        <w:tblPrEx>
          <w:tblCellMar>
            <w:top w:w="0" w:type="dxa"/>
            <w:left w:w="108" w:type="dxa"/>
            <w:bottom w:w="0" w:type="dxa"/>
            <w:right w:w="108" w:type="dxa"/>
          </w:tblCellMar>
        </w:tblPrEx>
        <w:trPr>
          <w:trHeight w:val="759" w:hRule="atLeast"/>
        </w:trPr>
        <w:tc>
          <w:tcPr>
            <w:tcW w:w="47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1F7EEC">
            <w:pPr>
              <w:widowControl/>
              <w:spacing w:before="60" w:after="60"/>
              <w:ind w:left="60" w:right="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序号</w:t>
            </w:r>
          </w:p>
        </w:tc>
        <w:tc>
          <w:tcPr>
            <w:tcW w:w="14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9C173">
            <w:pPr>
              <w:widowControl/>
              <w:spacing w:before="60" w:after="60"/>
              <w:ind w:left="60" w:right="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标项内容</w:t>
            </w:r>
          </w:p>
        </w:tc>
        <w:tc>
          <w:tcPr>
            <w:tcW w:w="99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CB3446">
            <w:pPr>
              <w:widowControl/>
              <w:spacing w:before="60" w:after="60"/>
              <w:ind w:left="60" w:right="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预算</w:t>
            </w:r>
          </w:p>
          <w:p w14:paraId="7AE60809">
            <w:pPr>
              <w:widowControl/>
              <w:spacing w:before="60" w:after="60"/>
              <w:ind w:left="60" w:right="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金额</w:t>
            </w:r>
          </w:p>
        </w:tc>
        <w:tc>
          <w:tcPr>
            <w:tcW w:w="210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6DE72A">
            <w:pPr>
              <w:widowControl/>
              <w:spacing w:before="60" w:after="60"/>
              <w:ind w:left="60" w:right="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简要技术要求、用途</w:t>
            </w:r>
          </w:p>
        </w:tc>
      </w:tr>
      <w:tr w14:paraId="2850E066">
        <w:tblPrEx>
          <w:tblCellMar>
            <w:top w:w="0" w:type="dxa"/>
            <w:left w:w="108" w:type="dxa"/>
            <w:bottom w:w="0" w:type="dxa"/>
            <w:right w:w="108" w:type="dxa"/>
          </w:tblCellMar>
        </w:tblPrEx>
        <w:trPr>
          <w:trHeight w:val="998" w:hRule="atLeast"/>
        </w:trPr>
        <w:tc>
          <w:tcPr>
            <w:tcW w:w="47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D8C961">
            <w:pPr>
              <w:widowControl/>
              <w:spacing w:before="60" w:after="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1</w:t>
            </w:r>
          </w:p>
        </w:tc>
        <w:tc>
          <w:tcPr>
            <w:tcW w:w="142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FD8200">
            <w:pPr>
              <w:widowControl/>
              <w:spacing w:before="60" w:after="60"/>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 xml:space="preserve"> </w:t>
            </w:r>
            <w:r>
              <w:rPr>
                <w:rFonts w:hint="eastAsia" w:ascii="宋体" w:hAnsi="宋体" w:eastAsia="宋体" w:cs="宋体"/>
                <w:bCs/>
                <w:color w:val="auto"/>
                <w:kern w:val="0"/>
                <w:sz w:val="22"/>
                <w:szCs w:val="22"/>
                <w:highlight w:val="none"/>
                <w:lang w:eastAsia="zh-CN"/>
              </w:rPr>
              <w:t>温州市鹿城区旅游发展投资有限公司观光车采购项目</w:t>
            </w:r>
          </w:p>
        </w:tc>
        <w:tc>
          <w:tcPr>
            <w:tcW w:w="99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F4E40">
            <w:pPr>
              <w:widowControl/>
              <w:spacing w:before="60" w:after="60"/>
              <w:ind w:left="60" w:right="60"/>
              <w:jc w:val="center"/>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55万元</w:t>
            </w:r>
          </w:p>
        </w:tc>
        <w:tc>
          <w:tcPr>
            <w:tcW w:w="210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C95A55">
            <w:pPr>
              <w:widowControl/>
              <w:spacing w:before="60" w:after="60"/>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 xml:space="preserve"> </w:t>
            </w:r>
            <w:r>
              <w:rPr>
                <w:rFonts w:hint="eastAsia" w:ascii="宋体" w:hAnsi="宋体" w:eastAsia="宋体" w:cs="宋体"/>
                <w:bCs/>
                <w:color w:val="auto"/>
                <w:kern w:val="0"/>
                <w:sz w:val="22"/>
                <w:szCs w:val="22"/>
                <w:highlight w:val="none"/>
                <w:lang w:eastAsia="zh-CN"/>
              </w:rPr>
              <w:t>温州市鹿城区旅游发展投资有限公司观光车采购项目</w:t>
            </w:r>
            <w:r>
              <w:rPr>
                <w:rFonts w:hint="eastAsia" w:ascii="宋体" w:hAnsi="宋体" w:eastAsia="宋体" w:cs="宋体"/>
                <w:bCs/>
                <w:color w:val="auto"/>
                <w:kern w:val="0"/>
                <w:sz w:val="22"/>
                <w:szCs w:val="22"/>
                <w:highlight w:val="none"/>
              </w:rPr>
              <w:t>，具体采购内容及要求见采购文件相关部分。</w:t>
            </w:r>
          </w:p>
        </w:tc>
      </w:tr>
    </w:tbl>
    <w:p w14:paraId="128F6F19">
      <w:pPr>
        <w:widowControl/>
        <w:spacing w:line="40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四、投标人资格要求：</w:t>
      </w:r>
    </w:p>
    <w:p w14:paraId="15BC4556">
      <w:pPr>
        <w:tabs>
          <w:tab w:val="left" w:pos="360"/>
          <w:tab w:val="left" w:pos="992"/>
        </w:tabs>
        <w:spacing w:line="460" w:lineRule="exact"/>
        <w:ind w:left="42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（一）基本条件：</w:t>
      </w:r>
    </w:p>
    <w:p w14:paraId="6A115B47">
      <w:pPr>
        <w:widowControl/>
        <w:spacing w:before="60" w:after="60" w:line="360" w:lineRule="exact"/>
        <w:ind w:left="567" w:leftChars="270" w:right="60"/>
        <w:jc w:val="lef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（1）符合《温州市鹿城区区属国有企业采购指导意见（试行）》投标供应商参加国有企业采购活动应当具备的条件要求；</w:t>
      </w:r>
    </w:p>
    <w:p w14:paraId="4F3EA6A9">
      <w:pPr>
        <w:widowControl/>
        <w:spacing w:before="60" w:after="60" w:line="360" w:lineRule="exact"/>
        <w:ind w:left="567" w:leftChars="270" w:right="60"/>
        <w:jc w:val="left"/>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单位负责人为同一人或者存在直接控股、管理关系的不同投标人，不得参加同一合同项下的采购活动；</w:t>
      </w:r>
    </w:p>
    <w:p w14:paraId="43F51760">
      <w:pPr>
        <w:widowControl/>
        <w:spacing w:before="60" w:after="60" w:line="360" w:lineRule="exact"/>
        <w:ind w:left="567" w:leftChars="270" w:right="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lang w:val="zh-CN"/>
        </w:rPr>
        <w:t>投标人未被“信用中国”（www.creditchina.gov.cn）、中国政府采购网（www.ccgp.gov.cn）列入失信被执行人、重大税收违法案件当事人名单、采购严重违法失信行为记录名单；</w:t>
      </w:r>
    </w:p>
    <w:p w14:paraId="3878C0FE">
      <w:pPr>
        <w:tabs>
          <w:tab w:val="left" w:pos="360"/>
          <w:tab w:val="left" w:pos="992"/>
        </w:tabs>
        <w:spacing w:line="460" w:lineRule="exact"/>
        <w:ind w:left="42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（二）特定条件：</w:t>
      </w:r>
    </w:p>
    <w:p w14:paraId="48833E71">
      <w:pPr>
        <w:widowControl/>
        <w:spacing w:before="60" w:after="60" w:line="360" w:lineRule="exact"/>
        <w:ind w:left="567" w:leftChars="270" w:right="60"/>
        <w:jc w:val="left"/>
        <w:rPr>
          <w:rStyle w:val="37"/>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zh-CN"/>
        </w:rPr>
        <w:t>（1）</w:t>
      </w:r>
      <w:r>
        <w:rPr>
          <w:rStyle w:val="37"/>
          <w:rFonts w:hint="eastAsia" w:ascii="宋体" w:hAnsi="宋体" w:eastAsia="宋体" w:cs="宋体"/>
          <w:color w:val="auto"/>
          <w:sz w:val="22"/>
          <w:szCs w:val="22"/>
          <w:highlight w:val="none"/>
        </w:rPr>
        <w:t>投标人须是所投车辆的制造商或制造商对本项目唯一授权的代理商，若为代理商投标的需提供制造商的正式授权书；</w:t>
      </w:r>
    </w:p>
    <w:p w14:paraId="53A66377">
      <w:pPr>
        <w:widowControl/>
        <w:spacing w:before="60" w:after="60" w:line="360" w:lineRule="exact"/>
        <w:ind w:left="567" w:leftChars="270" w:right="60"/>
        <w:jc w:val="left"/>
        <w:rPr>
          <w:rFonts w:hint="eastAsia" w:ascii="宋体" w:hAnsi="宋体" w:eastAsia="宋体" w:cs="宋体"/>
          <w:b/>
          <w:color w:val="auto"/>
          <w:sz w:val="22"/>
          <w:szCs w:val="22"/>
          <w:highlight w:val="none"/>
        </w:rPr>
      </w:pPr>
      <w:r>
        <w:rPr>
          <w:rStyle w:val="37"/>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rPr>
        <w:t>本项目不接受联合体投标。</w:t>
      </w:r>
    </w:p>
    <w:p w14:paraId="7AF14767">
      <w:pPr>
        <w:widowControl/>
        <w:spacing w:line="400" w:lineRule="exact"/>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五、报名及采购文件发售：</w:t>
      </w:r>
    </w:p>
    <w:p w14:paraId="6CB4E83E">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1、报名时间：自本公告公布日起至截标之前，报名单位准备好资料均可报名（上午：8:30-11:30   下午：14:30-16:30  双休日及法定节假日除外）。</w:t>
      </w:r>
    </w:p>
    <w:p w14:paraId="7F668772">
      <w:pPr>
        <w:keepNext w:val="0"/>
        <w:keepLines w:val="0"/>
        <w:pageBreakBefore w:val="0"/>
        <w:widowControl/>
        <w:kinsoku/>
        <w:wordWrap/>
        <w:overflowPunct/>
        <w:topLinePunct w:val="0"/>
        <w:autoSpaceDE/>
        <w:autoSpaceDN/>
        <w:bidi w:val="0"/>
        <w:adjustRightInd/>
        <w:snapToGrid/>
        <w:spacing w:line="400" w:lineRule="exact"/>
        <w:ind w:firstLine="442" w:firstLineChars="200"/>
        <w:jc w:val="left"/>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rPr>
        <w:t>2、获取采购文件方式：在浙江政府采购网“乐采云”平台（www.lecaiyun.com）上自主报名（未注册的投标人请尽早注册，客服电话：95763），网上获取后直接下载采购文件(投标文件递交截止时间前获取均有效</w:t>
      </w:r>
      <w:r>
        <w:rPr>
          <w:rFonts w:hint="eastAsia" w:ascii="宋体" w:hAnsi="宋体" w:eastAsia="宋体" w:cs="宋体"/>
          <w:b/>
          <w:bCs/>
          <w:color w:val="auto"/>
          <w:kern w:val="0"/>
          <w:sz w:val="22"/>
          <w:szCs w:val="22"/>
          <w:highlight w:val="none"/>
          <w:lang w:eastAsia="zh-CN"/>
        </w:rPr>
        <w:t>，</w:t>
      </w:r>
      <w:r>
        <w:rPr>
          <w:rFonts w:hint="eastAsia" w:ascii="宋体" w:hAnsi="宋体" w:eastAsia="宋体" w:cs="宋体"/>
          <w:b/>
          <w:bCs/>
          <w:color w:val="auto"/>
          <w:kern w:val="0"/>
          <w:sz w:val="22"/>
          <w:szCs w:val="22"/>
          <w:highlight w:val="none"/>
        </w:rPr>
        <w:t>未购买采购文件的潜在投标人拒绝参加投标。)，同时将书面资料扫描发送至采购代理机构。</w:t>
      </w:r>
      <w:r>
        <w:rPr>
          <w:rFonts w:hint="eastAsia" w:ascii="宋体" w:hAnsi="宋体" w:eastAsia="宋体" w:cs="宋体"/>
          <w:b/>
          <w:bCs/>
          <w:color w:val="auto"/>
          <w:kern w:val="0"/>
          <w:sz w:val="22"/>
          <w:szCs w:val="22"/>
          <w:highlight w:val="none"/>
          <w:lang w:val="en-US" w:eastAsia="zh-CN"/>
        </w:rPr>
        <w:t xml:space="preserve"> </w:t>
      </w:r>
    </w:p>
    <w:p w14:paraId="6120B864">
      <w:pPr>
        <w:keepNext w:val="0"/>
        <w:keepLines w:val="0"/>
        <w:pageBreakBefore w:val="0"/>
        <w:widowControl/>
        <w:kinsoku/>
        <w:wordWrap/>
        <w:overflowPunct/>
        <w:topLinePunct w:val="0"/>
        <w:autoSpaceDE/>
        <w:autoSpaceDN/>
        <w:bidi w:val="0"/>
        <w:adjustRightInd/>
        <w:snapToGrid/>
        <w:spacing w:line="400" w:lineRule="exact"/>
        <w:ind w:firstLine="442"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3、供应商网上报名操作指南：“乐采云平台－服务中心－帮助文档－注册与系统管理-乐采云注册与系统管理－供应商（完整版）”（https://lecaiyun.com/helpcenter/document#/document/detail?siteCode=lecaiyun&amp;manualId=2169&amp;topicId=12485）。</w:t>
      </w:r>
    </w:p>
    <w:p w14:paraId="219E8A14">
      <w:pPr>
        <w:widowControl/>
        <w:spacing w:line="400" w:lineRule="exact"/>
        <w:ind w:firstLine="442" w:firstLineChars="20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注：请供应商按上述要求获取采购文件，如未在“乐采云”系统内完成相关流程，引起的投标无效，责任自负。</w:t>
      </w:r>
    </w:p>
    <w:p w14:paraId="64398D3E">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4、采购文件售价：人民币500元整(售后不退)</w:t>
      </w:r>
    </w:p>
    <w:p w14:paraId="72286448">
      <w:pPr>
        <w:widowControl/>
        <w:spacing w:line="380" w:lineRule="exact"/>
        <w:jc w:val="left"/>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六、</w:t>
      </w:r>
      <w:r>
        <w:rPr>
          <w:rFonts w:hint="eastAsia" w:ascii="宋体" w:hAnsi="宋体" w:eastAsia="宋体" w:cs="宋体"/>
          <w:b/>
          <w:bCs/>
          <w:color w:val="auto"/>
          <w:kern w:val="0"/>
          <w:sz w:val="22"/>
          <w:szCs w:val="22"/>
          <w:highlight w:val="none"/>
        </w:rPr>
        <w:t>投标及开标信息</w:t>
      </w:r>
    </w:p>
    <w:p w14:paraId="6B85744B">
      <w:pPr>
        <w:widowControl/>
        <w:spacing w:line="440" w:lineRule="exact"/>
        <w:ind w:firstLine="543" w:firstLineChars="246"/>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投标截止时间：</w:t>
      </w:r>
      <w:bookmarkStart w:id="2" w:name="B23_谈判响应文件提交截止日期"/>
      <w:bookmarkEnd w:id="2"/>
      <w:r>
        <w:rPr>
          <w:rFonts w:hint="eastAsia" w:ascii="宋体" w:hAnsi="宋体" w:eastAsia="宋体" w:cs="宋体"/>
          <w:b/>
          <w:bCs/>
          <w:color w:val="auto"/>
          <w:kern w:val="0"/>
          <w:sz w:val="22"/>
          <w:szCs w:val="22"/>
          <w:highlight w:val="none"/>
          <w:lang w:eastAsia="zh-CN"/>
        </w:rPr>
        <w:t>2025年0</w:t>
      </w:r>
      <w:r>
        <w:rPr>
          <w:rFonts w:hint="eastAsia" w:ascii="宋体" w:hAnsi="宋体" w:eastAsia="宋体" w:cs="宋体"/>
          <w:b/>
          <w:bCs/>
          <w:color w:val="auto"/>
          <w:kern w:val="0"/>
          <w:sz w:val="22"/>
          <w:szCs w:val="22"/>
          <w:highlight w:val="none"/>
          <w:lang w:val="en-US" w:eastAsia="zh-CN"/>
        </w:rPr>
        <w:t>8</w:t>
      </w:r>
      <w:r>
        <w:rPr>
          <w:rFonts w:hint="eastAsia" w:ascii="宋体" w:hAnsi="宋体" w:eastAsia="宋体" w:cs="宋体"/>
          <w:b/>
          <w:bCs/>
          <w:color w:val="auto"/>
          <w:kern w:val="0"/>
          <w:sz w:val="22"/>
          <w:szCs w:val="22"/>
          <w:highlight w:val="none"/>
          <w:lang w:eastAsia="zh-CN"/>
        </w:rPr>
        <w:t>月</w:t>
      </w:r>
      <w:r>
        <w:rPr>
          <w:rFonts w:hint="eastAsia" w:ascii="宋体" w:hAnsi="宋体" w:eastAsia="宋体" w:cs="宋体"/>
          <w:b/>
          <w:bCs/>
          <w:color w:val="auto"/>
          <w:kern w:val="0"/>
          <w:sz w:val="22"/>
          <w:szCs w:val="22"/>
          <w:highlight w:val="none"/>
          <w:lang w:val="en-US" w:eastAsia="zh-CN"/>
        </w:rPr>
        <w:t>06</w:t>
      </w:r>
      <w:r>
        <w:rPr>
          <w:rFonts w:hint="eastAsia" w:ascii="宋体" w:hAnsi="宋体" w:eastAsia="宋体" w:cs="宋体"/>
          <w:b/>
          <w:bCs/>
          <w:color w:val="auto"/>
          <w:kern w:val="0"/>
          <w:sz w:val="22"/>
          <w:szCs w:val="22"/>
          <w:highlight w:val="none"/>
          <w:lang w:eastAsia="zh-CN"/>
        </w:rPr>
        <w:t>日09时30分</w:t>
      </w:r>
      <w:r>
        <w:rPr>
          <w:rFonts w:hint="eastAsia" w:ascii="宋体" w:hAnsi="宋体" w:eastAsia="宋体" w:cs="宋体"/>
          <w:b/>
          <w:bCs/>
          <w:color w:val="auto"/>
          <w:kern w:val="0"/>
          <w:sz w:val="22"/>
          <w:szCs w:val="22"/>
          <w:highlight w:val="none"/>
        </w:rPr>
        <w:t>整。</w:t>
      </w:r>
    </w:p>
    <w:p w14:paraId="5577CC91">
      <w:pPr>
        <w:widowControl/>
        <w:spacing w:line="400" w:lineRule="exact"/>
        <w:ind w:firstLine="442" w:firstLineChars="200"/>
        <w:jc w:val="left"/>
        <w:rPr>
          <w:rFonts w:hint="eastAsia" w:ascii="宋体" w:hAnsi="宋体" w:eastAsia="宋体" w:cs="宋体"/>
          <w:color w:val="auto"/>
          <w:kern w:val="0"/>
          <w:sz w:val="22"/>
          <w:szCs w:val="22"/>
          <w:highlight w:val="none"/>
        </w:rPr>
      </w:pPr>
      <w:r>
        <w:rPr>
          <w:rFonts w:hint="eastAsia" w:ascii="宋体" w:hAnsi="宋体" w:eastAsia="宋体" w:cs="宋体"/>
          <w:b/>
          <w:bCs/>
          <w:color w:val="auto"/>
          <w:kern w:val="0"/>
          <w:sz w:val="22"/>
          <w:szCs w:val="22"/>
          <w:highlight w:val="none"/>
        </w:rPr>
        <w:t>投标文件递交地点：</w:t>
      </w:r>
      <w:r>
        <w:rPr>
          <w:rFonts w:hint="eastAsia" w:ascii="宋体" w:hAnsi="宋体" w:eastAsia="宋体" w:cs="宋体"/>
          <w:color w:val="auto"/>
          <w:kern w:val="0"/>
          <w:sz w:val="22"/>
          <w:szCs w:val="22"/>
          <w:highlight w:val="none"/>
          <w:lang w:eastAsia="zh-CN"/>
        </w:rPr>
        <w:t>温州市鹿城区南汇街道锦江路458号深蓝国际大厦501-1西首</w:t>
      </w:r>
      <w:r>
        <w:rPr>
          <w:rFonts w:hint="eastAsia" w:ascii="宋体" w:hAnsi="宋体" w:eastAsia="宋体" w:cs="宋体"/>
          <w:color w:val="auto"/>
          <w:kern w:val="0"/>
          <w:sz w:val="22"/>
          <w:szCs w:val="22"/>
          <w:highlight w:val="none"/>
        </w:rPr>
        <w:t>。</w:t>
      </w:r>
    </w:p>
    <w:p w14:paraId="009C06E4">
      <w:pPr>
        <w:widowControl/>
        <w:spacing w:before="60" w:after="60" w:line="380" w:lineRule="exact"/>
        <w:ind w:left="61" w:leftChars="29" w:right="60" w:firstLine="433" w:firstLineChars="196"/>
        <w:jc w:val="left"/>
        <w:rPr>
          <w:rFonts w:hint="eastAsia" w:ascii="宋体" w:hAnsi="宋体" w:eastAsia="宋体" w:cs="宋体"/>
          <w:bCs/>
          <w:color w:val="auto"/>
          <w:kern w:val="0"/>
          <w:sz w:val="22"/>
          <w:szCs w:val="22"/>
          <w:highlight w:val="none"/>
        </w:rPr>
      </w:pPr>
      <w:r>
        <w:rPr>
          <w:rFonts w:hint="eastAsia" w:ascii="宋体" w:hAnsi="宋体" w:eastAsia="宋体" w:cs="宋体"/>
          <w:b/>
          <w:bCs/>
          <w:color w:val="auto"/>
          <w:kern w:val="0"/>
          <w:sz w:val="22"/>
          <w:szCs w:val="22"/>
          <w:highlight w:val="none"/>
        </w:rPr>
        <w:t>开标时间</w:t>
      </w:r>
      <w:r>
        <w:rPr>
          <w:rFonts w:hint="eastAsia" w:ascii="宋体" w:hAnsi="宋体" w:eastAsia="宋体" w:cs="宋体"/>
          <w:bCs/>
          <w:color w:val="auto"/>
          <w:kern w:val="0"/>
          <w:sz w:val="22"/>
          <w:szCs w:val="22"/>
          <w:highlight w:val="none"/>
        </w:rPr>
        <w:t>：</w:t>
      </w:r>
      <w:bookmarkStart w:id="3" w:name="B26_谈判时间日期"/>
      <w:bookmarkEnd w:id="3"/>
      <w:r>
        <w:rPr>
          <w:rFonts w:hint="eastAsia" w:ascii="宋体" w:hAnsi="宋体" w:eastAsia="宋体" w:cs="宋体"/>
          <w:b/>
          <w:bCs/>
          <w:color w:val="auto"/>
          <w:kern w:val="0"/>
          <w:sz w:val="22"/>
          <w:szCs w:val="22"/>
          <w:highlight w:val="none"/>
          <w:lang w:eastAsia="zh-CN"/>
        </w:rPr>
        <w:t>2025年0</w:t>
      </w:r>
      <w:r>
        <w:rPr>
          <w:rFonts w:hint="eastAsia" w:ascii="宋体" w:hAnsi="宋体" w:eastAsia="宋体" w:cs="宋体"/>
          <w:b/>
          <w:bCs/>
          <w:color w:val="auto"/>
          <w:kern w:val="0"/>
          <w:sz w:val="22"/>
          <w:szCs w:val="22"/>
          <w:highlight w:val="none"/>
          <w:lang w:val="en-US" w:eastAsia="zh-CN"/>
        </w:rPr>
        <w:t>8</w:t>
      </w:r>
      <w:r>
        <w:rPr>
          <w:rFonts w:hint="eastAsia" w:ascii="宋体" w:hAnsi="宋体" w:eastAsia="宋体" w:cs="宋体"/>
          <w:b/>
          <w:bCs/>
          <w:color w:val="auto"/>
          <w:kern w:val="0"/>
          <w:sz w:val="22"/>
          <w:szCs w:val="22"/>
          <w:highlight w:val="none"/>
          <w:lang w:eastAsia="zh-CN"/>
        </w:rPr>
        <w:t>月</w:t>
      </w:r>
      <w:r>
        <w:rPr>
          <w:rFonts w:hint="eastAsia" w:ascii="宋体" w:hAnsi="宋体" w:eastAsia="宋体" w:cs="宋体"/>
          <w:b/>
          <w:bCs/>
          <w:color w:val="auto"/>
          <w:kern w:val="0"/>
          <w:sz w:val="22"/>
          <w:szCs w:val="22"/>
          <w:highlight w:val="none"/>
          <w:lang w:val="en-US" w:eastAsia="zh-CN"/>
        </w:rPr>
        <w:t>06</w:t>
      </w:r>
      <w:r>
        <w:rPr>
          <w:rFonts w:hint="eastAsia" w:ascii="宋体" w:hAnsi="宋体" w:eastAsia="宋体" w:cs="宋体"/>
          <w:b/>
          <w:bCs/>
          <w:color w:val="auto"/>
          <w:kern w:val="0"/>
          <w:sz w:val="22"/>
          <w:szCs w:val="22"/>
          <w:highlight w:val="none"/>
          <w:lang w:eastAsia="zh-CN"/>
        </w:rPr>
        <w:t>日09时30分</w:t>
      </w:r>
      <w:r>
        <w:rPr>
          <w:rFonts w:hint="eastAsia" w:ascii="宋体" w:hAnsi="宋体" w:eastAsia="宋体" w:cs="宋体"/>
          <w:b/>
          <w:bCs/>
          <w:color w:val="auto"/>
          <w:kern w:val="0"/>
          <w:sz w:val="22"/>
          <w:szCs w:val="22"/>
          <w:highlight w:val="none"/>
        </w:rPr>
        <w:t>整。</w:t>
      </w:r>
    </w:p>
    <w:p w14:paraId="5771FC24">
      <w:pPr>
        <w:widowControl/>
        <w:spacing w:line="400" w:lineRule="exact"/>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kern w:val="0"/>
          <w:sz w:val="22"/>
          <w:szCs w:val="22"/>
          <w:highlight w:val="none"/>
        </w:rPr>
        <w:t>开标地点</w:t>
      </w:r>
      <w:r>
        <w:rPr>
          <w:rFonts w:hint="eastAsia" w:ascii="宋体" w:hAnsi="宋体" w:eastAsia="宋体" w:cs="宋体"/>
          <w:bCs/>
          <w:color w:val="auto"/>
          <w:kern w:val="0"/>
          <w:sz w:val="22"/>
          <w:szCs w:val="22"/>
          <w:highlight w:val="none"/>
        </w:rPr>
        <w:t>：</w:t>
      </w:r>
      <w:r>
        <w:rPr>
          <w:rFonts w:hint="eastAsia" w:ascii="宋体" w:hAnsi="宋体" w:eastAsia="宋体" w:cs="宋体"/>
          <w:color w:val="auto"/>
          <w:kern w:val="0"/>
          <w:sz w:val="22"/>
          <w:szCs w:val="22"/>
          <w:highlight w:val="none"/>
          <w:lang w:eastAsia="zh-CN"/>
        </w:rPr>
        <w:t>温州市鹿城区南汇街道锦江路458号深蓝国际大厦501-1西首</w:t>
      </w:r>
      <w:r>
        <w:rPr>
          <w:rFonts w:hint="eastAsia" w:ascii="宋体" w:hAnsi="宋体" w:eastAsia="宋体" w:cs="宋体"/>
          <w:color w:val="auto"/>
          <w:sz w:val="22"/>
          <w:szCs w:val="22"/>
          <w:highlight w:val="none"/>
        </w:rPr>
        <w:t>。</w:t>
      </w:r>
    </w:p>
    <w:p w14:paraId="2F146137">
      <w:pPr>
        <w:widowControl/>
        <w:numPr>
          <w:ilvl w:val="0"/>
          <w:numId w:val="3"/>
        </w:numPr>
        <w:spacing w:line="380" w:lineRule="exact"/>
        <w:jc w:val="lef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投标保证金及交付方式：</w:t>
      </w:r>
    </w:p>
    <w:p w14:paraId="3621CBE5">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 投标保证金：人民币伍仟元整（¥5000.00元）（投标人须在投标截止时间前将投标保证金以银行转账形式缴纳并到账，汇出账号须为投标人银行账户），保证金交纳时间以到账时间为准。</w:t>
      </w:r>
    </w:p>
    <w:p w14:paraId="3CE52FEE">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银行电汇或转账支票直接缴入以下收款人账户：</w:t>
      </w:r>
    </w:p>
    <w:p w14:paraId="4D44B60D">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户名：浙江德丰项目管理有限公司</w:t>
      </w:r>
    </w:p>
    <w:p w14:paraId="1D3D7813">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账号：6232593499229059290</w:t>
      </w:r>
    </w:p>
    <w:p w14:paraId="0E32FBAF">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开户行：广发银行温州分行营业部</w:t>
      </w:r>
    </w:p>
    <w:p w14:paraId="4819F86E">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 投标人缴纳投标保证金后，请携带投标保证金缴纳凭证（银行转账支票进账单、电汇单等，缴纳保证金用途必须注明采购项目名称）复印件在递交投标文件时递交给采购代理机构。</w:t>
      </w:r>
    </w:p>
    <w:p w14:paraId="17B3F4B7">
      <w:pPr>
        <w:widowControl/>
        <w:spacing w:before="60" w:after="60" w:line="360" w:lineRule="exact"/>
        <w:ind w:left="60" w:right="6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八</w:t>
      </w:r>
      <w:r>
        <w:rPr>
          <w:rFonts w:hint="eastAsia" w:ascii="宋体" w:hAnsi="宋体" w:eastAsia="宋体" w:cs="宋体"/>
          <w:b/>
          <w:bCs/>
          <w:color w:val="auto"/>
          <w:kern w:val="0"/>
          <w:sz w:val="22"/>
          <w:szCs w:val="22"/>
          <w:highlight w:val="none"/>
        </w:rPr>
        <w:t>、其他事项：</w:t>
      </w:r>
    </w:p>
    <w:p w14:paraId="704D8356">
      <w:pPr>
        <w:widowControl/>
        <w:numPr>
          <w:ilvl w:val="0"/>
          <w:numId w:val="4"/>
        </w:numPr>
        <w:spacing w:before="60" w:after="60" w:line="380" w:lineRule="exact"/>
        <w:ind w:right="62"/>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购买采购文件时须提交的文件资料：</w:t>
      </w:r>
    </w:p>
    <w:p w14:paraId="2C31AD5F">
      <w:pPr>
        <w:widowControl/>
        <w:numPr>
          <w:ilvl w:val="0"/>
          <w:numId w:val="5"/>
        </w:numPr>
        <w:spacing w:before="60" w:after="60" w:line="380" w:lineRule="exact"/>
        <w:ind w:right="62" w:firstLine="142"/>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报名申请表(请下载打印填写，加盖公章,见公告附件)</w:t>
      </w:r>
    </w:p>
    <w:p w14:paraId="249468EB">
      <w:pPr>
        <w:widowControl/>
        <w:numPr>
          <w:ilvl w:val="0"/>
          <w:numId w:val="5"/>
        </w:numPr>
        <w:spacing w:before="60" w:after="60" w:line="380" w:lineRule="exact"/>
        <w:ind w:right="62" w:firstLine="142"/>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法定代表授权书或投标单位介绍信；</w:t>
      </w:r>
    </w:p>
    <w:p w14:paraId="1779F048">
      <w:pPr>
        <w:widowControl/>
        <w:numPr>
          <w:ilvl w:val="0"/>
          <w:numId w:val="5"/>
        </w:numPr>
        <w:spacing w:before="60" w:after="60" w:line="380" w:lineRule="exact"/>
        <w:ind w:right="62" w:firstLine="142"/>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企业法人营业执照副本；</w:t>
      </w:r>
    </w:p>
    <w:p w14:paraId="7A259592">
      <w:pPr>
        <w:widowControl/>
        <w:numPr>
          <w:ilvl w:val="0"/>
          <w:numId w:val="5"/>
        </w:numPr>
        <w:spacing w:before="60" w:after="60" w:line="380" w:lineRule="exact"/>
        <w:ind w:right="62" w:firstLine="142"/>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投标人认为需要提供的其他资料。</w:t>
      </w:r>
    </w:p>
    <w:p w14:paraId="3822C141">
      <w:pPr>
        <w:widowControl/>
        <w:spacing w:before="60" w:after="60" w:line="380" w:lineRule="exact"/>
        <w:ind w:left="62" w:right="62"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以上资料若为复印件，须加盖投标人公章。</w:t>
      </w:r>
    </w:p>
    <w:p w14:paraId="04805B71">
      <w:pPr>
        <w:widowControl/>
        <w:spacing w:before="60" w:after="60" w:line="380" w:lineRule="exact"/>
        <w:ind w:left="62" w:right="62" w:firstLine="442" w:firstLineChars="200"/>
        <w:jc w:val="left"/>
        <w:rPr>
          <w:rStyle w:val="37"/>
          <w:rFonts w:hint="eastAsia" w:ascii="宋体" w:hAnsi="宋体" w:eastAsia="宋体" w:cs="宋体"/>
          <w:i w:val="0"/>
          <w:iCs w:val="0"/>
          <w:caps w:val="0"/>
          <w:color w:val="000000"/>
          <w:spacing w:val="0"/>
          <w:sz w:val="22"/>
          <w:szCs w:val="22"/>
        </w:rPr>
      </w:pPr>
      <w:r>
        <w:rPr>
          <w:rStyle w:val="37"/>
          <w:rFonts w:hint="eastAsia" w:ascii="宋体" w:hAnsi="宋体" w:eastAsia="宋体" w:cs="宋体"/>
          <w:i w:val="0"/>
          <w:iCs w:val="0"/>
          <w:caps w:val="0"/>
          <w:color w:val="000000"/>
          <w:spacing w:val="0"/>
          <w:sz w:val="22"/>
          <w:szCs w:val="22"/>
        </w:rPr>
        <w:t>注：将书面资料扫描发送至采购代理机构邮箱：</w:t>
      </w:r>
      <w:r>
        <w:rPr>
          <w:rStyle w:val="37"/>
          <w:rFonts w:hint="eastAsia" w:ascii="宋体" w:hAnsi="宋体" w:eastAsia="宋体" w:cs="宋体"/>
          <w:b/>
          <w:bCs/>
          <w:i w:val="0"/>
          <w:iCs w:val="0"/>
          <w:caps w:val="0"/>
          <w:color w:val="000000"/>
          <w:spacing w:val="28"/>
          <w:sz w:val="22"/>
          <w:szCs w:val="22"/>
          <w:lang w:eastAsia="zh-CN"/>
        </w:rPr>
        <w:t>327243936</w:t>
      </w:r>
      <w:r>
        <w:rPr>
          <w:rStyle w:val="37"/>
          <w:rFonts w:hint="eastAsia" w:ascii="宋体" w:hAnsi="宋体" w:eastAsia="宋体" w:cs="宋体"/>
          <w:b/>
          <w:bCs/>
          <w:i w:val="0"/>
          <w:iCs w:val="0"/>
          <w:caps w:val="0"/>
          <w:color w:val="000000"/>
          <w:spacing w:val="28"/>
          <w:sz w:val="22"/>
          <w:szCs w:val="22"/>
        </w:rPr>
        <w:t>@qq.com。</w:t>
      </w:r>
    </w:p>
    <w:p w14:paraId="5CD8DD95">
      <w:pPr>
        <w:keepNext w:val="0"/>
        <w:keepLines w:val="0"/>
        <w:pageBreakBefore w:val="0"/>
        <w:widowControl/>
        <w:kinsoku/>
        <w:wordWrap/>
        <w:overflowPunct/>
        <w:topLinePunct w:val="0"/>
        <w:autoSpaceDE/>
        <w:autoSpaceDN/>
        <w:bidi w:val="0"/>
        <w:adjustRightInd/>
        <w:snapToGrid/>
        <w:spacing w:line="380" w:lineRule="exact"/>
        <w:ind w:firstLine="440" w:firstLineChars="2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2</w:t>
      </w:r>
      <w:r>
        <w:rPr>
          <w:rFonts w:hint="eastAsia" w:ascii="宋体" w:hAnsi="宋体" w:eastAsia="宋体" w:cs="宋体"/>
          <w:bCs/>
          <w:color w:val="auto"/>
          <w:kern w:val="0"/>
          <w:sz w:val="22"/>
          <w:szCs w:val="22"/>
          <w:highlight w:val="none"/>
        </w:rPr>
        <w:t>、采购公告期限</w:t>
      </w:r>
      <w:r>
        <w:rPr>
          <w:rFonts w:hint="eastAsia" w:ascii="宋体" w:hAnsi="宋体" w:eastAsia="宋体" w:cs="宋体"/>
          <w:bCs/>
          <w:color w:val="auto"/>
          <w:kern w:val="0"/>
          <w:sz w:val="22"/>
          <w:szCs w:val="22"/>
          <w:highlight w:val="none"/>
          <w:lang w:eastAsia="zh-CN"/>
        </w:rPr>
        <w:t>：</w:t>
      </w:r>
      <w:r>
        <w:rPr>
          <w:rFonts w:hint="eastAsia" w:ascii="宋体" w:hAnsi="宋体" w:eastAsia="宋体" w:cs="宋体"/>
          <w:bCs/>
          <w:color w:val="auto"/>
          <w:kern w:val="0"/>
          <w:sz w:val="22"/>
          <w:szCs w:val="22"/>
          <w:highlight w:val="none"/>
        </w:rPr>
        <w:t>5个工作日，从公告在乐采云平台上发布的次日起算；</w:t>
      </w:r>
    </w:p>
    <w:p w14:paraId="15E0F5D7">
      <w:pPr>
        <w:keepNext w:val="0"/>
        <w:keepLines w:val="0"/>
        <w:pageBreakBefore w:val="0"/>
        <w:widowControl/>
        <w:kinsoku/>
        <w:wordWrap/>
        <w:overflowPunct/>
        <w:topLinePunct w:val="0"/>
        <w:autoSpaceDE/>
        <w:autoSpaceDN/>
        <w:bidi w:val="0"/>
        <w:adjustRightInd/>
        <w:snapToGrid/>
        <w:spacing w:line="380" w:lineRule="exact"/>
        <w:ind w:firstLine="440" w:firstLineChars="200"/>
        <w:jc w:val="left"/>
        <w:textAlignment w:val="auto"/>
        <w:rPr>
          <w:rFonts w:hint="eastAsia" w:ascii="宋体" w:hAnsi="宋体" w:eastAsia="宋体" w:cs="宋体"/>
          <w:bCs/>
          <w:color w:val="auto"/>
          <w:kern w:val="0"/>
          <w:sz w:val="22"/>
          <w:szCs w:val="22"/>
          <w:highlight w:val="none"/>
          <w:u w:val="none"/>
        </w:rPr>
      </w:pPr>
      <w:r>
        <w:rPr>
          <w:rFonts w:hint="eastAsia" w:ascii="宋体" w:hAnsi="宋体" w:eastAsia="宋体" w:cs="宋体"/>
          <w:bCs/>
          <w:color w:val="auto"/>
          <w:kern w:val="0"/>
          <w:sz w:val="22"/>
          <w:szCs w:val="22"/>
          <w:highlight w:val="none"/>
          <w:u w:val="none"/>
          <w:lang w:val="en-US" w:eastAsia="zh-CN"/>
        </w:rPr>
        <w:t>3</w:t>
      </w:r>
      <w:r>
        <w:rPr>
          <w:rFonts w:hint="eastAsia" w:ascii="宋体" w:hAnsi="宋体" w:eastAsia="宋体" w:cs="宋体"/>
          <w:bCs/>
          <w:color w:val="auto"/>
          <w:kern w:val="0"/>
          <w:sz w:val="22"/>
          <w:szCs w:val="22"/>
          <w:highlight w:val="none"/>
          <w:u w:val="none"/>
        </w:rPr>
        <w:t>、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14:paraId="6F50A1AF">
      <w:pPr>
        <w:keepNext w:val="0"/>
        <w:keepLines w:val="0"/>
        <w:pageBreakBefore w:val="0"/>
        <w:widowControl/>
        <w:kinsoku/>
        <w:wordWrap/>
        <w:overflowPunct/>
        <w:topLinePunct w:val="0"/>
        <w:autoSpaceDE/>
        <w:autoSpaceDN/>
        <w:bidi w:val="0"/>
        <w:adjustRightInd/>
        <w:snapToGrid/>
        <w:spacing w:before="60" w:after="60" w:line="380" w:lineRule="exact"/>
        <w:ind w:left="62" w:right="62" w:firstLine="440" w:firstLineChars="200"/>
        <w:jc w:val="left"/>
        <w:textAlignment w:val="auto"/>
        <w:rPr>
          <w:rFonts w:hint="eastAsia" w:ascii="宋体" w:hAnsi="宋体" w:eastAsia="宋体" w:cs="宋体"/>
          <w:bCs/>
          <w:color w:val="auto"/>
          <w:kern w:val="0"/>
          <w:sz w:val="22"/>
          <w:szCs w:val="22"/>
          <w:highlight w:val="none"/>
          <w:u w:val="none"/>
        </w:rPr>
      </w:pPr>
      <w:r>
        <w:rPr>
          <w:rFonts w:hint="eastAsia" w:ascii="宋体" w:hAnsi="宋体" w:eastAsia="宋体" w:cs="宋体"/>
          <w:color w:val="auto"/>
          <w:kern w:val="0"/>
          <w:sz w:val="22"/>
          <w:szCs w:val="22"/>
          <w:highlight w:val="none"/>
          <w:u w:val="none"/>
          <w:lang w:val="en-US" w:eastAsia="zh-CN"/>
        </w:rPr>
        <w:t>4、</w:t>
      </w:r>
      <w:r>
        <w:rPr>
          <w:rFonts w:hint="eastAsia" w:ascii="宋体" w:hAnsi="宋体" w:eastAsia="宋体" w:cs="宋体"/>
          <w:color w:val="auto"/>
          <w:kern w:val="0"/>
          <w:sz w:val="22"/>
          <w:szCs w:val="22"/>
          <w:highlight w:val="none"/>
          <w:u w:val="none"/>
        </w:rPr>
        <w:t>质疑投标人对采购人、采购代理机构的答复不满意或者采购人、采购代理机构未在规定的时间内作出答复的，可以在答复期满后十五个工作日内向采购人的采购监管部门投诉。</w:t>
      </w:r>
    </w:p>
    <w:p w14:paraId="0FFB4272">
      <w:pPr>
        <w:keepNext w:val="0"/>
        <w:keepLines w:val="0"/>
        <w:pageBreakBefore w:val="0"/>
        <w:widowControl/>
        <w:kinsoku/>
        <w:wordWrap/>
        <w:overflowPunct/>
        <w:topLinePunct w:val="0"/>
        <w:autoSpaceDE/>
        <w:autoSpaceDN/>
        <w:bidi w:val="0"/>
        <w:adjustRightInd/>
        <w:snapToGrid/>
        <w:spacing w:before="60" w:after="60" w:line="380" w:lineRule="exact"/>
        <w:ind w:left="62" w:right="62" w:firstLine="440" w:firstLineChars="200"/>
        <w:jc w:val="left"/>
        <w:textAlignment w:val="auto"/>
        <w:rPr>
          <w:rFonts w:hint="eastAsia" w:ascii="宋体" w:hAnsi="宋体" w:eastAsia="宋体" w:cs="宋体"/>
          <w:bCs/>
          <w:color w:val="auto"/>
          <w:kern w:val="0"/>
          <w:sz w:val="22"/>
          <w:szCs w:val="22"/>
          <w:highlight w:val="none"/>
          <w:u w:val="none"/>
        </w:rPr>
      </w:pPr>
      <w:r>
        <w:rPr>
          <w:rFonts w:hint="eastAsia" w:ascii="宋体" w:hAnsi="宋体" w:eastAsia="宋体" w:cs="宋体"/>
          <w:bCs/>
          <w:color w:val="auto"/>
          <w:kern w:val="0"/>
          <w:sz w:val="22"/>
          <w:szCs w:val="22"/>
          <w:highlight w:val="none"/>
          <w:u w:val="none"/>
          <w:lang w:val="en-US" w:eastAsia="zh-CN"/>
        </w:rPr>
        <w:t>5</w:t>
      </w:r>
      <w:r>
        <w:rPr>
          <w:rFonts w:hint="eastAsia" w:ascii="宋体" w:hAnsi="宋体" w:eastAsia="宋体" w:cs="宋体"/>
          <w:bCs/>
          <w:color w:val="auto"/>
          <w:kern w:val="0"/>
          <w:sz w:val="22"/>
          <w:szCs w:val="22"/>
          <w:highlight w:val="none"/>
          <w:u w:val="none"/>
        </w:rPr>
        <w:t>、</w:t>
      </w:r>
      <w:r>
        <w:rPr>
          <w:rFonts w:hint="eastAsia" w:ascii="宋体" w:hAnsi="宋体" w:eastAsia="宋体" w:cs="宋体"/>
          <w:bCs/>
          <w:color w:val="auto"/>
          <w:kern w:val="0"/>
          <w:sz w:val="22"/>
          <w:szCs w:val="22"/>
          <w:highlight w:val="none"/>
          <w:u w:val="none"/>
          <w:lang w:eastAsia="zh-CN"/>
        </w:rPr>
        <w:t>温州市鹿城区文旅传媒集团有限公司</w:t>
      </w:r>
      <w:r>
        <w:rPr>
          <w:rFonts w:hint="eastAsia" w:ascii="宋体" w:hAnsi="宋体" w:eastAsia="宋体" w:cs="宋体"/>
          <w:bCs/>
          <w:color w:val="auto"/>
          <w:kern w:val="0"/>
          <w:sz w:val="22"/>
          <w:szCs w:val="22"/>
          <w:highlight w:val="none"/>
          <w:u w:val="none"/>
        </w:rPr>
        <w:t>负责对投标人反映的企业本部及所属企业在采购活动中出现的违法违规问题进行答疑回复。投标人认为</w:t>
      </w:r>
      <w:r>
        <w:rPr>
          <w:rFonts w:hint="eastAsia" w:ascii="宋体" w:hAnsi="宋体" w:eastAsia="宋体" w:cs="宋体"/>
          <w:bCs/>
          <w:color w:val="auto"/>
          <w:kern w:val="0"/>
          <w:sz w:val="22"/>
          <w:szCs w:val="22"/>
          <w:highlight w:val="none"/>
          <w:u w:val="none"/>
          <w:lang w:eastAsia="zh-CN"/>
        </w:rPr>
        <w:t>温州市鹿城区旅游发展投资有限公司</w:t>
      </w:r>
      <w:r>
        <w:rPr>
          <w:rFonts w:hint="eastAsia" w:ascii="宋体" w:hAnsi="宋体" w:eastAsia="宋体" w:cs="宋体"/>
          <w:bCs/>
          <w:color w:val="auto"/>
          <w:kern w:val="0"/>
          <w:sz w:val="22"/>
          <w:szCs w:val="22"/>
          <w:highlight w:val="none"/>
          <w:u w:val="none"/>
        </w:rPr>
        <w:t>答疑回复处理结果不合法的，可以采购人或代理机构为对象依法向人民法院提起诉讼。</w:t>
      </w:r>
    </w:p>
    <w:p w14:paraId="68E57034">
      <w:pPr>
        <w:keepNext w:val="0"/>
        <w:keepLines w:val="0"/>
        <w:pageBreakBefore w:val="0"/>
        <w:widowControl/>
        <w:kinsoku/>
        <w:wordWrap/>
        <w:overflowPunct/>
        <w:topLinePunct w:val="0"/>
        <w:autoSpaceDE/>
        <w:autoSpaceDN/>
        <w:bidi w:val="0"/>
        <w:adjustRightInd/>
        <w:snapToGrid/>
        <w:spacing w:before="60" w:after="60" w:line="380" w:lineRule="exact"/>
        <w:ind w:left="62" w:right="62" w:firstLine="440" w:firstLineChars="200"/>
        <w:jc w:val="left"/>
        <w:textAlignment w:val="auto"/>
        <w:rPr>
          <w:rFonts w:hint="eastAsia" w:ascii="宋体" w:hAnsi="宋体" w:eastAsia="宋体" w:cs="宋体"/>
          <w:bCs/>
          <w:color w:val="auto"/>
          <w:kern w:val="0"/>
          <w:sz w:val="22"/>
          <w:szCs w:val="22"/>
          <w:highlight w:val="none"/>
          <w:u w:val="none"/>
        </w:rPr>
      </w:pPr>
      <w:r>
        <w:rPr>
          <w:rFonts w:hint="eastAsia" w:ascii="宋体" w:hAnsi="宋体" w:eastAsia="宋体" w:cs="宋体"/>
          <w:i w:val="0"/>
          <w:iCs w:val="0"/>
          <w:caps w:val="0"/>
          <w:color w:val="404040"/>
          <w:spacing w:val="0"/>
          <w:sz w:val="22"/>
          <w:szCs w:val="22"/>
          <w:shd w:val="clear" w:fill="FFFFFF"/>
          <w:lang w:val="en-US" w:eastAsia="zh-CN"/>
        </w:rPr>
        <w:t>6</w:t>
      </w:r>
      <w:r>
        <w:rPr>
          <w:rFonts w:hint="eastAsia" w:ascii="宋体" w:hAnsi="宋体" w:eastAsia="宋体" w:cs="宋体"/>
          <w:i w:val="0"/>
          <w:iCs w:val="0"/>
          <w:caps w:val="0"/>
          <w:color w:val="404040"/>
          <w:spacing w:val="0"/>
          <w:sz w:val="22"/>
          <w:szCs w:val="22"/>
          <w:shd w:val="clear" w:fill="FFFFFF"/>
        </w:rPr>
        <w:t>、采购公告附件的采购文件仅供阅览使用，未按照本公告规定的方式获取采购文件的潜在供应商提起的质疑采购组织机构将不予受理、答复。</w:t>
      </w:r>
    </w:p>
    <w:p w14:paraId="2CBA8AE2">
      <w:pPr>
        <w:keepNext w:val="0"/>
        <w:keepLines w:val="0"/>
        <w:pageBreakBefore w:val="0"/>
        <w:widowControl/>
        <w:kinsoku/>
        <w:wordWrap/>
        <w:overflowPunct/>
        <w:topLinePunct w:val="0"/>
        <w:autoSpaceDE/>
        <w:autoSpaceDN/>
        <w:bidi w:val="0"/>
        <w:adjustRightInd/>
        <w:snapToGrid/>
        <w:spacing w:before="60" w:after="60" w:line="380" w:lineRule="exact"/>
        <w:ind w:left="62" w:right="62" w:firstLine="440" w:firstLineChars="200"/>
        <w:jc w:val="left"/>
        <w:textAlignment w:val="auto"/>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lang w:val="en-US" w:eastAsia="zh-CN"/>
        </w:rPr>
        <w:t>7</w:t>
      </w:r>
      <w:r>
        <w:rPr>
          <w:rFonts w:hint="eastAsia" w:ascii="宋体" w:hAnsi="宋体" w:eastAsia="宋体" w:cs="宋体"/>
          <w:bCs/>
          <w:color w:val="auto"/>
          <w:kern w:val="0"/>
          <w:sz w:val="22"/>
          <w:szCs w:val="22"/>
          <w:highlight w:val="none"/>
        </w:rPr>
        <w:t>、书面质疑受理地点：</w:t>
      </w:r>
      <w:r>
        <w:rPr>
          <w:rFonts w:hint="eastAsia" w:ascii="宋体" w:hAnsi="宋体" w:eastAsia="宋体" w:cs="宋体"/>
          <w:color w:val="auto"/>
          <w:kern w:val="0"/>
          <w:sz w:val="22"/>
          <w:szCs w:val="22"/>
          <w:highlight w:val="none"/>
          <w:lang w:eastAsia="zh-CN"/>
        </w:rPr>
        <w:t>温州市鹿城区南汇街道锦江路458号深蓝国际大厦501-1西首</w:t>
      </w: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eastAsia="zh-CN"/>
        </w:rPr>
        <w:t>陈美云</w:t>
      </w:r>
      <w:r>
        <w:rPr>
          <w:rFonts w:hint="eastAsia" w:ascii="宋体" w:hAnsi="宋体" w:eastAsia="宋体" w:cs="宋体"/>
          <w:bCs/>
          <w:color w:val="auto"/>
          <w:kern w:val="0"/>
          <w:sz w:val="22"/>
          <w:szCs w:val="22"/>
          <w:highlight w:val="none"/>
        </w:rPr>
        <w:t>，联系电话：</w:t>
      </w:r>
      <w:r>
        <w:rPr>
          <w:rFonts w:hint="eastAsia" w:ascii="宋体" w:hAnsi="宋体" w:eastAsia="宋体" w:cs="宋体"/>
          <w:bCs/>
          <w:color w:val="auto"/>
          <w:kern w:val="0"/>
          <w:sz w:val="22"/>
          <w:szCs w:val="22"/>
          <w:highlight w:val="none"/>
          <w:lang w:eastAsia="zh-CN"/>
        </w:rPr>
        <w:t>13736325617</w:t>
      </w:r>
      <w:r>
        <w:rPr>
          <w:rFonts w:hint="eastAsia" w:ascii="宋体" w:hAnsi="宋体" w:eastAsia="宋体" w:cs="宋体"/>
          <w:bCs/>
          <w:color w:val="auto"/>
          <w:kern w:val="0"/>
          <w:sz w:val="22"/>
          <w:szCs w:val="22"/>
          <w:highlight w:val="none"/>
        </w:rPr>
        <w:t>。</w:t>
      </w:r>
    </w:p>
    <w:p w14:paraId="10887714">
      <w:pPr>
        <w:widowControl/>
        <w:spacing w:before="60" w:after="60" w:line="380" w:lineRule="exact"/>
        <w:ind w:left="60" w:right="60"/>
        <w:jc w:val="left"/>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九、联系方式</w:t>
      </w:r>
    </w:p>
    <w:p w14:paraId="048AC41A">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采购人名称：</w:t>
      </w:r>
      <w:r>
        <w:rPr>
          <w:rFonts w:hint="eastAsia" w:ascii="宋体" w:hAnsi="宋体" w:eastAsia="宋体" w:cs="宋体"/>
          <w:bCs/>
          <w:color w:val="auto"/>
          <w:kern w:val="0"/>
          <w:sz w:val="22"/>
          <w:szCs w:val="22"/>
          <w:highlight w:val="none"/>
          <w:lang w:eastAsia="zh-CN"/>
        </w:rPr>
        <w:t>温州市鹿城区旅游发展投资有限公司</w:t>
      </w:r>
    </w:p>
    <w:p w14:paraId="10E2FA27">
      <w:pPr>
        <w:tabs>
          <w:tab w:val="left" w:pos="3690"/>
        </w:tabs>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bCs/>
          <w:color w:val="auto"/>
          <w:kern w:val="0"/>
          <w:sz w:val="22"/>
          <w:szCs w:val="22"/>
          <w:highlight w:val="none"/>
        </w:rPr>
        <w:t>0577-88527063</w:t>
      </w:r>
    </w:p>
    <w:p w14:paraId="19EB2BFE">
      <w:pPr>
        <w:widowControl/>
        <w:spacing w:before="60" w:after="60" w:line="380" w:lineRule="exact"/>
        <w:ind w:right="60" w:firstLine="440" w:firstLineChars="2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朱女士</w:t>
      </w:r>
    </w:p>
    <w:p w14:paraId="3A690E97">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采购代理机构：</w:t>
      </w:r>
      <w:r>
        <w:rPr>
          <w:rFonts w:hint="eastAsia" w:ascii="宋体" w:hAnsi="宋体" w:eastAsia="宋体" w:cs="宋体"/>
          <w:bCs/>
          <w:color w:val="auto"/>
          <w:kern w:val="0"/>
          <w:sz w:val="22"/>
          <w:szCs w:val="22"/>
          <w:highlight w:val="none"/>
          <w:lang w:eastAsia="zh-CN"/>
        </w:rPr>
        <w:t>浙江德丰项目管理有限公司</w:t>
      </w:r>
    </w:p>
    <w:p w14:paraId="5AF1CA44">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地址：</w:t>
      </w:r>
      <w:r>
        <w:rPr>
          <w:rFonts w:hint="eastAsia" w:ascii="宋体" w:hAnsi="宋体" w:eastAsia="宋体" w:cs="宋体"/>
          <w:bCs/>
          <w:color w:val="auto"/>
          <w:kern w:val="0"/>
          <w:sz w:val="22"/>
          <w:szCs w:val="22"/>
          <w:highlight w:val="none"/>
          <w:lang w:eastAsia="zh-CN"/>
        </w:rPr>
        <w:t>温州市鹿城区南汇街道锦江路458号深蓝国际大厦501-1西首</w:t>
      </w:r>
    </w:p>
    <w:p w14:paraId="18A82A83">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联系人：</w:t>
      </w:r>
      <w:r>
        <w:rPr>
          <w:rFonts w:hint="eastAsia" w:ascii="宋体" w:hAnsi="宋体" w:eastAsia="宋体" w:cs="宋体"/>
          <w:bCs/>
          <w:color w:val="auto"/>
          <w:kern w:val="0"/>
          <w:sz w:val="22"/>
          <w:szCs w:val="22"/>
          <w:highlight w:val="none"/>
          <w:lang w:eastAsia="zh-CN"/>
        </w:rPr>
        <w:t>陈美云、余温怡</w:t>
      </w:r>
    </w:p>
    <w:p w14:paraId="27893E5B">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电话：</w:t>
      </w:r>
      <w:r>
        <w:rPr>
          <w:rFonts w:hint="eastAsia" w:ascii="宋体" w:hAnsi="宋体" w:eastAsia="宋体" w:cs="宋体"/>
          <w:bCs/>
          <w:color w:val="auto"/>
          <w:kern w:val="0"/>
          <w:sz w:val="22"/>
          <w:szCs w:val="22"/>
          <w:highlight w:val="none"/>
          <w:lang w:eastAsia="zh-CN"/>
        </w:rPr>
        <w:t>13736325617、15705853800</w:t>
      </w:r>
    </w:p>
    <w:p w14:paraId="3A8306EB">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采购监督管理部门：</w:t>
      </w:r>
      <w:r>
        <w:rPr>
          <w:rFonts w:hint="eastAsia" w:ascii="宋体" w:hAnsi="宋体" w:eastAsia="宋体" w:cs="宋体"/>
          <w:bCs/>
          <w:color w:val="auto"/>
          <w:kern w:val="0"/>
          <w:sz w:val="22"/>
          <w:szCs w:val="22"/>
          <w:highlight w:val="none"/>
          <w:lang w:eastAsia="zh-CN"/>
        </w:rPr>
        <w:t>温州市鹿城区文旅传媒集团有限公司采购领导小组</w:t>
      </w:r>
    </w:p>
    <w:p w14:paraId="0530685A">
      <w:pPr>
        <w:widowControl/>
        <w:spacing w:before="60" w:after="60" w:line="380" w:lineRule="exact"/>
        <w:ind w:right="60" w:firstLine="440" w:firstLineChars="20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监管部门电话：</w:t>
      </w:r>
      <w:r>
        <w:rPr>
          <w:rFonts w:hint="eastAsia" w:ascii="宋体" w:hAnsi="宋体" w:eastAsia="宋体" w:cs="宋体"/>
          <w:bCs/>
          <w:color w:val="auto"/>
          <w:kern w:val="0"/>
          <w:sz w:val="22"/>
          <w:szCs w:val="22"/>
          <w:highlight w:val="none"/>
          <w:lang w:eastAsia="zh-CN"/>
        </w:rPr>
        <w:t>0577-88801163</w:t>
      </w:r>
    </w:p>
    <w:p w14:paraId="0F128184">
      <w:pPr>
        <w:widowControl/>
        <w:jc w:val="left"/>
        <w:rPr>
          <w:rFonts w:hint="eastAsia" w:ascii="宋体" w:hAnsi="宋体" w:eastAsia="宋体" w:cs="宋体"/>
          <w:color w:val="auto"/>
          <w:kern w:val="0"/>
          <w:sz w:val="20"/>
          <w:szCs w:val="20"/>
          <w:highlight w:val="none"/>
        </w:rPr>
      </w:pPr>
    </w:p>
    <w:p w14:paraId="3CF44B06">
      <w:pPr>
        <w:spacing w:line="360" w:lineRule="auto"/>
        <w:ind w:firstLine="5528" w:firstLineChars="2513"/>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温州市鹿城区旅游发展投资有限公司</w:t>
      </w:r>
    </w:p>
    <w:p w14:paraId="6C306435">
      <w:pPr>
        <w:spacing w:line="360" w:lineRule="auto"/>
        <w:ind w:firstLine="5528" w:firstLineChars="2513"/>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浙江德丰项目管理有限公司</w:t>
      </w:r>
    </w:p>
    <w:p w14:paraId="6B5BF45C">
      <w:pPr>
        <w:spacing w:line="360" w:lineRule="auto"/>
        <w:ind w:firstLine="6718" w:firstLineChars="3054"/>
        <w:jc w:val="right"/>
        <w:rPr>
          <w:rFonts w:hint="eastAsia" w:ascii="宋体" w:hAnsi="宋体" w:eastAsia="宋体" w:cs="宋体"/>
          <w:color w:val="auto"/>
          <w:highlight w:val="none"/>
        </w:rPr>
      </w:pPr>
      <w:r>
        <w:rPr>
          <w:rFonts w:hint="eastAsia" w:ascii="宋体" w:hAnsi="宋体" w:eastAsia="宋体" w:cs="宋体"/>
          <w:color w:val="auto"/>
          <w:sz w:val="22"/>
          <w:szCs w:val="22"/>
          <w:highlight w:val="none"/>
        </w:rPr>
        <w:t>2025年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日</w:t>
      </w:r>
    </w:p>
    <w:p w14:paraId="28FA23A3">
      <w:pPr>
        <w:widowControl/>
        <w:spacing w:before="60" w:after="60" w:line="380" w:lineRule="exact"/>
        <w:ind w:left="61" w:leftChars="29" w:right="60"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3F7A71E8">
      <w:pPr>
        <w:spacing w:line="360" w:lineRule="auto"/>
        <w:ind w:firstLine="6055" w:firstLineChars="2513"/>
        <w:jc w:val="center"/>
        <w:rPr>
          <w:rFonts w:hint="eastAsia" w:ascii="宋体" w:hAnsi="宋体" w:eastAsia="宋体" w:cs="宋体"/>
          <w:b/>
          <w:color w:val="auto"/>
          <w:kern w:val="0"/>
          <w:sz w:val="24"/>
          <w:highlight w:val="none"/>
          <w:lang w:eastAsia="zh-CN"/>
        </w:rPr>
      </w:pPr>
    </w:p>
    <w:p w14:paraId="3AE79015">
      <w:pPr>
        <w:spacing w:line="360" w:lineRule="auto"/>
        <w:jc w:val="center"/>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浙江德丰项目管理有限公司关于温州市鹿城区旅游发展投资有限公司观光车采购项目（自主）的征求意见公示</w:t>
      </w:r>
    </w:p>
    <w:p w14:paraId="5A47F837">
      <w:pPr>
        <w:pStyle w:val="33"/>
        <w:ind w:firstLine="210"/>
        <w:rPr>
          <w:rFonts w:hint="eastAsia" w:ascii="宋体" w:hAnsi="宋体" w:eastAsia="宋体" w:cs="宋体"/>
          <w:color w:val="auto"/>
          <w:highlight w:val="none"/>
        </w:rPr>
      </w:pPr>
    </w:p>
    <w:p w14:paraId="6516D30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浙江德丰项目管理有限公司</w:t>
      </w:r>
      <w:r>
        <w:rPr>
          <w:rFonts w:hint="eastAsia" w:ascii="宋体" w:hAnsi="宋体" w:eastAsia="宋体" w:cs="宋体"/>
          <w:bCs/>
          <w:color w:val="auto"/>
          <w:kern w:val="0"/>
          <w:sz w:val="21"/>
          <w:szCs w:val="21"/>
          <w:highlight w:val="none"/>
        </w:rPr>
        <w:t>受</w:t>
      </w:r>
      <w:r>
        <w:rPr>
          <w:rFonts w:hint="eastAsia" w:ascii="宋体" w:hAnsi="宋体" w:eastAsia="宋体" w:cs="宋体"/>
          <w:color w:val="auto"/>
          <w:sz w:val="21"/>
          <w:szCs w:val="21"/>
          <w:highlight w:val="none"/>
          <w:lang w:eastAsia="zh-CN"/>
        </w:rPr>
        <w:t>温州市鹿城区旅游发展投资有限公司</w:t>
      </w:r>
      <w:r>
        <w:rPr>
          <w:rFonts w:hint="eastAsia" w:ascii="宋体" w:hAnsi="宋体" w:eastAsia="宋体" w:cs="宋体"/>
          <w:bCs/>
          <w:color w:val="auto"/>
          <w:kern w:val="0"/>
          <w:sz w:val="21"/>
          <w:szCs w:val="21"/>
          <w:highlight w:val="none"/>
        </w:rPr>
        <w:t>的委托</w:t>
      </w:r>
      <w:r>
        <w:rPr>
          <w:rFonts w:hint="eastAsia" w:ascii="宋体" w:hAnsi="宋体" w:eastAsia="宋体" w:cs="宋体"/>
          <w:color w:val="auto"/>
          <w:sz w:val="21"/>
          <w:szCs w:val="21"/>
          <w:highlight w:val="none"/>
          <w:lang w:val="en-US" w:eastAsia="zh-CN"/>
        </w:rPr>
        <w:t>,就</w:t>
      </w:r>
      <w:r>
        <w:rPr>
          <w:rFonts w:hint="eastAsia" w:ascii="宋体" w:hAnsi="宋体" w:eastAsia="宋体" w:cs="宋体"/>
          <w:color w:val="auto"/>
          <w:sz w:val="21"/>
          <w:szCs w:val="21"/>
          <w:highlight w:val="none"/>
          <w:lang w:eastAsia="zh-CN"/>
        </w:rPr>
        <w:t>温州市鹿城区旅游发展投资有限公司观光车采购项目</w:t>
      </w:r>
      <w:r>
        <w:rPr>
          <w:rFonts w:hint="eastAsia" w:ascii="宋体" w:hAnsi="宋体" w:eastAsia="宋体" w:cs="宋体"/>
          <w:color w:val="auto"/>
          <w:sz w:val="21"/>
          <w:szCs w:val="21"/>
          <w:highlight w:val="none"/>
        </w:rPr>
        <w:t xml:space="preserve">进行公开招标。现将采购文件公布如下，并公开征求投标人及专家意见。 </w:t>
      </w:r>
    </w:p>
    <w:p w14:paraId="0EDFB9F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一、征求意见范围：</w:t>
      </w:r>
    </w:p>
    <w:p w14:paraId="7B789A9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1、是否出现明显的倾向性意见和特定的性能指标；</w:t>
      </w:r>
    </w:p>
    <w:p w14:paraId="72E074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2、投标人资格条件是否具有明显倾向性和歧视性；</w:t>
      </w:r>
    </w:p>
    <w:p w14:paraId="30646A6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3、影响国企采购“公开、公平、公正”原则的其他情况。</w:t>
      </w:r>
    </w:p>
    <w:p w14:paraId="379E47A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二、征求意见的回复：</w:t>
      </w:r>
    </w:p>
    <w:p w14:paraId="2AC43316">
      <w:pPr>
        <w:pStyle w:val="3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各投标人及专家提出修改理由和建议的，请于2025年</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日下午17 :00前（节假日除外）将书面材料签字（盖章）并密封后送至</w:t>
      </w:r>
      <w:r>
        <w:rPr>
          <w:rFonts w:hint="eastAsia" w:ascii="宋体" w:hAnsi="宋体" w:eastAsia="宋体" w:cs="宋体"/>
          <w:color w:val="auto"/>
          <w:sz w:val="21"/>
          <w:szCs w:val="21"/>
          <w:highlight w:val="none"/>
          <w:lang w:eastAsia="zh-CN"/>
        </w:rPr>
        <w:t>温州市鹿城区南汇街道锦江路458号深蓝国际大厦501-1西首</w:t>
      </w:r>
      <w:r>
        <w:rPr>
          <w:rFonts w:hint="eastAsia" w:ascii="宋体" w:hAnsi="宋体" w:eastAsia="宋体" w:cs="宋体"/>
          <w:color w:val="auto"/>
          <w:sz w:val="21"/>
          <w:szCs w:val="21"/>
          <w:highlight w:val="none"/>
        </w:rPr>
        <w:t>，或先将扫描件及电子版发送至邮箱</w:t>
      </w:r>
      <w:r>
        <w:rPr>
          <w:rFonts w:hint="eastAsia" w:ascii="宋体" w:hAnsi="宋体" w:eastAsia="宋体" w:cs="宋体"/>
          <w:color w:val="auto"/>
          <w:sz w:val="21"/>
          <w:szCs w:val="21"/>
          <w:highlight w:val="none"/>
          <w:lang w:val="en-US" w:eastAsia="zh-CN"/>
        </w:rPr>
        <w:t>327243936</w:t>
      </w:r>
      <w:r>
        <w:rPr>
          <w:rFonts w:hint="eastAsia" w:ascii="宋体" w:hAnsi="宋体" w:eastAsia="宋体" w:cs="宋体"/>
          <w:color w:val="auto"/>
          <w:sz w:val="21"/>
          <w:szCs w:val="21"/>
          <w:highlight w:val="none"/>
        </w:rPr>
        <w:t>@qq.com，并同时将该原件书面寄至我公司。</w:t>
      </w:r>
    </w:p>
    <w:p w14:paraId="5872D0A8">
      <w:pPr>
        <w:pStyle w:val="3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陈美云、余温怡</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lang w:eastAsia="zh-CN"/>
        </w:rPr>
        <w:t>13736325617、15705853800</w:t>
      </w:r>
      <w:r>
        <w:rPr>
          <w:rFonts w:hint="eastAsia" w:ascii="宋体" w:hAnsi="宋体" w:eastAsia="宋体" w:cs="宋体"/>
          <w:color w:val="auto"/>
          <w:sz w:val="21"/>
          <w:szCs w:val="21"/>
          <w:highlight w:val="none"/>
        </w:rPr>
        <w:t>。对逾期送达的意见、建议书恕不接受。</w:t>
      </w:r>
    </w:p>
    <w:p w14:paraId="0643C25C">
      <w:pPr>
        <w:spacing w:line="360" w:lineRule="auto"/>
        <w:ind w:firstLine="440" w:firstLineChars="200"/>
        <w:jc w:val="right"/>
        <w:rPr>
          <w:rFonts w:hint="eastAsia" w:ascii="宋体" w:hAnsi="宋体" w:eastAsia="宋体" w:cs="宋体"/>
          <w:color w:val="auto"/>
          <w:sz w:val="22"/>
          <w:szCs w:val="22"/>
          <w:highlight w:val="none"/>
        </w:rPr>
      </w:pPr>
    </w:p>
    <w:p w14:paraId="66DF2140">
      <w:pPr>
        <w:spacing w:line="360" w:lineRule="auto"/>
        <w:ind w:firstLine="5528" w:firstLineChars="251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温州市鹿城区旅游发展投资有限公司</w:t>
      </w:r>
    </w:p>
    <w:p w14:paraId="7FF15E3A">
      <w:pPr>
        <w:spacing w:line="360" w:lineRule="auto"/>
        <w:ind w:firstLine="5528" w:firstLineChars="2513"/>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浙江德丰项目管理有限公司</w:t>
      </w:r>
    </w:p>
    <w:p w14:paraId="16AAF1C6">
      <w:pPr>
        <w:spacing w:line="360" w:lineRule="auto"/>
        <w:ind w:firstLine="5528" w:firstLineChars="2513"/>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2"/>
          <w:szCs w:val="22"/>
          <w:highlight w:val="none"/>
        </w:rPr>
        <w:t xml:space="preserve">2025年 </w:t>
      </w:r>
      <w:r>
        <w:rPr>
          <w:rFonts w:hint="eastAsia" w:ascii="宋体" w:hAnsi="宋体" w:eastAsia="宋体" w:cs="宋体"/>
          <w:color w:val="auto"/>
          <w:sz w:val="22"/>
          <w:szCs w:val="22"/>
          <w:highlight w:val="none"/>
          <w:lang w:val="en-US" w:eastAsia="zh-CN"/>
        </w:rPr>
        <w:t>07</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日</w:t>
      </w:r>
    </w:p>
    <w:p w14:paraId="3068BBED">
      <w:pPr>
        <w:spacing w:line="380" w:lineRule="exact"/>
        <w:ind w:right="720"/>
        <w:rPr>
          <w:rFonts w:hint="eastAsia" w:ascii="宋体" w:hAnsi="宋体" w:eastAsia="宋体" w:cs="宋体"/>
          <w:color w:val="auto"/>
          <w:sz w:val="22"/>
          <w:szCs w:val="22"/>
          <w:highlight w:val="none"/>
        </w:rPr>
      </w:pPr>
    </w:p>
    <w:p w14:paraId="3F7E0DD5">
      <w:pPr>
        <w:widowControl/>
        <w:jc w:val="left"/>
        <w:rPr>
          <w:rFonts w:hint="eastAsia" w:ascii="宋体" w:hAnsi="宋体" w:eastAsia="宋体" w:cs="宋体"/>
          <w:color w:val="auto"/>
          <w:highlight w:val="none"/>
        </w:rPr>
      </w:pPr>
    </w:p>
    <w:p w14:paraId="47539449">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highlight w:val="none"/>
        </w:rPr>
        <w:br w:type="page"/>
      </w:r>
    </w:p>
    <w:p w14:paraId="20D3D20D">
      <w:pPr>
        <w:pStyle w:val="4"/>
        <w:rPr>
          <w:rFonts w:hint="eastAsia" w:ascii="宋体" w:hAnsi="宋体" w:eastAsia="宋体" w:cs="宋体"/>
          <w:color w:val="auto"/>
          <w:sz w:val="36"/>
          <w:szCs w:val="36"/>
          <w:highlight w:val="none"/>
        </w:rPr>
      </w:pPr>
      <w:bookmarkStart w:id="4" w:name="_Toc223715994"/>
      <w:bookmarkStart w:id="5" w:name="_Toc241404198"/>
      <w:bookmarkStart w:id="6" w:name="_Toc222114875"/>
      <w:bookmarkStart w:id="7" w:name="_Toc246261261"/>
      <w:bookmarkStart w:id="8" w:name="_Toc245722277"/>
      <w:bookmarkStart w:id="9" w:name="_Toc221423615"/>
      <w:bookmarkStart w:id="10" w:name="_Toc239145350"/>
      <w:bookmarkStart w:id="11" w:name="_Toc221356882"/>
      <w:bookmarkStart w:id="12" w:name="_Toc221356947"/>
      <w:bookmarkStart w:id="13" w:name="_Toc249758860"/>
      <w:bookmarkStart w:id="14" w:name="_Toc245191310"/>
      <w:bookmarkStart w:id="15" w:name="_Toc32285"/>
      <w:bookmarkStart w:id="16" w:name="_Toc262105499"/>
      <w:bookmarkStart w:id="17" w:name="_Toc221374622"/>
      <w:bookmarkStart w:id="18" w:name="_Toc249758708"/>
      <w:bookmarkStart w:id="19" w:name="_Toc262049414"/>
      <w:r>
        <w:rPr>
          <w:rFonts w:hint="eastAsia" w:ascii="宋体" w:hAnsi="宋体" w:eastAsia="宋体" w:cs="宋体"/>
          <w:color w:val="auto"/>
          <w:sz w:val="36"/>
          <w:szCs w:val="36"/>
          <w:highlight w:val="none"/>
        </w:rPr>
        <w:t>第一部分    投标人须知</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B9BDEBF">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20" w:name="_Toc27051"/>
      <w:bookmarkStart w:id="21" w:name="_Toc4442"/>
      <w:bookmarkStart w:id="22" w:name="_Toc245722278"/>
      <w:bookmarkStart w:id="23" w:name="_Toc262105500"/>
      <w:bookmarkStart w:id="24" w:name="_Toc249758709"/>
      <w:bookmarkStart w:id="25" w:name="_Toc221423616"/>
      <w:bookmarkStart w:id="26" w:name="_Toc249758861"/>
      <w:bookmarkStart w:id="27" w:name="_Toc221356948"/>
      <w:bookmarkStart w:id="28" w:name="_Toc221356883"/>
      <w:bookmarkStart w:id="29" w:name="_Toc241404199"/>
      <w:bookmarkStart w:id="30" w:name="_Toc262049415"/>
      <w:bookmarkStart w:id="31" w:name="_Toc246261262"/>
      <w:bookmarkStart w:id="32" w:name="_Toc222114876"/>
      <w:bookmarkStart w:id="33" w:name="_Toc239145351"/>
      <w:bookmarkStart w:id="34" w:name="_Toc245191311"/>
      <w:bookmarkStart w:id="35" w:name="_Toc223715995"/>
      <w:bookmarkStart w:id="36" w:name="_Toc221374623"/>
      <w:r>
        <w:rPr>
          <w:rFonts w:hint="eastAsia" w:ascii="宋体" w:hAnsi="宋体" w:eastAsia="宋体" w:cs="宋体"/>
          <w:b/>
          <w:bCs/>
          <w:color w:val="auto"/>
          <w:sz w:val="26"/>
          <w:szCs w:val="26"/>
          <w:highlight w:val="none"/>
        </w:rPr>
        <w:t>投标人须知前附表</w:t>
      </w:r>
      <w:bookmarkEnd w:id="20"/>
      <w:bookmarkEnd w:id="21"/>
      <w:r>
        <w:rPr>
          <w:rFonts w:hint="eastAsia" w:ascii="宋体" w:hAnsi="宋体" w:eastAsia="宋体" w:cs="宋体"/>
          <w:b/>
          <w:bCs/>
          <w:color w:val="auto"/>
          <w:sz w:val="26"/>
          <w:szCs w:val="26"/>
          <w:highlight w:val="none"/>
        </w:rPr>
        <w:t xml:space="preserve">  </w:t>
      </w:r>
    </w:p>
    <w:tbl>
      <w:tblPr>
        <w:tblStyle w:val="34"/>
        <w:tblW w:w="4979" w:type="pct"/>
        <w:tblInd w:w="0" w:type="dxa"/>
        <w:tblLayout w:type="autofit"/>
        <w:tblCellMar>
          <w:top w:w="0" w:type="dxa"/>
          <w:left w:w="108" w:type="dxa"/>
          <w:bottom w:w="0" w:type="dxa"/>
          <w:right w:w="108" w:type="dxa"/>
        </w:tblCellMar>
      </w:tblPr>
      <w:tblGrid>
        <w:gridCol w:w="753"/>
        <w:gridCol w:w="1550"/>
        <w:gridCol w:w="7842"/>
      </w:tblGrid>
      <w:tr w14:paraId="2ABB2940">
        <w:tblPrEx>
          <w:tblCellMar>
            <w:top w:w="0" w:type="dxa"/>
            <w:left w:w="108" w:type="dxa"/>
            <w:bottom w:w="0" w:type="dxa"/>
            <w:right w:w="108" w:type="dxa"/>
          </w:tblCellMar>
        </w:tblPrEx>
        <w:trPr>
          <w:trHeight w:val="579"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453619">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序号</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C1E090">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条款名称</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561FDB">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编列内容</w:t>
            </w:r>
          </w:p>
        </w:tc>
      </w:tr>
      <w:tr w14:paraId="3BEBB7ED">
        <w:tblPrEx>
          <w:tblCellMar>
            <w:top w:w="0" w:type="dxa"/>
            <w:left w:w="108" w:type="dxa"/>
            <w:bottom w:w="0" w:type="dxa"/>
            <w:right w:w="108" w:type="dxa"/>
          </w:tblCellMar>
        </w:tblPrEx>
        <w:trPr>
          <w:trHeight w:val="1229"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47F34B">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0819C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采购人</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4716245">
            <w:pPr>
              <w:tabs>
                <w:tab w:val="left" w:pos="3690"/>
              </w:tabs>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温州市鹿城区旅游发展投资有限公司</w:t>
            </w:r>
          </w:p>
          <w:p w14:paraId="1D1051EF">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电话：0577-88527063</w:t>
            </w:r>
          </w:p>
          <w:p w14:paraId="301F285E">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朱女士</w:t>
            </w:r>
          </w:p>
        </w:tc>
      </w:tr>
      <w:tr w14:paraId="7C5C859F">
        <w:tblPrEx>
          <w:tblCellMar>
            <w:top w:w="0" w:type="dxa"/>
            <w:left w:w="108" w:type="dxa"/>
            <w:bottom w:w="0" w:type="dxa"/>
            <w:right w:w="108" w:type="dxa"/>
          </w:tblCellMar>
        </w:tblPrEx>
        <w:trPr>
          <w:trHeight w:val="1637"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378B1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B1C47D">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采购代理机构</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4FA531">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采购代理机构名称：</w:t>
            </w:r>
            <w:r>
              <w:rPr>
                <w:rFonts w:hint="eastAsia" w:ascii="宋体" w:hAnsi="宋体" w:eastAsia="宋体" w:cs="宋体"/>
                <w:color w:val="auto"/>
                <w:sz w:val="22"/>
                <w:szCs w:val="22"/>
                <w:highlight w:val="none"/>
                <w:lang w:eastAsia="zh-CN"/>
              </w:rPr>
              <w:t>浙江德丰项目管理有限公司</w:t>
            </w:r>
          </w:p>
          <w:p w14:paraId="0167BDC5">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温州市鹿城区南汇街道锦江路458号深蓝国际大厦501-1西首</w:t>
            </w:r>
            <w:r>
              <w:rPr>
                <w:rFonts w:hint="eastAsia" w:ascii="宋体" w:hAnsi="宋体" w:eastAsia="宋体" w:cs="宋体"/>
                <w:color w:val="auto"/>
                <w:sz w:val="22"/>
                <w:szCs w:val="22"/>
                <w:highlight w:val="none"/>
              </w:rPr>
              <w:t>。</w:t>
            </w:r>
          </w:p>
          <w:p w14:paraId="0127B42E">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陈美云、余温怡</w:t>
            </w:r>
            <w:r>
              <w:rPr>
                <w:rFonts w:hint="eastAsia" w:ascii="宋体" w:hAnsi="宋体" w:eastAsia="宋体" w:cs="宋体"/>
                <w:color w:val="auto"/>
                <w:sz w:val="22"/>
                <w:szCs w:val="22"/>
                <w:highlight w:val="none"/>
              </w:rPr>
              <w:t xml:space="preserve">  </w:t>
            </w:r>
          </w:p>
          <w:p w14:paraId="3B7C754C">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13736325617、15705853800</w:t>
            </w:r>
          </w:p>
        </w:tc>
      </w:tr>
      <w:tr w14:paraId="4C5E1800">
        <w:tblPrEx>
          <w:tblCellMar>
            <w:top w:w="0" w:type="dxa"/>
            <w:left w:w="108" w:type="dxa"/>
            <w:bottom w:w="0" w:type="dxa"/>
            <w:right w:w="108" w:type="dxa"/>
          </w:tblCellMar>
        </w:tblPrEx>
        <w:trPr>
          <w:trHeight w:val="821"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4E3510">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78C6B0">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采购名称</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9EE0BB">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采购项目：</w:t>
            </w:r>
            <w:r>
              <w:rPr>
                <w:rFonts w:hint="eastAsia" w:ascii="宋体" w:hAnsi="宋体" w:eastAsia="宋体" w:cs="宋体"/>
                <w:color w:val="auto"/>
                <w:sz w:val="22"/>
                <w:szCs w:val="22"/>
                <w:highlight w:val="none"/>
                <w:lang w:eastAsia="zh-CN"/>
              </w:rPr>
              <w:t>温州市鹿城区旅游发展投资有限公司观光车采购项目</w:t>
            </w:r>
          </w:p>
          <w:p w14:paraId="23A449F4">
            <w:pPr>
              <w:spacing w:line="40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采购编号：</w:t>
            </w:r>
            <w:r>
              <w:rPr>
                <w:rFonts w:hint="eastAsia" w:ascii="宋体" w:hAnsi="宋体" w:eastAsia="宋体" w:cs="宋体"/>
                <w:color w:val="auto"/>
                <w:sz w:val="22"/>
                <w:szCs w:val="22"/>
                <w:highlight w:val="none"/>
                <w:lang w:eastAsia="zh-CN"/>
              </w:rPr>
              <w:t>ZJDFZB-2025060175</w:t>
            </w:r>
          </w:p>
        </w:tc>
      </w:tr>
      <w:tr w14:paraId="7AA079DD">
        <w:tblPrEx>
          <w:tblCellMar>
            <w:top w:w="0" w:type="dxa"/>
            <w:left w:w="108" w:type="dxa"/>
            <w:bottom w:w="0" w:type="dxa"/>
            <w:right w:w="108" w:type="dxa"/>
          </w:tblCellMar>
        </w:tblPrEx>
        <w:trPr>
          <w:trHeight w:val="764"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05C1F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4</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7BEB5B">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采购内容</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9C59EE7">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具体内容及要求见采购文件。</w:t>
            </w:r>
          </w:p>
        </w:tc>
      </w:tr>
      <w:tr w14:paraId="168CEADF">
        <w:tblPrEx>
          <w:tblCellMar>
            <w:top w:w="0" w:type="dxa"/>
            <w:left w:w="108" w:type="dxa"/>
            <w:bottom w:w="0" w:type="dxa"/>
            <w:right w:w="108" w:type="dxa"/>
          </w:tblCellMar>
        </w:tblPrEx>
        <w:trPr>
          <w:trHeight w:val="2454"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915B47">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5</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417F1E">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u w:val="single"/>
                <w:lang w:val="zh-CN"/>
              </w:rPr>
              <w:t>▲</w:t>
            </w:r>
            <w:r>
              <w:rPr>
                <w:rFonts w:hint="eastAsia" w:ascii="宋体" w:hAnsi="宋体" w:eastAsia="宋体" w:cs="宋体"/>
                <w:b/>
                <w:bCs/>
                <w:color w:val="auto"/>
                <w:kern w:val="0"/>
                <w:sz w:val="22"/>
                <w:szCs w:val="22"/>
                <w:highlight w:val="none"/>
                <w:u w:val="single"/>
              </w:rPr>
              <w:t>投标人</w:t>
            </w:r>
            <w:r>
              <w:rPr>
                <w:rFonts w:hint="eastAsia" w:ascii="宋体" w:hAnsi="宋体" w:eastAsia="宋体" w:cs="宋体"/>
                <w:b/>
                <w:bCs/>
                <w:color w:val="auto"/>
                <w:kern w:val="0"/>
                <w:sz w:val="22"/>
                <w:szCs w:val="22"/>
                <w:highlight w:val="none"/>
                <w:u w:val="single"/>
                <w:lang w:val="zh-CN"/>
              </w:rPr>
              <w:t>资质格要求</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00C5BF">
            <w:pPr>
              <w:numPr>
                <w:ilvl w:val="0"/>
                <w:numId w:val="7"/>
              </w:num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基本条件：</w:t>
            </w:r>
          </w:p>
          <w:p w14:paraId="294483C4">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（1）符合《温州市鹿城区区属国有企业采购指导意见（试行）》投标供应商参加国有企业采购活动应当具备的条件要求；</w:t>
            </w:r>
          </w:p>
          <w:p w14:paraId="24E48F68">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（2）单位负责人为同一人或者存在直接控股、管理关系的不同投标人，不得参加同一合同项下的采购活动；</w:t>
            </w:r>
          </w:p>
          <w:p w14:paraId="5A9FA93A">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（3）投标人未被“信用中国”（www.creditchina.gov.cn）、中国政府采购网（www.ccgp.gov.cn）列入失信被执行人、重大税收违法案件当事人名单、采购严重违法失信行为记录名单；</w:t>
            </w:r>
          </w:p>
          <w:p w14:paraId="5E5AE5E0">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（二）特定条件：</w:t>
            </w:r>
          </w:p>
          <w:p w14:paraId="451F517C">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（1）投标人须是所投车辆的制造商或制造商对本项目唯一授权的代理商，若为代理商投标的需提供制造商的正式授权书；</w:t>
            </w:r>
          </w:p>
          <w:p w14:paraId="5C743264">
            <w:pPr>
              <w:autoSpaceDE w:val="0"/>
              <w:autoSpaceDN w:val="0"/>
              <w:adjustRightInd w:val="0"/>
              <w:spacing w:line="400" w:lineRule="exact"/>
              <w:ind w:right="-34"/>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zh-CN"/>
              </w:rPr>
              <w:t>本项目不接受联合体投标。</w:t>
            </w:r>
          </w:p>
        </w:tc>
      </w:tr>
      <w:tr w14:paraId="1576A8CD">
        <w:tblPrEx>
          <w:tblCellMar>
            <w:top w:w="0" w:type="dxa"/>
            <w:left w:w="108" w:type="dxa"/>
            <w:bottom w:w="0" w:type="dxa"/>
            <w:right w:w="108" w:type="dxa"/>
          </w:tblCellMar>
        </w:tblPrEx>
        <w:trPr>
          <w:trHeight w:val="420"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FB87A5">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6</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F677D2">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是否接受联合体投标</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FD1D1D">
            <w:pPr>
              <w:autoSpaceDE w:val="0"/>
              <w:autoSpaceDN w:val="0"/>
              <w:adjustRightIn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b/>
                <w:snapToGrid w:val="0"/>
                <w:color w:val="auto"/>
                <w:sz w:val="22"/>
                <w:szCs w:val="22"/>
                <w:highlight w:val="none"/>
              </w:rPr>
              <w:sym w:font="Times New Roman" w:char="0000"/>
            </w:r>
            <w:r>
              <w:rPr>
                <w:rFonts w:hint="eastAsia" w:ascii="宋体" w:hAnsi="宋体" w:eastAsia="宋体" w:cs="宋体"/>
                <w:color w:val="auto"/>
                <w:kern w:val="0"/>
                <w:sz w:val="22"/>
                <w:szCs w:val="22"/>
                <w:highlight w:val="none"/>
                <w:lang w:val="zh-CN"/>
              </w:rPr>
              <w:sym w:font="Wingdings 2" w:char="0052"/>
            </w:r>
            <w:r>
              <w:rPr>
                <w:rFonts w:hint="eastAsia" w:ascii="宋体" w:hAnsi="宋体" w:eastAsia="宋体" w:cs="宋体"/>
                <w:color w:val="auto"/>
                <w:kern w:val="0"/>
                <w:sz w:val="22"/>
                <w:szCs w:val="22"/>
                <w:highlight w:val="none"/>
                <w:lang w:val="zh-CN"/>
              </w:rPr>
              <w:t>不接受</w:t>
            </w:r>
            <w:r>
              <w:rPr>
                <w:rFonts w:hint="eastAsia" w:ascii="宋体" w:hAnsi="宋体" w:eastAsia="宋体" w:cs="宋体"/>
                <w:color w:val="auto"/>
                <w:kern w:val="0"/>
                <w:sz w:val="22"/>
                <w:szCs w:val="22"/>
                <w:highlight w:val="none"/>
              </w:rPr>
              <w:t xml:space="preserve"> </w:t>
            </w:r>
          </w:p>
          <w:p w14:paraId="4FB12502">
            <w:pPr>
              <w:pStyle w:val="89"/>
              <w:rPr>
                <w:rFonts w:hint="eastAsia" w:ascii="宋体" w:hAnsi="宋体" w:eastAsia="宋体" w:cs="宋体"/>
                <w:color w:val="auto"/>
                <w:highlight w:val="none"/>
              </w:rPr>
            </w:pP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rPr>
              <w:sym w:font="Wingdings 2" w:char="00A3"/>
            </w:r>
            <w:r>
              <w:rPr>
                <w:rFonts w:hint="eastAsia" w:ascii="宋体" w:hAnsi="宋体" w:eastAsia="宋体" w:cs="宋体"/>
                <w:color w:val="auto"/>
                <w:sz w:val="22"/>
                <w:highlight w:val="none"/>
              </w:rPr>
              <w:t>接受</w:t>
            </w:r>
          </w:p>
        </w:tc>
      </w:tr>
      <w:tr w14:paraId="085FA857">
        <w:tblPrEx>
          <w:tblCellMar>
            <w:top w:w="0" w:type="dxa"/>
            <w:left w:w="108" w:type="dxa"/>
            <w:bottom w:w="0" w:type="dxa"/>
            <w:right w:w="108" w:type="dxa"/>
          </w:tblCellMar>
        </w:tblPrEx>
        <w:trPr>
          <w:trHeight w:val="750"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7D1E4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7</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18DB4F">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踏勘现场</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5D5F3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□组织</w:t>
            </w:r>
            <w:r>
              <w:rPr>
                <w:rFonts w:hint="eastAsia" w:ascii="宋体" w:hAnsi="宋体" w:eastAsia="宋体" w:cs="宋体"/>
                <w:color w:val="auto"/>
                <w:kern w:val="0"/>
                <w:sz w:val="22"/>
                <w:szCs w:val="22"/>
                <w:highlight w:val="none"/>
              </w:rPr>
              <w:t xml:space="preserve">   </w:t>
            </w:r>
            <w:r>
              <w:rPr>
                <w:rFonts w:hint="eastAsia" w:ascii="宋体" w:hAnsi="宋体" w:eastAsia="宋体" w:cs="宋体"/>
                <w:b/>
                <w:snapToGrid w:val="0"/>
                <w:color w:val="auto"/>
                <w:sz w:val="22"/>
                <w:szCs w:val="22"/>
                <w:highlight w:val="none"/>
              </w:rPr>
              <w:sym w:font="Times New Roman" w:char="0000"/>
            </w:r>
            <w:r>
              <w:rPr>
                <w:rFonts w:hint="eastAsia" w:ascii="宋体" w:hAnsi="宋体" w:eastAsia="宋体" w:cs="宋体"/>
                <w:color w:val="auto"/>
                <w:kern w:val="0"/>
                <w:sz w:val="22"/>
                <w:szCs w:val="22"/>
                <w:highlight w:val="none"/>
                <w:lang w:val="zh-CN"/>
              </w:rPr>
              <w:sym w:font="Wingdings 2" w:char="0052"/>
            </w:r>
            <w:r>
              <w:rPr>
                <w:rFonts w:hint="eastAsia" w:ascii="宋体" w:hAnsi="宋体" w:eastAsia="宋体" w:cs="宋体"/>
                <w:color w:val="auto"/>
                <w:kern w:val="0"/>
                <w:sz w:val="22"/>
                <w:szCs w:val="22"/>
                <w:highlight w:val="none"/>
                <w:lang w:val="zh-CN"/>
              </w:rPr>
              <w:t>不组织</w:t>
            </w:r>
          </w:p>
        </w:tc>
      </w:tr>
      <w:tr w14:paraId="45C375C6">
        <w:tblPrEx>
          <w:tblCellMar>
            <w:top w:w="0" w:type="dxa"/>
            <w:left w:w="108" w:type="dxa"/>
            <w:bottom w:w="0" w:type="dxa"/>
            <w:right w:w="108" w:type="dxa"/>
          </w:tblCellMar>
        </w:tblPrEx>
        <w:trPr>
          <w:trHeight w:val="750"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4F47D6">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8</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76E1D9">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投标预备会</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187A94">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□召开</w:t>
            </w:r>
            <w:r>
              <w:rPr>
                <w:rFonts w:hint="eastAsia" w:ascii="宋体" w:hAnsi="宋体" w:eastAsia="宋体" w:cs="宋体"/>
                <w:color w:val="auto"/>
                <w:kern w:val="0"/>
                <w:sz w:val="22"/>
                <w:szCs w:val="22"/>
                <w:highlight w:val="none"/>
              </w:rPr>
              <w:t xml:space="preserve">   </w:t>
            </w:r>
            <w:r>
              <w:rPr>
                <w:rFonts w:hint="eastAsia" w:ascii="宋体" w:hAnsi="宋体" w:eastAsia="宋体" w:cs="宋体"/>
                <w:b/>
                <w:snapToGrid w:val="0"/>
                <w:color w:val="auto"/>
                <w:sz w:val="22"/>
                <w:szCs w:val="22"/>
                <w:highlight w:val="none"/>
              </w:rPr>
              <w:sym w:font="Times New Roman" w:char="0000"/>
            </w:r>
            <w:r>
              <w:rPr>
                <w:rFonts w:hint="eastAsia" w:ascii="宋体" w:hAnsi="宋体" w:eastAsia="宋体" w:cs="宋体"/>
                <w:color w:val="auto"/>
                <w:kern w:val="0"/>
                <w:sz w:val="22"/>
                <w:szCs w:val="22"/>
                <w:highlight w:val="none"/>
                <w:lang w:val="zh-CN"/>
              </w:rPr>
              <w:sym w:font="Wingdings 2" w:char="0052"/>
            </w:r>
            <w:r>
              <w:rPr>
                <w:rFonts w:hint="eastAsia" w:ascii="宋体" w:hAnsi="宋体" w:eastAsia="宋体" w:cs="宋体"/>
                <w:color w:val="auto"/>
                <w:kern w:val="0"/>
                <w:sz w:val="22"/>
                <w:szCs w:val="22"/>
                <w:highlight w:val="none"/>
                <w:lang w:val="zh-CN"/>
              </w:rPr>
              <w:t>不召开</w:t>
            </w:r>
          </w:p>
        </w:tc>
      </w:tr>
      <w:tr w14:paraId="3FD628F0">
        <w:tblPrEx>
          <w:tblCellMar>
            <w:top w:w="0" w:type="dxa"/>
            <w:left w:w="108" w:type="dxa"/>
            <w:bottom w:w="0" w:type="dxa"/>
            <w:right w:w="108" w:type="dxa"/>
          </w:tblCellMar>
        </w:tblPrEx>
        <w:trPr>
          <w:trHeight w:val="821"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A1CE054">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9</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9FFA4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w:t>
            </w:r>
            <w:r>
              <w:rPr>
                <w:rFonts w:hint="eastAsia" w:ascii="宋体" w:hAnsi="宋体" w:eastAsia="宋体" w:cs="宋体"/>
                <w:color w:val="auto"/>
                <w:kern w:val="0"/>
                <w:sz w:val="22"/>
                <w:szCs w:val="22"/>
                <w:highlight w:val="none"/>
              </w:rPr>
              <w:t>响应</w:t>
            </w:r>
            <w:r>
              <w:rPr>
                <w:rFonts w:hint="eastAsia" w:ascii="宋体" w:hAnsi="宋体" w:eastAsia="宋体" w:cs="宋体"/>
                <w:color w:val="auto"/>
                <w:kern w:val="0"/>
                <w:sz w:val="22"/>
                <w:szCs w:val="22"/>
                <w:highlight w:val="none"/>
                <w:lang w:val="zh-CN"/>
              </w:rPr>
              <w:t>截止时间</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382D54">
            <w:pPr>
              <w:autoSpaceDE w:val="0"/>
              <w:autoSpaceDN w:val="0"/>
              <w:adjustRightInd w:val="0"/>
              <w:spacing w:line="400" w:lineRule="exact"/>
              <w:rPr>
                <w:rFonts w:hint="eastAsia" w:ascii="宋体" w:hAnsi="宋体" w:eastAsia="宋体" w:cs="宋体"/>
                <w:color w:val="auto"/>
                <w:kern w:val="0"/>
                <w:sz w:val="22"/>
                <w:szCs w:val="22"/>
                <w:highlight w:val="none"/>
              </w:rPr>
            </w:pPr>
            <w:r>
              <w:rPr>
                <w:rFonts w:hint="eastAsia" w:ascii="宋体" w:hAnsi="宋体" w:eastAsia="宋体" w:cs="宋体"/>
                <w:bCs/>
                <w:color w:val="auto"/>
                <w:kern w:val="0"/>
                <w:sz w:val="22"/>
                <w:szCs w:val="22"/>
                <w:highlight w:val="none"/>
              </w:rPr>
              <w:t>见采购公告</w:t>
            </w:r>
          </w:p>
        </w:tc>
      </w:tr>
      <w:tr w14:paraId="535911A3">
        <w:tblPrEx>
          <w:tblCellMar>
            <w:top w:w="0" w:type="dxa"/>
            <w:left w:w="108" w:type="dxa"/>
            <w:bottom w:w="0" w:type="dxa"/>
            <w:right w:w="108" w:type="dxa"/>
          </w:tblCellMar>
        </w:tblPrEx>
        <w:trPr>
          <w:trHeight w:val="750"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BF8694">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10</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5DAC58">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分包</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589E55">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□允许</w:t>
            </w:r>
            <w:r>
              <w:rPr>
                <w:rFonts w:hint="eastAsia" w:ascii="宋体" w:hAnsi="宋体" w:eastAsia="宋体" w:cs="宋体"/>
                <w:color w:val="auto"/>
                <w:kern w:val="0"/>
                <w:sz w:val="22"/>
                <w:szCs w:val="22"/>
                <w:highlight w:val="none"/>
              </w:rPr>
              <w:t xml:space="preserve">   </w:t>
            </w:r>
            <w:r>
              <w:rPr>
                <w:rFonts w:hint="eastAsia" w:ascii="宋体" w:hAnsi="宋体" w:eastAsia="宋体" w:cs="宋体"/>
                <w:b/>
                <w:snapToGrid w:val="0"/>
                <w:color w:val="auto"/>
                <w:sz w:val="22"/>
                <w:szCs w:val="22"/>
                <w:highlight w:val="none"/>
              </w:rPr>
              <w:sym w:font="Times New Roman" w:char="0000"/>
            </w:r>
            <w:r>
              <w:rPr>
                <w:rFonts w:hint="eastAsia" w:ascii="宋体" w:hAnsi="宋体" w:eastAsia="宋体" w:cs="宋体"/>
                <w:color w:val="auto"/>
                <w:kern w:val="0"/>
                <w:sz w:val="22"/>
                <w:szCs w:val="22"/>
                <w:highlight w:val="none"/>
                <w:lang w:val="zh-CN"/>
              </w:rPr>
              <w:sym w:font="Wingdings 2" w:char="0052"/>
            </w:r>
            <w:r>
              <w:rPr>
                <w:rFonts w:hint="eastAsia" w:ascii="宋体" w:hAnsi="宋体" w:eastAsia="宋体" w:cs="宋体"/>
                <w:color w:val="auto"/>
                <w:kern w:val="0"/>
                <w:sz w:val="22"/>
                <w:szCs w:val="22"/>
                <w:highlight w:val="none"/>
                <w:lang w:val="zh-CN"/>
              </w:rPr>
              <w:t>不允许</w:t>
            </w:r>
          </w:p>
        </w:tc>
      </w:tr>
      <w:tr w14:paraId="09AAE321">
        <w:tblPrEx>
          <w:tblCellMar>
            <w:top w:w="0" w:type="dxa"/>
            <w:left w:w="108" w:type="dxa"/>
            <w:bottom w:w="0" w:type="dxa"/>
            <w:right w:w="108" w:type="dxa"/>
          </w:tblCellMar>
        </w:tblPrEx>
        <w:trPr>
          <w:trHeight w:val="717"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2A64E97">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11</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7AB84D">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偏离</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429017">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偏差允许幅度及其处理方法：</w:t>
            </w:r>
            <w:r>
              <w:rPr>
                <w:rFonts w:hint="eastAsia" w:ascii="宋体" w:hAnsi="宋体" w:eastAsia="宋体" w:cs="宋体"/>
                <w:color w:val="auto"/>
                <w:kern w:val="0"/>
                <w:sz w:val="22"/>
                <w:szCs w:val="22"/>
                <w:highlight w:val="none"/>
              </w:rPr>
              <w:t>允许细微偏差，</w:t>
            </w:r>
            <w:r>
              <w:rPr>
                <w:rFonts w:hint="eastAsia" w:ascii="宋体" w:hAnsi="宋体" w:eastAsia="宋体" w:cs="宋体"/>
                <w:color w:val="auto"/>
                <w:kern w:val="0"/>
                <w:sz w:val="22"/>
                <w:szCs w:val="22"/>
                <w:highlight w:val="none"/>
                <w:lang w:val="zh-CN"/>
              </w:rPr>
              <w:t>不允许</w:t>
            </w:r>
            <w:r>
              <w:rPr>
                <w:rFonts w:hint="eastAsia" w:ascii="宋体" w:hAnsi="宋体" w:eastAsia="宋体" w:cs="宋体"/>
                <w:color w:val="auto"/>
                <w:kern w:val="0"/>
                <w:sz w:val="22"/>
                <w:szCs w:val="22"/>
                <w:highlight w:val="none"/>
              </w:rPr>
              <w:t>重大</w:t>
            </w:r>
            <w:r>
              <w:rPr>
                <w:rFonts w:hint="eastAsia" w:ascii="宋体" w:hAnsi="宋体" w:eastAsia="宋体" w:cs="宋体"/>
                <w:color w:val="auto"/>
                <w:kern w:val="0"/>
                <w:sz w:val="22"/>
                <w:szCs w:val="22"/>
                <w:highlight w:val="none"/>
                <w:lang w:val="zh-CN"/>
              </w:rPr>
              <w:t>负偏差。</w:t>
            </w:r>
          </w:p>
        </w:tc>
      </w:tr>
      <w:tr w14:paraId="0DDAB61E">
        <w:tblPrEx>
          <w:tblCellMar>
            <w:top w:w="0" w:type="dxa"/>
            <w:left w:w="108" w:type="dxa"/>
            <w:bottom w:w="0" w:type="dxa"/>
            <w:right w:w="108" w:type="dxa"/>
          </w:tblCellMar>
        </w:tblPrEx>
        <w:trPr>
          <w:trHeight w:val="699"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4AAB22">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D097AC">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投标有效期</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2447EC">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自投标截止时间起生效，有效期90天。</w:t>
            </w:r>
          </w:p>
        </w:tc>
      </w:tr>
      <w:tr w14:paraId="25F4CCF9">
        <w:tblPrEx>
          <w:tblCellMar>
            <w:top w:w="0" w:type="dxa"/>
            <w:left w:w="108" w:type="dxa"/>
            <w:bottom w:w="0" w:type="dxa"/>
            <w:right w:w="108" w:type="dxa"/>
          </w:tblCellMar>
        </w:tblPrEx>
        <w:trPr>
          <w:trHeight w:val="571"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2929A7">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13</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58F783">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投标保证金</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2FAEB1">
            <w:pPr>
              <w:widowControl/>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投标保证金：人民币伍仟元整（¥5000.00元）（投标人须在投标截止时间前将投标保证金以银行转账形式缴纳并到账，汇出账号须为投标人银行账户），保证金交纳时间以到账时间为准。</w:t>
            </w:r>
          </w:p>
          <w:p w14:paraId="0B2B1A4C">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银行电汇或转账支票直接缴入以下收款人账户：</w:t>
            </w:r>
          </w:p>
          <w:p w14:paraId="70525738">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户名：浙江德丰项目管理有限公司</w:t>
            </w:r>
          </w:p>
          <w:p w14:paraId="5D58524F">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账号：6232593499229059290</w:t>
            </w:r>
          </w:p>
          <w:p w14:paraId="5DC068A7">
            <w:pPr>
              <w:widowControl/>
              <w:spacing w:line="40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开户行：广发银行温州分行营业部</w:t>
            </w:r>
          </w:p>
          <w:p w14:paraId="10F4F5E9">
            <w:pPr>
              <w:widowControl/>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投标人缴纳投标保证金后，请携带投标保证金缴纳凭证（银行转账支票进账单、电汇单等，缴纳保证金用途必须注明采购项目名称）复印件在递交投标文件时递交给采购代理机构。</w:t>
            </w:r>
          </w:p>
        </w:tc>
      </w:tr>
      <w:tr w14:paraId="16F3F6B9">
        <w:tblPrEx>
          <w:tblCellMar>
            <w:top w:w="0" w:type="dxa"/>
            <w:left w:w="108" w:type="dxa"/>
            <w:bottom w:w="0" w:type="dxa"/>
            <w:right w:w="108" w:type="dxa"/>
          </w:tblCellMar>
        </w:tblPrEx>
        <w:trPr>
          <w:trHeight w:val="821"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5C5979">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14</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D1CECF0">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rPr>
              <w:t>投标文件</w:t>
            </w:r>
            <w:r>
              <w:rPr>
                <w:rFonts w:hint="eastAsia" w:ascii="宋体" w:hAnsi="宋体" w:eastAsia="宋体" w:cs="宋体"/>
                <w:b/>
                <w:bCs/>
                <w:color w:val="auto"/>
                <w:kern w:val="0"/>
                <w:sz w:val="22"/>
                <w:szCs w:val="22"/>
                <w:highlight w:val="none"/>
                <w:lang w:val="zh-CN"/>
              </w:rPr>
              <w:t>的组成</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C0B133">
            <w:pPr>
              <w:autoSpaceDE w:val="0"/>
              <w:autoSpaceDN w:val="0"/>
              <w:adjustRightInd w:val="0"/>
              <w:spacing w:line="400" w:lineRule="exact"/>
              <w:rPr>
                <w:rFonts w:hint="eastAsia" w:ascii="宋体" w:hAnsi="宋体" w:eastAsia="宋体" w:cs="宋体"/>
                <w:b/>
                <w:bCs/>
                <w:color w:val="auto"/>
                <w:kern w:val="0"/>
                <w:sz w:val="22"/>
                <w:szCs w:val="22"/>
                <w:highlight w:val="none"/>
                <w:lang w:val="zh-CN"/>
              </w:rPr>
            </w:pPr>
            <w:r>
              <w:rPr>
                <w:rFonts w:hint="eastAsia" w:ascii="宋体" w:hAnsi="宋体" w:eastAsia="宋体" w:cs="宋体"/>
                <w:b/>
                <w:bCs/>
                <w:color w:val="auto"/>
                <w:kern w:val="0"/>
                <w:sz w:val="22"/>
                <w:szCs w:val="22"/>
                <w:highlight w:val="none"/>
                <w:lang w:val="zh-CN"/>
              </w:rPr>
              <w:t>由“资格文件”、“商务技术文件”和“报价文件”三个部分组成。纸质投标文件正本一份，副本五份，共六份。电子投标文件U盘一份，共</w:t>
            </w:r>
            <w:r>
              <w:rPr>
                <w:rFonts w:hint="eastAsia" w:ascii="宋体" w:hAnsi="宋体" w:eastAsia="宋体" w:cs="宋体"/>
                <w:b/>
                <w:bCs/>
                <w:color w:val="auto"/>
                <w:kern w:val="0"/>
                <w:sz w:val="22"/>
                <w:szCs w:val="22"/>
                <w:highlight w:val="none"/>
              </w:rPr>
              <w:t>一</w:t>
            </w:r>
            <w:r>
              <w:rPr>
                <w:rFonts w:hint="eastAsia" w:ascii="宋体" w:hAnsi="宋体" w:eastAsia="宋体" w:cs="宋体"/>
                <w:b/>
                <w:bCs/>
                <w:color w:val="auto"/>
                <w:kern w:val="0"/>
                <w:sz w:val="22"/>
                <w:szCs w:val="22"/>
                <w:highlight w:val="none"/>
                <w:lang w:val="zh-CN"/>
              </w:rPr>
              <w:t>份。</w:t>
            </w:r>
          </w:p>
        </w:tc>
      </w:tr>
      <w:tr w14:paraId="50377E44">
        <w:tblPrEx>
          <w:tblCellMar>
            <w:top w:w="0" w:type="dxa"/>
            <w:left w:w="108" w:type="dxa"/>
            <w:bottom w:w="0" w:type="dxa"/>
            <w:right w:w="108" w:type="dxa"/>
          </w:tblCellMar>
        </w:tblPrEx>
        <w:trPr>
          <w:trHeight w:val="786"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6E4118">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15</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9A4BA67">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开标时间</w:t>
            </w:r>
          </w:p>
          <w:p w14:paraId="20FDC366">
            <w:pPr>
              <w:autoSpaceDE w:val="0"/>
              <w:autoSpaceDN w:val="0"/>
              <w:adjustRightInd w:val="0"/>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和地点</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8C8E6EB">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详见采购公告</w:t>
            </w:r>
          </w:p>
        </w:tc>
      </w:tr>
      <w:tr w14:paraId="781A1A8C">
        <w:tblPrEx>
          <w:tblCellMar>
            <w:top w:w="0" w:type="dxa"/>
            <w:left w:w="108" w:type="dxa"/>
            <w:bottom w:w="0" w:type="dxa"/>
            <w:right w:w="108" w:type="dxa"/>
          </w:tblCellMar>
        </w:tblPrEx>
        <w:trPr>
          <w:trHeight w:val="1637"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9CE46B1">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16</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986666">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评标委员会</w:t>
            </w:r>
          </w:p>
          <w:p w14:paraId="09F44AA7">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的组建</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648985">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bCs/>
                <w:color w:val="auto"/>
                <w:sz w:val="22"/>
                <w:szCs w:val="22"/>
                <w:highlight w:val="none"/>
              </w:rPr>
              <w:t>采购人按照</w:t>
            </w:r>
            <w:r>
              <w:rPr>
                <w:rFonts w:hint="eastAsia" w:ascii="宋体" w:hAnsi="宋体" w:eastAsia="宋体" w:cs="宋体"/>
                <w:bCs/>
                <w:color w:val="auto"/>
                <w:sz w:val="22"/>
                <w:szCs w:val="22"/>
                <w:highlight w:val="none"/>
                <w:lang w:eastAsia="zh-CN"/>
              </w:rPr>
              <w:t>《温州市鹿城区区属国有企业采购指导意见（试行）》</w:t>
            </w:r>
            <w:r>
              <w:rPr>
                <w:rFonts w:hint="eastAsia" w:ascii="宋体" w:hAnsi="宋体" w:eastAsia="宋体" w:cs="宋体"/>
                <w:bCs/>
                <w:color w:val="auto"/>
                <w:sz w:val="22"/>
                <w:szCs w:val="22"/>
                <w:highlight w:val="none"/>
              </w:rPr>
              <w:t>等有关法律、法规的规定组建评标委员会，评标委员会由采购人代表和有关技术、经济等方面的专家组成，成员人数为5人（含）以上单数，除采购人代表外的专家将在评标专家库中随机抽取产生。</w:t>
            </w:r>
          </w:p>
        </w:tc>
      </w:tr>
      <w:tr w14:paraId="03C06F1C">
        <w:tblPrEx>
          <w:tblCellMar>
            <w:top w:w="0" w:type="dxa"/>
            <w:left w:w="108" w:type="dxa"/>
            <w:bottom w:w="0" w:type="dxa"/>
            <w:right w:w="108" w:type="dxa"/>
          </w:tblCellMar>
        </w:tblPrEx>
        <w:trPr>
          <w:trHeight w:val="1229"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24C72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17</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A2145EA">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履约保证金</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A3EB0E">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不需要</w:t>
            </w:r>
          </w:p>
          <w:p w14:paraId="785FBE93">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fldChar w:fldCharType="begin"/>
            </w:r>
            <w:r>
              <w:rPr>
                <w:rFonts w:hint="eastAsia" w:ascii="宋体" w:hAnsi="宋体" w:eastAsia="宋体" w:cs="宋体"/>
                <w:color w:val="auto"/>
                <w:kern w:val="0"/>
                <w:sz w:val="22"/>
                <w:szCs w:val="22"/>
                <w:highlight w:val="none"/>
              </w:rPr>
              <w:instrText xml:space="preserve"> eq \o\ac(</w:instrText>
            </w:r>
            <w:r>
              <w:rPr>
                <w:rFonts w:hint="eastAsia" w:ascii="宋体" w:hAnsi="宋体" w:eastAsia="宋体" w:cs="宋体"/>
                <w:color w:val="auto"/>
                <w:kern w:val="0"/>
                <w:position w:val="-4"/>
                <w:sz w:val="22"/>
                <w:szCs w:val="22"/>
                <w:highlight w:val="none"/>
              </w:rPr>
              <w:instrText xml:space="preserve">□</w:instrText>
            </w:r>
            <w:r>
              <w:rPr>
                <w:rFonts w:hint="eastAsia" w:ascii="宋体" w:hAnsi="宋体" w:eastAsia="宋体" w:cs="宋体"/>
                <w:color w:val="auto"/>
                <w:kern w:val="0"/>
                <w:sz w:val="22"/>
                <w:szCs w:val="22"/>
                <w:highlight w:val="none"/>
              </w:rPr>
              <w:instrText xml:space="preserve">)</w:instrText>
            </w:r>
            <w:r>
              <w:rPr>
                <w:rFonts w:hint="eastAsia" w:ascii="宋体" w:hAnsi="宋体" w:eastAsia="宋体" w:cs="宋体"/>
                <w:color w:val="auto"/>
                <w:kern w:val="0"/>
                <w:sz w:val="22"/>
                <w:szCs w:val="22"/>
                <w:highlight w:val="none"/>
              </w:rPr>
              <w:fldChar w:fldCharType="end"/>
            </w:r>
            <w:r>
              <w:rPr>
                <w:rFonts w:hint="eastAsia" w:ascii="宋体" w:hAnsi="宋体" w:eastAsia="宋体" w:cs="宋体"/>
                <w:color w:val="auto"/>
                <w:kern w:val="0"/>
                <w:sz w:val="22"/>
                <w:szCs w:val="22"/>
                <w:highlight w:val="none"/>
              </w:rPr>
              <w:t>需要</w:t>
            </w:r>
          </w:p>
          <w:p w14:paraId="49281A62">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履约保证金的形式：</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w:t>
            </w:r>
          </w:p>
          <w:p w14:paraId="52A214BB">
            <w:pPr>
              <w:spacing w:line="4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履约保证金的金额：</w:t>
            </w:r>
            <w:r>
              <w:rPr>
                <w:rFonts w:hint="eastAsia" w:ascii="宋体" w:hAnsi="宋体" w:eastAsia="宋体" w:cs="宋体"/>
                <w:b/>
                <w:color w:val="auto"/>
                <w:kern w:val="0"/>
                <w:sz w:val="22"/>
                <w:szCs w:val="22"/>
                <w:highlight w:val="none"/>
                <w:u w:val="single"/>
              </w:rPr>
              <w:t>/</w:t>
            </w:r>
            <w:r>
              <w:rPr>
                <w:rFonts w:hint="eastAsia" w:ascii="宋体" w:hAnsi="宋体" w:eastAsia="宋体" w:cs="宋体"/>
                <w:color w:val="auto"/>
                <w:kern w:val="0"/>
                <w:sz w:val="22"/>
                <w:szCs w:val="22"/>
                <w:highlight w:val="none"/>
              </w:rPr>
              <w:t xml:space="preserve">。 </w:t>
            </w:r>
          </w:p>
        </w:tc>
      </w:tr>
      <w:tr w14:paraId="785172D8">
        <w:tblPrEx>
          <w:tblCellMar>
            <w:top w:w="0" w:type="dxa"/>
            <w:left w:w="108" w:type="dxa"/>
            <w:bottom w:w="0" w:type="dxa"/>
            <w:right w:w="108" w:type="dxa"/>
          </w:tblCellMar>
        </w:tblPrEx>
        <w:trPr>
          <w:trHeight w:val="1229"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68E87F">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18</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B752ED">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合同备案</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2E01A8">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（1）中标人在中标通知书发出之日起30日历天内与采购人签订合同。</w:t>
            </w:r>
          </w:p>
          <w:p w14:paraId="259F970A">
            <w:pPr>
              <w:spacing w:line="40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（2）中标人与采购人签订合同后，2日历天内将合同扫描件电子版发给采购代理机构：邮箱：</w:t>
            </w:r>
            <w:r>
              <w:rPr>
                <w:rFonts w:hint="eastAsia" w:ascii="宋体" w:hAnsi="宋体" w:eastAsia="宋体" w:cs="宋体"/>
                <w:color w:val="auto"/>
                <w:sz w:val="22"/>
                <w:szCs w:val="22"/>
                <w:highlight w:val="none"/>
                <w:lang w:eastAsia="zh-CN"/>
              </w:rPr>
              <w:t>327243936@qq.com</w:t>
            </w:r>
            <w:r>
              <w:rPr>
                <w:rFonts w:hint="eastAsia" w:ascii="宋体" w:hAnsi="宋体" w:eastAsia="宋体" w:cs="宋体"/>
                <w:color w:val="auto"/>
                <w:sz w:val="22"/>
                <w:szCs w:val="22"/>
                <w:highlight w:val="none"/>
              </w:rPr>
              <w:t>。</w:t>
            </w:r>
          </w:p>
        </w:tc>
      </w:tr>
      <w:tr w14:paraId="50ABA20A">
        <w:tblPrEx>
          <w:tblCellMar>
            <w:top w:w="0" w:type="dxa"/>
            <w:left w:w="108" w:type="dxa"/>
            <w:bottom w:w="0" w:type="dxa"/>
            <w:right w:w="108" w:type="dxa"/>
          </w:tblCellMar>
        </w:tblPrEx>
        <w:trPr>
          <w:trHeight w:val="1229"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706A215">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19</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8F6462">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合同履约管理</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F9FF756">
            <w:pPr>
              <w:spacing w:line="400" w:lineRule="exact"/>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0E675EC0">
        <w:tblPrEx>
          <w:tblCellMar>
            <w:top w:w="0" w:type="dxa"/>
            <w:left w:w="108" w:type="dxa"/>
            <w:bottom w:w="0" w:type="dxa"/>
            <w:right w:w="108" w:type="dxa"/>
          </w:tblCellMar>
        </w:tblPrEx>
        <w:trPr>
          <w:trHeight w:val="2862"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A1433B">
            <w:pPr>
              <w:autoSpaceDE w:val="0"/>
              <w:autoSpaceDN w:val="0"/>
              <w:adjustRightInd w:val="0"/>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20</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9AFACC">
            <w:pPr>
              <w:spacing w:line="400" w:lineRule="exact"/>
              <w:jc w:val="center"/>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解释权</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3EB15C">
            <w:pPr>
              <w:spacing w:line="400" w:lineRule="exac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审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1654326">
        <w:tblPrEx>
          <w:tblCellMar>
            <w:top w:w="0" w:type="dxa"/>
            <w:left w:w="108" w:type="dxa"/>
            <w:bottom w:w="0" w:type="dxa"/>
            <w:right w:w="108" w:type="dxa"/>
          </w:tblCellMar>
        </w:tblPrEx>
        <w:trPr>
          <w:trHeight w:val="1426"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7762CE">
            <w:pPr>
              <w:autoSpaceDE w:val="0"/>
              <w:autoSpaceDN w:val="0"/>
              <w:adjustRightInd w:val="0"/>
              <w:spacing w:line="40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202260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采购代理服务费</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A9E686">
            <w:pPr>
              <w:spacing w:line="4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按固定金额人民币</w:t>
            </w:r>
            <w:r>
              <w:rPr>
                <w:rFonts w:hint="eastAsia" w:ascii="宋体" w:hAnsi="宋体" w:eastAsia="宋体" w:cs="宋体"/>
                <w:color w:val="auto"/>
                <w:sz w:val="22"/>
                <w:szCs w:val="22"/>
                <w:highlight w:val="none"/>
                <w:lang w:val="en-US" w:eastAsia="zh-CN"/>
              </w:rPr>
              <w:t>捌仟</w:t>
            </w:r>
            <w:r>
              <w:rPr>
                <w:rFonts w:hint="eastAsia" w:ascii="宋体" w:hAnsi="宋体" w:eastAsia="宋体" w:cs="宋体"/>
                <w:color w:val="auto"/>
                <w:sz w:val="22"/>
                <w:szCs w:val="22"/>
                <w:highlight w:val="none"/>
              </w:rPr>
              <w:t>元整收取，由中标人在领取中标通知书之前支付给采购代理机构。</w:t>
            </w:r>
          </w:p>
        </w:tc>
      </w:tr>
      <w:tr w14:paraId="6C9550A2">
        <w:tblPrEx>
          <w:tblCellMar>
            <w:top w:w="0" w:type="dxa"/>
            <w:left w:w="108" w:type="dxa"/>
            <w:bottom w:w="0" w:type="dxa"/>
            <w:right w:w="108" w:type="dxa"/>
          </w:tblCellMar>
        </w:tblPrEx>
        <w:trPr>
          <w:trHeight w:val="1426" w:hRule="atLeast"/>
        </w:trPr>
        <w:tc>
          <w:tcPr>
            <w:tcW w:w="371"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293CDB">
            <w:pPr>
              <w:autoSpaceDE w:val="0"/>
              <w:autoSpaceDN w:val="0"/>
              <w:adjustRightInd w:val="0"/>
              <w:spacing w:line="40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22</w:t>
            </w:r>
          </w:p>
        </w:tc>
        <w:tc>
          <w:tcPr>
            <w:tcW w:w="7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7D7990">
            <w:pPr>
              <w:tabs>
                <w:tab w:val="left" w:pos="540"/>
              </w:tabs>
              <w:spacing w:line="4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乐采云国企采购平台项目采购收费标准(</w:t>
            </w:r>
            <w:r>
              <w:rPr>
                <w:rFonts w:hint="eastAsia" w:ascii="宋体" w:hAnsi="宋体" w:cs="宋体"/>
                <w:color w:val="auto"/>
                <w:sz w:val="22"/>
                <w:szCs w:val="22"/>
                <w:highlight w:val="none"/>
                <w:lang w:val="en-US" w:eastAsia="zh-CN"/>
              </w:rPr>
              <w:t>鹿城</w:t>
            </w:r>
            <w:r>
              <w:rPr>
                <w:rFonts w:hint="eastAsia" w:ascii="宋体" w:hAnsi="宋体" w:eastAsia="宋体" w:cs="宋体"/>
                <w:color w:val="auto"/>
                <w:sz w:val="22"/>
                <w:szCs w:val="22"/>
                <w:highlight w:val="none"/>
              </w:rPr>
              <w:t>）</w:t>
            </w:r>
          </w:p>
        </w:tc>
        <w:tc>
          <w:tcPr>
            <w:tcW w:w="3864" w:type="pc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DDCC12">
            <w:pPr>
              <w:tabs>
                <w:tab w:val="left" w:pos="540"/>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乐采云国企采购平台项目采购收费标准(</w:t>
            </w:r>
            <w:r>
              <w:rPr>
                <w:rFonts w:hint="eastAsia" w:ascii="宋体" w:hAnsi="宋体" w:cs="宋体"/>
                <w:color w:val="auto"/>
                <w:sz w:val="22"/>
                <w:szCs w:val="22"/>
                <w:highlight w:val="none"/>
                <w:lang w:val="en-US" w:eastAsia="zh-CN"/>
              </w:rPr>
              <w:t>鹿城</w:t>
            </w:r>
            <w:r>
              <w:rPr>
                <w:rFonts w:hint="eastAsia" w:ascii="宋体" w:hAnsi="宋体" w:eastAsia="宋体" w:cs="宋体"/>
                <w:color w:val="auto"/>
                <w:sz w:val="22"/>
                <w:szCs w:val="22"/>
                <w:highlight w:val="none"/>
              </w:rPr>
              <w:t>）</w:t>
            </w:r>
          </w:p>
          <w:p w14:paraId="6D687460">
            <w:pPr>
              <w:tabs>
                <w:tab w:val="left" w:pos="540"/>
              </w:tabs>
              <w:spacing w:line="440" w:lineRule="exact"/>
              <w:ind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(一)不涉及具体金额的采购项目，技术服务费</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00元/件:</w:t>
            </w:r>
          </w:p>
          <w:p w14:paraId="7BD20577">
            <w:pPr>
              <w:tabs>
                <w:tab w:val="left" w:pos="540"/>
              </w:tabs>
              <w:spacing w:line="440" w:lineRule="exact"/>
              <w:ind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 涉及具体金额的采购项目，根据标的额，按照以下比例收取技术服务费：1）中标价100万元以下 (含100万元的): 按</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00元收取；2）中标价超过100万元的: 中标价的</w:t>
            </w:r>
            <w:r>
              <w:rPr>
                <w:rFonts w:hint="eastAsia" w:ascii="宋体" w:hAnsi="宋体" w:cs="宋体"/>
                <w:color w:val="auto"/>
                <w:sz w:val="22"/>
                <w:szCs w:val="22"/>
                <w:highlight w:val="none"/>
                <w:lang w:val="en-US" w:eastAsia="zh-CN"/>
              </w:rPr>
              <w:t>万</w:t>
            </w:r>
            <w:r>
              <w:rPr>
                <w:rFonts w:hint="eastAsia" w:ascii="宋体" w:hAnsi="宋体" w:eastAsia="宋体" w:cs="宋体"/>
                <w:color w:val="auto"/>
                <w:sz w:val="22"/>
                <w:szCs w:val="22"/>
                <w:highlight w:val="none"/>
              </w:rPr>
              <w:t>分之</w:t>
            </w: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(0.</w:t>
            </w:r>
            <w:r>
              <w:rPr>
                <w:rFonts w:hint="eastAsia" w:ascii="宋体" w:hAnsi="宋体" w:cs="宋体"/>
                <w:color w:val="auto"/>
                <w:sz w:val="22"/>
                <w:szCs w:val="22"/>
                <w:highlight w:val="none"/>
                <w:lang w:val="en-US" w:eastAsia="zh-CN"/>
              </w:rPr>
              <w:t>5</w:t>
            </w:r>
            <w:r>
              <w:rPr>
                <w:rFonts w:hint="default" w:ascii="Arial" w:hAnsi="Arial" w:eastAsia="宋体" w:cs="Arial"/>
                <w:color w:val="auto"/>
                <w:sz w:val="22"/>
                <w:szCs w:val="22"/>
                <w:highlight w:val="none"/>
              </w:rPr>
              <w:t>‰</w:t>
            </w:r>
            <w:r>
              <w:rPr>
                <w:rFonts w:hint="eastAsia" w:ascii="宋体" w:hAnsi="宋体" w:eastAsia="宋体" w:cs="宋体"/>
                <w:color w:val="auto"/>
                <w:sz w:val="22"/>
                <w:szCs w:val="22"/>
                <w:highlight w:val="none"/>
              </w:rPr>
              <w:t>) ，以</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000元封顶。</w:t>
            </w:r>
          </w:p>
          <w:p w14:paraId="574F6AB6">
            <w:pPr>
              <w:spacing w:line="360" w:lineRule="auto"/>
              <w:ind w:left="429" w:leftChars="200" w:hanging="9"/>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三</w:t>
            </w:r>
            <w:r>
              <w:rPr>
                <w:rFonts w:hint="eastAsia" w:ascii="宋体" w:hAnsi="宋体" w:cs="宋体"/>
                <w:color w:val="auto"/>
                <w:kern w:val="0"/>
                <w:sz w:val="22"/>
                <w:szCs w:val="22"/>
                <w:highlight w:val="none"/>
              </w:rPr>
              <w:t>）收费对象：中标人</w:t>
            </w:r>
          </w:p>
          <w:p w14:paraId="1B7644E6">
            <w:pPr>
              <w:spacing w:line="360" w:lineRule="auto"/>
              <w:ind w:left="429" w:leftChars="200" w:hanging="9"/>
              <w:rPr>
                <w:rFonts w:hint="eastAsia"/>
                <w:lang w:val="en-US" w:eastAsia="zh-CN"/>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）缴款内容及时间：投标人于每次中标结果公示后支付该项目的技术服务费。</w:t>
            </w:r>
          </w:p>
        </w:tc>
      </w:tr>
    </w:tbl>
    <w:p w14:paraId="7DB8D72E">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t xml:space="preserve"> </w:t>
      </w:r>
      <w:bookmarkStart w:id="37" w:name="_Toc4603"/>
      <w:r>
        <w:rPr>
          <w:rFonts w:hint="eastAsia" w:ascii="宋体" w:hAnsi="宋体" w:eastAsia="宋体" w:cs="宋体"/>
          <w:b/>
          <w:bCs/>
          <w:color w:val="auto"/>
          <w:sz w:val="26"/>
          <w:szCs w:val="26"/>
          <w:highlight w:val="none"/>
        </w:rPr>
        <w:t>说明</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175ACDF">
      <w:pPr>
        <w:numPr>
          <w:ilvl w:val="0"/>
          <w:numId w:val="8"/>
        </w:numPr>
        <w:tabs>
          <w:tab w:val="left" w:pos="540"/>
          <w:tab w:val="left" w:pos="90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本次采购是按照</w:t>
      </w:r>
      <w:r>
        <w:rPr>
          <w:rFonts w:hint="eastAsia" w:ascii="宋体" w:hAnsi="宋体" w:eastAsia="宋体" w:cs="宋体"/>
          <w:color w:val="auto"/>
          <w:sz w:val="22"/>
          <w:szCs w:val="22"/>
          <w:highlight w:val="none"/>
          <w:lang w:eastAsia="zh-CN"/>
        </w:rPr>
        <w:t>《温州市鹿城区区属国有企业采购指导意见（试行）》</w:t>
      </w:r>
      <w:r>
        <w:rPr>
          <w:rFonts w:hint="eastAsia" w:ascii="宋体" w:hAnsi="宋体" w:eastAsia="宋体" w:cs="宋体"/>
          <w:color w:val="auto"/>
          <w:sz w:val="22"/>
          <w:szCs w:val="22"/>
          <w:highlight w:val="none"/>
        </w:rPr>
        <w:t>等法律及有关法规组织和实施的。</w:t>
      </w:r>
    </w:p>
    <w:p w14:paraId="2D3E8079">
      <w:pPr>
        <w:numPr>
          <w:ilvl w:val="0"/>
          <w:numId w:val="8"/>
        </w:numPr>
        <w:tabs>
          <w:tab w:val="left" w:pos="540"/>
          <w:tab w:val="left" w:pos="90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
          <w:bCs/>
          <w:color w:val="auto"/>
          <w:szCs w:val="21"/>
          <w:highlight w:val="none"/>
        </w:rPr>
        <w:t>▲</w:t>
      </w:r>
      <w:r>
        <w:rPr>
          <w:rFonts w:hint="eastAsia" w:ascii="宋体" w:hAnsi="宋体" w:eastAsia="宋体" w:cs="宋体"/>
          <w:b/>
          <w:color w:val="auto"/>
          <w:sz w:val="22"/>
          <w:szCs w:val="22"/>
          <w:highlight w:val="none"/>
          <w:u w:val="single"/>
        </w:rPr>
        <w:t>合格投标人</w:t>
      </w:r>
    </w:p>
    <w:p w14:paraId="297ECC0D">
      <w:pPr>
        <w:tabs>
          <w:tab w:val="left" w:pos="540"/>
          <w:tab w:val="left" w:pos="900"/>
        </w:tabs>
        <w:spacing w:line="440" w:lineRule="exact"/>
        <w:ind w:firstLine="1104" w:firstLineChars="5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详见采购公告</w:t>
      </w:r>
    </w:p>
    <w:p w14:paraId="0CD80269">
      <w:pPr>
        <w:numPr>
          <w:ilvl w:val="0"/>
          <w:numId w:val="8"/>
        </w:numPr>
        <w:tabs>
          <w:tab w:val="left" w:pos="540"/>
          <w:tab w:val="left" w:pos="90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w:t>
      </w:r>
    </w:p>
    <w:p w14:paraId="125EFDEC">
      <w:pPr>
        <w:spacing w:line="44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指全权代表投标人参加投标活动并签署投标文件的人。如果投标人代表不是法定代表人，须持有《法定代表人授权书》。</w:t>
      </w:r>
    </w:p>
    <w:p w14:paraId="4AAED411">
      <w:pPr>
        <w:numPr>
          <w:ilvl w:val="0"/>
          <w:numId w:val="8"/>
        </w:numPr>
        <w:tabs>
          <w:tab w:val="left" w:pos="540"/>
          <w:tab w:val="left" w:pos="90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投标费用</w:t>
      </w:r>
    </w:p>
    <w:p w14:paraId="556FD23A">
      <w:pPr>
        <w:spacing w:line="440" w:lineRule="exact"/>
        <w:ind w:left="538" w:leftChars="2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投标人应承担所有与准备和参加投标有关费用，不论投标的结果如何，采购人和采购代理机构均无义务和责任承担这些费用。</w:t>
      </w:r>
    </w:p>
    <w:p w14:paraId="428F105E">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38" w:name="_Toc239145352"/>
      <w:bookmarkStart w:id="39" w:name="_Toc222114877"/>
      <w:bookmarkStart w:id="40" w:name="_Toc223715996"/>
      <w:bookmarkStart w:id="41" w:name="_Toc221423617"/>
      <w:bookmarkStart w:id="42" w:name="_Toc245191312"/>
      <w:bookmarkStart w:id="43" w:name="_Toc262049416"/>
      <w:bookmarkStart w:id="44" w:name="_Toc221374624"/>
      <w:bookmarkStart w:id="45" w:name="_Toc249758710"/>
      <w:bookmarkStart w:id="46" w:name="_Toc221356884"/>
      <w:bookmarkStart w:id="47" w:name="_Toc262105501"/>
      <w:bookmarkStart w:id="48" w:name="_Toc245722279"/>
      <w:bookmarkStart w:id="49" w:name="_Toc221356949"/>
      <w:bookmarkStart w:id="50" w:name="_Toc249758862"/>
      <w:bookmarkStart w:id="51" w:name="_Toc246261263"/>
      <w:bookmarkStart w:id="52" w:name="_Toc241404200"/>
      <w:r>
        <w:rPr>
          <w:rFonts w:hint="eastAsia" w:ascii="宋体" w:hAnsi="宋体" w:eastAsia="宋体" w:cs="宋体"/>
          <w:b/>
          <w:bCs/>
          <w:color w:val="auto"/>
          <w:sz w:val="26"/>
          <w:szCs w:val="26"/>
          <w:highlight w:val="none"/>
        </w:rPr>
        <w:t xml:space="preserve"> </w:t>
      </w:r>
      <w:bookmarkStart w:id="53" w:name="_Toc25344"/>
      <w:r>
        <w:rPr>
          <w:rFonts w:hint="eastAsia" w:ascii="宋体" w:hAnsi="宋体" w:eastAsia="宋体" w:cs="宋体"/>
          <w:b/>
          <w:bCs/>
          <w:color w:val="auto"/>
          <w:sz w:val="26"/>
          <w:szCs w:val="26"/>
          <w:highlight w:val="none"/>
        </w:rPr>
        <w:t>采购文件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F08BEAE">
      <w:pPr>
        <w:numPr>
          <w:ilvl w:val="0"/>
          <w:numId w:val="9"/>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采购文件由采购文件目录所列内容及相关资料组成。</w:t>
      </w:r>
    </w:p>
    <w:p w14:paraId="68D98039">
      <w:pPr>
        <w:numPr>
          <w:ilvl w:val="0"/>
          <w:numId w:val="9"/>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采购文件的澄清和修改</w:t>
      </w:r>
    </w:p>
    <w:p w14:paraId="43BE301F">
      <w:pPr>
        <w:tabs>
          <w:tab w:val="left" w:pos="360"/>
        </w:tabs>
        <w:spacing w:line="44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采购单位对已发出的采购文件进行必要的澄清或者修改的，应当在浙江省政府采购网</w:t>
      </w:r>
      <w:r>
        <w:rPr>
          <w:rFonts w:hint="eastAsia" w:ascii="宋体" w:hAnsi="宋体" w:eastAsia="宋体" w:cs="宋体"/>
          <w:bCs/>
          <w:color w:val="auto"/>
          <w:sz w:val="22"/>
          <w:szCs w:val="22"/>
          <w:highlight w:val="none"/>
        </w:rPr>
        <w:t>等指定信息媒体</w:t>
      </w:r>
      <w:r>
        <w:rPr>
          <w:rFonts w:hint="eastAsia" w:ascii="宋体" w:hAnsi="宋体" w:eastAsia="宋体" w:cs="宋体"/>
          <w:color w:val="auto"/>
          <w:sz w:val="22"/>
          <w:szCs w:val="22"/>
          <w:highlight w:val="none"/>
        </w:rPr>
        <w:t>上发布更正公告，并以书面形式通知所有采购文件收受人。该澄清和修改的内容为采购文件的组成部分。澄清或者修改的内容可能影响投标文件编制的，采购人或者采购代理机构应当在投标截止时间至少3日前，以书面形式通知所有获取采购文件的潜在投标人；不足3日的，采购人将顺延提交投标文件的截止时间。</w:t>
      </w:r>
    </w:p>
    <w:p w14:paraId="6696B567">
      <w:pPr>
        <w:tabs>
          <w:tab w:val="left" w:pos="360"/>
        </w:tabs>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采购文件如有补充更正均见</w:t>
      </w:r>
      <w:r>
        <w:rPr>
          <w:rFonts w:hint="eastAsia" w:ascii="宋体" w:hAnsi="宋体" w:eastAsia="宋体" w:cs="宋体"/>
          <w:color w:val="auto"/>
          <w:sz w:val="22"/>
          <w:szCs w:val="22"/>
          <w:highlight w:val="none"/>
        </w:rPr>
        <w:t>浙江政府采购网</w:t>
      </w:r>
      <w:r>
        <w:rPr>
          <w:rFonts w:hint="eastAsia" w:ascii="宋体" w:hAnsi="宋体" w:eastAsia="宋体" w:cs="宋体"/>
          <w:bCs/>
          <w:color w:val="auto"/>
          <w:sz w:val="22"/>
          <w:szCs w:val="22"/>
          <w:highlight w:val="none"/>
        </w:rPr>
        <w:t>发布的更正通知。投标人须在开标前自行查看是否有补充更正文件，并按补充更正文件要求投标，否则责任自负</w:t>
      </w:r>
      <w:r>
        <w:rPr>
          <w:rFonts w:hint="eastAsia" w:ascii="宋体" w:hAnsi="宋体" w:eastAsia="宋体" w:cs="宋体"/>
          <w:color w:val="auto"/>
          <w:sz w:val="22"/>
          <w:szCs w:val="22"/>
          <w:highlight w:val="none"/>
        </w:rPr>
        <w:t>。</w:t>
      </w:r>
    </w:p>
    <w:p w14:paraId="27C86FE2">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54" w:name="_Toc221356950"/>
      <w:bookmarkStart w:id="55" w:name="_Toc245191313"/>
      <w:bookmarkStart w:id="56" w:name="_Toc222114878"/>
      <w:bookmarkStart w:id="57" w:name="_Toc221356885"/>
      <w:bookmarkStart w:id="58" w:name="_Toc239145353"/>
      <w:bookmarkStart w:id="59" w:name="_Toc246261264"/>
      <w:bookmarkStart w:id="60" w:name="_Toc245722280"/>
      <w:bookmarkStart w:id="61" w:name="_Toc221423618"/>
      <w:bookmarkStart w:id="62" w:name="_Toc262105502"/>
      <w:bookmarkStart w:id="63" w:name="_Toc221374625"/>
      <w:bookmarkStart w:id="64" w:name="_Toc249758711"/>
      <w:bookmarkStart w:id="65" w:name="_Toc223715997"/>
      <w:bookmarkStart w:id="66" w:name="_Toc249758863"/>
      <w:bookmarkStart w:id="67" w:name="_Toc262049417"/>
      <w:bookmarkStart w:id="68" w:name="_Toc241404201"/>
      <w:r>
        <w:rPr>
          <w:rFonts w:hint="eastAsia" w:ascii="宋体" w:hAnsi="宋体" w:eastAsia="宋体" w:cs="宋体"/>
          <w:b/>
          <w:bCs/>
          <w:color w:val="auto"/>
          <w:sz w:val="26"/>
          <w:szCs w:val="26"/>
          <w:highlight w:val="none"/>
        </w:rPr>
        <w:t xml:space="preserve"> </w:t>
      </w:r>
      <w:bookmarkStart w:id="69" w:name="_Toc12646"/>
      <w:r>
        <w:rPr>
          <w:rFonts w:hint="eastAsia" w:ascii="宋体" w:hAnsi="宋体" w:eastAsia="宋体" w:cs="宋体"/>
          <w:b/>
          <w:bCs/>
          <w:color w:val="auto"/>
          <w:sz w:val="26"/>
          <w:szCs w:val="26"/>
          <w:highlight w:val="none"/>
        </w:rPr>
        <w:t>投标文件的编制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14D5698">
      <w:pPr>
        <w:numPr>
          <w:ilvl w:val="0"/>
          <w:numId w:val="10"/>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投标人应认真阅读采购文件中所有事项格式、条款和技术规范等。</w:t>
      </w:r>
      <w:r>
        <w:rPr>
          <w:rFonts w:hint="eastAsia" w:ascii="宋体" w:hAnsi="宋体" w:eastAsia="宋体" w:cs="宋体"/>
          <w:b/>
          <w:color w:val="auto"/>
          <w:sz w:val="22"/>
          <w:szCs w:val="22"/>
          <w:highlight w:val="none"/>
        </w:rPr>
        <w:t>投标人没有按照采购文件要求提交全部资料，或者没有对采购文件各个方面做出实质性响应，导致投标被拒绝的风险由投标人自行承担。</w:t>
      </w:r>
    </w:p>
    <w:p w14:paraId="27FAE8BE">
      <w:pPr>
        <w:numPr>
          <w:ilvl w:val="0"/>
          <w:numId w:val="10"/>
        </w:numPr>
        <w:tabs>
          <w:tab w:val="left" w:pos="540"/>
          <w:tab w:val="clear" w:pos="420"/>
        </w:tabs>
        <w:spacing w:line="44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▲投标人应保证所提供文件资料的真实性，所有文件资料必须是针对本次投标的。如发现投标人提供了虚假文件资料，其投标将被拒绝，并自行承担相应的法律责任。</w:t>
      </w:r>
    </w:p>
    <w:p w14:paraId="43C06B32">
      <w:pPr>
        <w:numPr>
          <w:ilvl w:val="0"/>
          <w:numId w:val="10"/>
        </w:numPr>
        <w:tabs>
          <w:tab w:val="left" w:pos="540"/>
          <w:tab w:val="clear" w:pos="42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投标文件的构成：</w:t>
      </w:r>
    </w:p>
    <w:p w14:paraId="73B0DD6C">
      <w:pPr>
        <w:numPr>
          <w:ilvl w:val="1"/>
          <w:numId w:val="11"/>
        </w:numPr>
        <w:tabs>
          <w:tab w:val="left" w:pos="360"/>
          <w:tab w:val="left" w:pos="1135"/>
          <w:tab w:val="clear" w:pos="992"/>
        </w:tabs>
        <w:spacing w:line="440" w:lineRule="exact"/>
        <w:ind w:left="360" w:hanging="36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投标文件由资格文件、商务技术文件、报价文件三部分构成：</w:t>
      </w:r>
    </w:p>
    <w:p w14:paraId="745F14C1">
      <w:pPr>
        <w:spacing w:line="440" w:lineRule="exact"/>
        <w:ind w:left="187" w:leftChars="85" w:hanging="9" w:hangingChars="4"/>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（1）资格文件</w:t>
      </w:r>
    </w:p>
    <w:tbl>
      <w:tblPr>
        <w:tblStyle w:val="3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710"/>
        <w:gridCol w:w="1256"/>
      </w:tblGrid>
      <w:tr w14:paraId="079A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88" w:type="dxa"/>
            <w:noWrap w:val="0"/>
            <w:vAlign w:val="center"/>
          </w:tcPr>
          <w:p w14:paraId="690C4891">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10" w:type="dxa"/>
            <w:noWrap w:val="0"/>
            <w:vAlign w:val="center"/>
          </w:tcPr>
          <w:p w14:paraId="0E4876F9">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 容</w:t>
            </w:r>
          </w:p>
        </w:tc>
        <w:tc>
          <w:tcPr>
            <w:tcW w:w="1256" w:type="dxa"/>
            <w:noWrap w:val="0"/>
            <w:vAlign w:val="center"/>
          </w:tcPr>
          <w:p w14:paraId="257C558F">
            <w:pPr>
              <w:overflowPunct w:val="0"/>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140C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5EFB6B28">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7710" w:type="dxa"/>
            <w:noWrap w:val="0"/>
            <w:vAlign w:val="center"/>
          </w:tcPr>
          <w:p w14:paraId="5EB4177F">
            <w:pPr>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营业执照(或事业法人登记证书或其它工商等登记证明材料；自然人参与采购，提供身份证)复印件、税务登记证(或其它缴纳证明材料)复印件、社保登记证（或其它缴纳证明材料）复印件；实施“五证合一、一照一码”登记制度改革的，只需提供改革后取得的营业执照复印件</w:t>
            </w:r>
          </w:p>
        </w:tc>
        <w:tc>
          <w:tcPr>
            <w:tcW w:w="1256" w:type="dxa"/>
            <w:noWrap w:val="0"/>
            <w:vAlign w:val="center"/>
          </w:tcPr>
          <w:p w14:paraId="5708BCB8">
            <w:pPr>
              <w:overflowPunct w:val="0"/>
              <w:spacing w:line="430" w:lineRule="exact"/>
              <w:jc w:val="center"/>
              <w:rPr>
                <w:rFonts w:hint="eastAsia" w:ascii="宋体" w:hAnsi="宋体" w:eastAsia="宋体" w:cs="宋体"/>
                <w:b/>
                <w:color w:val="auto"/>
                <w:sz w:val="22"/>
                <w:szCs w:val="22"/>
                <w:highlight w:val="none"/>
              </w:rPr>
            </w:pPr>
          </w:p>
        </w:tc>
      </w:tr>
      <w:tr w14:paraId="32E8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15CD892F">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p>
        </w:tc>
        <w:tc>
          <w:tcPr>
            <w:tcW w:w="7710" w:type="dxa"/>
            <w:noWrap w:val="0"/>
            <w:vAlign w:val="center"/>
          </w:tcPr>
          <w:p w14:paraId="1AE4E904">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法定代表人声明书或法定代表人授权书</w:t>
            </w:r>
          </w:p>
        </w:tc>
        <w:tc>
          <w:tcPr>
            <w:tcW w:w="1256" w:type="dxa"/>
            <w:vMerge w:val="restart"/>
            <w:noWrap w:val="0"/>
            <w:vAlign w:val="center"/>
          </w:tcPr>
          <w:p w14:paraId="238102E8">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附件一</w:t>
            </w:r>
          </w:p>
        </w:tc>
      </w:tr>
      <w:tr w14:paraId="1C3C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2416DEC9">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7710" w:type="dxa"/>
            <w:noWrap w:val="0"/>
            <w:vAlign w:val="center"/>
          </w:tcPr>
          <w:p w14:paraId="086609BB">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投标人参与国企采购活动投标资格声明函</w:t>
            </w:r>
          </w:p>
        </w:tc>
        <w:tc>
          <w:tcPr>
            <w:tcW w:w="1256" w:type="dxa"/>
            <w:vMerge w:val="continue"/>
            <w:noWrap w:val="0"/>
            <w:vAlign w:val="center"/>
          </w:tcPr>
          <w:p w14:paraId="042FE19D">
            <w:pPr>
              <w:spacing w:line="400" w:lineRule="exact"/>
              <w:jc w:val="center"/>
              <w:rPr>
                <w:rFonts w:hint="eastAsia" w:ascii="宋体" w:hAnsi="宋体" w:eastAsia="宋体" w:cs="宋体"/>
                <w:color w:val="auto"/>
                <w:sz w:val="22"/>
                <w:szCs w:val="22"/>
                <w:highlight w:val="none"/>
              </w:rPr>
            </w:pPr>
          </w:p>
        </w:tc>
      </w:tr>
      <w:tr w14:paraId="3C23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3EF8BA50">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7710" w:type="dxa"/>
            <w:noWrap w:val="0"/>
            <w:vAlign w:val="center"/>
          </w:tcPr>
          <w:p w14:paraId="3183F525">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诚信投标承诺书</w:t>
            </w:r>
          </w:p>
        </w:tc>
        <w:tc>
          <w:tcPr>
            <w:tcW w:w="1256" w:type="dxa"/>
            <w:vMerge w:val="continue"/>
            <w:noWrap w:val="0"/>
            <w:vAlign w:val="center"/>
          </w:tcPr>
          <w:p w14:paraId="04CD727B">
            <w:pPr>
              <w:spacing w:line="400" w:lineRule="exact"/>
              <w:jc w:val="center"/>
              <w:rPr>
                <w:rFonts w:hint="eastAsia" w:ascii="宋体" w:hAnsi="宋体" w:eastAsia="宋体" w:cs="宋体"/>
                <w:color w:val="auto"/>
                <w:sz w:val="22"/>
                <w:szCs w:val="22"/>
                <w:highlight w:val="none"/>
              </w:rPr>
            </w:pPr>
          </w:p>
        </w:tc>
      </w:tr>
      <w:tr w14:paraId="765E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1C14DFF6">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w:t>
            </w:r>
          </w:p>
        </w:tc>
        <w:tc>
          <w:tcPr>
            <w:tcW w:w="7710" w:type="dxa"/>
            <w:noWrap w:val="0"/>
            <w:vAlign w:val="center"/>
          </w:tcPr>
          <w:p w14:paraId="6DF8FB71">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制造商正式授权书（如有）</w:t>
            </w:r>
          </w:p>
        </w:tc>
        <w:tc>
          <w:tcPr>
            <w:tcW w:w="1256" w:type="dxa"/>
            <w:noWrap w:val="0"/>
            <w:vAlign w:val="center"/>
          </w:tcPr>
          <w:p w14:paraId="311E9124">
            <w:pPr>
              <w:spacing w:line="400" w:lineRule="exact"/>
              <w:jc w:val="center"/>
              <w:rPr>
                <w:rFonts w:hint="eastAsia" w:ascii="宋体" w:hAnsi="宋体" w:eastAsia="宋体" w:cs="宋体"/>
                <w:color w:val="auto"/>
                <w:sz w:val="22"/>
                <w:szCs w:val="22"/>
                <w:highlight w:val="none"/>
              </w:rPr>
            </w:pPr>
          </w:p>
        </w:tc>
      </w:tr>
      <w:tr w14:paraId="1FB3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5467C806">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w:t>
            </w:r>
          </w:p>
        </w:tc>
        <w:tc>
          <w:tcPr>
            <w:tcW w:w="7710" w:type="dxa"/>
            <w:noWrap w:val="0"/>
            <w:vAlign w:val="center"/>
          </w:tcPr>
          <w:p w14:paraId="59C7D486">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投标人“信用中国”(www.creditchina.gov.cn)；“中国政府采购网”（http://www.ccgp.gov.cn/）信用记录 网页截图（采购公告发布之日至投标截止时间前）；</w:t>
            </w:r>
          </w:p>
        </w:tc>
        <w:tc>
          <w:tcPr>
            <w:tcW w:w="1256" w:type="dxa"/>
            <w:noWrap w:val="0"/>
            <w:vAlign w:val="center"/>
          </w:tcPr>
          <w:p w14:paraId="5B513EC6">
            <w:pPr>
              <w:spacing w:line="400" w:lineRule="exact"/>
              <w:jc w:val="center"/>
              <w:rPr>
                <w:rFonts w:hint="eastAsia" w:ascii="宋体" w:hAnsi="宋体" w:eastAsia="宋体" w:cs="宋体"/>
                <w:color w:val="auto"/>
                <w:sz w:val="22"/>
                <w:szCs w:val="22"/>
                <w:highlight w:val="none"/>
              </w:rPr>
            </w:pPr>
          </w:p>
        </w:tc>
      </w:tr>
      <w:tr w14:paraId="517B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8" w:type="dxa"/>
            <w:noWrap w:val="0"/>
            <w:vAlign w:val="center"/>
          </w:tcPr>
          <w:p w14:paraId="25D7C9F1">
            <w:pPr>
              <w:overflowPunct w:val="0"/>
              <w:spacing w:line="430" w:lineRule="exact"/>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w:t>
            </w:r>
          </w:p>
        </w:tc>
        <w:tc>
          <w:tcPr>
            <w:tcW w:w="7710" w:type="dxa"/>
            <w:noWrap w:val="0"/>
            <w:vAlign w:val="center"/>
          </w:tcPr>
          <w:p w14:paraId="1CC6F961">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投标人认为其他需要提交的资料</w:t>
            </w:r>
          </w:p>
        </w:tc>
        <w:tc>
          <w:tcPr>
            <w:tcW w:w="1256" w:type="dxa"/>
            <w:noWrap w:val="0"/>
            <w:vAlign w:val="center"/>
          </w:tcPr>
          <w:p w14:paraId="67A0AAF4">
            <w:pPr>
              <w:spacing w:line="400" w:lineRule="exact"/>
              <w:jc w:val="center"/>
              <w:rPr>
                <w:rFonts w:hint="eastAsia" w:ascii="宋体" w:hAnsi="宋体" w:eastAsia="宋体" w:cs="宋体"/>
                <w:color w:val="auto"/>
                <w:sz w:val="22"/>
                <w:szCs w:val="22"/>
                <w:highlight w:val="none"/>
              </w:rPr>
            </w:pPr>
          </w:p>
        </w:tc>
      </w:tr>
    </w:tbl>
    <w:p w14:paraId="0A67320D">
      <w:pPr>
        <w:spacing w:line="430" w:lineRule="exac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（2） 报价文件</w:t>
      </w:r>
    </w:p>
    <w:tbl>
      <w:tblPr>
        <w:tblStyle w:val="3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695"/>
        <w:gridCol w:w="1271"/>
      </w:tblGrid>
      <w:tr w14:paraId="38CE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55570902">
            <w:pPr>
              <w:spacing w:line="43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7695" w:type="dxa"/>
            <w:noWrap w:val="0"/>
            <w:vAlign w:val="center"/>
          </w:tcPr>
          <w:p w14:paraId="5D1CC21D">
            <w:pPr>
              <w:spacing w:line="43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内容</w:t>
            </w:r>
          </w:p>
        </w:tc>
        <w:tc>
          <w:tcPr>
            <w:tcW w:w="1271" w:type="dxa"/>
            <w:noWrap w:val="0"/>
            <w:vAlign w:val="center"/>
          </w:tcPr>
          <w:p w14:paraId="73B7C061">
            <w:pPr>
              <w:spacing w:line="43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20E0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48AE1997">
            <w:pPr>
              <w:overflowPunct w:val="0"/>
              <w:spacing w:line="430" w:lineRule="exact"/>
              <w:jc w:val="center"/>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1</w:t>
            </w:r>
          </w:p>
        </w:tc>
        <w:tc>
          <w:tcPr>
            <w:tcW w:w="7695" w:type="dxa"/>
            <w:noWrap w:val="0"/>
            <w:vAlign w:val="center"/>
          </w:tcPr>
          <w:p w14:paraId="222DEF3D">
            <w:pPr>
              <w:spacing w:line="43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开标一览表</w:t>
            </w:r>
          </w:p>
        </w:tc>
        <w:tc>
          <w:tcPr>
            <w:tcW w:w="1271" w:type="dxa"/>
            <w:vMerge w:val="restart"/>
            <w:noWrap w:val="0"/>
            <w:vAlign w:val="center"/>
          </w:tcPr>
          <w:p w14:paraId="7C21C680">
            <w:pPr>
              <w:spacing w:line="43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附件二</w:t>
            </w:r>
          </w:p>
        </w:tc>
      </w:tr>
      <w:tr w14:paraId="014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noWrap w:val="0"/>
            <w:vAlign w:val="center"/>
          </w:tcPr>
          <w:p w14:paraId="7FCD7E08">
            <w:pPr>
              <w:overflowPunct w:val="0"/>
              <w:spacing w:line="430" w:lineRule="exact"/>
              <w:jc w:val="center"/>
              <w:rPr>
                <w:rFonts w:hint="eastAsia" w:ascii="宋体" w:hAnsi="宋体" w:eastAsia="宋体" w:cs="宋体"/>
                <w:color w:val="auto"/>
                <w:kern w:val="0"/>
                <w:sz w:val="22"/>
                <w:szCs w:val="22"/>
                <w:highlight w:val="none"/>
              </w:rPr>
            </w:pPr>
            <w:r>
              <w:rPr>
                <w:rFonts w:hint="eastAsia" w:ascii="宋体" w:hAnsi="宋体" w:eastAsia="宋体" w:cs="宋体"/>
                <w:bCs/>
                <w:color w:val="auto"/>
                <w:sz w:val="22"/>
                <w:szCs w:val="22"/>
                <w:highlight w:val="none"/>
              </w:rPr>
              <w:t>2</w:t>
            </w:r>
          </w:p>
        </w:tc>
        <w:tc>
          <w:tcPr>
            <w:tcW w:w="7695" w:type="dxa"/>
            <w:noWrap w:val="0"/>
            <w:vAlign w:val="center"/>
          </w:tcPr>
          <w:p w14:paraId="57D750C1">
            <w:pPr>
              <w:spacing w:line="43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分项报价表</w:t>
            </w:r>
          </w:p>
        </w:tc>
        <w:tc>
          <w:tcPr>
            <w:tcW w:w="1271" w:type="dxa"/>
            <w:vMerge w:val="continue"/>
            <w:noWrap w:val="0"/>
            <w:vAlign w:val="center"/>
          </w:tcPr>
          <w:p w14:paraId="001686CC">
            <w:pPr>
              <w:spacing w:line="430" w:lineRule="exact"/>
              <w:jc w:val="center"/>
              <w:rPr>
                <w:rFonts w:hint="eastAsia" w:ascii="宋体" w:hAnsi="宋体" w:eastAsia="宋体" w:cs="宋体"/>
                <w:color w:val="auto"/>
                <w:kern w:val="0"/>
                <w:sz w:val="22"/>
                <w:szCs w:val="22"/>
                <w:highlight w:val="none"/>
              </w:rPr>
            </w:pPr>
          </w:p>
        </w:tc>
      </w:tr>
    </w:tbl>
    <w:p w14:paraId="200613F8">
      <w:pPr>
        <w:spacing w:line="430" w:lineRule="exac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（3）商务技术文件</w:t>
      </w:r>
    </w:p>
    <w:tbl>
      <w:tblPr>
        <w:tblStyle w:val="3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715"/>
        <w:gridCol w:w="1242"/>
      </w:tblGrid>
      <w:tr w14:paraId="3C5F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D760934">
            <w:pPr>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488E2463">
            <w:pPr>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87BCD54">
            <w:pPr>
              <w:spacing w:line="43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 注</w:t>
            </w:r>
          </w:p>
        </w:tc>
      </w:tr>
      <w:tr w14:paraId="5D7C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1FBF651D">
            <w:pPr>
              <w:overflowPunct w:val="0"/>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7A540918">
            <w:p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投标函</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339ACC4B">
            <w:pPr>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附件三</w:t>
            </w:r>
          </w:p>
        </w:tc>
      </w:tr>
      <w:tr w14:paraId="43F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55FBF0C">
            <w:pPr>
              <w:overflowPunct w:val="0"/>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2</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24515340">
            <w:p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技术规格、商务条款偏离表</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07917A13">
            <w:pPr>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附件四</w:t>
            </w:r>
          </w:p>
        </w:tc>
      </w:tr>
      <w:tr w14:paraId="038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768DED52">
            <w:pPr>
              <w:overflowPunct w:val="0"/>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3</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016975C1">
            <w:p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车辆参数配置响应表</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1477BA52">
            <w:pPr>
              <w:spacing w:line="43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附件五</w:t>
            </w:r>
          </w:p>
        </w:tc>
      </w:tr>
      <w:tr w14:paraId="256B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2FAC3701">
            <w:pPr>
              <w:overflowPunct w:val="0"/>
              <w:spacing w:line="430" w:lineRule="exact"/>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4</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7C5549E8">
            <w:pPr>
              <w:spacing w:line="430" w:lineRule="exact"/>
              <w:rPr>
                <w:rFonts w:hint="eastAsia" w:ascii="宋体" w:hAnsi="宋体" w:eastAsia="宋体" w:cs="宋体"/>
                <w:color w:val="auto"/>
                <w:sz w:val="22"/>
                <w:szCs w:val="22"/>
                <w:highlight w:val="none"/>
              </w:rPr>
            </w:pPr>
            <w:r>
              <w:rPr>
                <w:rFonts w:hint="eastAsia" w:ascii="宋体" w:hAnsi="宋体" w:eastAsia="宋体" w:cs="宋体"/>
                <w:b/>
                <w:bCs w:val="0"/>
                <w:color w:val="auto"/>
                <w:spacing w:val="6"/>
                <w:sz w:val="22"/>
                <w:szCs w:val="22"/>
                <w:highlight w:val="none"/>
                <w:lang w:val="en-US" w:eastAsia="zh-CN"/>
              </w:rPr>
              <w:t xml:space="preserve"> </w:t>
            </w:r>
            <w:r>
              <w:rPr>
                <w:rFonts w:hint="eastAsia" w:ascii="宋体" w:hAnsi="宋体" w:eastAsia="宋体" w:cs="宋体"/>
                <w:b w:val="0"/>
                <w:bCs w:val="0"/>
                <w:color w:val="auto"/>
                <w:spacing w:val="0"/>
                <w:sz w:val="22"/>
                <w:szCs w:val="22"/>
                <w:highlight w:val="none"/>
                <w:lang w:val="en-US" w:eastAsia="zh-CN"/>
              </w:rPr>
              <w:t>售后主要配件（含易损件）价目表</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AD1AE5A">
            <w:pPr>
              <w:spacing w:line="43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附件</w:t>
            </w:r>
            <w:r>
              <w:rPr>
                <w:rFonts w:hint="eastAsia" w:ascii="宋体" w:hAnsi="宋体" w:eastAsia="宋体" w:cs="宋体"/>
                <w:color w:val="auto"/>
                <w:sz w:val="22"/>
                <w:szCs w:val="22"/>
                <w:highlight w:val="none"/>
                <w:lang w:val="en-US" w:eastAsia="zh-CN"/>
              </w:rPr>
              <w:t>六</w:t>
            </w:r>
          </w:p>
        </w:tc>
      </w:tr>
      <w:tr w14:paraId="3118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7E23F763">
            <w:pPr>
              <w:overflowPunct w:val="0"/>
              <w:spacing w:line="43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5</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09788D13">
            <w:pPr>
              <w:spacing w:line="43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资信证明文件（本部分为技术资信评分内容，投标人根据自身实际情况提供）</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64E0E920">
            <w:pPr>
              <w:spacing w:line="430" w:lineRule="exact"/>
              <w:jc w:val="center"/>
              <w:rPr>
                <w:rFonts w:hint="eastAsia" w:ascii="宋体" w:hAnsi="宋体" w:eastAsia="宋体" w:cs="宋体"/>
                <w:color w:val="auto"/>
                <w:sz w:val="22"/>
                <w:szCs w:val="22"/>
                <w:highlight w:val="none"/>
              </w:rPr>
            </w:pPr>
          </w:p>
        </w:tc>
      </w:tr>
      <w:tr w14:paraId="437B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30BAEBA3">
            <w:pPr>
              <w:overflowPunct w:val="0"/>
              <w:spacing w:line="43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6</w:t>
            </w:r>
          </w:p>
        </w:tc>
        <w:tc>
          <w:tcPr>
            <w:tcW w:w="7715" w:type="dxa"/>
            <w:tcBorders>
              <w:top w:val="single" w:color="auto" w:sz="4" w:space="0"/>
              <w:left w:val="single" w:color="auto" w:sz="4" w:space="0"/>
              <w:bottom w:val="single" w:color="auto" w:sz="4" w:space="0"/>
              <w:right w:val="single" w:color="auto" w:sz="4" w:space="0"/>
            </w:tcBorders>
            <w:noWrap w:val="0"/>
            <w:vAlign w:val="top"/>
          </w:tcPr>
          <w:p w14:paraId="196F44E1">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针对本次项目采购需求提出的详细方案（包括但不限于技术资信分评分细则要求的各个方案）</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8036A9B">
            <w:pPr>
              <w:spacing w:line="430" w:lineRule="exact"/>
              <w:jc w:val="center"/>
              <w:rPr>
                <w:rFonts w:hint="eastAsia" w:ascii="宋体" w:hAnsi="宋体" w:eastAsia="宋体" w:cs="宋体"/>
                <w:color w:val="auto"/>
                <w:sz w:val="22"/>
                <w:szCs w:val="22"/>
                <w:highlight w:val="none"/>
              </w:rPr>
            </w:pPr>
          </w:p>
        </w:tc>
      </w:tr>
      <w:tr w14:paraId="4522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6861687A">
            <w:pPr>
              <w:overflowPunct w:val="0"/>
              <w:spacing w:line="43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bCs/>
                <w:color w:val="auto"/>
                <w:sz w:val="22"/>
                <w:szCs w:val="22"/>
                <w:highlight w:val="none"/>
                <w:lang w:val="en-US" w:eastAsia="zh-CN"/>
              </w:rPr>
              <w:t>7</w:t>
            </w:r>
          </w:p>
        </w:tc>
        <w:tc>
          <w:tcPr>
            <w:tcW w:w="7715" w:type="dxa"/>
            <w:tcBorders>
              <w:top w:val="single" w:color="auto" w:sz="4" w:space="0"/>
              <w:left w:val="single" w:color="auto" w:sz="4" w:space="0"/>
              <w:bottom w:val="single" w:color="auto" w:sz="4" w:space="0"/>
              <w:right w:val="single" w:color="auto" w:sz="4" w:space="0"/>
            </w:tcBorders>
            <w:noWrap w:val="0"/>
            <w:vAlign w:val="center"/>
          </w:tcPr>
          <w:p w14:paraId="5F3BB91C">
            <w:pPr>
              <w:spacing w:line="43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结合采购文件评分细则投标人认为需要提供的其他技术资料</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7495325A">
            <w:pPr>
              <w:spacing w:line="430" w:lineRule="exact"/>
              <w:jc w:val="center"/>
              <w:rPr>
                <w:rFonts w:hint="eastAsia" w:ascii="宋体" w:hAnsi="宋体" w:eastAsia="宋体" w:cs="宋体"/>
                <w:color w:val="auto"/>
                <w:sz w:val="22"/>
                <w:szCs w:val="22"/>
                <w:highlight w:val="none"/>
              </w:rPr>
            </w:pPr>
          </w:p>
        </w:tc>
      </w:tr>
    </w:tbl>
    <w:p w14:paraId="579F57E7">
      <w:pPr>
        <w:spacing w:line="440" w:lineRule="exact"/>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（4） 电子投标文件</w:t>
      </w:r>
    </w:p>
    <w:p w14:paraId="09AE2819">
      <w:pPr>
        <w:tabs>
          <w:tab w:val="left" w:pos="540"/>
        </w:tabs>
        <w:spacing w:line="440" w:lineRule="exact"/>
        <w:ind w:left="42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电子投标文件为资格文件、商务技术文件、报价文件等三部分完整投标文件签字盖章后的PDF格式扫描文件。投标人需准备U盘一份。电子投标文件密封于“报价文件”密封袋内。</w:t>
      </w:r>
    </w:p>
    <w:p w14:paraId="553A5E39">
      <w:pPr>
        <w:spacing w:line="440" w:lineRule="exact"/>
        <w:ind w:left="187" w:leftChars="85" w:hanging="9" w:hangingChars="4"/>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说明：</w:t>
      </w:r>
    </w:p>
    <w:p w14:paraId="7D53DD7A">
      <w:pPr>
        <w:numPr>
          <w:ilvl w:val="0"/>
          <w:numId w:val="12"/>
        </w:numPr>
        <w:tabs>
          <w:tab w:val="left" w:pos="5355"/>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投标人可根据采购文件中的技术规格书以及技术资信评分表，提供投标人认为需要提供的文件和资料。</w:t>
      </w:r>
    </w:p>
    <w:p w14:paraId="1ED3DB51">
      <w:pPr>
        <w:numPr>
          <w:ilvl w:val="0"/>
          <w:numId w:val="12"/>
        </w:numPr>
        <w:tabs>
          <w:tab w:val="left" w:pos="5355"/>
        </w:tabs>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投标人可在投标文件中对采购文件中的技术要求选用替代标准、补充或更改，但这些替代标准及补充更改必须相当于或优于采购文件中提出的相应技术要求，并使采购人满意。同时在技术偏离表中作出详细说明。</w:t>
      </w:r>
    </w:p>
    <w:p w14:paraId="081B5F4B">
      <w:pPr>
        <w:numPr>
          <w:ilvl w:val="1"/>
          <w:numId w:val="11"/>
        </w:numPr>
        <w:tabs>
          <w:tab w:val="left" w:pos="360"/>
          <w:tab w:val="left" w:pos="1135"/>
          <w:tab w:val="clear" w:pos="992"/>
        </w:tabs>
        <w:spacing w:line="440" w:lineRule="exact"/>
        <w:ind w:left="360" w:hanging="36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投标文件形式</w:t>
      </w:r>
    </w:p>
    <w:p w14:paraId="1DA47E66">
      <w:pPr>
        <w:numPr>
          <w:ilvl w:val="0"/>
          <w:numId w:val="13"/>
        </w:numPr>
        <w:tabs>
          <w:tab w:val="left" w:pos="900"/>
          <w:tab w:val="clear" w:pos="530"/>
        </w:tabs>
        <w:spacing w:line="440" w:lineRule="exact"/>
        <w:ind w:left="90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投标人应根据采购文件中所提供的格式，内容按顺序填写并装订成册；</w:t>
      </w:r>
    </w:p>
    <w:p w14:paraId="60EB0EE7">
      <w:pPr>
        <w:numPr>
          <w:ilvl w:val="0"/>
          <w:numId w:val="13"/>
        </w:numPr>
        <w:tabs>
          <w:tab w:val="left" w:pos="900"/>
          <w:tab w:val="clear" w:pos="530"/>
        </w:tabs>
        <w:spacing w:line="440" w:lineRule="exact"/>
        <w:ind w:left="90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资格文件、商务技术文件与报价文件分别包装于各自不透明的标函袋中，标函袋不做统一要求。</w:t>
      </w:r>
    </w:p>
    <w:p w14:paraId="1BE33F83">
      <w:pPr>
        <w:numPr>
          <w:ilvl w:val="0"/>
          <w:numId w:val="13"/>
        </w:numPr>
        <w:tabs>
          <w:tab w:val="left" w:pos="900"/>
          <w:tab w:val="clear" w:pos="530"/>
        </w:tabs>
        <w:spacing w:line="440" w:lineRule="exact"/>
        <w:ind w:left="90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投标文件应有目录以及页码，以便评委检索；</w:t>
      </w:r>
    </w:p>
    <w:p w14:paraId="140D63AB">
      <w:pPr>
        <w:numPr>
          <w:ilvl w:val="0"/>
          <w:numId w:val="10"/>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投标报价</w:t>
      </w:r>
    </w:p>
    <w:p w14:paraId="06334BC0">
      <w:pPr>
        <w:spacing w:line="440" w:lineRule="exact"/>
        <w:ind w:left="663" w:hanging="663" w:hangingChars="3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4.1  ▲</w:t>
      </w:r>
      <w:r>
        <w:rPr>
          <w:rFonts w:hint="eastAsia" w:ascii="宋体" w:hAnsi="宋体" w:eastAsia="宋体" w:cs="宋体"/>
          <w:b/>
          <w:bCs/>
          <w:color w:val="auto"/>
          <w:sz w:val="22"/>
          <w:szCs w:val="22"/>
          <w:highlight w:val="none"/>
          <w:u w:val="single"/>
        </w:rPr>
        <w:t>投标报价是指投标人为正确地完全履行采购内容及要求的价格体现，包括包括设备费、标准附件、备品备件、专用工具、包装、运输费、装卸费、车辆调试费、检测费、培训费、验收费、专利技术费（如有）、配合采购人做好车辆第一年保险及上牌工作（保险费、上牌费由采购人负责）、售后服务、利润及税金、采购代理服务费等完成合同所需的一切本身和不可或缺的所有工作开支、政策性文件规定及合同包含的所有风险、责任等各项全部费用。</w:t>
      </w:r>
      <w:r>
        <w:rPr>
          <w:rFonts w:hint="eastAsia" w:ascii="宋体" w:hAnsi="宋体" w:eastAsia="宋体" w:cs="宋体"/>
          <w:b/>
          <w:bCs/>
          <w:color w:val="auto"/>
          <w:sz w:val="22"/>
          <w:szCs w:val="22"/>
          <w:highlight w:val="none"/>
          <w:u w:val="single"/>
          <w:lang w:val="zh-CN"/>
        </w:rPr>
        <w:t>如有漏项，视同已包含在项目报价中，不做调整。</w:t>
      </w:r>
    </w:p>
    <w:p w14:paraId="506CBE60">
      <w:pPr>
        <w:tabs>
          <w:tab w:val="left" w:pos="540"/>
        </w:tabs>
        <w:spacing w:line="440" w:lineRule="exact"/>
        <w:ind w:left="663" w:hanging="663" w:hangingChars="3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4.2   </w:t>
      </w:r>
      <w:r>
        <w:rPr>
          <w:rFonts w:hint="eastAsia" w:ascii="宋体" w:hAnsi="宋体" w:eastAsia="宋体" w:cs="宋体"/>
          <w:color w:val="auto"/>
          <w:sz w:val="22"/>
          <w:szCs w:val="22"/>
          <w:highlight w:val="none"/>
        </w:rPr>
        <w:t>投标人必须按第三部分附件的投标报价一览表（统一格式）的内容填写投标报价及其他事项，并由法定代表人或授权代表签署。</w:t>
      </w:r>
    </w:p>
    <w:p w14:paraId="55DA0295">
      <w:pPr>
        <w:tabs>
          <w:tab w:val="left" w:pos="540"/>
        </w:tabs>
        <w:spacing w:line="440" w:lineRule="exact"/>
        <w:ind w:left="663" w:hanging="663" w:hangingChars="3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4.3   </w:t>
      </w:r>
      <w:r>
        <w:rPr>
          <w:rFonts w:hint="eastAsia" w:ascii="宋体" w:hAnsi="宋体" w:eastAsia="宋体" w:cs="宋体"/>
          <w:color w:val="auto"/>
          <w:sz w:val="22"/>
          <w:szCs w:val="22"/>
          <w:highlight w:val="none"/>
        </w:rPr>
        <w:t>所有投标均以人民币报价。</w:t>
      </w:r>
    </w:p>
    <w:p w14:paraId="5BDA321E">
      <w:pPr>
        <w:tabs>
          <w:tab w:val="left" w:pos="540"/>
        </w:tabs>
        <w:spacing w:line="440" w:lineRule="exact"/>
        <w:ind w:left="663" w:hanging="663" w:hangingChars="300"/>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rPr>
        <w:t>4.4   ▲</w:t>
      </w:r>
      <w:r>
        <w:rPr>
          <w:rFonts w:hint="eastAsia" w:ascii="宋体" w:hAnsi="宋体" w:eastAsia="宋体" w:cs="宋体"/>
          <w:b/>
          <w:color w:val="auto"/>
          <w:sz w:val="22"/>
          <w:szCs w:val="22"/>
          <w:highlight w:val="none"/>
          <w:u w:val="single"/>
        </w:rPr>
        <w:t>采购人不接受任何选择报价，只允许一个报价。</w:t>
      </w:r>
    </w:p>
    <w:p w14:paraId="37BF06A2">
      <w:pPr>
        <w:tabs>
          <w:tab w:val="left" w:pos="540"/>
        </w:tabs>
        <w:spacing w:line="440" w:lineRule="exact"/>
        <w:ind w:left="663" w:hanging="663" w:hangingChars="30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 xml:space="preserve">4.5  </w:t>
      </w:r>
      <w:r>
        <w:rPr>
          <w:rFonts w:hint="eastAsia" w:ascii="宋体" w:hAnsi="宋体" w:eastAsia="宋体" w:cs="宋体"/>
          <w:b/>
          <w:color w:val="auto"/>
          <w:sz w:val="22"/>
          <w:szCs w:val="22"/>
          <w:highlight w:val="none"/>
        </w:rPr>
        <w:t>最低报价不能作为中标的保证。</w:t>
      </w:r>
    </w:p>
    <w:p w14:paraId="3091E575">
      <w:pPr>
        <w:numPr>
          <w:ilvl w:val="0"/>
          <w:numId w:val="10"/>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投标保证金</w:t>
      </w:r>
    </w:p>
    <w:p w14:paraId="3AE5C3B5">
      <w:pPr>
        <w:keepNext w:val="0"/>
        <w:keepLines w:val="0"/>
        <w:pageBreakBefore w:val="0"/>
        <w:widowControl w:val="0"/>
        <w:tabs>
          <w:tab w:val="left" w:pos="851"/>
          <w:tab w:val="left" w:pos="1080"/>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rPr>
        <w:t>.1</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lang w:eastAsia="zh-CN"/>
        </w:rPr>
        <w:t>投标人</w:t>
      </w:r>
      <w:r>
        <w:rPr>
          <w:rFonts w:hint="eastAsia" w:ascii="宋体" w:hAnsi="宋体" w:eastAsia="宋体" w:cs="宋体"/>
          <w:b/>
          <w:bCs/>
          <w:color w:val="auto"/>
          <w:sz w:val="22"/>
          <w:szCs w:val="22"/>
          <w:highlight w:val="none"/>
          <w:u w:val="single"/>
        </w:rPr>
        <w:t>须按</w:t>
      </w:r>
      <w:r>
        <w:rPr>
          <w:rFonts w:hint="eastAsia" w:ascii="宋体" w:hAnsi="宋体" w:eastAsia="宋体" w:cs="宋体"/>
          <w:b/>
          <w:bCs/>
          <w:color w:val="auto"/>
          <w:sz w:val="22"/>
          <w:szCs w:val="22"/>
          <w:highlight w:val="none"/>
          <w:u w:val="single"/>
          <w:lang w:eastAsia="zh-CN"/>
        </w:rPr>
        <w:t>投标人</w:t>
      </w:r>
      <w:r>
        <w:rPr>
          <w:rFonts w:hint="eastAsia" w:ascii="宋体" w:hAnsi="宋体" w:eastAsia="宋体" w:cs="宋体"/>
          <w:b/>
          <w:bCs/>
          <w:color w:val="auto"/>
          <w:sz w:val="22"/>
          <w:szCs w:val="22"/>
          <w:highlight w:val="none"/>
          <w:u w:val="single"/>
        </w:rPr>
        <w:t>须知前附表规定交纳投标保证金，否则采购人将不接受其投标</w:t>
      </w:r>
      <w:r>
        <w:rPr>
          <w:rFonts w:hint="eastAsia" w:ascii="宋体" w:hAnsi="宋体" w:eastAsia="宋体" w:cs="宋体"/>
          <w:color w:val="auto"/>
          <w:sz w:val="22"/>
          <w:szCs w:val="22"/>
          <w:highlight w:val="none"/>
        </w:rPr>
        <w:t>。</w:t>
      </w:r>
    </w:p>
    <w:p w14:paraId="50544FC2">
      <w:pPr>
        <w:keepNext w:val="0"/>
        <w:keepLines w:val="0"/>
        <w:pageBreakBefore w:val="0"/>
        <w:widowControl w:val="0"/>
        <w:tabs>
          <w:tab w:val="left" w:pos="851"/>
          <w:tab w:val="left" w:pos="1080"/>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投标保证金金额及形式详见采购公告及投标须知前附表规定。</w:t>
      </w:r>
    </w:p>
    <w:p w14:paraId="6AFB60E0">
      <w:pPr>
        <w:keepNext w:val="0"/>
        <w:keepLines w:val="0"/>
        <w:pageBreakBefore w:val="0"/>
        <w:widowControl w:val="0"/>
        <w:tabs>
          <w:tab w:val="left" w:pos="851"/>
          <w:tab w:val="left" w:pos="1080"/>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的投标保证金在与采购人签订了合同且合同经备案后无息退还，未中标</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的投标保证金将在确定中标人后无息退还。</w:t>
      </w:r>
    </w:p>
    <w:p w14:paraId="1697985F">
      <w:pPr>
        <w:keepNext w:val="0"/>
        <w:keepLines w:val="0"/>
        <w:pageBreakBefore w:val="0"/>
        <w:widowControl w:val="0"/>
        <w:tabs>
          <w:tab w:val="left" w:pos="851"/>
          <w:tab w:val="left" w:pos="1080"/>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5</w:t>
      </w:r>
      <w:r>
        <w:rPr>
          <w:rFonts w:hint="eastAsia" w:ascii="宋体" w:hAnsi="宋体" w:eastAsia="宋体" w:cs="宋体"/>
          <w:color w:val="auto"/>
          <w:sz w:val="22"/>
          <w:szCs w:val="22"/>
          <w:highlight w:val="none"/>
        </w:rPr>
        <w:t xml:space="preserve">.4 </w:t>
      </w:r>
      <w:r>
        <w:rPr>
          <w:rFonts w:hint="eastAsia" w:ascii="宋体" w:hAnsi="宋体" w:eastAsia="宋体" w:cs="宋体"/>
          <w:b/>
          <w:color w:val="auto"/>
          <w:sz w:val="22"/>
          <w:szCs w:val="22"/>
          <w:highlight w:val="none"/>
          <w:u w:val="single"/>
        </w:rPr>
        <w:t>如发生下列情况之一，投标保证金将不予退还</w:t>
      </w:r>
      <w:r>
        <w:rPr>
          <w:rFonts w:hint="eastAsia" w:ascii="宋体" w:hAnsi="宋体" w:eastAsia="宋体" w:cs="宋体"/>
          <w:b/>
          <w:color w:val="auto"/>
          <w:sz w:val="22"/>
          <w:szCs w:val="22"/>
          <w:highlight w:val="none"/>
          <w:u w:val="single"/>
          <w:lang w:eastAsia="zh-CN"/>
        </w:rPr>
        <w:t>：</w:t>
      </w:r>
    </w:p>
    <w:p w14:paraId="7C24A575">
      <w:pPr>
        <w:keepNext w:val="0"/>
        <w:keepLines w:val="0"/>
        <w:pageBreakBefore w:val="0"/>
        <w:widowControl w:val="0"/>
        <w:numPr>
          <w:ilvl w:val="0"/>
          <w:numId w:val="14"/>
        </w:numPr>
        <w:tabs>
          <w:tab w:val="left" w:pos="525"/>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在采购文件规定的投标有效期内撤回投标；</w:t>
      </w:r>
    </w:p>
    <w:p w14:paraId="15C367BB">
      <w:pPr>
        <w:keepNext w:val="0"/>
        <w:keepLines w:val="0"/>
        <w:pageBreakBefore w:val="0"/>
        <w:widowControl w:val="0"/>
        <w:numPr>
          <w:ilvl w:val="0"/>
          <w:numId w:val="14"/>
        </w:numPr>
        <w:tabs>
          <w:tab w:val="left" w:pos="525"/>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中标人未按中标通知书中规定的时间与采购人签订合同；</w:t>
      </w:r>
    </w:p>
    <w:p w14:paraId="374FE203">
      <w:pPr>
        <w:keepNext w:val="0"/>
        <w:keepLines w:val="0"/>
        <w:pageBreakBefore w:val="0"/>
        <w:widowControl w:val="0"/>
        <w:numPr>
          <w:ilvl w:val="0"/>
          <w:numId w:val="14"/>
        </w:numPr>
        <w:tabs>
          <w:tab w:val="left" w:pos="525"/>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中标人在规定期限内未能根据采购文件要求提供履约保证金（如要求）；</w:t>
      </w:r>
    </w:p>
    <w:p w14:paraId="325B646C">
      <w:pPr>
        <w:keepNext w:val="0"/>
        <w:keepLines w:val="0"/>
        <w:pageBreakBefore w:val="0"/>
        <w:widowControl w:val="0"/>
        <w:numPr>
          <w:ilvl w:val="0"/>
          <w:numId w:val="14"/>
        </w:numPr>
        <w:tabs>
          <w:tab w:val="left" w:pos="525"/>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在投标文件中提供虚假技术指标及参数，经评标委员会确认属实的；</w:t>
      </w:r>
    </w:p>
    <w:p w14:paraId="643DAF7D">
      <w:pPr>
        <w:keepNext w:val="0"/>
        <w:keepLines w:val="0"/>
        <w:pageBreakBefore w:val="0"/>
        <w:widowControl w:val="0"/>
        <w:numPr>
          <w:ilvl w:val="0"/>
          <w:numId w:val="14"/>
        </w:numPr>
        <w:tabs>
          <w:tab w:val="left" w:pos="525"/>
        </w:tabs>
        <w:kinsoku/>
        <w:wordWrap/>
        <w:overflowPunct/>
        <w:topLinePunct w:val="0"/>
        <w:autoSpaceDE/>
        <w:autoSpaceDN/>
        <w:bidi w:val="0"/>
        <w:adjustRightInd/>
        <w:snapToGrid/>
        <w:spacing w:line="360" w:lineRule="exact"/>
        <w:ind w:left="660" w:hanging="660" w:hanging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经国企采购监督管理部门审查认定</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有违反</w:t>
      </w:r>
      <w:r>
        <w:rPr>
          <w:rFonts w:hint="eastAsia" w:ascii="宋体" w:hAnsi="宋体" w:eastAsia="宋体" w:cs="宋体"/>
          <w:color w:val="auto"/>
          <w:sz w:val="22"/>
          <w:szCs w:val="22"/>
          <w:highlight w:val="none"/>
          <w:lang w:eastAsia="zh-CN"/>
        </w:rPr>
        <w:t>《温州市鹿城区区属国有企业采购指导意见（试行）》</w:t>
      </w:r>
      <w:r>
        <w:rPr>
          <w:rFonts w:hint="eastAsia" w:ascii="宋体" w:hAnsi="宋体" w:eastAsia="宋体" w:cs="宋体"/>
          <w:color w:val="auto"/>
          <w:sz w:val="22"/>
          <w:szCs w:val="22"/>
          <w:highlight w:val="none"/>
        </w:rPr>
        <w:t>等有关法律法规的行为。</w:t>
      </w:r>
    </w:p>
    <w:p w14:paraId="632DA6B3">
      <w:pPr>
        <w:numPr>
          <w:ilvl w:val="0"/>
          <w:numId w:val="10"/>
        </w:numPr>
        <w:tabs>
          <w:tab w:val="left" w:pos="540"/>
          <w:tab w:val="clear" w:pos="420"/>
        </w:tabs>
        <w:spacing w:line="440" w:lineRule="exact"/>
        <w:ind w:left="540" w:hanging="54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投标有效期</w:t>
      </w:r>
    </w:p>
    <w:p w14:paraId="5CBD6FD9">
      <w:pPr>
        <w:numPr>
          <w:ilvl w:val="1"/>
          <w:numId w:val="15"/>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自开标之日起</w:t>
      </w:r>
      <w:r>
        <w:rPr>
          <w:rFonts w:hint="eastAsia" w:ascii="宋体" w:hAnsi="宋体" w:eastAsia="宋体" w:cs="宋体"/>
          <w:b/>
          <w:color w:val="auto"/>
          <w:sz w:val="22"/>
          <w:szCs w:val="22"/>
          <w:highlight w:val="none"/>
          <w:u w:val="single"/>
        </w:rPr>
        <w:t xml:space="preserve"> 90</w:t>
      </w:r>
      <w:r>
        <w:rPr>
          <w:rFonts w:hint="eastAsia" w:ascii="宋体" w:hAnsi="宋体" w:eastAsia="宋体" w:cs="宋体"/>
          <w:b/>
          <w:color w:val="auto"/>
          <w:sz w:val="22"/>
          <w:szCs w:val="22"/>
          <w:highlight w:val="none"/>
        </w:rPr>
        <w:t>天内投标应保持有效。投标有效期短于这个规定期限的投标将视为非响应性投标而予以拒绝。</w:t>
      </w:r>
    </w:p>
    <w:p w14:paraId="0993C3F2">
      <w:pPr>
        <w:numPr>
          <w:ilvl w:val="1"/>
          <w:numId w:val="15"/>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特殊情况下，在原投标有效期截止前，采购人可与投标人协商延长投标有效期，这种要求和答复均以书面形式进行。投标人可拒绝接受延期要求。同意延长投标有效期的投标人不得修改投标文件。</w:t>
      </w:r>
    </w:p>
    <w:p w14:paraId="1AB3D1DF">
      <w:pPr>
        <w:numPr>
          <w:ilvl w:val="0"/>
          <w:numId w:val="10"/>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投标文件的签署和规定</w:t>
      </w:r>
    </w:p>
    <w:p w14:paraId="48D4BD38">
      <w:pPr>
        <w:numPr>
          <w:ilvl w:val="1"/>
          <w:numId w:val="16"/>
        </w:numPr>
        <w:tabs>
          <w:tab w:val="left" w:pos="540"/>
          <w:tab w:val="clear" w:pos="992"/>
        </w:tabs>
        <w:spacing w:line="440" w:lineRule="exact"/>
        <w:ind w:left="540" w:hanging="54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u w:val="single"/>
        </w:rPr>
        <w:t>投标人应提供投标文件资格文件、商务技术文件、报价文件各一式六份的投标文件，分别装订成册，且单独密封装订（正本与副本允许合并密封）。其中纸质投标文件正本一份、副本五份，共六份。电子投标文件U盘一份，共一份。每套投标文件的封面应清楚标明“正本”或“副本”字样，若“正本”与“副本”不符，以“正本”为准。无论中标与否，投标文件均不退还，代理机构具有处置投标文件的一切权利。</w:t>
      </w:r>
    </w:p>
    <w:p w14:paraId="3BAA2C53">
      <w:pPr>
        <w:numPr>
          <w:ilvl w:val="1"/>
          <w:numId w:val="16"/>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投标文件的正本必须打印或用不褪色的墨水书写，并由法定代表人或其授权代表签署，副本可用正本的复印。</w:t>
      </w:r>
    </w:p>
    <w:p w14:paraId="2B4CA7D8">
      <w:pPr>
        <w:numPr>
          <w:ilvl w:val="1"/>
          <w:numId w:val="16"/>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投标文件如有修改和增删必须由投标文件签字人在修改和增删处旁签署或盖章，方才有效。</w:t>
      </w:r>
    </w:p>
    <w:p w14:paraId="454B6DF2">
      <w:pPr>
        <w:numPr>
          <w:ilvl w:val="1"/>
          <w:numId w:val="16"/>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投标文件字迹模糊或在关键的技术、商务条款上表述不清楚，将可能导致其投标被拒绝。</w:t>
      </w:r>
    </w:p>
    <w:p w14:paraId="2E0AD564">
      <w:pPr>
        <w:numPr>
          <w:ilvl w:val="0"/>
          <w:numId w:val="10"/>
        </w:numPr>
        <w:tabs>
          <w:tab w:val="left" w:pos="540"/>
          <w:tab w:val="clear" w:pos="420"/>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投标文件的密封及标记</w:t>
      </w:r>
    </w:p>
    <w:p w14:paraId="674931F9">
      <w:pPr>
        <w:numPr>
          <w:ilvl w:val="1"/>
          <w:numId w:val="17"/>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投标人须将投标文件的“资格文件”、“商务技术文件”、“报价文件”单独密封，且在各自的密封袋上标明“资格文件”、“商务技术文件”、“报价文件”字样。</w:t>
      </w:r>
      <w:r>
        <w:rPr>
          <w:rFonts w:hint="eastAsia" w:ascii="宋体" w:hAnsi="宋体" w:eastAsia="宋体" w:cs="宋体"/>
          <w:color w:val="auto"/>
          <w:sz w:val="22"/>
          <w:szCs w:val="22"/>
          <w:highlight w:val="none"/>
        </w:rPr>
        <w:t>封口处贴上封条，启封处加盖投标单位公章。封皮上写明投标采购项目、采购编号，并注明“开标时启封”字样。</w:t>
      </w:r>
    </w:p>
    <w:p w14:paraId="574CF028">
      <w:pPr>
        <w:numPr>
          <w:ilvl w:val="1"/>
          <w:numId w:val="17"/>
        </w:numPr>
        <w:tabs>
          <w:tab w:val="left" w:pos="540"/>
          <w:tab w:val="clear" w:pos="992"/>
        </w:tabs>
        <w:spacing w:line="440" w:lineRule="exact"/>
        <w:ind w:left="540" w:hanging="540"/>
        <w:rPr>
          <w:rFonts w:hint="eastAsia" w:ascii="宋体" w:hAnsi="宋体" w:eastAsia="宋体" w:cs="宋体"/>
          <w:color w:val="auto"/>
          <w:sz w:val="22"/>
          <w:szCs w:val="22"/>
          <w:highlight w:val="none"/>
          <w:u w:val="single"/>
        </w:rPr>
      </w:pPr>
      <w:r>
        <w:rPr>
          <w:rFonts w:hint="eastAsia" w:ascii="宋体" w:hAnsi="宋体" w:eastAsia="宋体" w:cs="宋体"/>
          <w:b/>
          <w:color w:val="auto"/>
          <w:sz w:val="22"/>
          <w:szCs w:val="22"/>
          <w:highlight w:val="none"/>
          <w:u w:val="single"/>
        </w:rPr>
        <w:t>如果投标人未按上述要求密封及加写标记，采购人对投标文件的误投和提前启封不负责任。</w:t>
      </w:r>
    </w:p>
    <w:p w14:paraId="1A6AA165">
      <w:pPr>
        <w:pStyle w:val="33"/>
        <w:ind w:firstLine="210"/>
        <w:rPr>
          <w:rFonts w:hint="eastAsia" w:ascii="宋体" w:hAnsi="宋体" w:eastAsia="宋体" w:cs="宋体"/>
          <w:color w:val="auto"/>
          <w:highlight w:val="none"/>
        </w:rPr>
      </w:pPr>
    </w:p>
    <w:p w14:paraId="0DED0A4D">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70" w:name="_Toc262105503"/>
      <w:bookmarkStart w:id="71" w:name="_Toc246261265"/>
      <w:bookmarkStart w:id="72" w:name="_Toc221423619"/>
      <w:bookmarkStart w:id="73" w:name="_Toc245191314"/>
      <w:bookmarkStart w:id="74" w:name="_Toc249758712"/>
      <w:bookmarkStart w:id="75" w:name="_Toc222114879"/>
      <w:bookmarkStart w:id="76" w:name="_Toc249758864"/>
      <w:bookmarkStart w:id="77" w:name="_Toc241404202"/>
      <w:bookmarkStart w:id="78" w:name="_Toc221356951"/>
      <w:bookmarkStart w:id="79" w:name="_Toc221374626"/>
      <w:bookmarkStart w:id="80" w:name="_Toc245722281"/>
      <w:bookmarkStart w:id="81" w:name="_Toc223715998"/>
      <w:bookmarkStart w:id="82" w:name="_Toc221356887"/>
      <w:bookmarkStart w:id="83" w:name="_Toc239145354"/>
      <w:bookmarkStart w:id="84" w:name="_Toc262049418"/>
      <w:r>
        <w:rPr>
          <w:rFonts w:hint="eastAsia" w:ascii="宋体" w:hAnsi="宋体" w:eastAsia="宋体" w:cs="宋体"/>
          <w:b/>
          <w:bCs/>
          <w:color w:val="auto"/>
          <w:sz w:val="26"/>
          <w:szCs w:val="26"/>
          <w:highlight w:val="none"/>
        </w:rPr>
        <w:t xml:space="preserve"> </w:t>
      </w:r>
      <w:bookmarkStart w:id="85" w:name="_Toc4932"/>
      <w:r>
        <w:rPr>
          <w:rFonts w:hint="eastAsia" w:ascii="宋体" w:hAnsi="宋体" w:eastAsia="宋体" w:cs="宋体"/>
          <w:b/>
          <w:bCs/>
          <w:color w:val="auto"/>
          <w:sz w:val="26"/>
          <w:szCs w:val="26"/>
          <w:highlight w:val="none"/>
        </w:rPr>
        <w:t>投标文件的递交</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B7BE60C">
      <w:pPr>
        <w:numPr>
          <w:ilvl w:val="0"/>
          <w:numId w:val="18"/>
        </w:numPr>
        <w:tabs>
          <w:tab w:val="left" w:pos="540"/>
          <w:tab w:val="clear" w:pos="420"/>
        </w:tabs>
        <w:spacing w:line="440" w:lineRule="exact"/>
        <w:rPr>
          <w:rFonts w:hint="eastAsia" w:ascii="宋体" w:hAnsi="宋体" w:eastAsia="宋体" w:cs="宋体"/>
          <w:b/>
          <w:color w:val="auto"/>
          <w:sz w:val="22"/>
          <w:szCs w:val="22"/>
          <w:highlight w:val="none"/>
        </w:rPr>
      </w:pPr>
      <w:bookmarkStart w:id="86" w:name="_Toc262049419"/>
      <w:bookmarkStart w:id="87" w:name="_Toc249758865"/>
      <w:bookmarkStart w:id="88" w:name="_Toc262105504"/>
      <w:bookmarkStart w:id="89" w:name="_Toc239145355"/>
      <w:bookmarkStart w:id="90" w:name="_Toc223715999"/>
      <w:bookmarkStart w:id="91" w:name="_Toc245191315"/>
      <w:bookmarkStart w:id="92" w:name="_Toc221374627"/>
      <w:bookmarkStart w:id="93" w:name="_Toc221356888"/>
      <w:bookmarkStart w:id="94" w:name="_Toc222114880"/>
      <w:bookmarkStart w:id="95" w:name="_Toc249758713"/>
      <w:bookmarkStart w:id="96" w:name="_Toc221423620"/>
      <w:bookmarkStart w:id="97" w:name="_Toc245722282"/>
      <w:bookmarkStart w:id="98" w:name="_Toc241404203"/>
      <w:bookmarkStart w:id="99" w:name="_Toc246261266"/>
      <w:bookmarkStart w:id="100" w:name="_Toc221356952"/>
      <w:r>
        <w:rPr>
          <w:rFonts w:hint="eastAsia" w:ascii="宋体" w:hAnsi="宋体" w:eastAsia="宋体" w:cs="宋体"/>
          <w:bCs/>
          <w:color w:val="auto"/>
          <w:sz w:val="22"/>
          <w:szCs w:val="22"/>
          <w:highlight w:val="none"/>
        </w:rPr>
        <w:t>投标文件的递交</w:t>
      </w:r>
    </w:p>
    <w:p w14:paraId="61011D41">
      <w:pPr>
        <w:numPr>
          <w:ilvl w:val="1"/>
          <w:numId w:val="19"/>
        </w:numPr>
        <w:tabs>
          <w:tab w:val="left" w:pos="540"/>
          <w:tab w:val="clear" w:pos="992"/>
        </w:tabs>
        <w:spacing w:line="44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投标文件必须在规定的投标截止时间前送达到指定的收标地点</w:t>
      </w:r>
      <w:r>
        <w:rPr>
          <w:rFonts w:hint="eastAsia" w:ascii="宋体" w:hAnsi="宋体" w:eastAsia="宋体" w:cs="宋体"/>
          <w:b/>
          <w:color w:val="auto"/>
          <w:sz w:val="22"/>
          <w:szCs w:val="22"/>
          <w:highlight w:val="none"/>
        </w:rPr>
        <w:t>；</w:t>
      </w:r>
    </w:p>
    <w:p w14:paraId="5B31FCBF">
      <w:pPr>
        <w:numPr>
          <w:ilvl w:val="1"/>
          <w:numId w:val="19"/>
        </w:numPr>
        <w:tabs>
          <w:tab w:val="left" w:pos="540"/>
          <w:tab w:val="clear" w:pos="992"/>
        </w:tabs>
        <w:spacing w:line="44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投标人如是法定代表人或个体工商户经营者参加投标的，同时递交法定代表人有效身份证明（原件），由评标委员会确认投标资格</w:t>
      </w:r>
      <w:r>
        <w:rPr>
          <w:rFonts w:hint="eastAsia" w:ascii="宋体" w:hAnsi="宋体" w:eastAsia="宋体" w:cs="宋体"/>
          <w:b/>
          <w:color w:val="auto"/>
          <w:sz w:val="22"/>
          <w:szCs w:val="22"/>
          <w:highlight w:val="none"/>
        </w:rPr>
        <w:t>；</w:t>
      </w:r>
    </w:p>
    <w:p w14:paraId="59F5DC51">
      <w:pPr>
        <w:numPr>
          <w:ilvl w:val="1"/>
          <w:numId w:val="19"/>
        </w:numPr>
        <w:tabs>
          <w:tab w:val="left" w:pos="540"/>
          <w:tab w:val="clear" w:pos="992"/>
        </w:tabs>
        <w:spacing w:line="44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投标人如是授权代表参加投标的，同时递交法定代表人授权书（原件）、授权代表有效身份证明（原件），由评标委员会确认投标资格</w:t>
      </w:r>
      <w:r>
        <w:rPr>
          <w:rFonts w:hint="eastAsia" w:ascii="宋体" w:hAnsi="宋体" w:eastAsia="宋体" w:cs="宋体"/>
          <w:b/>
          <w:color w:val="auto"/>
          <w:sz w:val="22"/>
          <w:szCs w:val="22"/>
          <w:highlight w:val="none"/>
        </w:rPr>
        <w:t>。</w:t>
      </w:r>
    </w:p>
    <w:p w14:paraId="3A92CD5E">
      <w:pPr>
        <w:numPr>
          <w:ilvl w:val="1"/>
          <w:numId w:val="19"/>
        </w:numPr>
        <w:tabs>
          <w:tab w:val="left" w:pos="540"/>
          <w:tab w:val="clear" w:pos="992"/>
        </w:tabs>
        <w:spacing w:line="440" w:lineRule="exact"/>
        <w:ind w:left="540" w:hanging="54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u w:val="single"/>
        </w:rPr>
        <w:t>法定代表人授权书原件等如密封在投标文件商务技术文件中，在商务技术文件开启后经查验符合要求亦为有效。</w:t>
      </w:r>
    </w:p>
    <w:p w14:paraId="0049D873">
      <w:pPr>
        <w:numPr>
          <w:ilvl w:val="0"/>
          <w:numId w:val="18"/>
        </w:numPr>
        <w:tabs>
          <w:tab w:val="left" w:pos="540"/>
          <w:tab w:val="clear" w:pos="42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投标文件的修改和撤回</w:t>
      </w:r>
    </w:p>
    <w:p w14:paraId="6D2BC14A">
      <w:pPr>
        <w:numPr>
          <w:ilvl w:val="1"/>
          <w:numId w:val="20"/>
        </w:numPr>
        <w:tabs>
          <w:tab w:val="left" w:pos="540"/>
          <w:tab w:val="clear" w:pos="992"/>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在投标截止时间前，投标人可以用书面形式提出修改或撤回其投标并送达到采购人，但不得影响开标活动的正常进行。</w:t>
      </w:r>
    </w:p>
    <w:p w14:paraId="3DCBBDC9">
      <w:pPr>
        <w:numPr>
          <w:ilvl w:val="1"/>
          <w:numId w:val="20"/>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“投标文件修改”或“投标文件撤回通知”都应密封并在密封袋上写明投标采购项目、编号、投标单位名称，并注明“投标文件修改”或“投标文件撤回通知”字样。</w:t>
      </w:r>
    </w:p>
    <w:p w14:paraId="2046314A">
      <w:pPr>
        <w:numPr>
          <w:ilvl w:val="1"/>
          <w:numId w:val="20"/>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从投标截止日期起至投标有效期满这段时间内，投标人不得撤回其投标</w:t>
      </w:r>
      <w:r>
        <w:rPr>
          <w:rFonts w:hint="eastAsia" w:ascii="宋体" w:hAnsi="宋体" w:eastAsia="宋体" w:cs="宋体"/>
          <w:color w:val="auto"/>
          <w:sz w:val="22"/>
          <w:szCs w:val="22"/>
          <w:highlight w:val="none"/>
        </w:rPr>
        <w:t>。</w:t>
      </w:r>
    </w:p>
    <w:p w14:paraId="7FC4D3A3">
      <w:pPr>
        <w:numPr>
          <w:ilvl w:val="0"/>
          <w:numId w:val="18"/>
        </w:numPr>
        <w:tabs>
          <w:tab w:val="left" w:pos="540"/>
          <w:tab w:val="clear" w:pos="420"/>
        </w:tabs>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sz w:val="22"/>
          <w:szCs w:val="22"/>
          <w:highlight w:val="none"/>
          <w:u w:val="single"/>
        </w:rPr>
        <w:t>发生下列情况之一的投标文件将不予受理</w:t>
      </w:r>
      <w:r>
        <w:rPr>
          <w:rFonts w:hint="eastAsia" w:ascii="宋体" w:hAnsi="宋体" w:eastAsia="宋体" w:cs="宋体"/>
          <w:bCs/>
          <w:color w:val="auto"/>
          <w:sz w:val="22"/>
          <w:szCs w:val="22"/>
          <w:highlight w:val="none"/>
        </w:rPr>
        <w:t>：</w:t>
      </w:r>
    </w:p>
    <w:p w14:paraId="497CB83B">
      <w:pPr>
        <w:numPr>
          <w:ilvl w:val="1"/>
          <w:numId w:val="21"/>
        </w:numPr>
        <w:tabs>
          <w:tab w:val="left" w:pos="540"/>
          <w:tab w:val="clear" w:pos="992"/>
        </w:tabs>
        <w:spacing w:line="44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在投标截止时间以后送达的投标文件；</w:t>
      </w:r>
    </w:p>
    <w:p w14:paraId="790C1E75">
      <w:pPr>
        <w:numPr>
          <w:ilvl w:val="1"/>
          <w:numId w:val="21"/>
        </w:numPr>
        <w:tabs>
          <w:tab w:val="left" w:pos="540"/>
          <w:tab w:val="clear" w:pos="992"/>
        </w:tabs>
        <w:spacing w:line="44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未购买采购文件；</w:t>
      </w:r>
    </w:p>
    <w:p w14:paraId="65857BAF">
      <w:pPr>
        <w:numPr>
          <w:ilvl w:val="1"/>
          <w:numId w:val="21"/>
        </w:numPr>
        <w:tabs>
          <w:tab w:val="left" w:pos="540"/>
          <w:tab w:val="clear" w:pos="992"/>
        </w:tabs>
        <w:spacing w:line="44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未密封或未装订的投标文件及由于包装不妥在送达途中严重破损或失散的投标文件；</w:t>
      </w:r>
    </w:p>
    <w:p w14:paraId="75B99DAC">
      <w:pPr>
        <w:numPr>
          <w:ilvl w:val="1"/>
          <w:numId w:val="21"/>
        </w:numPr>
        <w:tabs>
          <w:tab w:val="left" w:pos="540"/>
          <w:tab w:val="clear" w:pos="992"/>
        </w:tabs>
        <w:spacing w:line="44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以电讯形式递交的投标文件。</w:t>
      </w:r>
    </w:p>
    <w:p w14:paraId="1122155E">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t xml:space="preserve"> </w:t>
      </w:r>
      <w:bookmarkStart w:id="101" w:name="_Toc4653"/>
      <w:r>
        <w:rPr>
          <w:rFonts w:hint="eastAsia" w:ascii="宋体" w:hAnsi="宋体" w:eastAsia="宋体" w:cs="宋体"/>
          <w:b/>
          <w:bCs/>
          <w:color w:val="auto"/>
          <w:sz w:val="26"/>
          <w:szCs w:val="26"/>
          <w:highlight w:val="none"/>
        </w:rPr>
        <w:t>开标和评标</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D6DDB5B">
      <w:pPr>
        <w:numPr>
          <w:ilvl w:val="0"/>
          <w:numId w:val="22"/>
        </w:numPr>
        <w:tabs>
          <w:tab w:val="left" w:pos="540"/>
          <w:tab w:val="clear" w:pos="42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w:t>
      </w:r>
    </w:p>
    <w:p w14:paraId="7975155B">
      <w:pPr>
        <w:spacing w:line="440" w:lineRule="exact"/>
        <w:ind w:left="540" w:leftChars="257"/>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采购人依法组建评标委员会。评标委员会的成员在评标过程中必须严格遵守</w:t>
      </w:r>
      <w:r>
        <w:rPr>
          <w:rFonts w:hint="eastAsia" w:ascii="宋体" w:hAnsi="宋体" w:eastAsia="宋体" w:cs="宋体"/>
          <w:bCs/>
          <w:color w:val="auto"/>
          <w:sz w:val="22"/>
          <w:szCs w:val="22"/>
          <w:highlight w:val="none"/>
          <w:lang w:eastAsia="zh-CN"/>
        </w:rPr>
        <w:t>《温州市鹿城区区属国有企业采购指导意见（试行）》</w:t>
      </w:r>
      <w:r>
        <w:rPr>
          <w:rFonts w:hint="eastAsia" w:ascii="宋体" w:hAnsi="宋体" w:eastAsia="宋体" w:cs="宋体"/>
          <w:bCs/>
          <w:color w:val="auto"/>
          <w:sz w:val="22"/>
          <w:szCs w:val="22"/>
          <w:highlight w:val="none"/>
        </w:rPr>
        <w:t>等有关法律、法规的规定。</w:t>
      </w:r>
    </w:p>
    <w:p w14:paraId="75431350">
      <w:pPr>
        <w:numPr>
          <w:ilvl w:val="0"/>
          <w:numId w:val="22"/>
        </w:numPr>
        <w:tabs>
          <w:tab w:val="left" w:pos="540"/>
          <w:tab w:val="clear" w:pos="42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评标过程的保密性</w:t>
      </w:r>
    </w:p>
    <w:p w14:paraId="7F056321">
      <w:pPr>
        <w:spacing w:line="440" w:lineRule="exact"/>
        <w:ind w:left="540" w:leftChars="257"/>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开标后直至向中标人授予合同时止，凡与评审有关的资料均不得向投标人及与评标无关人员透露。如果投标人在评标过程中试图向采购人和评标委员会施加影响，其投标将被拒绝。</w:t>
      </w:r>
    </w:p>
    <w:p w14:paraId="7F6E332A">
      <w:pPr>
        <w:numPr>
          <w:ilvl w:val="0"/>
          <w:numId w:val="22"/>
        </w:numPr>
        <w:tabs>
          <w:tab w:val="left" w:pos="540"/>
          <w:tab w:val="clear" w:pos="420"/>
        </w:tabs>
        <w:spacing w:line="440" w:lineRule="exact"/>
        <w:rPr>
          <w:rFonts w:hint="eastAsia" w:ascii="宋体" w:hAnsi="宋体" w:eastAsia="宋体" w:cs="宋体"/>
          <w:b/>
          <w:bCs/>
          <w:color w:val="auto"/>
          <w:sz w:val="22"/>
          <w:szCs w:val="22"/>
          <w:highlight w:val="none"/>
        </w:rPr>
      </w:pPr>
      <w:r>
        <w:rPr>
          <w:rFonts w:hint="eastAsia" w:ascii="宋体" w:hAnsi="宋体" w:eastAsia="宋体" w:cs="宋体"/>
          <w:bCs/>
          <w:color w:val="auto"/>
          <w:sz w:val="22"/>
          <w:szCs w:val="22"/>
          <w:highlight w:val="none"/>
        </w:rPr>
        <w:t>开标、评标</w:t>
      </w:r>
    </w:p>
    <w:p w14:paraId="221E29D5">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按采购文件规定的时间、地点开启各投标人的投标文件。开标前，首先检查投标文件的密封情况，确认无误后开启投标文件（资格文件、商务技术文件）。 </w:t>
      </w:r>
    </w:p>
    <w:p w14:paraId="3E950917">
      <w:pPr>
        <w:numPr>
          <w:ilvl w:val="1"/>
          <w:numId w:val="23"/>
        </w:numPr>
        <w:tabs>
          <w:tab w:val="left" w:pos="535"/>
        </w:tabs>
        <w:overflowPunct w:val="0"/>
        <w:spacing w:line="440" w:lineRule="exact"/>
        <w:ind w:left="535" w:hanging="53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投标文件的初审。初审分为资格性审查和符合性检查。</w:t>
      </w:r>
    </w:p>
    <w:p w14:paraId="6820CBF2">
      <w:pPr>
        <w:overflowPunct w:val="0"/>
        <w:spacing w:line="440" w:lineRule="exact"/>
        <w:ind w:firstLine="110" w:firstLineChars="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资格性审查。</w:t>
      </w:r>
    </w:p>
    <w:p w14:paraId="6A3354D3">
      <w:pPr>
        <w:pStyle w:val="68"/>
        <w:tabs>
          <w:tab w:val="left" w:pos="425"/>
        </w:tabs>
        <w:overflowPunct w:val="0"/>
        <w:spacing w:line="440" w:lineRule="exact"/>
        <w:ind w:left="42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依据法律、法规和采购文件的规定，采购人或代理机构在开启各投标人资格证明文件后，对各投标人进行投标资格审查，审查内容包括但不仅限于投标文件所提交证明材料是否能证明符合本项目对合格投标人的实质性要求。采购人或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3C2C3665">
      <w:p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rPr>
        <w:tab/>
      </w:r>
      <w:r>
        <w:rPr>
          <w:rFonts w:hint="eastAsia" w:ascii="宋体" w:hAnsi="宋体" w:eastAsia="宋体" w:cs="宋体"/>
          <w:bCs/>
          <w:color w:val="auto"/>
          <w:sz w:val="22"/>
          <w:szCs w:val="22"/>
          <w:highlight w:val="none"/>
        </w:rPr>
        <w:t>符合性检查。依据采购文件的规定，从投标文件中的有效性、完整性和对采购文件的响应程度进行审查。</w:t>
      </w:r>
    </w:p>
    <w:p w14:paraId="25D163FF">
      <w:pPr>
        <w:overflowPunct w:val="0"/>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r>
        <w:rPr>
          <w:rFonts w:hint="eastAsia" w:ascii="宋体" w:hAnsi="宋体" w:eastAsia="宋体" w:cs="宋体"/>
          <w:b/>
          <w:bCs/>
          <w:color w:val="auto"/>
          <w:sz w:val="22"/>
          <w:szCs w:val="22"/>
          <w:highlight w:val="none"/>
        </w:rPr>
        <w:t xml:space="preserve"> </w:t>
      </w:r>
      <w:r>
        <w:rPr>
          <w:rFonts w:hint="eastAsia" w:ascii="宋体" w:hAnsi="宋体" w:eastAsia="宋体" w:cs="宋体"/>
          <w:b/>
          <w:color w:val="auto"/>
          <w:kern w:val="0"/>
          <w:sz w:val="22"/>
          <w:szCs w:val="22"/>
          <w:highlight w:val="none"/>
        </w:rPr>
        <w:t>▲</w:t>
      </w:r>
      <w:r>
        <w:rPr>
          <w:rFonts w:hint="eastAsia" w:ascii="宋体" w:hAnsi="宋体" w:eastAsia="宋体" w:cs="宋体"/>
          <w:b/>
          <w:bCs/>
          <w:color w:val="auto"/>
          <w:sz w:val="22"/>
          <w:szCs w:val="22"/>
          <w:highlight w:val="none"/>
          <w:u w:val="single"/>
        </w:rPr>
        <w:t>通过资格性审查与符合性审查的商务技术文件由评委进行综合评审，审查确认未通过的商务技术文件不予评审。</w:t>
      </w:r>
    </w:p>
    <w:p w14:paraId="6FC2A695">
      <w:pPr>
        <w:numPr>
          <w:ilvl w:val="1"/>
          <w:numId w:val="23"/>
        </w:numPr>
        <w:tabs>
          <w:tab w:val="left" w:pos="540"/>
        </w:tabs>
        <w:spacing w:line="440" w:lineRule="exact"/>
        <w:ind w:left="540" w:hanging="5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在对各投标人的投标文件进行综合评审时，投标文件有下列情况之一的，经评标委员会认定后按无效标处理：</w:t>
      </w:r>
    </w:p>
    <w:p w14:paraId="3C3628C7">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投标文件中要求投标人加盖投标人公章的地方无投标人公章的；</w:t>
      </w:r>
    </w:p>
    <w:p w14:paraId="5BF70064">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投标文件中要求投标人法定代表人或授权代表签字的地方无法定代表人签字或其授权代表签字的；</w:t>
      </w:r>
    </w:p>
    <w:p w14:paraId="4B1A6EF3">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不具备采购文件中规定的资格要求的；</w:t>
      </w:r>
    </w:p>
    <w:p w14:paraId="01C28C72">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报价超过采购文件中规定的预算金额或者最高限价的；</w:t>
      </w:r>
    </w:p>
    <w:p w14:paraId="13960B9E">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投标文件含有采购人不能接受的附加条件的；</w:t>
      </w:r>
    </w:p>
    <w:p w14:paraId="67C50591">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经评标委员会认定投标人串通投标的；</w:t>
      </w:r>
    </w:p>
    <w:p w14:paraId="0B9C8F06">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同时出现两种及以上不一致价格且修正后投标人不确认报价的；</w:t>
      </w:r>
    </w:p>
    <w:p w14:paraId="1219F058">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报价明显低于其他通过符合性审查投标人的报价，且在评标现场合理的时间内不能证明其报价合理性的；</w:t>
      </w:r>
    </w:p>
    <w:p w14:paraId="0D930E6A">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sz w:val="22"/>
          <w:szCs w:val="22"/>
          <w:highlight w:val="none"/>
          <w:u w:val="single"/>
        </w:rPr>
        <w:t>在资格文件或商务技术文件中出现投标报价的；</w:t>
      </w:r>
    </w:p>
    <w:p w14:paraId="52AA501D">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bCs/>
          <w:color w:val="auto"/>
          <w:kern w:val="0"/>
          <w:sz w:val="22"/>
          <w:szCs w:val="22"/>
          <w:highlight w:val="none"/>
          <w:u w:val="single"/>
        </w:rPr>
        <w:t>授权代表</w:t>
      </w:r>
      <w:r>
        <w:rPr>
          <w:rFonts w:hint="eastAsia" w:ascii="宋体" w:hAnsi="宋体" w:eastAsia="宋体" w:cs="宋体"/>
          <w:b/>
          <w:color w:val="auto"/>
          <w:kern w:val="0"/>
          <w:sz w:val="22"/>
          <w:szCs w:val="22"/>
          <w:highlight w:val="none"/>
          <w:u w:val="single"/>
        </w:rPr>
        <w:t>无法定代表人合法、有效委托的；</w:t>
      </w:r>
    </w:p>
    <w:p w14:paraId="3F0DBC58">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sz w:val="22"/>
          <w:szCs w:val="22"/>
          <w:highlight w:val="none"/>
          <w:u w:val="single"/>
        </w:rPr>
        <w:t>提供了虚假文件资料，有弄虚作假行为的；</w:t>
      </w:r>
    </w:p>
    <w:p w14:paraId="6E3E1218">
      <w:pPr>
        <w:numPr>
          <w:ilvl w:val="0"/>
          <w:numId w:val="14"/>
        </w:numPr>
        <w:spacing w:line="440" w:lineRule="exact"/>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评标委员会认定不符合法律、法规和采购文件中规定的其他实质性要求的。</w:t>
      </w:r>
    </w:p>
    <w:p w14:paraId="37BEECC6">
      <w:pPr>
        <w:numPr>
          <w:ilvl w:val="1"/>
          <w:numId w:val="23"/>
        </w:numPr>
        <w:tabs>
          <w:tab w:val="left" w:pos="540"/>
        </w:tabs>
        <w:spacing w:line="440" w:lineRule="exact"/>
        <w:ind w:left="540" w:hanging="5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▲有下列情形之一的，视为投标人串通投标，其投标无效：</w:t>
      </w:r>
    </w:p>
    <w:p w14:paraId="7F4AA3FB">
      <w:pPr>
        <w:pStyle w:val="68"/>
        <w:spacing w:line="440" w:lineRule="exact"/>
        <w:ind w:left="425" w:firstLine="0" w:firstLineChars="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1)不同投标人的投标文件由同一单位或者个人编制；</w:t>
      </w:r>
    </w:p>
    <w:p w14:paraId="3EDD7DF3">
      <w:pPr>
        <w:pStyle w:val="68"/>
        <w:spacing w:line="440" w:lineRule="exact"/>
        <w:ind w:left="425" w:firstLine="0" w:firstLineChars="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2)不同投标人委托同一单位或者个人办理投标事宜；</w:t>
      </w:r>
    </w:p>
    <w:p w14:paraId="4CB8BD33">
      <w:pPr>
        <w:pStyle w:val="68"/>
        <w:spacing w:line="440" w:lineRule="exact"/>
        <w:ind w:left="425" w:firstLine="0" w:firstLineChars="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3)不同投标人的投标文件载明的项目管理成员或者联系人员为同一人；</w:t>
      </w:r>
    </w:p>
    <w:p w14:paraId="3D22E612">
      <w:pPr>
        <w:pStyle w:val="68"/>
        <w:spacing w:line="440" w:lineRule="exact"/>
        <w:ind w:left="425" w:firstLine="0" w:firstLineChars="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4）不同投标人的投标文件异常一致或者投标报价呈规律性差异；</w:t>
      </w:r>
    </w:p>
    <w:p w14:paraId="75CFD734">
      <w:pPr>
        <w:pStyle w:val="68"/>
        <w:spacing w:line="440" w:lineRule="exact"/>
        <w:ind w:left="425" w:firstLine="0" w:firstLineChars="0"/>
        <w:rPr>
          <w:rFonts w:hint="eastAsia" w:ascii="宋体" w:hAnsi="宋体" w:eastAsia="宋体" w:cs="宋体"/>
          <w:b/>
          <w:color w:val="auto"/>
          <w:kern w:val="0"/>
          <w:sz w:val="22"/>
          <w:szCs w:val="22"/>
          <w:highlight w:val="none"/>
          <w:u w:val="single"/>
        </w:rPr>
      </w:pPr>
      <w:r>
        <w:rPr>
          <w:rFonts w:hint="eastAsia" w:ascii="宋体" w:hAnsi="宋体" w:eastAsia="宋体" w:cs="宋体"/>
          <w:b/>
          <w:color w:val="auto"/>
          <w:kern w:val="0"/>
          <w:sz w:val="22"/>
          <w:szCs w:val="22"/>
          <w:highlight w:val="none"/>
          <w:u w:val="single"/>
        </w:rPr>
        <w:t>5）不同投标人的投标文件相互混装；</w:t>
      </w:r>
    </w:p>
    <w:p w14:paraId="2649C2F2">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开启报价文件</w:t>
      </w:r>
    </w:p>
    <w:p w14:paraId="69FB73D4">
      <w:pPr>
        <w:numPr>
          <w:ilvl w:val="0"/>
          <w:numId w:val="24"/>
        </w:num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开报价文件时邀请所有投标人代表参加，参加开标的代表应准时出席并签名报到以证明其出席。投标人代表未参加开标会的，事后不得对开标过程和开标结果提出异议。</w:t>
      </w:r>
    </w:p>
    <w:p w14:paraId="7F2E9763">
      <w:pPr>
        <w:numPr>
          <w:ilvl w:val="0"/>
          <w:numId w:val="24"/>
        </w:num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宣布对各投标人有效身份证件等审查结果和商务技术文件得分情况。</w:t>
      </w:r>
    </w:p>
    <w:p w14:paraId="13F17D1A">
      <w:pPr>
        <w:numPr>
          <w:ilvl w:val="0"/>
          <w:numId w:val="24"/>
        </w:num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检查有效投标人“报价文件”的密封情况，确认无误后开启“报价文件”，唱读“开标一览表”全部内容。唱读结束后，投标人代表应对唱读内容及记录结果当场进行校核和签字确认，如有异议应当场提出，否则视为默许同意。</w:t>
      </w:r>
    </w:p>
    <w:p w14:paraId="42B4F4B0">
      <w:pPr>
        <w:numPr>
          <w:ilvl w:val="0"/>
          <w:numId w:val="24"/>
        </w:num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开标时没有启封和宣读的投标文件，原封退回给投标人。</w:t>
      </w:r>
    </w:p>
    <w:p w14:paraId="1041D543">
      <w:pPr>
        <w:numPr>
          <w:ilvl w:val="0"/>
          <w:numId w:val="24"/>
        </w:numPr>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开报价文件时，采购人指定专人作好记录，存档备查。</w:t>
      </w:r>
    </w:p>
    <w:p w14:paraId="0E4DEA2A">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“报价文件”开启后，由评标委员会对各投标人的商务报价进行核查，核查时发现投标报价内容不清楚可要求投标人书面澄清，计算上的错误，可按下面方法修正：</w:t>
      </w:r>
    </w:p>
    <w:p w14:paraId="1CA0AD25">
      <w:pPr>
        <w:numPr>
          <w:ilvl w:val="0"/>
          <w:numId w:val="25"/>
        </w:numPr>
        <w:tabs>
          <w:tab w:val="left" w:pos="720"/>
          <w:tab w:val="clear" w:pos="420"/>
        </w:tabs>
        <w:spacing w:line="440" w:lineRule="exact"/>
        <w:ind w:firstLine="6"/>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文件中开标一览表内容与投标文件中相应内容不一致的，以开标一览表为准；投标文件的大写金额和小写金额不一致的，以大写金额为准；单价金额小数点或者百分比有明显错位的，以开标一览表的总价为准，并修改单价；总价金额与按单价汇总金额不一致的，以单价金额计算结果为准。</w:t>
      </w:r>
    </w:p>
    <w:p w14:paraId="1B33C42D">
      <w:pPr>
        <w:numPr>
          <w:ilvl w:val="0"/>
          <w:numId w:val="25"/>
        </w:numPr>
        <w:tabs>
          <w:tab w:val="left" w:pos="720"/>
          <w:tab w:val="clear" w:pos="420"/>
        </w:tabs>
        <w:spacing w:line="440" w:lineRule="exact"/>
        <w:ind w:firstLine="6"/>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如果投标人不接受对其价格错误进行修正，其投标无效。</w:t>
      </w:r>
    </w:p>
    <w:p w14:paraId="001A06D3">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color w:val="auto"/>
          <w:sz w:val="22"/>
          <w:szCs w:val="22"/>
          <w:highlight w:val="none"/>
        </w:rPr>
        <w:t>评标委员会决定投标的响应性只根据投标文件本身的内容，而不寻求外部的证据。</w:t>
      </w:r>
    </w:p>
    <w:p w14:paraId="6734FB30">
      <w:pPr>
        <w:numPr>
          <w:ilvl w:val="1"/>
          <w:numId w:val="23"/>
        </w:numPr>
        <w:tabs>
          <w:tab w:val="left" w:pos="540"/>
        </w:tabs>
        <w:spacing w:line="440" w:lineRule="exact"/>
        <w:ind w:left="540" w:hanging="54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实质上没有响应采购文件要求的投标将被拒绝，投标人不得通过修正或撤消不合要求的偏离或保留从而使其投标成为实质上响应的投标。</w:t>
      </w:r>
    </w:p>
    <w:p w14:paraId="41C130D5">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评标委员会对审查合格的投标文件按照采购文件中制订的评标方法进行综合评定打分。</w:t>
      </w:r>
    </w:p>
    <w:p w14:paraId="49FD5293">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b/>
          <w:bCs/>
          <w:color w:val="auto"/>
          <w:kern w:val="0"/>
          <w:sz w:val="22"/>
          <w:szCs w:val="22"/>
          <w:highlight w:val="none"/>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E66ABA">
      <w:pPr>
        <w:numPr>
          <w:ilvl w:val="1"/>
          <w:numId w:val="23"/>
        </w:numPr>
        <w:tabs>
          <w:tab w:val="left" w:pos="540"/>
        </w:tabs>
        <w:spacing w:line="440" w:lineRule="exact"/>
        <w:ind w:left="540" w:hanging="54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评标过程中遇到特殊情况，由评标委员会遵循公开、公正原则，采取投票方式按照少数服从多数原则决定。</w:t>
      </w:r>
    </w:p>
    <w:p w14:paraId="2148188F">
      <w:pPr>
        <w:numPr>
          <w:ilvl w:val="0"/>
          <w:numId w:val="22"/>
        </w:numPr>
        <w:tabs>
          <w:tab w:val="left" w:pos="540"/>
          <w:tab w:val="clear" w:pos="420"/>
        </w:tabs>
        <w:spacing w:line="44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投标文件的澄清</w:t>
      </w:r>
    </w:p>
    <w:p w14:paraId="6558575E">
      <w:pPr>
        <w:numPr>
          <w:ilvl w:val="1"/>
          <w:numId w:val="26"/>
        </w:numPr>
        <w:tabs>
          <w:tab w:val="left" w:pos="540"/>
          <w:tab w:val="clear" w:pos="992"/>
        </w:tabs>
        <w:spacing w:line="440" w:lineRule="exact"/>
        <w:ind w:left="540" w:hanging="540"/>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在评标期间，评标委员会可以对投标文件中含义不明确、对同类问题表述不一致或者有明显文字和计算错误的内容作必要的澄清、说明或补正。澄清内容不得超出投标文件的范围或者改变投标文件的实质性内容。拒不按要求对其投标文件进行澄清，说明或补正的投标人，评标委员会可以否决其投标。</w:t>
      </w:r>
    </w:p>
    <w:p w14:paraId="7623532F">
      <w:pPr>
        <w:numPr>
          <w:ilvl w:val="1"/>
          <w:numId w:val="26"/>
        </w:numPr>
        <w:tabs>
          <w:tab w:val="left" w:pos="540"/>
          <w:tab w:val="clear" w:pos="992"/>
        </w:tabs>
        <w:spacing w:line="440" w:lineRule="exact"/>
        <w:ind w:left="540" w:hanging="540"/>
        <w:rPr>
          <w:rFonts w:hint="eastAsia" w:ascii="宋体" w:hAnsi="宋体" w:eastAsia="宋体" w:cs="宋体"/>
          <w:b/>
          <w:color w:val="auto"/>
          <w:sz w:val="22"/>
          <w:szCs w:val="22"/>
          <w:highlight w:val="none"/>
          <w:u w:val="single"/>
        </w:rPr>
      </w:pPr>
      <w:r>
        <w:rPr>
          <w:rFonts w:hint="eastAsia" w:ascii="宋体" w:hAnsi="宋体" w:eastAsia="宋体" w:cs="宋体"/>
          <w:b/>
          <w:color w:val="auto"/>
          <w:kern w:val="0"/>
          <w:sz w:val="22"/>
          <w:szCs w:val="22"/>
          <w:highlight w:val="none"/>
          <w:u w:val="single"/>
        </w:rPr>
        <w:t>▲</w:t>
      </w:r>
      <w:r>
        <w:rPr>
          <w:rFonts w:hint="eastAsia" w:ascii="宋体" w:hAnsi="宋体" w:eastAsia="宋体" w:cs="宋体"/>
          <w:b/>
          <w:color w:val="auto"/>
          <w:sz w:val="22"/>
          <w:szCs w:val="22"/>
          <w:highlight w:val="none"/>
          <w:u w:val="single"/>
        </w:rPr>
        <w:t>经澄清后，若偏差仍存在，且不可接受，投标人则被认为是“没有实质性响应采购文件要求”，其投标不进入下一步评审。</w:t>
      </w:r>
    </w:p>
    <w:p w14:paraId="1D89F52E">
      <w:pPr>
        <w:numPr>
          <w:ilvl w:val="0"/>
          <w:numId w:val="22"/>
        </w:numPr>
        <w:tabs>
          <w:tab w:val="left" w:pos="540"/>
          <w:tab w:val="clear" w:pos="420"/>
        </w:tabs>
        <w:spacing w:line="44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确定中标候选人</w:t>
      </w:r>
    </w:p>
    <w:p w14:paraId="6C217EF1">
      <w:pPr>
        <w:numPr>
          <w:ilvl w:val="1"/>
          <w:numId w:val="27"/>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本次采购由评标委员会推荐中标候选人，采购人根据评标委员会的推荐结果进行最终确认。</w:t>
      </w:r>
    </w:p>
    <w:p w14:paraId="5E7E10EB">
      <w:pPr>
        <w:numPr>
          <w:ilvl w:val="1"/>
          <w:numId w:val="27"/>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依据法律、法规及采购文件有关规定在有效标中按投标人的综合得分（商务技术分及报价分之和）高低进行排序，综合得分排序前2名投标人为中标候选人。（综合得分相同的，按报价分由高到底顺序排列；综合得分且报价分相同的，由评标委员会成员抽签决定排序）</w:t>
      </w:r>
    </w:p>
    <w:p w14:paraId="59F6CFBF">
      <w:pPr>
        <w:numPr>
          <w:ilvl w:val="1"/>
          <w:numId w:val="27"/>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若出现以下情形之一，采购人可视具体情况确定</w:t>
      </w:r>
      <w:r>
        <w:rPr>
          <w:rFonts w:hint="eastAsia" w:ascii="宋体" w:hAnsi="宋体" w:eastAsia="宋体" w:cs="宋体"/>
          <w:color w:val="auto"/>
          <w:kern w:val="0"/>
          <w:sz w:val="22"/>
          <w:szCs w:val="22"/>
          <w:highlight w:val="none"/>
        </w:rPr>
        <w:t>是否由排名后续的中标候选人为中标人或</w:t>
      </w:r>
      <w:r>
        <w:rPr>
          <w:rFonts w:hint="eastAsia" w:ascii="宋体" w:hAnsi="宋体" w:eastAsia="宋体" w:cs="宋体"/>
          <w:color w:val="auto"/>
          <w:sz w:val="22"/>
          <w:szCs w:val="22"/>
          <w:highlight w:val="none"/>
        </w:rPr>
        <w:t>重新组织采购：</w:t>
      </w:r>
    </w:p>
    <w:p w14:paraId="7912B99B">
      <w:pPr>
        <w:tabs>
          <w:tab w:val="left" w:pos="540"/>
        </w:tabs>
        <w:autoSpaceDE w:val="0"/>
        <w:autoSpaceDN w:val="0"/>
        <w:adjustRightInd w:val="0"/>
        <w:spacing w:line="440" w:lineRule="exact"/>
        <w:ind w:left="42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w:t>
      </w:r>
      <w:r>
        <w:rPr>
          <w:rFonts w:hint="eastAsia" w:ascii="宋体" w:hAnsi="宋体" w:eastAsia="宋体" w:cs="宋体"/>
          <w:color w:val="auto"/>
          <w:kern w:val="0"/>
          <w:sz w:val="22"/>
          <w:szCs w:val="22"/>
          <w:highlight w:val="none"/>
        </w:rPr>
        <w:t>原</w:t>
      </w:r>
      <w:r>
        <w:rPr>
          <w:rFonts w:hint="eastAsia" w:ascii="宋体" w:hAnsi="宋体" w:eastAsia="宋体" w:cs="宋体"/>
          <w:color w:val="auto"/>
          <w:kern w:val="0"/>
          <w:sz w:val="22"/>
          <w:szCs w:val="22"/>
          <w:highlight w:val="none"/>
          <w:lang w:val="zh-CN"/>
        </w:rPr>
        <w:t>中标候选人放弃中标资格；</w:t>
      </w:r>
    </w:p>
    <w:p w14:paraId="3721C201">
      <w:pPr>
        <w:tabs>
          <w:tab w:val="left" w:pos="540"/>
        </w:tabs>
        <w:autoSpaceDE w:val="0"/>
        <w:autoSpaceDN w:val="0"/>
        <w:adjustRightInd w:val="0"/>
        <w:spacing w:line="440" w:lineRule="exact"/>
        <w:ind w:left="42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2）</w:t>
      </w:r>
      <w:r>
        <w:rPr>
          <w:rFonts w:hint="eastAsia" w:ascii="宋体" w:hAnsi="宋体" w:eastAsia="宋体" w:cs="宋体"/>
          <w:color w:val="auto"/>
          <w:kern w:val="0"/>
          <w:sz w:val="22"/>
          <w:szCs w:val="22"/>
          <w:highlight w:val="none"/>
        </w:rPr>
        <w:t>原</w:t>
      </w:r>
      <w:r>
        <w:rPr>
          <w:rFonts w:hint="eastAsia" w:ascii="宋体" w:hAnsi="宋体" w:eastAsia="宋体" w:cs="宋体"/>
          <w:color w:val="auto"/>
          <w:kern w:val="0"/>
          <w:sz w:val="22"/>
          <w:szCs w:val="22"/>
          <w:highlight w:val="none"/>
          <w:lang w:val="zh-CN"/>
        </w:rPr>
        <w:t>中标候选人因不可抗力提出不能履行合同；</w:t>
      </w:r>
    </w:p>
    <w:p w14:paraId="52AC46D0">
      <w:pPr>
        <w:tabs>
          <w:tab w:val="left" w:pos="540"/>
        </w:tabs>
        <w:autoSpaceDE w:val="0"/>
        <w:autoSpaceDN w:val="0"/>
        <w:adjustRightInd w:val="0"/>
        <w:spacing w:line="440" w:lineRule="exact"/>
        <w:ind w:left="42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zh-CN"/>
        </w:rPr>
        <w:t>）</w:t>
      </w:r>
      <w:r>
        <w:rPr>
          <w:rFonts w:hint="eastAsia" w:ascii="宋体" w:hAnsi="宋体" w:eastAsia="宋体" w:cs="宋体"/>
          <w:color w:val="auto"/>
          <w:kern w:val="0"/>
          <w:sz w:val="22"/>
          <w:szCs w:val="22"/>
          <w:highlight w:val="none"/>
        </w:rPr>
        <w:t>原</w:t>
      </w:r>
      <w:r>
        <w:rPr>
          <w:rFonts w:hint="eastAsia" w:ascii="宋体" w:hAnsi="宋体" w:eastAsia="宋体" w:cs="宋体"/>
          <w:color w:val="auto"/>
          <w:kern w:val="0"/>
          <w:sz w:val="22"/>
          <w:szCs w:val="22"/>
          <w:highlight w:val="none"/>
          <w:lang w:val="zh-CN"/>
        </w:rPr>
        <w:t>中标候选人未能在规定时间内与采购人签订合同；</w:t>
      </w:r>
    </w:p>
    <w:p w14:paraId="562B4373">
      <w:pPr>
        <w:spacing w:line="440" w:lineRule="exact"/>
        <w:ind w:left="42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lang w:val="zh-CN"/>
        </w:rPr>
        <w:t>）经质疑，采购人审查后，</w:t>
      </w:r>
      <w:r>
        <w:rPr>
          <w:rFonts w:hint="eastAsia" w:ascii="宋体" w:hAnsi="宋体" w:eastAsia="宋体" w:cs="宋体"/>
          <w:color w:val="auto"/>
          <w:kern w:val="0"/>
          <w:sz w:val="22"/>
          <w:szCs w:val="22"/>
          <w:highlight w:val="none"/>
        </w:rPr>
        <w:t>原</w:t>
      </w:r>
      <w:r>
        <w:rPr>
          <w:rFonts w:hint="eastAsia" w:ascii="宋体" w:hAnsi="宋体" w:eastAsia="宋体" w:cs="宋体"/>
          <w:color w:val="auto"/>
          <w:kern w:val="0"/>
          <w:sz w:val="22"/>
          <w:szCs w:val="22"/>
          <w:highlight w:val="none"/>
          <w:lang w:val="zh-CN"/>
        </w:rPr>
        <w:t>中标候选人确实在本次采购活动中存在违法违规行为或其他原因使质疑成立的。</w:t>
      </w:r>
    </w:p>
    <w:p w14:paraId="26DD75D2">
      <w:pPr>
        <w:numPr>
          <w:ilvl w:val="1"/>
          <w:numId w:val="27"/>
        </w:numPr>
        <w:tabs>
          <w:tab w:val="left" w:pos="540"/>
          <w:tab w:val="clear" w:pos="992"/>
        </w:tabs>
        <w:spacing w:line="440" w:lineRule="exact"/>
        <w:ind w:left="540" w:hanging="5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采购人、采购代理机构及评标委员会对未中标的投标人不作解释，不对投标人公布详细的评审情况，不公布具体评标细则中小项得分。</w:t>
      </w:r>
    </w:p>
    <w:p w14:paraId="49B9DC63">
      <w:pPr>
        <w:numPr>
          <w:ilvl w:val="0"/>
          <w:numId w:val="22"/>
        </w:numPr>
        <w:tabs>
          <w:tab w:val="left" w:pos="540"/>
          <w:tab w:val="clear" w:pos="420"/>
        </w:tabs>
        <w:spacing w:line="440" w:lineRule="exac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评标原则及办法</w:t>
      </w:r>
    </w:p>
    <w:p w14:paraId="460D30F5">
      <w:pPr>
        <w:spacing w:line="440" w:lineRule="exact"/>
        <w:ind w:firstLine="550" w:firstLineChars="25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评标委员会按照采购文件的要求和条件进行评标，详见“评标原则及方法”。</w:t>
      </w:r>
    </w:p>
    <w:p w14:paraId="3A8782FC">
      <w:pPr>
        <w:pStyle w:val="33"/>
        <w:ind w:firstLine="210"/>
        <w:rPr>
          <w:rFonts w:hint="eastAsia" w:ascii="宋体" w:hAnsi="宋体" w:eastAsia="宋体" w:cs="宋体"/>
          <w:color w:val="auto"/>
          <w:highlight w:val="none"/>
        </w:rPr>
      </w:pPr>
    </w:p>
    <w:p w14:paraId="427059D2">
      <w:pPr>
        <w:numPr>
          <w:ilvl w:val="0"/>
          <w:numId w:val="6"/>
        </w:numPr>
        <w:spacing w:before="100" w:beforeAutospacing="1" w:after="100" w:afterAutospacing="1" w:line="440" w:lineRule="exact"/>
        <w:jc w:val="center"/>
        <w:outlineLvl w:val="0"/>
        <w:rPr>
          <w:rFonts w:hint="eastAsia" w:ascii="宋体" w:hAnsi="宋体" w:eastAsia="宋体" w:cs="宋体"/>
          <w:b/>
          <w:bCs/>
          <w:color w:val="auto"/>
          <w:sz w:val="26"/>
          <w:szCs w:val="26"/>
          <w:highlight w:val="none"/>
        </w:rPr>
      </w:pPr>
      <w:bookmarkStart w:id="102" w:name="_Toc246261267"/>
      <w:bookmarkStart w:id="103" w:name="_Toc262049420"/>
      <w:bookmarkStart w:id="104" w:name="_Toc221356889"/>
      <w:bookmarkStart w:id="105" w:name="_Toc249758714"/>
      <w:bookmarkStart w:id="106" w:name="_Toc245722283"/>
      <w:bookmarkStart w:id="107" w:name="_Toc222114881"/>
      <w:bookmarkStart w:id="108" w:name="_Toc221423621"/>
      <w:bookmarkStart w:id="109" w:name="_Toc241404204"/>
      <w:bookmarkStart w:id="110" w:name="_Toc221356953"/>
      <w:bookmarkStart w:id="111" w:name="_Toc249758866"/>
      <w:bookmarkStart w:id="112" w:name="_Toc221374628"/>
      <w:bookmarkStart w:id="113" w:name="_Toc262105505"/>
      <w:bookmarkStart w:id="114" w:name="_Toc245191316"/>
      <w:bookmarkStart w:id="115" w:name="_Toc239145356"/>
      <w:bookmarkStart w:id="116" w:name="_Toc223716000"/>
      <w:r>
        <w:rPr>
          <w:rFonts w:hint="eastAsia" w:ascii="宋体" w:hAnsi="宋体" w:eastAsia="宋体" w:cs="宋体"/>
          <w:b/>
          <w:bCs/>
          <w:color w:val="auto"/>
          <w:sz w:val="26"/>
          <w:szCs w:val="26"/>
          <w:highlight w:val="none"/>
        </w:rPr>
        <w:t xml:space="preserve"> </w:t>
      </w:r>
      <w:bookmarkStart w:id="117" w:name="_Toc17627"/>
      <w:r>
        <w:rPr>
          <w:rFonts w:hint="eastAsia" w:ascii="宋体" w:hAnsi="宋体" w:eastAsia="宋体" w:cs="宋体"/>
          <w:b/>
          <w:bCs/>
          <w:color w:val="auto"/>
          <w:sz w:val="26"/>
          <w:szCs w:val="26"/>
          <w:highlight w:val="none"/>
        </w:rPr>
        <w:t>授予合同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74C8345">
      <w:pPr>
        <w:numPr>
          <w:ilvl w:val="0"/>
          <w:numId w:val="28"/>
        </w:numPr>
        <w:tabs>
          <w:tab w:val="clear" w:pos="420"/>
        </w:tabs>
        <w:overflowPunct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确定中标人</w:t>
      </w:r>
    </w:p>
    <w:p w14:paraId="65B20A6E">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1.1采购代理机构应当在评审结束后2个工作日内将评审报告送采购人确认。</w:t>
      </w:r>
    </w:p>
    <w:p w14:paraId="6E499BF7">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1.2采购人应当在收到评审报告后5个工作日内，从评审报告提出的中标人中，按照排序由高到低的原则确定中标人。</w:t>
      </w:r>
    </w:p>
    <w:p w14:paraId="7DC2074D">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1.3采购人或者采购代理机构应当在中标人确定后2个工作日内，在指定的媒介上公告成交结果。</w:t>
      </w:r>
      <w:r>
        <w:rPr>
          <w:rFonts w:hint="eastAsia" w:ascii="宋体" w:hAnsi="宋体" w:eastAsia="宋体" w:cs="宋体"/>
          <w:color w:val="auto"/>
          <w:sz w:val="22"/>
          <w:szCs w:val="22"/>
          <w:highlight w:val="none"/>
        </w:rPr>
        <w:t>公告期为3日</w:t>
      </w:r>
      <w:r>
        <w:rPr>
          <w:rFonts w:hint="eastAsia" w:ascii="宋体" w:hAnsi="宋体" w:eastAsia="宋体" w:cs="宋体"/>
          <w:color w:val="auto"/>
          <w:kern w:val="0"/>
          <w:sz w:val="22"/>
          <w:szCs w:val="22"/>
          <w:highlight w:val="none"/>
        </w:rPr>
        <w:t>。</w:t>
      </w:r>
    </w:p>
    <w:p w14:paraId="4B8A7892">
      <w:pPr>
        <w:numPr>
          <w:ilvl w:val="0"/>
          <w:numId w:val="28"/>
        </w:numPr>
        <w:tabs>
          <w:tab w:val="clear" w:pos="420"/>
        </w:tabs>
        <w:overflowPunct w:val="0"/>
        <w:spacing w:line="360" w:lineRule="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中标（成交）通知书</w:t>
      </w:r>
    </w:p>
    <w:p w14:paraId="0DEEBD7D">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2.1中标公示期限结束后，采购代理机构或采购人向中标人发出中标（成交）通知书。</w:t>
      </w:r>
    </w:p>
    <w:p w14:paraId="1486F6EE">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 中标（成交）通知书是合同的一个组成部分,对采购人和中标人均具有同等法律效力。</w:t>
      </w:r>
    </w:p>
    <w:p w14:paraId="24A47DDC">
      <w:pPr>
        <w:numPr>
          <w:ilvl w:val="0"/>
          <w:numId w:val="28"/>
        </w:numPr>
        <w:tabs>
          <w:tab w:val="clear" w:pos="420"/>
        </w:tabs>
        <w:overflowPunct w:val="0"/>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签订合同</w:t>
      </w:r>
    </w:p>
    <w:p w14:paraId="550290A3">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3.1采购人与中标人应按中标（成交）通知书规定的时间以及按照采购文件和中标人的投标文件的约定签订合同，同时按《投标人须知前附表》要求提交履约保证金。</w:t>
      </w:r>
    </w:p>
    <w:p w14:paraId="4A5ADF1A">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3.2在签订合同前，采购人有权在成交总价不变的前提下要求中标人对商务报价中的不平衡报价和缺漏项进行调整，如果中标人无合理理由拒绝调整，其成交资格将被取消，且将导致其它进一步的赔偿和处罚。</w:t>
      </w:r>
    </w:p>
    <w:p w14:paraId="77671160">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3.3采购文件、中标人的投标文件、响应修改文件、评审过程中有关澄清文件及经投标人和评标委员会双方签字的询标记录和中标（成交）通知书均作为合同附件。</w:t>
      </w:r>
    </w:p>
    <w:p w14:paraId="63532226">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3.4拒签合同的违约责任</w:t>
      </w:r>
    </w:p>
    <w:p w14:paraId="030A68C4">
      <w:pPr>
        <w:spacing w:line="360" w:lineRule="auto"/>
        <w:ind w:left="437" w:leftChars="208" w:firstLine="11" w:firstLineChars="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中标人接到中标（成交）通知书后，在规定时间内借故否认已经承诺的条件而拒签合同的，以违约处理。</w:t>
      </w:r>
    </w:p>
    <w:p w14:paraId="7716AE17">
      <w:pPr>
        <w:numPr>
          <w:ilvl w:val="0"/>
          <w:numId w:val="28"/>
        </w:numPr>
        <w:tabs>
          <w:tab w:val="clear" w:pos="420"/>
        </w:tabs>
        <w:overflowPunct w:val="0"/>
        <w:spacing w:line="360" w:lineRule="auto"/>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合同履行时更改采购数量的权利</w:t>
      </w:r>
    </w:p>
    <w:p w14:paraId="5AFF9536">
      <w:pPr>
        <w:spacing w:line="360" w:lineRule="auto"/>
        <w:ind w:left="437" w:leftChars="208" w:firstLine="11" w:firstLineChars="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在合同履行中，采购人需追加与合同标的相同服务的，在不改变合同其他条款的前提下，可以与投标人协商签订补充合同，但所有补充合同的采购金额不得超过原采购合同金额的百分之十。</w:t>
      </w:r>
    </w:p>
    <w:p w14:paraId="0D525DF9">
      <w:pPr>
        <w:numPr>
          <w:ilvl w:val="0"/>
          <w:numId w:val="28"/>
        </w:numPr>
        <w:tabs>
          <w:tab w:val="clear" w:pos="420"/>
        </w:tabs>
        <w:overflowPunct w:val="0"/>
        <w:spacing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质疑与投诉</w:t>
      </w:r>
    </w:p>
    <w:p w14:paraId="7536EF2E">
      <w:pPr>
        <w:spacing w:line="360" w:lineRule="auto"/>
        <w:ind w:left="431" w:hanging="431" w:hangingChars="195"/>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5.1</w:t>
      </w:r>
      <w:r>
        <w:rPr>
          <w:rFonts w:hint="eastAsia" w:ascii="宋体" w:hAnsi="宋体" w:eastAsia="宋体" w:cs="宋体"/>
          <w:b/>
          <w:bCs/>
          <w:color w:val="auto"/>
          <w:sz w:val="22"/>
          <w:szCs w:val="22"/>
          <w:highlight w:val="none"/>
        </w:rPr>
        <w:t>投标人认为采购文件使自己的权益受到损害的，</w:t>
      </w:r>
      <w:r>
        <w:rPr>
          <w:rFonts w:hint="eastAsia" w:ascii="宋体" w:hAnsi="宋体" w:eastAsia="宋体" w:cs="宋体"/>
          <w:b/>
          <w:bCs/>
          <w:color w:val="auto"/>
          <w:sz w:val="22"/>
          <w:szCs w:val="22"/>
          <w:highlight w:val="none"/>
          <w:u w:val="single"/>
        </w:rPr>
        <w:t>可以自采购公告发出之日（采购公告发布当天不算）起6日内，以书面形式向采购人和采购代理机构提出质疑</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逾期提出的，采购组织机构可以不予受理、答复。</w:t>
      </w:r>
      <w:r>
        <w:rPr>
          <w:rFonts w:hint="eastAsia" w:ascii="宋体" w:hAnsi="宋体" w:eastAsia="宋体" w:cs="宋体"/>
          <w:b/>
          <w:bCs/>
          <w:color w:val="auto"/>
          <w:sz w:val="22"/>
          <w:szCs w:val="22"/>
          <w:highlight w:val="none"/>
        </w:rPr>
        <w:t>[潜在投标人按照本公告规定方式获取采购文件，未按照规定方式获取采购文件的，不得对采购文件提起质疑投诉。]</w:t>
      </w:r>
      <w:r>
        <w:rPr>
          <w:rFonts w:hint="eastAsia" w:ascii="宋体" w:hAnsi="宋体" w:eastAsia="宋体" w:cs="宋体"/>
          <w:b/>
          <w:bCs/>
          <w:color w:val="auto"/>
          <w:kern w:val="0"/>
          <w:sz w:val="22"/>
          <w:szCs w:val="22"/>
          <w:highlight w:val="none"/>
        </w:rPr>
        <w:t>。</w:t>
      </w:r>
    </w:p>
    <w:p w14:paraId="08DE616D">
      <w:pPr>
        <w:spacing w:line="360" w:lineRule="auto"/>
        <w:ind w:left="431" w:hanging="431" w:hangingChars="195"/>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5.2</w:t>
      </w:r>
      <w:r>
        <w:rPr>
          <w:rFonts w:hint="eastAsia" w:ascii="宋体" w:hAnsi="宋体" w:eastAsia="宋体" w:cs="宋体"/>
          <w:b/>
          <w:bCs/>
          <w:color w:val="auto"/>
          <w:sz w:val="22"/>
          <w:szCs w:val="22"/>
          <w:highlight w:val="none"/>
        </w:rPr>
        <w:t>投标人代表认为评审过程有疑义，以及认为采购人、采购代理机构相关工作人员有需要回避的情形的，应当场提出询问或者回避申请。采购人、采购代理机构对投标人代表提出的询问或者回避申请应当及时处理。未当场提出的疑义，视为对投标过程无疑义，投标结束后不得对投标过程提出质疑。</w:t>
      </w:r>
    </w:p>
    <w:p w14:paraId="15CAB04E">
      <w:pPr>
        <w:spacing w:line="360" w:lineRule="auto"/>
        <w:ind w:left="431" w:hanging="431" w:hangingChars="195"/>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5.3各投标人对成交结果如有质疑，可在公告期内以书面形式向采购人或者采购代理机构提出质疑，但需对质疑内容的真实性承担法律责任。</w:t>
      </w:r>
    </w:p>
    <w:p w14:paraId="237975DB">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5.4采购人在收到投标人的书面质疑后7个工作日内作出答复，但答复的内容不得涉及商业秘密。质疑投标人对采购人的答复不满意，可以在答复期满后15个工作日内向采购监督管理部门投诉。</w:t>
      </w:r>
    </w:p>
    <w:p w14:paraId="11A51FCE">
      <w:pPr>
        <w:numPr>
          <w:ilvl w:val="0"/>
          <w:numId w:val="28"/>
        </w:numPr>
        <w:tabs>
          <w:tab w:val="clear" w:pos="420"/>
        </w:tabs>
        <w:overflowPunct w:val="0"/>
        <w:spacing w:line="360" w:lineRule="auto"/>
        <w:rPr>
          <w:rFonts w:hint="eastAsia" w:ascii="宋体" w:hAnsi="宋体" w:eastAsia="宋体" w:cs="宋体"/>
          <w:color w:val="auto"/>
          <w:spacing w:val="6"/>
          <w:sz w:val="22"/>
          <w:szCs w:val="22"/>
          <w:highlight w:val="none"/>
        </w:rPr>
      </w:pPr>
      <w:r>
        <w:rPr>
          <w:rFonts w:hint="eastAsia" w:ascii="宋体" w:hAnsi="宋体" w:eastAsia="宋体" w:cs="宋体"/>
          <w:b/>
          <w:bCs/>
          <w:color w:val="auto"/>
          <w:sz w:val="22"/>
          <w:szCs w:val="22"/>
          <w:highlight w:val="none"/>
        </w:rPr>
        <w:t>采购代理服务费</w:t>
      </w:r>
    </w:p>
    <w:p w14:paraId="15B6E849">
      <w:pPr>
        <w:spacing w:line="360" w:lineRule="auto"/>
        <w:ind w:left="429" w:hanging="429" w:hangingChars="19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6.1本次采购代理服务费详见《投标人须知前附表》，由中标人支付，并在领取中标通知书之前支付给采购代理机构。采购代理服务费可以是现金、支票或汇票。</w:t>
      </w:r>
    </w:p>
    <w:p w14:paraId="2D336468">
      <w:pPr>
        <w:numPr>
          <w:ilvl w:val="0"/>
          <w:numId w:val="28"/>
        </w:numPr>
        <w:tabs>
          <w:tab w:val="clear" w:pos="420"/>
        </w:tabs>
        <w:overflowPunct w:val="0"/>
        <w:spacing w:line="360" w:lineRule="auto"/>
        <w:rPr>
          <w:rFonts w:hint="eastAsia"/>
        </w:rPr>
      </w:pPr>
      <w:r>
        <w:rPr>
          <w:rFonts w:hint="eastAsia" w:ascii="宋体" w:hAnsi="宋体" w:cs="宋体"/>
          <w:b/>
          <w:bCs/>
          <w:color w:val="auto"/>
          <w:sz w:val="22"/>
          <w:szCs w:val="22"/>
          <w:highlight w:val="none"/>
        </w:rPr>
        <w:t>乐采云技术服务费</w:t>
      </w:r>
    </w:p>
    <w:p w14:paraId="4D37BEC6">
      <w:pPr>
        <w:numPr>
          <w:numId w:val="0"/>
        </w:numPr>
        <w:overflowPunct w:val="0"/>
        <w:spacing w:line="360" w:lineRule="auto"/>
        <w:ind w:leftChars="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 xml:space="preserve">7.1 </w:t>
      </w:r>
      <w:r>
        <w:rPr>
          <w:rFonts w:hint="eastAsia" w:ascii="宋体" w:hAnsi="宋体" w:eastAsia="宋体" w:cs="宋体"/>
          <w:b/>
          <w:bCs/>
          <w:color w:val="auto"/>
          <w:sz w:val="22"/>
          <w:szCs w:val="22"/>
          <w:highlight w:val="none"/>
        </w:rPr>
        <w:t>乐采云国企采购平台项目采购收费标准(</w:t>
      </w:r>
      <w:r>
        <w:rPr>
          <w:rFonts w:hint="eastAsia" w:ascii="宋体" w:hAnsi="宋体" w:eastAsia="宋体" w:cs="宋体"/>
          <w:b/>
          <w:bCs/>
          <w:color w:val="auto"/>
          <w:sz w:val="22"/>
          <w:szCs w:val="22"/>
          <w:highlight w:val="none"/>
          <w:lang w:val="en-US" w:eastAsia="zh-CN"/>
        </w:rPr>
        <w:t>鹿城</w:t>
      </w:r>
      <w:r>
        <w:rPr>
          <w:rFonts w:hint="eastAsia" w:ascii="宋体" w:hAnsi="宋体" w:eastAsia="宋体" w:cs="宋体"/>
          <w:b/>
          <w:bCs/>
          <w:color w:val="auto"/>
          <w:sz w:val="22"/>
          <w:szCs w:val="22"/>
          <w:highlight w:val="none"/>
        </w:rPr>
        <w:t>）</w:t>
      </w:r>
    </w:p>
    <w:p w14:paraId="1B1F0A5B">
      <w:pPr>
        <w:keepNext w:val="0"/>
        <w:keepLines w:val="0"/>
        <w:pageBreakBefore w:val="0"/>
        <w:widowControl w:val="0"/>
        <w:kinsoku/>
        <w:wordWrap/>
        <w:overflowPunct/>
        <w:topLinePunct w:val="0"/>
        <w:autoSpaceDE/>
        <w:autoSpaceDN/>
        <w:bidi w:val="0"/>
        <w:adjustRightInd/>
        <w:snapToGrid/>
        <w:spacing w:line="360" w:lineRule="auto"/>
        <w:ind w:left="536" w:leftChars="208" w:hanging="99" w:hangingChars="45"/>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(一)不涉及具体金额的采购项目，技术服务费</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00元/件:</w:t>
      </w:r>
    </w:p>
    <w:p w14:paraId="57F64D0D">
      <w:pPr>
        <w:keepNext w:val="0"/>
        <w:keepLines w:val="0"/>
        <w:pageBreakBefore w:val="0"/>
        <w:widowControl w:val="0"/>
        <w:kinsoku/>
        <w:wordWrap/>
        <w:overflowPunct/>
        <w:topLinePunct w:val="0"/>
        <w:autoSpaceDE/>
        <w:autoSpaceDN/>
        <w:bidi w:val="0"/>
        <w:adjustRightInd/>
        <w:snapToGrid/>
        <w:spacing w:line="360" w:lineRule="auto"/>
        <w:ind w:left="536" w:leftChars="208" w:hanging="99" w:hangingChars="45"/>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(二) 涉及具体金额的采购项目，根据标的额，按照以下比例收取技术服务费：1）中标价100万元以下 (含100万元的): 按</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00元收取；2）中标价超过100万元的: 中标价的</w:t>
      </w:r>
      <w:r>
        <w:rPr>
          <w:rFonts w:hint="eastAsia" w:ascii="宋体" w:hAnsi="宋体" w:eastAsia="宋体" w:cs="宋体"/>
          <w:color w:val="auto"/>
          <w:kern w:val="0"/>
          <w:sz w:val="22"/>
          <w:szCs w:val="22"/>
          <w:highlight w:val="none"/>
          <w:lang w:val="en-US" w:eastAsia="zh-CN"/>
        </w:rPr>
        <w:t>万</w:t>
      </w:r>
      <w:r>
        <w:rPr>
          <w:rFonts w:hint="eastAsia" w:ascii="宋体" w:hAnsi="宋体" w:eastAsia="宋体" w:cs="宋体"/>
          <w:color w:val="auto"/>
          <w:kern w:val="0"/>
          <w:sz w:val="22"/>
          <w:szCs w:val="22"/>
          <w:highlight w:val="none"/>
        </w:rPr>
        <w:t>分之</w:t>
      </w:r>
      <w:r>
        <w:rPr>
          <w:rFonts w:hint="eastAsia" w:ascii="宋体" w:hAnsi="宋体" w:eastAsia="宋体" w:cs="宋体"/>
          <w:color w:val="auto"/>
          <w:kern w:val="0"/>
          <w:sz w:val="22"/>
          <w:szCs w:val="22"/>
          <w:highlight w:val="none"/>
          <w:lang w:val="en-US" w:eastAsia="zh-CN"/>
        </w:rPr>
        <w:t>五</w:t>
      </w:r>
      <w:r>
        <w:rPr>
          <w:rFonts w:hint="eastAsia" w:ascii="宋体" w:hAnsi="宋体" w:eastAsia="宋体" w:cs="宋体"/>
          <w:color w:val="auto"/>
          <w:kern w:val="0"/>
          <w:sz w:val="22"/>
          <w:szCs w:val="22"/>
          <w:highlight w:val="none"/>
        </w:rPr>
        <w:t>(0.</w:t>
      </w:r>
      <w:r>
        <w:rPr>
          <w:rFonts w:hint="eastAsia" w:ascii="宋体" w:hAnsi="宋体" w:eastAsia="宋体" w:cs="宋体"/>
          <w:color w:val="auto"/>
          <w:kern w:val="0"/>
          <w:sz w:val="22"/>
          <w:szCs w:val="22"/>
          <w:highlight w:val="none"/>
          <w:lang w:val="en-US" w:eastAsia="zh-CN"/>
        </w:rPr>
        <w:t>5</w:t>
      </w:r>
      <w:r>
        <w:rPr>
          <w:rFonts w:hint="default"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 ，以</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000元封顶。</w:t>
      </w:r>
    </w:p>
    <w:p w14:paraId="602B37C4">
      <w:pPr>
        <w:keepNext w:val="0"/>
        <w:keepLines w:val="0"/>
        <w:pageBreakBefore w:val="0"/>
        <w:widowControl w:val="0"/>
        <w:kinsoku/>
        <w:wordWrap/>
        <w:overflowPunct/>
        <w:topLinePunct w:val="0"/>
        <w:autoSpaceDE/>
        <w:autoSpaceDN/>
        <w:bidi w:val="0"/>
        <w:adjustRightInd/>
        <w:snapToGrid/>
        <w:spacing w:line="360" w:lineRule="auto"/>
        <w:ind w:left="536" w:leftChars="208" w:hanging="99" w:hangingChars="45"/>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三</w:t>
      </w:r>
      <w:r>
        <w:rPr>
          <w:rFonts w:hint="eastAsia" w:ascii="宋体" w:hAnsi="宋体" w:eastAsia="宋体" w:cs="宋体"/>
          <w:color w:val="auto"/>
          <w:kern w:val="0"/>
          <w:sz w:val="22"/>
          <w:szCs w:val="22"/>
          <w:highlight w:val="none"/>
        </w:rPr>
        <w:t>）收费对象：中标人</w:t>
      </w:r>
    </w:p>
    <w:p w14:paraId="62A225CD">
      <w:pPr>
        <w:keepNext w:val="0"/>
        <w:keepLines w:val="0"/>
        <w:pageBreakBefore w:val="0"/>
        <w:widowControl w:val="0"/>
        <w:kinsoku/>
        <w:wordWrap/>
        <w:overflowPunct/>
        <w:topLinePunct w:val="0"/>
        <w:autoSpaceDE/>
        <w:autoSpaceDN/>
        <w:bidi w:val="0"/>
        <w:adjustRightInd/>
        <w:snapToGrid/>
        <w:spacing w:line="360" w:lineRule="auto"/>
        <w:ind w:left="536" w:leftChars="208" w:hanging="99" w:hangingChars="45"/>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）缴款内容及时间：投标人于每次中标结果公示后支付该项目的技术服务费。</w:t>
      </w:r>
    </w:p>
    <w:p w14:paraId="4D36819F">
      <w:pPr>
        <w:pStyle w:val="16"/>
        <w:rPr>
          <w:rFonts w:hint="eastAsia" w:ascii="宋体" w:hAnsi="宋体" w:eastAsia="宋体" w:cs="宋体"/>
          <w:color w:val="auto"/>
          <w:highlight w:val="none"/>
        </w:rPr>
      </w:pPr>
    </w:p>
    <w:p w14:paraId="18777400">
      <w:pPr>
        <w:tabs>
          <w:tab w:val="left" w:pos="54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bookmarkStart w:id="118" w:name="_Toc1990"/>
      <w:bookmarkStart w:id="119" w:name="_Toc222114882"/>
      <w:bookmarkStart w:id="120" w:name="_Toc245191317"/>
      <w:bookmarkStart w:id="121" w:name="_Toc249758867"/>
      <w:bookmarkStart w:id="122" w:name="_Toc221356954"/>
      <w:bookmarkStart w:id="123" w:name="_Toc245722284"/>
      <w:bookmarkStart w:id="124" w:name="_Toc221356890"/>
      <w:bookmarkStart w:id="125" w:name="_Toc246261268"/>
      <w:bookmarkStart w:id="126" w:name="_Toc223716001"/>
      <w:bookmarkStart w:id="127" w:name="_Toc239145357"/>
      <w:bookmarkStart w:id="128" w:name="_Toc221423622"/>
      <w:bookmarkStart w:id="129" w:name="_Toc262105506"/>
      <w:bookmarkStart w:id="130" w:name="_Toc241404205"/>
      <w:bookmarkStart w:id="131" w:name="_Toc249758715"/>
      <w:bookmarkStart w:id="132" w:name="_Toc262049421"/>
      <w:bookmarkStart w:id="133" w:name="_Toc221374629"/>
      <w:r>
        <w:rPr>
          <w:rStyle w:val="42"/>
          <w:rFonts w:hint="eastAsia" w:ascii="宋体" w:hAnsi="宋体" w:eastAsia="宋体" w:cs="宋体"/>
          <w:color w:val="auto"/>
          <w:sz w:val="36"/>
          <w:szCs w:val="36"/>
          <w:highlight w:val="none"/>
        </w:rPr>
        <w:t>第二部分   采购内容及要求</w:t>
      </w:r>
      <w:bookmarkEnd w:id="118"/>
      <w:bookmarkStart w:id="134" w:name="_Toc168376760"/>
      <w:bookmarkStart w:id="135" w:name="_Toc195098605"/>
      <w:bookmarkStart w:id="136" w:name="_Toc263083259"/>
      <w:bookmarkStart w:id="137" w:name="_Toc177451498"/>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09124BD0">
      <w:pPr>
        <w:pStyle w:val="5"/>
        <w:spacing w:line="360" w:lineRule="auto"/>
        <w:jc w:val="center"/>
        <w:rPr>
          <w:rFonts w:hint="eastAsia" w:ascii="宋体" w:hAnsi="宋体" w:eastAsia="宋体" w:cs="宋体"/>
          <w:color w:val="auto"/>
          <w:sz w:val="28"/>
          <w:szCs w:val="28"/>
          <w:highlight w:val="none"/>
        </w:rPr>
      </w:pPr>
      <w:bookmarkStart w:id="138" w:name="_Toc498696426"/>
      <w:bookmarkStart w:id="139" w:name="_Toc14026"/>
      <w:bookmarkStart w:id="140" w:name="_Toc5774"/>
      <w:bookmarkStart w:id="141" w:name="_Toc23272"/>
      <w:bookmarkStart w:id="142" w:name="_Toc249758870"/>
      <w:bookmarkStart w:id="143" w:name="_Toc262105509"/>
      <w:bookmarkStart w:id="144" w:name="_Toc221356892"/>
      <w:bookmarkStart w:id="145" w:name="_Toc221374631"/>
      <w:bookmarkStart w:id="146" w:name="_Toc241404207"/>
      <w:bookmarkStart w:id="147" w:name="_Toc221423624"/>
      <w:bookmarkStart w:id="148" w:name="_Toc222114884"/>
      <w:bookmarkStart w:id="149" w:name="_Toc262049424"/>
      <w:bookmarkStart w:id="150" w:name="_Toc239145359"/>
      <w:bookmarkStart w:id="151" w:name="_Toc245191319"/>
      <w:bookmarkStart w:id="152" w:name="_Toc223716003"/>
      <w:bookmarkStart w:id="153" w:name="_Toc221356956"/>
      <w:bookmarkStart w:id="154" w:name="_Toc245722286"/>
      <w:bookmarkStart w:id="155" w:name="_Toc246261270"/>
      <w:bookmarkStart w:id="156" w:name="_Toc249758719"/>
      <w:bookmarkStart w:id="157" w:name="_Toc249758718"/>
      <w:r>
        <w:rPr>
          <w:rFonts w:hint="eastAsia" w:ascii="宋体" w:hAnsi="宋体" w:eastAsia="宋体" w:cs="宋体"/>
          <w:color w:val="auto"/>
          <w:sz w:val="28"/>
          <w:szCs w:val="28"/>
          <w:highlight w:val="none"/>
        </w:rPr>
        <w:t>一、</w:t>
      </w:r>
      <w:bookmarkEnd w:id="138"/>
      <w:r>
        <w:rPr>
          <w:rFonts w:hint="eastAsia" w:ascii="宋体" w:hAnsi="宋体" w:eastAsia="宋体" w:cs="宋体"/>
          <w:color w:val="auto"/>
          <w:sz w:val="28"/>
          <w:szCs w:val="28"/>
          <w:highlight w:val="none"/>
        </w:rPr>
        <w:t>相关说明</w:t>
      </w:r>
      <w:bookmarkEnd w:id="139"/>
      <w:bookmarkEnd w:id="140"/>
    </w:p>
    <w:p w14:paraId="5110B17D">
      <w:pPr>
        <w:pageBreakBefore w:val="0"/>
        <w:kinsoku/>
        <w:wordWrap/>
        <w:topLinePunct w:val="0"/>
        <w:bidi w:val="0"/>
        <w:spacing w:line="360" w:lineRule="auto"/>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lang w:val="en-US" w:eastAsia="zh-CN"/>
        </w:rPr>
        <w:t>报价供应商</w:t>
      </w:r>
      <w:r>
        <w:rPr>
          <w:rFonts w:hint="eastAsia" w:ascii="宋体" w:hAnsi="宋体" w:eastAsia="宋体" w:cs="宋体"/>
          <w:color w:val="auto"/>
          <w:sz w:val="22"/>
          <w:szCs w:val="22"/>
          <w:highlight w:val="none"/>
        </w:rPr>
        <w:t>所投产品及主要部件的名称、品牌、型号、技术参数、性能、数量、单价、合价、制造商、质保期等应对照采购内容及技术要求列表对应进行说明，在</w:t>
      </w:r>
      <w:r>
        <w:rPr>
          <w:rFonts w:hint="eastAsia" w:ascii="宋体" w:hAnsi="宋体" w:eastAsia="宋体" w:cs="宋体"/>
          <w:color w:val="auto"/>
          <w:sz w:val="22"/>
          <w:szCs w:val="22"/>
          <w:highlight w:val="none"/>
          <w:lang w:eastAsia="zh-CN"/>
        </w:rPr>
        <w:t>报价文件</w:t>
      </w:r>
      <w:r>
        <w:rPr>
          <w:rFonts w:hint="eastAsia" w:ascii="宋体" w:hAnsi="宋体" w:eastAsia="宋体" w:cs="宋体"/>
          <w:color w:val="auto"/>
          <w:sz w:val="22"/>
          <w:szCs w:val="22"/>
          <w:highlight w:val="none"/>
        </w:rPr>
        <w:t>的相应部分明确，对采购文件的技术条款及其它要求应予以实质性响应，如有偏离须在偏离表中注明，否则会对</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的投标做出不利评定。</w:t>
      </w:r>
    </w:p>
    <w:p w14:paraId="5CAAAB43">
      <w:pPr>
        <w:pageBreakBefore w:val="0"/>
        <w:kinsoku/>
        <w:wordWrap/>
        <w:topLinePunct w:val="0"/>
        <w:bidi w:val="0"/>
        <w:spacing w:line="360" w:lineRule="auto"/>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   本项目为交钥匙工程，</w:t>
      </w:r>
      <w:r>
        <w:rPr>
          <w:rFonts w:hint="eastAsia" w:ascii="宋体" w:hAnsi="宋体" w:eastAsia="宋体" w:cs="宋体"/>
          <w:color w:val="auto"/>
          <w:sz w:val="22"/>
          <w:szCs w:val="22"/>
          <w:highlight w:val="none"/>
          <w:lang w:val="en-US" w:eastAsia="zh-CN"/>
        </w:rPr>
        <w:t>报价供应商</w:t>
      </w:r>
      <w:r>
        <w:rPr>
          <w:rFonts w:hint="eastAsia" w:ascii="宋体" w:hAnsi="宋体" w:eastAsia="宋体" w:cs="宋体"/>
          <w:color w:val="auto"/>
          <w:sz w:val="22"/>
          <w:szCs w:val="22"/>
          <w:highlight w:val="none"/>
        </w:rPr>
        <w:t>须完成货物的生产、运输、安装、整合调试，直至验收合格交付使用前的所有工作。在此过程中发生的一切费用（包括辅助材料、零部件等配套设施）均由中标人提供，各</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应对本采购文件未列出但完成本项目所必须的其他材料一一列出，并详细注明报价等情况，如未列出，则视为已包含在总价内，由</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免费提供。</w:t>
      </w:r>
    </w:p>
    <w:p w14:paraId="79308DA7">
      <w:pPr>
        <w:pageBreakBefore w:val="0"/>
        <w:kinsoku/>
        <w:wordWrap/>
        <w:topLinePunct w:val="0"/>
        <w:bidi w:val="0"/>
        <w:spacing w:line="360" w:lineRule="auto"/>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color w:val="auto"/>
          <w:sz w:val="22"/>
          <w:szCs w:val="22"/>
          <w:highlight w:val="none"/>
          <w:lang w:val="en-US" w:eastAsia="zh-CN"/>
        </w:rPr>
        <w:t>报价供应商</w:t>
      </w:r>
      <w:r>
        <w:rPr>
          <w:rFonts w:hint="eastAsia" w:ascii="宋体" w:hAnsi="宋体" w:eastAsia="宋体" w:cs="宋体"/>
          <w:color w:val="auto"/>
          <w:sz w:val="22"/>
          <w:szCs w:val="22"/>
          <w:highlight w:val="none"/>
        </w:rPr>
        <w:t>需针对本项目所提供的产品的技术性能、质量水平、具体实施方案、售后服务、培训计划等做详尽的描述。</w:t>
      </w:r>
    </w:p>
    <w:bookmarkEnd w:id="141"/>
    <w:p w14:paraId="4F64B040">
      <w:pPr>
        <w:keepNext w:val="0"/>
        <w:keepLines w:val="0"/>
        <w:pageBreakBefore w:val="0"/>
        <w:widowControl w:val="0"/>
        <w:kinsoku/>
        <w:wordWrap/>
        <w:overflowPunct/>
        <w:topLinePunct w:val="0"/>
        <w:autoSpaceDE/>
        <w:autoSpaceDN/>
        <w:bidi w:val="0"/>
        <w:adjustRightInd/>
        <w:snapToGrid/>
        <w:spacing w:line="400" w:lineRule="exact"/>
        <w:ind w:left="440" w:hanging="440" w:hangingChars="200"/>
        <w:textAlignment w:val="auto"/>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 xml:space="preserve">4. </w:t>
      </w:r>
      <w:r>
        <w:rPr>
          <w:rFonts w:hint="eastAsia" w:ascii="宋体" w:hAnsi="宋体" w:eastAsia="宋体" w:cs="宋体"/>
          <w:b/>
          <w:bCs/>
          <w:color w:val="auto"/>
          <w:sz w:val="22"/>
          <w:szCs w:val="22"/>
          <w:highlight w:val="none"/>
          <w:u w:val="single"/>
          <w:lang w:val="en-US" w:eastAsia="zh-CN"/>
        </w:rPr>
        <w:t xml:space="preserve"> ▲本项目采购预算为人民币伍拾伍万元整（¥550000.00元），投标供应商的投标报价超过采购预算的或投标综合单价超过单价最高限价的，其投标文件作无效标处理。</w:t>
      </w:r>
    </w:p>
    <w:p w14:paraId="46F848C4">
      <w:pPr>
        <w:pStyle w:val="5"/>
        <w:pageBreakBefore w:val="0"/>
        <w:numPr>
          <w:ilvl w:val="0"/>
          <w:numId w:val="29"/>
        </w:numPr>
        <w:kinsoku/>
        <w:wordWrap/>
        <w:topLinePunct w:val="0"/>
        <w:bidi w:val="0"/>
        <w:spacing w:line="360" w:lineRule="auto"/>
        <w:jc w:val="center"/>
        <w:rPr>
          <w:rFonts w:hint="eastAsia" w:ascii="宋体" w:hAnsi="宋体" w:eastAsia="宋体" w:cs="宋体"/>
          <w:color w:val="auto"/>
          <w:sz w:val="28"/>
          <w:szCs w:val="28"/>
          <w:highlight w:val="none"/>
        </w:rPr>
      </w:pPr>
      <w:bookmarkStart w:id="158" w:name="_Toc30062"/>
      <w:bookmarkStart w:id="159" w:name="_Toc21381"/>
      <w:r>
        <w:rPr>
          <w:rFonts w:hint="eastAsia" w:ascii="宋体" w:hAnsi="宋体" w:eastAsia="宋体" w:cs="宋体"/>
          <w:color w:val="auto"/>
          <w:sz w:val="28"/>
          <w:szCs w:val="28"/>
          <w:highlight w:val="none"/>
        </w:rPr>
        <w:t>采购内容及技术要求</w:t>
      </w:r>
      <w:bookmarkEnd w:id="158"/>
      <w:bookmarkEnd w:id="159"/>
    </w:p>
    <w:p w14:paraId="624190B0">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1、采购内容清单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3427"/>
        <w:gridCol w:w="1154"/>
        <w:gridCol w:w="1245"/>
        <w:gridCol w:w="2460"/>
        <w:gridCol w:w="897"/>
      </w:tblGrid>
      <w:tr w14:paraId="7CF1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1" w:type="dxa"/>
            <w:noWrap w:val="0"/>
            <w:vAlign w:val="center"/>
          </w:tcPr>
          <w:p w14:paraId="4E3248B0">
            <w:pPr>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3427" w:type="dxa"/>
            <w:noWrap w:val="0"/>
            <w:vAlign w:val="center"/>
          </w:tcPr>
          <w:p w14:paraId="2EE87130">
            <w:pPr>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商品名称</w:t>
            </w:r>
          </w:p>
        </w:tc>
        <w:tc>
          <w:tcPr>
            <w:tcW w:w="1154" w:type="dxa"/>
            <w:noWrap w:val="0"/>
            <w:vAlign w:val="center"/>
          </w:tcPr>
          <w:p w14:paraId="39C7CFA1">
            <w:pPr>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245" w:type="dxa"/>
            <w:noWrap w:val="0"/>
            <w:vAlign w:val="center"/>
          </w:tcPr>
          <w:p w14:paraId="75BC726E">
            <w:pPr>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单位</w:t>
            </w:r>
          </w:p>
        </w:tc>
        <w:tc>
          <w:tcPr>
            <w:tcW w:w="2460" w:type="dxa"/>
            <w:noWrap w:val="0"/>
            <w:vAlign w:val="center"/>
          </w:tcPr>
          <w:p w14:paraId="0DFC5DA4">
            <w:pPr>
              <w:spacing w:line="440" w:lineRule="exact"/>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单价最高限价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元</w:t>
            </w:r>
            <w:r>
              <w:rPr>
                <w:rFonts w:hint="eastAsia" w:ascii="宋体" w:hAnsi="宋体" w:eastAsia="宋体" w:cs="宋体"/>
                <w:b/>
                <w:color w:val="auto"/>
                <w:sz w:val="22"/>
                <w:szCs w:val="22"/>
                <w:highlight w:val="none"/>
                <w:lang w:eastAsia="zh-CN"/>
              </w:rPr>
              <w:t>）</w:t>
            </w:r>
          </w:p>
        </w:tc>
        <w:tc>
          <w:tcPr>
            <w:tcW w:w="897" w:type="dxa"/>
            <w:noWrap w:val="0"/>
            <w:vAlign w:val="center"/>
          </w:tcPr>
          <w:p w14:paraId="1A765806">
            <w:pPr>
              <w:spacing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514E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shd w:val="clear" w:color="auto" w:fill="auto"/>
            <w:noWrap w:val="0"/>
            <w:vAlign w:val="center"/>
          </w:tcPr>
          <w:p w14:paraId="02542A4B">
            <w:pPr>
              <w:widowControl/>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w:t>
            </w:r>
          </w:p>
        </w:tc>
        <w:tc>
          <w:tcPr>
            <w:tcW w:w="3427" w:type="dxa"/>
            <w:shd w:val="clear" w:color="auto" w:fill="auto"/>
            <w:noWrap w:val="0"/>
            <w:vAlign w:val="center"/>
          </w:tcPr>
          <w:p w14:paraId="48A26962">
            <w:pPr>
              <w:widowControl/>
              <w:spacing w:line="32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pacing w:val="-7"/>
                <w:kern w:val="0"/>
                <w:szCs w:val="21"/>
                <w:highlight w:val="none"/>
                <w:lang w:eastAsia="zh-CN"/>
              </w:rPr>
              <w:t>14座非封闭式蓄电池观光车</w:t>
            </w:r>
          </w:p>
        </w:tc>
        <w:tc>
          <w:tcPr>
            <w:tcW w:w="1154" w:type="dxa"/>
            <w:noWrap w:val="0"/>
            <w:vAlign w:val="center"/>
          </w:tcPr>
          <w:p w14:paraId="0B789547">
            <w:pPr>
              <w:widowControl/>
              <w:spacing w:line="32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245" w:type="dxa"/>
            <w:noWrap w:val="0"/>
            <w:vAlign w:val="center"/>
          </w:tcPr>
          <w:p w14:paraId="33EA6C92">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辆</w:t>
            </w:r>
          </w:p>
        </w:tc>
        <w:tc>
          <w:tcPr>
            <w:tcW w:w="2460" w:type="dxa"/>
            <w:noWrap w:val="0"/>
            <w:vAlign w:val="center"/>
          </w:tcPr>
          <w:p w14:paraId="62A03CDE">
            <w:pPr>
              <w:spacing w:line="4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58000</w:t>
            </w:r>
          </w:p>
        </w:tc>
        <w:tc>
          <w:tcPr>
            <w:tcW w:w="897" w:type="dxa"/>
            <w:noWrap w:val="0"/>
            <w:vAlign w:val="center"/>
          </w:tcPr>
          <w:p w14:paraId="69A763C1">
            <w:pPr>
              <w:spacing w:line="440" w:lineRule="exact"/>
              <w:jc w:val="center"/>
              <w:rPr>
                <w:rFonts w:hint="eastAsia" w:ascii="宋体" w:hAnsi="宋体" w:eastAsia="宋体" w:cs="宋体"/>
                <w:color w:val="auto"/>
                <w:sz w:val="22"/>
                <w:szCs w:val="22"/>
                <w:highlight w:val="none"/>
              </w:rPr>
            </w:pPr>
          </w:p>
        </w:tc>
      </w:tr>
      <w:tr w14:paraId="58EC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1" w:type="dxa"/>
            <w:shd w:val="clear" w:color="auto" w:fill="auto"/>
            <w:noWrap w:val="0"/>
            <w:vAlign w:val="center"/>
          </w:tcPr>
          <w:p w14:paraId="742534BD">
            <w:pPr>
              <w:widowControl/>
              <w:spacing w:line="32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w:t>
            </w:r>
          </w:p>
        </w:tc>
        <w:tc>
          <w:tcPr>
            <w:tcW w:w="3427" w:type="dxa"/>
            <w:shd w:val="clear" w:color="auto" w:fill="auto"/>
            <w:noWrap w:val="0"/>
            <w:vAlign w:val="center"/>
          </w:tcPr>
          <w:p w14:paraId="670E9E47">
            <w:pPr>
              <w:widowControl/>
              <w:spacing w:line="320" w:lineRule="exact"/>
              <w:jc w:val="center"/>
              <w:rPr>
                <w:rFonts w:hint="eastAsia" w:ascii="宋体" w:hAnsi="宋体" w:eastAsia="宋体" w:cs="宋体"/>
                <w:color w:val="auto"/>
                <w:kern w:val="36"/>
                <w:sz w:val="21"/>
                <w:szCs w:val="21"/>
                <w:highlight w:val="none"/>
                <w:lang w:val="en-US" w:eastAsia="zh-CN" w:bidi="ar-SA"/>
              </w:rPr>
            </w:pPr>
            <w:r>
              <w:rPr>
                <w:rFonts w:hint="eastAsia" w:ascii="宋体" w:hAnsi="宋体" w:eastAsia="宋体" w:cs="宋体"/>
                <w:color w:val="auto"/>
                <w:kern w:val="36"/>
                <w:szCs w:val="21"/>
                <w:highlight w:val="none"/>
                <w:lang w:val="en-US" w:eastAsia="zh-CN"/>
              </w:rPr>
              <w:t>6座高尔夫球车</w:t>
            </w:r>
          </w:p>
        </w:tc>
        <w:tc>
          <w:tcPr>
            <w:tcW w:w="1154" w:type="dxa"/>
            <w:noWrap w:val="0"/>
            <w:vAlign w:val="center"/>
          </w:tcPr>
          <w:p w14:paraId="713AB21B">
            <w:pPr>
              <w:widowControl/>
              <w:spacing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Cs w:val="21"/>
                <w:highlight w:val="none"/>
                <w:lang w:val="en-US" w:eastAsia="zh-CN"/>
              </w:rPr>
              <w:t>3</w:t>
            </w:r>
          </w:p>
        </w:tc>
        <w:tc>
          <w:tcPr>
            <w:tcW w:w="1245" w:type="dxa"/>
            <w:noWrap w:val="0"/>
            <w:vAlign w:val="center"/>
          </w:tcPr>
          <w:p w14:paraId="2F99AD53">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Cs w:val="21"/>
                <w:highlight w:val="none"/>
              </w:rPr>
              <w:t>辆</w:t>
            </w:r>
          </w:p>
        </w:tc>
        <w:tc>
          <w:tcPr>
            <w:tcW w:w="2460" w:type="dxa"/>
            <w:noWrap w:val="0"/>
            <w:vAlign w:val="center"/>
          </w:tcPr>
          <w:p w14:paraId="4F04BF30">
            <w:pPr>
              <w:spacing w:line="440" w:lineRule="exact"/>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48000</w:t>
            </w:r>
          </w:p>
        </w:tc>
        <w:tc>
          <w:tcPr>
            <w:tcW w:w="897" w:type="dxa"/>
            <w:noWrap w:val="0"/>
            <w:vAlign w:val="center"/>
          </w:tcPr>
          <w:p w14:paraId="6D0551D1">
            <w:pPr>
              <w:spacing w:line="440" w:lineRule="exact"/>
              <w:jc w:val="center"/>
              <w:rPr>
                <w:rFonts w:hint="eastAsia" w:ascii="宋体" w:hAnsi="宋体" w:eastAsia="宋体" w:cs="宋体"/>
                <w:color w:val="auto"/>
                <w:sz w:val="22"/>
                <w:szCs w:val="22"/>
                <w:highlight w:val="none"/>
              </w:rPr>
            </w:pPr>
          </w:p>
        </w:tc>
      </w:tr>
      <w:tr w14:paraId="2A3F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854" w:type="dxa"/>
            <w:gridSpan w:val="6"/>
            <w:shd w:val="clear" w:color="auto" w:fill="auto"/>
            <w:noWrap w:val="0"/>
            <w:vAlign w:val="center"/>
          </w:tcPr>
          <w:p w14:paraId="043B9870">
            <w:pPr>
              <w:keepNext w:val="0"/>
              <w:keepLines w:val="0"/>
              <w:pageBreakBefore w:val="0"/>
              <w:widowControl w:val="0"/>
              <w:kinsoku/>
              <w:wordWrap/>
              <w:overflowPunct/>
              <w:topLinePunct w:val="0"/>
              <w:autoSpaceDE/>
              <w:autoSpaceDN/>
              <w:bidi w:val="0"/>
              <w:adjustRightInd/>
              <w:snapToGrid/>
              <w:spacing w:line="336" w:lineRule="auto"/>
              <w:ind w:left="0" w:firstLine="0" w:firstLineChars="0"/>
              <w:textAlignment w:val="auto"/>
              <w:rPr>
                <w:rFonts w:hint="eastAsia" w:ascii="宋体" w:hAnsi="宋体" w:eastAsia="宋体" w:cs="宋体"/>
                <w:b/>
                <w:color w:val="auto"/>
                <w:sz w:val="22"/>
                <w:highlight w:val="none"/>
                <w:u w:val="single"/>
              </w:rPr>
            </w:pPr>
            <w:r>
              <w:rPr>
                <w:rFonts w:hint="eastAsia" w:ascii="宋体" w:hAnsi="宋体" w:eastAsia="宋体" w:cs="宋体"/>
                <w:b/>
                <w:bCs/>
                <w:color w:val="auto"/>
                <w:sz w:val="22"/>
                <w:szCs w:val="22"/>
                <w:highlight w:val="none"/>
                <w:u w:val="single"/>
                <w:lang w:val="en-US" w:eastAsia="zh-CN"/>
              </w:rPr>
              <w:t>▲</w:t>
            </w:r>
            <w:r>
              <w:rPr>
                <w:rFonts w:hint="eastAsia" w:ascii="宋体" w:hAnsi="宋体" w:eastAsia="宋体" w:cs="宋体"/>
                <w:b/>
                <w:color w:val="auto"/>
                <w:sz w:val="22"/>
                <w:highlight w:val="none"/>
                <w:u w:val="single"/>
                <w:lang w:val="en-US" w:eastAsia="zh-CN"/>
              </w:rPr>
              <w:t>采购人</w:t>
            </w:r>
            <w:r>
              <w:rPr>
                <w:rFonts w:hint="eastAsia" w:ascii="宋体" w:hAnsi="宋体" w:eastAsia="宋体" w:cs="宋体"/>
                <w:b/>
                <w:color w:val="auto"/>
                <w:sz w:val="22"/>
                <w:highlight w:val="none"/>
                <w:u w:val="single"/>
              </w:rPr>
              <w:t>可根据实际情况调整订单数量</w:t>
            </w:r>
            <w:r>
              <w:rPr>
                <w:rFonts w:hint="eastAsia" w:ascii="宋体" w:hAnsi="宋体" w:eastAsia="宋体" w:cs="宋体"/>
                <w:b/>
                <w:color w:val="auto"/>
                <w:sz w:val="22"/>
                <w:highlight w:val="none"/>
                <w:u w:val="single"/>
                <w:lang w:eastAsia="zh-CN"/>
              </w:rPr>
              <w:t>，</w:t>
            </w:r>
            <w:r>
              <w:rPr>
                <w:rFonts w:hint="eastAsia" w:ascii="宋体" w:hAnsi="宋体" w:eastAsia="宋体" w:cs="宋体"/>
                <w:b/>
                <w:color w:val="auto"/>
                <w:sz w:val="22"/>
                <w:highlight w:val="none"/>
                <w:u w:val="single"/>
              </w:rPr>
              <w:t>按批次</w:t>
            </w:r>
            <w:r>
              <w:rPr>
                <w:rFonts w:hint="eastAsia" w:ascii="宋体" w:hAnsi="宋体" w:eastAsia="宋体" w:cs="宋体"/>
                <w:b/>
                <w:color w:val="auto"/>
                <w:sz w:val="22"/>
                <w:highlight w:val="none"/>
                <w:u w:val="single"/>
                <w:lang w:val="en-US" w:eastAsia="zh-CN"/>
              </w:rPr>
              <w:t>要求</w:t>
            </w:r>
            <w:r>
              <w:rPr>
                <w:rFonts w:hint="eastAsia" w:ascii="宋体" w:hAnsi="宋体" w:eastAsia="宋体" w:cs="宋体"/>
                <w:b/>
                <w:color w:val="auto"/>
                <w:sz w:val="22"/>
                <w:highlight w:val="none"/>
                <w:u w:val="single"/>
              </w:rPr>
              <w:t>交货，</w:t>
            </w:r>
            <w:r>
              <w:rPr>
                <w:rFonts w:hint="eastAsia" w:ascii="宋体" w:hAnsi="宋体" w:eastAsia="宋体" w:cs="宋体"/>
                <w:b/>
                <w:color w:val="auto"/>
                <w:sz w:val="22"/>
                <w:highlight w:val="none"/>
                <w:u w:val="single"/>
                <w:lang w:val="zh-CN" w:eastAsia="zh-CN"/>
              </w:rPr>
              <w:t>本项目</w:t>
            </w:r>
            <w:r>
              <w:rPr>
                <w:rFonts w:hint="eastAsia" w:ascii="宋体" w:hAnsi="宋体" w:eastAsia="宋体" w:cs="宋体"/>
                <w:b/>
                <w:color w:val="auto"/>
                <w:sz w:val="22"/>
                <w:highlight w:val="none"/>
                <w:u w:val="single"/>
                <w:lang w:val="en-US" w:eastAsia="zh-CN"/>
              </w:rPr>
              <w:t>货物均以投标综合单价作为</w:t>
            </w:r>
            <w:r>
              <w:rPr>
                <w:rFonts w:hint="eastAsia" w:ascii="宋体" w:hAnsi="宋体" w:eastAsia="宋体" w:cs="宋体"/>
                <w:b/>
                <w:color w:val="auto"/>
                <w:sz w:val="22"/>
                <w:highlight w:val="none"/>
                <w:u w:val="single"/>
                <w:lang w:val="zh-CN" w:eastAsia="zh-CN"/>
              </w:rPr>
              <w:t>合同签署及最终结算依据；最终合同结算款</w:t>
            </w:r>
            <w:r>
              <w:rPr>
                <w:rFonts w:hint="eastAsia" w:ascii="宋体" w:hAnsi="宋体" w:eastAsia="宋体" w:cs="宋体"/>
                <w:b/>
                <w:color w:val="auto"/>
                <w:sz w:val="22"/>
                <w:highlight w:val="none"/>
                <w:u w:val="single"/>
                <w:lang w:val="en-US" w:eastAsia="zh-CN"/>
              </w:rPr>
              <w:t>=实际采购数量*投标综合单价</w:t>
            </w:r>
            <w:r>
              <w:rPr>
                <w:rFonts w:hint="eastAsia" w:ascii="宋体" w:hAnsi="宋体" w:eastAsia="宋体" w:cs="宋体"/>
                <w:b/>
                <w:color w:val="auto"/>
                <w:sz w:val="22"/>
                <w:highlight w:val="none"/>
                <w:u w:val="single"/>
                <w:lang w:val="zh-CN" w:eastAsia="zh-CN"/>
              </w:rPr>
              <w:t>。</w:t>
            </w:r>
          </w:p>
        </w:tc>
      </w:tr>
    </w:tbl>
    <w:p w14:paraId="429738EB">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2、技术参数(主要参数)及要求</w:t>
      </w:r>
    </w:p>
    <w:p w14:paraId="626C912B">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lang w:eastAsia="zh-CN"/>
        </w:rPr>
        <w:t>14座非封闭式蓄电池观光车</w:t>
      </w:r>
      <w:r>
        <w:rPr>
          <w:rFonts w:hint="eastAsia" w:ascii="宋体" w:hAnsi="宋体" w:eastAsia="宋体" w:cs="宋体"/>
          <w:b/>
          <w:bCs/>
          <w:color w:val="auto"/>
          <w:sz w:val="22"/>
          <w:szCs w:val="22"/>
          <w:highlight w:val="none"/>
        </w:rPr>
        <w:t>技术参数</w:t>
      </w:r>
    </w:p>
    <w:tbl>
      <w:tblPr>
        <w:tblStyle w:val="34"/>
        <w:tblW w:w="9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701"/>
        <w:gridCol w:w="6104"/>
      </w:tblGrid>
      <w:tr w14:paraId="6A814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31F0B4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701" w:type="dxa"/>
            <w:noWrap/>
            <w:vAlign w:val="center"/>
          </w:tcPr>
          <w:p w14:paraId="56F2A0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6104" w:type="dxa"/>
            <w:noWrap/>
            <w:vAlign w:val="center"/>
          </w:tcPr>
          <w:p w14:paraId="3FB639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技术及配置要求</w:t>
            </w:r>
          </w:p>
        </w:tc>
      </w:tr>
      <w:tr w14:paraId="32B31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25BFA3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01" w:type="dxa"/>
            <w:noWrap/>
            <w:vAlign w:val="center"/>
          </w:tcPr>
          <w:p w14:paraId="2DFFFA3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kern w:val="0"/>
                <w:sz w:val="21"/>
                <w:szCs w:val="21"/>
                <w:highlight w:val="none"/>
                <w:u w:val="single"/>
              </w:rPr>
              <w:t>额定载客量（包括司机）</w:t>
            </w:r>
          </w:p>
        </w:tc>
        <w:tc>
          <w:tcPr>
            <w:tcW w:w="6104" w:type="dxa"/>
            <w:noWrap/>
            <w:vAlign w:val="center"/>
          </w:tcPr>
          <w:p w14:paraId="24B1596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rPr>
              <w:t>14人</w:t>
            </w:r>
            <w:r>
              <w:rPr>
                <w:rFonts w:hint="eastAsia" w:ascii="宋体" w:hAnsi="宋体" w:eastAsia="宋体" w:cs="宋体"/>
                <w:b/>
                <w:bCs/>
                <w:color w:val="auto"/>
                <w:kern w:val="0"/>
                <w:sz w:val="21"/>
                <w:szCs w:val="21"/>
                <w:highlight w:val="none"/>
                <w:u w:val="single"/>
                <w:lang w:val="en-US" w:eastAsia="zh-CN"/>
              </w:rPr>
              <w:t xml:space="preserve">   </w:t>
            </w:r>
          </w:p>
        </w:tc>
      </w:tr>
      <w:tr w14:paraId="2717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04B85C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701" w:type="dxa"/>
            <w:noWrap/>
            <w:vAlign w:val="center"/>
          </w:tcPr>
          <w:p w14:paraId="02B5EE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车身尺寸（长×宽×高</w:t>
            </w:r>
          </w:p>
        </w:tc>
        <w:tc>
          <w:tcPr>
            <w:tcW w:w="6104" w:type="dxa"/>
            <w:noWrap/>
            <w:vAlign w:val="center"/>
          </w:tcPr>
          <w:p w14:paraId="5C97D8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5000×1500×2050</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mm，不包括后视镜）</w:t>
            </w:r>
          </w:p>
        </w:tc>
      </w:tr>
      <w:tr w14:paraId="2C177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264A336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701" w:type="dxa"/>
            <w:noWrap/>
            <w:vAlign w:val="center"/>
          </w:tcPr>
          <w:p w14:paraId="645348F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轴距</w:t>
            </w:r>
          </w:p>
        </w:tc>
        <w:tc>
          <w:tcPr>
            <w:tcW w:w="6104" w:type="dxa"/>
            <w:noWrap/>
            <w:vAlign w:val="center"/>
          </w:tcPr>
          <w:p w14:paraId="585929D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≥2650mm</w:t>
            </w:r>
          </w:p>
        </w:tc>
      </w:tr>
      <w:tr w14:paraId="0C617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05FFFC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701" w:type="dxa"/>
            <w:noWrap/>
            <w:vAlign w:val="center"/>
          </w:tcPr>
          <w:p w14:paraId="11C2988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最小转弯半径</w:t>
            </w:r>
          </w:p>
        </w:tc>
        <w:tc>
          <w:tcPr>
            <w:tcW w:w="6104" w:type="dxa"/>
            <w:noWrap/>
            <w:vAlign w:val="center"/>
          </w:tcPr>
          <w:p w14:paraId="0A5AD3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6.5</w:t>
            </w:r>
            <w:r>
              <w:rPr>
                <w:rFonts w:hint="eastAsia" w:ascii="宋体" w:hAnsi="宋体" w:eastAsia="宋体" w:cs="宋体"/>
                <w:color w:val="auto"/>
                <w:kern w:val="0"/>
                <w:sz w:val="21"/>
                <w:szCs w:val="21"/>
                <w:highlight w:val="none"/>
              </w:rPr>
              <w:t>m</w:t>
            </w:r>
          </w:p>
        </w:tc>
      </w:tr>
      <w:tr w14:paraId="4CCC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2AAB08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701" w:type="dxa"/>
            <w:noWrap/>
            <w:vAlign w:val="center"/>
          </w:tcPr>
          <w:p w14:paraId="63C78A4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最小离地间隙（满载）</w:t>
            </w:r>
          </w:p>
        </w:tc>
        <w:tc>
          <w:tcPr>
            <w:tcW w:w="6104" w:type="dxa"/>
            <w:noWrap/>
            <w:vAlign w:val="center"/>
          </w:tcPr>
          <w:p w14:paraId="42751F9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0mm</w:t>
            </w:r>
          </w:p>
        </w:tc>
      </w:tr>
      <w:tr w14:paraId="644D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620540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701" w:type="dxa"/>
            <w:noWrap/>
            <w:vAlign w:val="center"/>
          </w:tcPr>
          <w:p w14:paraId="3DB8A4C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最大爬坡度</w:t>
            </w:r>
          </w:p>
        </w:tc>
        <w:tc>
          <w:tcPr>
            <w:tcW w:w="6104" w:type="dxa"/>
            <w:noWrap/>
            <w:vAlign w:val="center"/>
          </w:tcPr>
          <w:p w14:paraId="77D50BD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r>
      <w:tr w14:paraId="02A62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2AD87D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701" w:type="dxa"/>
            <w:noWrap/>
            <w:vAlign w:val="center"/>
          </w:tcPr>
          <w:p w14:paraId="7EA999E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最大运行速度</w:t>
            </w:r>
          </w:p>
        </w:tc>
        <w:tc>
          <w:tcPr>
            <w:tcW w:w="6104" w:type="dxa"/>
            <w:noWrap/>
            <w:vAlign w:val="center"/>
          </w:tcPr>
          <w:p w14:paraId="0B515F7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28-30km/h</w:t>
            </w:r>
          </w:p>
        </w:tc>
      </w:tr>
      <w:tr w14:paraId="2B073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293A96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701" w:type="dxa"/>
            <w:noWrap/>
            <w:vAlign w:val="center"/>
          </w:tcPr>
          <w:p w14:paraId="5357AC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制动距离</w:t>
            </w:r>
          </w:p>
        </w:tc>
        <w:tc>
          <w:tcPr>
            <w:tcW w:w="6104" w:type="dxa"/>
            <w:noWrap/>
            <w:vAlign w:val="center"/>
          </w:tcPr>
          <w:p w14:paraId="0E59FE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m</w:t>
            </w:r>
          </w:p>
        </w:tc>
      </w:tr>
      <w:tr w14:paraId="6C3D9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404910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701" w:type="dxa"/>
            <w:shd w:val="clear" w:color="auto" w:fill="auto"/>
            <w:noWrap/>
            <w:vAlign w:val="center"/>
          </w:tcPr>
          <w:p w14:paraId="6C20A14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电机、电机功率</w:t>
            </w:r>
          </w:p>
        </w:tc>
        <w:tc>
          <w:tcPr>
            <w:tcW w:w="6104" w:type="dxa"/>
            <w:shd w:val="clear" w:color="auto" w:fill="auto"/>
            <w:noWrap/>
            <w:vAlign w:val="center"/>
          </w:tcPr>
          <w:p w14:paraId="7F7C542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采用交流电机，</w:t>
            </w:r>
            <w:r>
              <w:rPr>
                <w:rFonts w:hint="eastAsia" w:ascii="宋体" w:hAnsi="宋体" w:eastAsia="宋体" w:cs="宋体"/>
                <w:b/>
                <w:bCs/>
                <w:color w:val="auto"/>
                <w:kern w:val="0"/>
                <w:sz w:val="21"/>
                <w:szCs w:val="21"/>
                <w:highlight w:val="none"/>
              </w:rPr>
              <w:t>72V，功率</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7.5</w:t>
            </w:r>
            <w:r>
              <w:rPr>
                <w:rFonts w:hint="eastAsia" w:ascii="宋体" w:hAnsi="宋体" w:eastAsia="宋体" w:cs="宋体"/>
                <w:b/>
                <w:bCs/>
                <w:color w:val="auto"/>
                <w:kern w:val="0"/>
                <w:sz w:val="21"/>
                <w:szCs w:val="21"/>
                <w:highlight w:val="none"/>
              </w:rPr>
              <w:t>kw</w:t>
            </w:r>
            <w:r>
              <w:rPr>
                <w:rFonts w:hint="eastAsia" w:ascii="宋体" w:hAnsi="宋体" w:eastAsia="宋体" w:cs="宋体"/>
                <w:color w:val="auto"/>
                <w:kern w:val="0"/>
                <w:sz w:val="21"/>
                <w:szCs w:val="21"/>
                <w:highlight w:val="none"/>
              </w:rPr>
              <w:t>，电机运行含温度监控功能，可防止车辆因违规过载使用，导致电机短路。</w:t>
            </w:r>
          </w:p>
        </w:tc>
      </w:tr>
      <w:tr w14:paraId="454F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noWrap/>
            <w:vAlign w:val="center"/>
          </w:tcPr>
          <w:p w14:paraId="4ED0D5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701" w:type="dxa"/>
            <w:noWrap/>
            <w:vAlign w:val="center"/>
          </w:tcPr>
          <w:p w14:paraId="57784C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续驶里程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平路</w:t>
            </w:r>
            <w:r>
              <w:rPr>
                <w:rFonts w:hint="eastAsia" w:ascii="宋体" w:hAnsi="宋体" w:eastAsia="宋体" w:cs="宋体"/>
                <w:color w:val="auto"/>
                <w:kern w:val="0"/>
                <w:sz w:val="21"/>
                <w:szCs w:val="21"/>
                <w:highlight w:val="none"/>
                <w:lang w:eastAsia="zh-CN"/>
              </w:rPr>
              <w:t>）</w:t>
            </w:r>
          </w:p>
        </w:tc>
        <w:tc>
          <w:tcPr>
            <w:tcW w:w="6104" w:type="dxa"/>
            <w:noWrap/>
            <w:vAlign w:val="center"/>
          </w:tcPr>
          <w:p w14:paraId="41D2C6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≥100KM</w:t>
            </w:r>
          </w:p>
        </w:tc>
      </w:tr>
      <w:tr w14:paraId="02358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3A45D4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701" w:type="dxa"/>
            <w:noWrap/>
            <w:vAlign w:val="center"/>
          </w:tcPr>
          <w:p w14:paraId="75ABC7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整车重量（含电池）</w:t>
            </w:r>
          </w:p>
        </w:tc>
        <w:tc>
          <w:tcPr>
            <w:tcW w:w="6104" w:type="dxa"/>
            <w:noWrap/>
            <w:vAlign w:val="center"/>
          </w:tcPr>
          <w:p w14:paraId="113A40C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1250kg（±10%）</w:t>
            </w:r>
          </w:p>
        </w:tc>
      </w:tr>
      <w:tr w14:paraId="6E2C0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242C11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c>
          <w:tcPr>
            <w:tcW w:w="2701" w:type="dxa"/>
            <w:noWrap/>
            <w:vAlign w:val="center"/>
          </w:tcPr>
          <w:p w14:paraId="277DBF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车身材质</w:t>
            </w:r>
          </w:p>
        </w:tc>
        <w:tc>
          <w:tcPr>
            <w:tcW w:w="6104" w:type="dxa"/>
            <w:noWrap/>
            <w:vAlign w:val="center"/>
          </w:tcPr>
          <w:p w14:paraId="187F9A4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带顶棚，敞开式十四座观光车款；铝型材顶棚立柱</w:t>
            </w:r>
            <w:r>
              <w:rPr>
                <w:rFonts w:hint="eastAsia" w:ascii="宋体" w:hAnsi="宋体" w:eastAsia="宋体" w:cs="宋体"/>
                <w:color w:val="auto"/>
                <w:sz w:val="21"/>
                <w:szCs w:val="21"/>
                <w:highlight w:val="none"/>
                <w:lang w:eastAsia="zh-CN"/>
              </w:rPr>
              <w:t>或钣金一体式车身。</w:t>
            </w:r>
            <w:r>
              <w:rPr>
                <w:rFonts w:hint="eastAsia" w:ascii="宋体" w:hAnsi="宋体" w:eastAsia="宋体" w:cs="宋体"/>
                <w:color w:val="auto"/>
                <w:sz w:val="21"/>
                <w:szCs w:val="21"/>
                <w:highlight w:val="none"/>
              </w:rPr>
              <w:t>钣金件</w:t>
            </w:r>
            <w:r>
              <w:rPr>
                <w:rFonts w:hint="eastAsia" w:ascii="宋体" w:hAnsi="宋体" w:eastAsia="宋体" w:cs="宋体"/>
                <w:color w:val="auto"/>
                <w:sz w:val="21"/>
                <w:szCs w:val="21"/>
                <w:highlight w:val="none"/>
                <w:lang w:eastAsia="zh-CN"/>
              </w:rPr>
              <w:t>、汽车专用</w:t>
            </w:r>
            <w:r>
              <w:rPr>
                <w:rFonts w:hint="eastAsia" w:ascii="宋体" w:hAnsi="宋体" w:eastAsia="宋体" w:cs="宋体"/>
                <w:color w:val="auto"/>
                <w:sz w:val="21"/>
                <w:szCs w:val="21"/>
                <w:highlight w:val="none"/>
                <w:lang w:val="en-US" w:eastAsia="zh-CN"/>
              </w:rPr>
              <w:t>PP料车身或钢骨架及高强度玻璃钢覆盖车身，钣金</w:t>
            </w:r>
            <w:r>
              <w:rPr>
                <w:rFonts w:hint="eastAsia" w:ascii="宋体" w:hAnsi="宋体" w:eastAsia="宋体" w:cs="宋体"/>
                <w:color w:val="auto"/>
                <w:sz w:val="21"/>
                <w:szCs w:val="21"/>
                <w:highlight w:val="none"/>
              </w:rPr>
              <w:t>制造的车身外壳做电泳防锈防腐烤漆处理</w:t>
            </w:r>
            <w:r>
              <w:rPr>
                <w:rFonts w:hint="eastAsia" w:ascii="宋体" w:hAnsi="宋体" w:eastAsia="宋体" w:cs="宋体"/>
                <w:color w:val="auto"/>
                <w:sz w:val="21"/>
                <w:szCs w:val="21"/>
                <w:highlight w:val="none"/>
                <w:lang w:eastAsia="zh-CN"/>
              </w:rPr>
              <w:t>；注塑、</w:t>
            </w:r>
            <w:r>
              <w:rPr>
                <w:rFonts w:hint="eastAsia" w:ascii="宋体" w:hAnsi="宋体" w:eastAsia="宋体" w:cs="宋体"/>
                <w:color w:val="auto"/>
                <w:sz w:val="21"/>
                <w:szCs w:val="21"/>
                <w:highlight w:val="none"/>
              </w:rPr>
              <w:t>玻璃钢</w:t>
            </w:r>
            <w:r>
              <w:rPr>
                <w:rFonts w:hint="eastAsia" w:ascii="宋体" w:hAnsi="宋体" w:eastAsia="宋体" w:cs="宋体"/>
                <w:color w:val="auto"/>
                <w:sz w:val="21"/>
                <w:szCs w:val="21"/>
                <w:highlight w:val="none"/>
                <w:lang w:eastAsia="zh-CN"/>
              </w:rPr>
              <w:t>或钣金</w:t>
            </w:r>
            <w:r>
              <w:rPr>
                <w:rFonts w:hint="eastAsia" w:ascii="宋体" w:hAnsi="宋体" w:eastAsia="宋体" w:cs="宋体"/>
                <w:color w:val="auto"/>
                <w:sz w:val="21"/>
                <w:szCs w:val="21"/>
                <w:highlight w:val="none"/>
              </w:rPr>
              <w:t>顶棚</w:t>
            </w:r>
            <w:r>
              <w:rPr>
                <w:rFonts w:hint="eastAsia" w:ascii="宋体" w:hAnsi="宋体" w:eastAsia="宋体" w:cs="宋体"/>
                <w:color w:val="auto"/>
                <w:sz w:val="21"/>
                <w:szCs w:val="21"/>
                <w:highlight w:val="none"/>
                <w:lang w:eastAsia="zh-CN"/>
              </w:rPr>
              <w:t>。</w:t>
            </w:r>
          </w:p>
        </w:tc>
      </w:tr>
      <w:tr w14:paraId="3D596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61B88B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2701" w:type="dxa"/>
            <w:noWrap/>
            <w:vAlign w:val="center"/>
          </w:tcPr>
          <w:p w14:paraId="26B7D1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车架底盘</w:t>
            </w:r>
          </w:p>
        </w:tc>
        <w:tc>
          <w:tcPr>
            <w:tcW w:w="6104" w:type="dxa"/>
            <w:noWrap/>
            <w:vAlign w:val="center"/>
          </w:tcPr>
          <w:p w14:paraId="74C21A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高强度钢材焊接成型的车架底盘，并做电泳防锈防腐烤漆处理</w:t>
            </w:r>
            <w:r>
              <w:rPr>
                <w:rFonts w:hint="eastAsia" w:ascii="宋体" w:hAnsi="宋体" w:eastAsia="宋体" w:cs="宋体"/>
                <w:b/>
                <w:bCs/>
                <w:color w:val="auto"/>
                <w:sz w:val="21"/>
                <w:szCs w:val="21"/>
                <w:highlight w:val="none"/>
              </w:rPr>
              <w:t>。</w:t>
            </w:r>
          </w:p>
        </w:tc>
      </w:tr>
      <w:tr w14:paraId="7C54B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1E43F5FB">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2701" w:type="dxa"/>
            <w:noWrap/>
            <w:vAlign w:val="center"/>
          </w:tcPr>
          <w:p w14:paraId="4866D2C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控制器</w:t>
            </w:r>
          </w:p>
        </w:tc>
        <w:tc>
          <w:tcPr>
            <w:tcW w:w="6104" w:type="dxa"/>
            <w:noWrap/>
            <w:vAlign w:val="center"/>
          </w:tcPr>
          <w:p w14:paraId="720815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采用智能控制器，具有防电磁干扰、防飞车、启动延时、倒车减速等</w:t>
            </w:r>
            <w:r>
              <w:rPr>
                <w:rFonts w:hint="eastAsia" w:ascii="宋体" w:hAnsi="宋体" w:eastAsia="宋体" w:cs="宋体"/>
                <w:b/>
                <w:color w:val="auto"/>
                <w:kern w:val="0"/>
                <w:sz w:val="21"/>
                <w:szCs w:val="21"/>
                <w:highlight w:val="none"/>
              </w:rPr>
              <w:t>安全运行系统</w:t>
            </w:r>
            <w:r>
              <w:rPr>
                <w:rFonts w:hint="eastAsia" w:ascii="宋体" w:hAnsi="宋体" w:eastAsia="宋体" w:cs="宋体"/>
                <w:bCs/>
                <w:color w:val="auto"/>
                <w:kern w:val="0"/>
                <w:sz w:val="21"/>
                <w:szCs w:val="21"/>
                <w:highlight w:val="none"/>
              </w:rPr>
              <w:t>功能，并实现对车辆速度的有效控制</w:t>
            </w:r>
            <w:r>
              <w:rPr>
                <w:rFonts w:hint="eastAsia" w:ascii="宋体" w:hAnsi="宋体" w:eastAsia="宋体" w:cs="宋体"/>
                <w:color w:val="auto"/>
                <w:kern w:val="0"/>
                <w:sz w:val="21"/>
                <w:szCs w:val="21"/>
                <w:highlight w:val="none"/>
              </w:rPr>
              <w:t>，通过控制器及系统可有效控制车辆速度，电机控制器防护等级不小于IP67。</w:t>
            </w:r>
          </w:p>
        </w:tc>
      </w:tr>
      <w:tr w14:paraId="68968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7469E50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2701" w:type="dxa"/>
            <w:noWrap/>
            <w:vAlign w:val="center"/>
          </w:tcPr>
          <w:p w14:paraId="46C7973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电池</w:t>
            </w:r>
          </w:p>
        </w:tc>
        <w:tc>
          <w:tcPr>
            <w:tcW w:w="6104" w:type="dxa"/>
            <w:noWrap/>
            <w:vAlign w:val="center"/>
          </w:tcPr>
          <w:p w14:paraId="10ECB83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铅酸免维护电池</w:t>
            </w:r>
            <w:r>
              <w:rPr>
                <w:rFonts w:hint="eastAsia" w:ascii="宋体" w:hAnsi="宋体" w:eastAsia="宋体" w:cs="宋体"/>
                <w:color w:val="auto"/>
                <w:kern w:val="0"/>
                <w:sz w:val="21"/>
                <w:szCs w:val="21"/>
                <w:highlight w:val="none"/>
              </w:rPr>
              <w:t xml:space="preserve">容量≥72V </w:t>
            </w:r>
            <w:r>
              <w:rPr>
                <w:rFonts w:hint="eastAsia" w:ascii="宋体" w:hAnsi="宋体" w:eastAsia="宋体" w:cs="宋体"/>
                <w:color w:val="auto"/>
                <w:kern w:val="0"/>
                <w:sz w:val="21"/>
                <w:szCs w:val="21"/>
                <w:highlight w:val="none"/>
                <w:lang w:val="en-US" w:eastAsia="zh-CN"/>
              </w:rPr>
              <w:t>225</w:t>
            </w:r>
            <w:r>
              <w:rPr>
                <w:rFonts w:hint="eastAsia" w:ascii="宋体" w:hAnsi="宋体" w:eastAsia="宋体" w:cs="宋体"/>
                <w:color w:val="auto"/>
                <w:kern w:val="0"/>
                <w:sz w:val="21"/>
                <w:szCs w:val="21"/>
                <w:highlight w:val="none"/>
              </w:rPr>
              <w:t>AH。</w:t>
            </w:r>
            <w:r>
              <w:rPr>
                <w:rFonts w:hint="eastAsia" w:ascii="宋体" w:hAnsi="宋体" w:eastAsia="宋体" w:cs="宋体"/>
                <w:color w:val="auto"/>
                <w:sz w:val="21"/>
                <w:szCs w:val="21"/>
                <w:highlight w:val="none"/>
              </w:rPr>
              <w:t>具有电池智能损耗检测及警报系统功能</w:t>
            </w:r>
            <w:r>
              <w:rPr>
                <w:rStyle w:val="136"/>
                <w:rFonts w:hint="eastAsia" w:ascii="宋体" w:hAnsi="宋体" w:eastAsia="宋体" w:cs="宋体"/>
                <w:color w:val="auto"/>
                <w:sz w:val="21"/>
                <w:szCs w:val="21"/>
                <w:highlight w:val="none"/>
              </w:rPr>
              <w:t>。</w:t>
            </w:r>
          </w:p>
        </w:tc>
      </w:tr>
      <w:tr w14:paraId="5C6DF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5F78DA67">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2701" w:type="dxa"/>
            <w:noWrap/>
            <w:vAlign w:val="center"/>
          </w:tcPr>
          <w:p w14:paraId="5D47063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制动系统</w:t>
            </w:r>
          </w:p>
        </w:tc>
        <w:tc>
          <w:tcPr>
            <w:tcW w:w="6104" w:type="dxa"/>
            <w:noWrap/>
            <w:vAlign w:val="center"/>
          </w:tcPr>
          <w:p w14:paraId="7CA86E3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四轮液压鼓式制动系统+真空助力刹车，独立的驻车制动，保证车辆的运行的节能性和安全性。</w:t>
            </w:r>
          </w:p>
        </w:tc>
      </w:tr>
      <w:tr w14:paraId="6DC22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18EF3212">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2701" w:type="dxa"/>
            <w:noWrap/>
            <w:vAlign w:val="center"/>
          </w:tcPr>
          <w:p w14:paraId="3E06408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转向系统</w:t>
            </w:r>
          </w:p>
        </w:tc>
        <w:tc>
          <w:tcPr>
            <w:tcW w:w="6104" w:type="dxa"/>
            <w:noWrap/>
            <w:vAlign w:val="center"/>
          </w:tcPr>
          <w:p w14:paraId="14DE54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采用双向齿轮齿条转向系统+电动助力转向功能，转向灵活可靠，操作轻便</w:t>
            </w:r>
            <w:r>
              <w:rPr>
                <w:rFonts w:hint="eastAsia" w:ascii="宋体" w:hAnsi="宋体" w:eastAsia="宋体" w:cs="宋体"/>
                <w:b/>
                <w:bCs/>
                <w:color w:val="auto"/>
                <w:sz w:val="21"/>
                <w:szCs w:val="21"/>
                <w:highlight w:val="none"/>
              </w:rPr>
              <w:t>。</w:t>
            </w:r>
          </w:p>
        </w:tc>
      </w:tr>
      <w:tr w14:paraId="47E2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7E3469FC">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c>
          <w:tcPr>
            <w:tcW w:w="2701" w:type="dxa"/>
            <w:noWrap/>
            <w:vAlign w:val="center"/>
          </w:tcPr>
          <w:p w14:paraId="71F68D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悬挂系统</w:t>
            </w:r>
          </w:p>
        </w:tc>
        <w:tc>
          <w:tcPr>
            <w:tcW w:w="6104" w:type="dxa"/>
            <w:noWrap/>
            <w:vAlign w:val="center"/>
          </w:tcPr>
          <w:p w14:paraId="4F9D8E6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采用麦弗逊式独立前悬挂减震器，纵置钢板弹簧式后悬挂系统，同时保障减震效果的舒适性和承载能力</w:t>
            </w:r>
            <w:r>
              <w:rPr>
                <w:rFonts w:hint="eastAsia" w:ascii="宋体" w:hAnsi="宋体" w:eastAsia="宋体" w:cs="宋体"/>
                <w:b/>
                <w:bCs/>
                <w:color w:val="auto"/>
                <w:sz w:val="21"/>
                <w:szCs w:val="21"/>
                <w:highlight w:val="none"/>
              </w:rPr>
              <w:t>。</w:t>
            </w:r>
          </w:p>
        </w:tc>
      </w:tr>
      <w:tr w14:paraId="321B9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790E6C02">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p>
        </w:tc>
        <w:tc>
          <w:tcPr>
            <w:tcW w:w="2701" w:type="dxa"/>
            <w:noWrap/>
            <w:vAlign w:val="center"/>
          </w:tcPr>
          <w:p w14:paraId="43DCE7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仪表台</w:t>
            </w:r>
          </w:p>
        </w:tc>
        <w:tc>
          <w:tcPr>
            <w:tcW w:w="6104" w:type="dxa"/>
            <w:noWrap/>
            <w:vAlign w:val="center"/>
          </w:tcPr>
          <w:p w14:paraId="1A67E7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w:t>
            </w:r>
            <w:r>
              <w:rPr>
                <w:rFonts w:hint="eastAsia" w:ascii="宋体" w:hAnsi="宋体" w:eastAsia="宋体" w:cs="宋体"/>
                <w:b/>
                <w:bCs/>
                <w:color w:val="auto"/>
                <w:kern w:val="0"/>
                <w:sz w:val="21"/>
                <w:szCs w:val="21"/>
                <w:highlight w:val="none"/>
              </w:rPr>
              <w:t>阻燃塑料材质</w:t>
            </w:r>
            <w:r>
              <w:rPr>
                <w:rFonts w:hint="eastAsia" w:ascii="宋体" w:hAnsi="宋体" w:eastAsia="宋体" w:cs="宋体"/>
                <w:color w:val="auto"/>
                <w:kern w:val="0"/>
                <w:sz w:val="21"/>
                <w:szCs w:val="21"/>
                <w:highlight w:val="none"/>
              </w:rPr>
              <w:t>仪表台，配置</w:t>
            </w:r>
            <w:r>
              <w:rPr>
                <w:rFonts w:hint="eastAsia" w:ascii="宋体" w:hAnsi="宋体" w:eastAsia="宋体" w:cs="宋体"/>
                <w:color w:val="auto"/>
                <w:kern w:val="0"/>
                <w:sz w:val="21"/>
                <w:szCs w:val="21"/>
                <w:highlight w:val="none"/>
                <w:lang w:val="en-US" w:eastAsia="zh-CN"/>
              </w:rPr>
              <w:t>车辆</w:t>
            </w:r>
            <w:r>
              <w:rPr>
                <w:rFonts w:hint="eastAsia" w:ascii="宋体" w:hAnsi="宋体" w:eastAsia="宋体" w:cs="宋体"/>
                <w:color w:val="auto"/>
                <w:kern w:val="0"/>
                <w:sz w:val="21"/>
                <w:szCs w:val="21"/>
                <w:highlight w:val="none"/>
              </w:rPr>
              <w:t>倒车影像，组合仪表、仪表指示灯、组合开关、电量指示仪、转向指示、转向蜂鸣等功能；有收放机，USB接口等配置</w:t>
            </w:r>
            <w:r>
              <w:rPr>
                <w:rFonts w:hint="eastAsia" w:ascii="宋体" w:hAnsi="宋体" w:eastAsia="宋体" w:cs="宋体"/>
                <w:b/>
                <w:bCs/>
                <w:color w:val="auto"/>
                <w:kern w:val="0"/>
                <w:sz w:val="21"/>
                <w:szCs w:val="21"/>
                <w:highlight w:val="none"/>
              </w:rPr>
              <w:t>。</w:t>
            </w:r>
          </w:p>
        </w:tc>
      </w:tr>
      <w:tr w14:paraId="1D3A7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6323DC33">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2701" w:type="dxa"/>
            <w:noWrap/>
            <w:vAlign w:val="center"/>
          </w:tcPr>
          <w:p w14:paraId="3621A65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充电器</w:t>
            </w:r>
          </w:p>
        </w:tc>
        <w:tc>
          <w:tcPr>
            <w:tcW w:w="6104" w:type="dxa"/>
            <w:noWrap/>
            <w:vAlign w:val="center"/>
          </w:tcPr>
          <w:p w14:paraId="53D1ECA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原厂高频脉冲全自动</w:t>
            </w:r>
            <w:r>
              <w:rPr>
                <w:rFonts w:hint="eastAsia" w:ascii="宋体" w:hAnsi="宋体" w:eastAsia="宋体" w:cs="宋体"/>
                <w:color w:val="auto"/>
                <w:kern w:val="0"/>
                <w:sz w:val="21"/>
                <w:szCs w:val="21"/>
                <w:highlight w:val="none"/>
                <w:lang w:eastAsia="zh-CN"/>
              </w:rPr>
              <w:t>车载</w:t>
            </w:r>
            <w:r>
              <w:rPr>
                <w:rFonts w:hint="eastAsia" w:ascii="宋体" w:hAnsi="宋体" w:eastAsia="宋体" w:cs="宋体"/>
                <w:color w:val="auto"/>
                <w:kern w:val="0"/>
                <w:sz w:val="21"/>
                <w:szCs w:val="21"/>
                <w:highlight w:val="none"/>
              </w:rPr>
              <w:t>智能化充电器，具有电源过充过载智能保护系统功能</w:t>
            </w:r>
            <w:r>
              <w:rPr>
                <w:rFonts w:hint="eastAsia" w:ascii="宋体" w:hAnsi="宋体" w:eastAsia="宋体" w:cs="宋体"/>
                <w:b/>
                <w:bCs/>
                <w:color w:val="auto"/>
                <w:kern w:val="0"/>
                <w:sz w:val="21"/>
                <w:szCs w:val="21"/>
                <w:highlight w:val="none"/>
              </w:rPr>
              <w:t>。</w:t>
            </w:r>
          </w:p>
        </w:tc>
      </w:tr>
      <w:tr w14:paraId="4E49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07F74F84">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2701" w:type="dxa"/>
            <w:noWrap/>
            <w:vAlign w:val="center"/>
          </w:tcPr>
          <w:p w14:paraId="13041E3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挡位</w:t>
            </w:r>
          </w:p>
        </w:tc>
        <w:tc>
          <w:tcPr>
            <w:tcW w:w="6104" w:type="dxa"/>
            <w:noWrap/>
            <w:vAlign w:val="center"/>
          </w:tcPr>
          <w:p w14:paraId="71409AE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无级变速，前进、后退及空挡</w:t>
            </w:r>
          </w:p>
        </w:tc>
      </w:tr>
      <w:tr w14:paraId="40012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6DFE1006">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2701" w:type="dxa"/>
            <w:noWrap/>
            <w:vAlign w:val="center"/>
          </w:tcPr>
          <w:p w14:paraId="7100258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前挡玻璃</w:t>
            </w:r>
          </w:p>
        </w:tc>
        <w:tc>
          <w:tcPr>
            <w:tcW w:w="6104" w:type="dxa"/>
            <w:noWrap/>
            <w:vAlign w:val="center"/>
          </w:tcPr>
          <w:p w14:paraId="387CE5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采用钢化夹胶安全玻璃前挡，配雨刮器。</w:t>
            </w:r>
          </w:p>
        </w:tc>
      </w:tr>
      <w:tr w14:paraId="1249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2781767F">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2701" w:type="dxa"/>
            <w:noWrap/>
            <w:vAlign w:val="center"/>
          </w:tcPr>
          <w:p w14:paraId="0661806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车内地板</w:t>
            </w:r>
          </w:p>
        </w:tc>
        <w:tc>
          <w:tcPr>
            <w:tcW w:w="6104" w:type="dxa"/>
            <w:noWrap/>
            <w:vAlign w:val="center"/>
          </w:tcPr>
          <w:p w14:paraId="7E64F6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铝合金花纹防滑地板。</w:t>
            </w:r>
          </w:p>
        </w:tc>
      </w:tr>
      <w:tr w14:paraId="4D6A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431A5189">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2701" w:type="dxa"/>
            <w:noWrap/>
            <w:vAlign w:val="center"/>
          </w:tcPr>
          <w:p w14:paraId="4D8A621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座椅</w:t>
            </w:r>
          </w:p>
        </w:tc>
        <w:tc>
          <w:tcPr>
            <w:tcW w:w="6104" w:type="dxa"/>
            <w:noWrap/>
            <w:vAlign w:val="center"/>
          </w:tcPr>
          <w:p w14:paraId="5A70AE3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整车共5排座椅，座椅采用防水、防火耐磨皮革面料</w:t>
            </w:r>
            <w:r>
              <w:rPr>
                <w:rFonts w:hint="eastAsia" w:ascii="宋体" w:hAnsi="宋体" w:eastAsia="宋体" w:cs="宋体"/>
                <w:color w:val="auto"/>
                <w:kern w:val="0"/>
                <w:sz w:val="21"/>
                <w:szCs w:val="21"/>
                <w:highlight w:val="none"/>
                <w:lang w:eastAsia="zh-CN"/>
              </w:rPr>
              <w:t>（座椅颜色可根据采购方需求配置）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座椅配有安全带，座椅外侧安装扶手，副驾右上方安装手握扶手</w:t>
            </w:r>
            <w:r>
              <w:rPr>
                <w:rFonts w:hint="eastAsia" w:ascii="宋体" w:hAnsi="宋体" w:eastAsia="宋体" w:cs="宋体"/>
                <w:color w:val="auto"/>
                <w:kern w:val="0"/>
                <w:sz w:val="21"/>
                <w:szCs w:val="21"/>
                <w:highlight w:val="none"/>
              </w:rPr>
              <w:t>。</w:t>
            </w:r>
          </w:p>
        </w:tc>
      </w:tr>
      <w:tr w14:paraId="5A8EE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70EC92D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2701" w:type="dxa"/>
            <w:noWrap/>
            <w:vAlign w:val="center"/>
          </w:tcPr>
          <w:p w14:paraId="3ECC366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后视镜</w:t>
            </w:r>
          </w:p>
        </w:tc>
        <w:tc>
          <w:tcPr>
            <w:tcW w:w="6104" w:type="dxa"/>
            <w:noWrap/>
            <w:vAlign w:val="center"/>
          </w:tcPr>
          <w:p w14:paraId="773B3F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左右各1个可调节角度的后视镜。</w:t>
            </w:r>
          </w:p>
        </w:tc>
      </w:tr>
      <w:tr w14:paraId="5F8F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39E9171D">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w:t>
            </w:r>
          </w:p>
        </w:tc>
        <w:tc>
          <w:tcPr>
            <w:tcW w:w="2701" w:type="dxa"/>
            <w:noWrap/>
            <w:vAlign w:val="center"/>
          </w:tcPr>
          <w:p w14:paraId="2B0DBBB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灯光信号</w:t>
            </w:r>
          </w:p>
        </w:tc>
        <w:tc>
          <w:tcPr>
            <w:tcW w:w="6104" w:type="dxa"/>
            <w:noWrap/>
            <w:vAlign w:val="center"/>
          </w:tcPr>
          <w:p w14:paraId="588F82E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包含前大灯、前雾灯、转向灯、刹车灯；有电喇叭，倒车蜂鸣功能。</w:t>
            </w:r>
          </w:p>
        </w:tc>
      </w:tr>
      <w:tr w14:paraId="1A240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900" w:type="dxa"/>
            <w:shd w:val="clear" w:color="auto" w:fill="auto"/>
            <w:noWrap/>
            <w:vAlign w:val="center"/>
          </w:tcPr>
          <w:p w14:paraId="20B2EB67">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7</w:t>
            </w:r>
          </w:p>
        </w:tc>
        <w:tc>
          <w:tcPr>
            <w:tcW w:w="2701" w:type="dxa"/>
            <w:noWrap/>
            <w:vAlign w:val="center"/>
          </w:tcPr>
          <w:p w14:paraId="7BA223D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kern w:val="0"/>
                <w:sz w:val="21"/>
                <w:szCs w:val="21"/>
                <w:highlight w:val="none"/>
                <w:u w:val="single"/>
              </w:rPr>
              <w:t>轮胎</w:t>
            </w:r>
          </w:p>
        </w:tc>
        <w:tc>
          <w:tcPr>
            <w:tcW w:w="6104" w:type="dxa"/>
            <w:noWrap/>
            <w:vAlign w:val="center"/>
          </w:tcPr>
          <w:p w14:paraId="2B7D80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eastAsia="zh-CN"/>
              </w:rPr>
              <w:t>轮胎直径≤560mm（因景区临水栏杆高度限制，该项为硬性条件）</w:t>
            </w:r>
          </w:p>
        </w:tc>
      </w:tr>
      <w:tr w14:paraId="0DEE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900" w:type="dxa"/>
            <w:shd w:val="clear" w:color="auto" w:fill="auto"/>
            <w:noWrap/>
            <w:vAlign w:val="center"/>
          </w:tcPr>
          <w:p w14:paraId="7CC220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8</w:t>
            </w:r>
          </w:p>
        </w:tc>
        <w:tc>
          <w:tcPr>
            <w:tcW w:w="2701" w:type="dxa"/>
            <w:noWrap/>
            <w:vAlign w:val="center"/>
          </w:tcPr>
          <w:p w14:paraId="6A2511D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其它要求</w:t>
            </w:r>
          </w:p>
        </w:tc>
        <w:tc>
          <w:tcPr>
            <w:tcW w:w="6104" w:type="dxa"/>
            <w:noWrap/>
            <w:vAlign w:val="center"/>
          </w:tcPr>
          <w:p w14:paraId="28150D5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1、需提供供货非公路用旅游观光车辆特种设备型式试验报告；2、</w:t>
            </w:r>
            <w:r>
              <w:rPr>
                <w:rFonts w:hint="eastAsia" w:ascii="宋体" w:hAnsi="宋体" w:eastAsia="宋体" w:cs="宋体"/>
                <w:color w:val="auto"/>
                <w:kern w:val="0"/>
                <w:sz w:val="21"/>
                <w:szCs w:val="21"/>
                <w:highlight w:val="none"/>
                <w:lang w:eastAsia="zh-CN"/>
              </w:rPr>
              <w:t>车子安装</w:t>
            </w:r>
            <w:r>
              <w:rPr>
                <w:rFonts w:hint="eastAsia" w:ascii="宋体" w:hAnsi="宋体" w:eastAsia="宋体" w:cs="宋体"/>
                <w:color w:val="auto"/>
                <w:kern w:val="0"/>
                <w:sz w:val="21"/>
                <w:szCs w:val="21"/>
                <w:highlight w:val="none"/>
                <w:lang w:val="en-US" w:eastAsia="zh-CN"/>
              </w:rPr>
              <w:t>14座轨道式雨帘（材质透明PVC，雨帘厚度0.6mm（如有更好方案可双方另行协商），磁吸款或拉链款根据采购方需求决定）；3、</w:t>
            </w:r>
            <w:r>
              <w:rPr>
                <w:rFonts w:hint="eastAsia" w:ascii="宋体" w:hAnsi="宋体" w:eastAsia="宋体" w:cs="宋体"/>
                <w:color w:val="auto"/>
                <w:kern w:val="0"/>
                <w:sz w:val="21"/>
                <w:szCs w:val="21"/>
                <w:highlight w:val="none"/>
              </w:rPr>
              <w:t>车辆</w:t>
            </w:r>
            <w:r>
              <w:rPr>
                <w:rFonts w:hint="eastAsia" w:ascii="宋体" w:hAnsi="宋体" w:eastAsia="宋体" w:cs="宋体"/>
                <w:color w:val="auto"/>
                <w:kern w:val="0"/>
                <w:sz w:val="21"/>
                <w:szCs w:val="21"/>
                <w:highlight w:val="none"/>
                <w:lang w:eastAsia="zh-CN"/>
              </w:rPr>
              <w:t>驾驶位安装车载电风扇，并安装语音避让提醒喇叭、景区车载</w:t>
            </w:r>
            <w:r>
              <w:rPr>
                <w:rFonts w:hint="eastAsia" w:ascii="宋体" w:hAnsi="宋体" w:eastAsia="宋体" w:cs="宋体"/>
                <w:color w:val="auto"/>
                <w:kern w:val="0"/>
                <w:sz w:val="21"/>
                <w:szCs w:val="21"/>
                <w:highlight w:val="none"/>
              </w:rPr>
              <w:t>报</w:t>
            </w:r>
            <w:r>
              <w:rPr>
                <w:rFonts w:hint="eastAsia" w:ascii="宋体" w:hAnsi="宋体" w:eastAsia="宋体" w:cs="宋体"/>
                <w:color w:val="auto"/>
                <w:kern w:val="0"/>
                <w:sz w:val="21"/>
                <w:szCs w:val="21"/>
                <w:highlight w:val="none"/>
                <w:lang w:val="en-US" w:eastAsia="zh-CN"/>
              </w:rPr>
              <w:t>站</w:t>
            </w:r>
            <w:r>
              <w:rPr>
                <w:rFonts w:hint="eastAsia" w:ascii="宋体" w:hAnsi="宋体" w:eastAsia="宋体" w:cs="宋体"/>
                <w:color w:val="auto"/>
                <w:kern w:val="0"/>
                <w:sz w:val="21"/>
                <w:szCs w:val="21"/>
                <w:highlight w:val="none"/>
              </w:rPr>
              <w:t>器</w:t>
            </w:r>
            <w:r>
              <w:rPr>
                <w:rFonts w:hint="eastAsia" w:ascii="宋体" w:hAnsi="宋体" w:eastAsia="宋体" w:cs="宋体"/>
                <w:color w:val="auto"/>
                <w:kern w:val="0"/>
                <w:sz w:val="21"/>
                <w:szCs w:val="21"/>
                <w:highlight w:val="none"/>
                <w:lang w:eastAsia="zh-CN"/>
              </w:rPr>
              <w:t>（根据采购方需求）、</w:t>
            </w:r>
            <w:r>
              <w:rPr>
                <w:rFonts w:hint="eastAsia" w:ascii="宋体" w:hAnsi="宋体" w:eastAsia="宋体" w:cs="宋体"/>
                <w:color w:val="auto"/>
                <w:kern w:val="0"/>
                <w:sz w:val="21"/>
                <w:szCs w:val="21"/>
                <w:highlight w:val="none"/>
                <w:lang w:val="en-US" w:eastAsia="zh-CN"/>
              </w:rPr>
              <w:t>车载灭火器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可按采购方要求加装行车记录仪、监控等景区观光车配件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甲供乙装或乙协助安装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、可按采购方要求定制车身外观颜色及LOGO标志。</w:t>
            </w:r>
          </w:p>
        </w:tc>
      </w:tr>
    </w:tbl>
    <w:p w14:paraId="207D7348">
      <w:pPr>
        <w:pStyle w:val="16"/>
        <w:rPr>
          <w:rFonts w:hint="eastAsia" w:ascii="宋体" w:hAnsi="宋体" w:eastAsia="宋体" w:cs="宋体"/>
          <w:color w:val="auto"/>
          <w:sz w:val="22"/>
          <w:szCs w:val="22"/>
          <w:highlight w:val="none"/>
        </w:rPr>
      </w:pPr>
    </w:p>
    <w:p w14:paraId="4B66FE46">
      <w:pPr>
        <w:rPr>
          <w:rFonts w:hint="eastAsia" w:ascii="宋体" w:hAnsi="宋体" w:eastAsia="宋体" w:cs="宋体"/>
          <w:color w:val="auto"/>
          <w:highlight w:val="none"/>
        </w:rPr>
      </w:pPr>
    </w:p>
    <w:p w14:paraId="680AABBC">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2   6座高尔夫球车</w:t>
      </w:r>
      <w:r>
        <w:rPr>
          <w:rFonts w:hint="eastAsia" w:ascii="宋体" w:hAnsi="宋体" w:eastAsia="宋体" w:cs="宋体"/>
          <w:b/>
          <w:bCs/>
          <w:color w:val="auto"/>
          <w:sz w:val="22"/>
          <w:szCs w:val="22"/>
          <w:highlight w:val="none"/>
        </w:rPr>
        <w:t>技术参数</w:t>
      </w:r>
    </w:p>
    <w:tbl>
      <w:tblPr>
        <w:tblStyle w:val="34"/>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
        <w:gridCol w:w="2400"/>
        <w:gridCol w:w="6225"/>
      </w:tblGrid>
      <w:tr w14:paraId="75DDD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812" w:type="dxa"/>
            <w:noWrap/>
            <w:vAlign w:val="center"/>
          </w:tcPr>
          <w:p w14:paraId="6DAFDE5F">
            <w:pPr>
              <w:widowControl/>
              <w:spacing w:line="3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400" w:type="dxa"/>
            <w:noWrap/>
            <w:vAlign w:val="center"/>
          </w:tcPr>
          <w:p w14:paraId="1E30749D">
            <w:pPr>
              <w:widowControl/>
              <w:spacing w:line="3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w:t>
            </w:r>
          </w:p>
        </w:tc>
        <w:tc>
          <w:tcPr>
            <w:tcW w:w="6225" w:type="dxa"/>
            <w:noWrap/>
            <w:vAlign w:val="center"/>
          </w:tcPr>
          <w:p w14:paraId="793FAD43">
            <w:pPr>
              <w:widowControl/>
              <w:spacing w:line="3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技术及配置要求</w:t>
            </w:r>
          </w:p>
        </w:tc>
      </w:tr>
      <w:tr w14:paraId="1D20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1D7F2BEF">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400" w:type="dxa"/>
            <w:noWrap/>
            <w:vAlign w:val="center"/>
          </w:tcPr>
          <w:p w14:paraId="056391F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kern w:val="0"/>
                <w:sz w:val="21"/>
                <w:szCs w:val="21"/>
                <w:highlight w:val="none"/>
                <w:u w:val="single"/>
              </w:rPr>
              <w:t>额定载客量（包括司机）</w:t>
            </w:r>
          </w:p>
        </w:tc>
        <w:tc>
          <w:tcPr>
            <w:tcW w:w="6225" w:type="dxa"/>
            <w:noWrap/>
            <w:vAlign w:val="center"/>
          </w:tcPr>
          <w:p w14:paraId="2F2F73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6</w:t>
            </w:r>
            <w:r>
              <w:rPr>
                <w:rFonts w:hint="eastAsia" w:ascii="宋体" w:hAnsi="宋体" w:eastAsia="宋体" w:cs="宋体"/>
                <w:b/>
                <w:bCs/>
                <w:color w:val="auto"/>
                <w:kern w:val="0"/>
                <w:sz w:val="21"/>
                <w:szCs w:val="21"/>
                <w:highlight w:val="none"/>
                <w:u w:val="single"/>
              </w:rPr>
              <w:t>人</w:t>
            </w:r>
          </w:p>
        </w:tc>
      </w:tr>
      <w:tr w14:paraId="4F6C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51DB7B9B">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400" w:type="dxa"/>
            <w:noWrap/>
            <w:vAlign w:val="center"/>
          </w:tcPr>
          <w:p w14:paraId="3C3633B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车身尺寸（长×宽×高</w:t>
            </w:r>
          </w:p>
        </w:tc>
        <w:tc>
          <w:tcPr>
            <w:tcW w:w="6225" w:type="dxa"/>
            <w:noWrap/>
            <w:vAlign w:val="center"/>
          </w:tcPr>
          <w:p w14:paraId="4ECD25E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kern w:val="0"/>
                <w:sz w:val="21"/>
                <w:szCs w:val="21"/>
                <w:highlight w:val="none"/>
              </w:rPr>
              <w:t>mm（不包括后视镜）</w:t>
            </w:r>
          </w:p>
        </w:tc>
      </w:tr>
      <w:tr w14:paraId="0EDE1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330007EE">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400" w:type="dxa"/>
            <w:noWrap/>
            <w:vAlign w:val="center"/>
          </w:tcPr>
          <w:p w14:paraId="7213B6F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轴距</w:t>
            </w:r>
          </w:p>
        </w:tc>
        <w:tc>
          <w:tcPr>
            <w:tcW w:w="6225" w:type="dxa"/>
            <w:noWrap/>
            <w:vAlign w:val="center"/>
          </w:tcPr>
          <w:p w14:paraId="7E0662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0mm</w:t>
            </w:r>
          </w:p>
        </w:tc>
      </w:tr>
      <w:tr w14:paraId="2C13C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70535AF7">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400" w:type="dxa"/>
            <w:noWrap/>
            <w:vAlign w:val="center"/>
          </w:tcPr>
          <w:p w14:paraId="79CCA39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最小转弯半径</w:t>
            </w:r>
          </w:p>
        </w:tc>
        <w:tc>
          <w:tcPr>
            <w:tcW w:w="6225" w:type="dxa"/>
            <w:noWrap/>
            <w:vAlign w:val="center"/>
          </w:tcPr>
          <w:p w14:paraId="3BE2DD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≤6m</w:t>
            </w:r>
          </w:p>
        </w:tc>
      </w:tr>
      <w:tr w14:paraId="3DC1F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12" w:type="dxa"/>
            <w:noWrap/>
            <w:vAlign w:val="center"/>
          </w:tcPr>
          <w:p w14:paraId="0F0F31F1">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400" w:type="dxa"/>
            <w:noWrap/>
            <w:vAlign w:val="center"/>
          </w:tcPr>
          <w:p w14:paraId="56F9B32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最小离地间隙（满载）</w:t>
            </w:r>
          </w:p>
        </w:tc>
        <w:tc>
          <w:tcPr>
            <w:tcW w:w="6225" w:type="dxa"/>
            <w:noWrap/>
            <w:vAlign w:val="center"/>
          </w:tcPr>
          <w:p w14:paraId="2FDA3C1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120</w:t>
            </w:r>
            <w:r>
              <w:rPr>
                <w:rFonts w:hint="eastAsia" w:ascii="宋体" w:hAnsi="宋体" w:eastAsia="宋体" w:cs="宋体"/>
                <w:color w:val="auto"/>
                <w:kern w:val="0"/>
                <w:sz w:val="21"/>
                <w:szCs w:val="21"/>
                <w:highlight w:val="none"/>
              </w:rPr>
              <w:t>mm</w:t>
            </w:r>
          </w:p>
        </w:tc>
      </w:tr>
      <w:tr w14:paraId="32E8B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2A39D6BB">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400" w:type="dxa"/>
            <w:noWrap/>
            <w:vAlign w:val="center"/>
          </w:tcPr>
          <w:p w14:paraId="1C3DCA3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最大爬坡度</w:t>
            </w:r>
          </w:p>
        </w:tc>
        <w:tc>
          <w:tcPr>
            <w:tcW w:w="6225" w:type="dxa"/>
            <w:noWrap/>
            <w:vAlign w:val="center"/>
          </w:tcPr>
          <w:p w14:paraId="241A619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p>
        </w:tc>
      </w:tr>
      <w:tr w14:paraId="569E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0CD7CACA">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400" w:type="dxa"/>
            <w:noWrap/>
            <w:vAlign w:val="center"/>
          </w:tcPr>
          <w:p w14:paraId="28D40F2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最大运行速度</w:t>
            </w:r>
          </w:p>
        </w:tc>
        <w:tc>
          <w:tcPr>
            <w:tcW w:w="6225" w:type="dxa"/>
            <w:noWrap/>
            <w:vAlign w:val="center"/>
          </w:tcPr>
          <w:p w14:paraId="753A51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20-25km/h</w:t>
            </w:r>
          </w:p>
        </w:tc>
      </w:tr>
      <w:tr w14:paraId="3AB1E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74102C39">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400" w:type="dxa"/>
            <w:noWrap/>
            <w:vAlign w:val="center"/>
          </w:tcPr>
          <w:p w14:paraId="1B76894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制动距离</w:t>
            </w:r>
          </w:p>
        </w:tc>
        <w:tc>
          <w:tcPr>
            <w:tcW w:w="6225" w:type="dxa"/>
            <w:noWrap/>
            <w:vAlign w:val="center"/>
          </w:tcPr>
          <w:p w14:paraId="000D95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m</w:t>
            </w:r>
          </w:p>
        </w:tc>
      </w:tr>
      <w:tr w14:paraId="20A95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27437388">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2400" w:type="dxa"/>
            <w:shd w:val="clear" w:color="auto" w:fill="auto"/>
            <w:noWrap/>
            <w:vAlign w:val="center"/>
          </w:tcPr>
          <w:p w14:paraId="4A7CFBE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电机、电机功率</w:t>
            </w:r>
          </w:p>
        </w:tc>
        <w:tc>
          <w:tcPr>
            <w:tcW w:w="6225" w:type="dxa"/>
            <w:shd w:val="clear" w:color="auto" w:fill="auto"/>
            <w:noWrap/>
            <w:vAlign w:val="center"/>
          </w:tcPr>
          <w:p w14:paraId="226A2EC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交流电机，功率≥4KW。</w:t>
            </w:r>
          </w:p>
        </w:tc>
      </w:tr>
      <w:tr w14:paraId="60D3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noWrap/>
            <w:vAlign w:val="center"/>
          </w:tcPr>
          <w:p w14:paraId="22024772">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2400" w:type="dxa"/>
            <w:noWrap/>
            <w:vAlign w:val="center"/>
          </w:tcPr>
          <w:p w14:paraId="4D5B04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续驶里程</w:t>
            </w:r>
          </w:p>
        </w:tc>
        <w:tc>
          <w:tcPr>
            <w:tcW w:w="6225" w:type="dxa"/>
            <w:noWrap/>
            <w:vAlign w:val="center"/>
          </w:tcPr>
          <w:p w14:paraId="0515934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KM</w:t>
            </w:r>
          </w:p>
        </w:tc>
      </w:tr>
      <w:tr w14:paraId="494D5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12" w:type="dxa"/>
            <w:shd w:val="clear" w:color="auto" w:fill="auto"/>
            <w:noWrap/>
            <w:vAlign w:val="center"/>
          </w:tcPr>
          <w:p w14:paraId="51B68903">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2400" w:type="dxa"/>
            <w:noWrap/>
            <w:vAlign w:val="center"/>
          </w:tcPr>
          <w:p w14:paraId="69CF3D8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整车重量（含电池）</w:t>
            </w:r>
          </w:p>
        </w:tc>
        <w:tc>
          <w:tcPr>
            <w:tcW w:w="6225" w:type="dxa"/>
            <w:noWrap/>
            <w:vAlign w:val="center"/>
          </w:tcPr>
          <w:p w14:paraId="5E86DB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650kg（±10%）</w:t>
            </w:r>
          </w:p>
        </w:tc>
      </w:tr>
      <w:tr w14:paraId="57C31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2" w:type="dxa"/>
            <w:shd w:val="clear" w:color="auto" w:fill="auto"/>
            <w:noWrap/>
            <w:vAlign w:val="center"/>
          </w:tcPr>
          <w:p w14:paraId="0D55E035">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p>
          <w:p w14:paraId="164062BD">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p w14:paraId="5B99C782">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p>
        </w:tc>
        <w:tc>
          <w:tcPr>
            <w:tcW w:w="2400" w:type="dxa"/>
            <w:noWrap/>
            <w:vAlign w:val="center"/>
          </w:tcPr>
          <w:p w14:paraId="6771D5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车身材质</w:t>
            </w:r>
          </w:p>
        </w:tc>
        <w:tc>
          <w:tcPr>
            <w:tcW w:w="6225" w:type="dxa"/>
            <w:noWrap/>
            <w:vAlign w:val="center"/>
          </w:tcPr>
          <w:p w14:paraId="1F1010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顶棚：</w:t>
            </w:r>
            <w:r>
              <w:rPr>
                <w:rFonts w:hint="eastAsia" w:ascii="宋体" w:hAnsi="宋体" w:eastAsia="宋体" w:cs="宋体"/>
                <w:color w:val="auto"/>
                <w:kern w:val="0"/>
                <w:sz w:val="21"/>
                <w:szCs w:val="21"/>
                <w:highlight w:val="none"/>
                <w:lang w:eastAsia="zh-CN"/>
              </w:rPr>
              <w:t>一体式注</w:t>
            </w:r>
            <w:r>
              <w:rPr>
                <w:rFonts w:hint="eastAsia" w:ascii="宋体" w:hAnsi="宋体" w:eastAsia="宋体" w:cs="宋体"/>
                <w:color w:val="auto"/>
                <w:kern w:val="0"/>
                <w:sz w:val="21"/>
                <w:szCs w:val="21"/>
                <w:highlight w:val="none"/>
              </w:rPr>
              <w:t>塑</w:t>
            </w:r>
            <w:r>
              <w:rPr>
                <w:rFonts w:hint="eastAsia" w:ascii="宋体" w:hAnsi="宋体" w:eastAsia="宋体" w:cs="宋体"/>
                <w:color w:val="auto"/>
                <w:kern w:val="0"/>
                <w:sz w:val="21"/>
                <w:szCs w:val="21"/>
                <w:highlight w:val="none"/>
                <w:lang w:eastAsia="zh-CN"/>
              </w:rPr>
              <w:t>顶棚</w:t>
            </w:r>
            <w:r>
              <w:rPr>
                <w:rFonts w:hint="eastAsia" w:ascii="宋体" w:hAnsi="宋体" w:eastAsia="宋体" w:cs="宋体"/>
                <w:color w:val="auto"/>
                <w:kern w:val="0"/>
                <w:sz w:val="21"/>
                <w:szCs w:val="21"/>
                <w:highlight w:val="none"/>
              </w:rPr>
              <w:t>。</w:t>
            </w:r>
          </w:p>
          <w:p w14:paraId="3D6299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车身：敞开式结构，</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eastAsia="zh-CN"/>
              </w:rPr>
              <w:t>注塑</w:t>
            </w:r>
            <w:r>
              <w:rPr>
                <w:rFonts w:hint="eastAsia" w:ascii="宋体" w:hAnsi="宋体" w:eastAsia="宋体" w:cs="宋体"/>
                <w:color w:val="auto"/>
                <w:kern w:val="0"/>
                <w:sz w:val="21"/>
                <w:szCs w:val="21"/>
                <w:highlight w:val="none"/>
              </w:rPr>
              <w:t>车身材质</w:t>
            </w:r>
            <w:r>
              <w:rPr>
                <w:rFonts w:hint="eastAsia" w:ascii="宋体" w:hAnsi="宋体" w:eastAsia="宋体" w:cs="宋体"/>
                <w:color w:val="auto"/>
                <w:kern w:val="0"/>
                <w:sz w:val="21"/>
                <w:szCs w:val="21"/>
                <w:highlight w:val="none"/>
                <w:lang w:eastAsia="zh-CN"/>
              </w:rPr>
              <w:t>。</w:t>
            </w:r>
          </w:p>
        </w:tc>
      </w:tr>
      <w:tr w14:paraId="0BE8D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812" w:type="dxa"/>
            <w:shd w:val="clear" w:color="auto" w:fill="auto"/>
            <w:noWrap/>
            <w:vAlign w:val="center"/>
          </w:tcPr>
          <w:p w14:paraId="41BA9A2F">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2400" w:type="dxa"/>
            <w:noWrap/>
            <w:vAlign w:val="center"/>
          </w:tcPr>
          <w:p w14:paraId="343B000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车架底盘</w:t>
            </w:r>
          </w:p>
        </w:tc>
        <w:tc>
          <w:tcPr>
            <w:tcW w:w="6225" w:type="dxa"/>
            <w:noWrap/>
            <w:vAlign w:val="center"/>
          </w:tcPr>
          <w:p w14:paraId="7DB219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高强度钢材焊接成型的车架底盘，并做电泳防锈防腐烤漆处理</w:t>
            </w:r>
            <w:r>
              <w:rPr>
                <w:rFonts w:hint="eastAsia" w:ascii="宋体" w:hAnsi="宋体" w:eastAsia="宋体" w:cs="宋体"/>
                <w:b/>
                <w:bCs/>
                <w:color w:val="auto"/>
                <w:kern w:val="0"/>
                <w:sz w:val="21"/>
                <w:szCs w:val="21"/>
                <w:highlight w:val="none"/>
              </w:rPr>
              <w:t>。</w:t>
            </w:r>
          </w:p>
        </w:tc>
      </w:tr>
      <w:tr w14:paraId="0963E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1EE553B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2400" w:type="dxa"/>
            <w:noWrap/>
            <w:vAlign w:val="center"/>
          </w:tcPr>
          <w:p w14:paraId="6C97F81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控制器</w:t>
            </w:r>
          </w:p>
        </w:tc>
        <w:tc>
          <w:tcPr>
            <w:tcW w:w="6225" w:type="dxa"/>
            <w:noWrap/>
            <w:vAlign w:val="center"/>
          </w:tcPr>
          <w:p w14:paraId="16D176C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智能控制器，</w:t>
            </w:r>
            <w:r>
              <w:rPr>
                <w:rFonts w:hint="eastAsia" w:ascii="宋体" w:hAnsi="宋体" w:eastAsia="宋体" w:cs="宋体"/>
                <w:color w:val="auto"/>
                <w:kern w:val="0"/>
                <w:sz w:val="21"/>
                <w:szCs w:val="21"/>
                <w:highlight w:val="none"/>
              </w:rPr>
              <w:t>电机控制器防护等级不小于IP67</w:t>
            </w:r>
          </w:p>
        </w:tc>
      </w:tr>
      <w:tr w14:paraId="30092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105885CC">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2400" w:type="dxa"/>
            <w:noWrap/>
            <w:vAlign w:val="center"/>
          </w:tcPr>
          <w:p w14:paraId="2B8186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电池</w:t>
            </w:r>
          </w:p>
        </w:tc>
        <w:tc>
          <w:tcPr>
            <w:tcW w:w="6225" w:type="dxa"/>
            <w:noWrap/>
            <w:vAlign w:val="center"/>
          </w:tcPr>
          <w:p w14:paraId="4B884F7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铅酸蓄电池</w:t>
            </w:r>
            <w:r>
              <w:rPr>
                <w:rFonts w:hint="eastAsia" w:ascii="宋体" w:hAnsi="宋体" w:eastAsia="宋体" w:cs="宋体"/>
                <w:color w:val="auto"/>
                <w:kern w:val="0"/>
                <w:sz w:val="21"/>
                <w:szCs w:val="21"/>
                <w:highlight w:val="none"/>
              </w:rPr>
              <w:t>容量≥48V</w:t>
            </w:r>
            <w:r>
              <w:rPr>
                <w:rFonts w:hint="eastAsia" w:ascii="宋体" w:hAnsi="宋体" w:eastAsia="宋体" w:cs="宋体"/>
                <w:color w:val="auto"/>
                <w:kern w:val="0"/>
                <w:sz w:val="21"/>
                <w:szCs w:val="21"/>
                <w:highlight w:val="none"/>
                <w:lang w:val="en-US" w:eastAsia="zh-CN"/>
              </w:rPr>
              <w:t>180</w:t>
            </w:r>
            <w:r>
              <w:rPr>
                <w:rFonts w:hint="eastAsia" w:ascii="宋体" w:hAnsi="宋体" w:eastAsia="宋体" w:cs="宋体"/>
                <w:color w:val="auto"/>
                <w:kern w:val="0"/>
                <w:sz w:val="21"/>
                <w:szCs w:val="21"/>
                <w:highlight w:val="none"/>
              </w:rPr>
              <w:t>AH</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highlight w:val="none"/>
              </w:rPr>
              <w:t>具有电池智能损耗检测及警报系统功能</w:t>
            </w:r>
            <w:r>
              <w:rPr>
                <w:rStyle w:val="136"/>
                <w:rFonts w:hint="eastAsia" w:ascii="宋体" w:hAnsi="宋体" w:eastAsia="宋体" w:cs="宋体"/>
                <w:color w:val="auto"/>
                <w:sz w:val="21"/>
                <w:szCs w:val="21"/>
                <w:highlight w:val="none"/>
              </w:rPr>
              <w:t>。</w:t>
            </w:r>
          </w:p>
        </w:tc>
      </w:tr>
      <w:tr w14:paraId="57970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10C959FD">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2400" w:type="dxa"/>
            <w:noWrap/>
            <w:vAlign w:val="center"/>
          </w:tcPr>
          <w:p w14:paraId="21FE53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制动系统</w:t>
            </w:r>
          </w:p>
        </w:tc>
        <w:tc>
          <w:tcPr>
            <w:tcW w:w="6225" w:type="dxa"/>
            <w:noWrap/>
            <w:vAlign w:val="center"/>
          </w:tcPr>
          <w:p w14:paraId="29B1A7B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脚踏式制动，后轮鼓刹，驻车系统。</w:t>
            </w:r>
          </w:p>
        </w:tc>
      </w:tr>
      <w:tr w14:paraId="5EB0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17B97DC0">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2400" w:type="dxa"/>
            <w:noWrap/>
            <w:vAlign w:val="center"/>
          </w:tcPr>
          <w:p w14:paraId="7658823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转向系统</w:t>
            </w:r>
          </w:p>
        </w:tc>
        <w:tc>
          <w:tcPr>
            <w:tcW w:w="6225" w:type="dxa"/>
            <w:noWrap/>
            <w:vAlign w:val="center"/>
          </w:tcPr>
          <w:p w14:paraId="19DFC4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双向齿轮齿条转向系统，带</w:t>
            </w:r>
            <w:r>
              <w:rPr>
                <w:rFonts w:hint="eastAsia" w:ascii="宋体" w:hAnsi="宋体" w:eastAsia="宋体" w:cs="宋体"/>
                <w:color w:val="auto"/>
                <w:kern w:val="0"/>
                <w:sz w:val="21"/>
                <w:szCs w:val="21"/>
                <w:highlight w:val="none"/>
                <w:lang w:eastAsia="en-US"/>
              </w:rPr>
              <w:t>自动间隙补偿功能</w:t>
            </w:r>
            <w:r>
              <w:rPr>
                <w:rFonts w:hint="eastAsia" w:ascii="宋体" w:hAnsi="宋体" w:eastAsia="宋体" w:cs="宋体"/>
                <w:color w:val="auto"/>
                <w:kern w:val="0"/>
                <w:sz w:val="21"/>
                <w:szCs w:val="21"/>
                <w:highlight w:val="none"/>
              </w:rPr>
              <w:t>。</w:t>
            </w:r>
          </w:p>
        </w:tc>
      </w:tr>
      <w:tr w14:paraId="2310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1A40896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c>
          <w:tcPr>
            <w:tcW w:w="2400" w:type="dxa"/>
            <w:noWrap/>
            <w:vAlign w:val="center"/>
          </w:tcPr>
          <w:p w14:paraId="7784C38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rPr>
              <w:t>悬挂系统</w:t>
            </w:r>
          </w:p>
        </w:tc>
        <w:tc>
          <w:tcPr>
            <w:tcW w:w="6225" w:type="dxa"/>
            <w:noWrap/>
            <w:vAlign w:val="center"/>
          </w:tcPr>
          <w:p w14:paraId="1B88868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麦弗逊独立悬挂</w:t>
            </w:r>
          </w:p>
        </w:tc>
      </w:tr>
      <w:tr w14:paraId="79D19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4C8BE806">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p>
        </w:tc>
        <w:tc>
          <w:tcPr>
            <w:tcW w:w="2400" w:type="dxa"/>
            <w:noWrap/>
            <w:vAlign w:val="center"/>
          </w:tcPr>
          <w:p w14:paraId="64CDA7B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后</w:t>
            </w:r>
            <w:r>
              <w:rPr>
                <w:rFonts w:hint="eastAsia" w:ascii="宋体" w:hAnsi="宋体" w:eastAsia="宋体" w:cs="宋体"/>
                <w:color w:val="auto"/>
                <w:kern w:val="0"/>
                <w:sz w:val="21"/>
                <w:szCs w:val="21"/>
                <w:highlight w:val="none"/>
              </w:rPr>
              <w:t>悬挂系统</w:t>
            </w:r>
          </w:p>
        </w:tc>
        <w:tc>
          <w:tcPr>
            <w:tcW w:w="6225" w:type="dxa"/>
            <w:noWrap/>
            <w:vAlign w:val="center"/>
          </w:tcPr>
          <w:p w14:paraId="1E91500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整体式后桥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筒式液压减震</w:t>
            </w:r>
          </w:p>
        </w:tc>
      </w:tr>
      <w:tr w14:paraId="48083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75D25DA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2400" w:type="dxa"/>
            <w:noWrap/>
            <w:vAlign w:val="center"/>
          </w:tcPr>
          <w:p w14:paraId="2D3FCB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仪表台</w:t>
            </w:r>
          </w:p>
        </w:tc>
        <w:tc>
          <w:tcPr>
            <w:tcW w:w="6225" w:type="dxa"/>
            <w:noWrap/>
            <w:vAlign w:val="center"/>
          </w:tcPr>
          <w:p w14:paraId="5BE173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包含电量、行驶速度显示等功能。</w:t>
            </w:r>
          </w:p>
        </w:tc>
      </w:tr>
      <w:tr w14:paraId="1D0F5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812" w:type="dxa"/>
            <w:shd w:val="clear" w:color="auto" w:fill="auto"/>
            <w:noWrap/>
            <w:vAlign w:val="center"/>
          </w:tcPr>
          <w:p w14:paraId="0C010F1F">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2400" w:type="dxa"/>
            <w:noWrap/>
            <w:vAlign w:val="center"/>
          </w:tcPr>
          <w:p w14:paraId="5A6BBD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充电器</w:t>
            </w:r>
          </w:p>
        </w:tc>
        <w:tc>
          <w:tcPr>
            <w:tcW w:w="6225" w:type="dxa"/>
            <w:noWrap/>
            <w:vAlign w:val="center"/>
          </w:tcPr>
          <w:p w14:paraId="4590CD4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48伏国标充电器，高频脉冲全自动</w:t>
            </w:r>
            <w:r>
              <w:rPr>
                <w:rFonts w:hint="eastAsia" w:ascii="宋体" w:hAnsi="宋体" w:eastAsia="宋体" w:cs="宋体"/>
                <w:color w:val="auto"/>
                <w:kern w:val="0"/>
                <w:sz w:val="21"/>
                <w:szCs w:val="21"/>
                <w:highlight w:val="none"/>
                <w:lang w:eastAsia="zh-CN"/>
              </w:rPr>
              <w:t>车载</w:t>
            </w:r>
            <w:r>
              <w:rPr>
                <w:rFonts w:hint="eastAsia" w:ascii="宋体" w:hAnsi="宋体" w:eastAsia="宋体" w:cs="宋体"/>
                <w:color w:val="auto"/>
                <w:kern w:val="0"/>
                <w:sz w:val="21"/>
                <w:szCs w:val="21"/>
                <w:highlight w:val="none"/>
              </w:rPr>
              <w:t>智能化充电器，带电源过充过载智能保护系统功能</w:t>
            </w:r>
            <w:r>
              <w:rPr>
                <w:rFonts w:hint="eastAsia" w:ascii="宋体" w:hAnsi="宋体" w:eastAsia="宋体" w:cs="宋体"/>
                <w:b/>
                <w:bCs/>
                <w:color w:val="auto"/>
                <w:kern w:val="0"/>
                <w:sz w:val="21"/>
                <w:szCs w:val="21"/>
                <w:highlight w:val="none"/>
              </w:rPr>
              <w:t>。</w:t>
            </w:r>
          </w:p>
        </w:tc>
      </w:tr>
      <w:tr w14:paraId="51222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812" w:type="dxa"/>
            <w:shd w:val="clear" w:color="auto" w:fill="auto"/>
            <w:noWrap/>
            <w:vAlign w:val="center"/>
          </w:tcPr>
          <w:p w14:paraId="042DC2DE">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2400" w:type="dxa"/>
            <w:noWrap/>
            <w:vAlign w:val="center"/>
          </w:tcPr>
          <w:p w14:paraId="506805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挡位</w:t>
            </w:r>
          </w:p>
        </w:tc>
        <w:tc>
          <w:tcPr>
            <w:tcW w:w="6225" w:type="dxa"/>
            <w:noWrap/>
            <w:vAlign w:val="center"/>
          </w:tcPr>
          <w:p w14:paraId="57BAA49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4"/>
                <w:sz w:val="21"/>
                <w:szCs w:val="21"/>
                <w:highlight w:val="none"/>
              </w:rPr>
              <w:t>无级变速，前进、后退及空挡。</w:t>
            </w:r>
          </w:p>
        </w:tc>
      </w:tr>
      <w:tr w14:paraId="71652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 w:hRule="atLeast"/>
          <w:jc w:val="center"/>
        </w:trPr>
        <w:tc>
          <w:tcPr>
            <w:tcW w:w="812" w:type="dxa"/>
            <w:shd w:val="clear" w:color="auto" w:fill="auto"/>
            <w:noWrap/>
            <w:vAlign w:val="center"/>
          </w:tcPr>
          <w:p w14:paraId="56E63E3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2400" w:type="dxa"/>
            <w:noWrap/>
            <w:vAlign w:val="center"/>
          </w:tcPr>
          <w:p w14:paraId="30195CF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前挡玻璃</w:t>
            </w:r>
          </w:p>
        </w:tc>
        <w:tc>
          <w:tcPr>
            <w:tcW w:w="6225" w:type="dxa"/>
            <w:noWrap/>
            <w:vAlign w:val="center"/>
          </w:tcPr>
          <w:p w14:paraId="7E29A45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钢化玻璃+雨刮器</w:t>
            </w:r>
          </w:p>
        </w:tc>
      </w:tr>
      <w:tr w14:paraId="4ED03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12386F3E">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2400" w:type="dxa"/>
            <w:noWrap/>
            <w:vAlign w:val="center"/>
          </w:tcPr>
          <w:p w14:paraId="3ABC50C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车内地板</w:t>
            </w:r>
          </w:p>
        </w:tc>
        <w:tc>
          <w:tcPr>
            <w:tcW w:w="6225" w:type="dxa"/>
            <w:noWrap/>
            <w:vAlign w:val="center"/>
          </w:tcPr>
          <w:p w14:paraId="7CE42CD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橡胶防滑地板或花纹防滑铝地板。</w:t>
            </w:r>
          </w:p>
        </w:tc>
      </w:tr>
      <w:tr w14:paraId="7383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7FD9C7E1">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2400" w:type="dxa"/>
            <w:noWrap/>
            <w:vAlign w:val="center"/>
          </w:tcPr>
          <w:p w14:paraId="7ABA20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座椅</w:t>
            </w:r>
          </w:p>
        </w:tc>
        <w:tc>
          <w:tcPr>
            <w:tcW w:w="6225" w:type="dxa"/>
            <w:noWrap/>
            <w:vAlign w:val="center"/>
          </w:tcPr>
          <w:p w14:paraId="0E52BB2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整车共</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排座椅</w:t>
            </w:r>
            <w:r>
              <w:rPr>
                <w:rFonts w:hint="eastAsia" w:ascii="宋体" w:hAnsi="宋体" w:eastAsia="宋体" w:cs="宋体"/>
                <w:color w:val="auto"/>
                <w:kern w:val="0"/>
                <w:sz w:val="21"/>
                <w:szCs w:val="21"/>
                <w:highlight w:val="none"/>
                <w:lang w:eastAsia="zh-CN"/>
              </w:rPr>
              <w:t>，座椅全部</w:t>
            </w:r>
            <w:r>
              <w:rPr>
                <w:rFonts w:hint="eastAsia" w:ascii="宋体" w:hAnsi="宋体" w:eastAsia="宋体" w:cs="宋体"/>
                <w:color w:val="auto"/>
                <w:kern w:val="0"/>
                <w:sz w:val="21"/>
                <w:szCs w:val="21"/>
                <w:highlight w:val="none"/>
                <w:lang w:val="en-US" w:eastAsia="zh-CN"/>
              </w:rPr>
              <w:t>朝</w:t>
            </w:r>
            <w:r>
              <w:rPr>
                <w:rFonts w:hint="eastAsia" w:ascii="宋体" w:hAnsi="宋体" w:eastAsia="宋体" w:cs="宋体"/>
                <w:color w:val="auto"/>
                <w:kern w:val="0"/>
                <w:sz w:val="21"/>
                <w:szCs w:val="21"/>
                <w:highlight w:val="none"/>
                <w:lang w:eastAsia="zh-CN"/>
              </w:rPr>
              <w:t>前。</w:t>
            </w:r>
            <w:r>
              <w:rPr>
                <w:rFonts w:hint="eastAsia" w:ascii="宋体" w:hAnsi="宋体" w:eastAsia="宋体" w:cs="宋体"/>
                <w:color w:val="auto"/>
                <w:kern w:val="0"/>
                <w:sz w:val="21"/>
                <w:szCs w:val="21"/>
                <w:highlight w:val="none"/>
              </w:rPr>
              <w:t>座椅采用防水、防火耐磨皮革面料；座椅外侧安装扶手。</w:t>
            </w:r>
          </w:p>
        </w:tc>
      </w:tr>
      <w:tr w14:paraId="2B581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7C3012BD">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w:t>
            </w:r>
          </w:p>
        </w:tc>
        <w:tc>
          <w:tcPr>
            <w:tcW w:w="2400" w:type="dxa"/>
            <w:noWrap/>
            <w:vAlign w:val="center"/>
          </w:tcPr>
          <w:p w14:paraId="791AA5E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灯光信号</w:t>
            </w:r>
          </w:p>
        </w:tc>
        <w:tc>
          <w:tcPr>
            <w:tcW w:w="6225" w:type="dxa"/>
            <w:noWrap/>
            <w:vAlign w:val="center"/>
          </w:tcPr>
          <w:p w14:paraId="39DAF9E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包含前大灯、转向灯、电喇叭等功能。</w:t>
            </w:r>
          </w:p>
        </w:tc>
      </w:tr>
      <w:tr w14:paraId="63B2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72120744">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7</w:t>
            </w:r>
          </w:p>
        </w:tc>
        <w:tc>
          <w:tcPr>
            <w:tcW w:w="2400" w:type="dxa"/>
            <w:noWrap/>
            <w:vAlign w:val="center"/>
          </w:tcPr>
          <w:p w14:paraId="486EB5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轮胎</w:t>
            </w:r>
          </w:p>
        </w:tc>
        <w:tc>
          <w:tcPr>
            <w:tcW w:w="6225" w:type="dxa"/>
            <w:noWrap/>
            <w:vAlign w:val="center"/>
          </w:tcPr>
          <w:p w14:paraId="47F41E8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采用不</w:t>
            </w:r>
            <w:r>
              <w:rPr>
                <w:rFonts w:hint="eastAsia" w:ascii="宋体" w:hAnsi="宋体" w:eastAsia="宋体" w:cs="宋体"/>
                <w:color w:val="auto"/>
                <w:kern w:val="0"/>
                <w:sz w:val="21"/>
                <w:szCs w:val="21"/>
                <w:highlight w:val="none"/>
                <w:lang w:eastAsia="zh-CN"/>
              </w:rPr>
              <w:t>小于</w:t>
            </w:r>
            <w:r>
              <w:rPr>
                <w:rFonts w:hint="eastAsia" w:ascii="宋体" w:hAnsi="宋体" w:eastAsia="宋体" w:cs="宋体"/>
                <w:color w:val="auto"/>
                <w:kern w:val="0"/>
                <w:sz w:val="21"/>
                <w:szCs w:val="21"/>
                <w:highlight w:val="none"/>
              </w:rPr>
              <w:t>18*8.5-8的真空轮胎。</w:t>
            </w:r>
          </w:p>
        </w:tc>
      </w:tr>
      <w:tr w14:paraId="3300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12" w:type="dxa"/>
            <w:shd w:val="clear" w:color="auto" w:fill="auto"/>
            <w:noWrap/>
            <w:vAlign w:val="center"/>
          </w:tcPr>
          <w:p w14:paraId="24C6E36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28</w:t>
            </w:r>
          </w:p>
        </w:tc>
        <w:tc>
          <w:tcPr>
            <w:tcW w:w="2400" w:type="dxa"/>
            <w:noWrap/>
            <w:vAlign w:val="center"/>
          </w:tcPr>
          <w:p w14:paraId="0709CAE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其它要求</w:t>
            </w:r>
          </w:p>
        </w:tc>
        <w:tc>
          <w:tcPr>
            <w:tcW w:w="6225" w:type="dxa"/>
            <w:noWrap/>
            <w:vAlign w:val="center"/>
          </w:tcPr>
          <w:p w14:paraId="57262A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可按采购方要求定制车身外观颜色及LOGO标志。</w:t>
            </w:r>
          </w:p>
        </w:tc>
      </w:tr>
    </w:tbl>
    <w:p w14:paraId="6D6CFF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注：1、</w:t>
      </w:r>
      <w:r>
        <w:rPr>
          <w:rFonts w:hint="eastAsia" w:ascii="宋体" w:hAnsi="宋体" w:eastAsia="宋体" w:cs="宋体"/>
          <w:b/>
          <w:bCs/>
          <w:color w:val="auto"/>
          <w:sz w:val="24"/>
          <w:szCs w:val="24"/>
          <w:highlight w:val="none"/>
          <w:u w:val="single"/>
          <w:lang w:eastAsia="zh-CN"/>
        </w:rPr>
        <w:t>▲14座非封闭式蓄电池观光车技术参数中的序号1-9的技术参数须提供国家认可的具有CMA或CNAS机构出具的特种设备型式试验报告，6座高尔夫球车技术参数中的序号1-9的技术参数须提供国家认可的具有CMA或CNAS机构出具的型式试验报告，投标人未提供的，相应技术参数视作负偏离处理；</w:t>
      </w:r>
    </w:p>
    <w:p w14:paraId="587C7A9F">
      <w:pPr>
        <w:keepNext w:val="0"/>
        <w:keepLines w:val="0"/>
        <w:pageBreakBefore w:val="0"/>
        <w:widowControl w:val="0"/>
        <w:numPr>
          <w:ilvl w:val="0"/>
          <w:numId w:val="3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color w:val="auto"/>
          <w:sz w:val="24"/>
          <w:szCs w:val="24"/>
          <w:highlight w:val="none"/>
          <w:u w:val="single"/>
        </w:rPr>
        <w:t>▲招标技术参数中要求提供的相关证明材料，投标人未提供的，相应技术参数视作负偏离处理</w:t>
      </w:r>
      <w:r>
        <w:rPr>
          <w:rFonts w:hint="eastAsia" w:ascii="宋体" w:hAnsi="宋体" w:eastAsia="宋体" w:cs="宋体"/>
          <w:b/>
          <w:bCs/>
          <w:color w:val="auto"/>
          <w:spacing w:val="4"/>
          <w:sz w:val="24"/>
          <w:szCs w:val="24"/>
          <w:highlight w:val="none"/>
          <w:u w:val="single"/>
          <w:lang w:val="zh-CN"/>
        </w:rPr>
        <w:t>。</w:t>
      </w:r>
    </w:p>
    <w:p w14:paraId="4AB7A92D">
      <w:pPr>
        <w:pStyle w:val="19"/>
        <w:pageBreakBefore w:val="0"/>
        <w:kinsoku/>
        <w:wordWrap/>
        <w:topLinePunct w:val="0"/>
        <w:bidi w:val="0"/>
        <w:snapToGrid w:val="0"/>
        <w:spacing w:line="360" w:lineRule="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3、商务条款</w:t>
      </w:r>
    </w:p>
    <w:p w14:paraId="132A7FEC">
      <w:pPr>
        <w:pStyle w:val="19"/>
        <w:pageBreakBefore w:val="0"/>
        <w:kinsoku/>
        <w:wordWrap/>
        <w:topLinePunct w:val="0"/>
        <w:bidi w:val="0"/>
        <w:snapToGrid w:val="0"/>
        <w:spacing w:line="360" w:lineRule="auto"/>
        <w:rPr>
          <w:rFonts w:hint="eastAsia" w:ascii="宋体" w:hAnsi="宋体" w:eastAsia="宋体" w:cs="宋体"/>
          <w:b w:val="0"/>
          <w:color w:val="auto"/>
          <w:kern w:val="2"/>
          <w:sz w:val="22"/>
          <w:szCs w:val="22"/>
          <w:highlight w:val="none"/>
          <w:lang w:val="en-US" w:eastAsia="zh-CN" w:bidi="ar-SA"/>
        </w:rPr>
      </w:pPr>
      <w:r>
        <w:rPr>
          <w:rFonts w:hint="eastAsia" w:ascii="宋体" w:hAnsi="宋体" w:eastAsia="宋体" w:cs="宋体"/>
          <w:b w:val="0"/>
          <w:color w:val="auto"/>
          <w:kern w:val="2"/>
          <w:sz w:val="22"/>
          <w:szCs w:val="22"/>
          <w:highlight w:val="none"/>
          <w:lang w:val="en-US" w:eastAsia="zh-CN" w:bidi="ar-SA"/>
        </w:rPr>
        <w:t>3.1 交付日期：</w:t>
      </w:r>
    </w:p>
    <w:p w14:paraId="6F0F5E9B">
      <w:pPr>
        <w:pStyle w:val="19"/>
        <w:pageBreakBefore w:val="0"/>
        <w:kinsoku/>
        <w:wordWrap/>
        <w:topLinePunct w:val="0"/>
        <w:bidi w:val="0"/>
        <w:snapToGrid w:val="0"/>
        <w:spacing w:line="360" w:lineRule="auto"/>
        <w:ind w:firstLine="442" w:firstLineChars="200"/>
        <w:rPr>
          <w:rFonts w:hint="eastAsia" w:ascii="宋体" w:hAnsi="宋体" w:eastAsia="宋体" w:cs="宋体"/>
          <w:b/>
          <w:color w:val="auto"/>
          <w:sz w:val="22"/>
          <w:highlight w:val="green"/>
          <w:u w:val="single"/>
          <w:lang w:val="en-US" w:eastAsia="zh-CN"/>
        </w:rPr>
      </w:pPr>
      <w:r>
        <w:rPr>
          <w:rFonts w:hint="eastAsia" w:ascii="宋体" w:hAnsi="宋体" w:eastAsia="宋体" w:cs="宋体"/>
          <w:b/>
          <w:color w:val="auto"/>
          <w:sz w:val="22"/>
          <w:highlight w:val="none"/>
          <w:u w:val="single"/>
        </w:rPr>
        <w:t>▲</w:t>
      </w:r>
      <w:r>
        <w:rPr>
          <w:rFonts w:hint="eastAsia" w:ascii="宋体" w:hAnsi="宋体" w:eastAsia="宋体" w:cs="宋体"/>
          <w:b/>
          <w:bCs/>
          <w:color w:val="auto"/>
          <w:sz w:val="22"/>
          <w:szCs w:val="22"/>
          <w:highlight w:val="none"/>
          <w:u w:val="single"/>
          <w:lang w:val="en-US" w:eastAsia="zh-CN"/>
        </w:rPr>
        <w:t>交货期限：</w:t>
      </w:r>
      <w:r>
        <w:rPr>
          <w:rFonts w:hint="eastAsia" w:ascii="宋体" w:hAnsi="宋体" w:eastAsia="宋体" w:cs="宋体"/>
          <w:b/>
          <w:color w:val="auto"/>
          <w:sz w:val="22"/>
          <w:highlight w:val="none"/>
          <w:u w:val="single"/>
        </w:rPr>
        <w:t>本合同签订后，</w:t>
      </w:r>
      <w:r>
        <w:rPr>
          <w:rFonts w:hint="eastAsia" w:ascii="宋体" w:hAnsi="宋体" w:eastAsia="宋体" w:cs="宋体"/>
          <w:b/>
          <w:color w:val="auto"/>
          <w:sz w:val="22"/>
          <w:highlight w:val="none"/>
          <w:u w:val="single"/>
          <w:lang w:eastAsia="zh-CN"/>
        </w:rPr>
        <w:t>乙方</w:t>
      </w:r>
      <w:r>
        <w:rPr>
          <w:rFonts w:hint="eastAsia" w:ascii="宋体" w:hAnsi="宋体" w:eastAsia="宋体" w:cs="宋体"/>
          <w:b/>
          <w:color w:val="auto"/>
          <w:sz w:val="22"/>
          <w:highlight w:val="none"/>
          <w:u w:val="single"/>
        </w:rPr>
        <w:t>于收到</w:t>
      </w:r>
      <w:r>
        <w:rPr>
          <w:rFonts w:hint="eastAsia" w:ascii="宋体" w:hAnsi="宋体" w:eastAsia="宋体" w:cs="宋体"/>
          <w:b/>
          <w:color w:val="auto"/>
          <w:sz w:val="22"/>
          <w:highlight w:val="none"/>
          <w:u w:val="single"/>
          <w:lang w:eastAsia="zh-CN"/>
        </w:rPr>
        <w:t>甲方</w:t>
      </w:r>
      <w:r>
        <w:rPr>
          <w:rFonts w:hint="eastAsia" w:ascii="宋体" w:hAnsi="宋体" w:eastAsia="宋体" w:cs="宋体"/>
          <w:b/>
          <w:color w:val="auto"/>
          <w:sz w:val="22"/>
          <w:highlight w:val="none"/>
          <w:u w:val="single"/>
        </w:rPr>
        <w:t>支付合同金额</w:t>
      </w:r>
      <w:r>
        <w:rPr>
          <w:rFonts w:hint="eastAsia" w:ascii="宋体" w:hAnsi="宋体" w:eastAsia="宋体" w:cs="宋体"/>
          <w:b/>
          <w:color w:val="auto"/>
          <w:sz w:val="22"/>
          <w:highlight w:val="none"/>
          <w:u w:val="single"/>
          <w:lang w:val="en-US" w:eastAsia="zh-CN"/>
        </w:rPr>
        <w:t>4</w:t>
      </w:r>
      <w:r>
        <w:rPr>
          <w:rFonts w:hint="eastAsia" w:ascii="宋体" w:hAnsi="宋体" w:eastAsia="宋体" w:cs="宋体"/>
          <w:b/>
          <w:color w:val="auto"/>
          <w:sz w:val="22"/>
          <w:highlight w:val="none"/>
          <w:u w:val="single"/>
        </w:rPr>
        <w:t>0%的预付款后开始计算交货时间，交货时间为</w:t>
      </w:r>
      <w:r>
        <w:rPr>
          <w:rFonts w:hint="eastAsia" w:ascii="宋体" w:hAnsi="宋体" w:eastAsia="宋体" w:cs="宋体"/>
          <w:b/>
          <w:color w:val="auto"/>
          <w:sz w:val="22"/>
          <w:highlight w:val="none"/>
          <w:u w:val="single"/>
          <w:lang w:val="en-US" w:eastAsia="zh-CN"/>
        </w:rPr>
        <w:t>乙方收到上述预付款之日起15天</w:t>
      </w:r>
      <w:r>
        <w:rPr>
          <w:rFonts w:hint="eastAsia" w:ascii="宋体" w:hAnsi="宋体" w:eastAsia="宋体" w:cs="宋体"/>
          <w:b/>
          <w:color w:val="auto"/>
          <w:sz w:val="22"/>
          <w:highlight w:val="none"/>
          <w:u w:val="single"/>
          <w:lang w:eastAsia="zh-CN"/>
        </w:rPr>
        <w:t>，</w:t>
      </w:r>
      <w:r>
        <w:rPr>
          <w:rFonts w:hint="eastAsia" w:ascii="宋体" w:hAnsi="宋体" w:eastAsia="宋体" w:cs="宋体"/>
          <w:b/>
          <w:color w:val="auto"/>
          <w:sz w:val="22"/>
          <w:highlight w:val="none"/>
          <w:u w:val="single"/>
          <w:lang w:val="en-US" w:eastAsia="zh-CN"/>
        </w:rPr>
        <w:t>乙方应当保证在该交货时间内自行运输或委托第三方将全部货物运输并卸货至甲方指定地点</w:t>
      </w:r>
      <w:r>
        <w:rPr>
          <w:rFonts w:hint="eastAsia" w:ascii="宋体" w:hAnsi="宋体" w:eastAsia="宋体" w:cs="宋体"/>
          <w:b/>
          <w:color w:val="auto"/>
          <w:sz w:val="22"/>
          <w:highlight w:val="none"/>
          <w:u w:val="single"/>
          <w:lang w:eastAsia="zh-CN"/>
        </w:rPr>
        <w:t>，</w:t>
      </w:r>
      <w:r>
        <w:rPr>
          <w:rFonts w:hint="eastAsia" w:ascii="宋体" w:hAnsi="宋体" w:eastAsia="宋体" w:cs="宋体"/>
          <w:b/>
          <w:color w:val="auto"/>
          <w:sz w:val="22"/>
          <w:highlight w:val="none"/>
          <w:u w:val="single"/>
        </w:rPr>
        <w:t>完成供货、调试，并通过验收。</w:t>
      </w:r>
    </w:p>
    <w:p w14:paraId="0D1A07A1">
      <w:pPr>
        <w:pStyle w:val="19"/>
        <w:pageBreakBefore w:val="0"/>
        <w:kinsoku/>
        <w:wordWrap/>
        <w:topLinePunct w:val="0"/>
        <w:bidi w:val="0"/>
        <w:snapToGrid w:val="0"/>
        <w:spacing w:line="360" w:lineRule="auto"/>
        <w:ind w:firstLine="442" w:firstLineChars="2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u w:val="single"/>
          <w:lang w:val="en-US" w:eastAsia="zh-CN"/>
        </w:rPr>
        <w:t>交付地点：温州市江心屿景区或采购人指定地点。</w:t>
      </w:r>
    </w:p>
    <w:p w14:paraId="26EE9A6D">
      <w:pPr>
        <w:pStyle w:val="19"/>
        <w:pageBreakBefore w:val="0"/>
        <w:kinsoku/>
        <w:wordWrap/>
        <w:topLinePunct w:val="0"/>
        <w:bidi w:val="0"/>
        <w:snapToGrid w:val="0"/>
        <w:spacing w:line="360" w:lineRule="auto"/>
        <w:rPr>
          <w:rFonts w:hint="eastAsia" w:ascii="宋体" w:hAnsi="宋体" w:eastAsia="宋体" w:cs="宋体"/>
          <w:b/>
          <w:bCs/>
          <w:color w:val="auto"/>
          <w:kern w:val="0"/>
          <w:sz w:val="22"/>
          <w:szCs w:val="22"/>
          <w:highlight w:val="none"/>
        </w:rPr>
      </w:pPr>
      <w:r>
        <w:rPr>
          <w:rFonts w:hint="eastAsia" w:ascii="宋体" w:hAnsi="宋体" w:eastAsia="宋体" w:cs="宋体"/>
          <w:color w:val="auto"/>
          <w:sz w:val="22"/>
          <w:szCs w:val="22"/>
          <w:highlight w:val="none"/>
          <w:lang w:val="en-US" w:eastAsia="zh-CN"/>
        </w:rPr>
        <w:t xml:space="preserve">3.2 </w:t>
      </w:r>
      <w:r>
        <w:rPr>
          <w:rFonts w:hint="eastAsia" w:ascii="宋体" w:hAnsi="宋体" w:eastAsia="宋体" w:cs="宋体"/>
          <w:b/>
          <w:bCs/>
          <w:color w:val="auto"/>
          <w:kern w:val="0"/>
          <w:sz w:val="22"/>
          <w:szCs w:val="22"/>
          <w:highlight w:val="none"/>
        </w:rPr>
        <w:t>产品质量保证期：</w:t>
      </w:r>
    </w:p>
    <w:p w14:paraId="7D659EBD">
      <w:pPr>
        <w:pStyle w:val="135"/>
        <w:pageBreakBefore w:val="0"/>
        <w:kinsoku/>
        <w:wordWrap/>
        <w:topLinePunct w:val="0"/>
        <w:bidi w:val="0"/>
        <w:spacing w:line="360" w:lineRule="auto"/>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highlight w:val="none"/>
          <w:u w:val="single"/>
        </w:rPr>
        <w:t>▲</w:t>
      </w:r>
      <w:r>
        <w:rPr>
          <w:rFonts w:hint="eastAsia" w:ascii="宋体" w:hAnsi="宋体" w:eastAsia="宋体" w:cs="宋体"/>
          <w:b/>
          <w:bCs w:val="0"/>
          <w:color w:val="auto"/>
          <w:sz w:val="22"/>
          <w:szCs w:val="22"/>
          <w:highlight w:val="none"/>
          <w:u w:val="single"/>
          <w:lang w:val="en-US" w:eastAsia="zh-CN"/>
        </w:rPr>
        <w:t>供应商</w:t>
      </w:r>
      <w:r>
        <w:rPr>
          <w:rFonts w:hint="eastAsia" w:ascii="宋体" w:hAnsi="宋体" w:eastAsia="宋体" w:cs="宋体"/>
          <w:b/>
          <w:bCs w:val="0"/>
          <w:color w:val="auto"/>
          <w:sz w:val="22"/>
          <w:szCs w:val="22"/>
          <w:highlight w:val="none"/>
          <w:u w:val="single"/>
        </w:rPr>
        <w:t>必须对合同中的产品提供不得少于</w:t>
      </w:r>
      <w:r>
        <w:rPr>
          <w:rFonts w:hint="eastAsia" w:ascii="宋体" w:hAnsi="宋体" w:eastAsia="宋体" w:cs="宋体"/>
          <w:b/>
          <w:bCs w:val="0"/>
          <w:color w:val="auto"/>
          <w:sz w:val="22"/>
          <w:szCs w:val="22"/>
          <w:highlight w:val="none"/>
          <w:u w:val="single"/>
          <w:lang w:val="en-US" w:eastAsia="zh-CN"/>
        </w:rPr>
        <w:t>1</w:t>
      </w:r>
      <w:r>
        <w:rPr>
          <w:rFonts w:hint="eastAsia" w:ascii="宋体" w:hAnsi="宋体" w:eastAsia="宋体" w:cs="宋体"/>
          <w:b/>
          <w:bCs w:val="0"/>
          <w:color w:val="auto"/>
          <w:sz w:val="22"/>
          <w:szCs w:val="22"/>
          <w:highlight w:val="none"/>
          <w:u w:val="single"/>
        </w:rPr>
        <w:t>年的整车免费质保期，</w:t>
      </w:r>
      <w:r>
        <w:rPr>
          <w:rFonts w:hint="eastAsia" w:ascii="宋体" w:hAnsi="宋体" w:eastAsia="宋体" w:cs="宋体"/>
          <w:b/>
          <w:bCs w:val="0"/>
          <w:color w:val="auto"/>
          <w:sz w:val="22"/>
          <w:szCs w:val="22"/>
          <w:highlight w:val="none"/>
          <w:u w:val="single"/>
          <w:lang w:eastAsia="zh-CN"/>
        </w:rPr>
        <w:t>时间从</w:t>
      </w:r>
      <w:r>
        <w:rPr>
          <w:rFonts w:hint="eastAsia" w:ascii="宋体" w:hAnsi="宋体" w:eastAsia="宋体" w:cs="宋体"/>
          <w:b/>
          <w:bCs w:val="0"/>
          <w:color w:val="auto"/>
          <w:sz w:val="22"/>
          <w:szCs w:val="22"/>
          <w:highlight w:val="none"/>
          <w:u w:val="single"/>
          <w:lang w:val="en-US" w:eastAsia="zh-CN"/>
        </w:rPr>
        <w:t>所购买车辆</w:t>
      </w:r>
      <w:r>
        <w:rPr>
          <w:rFonts w:hint="eastAsia" w:ascii="宋体" w:hAnsi="宋体" w:eastAsia="宋体" w:cs="宋体"/>
          <w:b/>
          <w:bCs w:val="0"/>
          <w:color w:val="auto"/>
          <w:sz w:val="22"/>
          <w:szCs w:val="22"/>
          <w:highlight w:val="none"/>
          <w:u w:val="single"/>
        </w:rPr>
        <w:t>整车</w:t>
      </w:r>
      <w:r>
        <w:rPr>
          <w:rFonts w:hint="eastAsia" w:ascii="宋体" w:hAnsi="宋体" w:eastAsia="宋体" w:cs="宋体"/>
          <w:b/>
          <w:bCs w:val="0"/>
          <w:color w:val="auto"/>
          <w:sz w:val="22"/>
          <w:szCs w:val="22"/>
          <w:highlight w:val="none"/>
          <w:u w:val="single"/>
          <w:lang w:eastAsia="zh-CN"/>
        </w:rPr>
        <w:t>安装调试完成，验收通过之日起计算</w:t>
      </w:r>
      <w:r>
        <w:rPr>
          <w:rFonts w:hint="eastAsia" w:ascii="宋体" w:hAnsi="宋体" w:eastAsia="宋体" w:cs="宋体"/>
          <w:b/>
          <w:bCs w:val="0"/>
          <w:color w:val="auto"/>
          <w:sz w:val="22"/>
          <w:szCs w:val="22"/>
          <w:highlight w:val="none"/>
          <w:u w:val="single"/>
        </w:rPr>
        <w:t>，免费质保期内免费上门服务（免费是指免零部件、材料费、人工费、交通住宿费等与上门保修服务有关的一切费用），终身</w:t>
      </w:r>
      <w:r>
        <w:rPr>
          <w:rFonts w:hint="eastAsia" w:ascii="宋体" w:hAnsi="宋体" w:eastAsia="宋体" w:cs="宋体"/>
          <w:b/>
          <w:bCs w:val="0"/>
          <w:color w:val="auto"/>
          <w:sz w:val="22"/>
          <w:szCs w:val="22"/>
          <w:highlight w:val="none"/>
          <w:u w:val="single"/>
          <w:lang w:eastAsia="zh-CN"/>
        </w:rPr>
        <w:t>上门</w:t>
      </w:r>
      <w:r>
        <w:rPr>
          <w:rFonts w:hint="eastAsia" w:ascii="宋体" w:hAnsi="宋体" w:eastAsia="宋体" w:cs="宋体"/>
          <w:b/>
          <w:bCs w:val="0"/>
          <w:color w:val="auto"/>
          <w:sz w:val="22"/>
          <w:szCs w:val="22"/>
          <w:highlight w:val="none"/>
          <w:u w:val="single"/>
        </w:rPr>
        <w:t>维修。如厂商本身承诺的产品质保期高于采购文件要求的则按照厂商承诺执行。</w:t>
      </w:r>
    </w:p>
    <w:p w14:paraId="564E8B91">
      <w:pPr>
        <w:pStyle w:val="19"/>
        <w:pageBreakBefore w:val="0"/>
        <w:kinsoku/>
        <w:wordWrap/>
        <w:topLinePunct w:val="0"/>
        <w:bidi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3.3 付款方式</w:t>
      </w:r>
    </w:p>
    <w:p w14:paraId="748C7095">
      <w:pPr>
        <w:pStyle w:val="135"/>
        <w:pageBreakBefore w:val="0"/>
        <w:kinsoku/>
        <w:wordWrap/>
        <w:topLinePunct w:val="0"/>
        <w:bidi w:val="0"/>
        <w:spacing w:line="360" w:lineRule="auto"/>
        <w:ind w:firstLine="442" w:firstLineChars="200"/>
        <w:rPr>
          <w:rFonts w:hint="eastAsia" w:ascii="宋体" w:hAnsi="宋体" w:eastAsia="宋体" w:cs="宋体"/>
          <w:b/>
          <w:bCs w:val="0"/>
          <w:color w:val="auto"/>
          <w:sz w:val="22"/>
          <w:highlight w:val="none"/>
          <w:u w:val="none"/>
        </w:rPr>
      </w:pPr>
      <w:r>
        <w:rPr>
          <w:rFonts w:hint="eastAsia" w:ascii="宋体" w:hAnsi="宋体" w:eastAsia="宋体" w:cs="宋体"/>
          <w:b/>
          <w:bCs w:val="0"/>
          <w:color w:val="auto"/>
          <w:sz w:val="22"/>
          <w:highlight w:val="none"/>
          <w:u w:val="none"/>
        </w:rPr>
        <w:t>合同签订之日起</w:t>
      </w:r>
      <w:r>
        <w:rPr>
          <w:rFonts w:hint="eastAsia" w:ascii="宋体" w:hAnsi="宋体" w:eastAsia="宋体" w:cs="宋体"/>
          <w:b/>
          <w:bCs w:val="0"/>
          <w:color w:val="auto"/>
          <w:sz w:val="22"/>
          <w:highlight w:val="none"/>
          <w:u w:val="none"/>
          <w:lang w:val="en-US" w:eastAsia="zh-CN"/>
        </w:rPr>
        <w:t>20</w:t>
      </w:r>
      <w:r>
        <w:rPr>
          <w:rFonts w:hint="eastAsia" w:ascii="宋体" w:hAnsi="宋体" w:eastAsia="宋体" w:cs="宋体"/>
          <w:b/>
          <w:bCs w:val="0"/>
          <w:color w:val="auto"/>
          <w:sz w:val="22"/>
          <w:highlight w:val="none"/>
          <w:u w:val="none"/>
        </w:rPr>
        <w:t>个工作日内支付</w:t>
      </w:r>
      <w:r>
        <w:rPr>
          <w:rFonts w:hint="eastAsia" w:ascii="宋体" w:hAnsi="宋体" w:eastAsia="宋体" w:cs="宋体"/>
          <w:b/>
          <w:bCs w:val="0"/>
          <w:color w:val="auto"/>
          <w:sz w:val="22"/>
          <w:highlight w:val="none"/>
          <w:u w:val="none"/>
          <w:lang w:val="en-US" w:eastAsia="zh-CN"/>
        </w:rPr>
        <w:t>合同价款的40</w:t>
      </w:r>
      <w:r>
        <w:rPr>
          <w:rFonts w:hint="eastAsia" w:ascii="宋体" w:hAnsi="宋体" w:eastAsia="宋体" w:cs="宋体"/>
          <w:b/>
          <w:bCs w:val="0"/>
          <w:color w:val="auto"/>
          <w:sz w:val="22"/>
          <w:highlight w:val="none"/>
          <w:u w:val="none"/>
        </w:rPr>
        <w:t>%</w:t>
      </w:r>
      <w:r>
        <w:rPr>
          <w:rFonts w:hint="eastAsia" w:ascii="宋体" w:hAnsi="宋体" w:eastAsia="宋体" w:cs="宋体"/>
          <w:b/>
          <w:bCs w:val="0"/>
          <w:color w:val="auto"/>
          <w:sz w:val="22"/>
          <w:highlight w:val="none"/>
          <w:u w:val="none"/>
          <w:lang w:val="en-US" w:eastAsia="zh-CN"/>
        </w:rPr>
        <w:t>为</w:t>
      </w:r>
      <w:r>
        <w:rPr>
          <w:rFonts w:hint="eastAsia" w:ascii="宋体" w:hAnsi="宋体" w:eastAsia="宋体" w:cs="宋体"/>
          <w:b/>
          <w:bCs w:val="0"/>
          <w:color w:val="auto"/>
          <w:sz w:val="22"/>
          <w:highlight w:val="none"/>
          <w:u w:val="none"/>
        </w:rPr>
        <w:t>预付款；</w:t>
      </w:r>
    </w:p>
    <w:p w14:paraId="71FC8B0C">
      <w:pPr>
        <w:pStyle w:val="135"/>
        <w:pageBreakBefore w:val="0"/>
        <w:kinsoku/>
        <w:wordWrap/>
        <w:topLinePunct w:val="0"/>
        <w:bidi w:val="0"/>
        <w:spacing w:line="360" w:lineRule="auto"/>
        <w:ind w:firstLine="442" w:firstLineChars="200"/>
        <w:rPr>
          <w:rFonts w:hint="eastAsia" w:ascii="宋体" w:hAnsi="宋体" w:eastAsia="宋体" w:cs="宋体"/>
          <w:b/>
          <w:bCs w:val="0"/>
          <w:color w:val="auto"/>
          <w:sz w:val="22"/>
          <w:highlight w:val="none"/>
          <w:u w:val="none"/>
          <w:lang w:eastAsia="zh-CN"/>
        </w:rPr>
      </w:pPr>
      <w:r>
        <w:rPr>
          <w:rFonts w:hint="eastAsia" w:ascii="宋体" w:hAnsi="宋体" w:eastAsia="宋体" w:cs="宋体"/>
          <w:b/>
          <w:bCs w:val="0"/>
          <w:color w:val="auto"/>
          <w:sz w:val="22"/>
          <w:highlight w:val="none"/>
          <w:u w:val="none"/>
        </w:rPr>
        <w:t>待车辆</w:t>
      </w:r>
      <w:r>
        <w:rPr>
          <w:rFonts w:hint="eastAsia" w:ascii="宋体" w:hAnsi="宋体" w:eastAsia="宋体" w:cs="宋体"/>
          <w:b/>
          <w:bCs w:val="0"/>
          <w:color w:val="auto"/>
          <w:sz w:val="22"/>
          <w:highlight w:val="none"/>
          <w:u w:val="none"/>
          <w:lang w:eastAsia="zh-CN"/>
        </w:rPr>
        <w:t>安装调试完成后</w:t>
      </w:r>
      <w:r>
        <w:rPr>
          <w:rFonts w:hint="eastAsia" w:ascii="宋体" w:hAnsi="宋体" w:eastAsia="宋体" w:cs="宋体"/>
          <w:b/>
          <w:bCs w:val="0"/>
          <w:color w:val="auto"/>
          <w:sz w:val="22"/>
          <w:highlight w:val="none"/>
          <w:u w:val="none"/>
        </w:rPr>
        <w:t>交付采购人并</w:t>
      </w:r>
      <w:r>
        <w:rPr>
          <w:rFonts w:hint="eastAsia" w:ascii="宋体" w:hAnsi="宋体" w:eastAsia="宋体" w:cs="宋体"/>
          <w:b/>
          <w:bCs w:val="0"/>
          <w:color w:val="auto"/>
          <w:sz w:val="22"/>
          <w:highlight w:val="none"/>
          <w:u w:val="none"/>
          <w:lang w:val="en-US" w:eastAsia="zh-CN"/>
        </w:rPr>
        <w:t>最终</w:t>
      </w:r>
      <w:r>
        <w:rPr>
          <w:rFonts w:hint="eastAsia" w:ascii="宋体" w:hAnsi="宋体" w:eastAsia="宋体" w:cs="宋体"/>
          <w:b/>
          <w:bCs w:val="0"/>
          <w:color w:val="auto"/>
          <w:sz w:val="22"/>
          <w:highlight w:val="none"/>
          <w:u w:val="none"/>
        </w:rPr>
        <w:t>验收合格</w:t>
      </w:r>
      <w:r>
        <w:rPr>
          <w:rFonts w:hint="eastAsia" w:ascii="宋体" w:hAnsi="宋体" w:eastAsia="宋体" w:cs="宋体"/>
          <w:b/>
          <w:bCs w:val="0"/>
          <w:color w:val="auto"/>
          <w:sz w:val="22"/>
          <w:highlight w:val="none"/>
          <w:u w:val="none"/>
          <w:lang w:eastAsia="zh-CN"/>
        </w:rPr>
        <w:t>，</w:t>
      </w:r>
      <w:r>
        <w:rPr>
          <w:rFonts w:hint="eastAsia" w:ascii="宋体" w:hAnsi="宋体" w:eastAsia="宋体" w:cs="宋体"/>
          <w:b/>
          <w:bCs w:val="0"/>
          <w:color w:val="auto"/>
          <w:sz w:val="22"/>
          <w:highlight w:val="none"/>
          <w:u w:val="none"/>
          <w:lang w:val="en-US" w:eastAsia="zh-CN"/>
        </w:rPr>
        <w:t>且</w:t>
      </w:r>
      <w:r>
        <w:rPr>
          <w:rFonts w:hint="eastAsia" w:ascii="宋体" w:hAnsi="宋体" w:eastAsia="宋体" w:cs="宋体"/>
          <w:b/>
          <w:bCs w:val="0"/>
          <w:color w:val="auto"/>
          <w:sz w:val="22"/>
          <w:highlight w:val="none"/>
          <w:u w:val="none"/>
          <w:lang w:eastAsia="zh-CN"/>
        </w:rPr>
        <w:t>14座非封闭式蓄电池观光车</w:t>
      </w:r>
      <w:r>
        <w:rPr>
          <w:rFonts w:hint="eastAsia" w:ascii="宋体" w:hAnsi="宋体" w:eastAsia="宋体" w:cs="宋体"/>
          <w:b/>
          <w:bCs w:val="0"/>
          <w:color w:val="auto"/>
          <w:sz w:val="22"/>
          <w:highlight w:val="none"/>
          <w:u w:val="none"/>
          <w:lang w:val="en-US" w:eastAsia="zh-CN"/>
        </w:rPr>
        <w:t>辆通过温州市特种设备检测科学研究院检验并</w:t>
      </w:r>
      <w:r>
        <w:rPr>
          <w:rFonts w:hint="eastAsia" w:ascii="宋体" w:hAnsi="宋体" w:eastAsia="宋体" w:cs="宋体"/>
          <w:b/>
          <w:bCs w:val="0"/>
          <w:color w:val="auto"/>
          <w:sz w:val="22"/>
          <w:highlight w:val="none"/>
          <w:u w:val="none"/>
        </w:rPr>
        <w:t>办理上牌</w:t>
      </w:r>
      <w:r>
        <w:rPr>
          <w:rFonts w:hint="eastAsia" w:ascii="宋体" w:hAnsi="宋体" w:eastAsia="宋体" w:cs="宋体"/>
          <w:b/>
          <w:bCs w:val="0"/>
          <w:color w:val="auto"/>
          <w:sz w:val="22"/>
          <w:highlight w:val="none"/>
          <w:u w:val="none"/>
          <w:lang w:eastAsia="zh-CN"/>
        </w:rPr>
        <w:t>后20个工作日内，支付至合同规定的两种车型实际到货数量价款的95%。</w:t>
      </w:r>
    </w:p>
    <w:p w14:paraId="7C12E75D">
      <w:pPr>
        <w:pStyle w:val="135"/>
        <w:pageBreakBefore w:val="0"/>
        <w:kinsoku/>
        <w:wordWrap/>
        <w:topLinePunct w:val="0"/>
        <w:bidi w:val="0"/>
        <w:spacing w:line="360" w:lineRule="auto"/>
        <w:ind w:firstLine="442" w:firstLineChars="200"/>
        <w:rPr>
          <w:rFonts w:hint="eastAsia" w:ascii="宋体" w:hAnsi="宋体" w:eastAsia="宋体" w:cs="宋体"/>
          <w:b/>
          <w:bCs w:val="0"/>
          <w:color w:val="auto"/>
          <w:sz w:val="22"/>
          <w:highlight w:val="none"/>
          <w:u w:val="none"/>
          <w:lang w:val="en-US" w:eastAsia="zh-CN"/>
        </w:rPr>
      </w:pPr>
      <w:r>
        <w:rPr>
          <w:rFonts w:hint="eastAsia" w:ascii="宋体" w:hAnsi="宋体" w:eastAsia="宋体" w:cs="宋体"/>
          <w:b/>
          <w:bCs w:val="0"/>
          <w:color w:val="auto"/>
          <w:sz w:val="22"/>
          <w:highlight w:val="none"/>
          <w:u w:val="none"/>
          <w:lang w:val="zh-CN" w:eastAsia="zh-CN"/>
        </w:rPr>
        <w:t>最终合同结算款</w:t>
      </w:r>
      <w:r>
        <w:rPr>
          <w:rFonts w:hint="eastAsia" w:ascii="宋体" w:hAnsi="宋体" w:eastAsia="宋体" w:cs="宋体"/>
          <w:b/>
          <w:bCs w:val="0"/>
          <w:color w:val="auto"/>
          <w:sz w:val="22"/>
          <w:highlight w:val="none"/>
          <w:u w:val="none"/>
          <w:lang w:val="en-US" w:eastAsia="zh-CN"/>
        </w:rPr>
        <w:t>的</w:t>
      </w:r>
      <w:r>
        <w:rPr>
          <w:rFonts w:hint="eastAsia" w:ascii="宋体" w:hAnsi="宋体" w:eastAsia="宋体" w:cs="宋体"/>
          <w:b/>
          <w:bCs w:val="0"/>
          <w:color w:val="auto"/>
          <w:sz w:val="22"/>
          <w:highlight w:val="none"/>
          <w:u w:val="none"/>
        </w:rPr>
        <w:t>5%作为质保金</w:t>
      </w:r>
      <w:r>
        <w:rPr>
          <w:rFonts w:hint="eastAsia" w:ascii="宋体" w:hAnsi="宋体" w:eastAsia="宋体" w:cs="宋体"/>
          <w:b/>
          <w:bCs w:val="0"/>
          <w:color w:val="auto"/>
          <w:sz w:val="22"/>
          <w:highlight w:val="none"/>
          <w:u w:val="none"/>
          <w:lang w:eastAsia="zh-CN"/>
        </w:rPr>
        <w:t>，</w:t>
      </w:r>
      <w:r>
        <w:rPr>
          <w:rFonts w:hint="eastAsia" w:ascii="宋体" w:hAnsi="宋体" w:eastAsia="宋体" w:cs="宋体"/>
          <w:b/>
          <w:bCs w:val="0"/>
          <w:color w:val="auto"/>
          <w:sz w:val="22"/>
          <w:highlight w:val="none"/>
          <w:u w:val="none"/>
        </w:rPr>
        <w:t>质量保证金质保期(不少于1年(含)</w:t>
      </w:r>
      <w:r>
        <w:rPr>
          <w:rFonts w:hint="eastAsia" w:ascii="宋体" w:hAnsi="宋体" w:eastAsia="宋体" w:cs="宋体"/>
          <w:b/>
          <w:bCs w:val="0"/>
          <w:color w:val="auto"/>
          <w:sz w:val="22"/>
          <w:highlight w:val="none"/>
          <w:u w:val="none"/>
          <w:lang w:eastAsia="zh-CN"/>
        </w:rPr>
        <w:t>，</w:t>
      </w:r>
      <w:r>
        <w:rPr>
          <w:rFonts w:hint="eastAsia" w:ascii="宋体" w:hAnsi="宋体" w:eastAsia="宋体" w:cs="宋体"/>
          <w:b/>
          <w:bCs w:val="0"/>
          <w:color w:val="auto"/>
          <w:sz w:val="22"/>
          <w:szCs w:val="22"/>
          <w:highlight w:val="none"/>
          <w:u w:val="none"/>
        </w:rPr>
        <w:t>厂商本身承诺的产品质保期高于采购文件要求的则按照厂商承诺执行</w:t>
      </w:r>
      <w:r>
        <w:rPr>
          <w:rFonts w:hint="eastAsia" w:ascii="宋体" w:hAnsi="宋体" w:eastAsia="宋体" w:cs="宋体"/>
          <w:b/>
          <w:bCs w:val="0"/>
          <w:color w:val="auto"/>
          <w:sz w:val="22"/>
          <w:highlight w:val="none"/>
          <w:u w:val="none"/>
        </w:rPr>
        <w:t>)满后，无质量及服务问题的，且</w:t>
      </w:r>
      <w:r>
        <w:rPr>
          <w:rFonts w:hint="eastAsia" w:ascii="宋体" w:hAnsi="宋体" w:eastAsia="宋体" w:cs="宋体"/>
          <w:b/>
          <w:bCs w:val="0"/>
          <w:color w:val="auto"/>
          <w:sz w:val="22"/>
          <w:highlight w:val="none"/>
          <w:u w:val="none"/>
          <w:lang w:val="en-US" w:eastAsia="zh-CN"/>
        </w:rPr>
        <w:t>所购买车辆</w:t>
      </w:r>
      <w:r>
        <w:rPr>
          <w:rFonts w:hint="eastAsia" w:ascii="宋体" w:hAnsi="宋体" w:eastAsia="宋体" w:cs="宋体"/>
          <w:b/>
          <w:bCs w:val="0"/>
          <w:color w:val="auto"/>
          <w:sz w:val="22"/>
          <w:highlight w:val="none"/>
          <w:u w:val="none"/>
        </w:rPr>
        <w:t>新车实际行驶三个月后，</w:t>
      </w:r>
      <w:r>
        <w:rPr>
          <w:rFonts w:hint="eastAsia" w:ascii="宋体" w:hAnsi="宋体" w:eastAsia="宋体" w:cs="宋体"/>
          <w:b/>
          <w:bCs w:val="0"/>
          <w:color w:val="auto"/>
          <w:sz w:val="22"/>
          <w:highlight w:val="none"/>
          <w:u w:val="none"/>
          <w:lang w:val="en-US" w:eastAsia="zh-CN"/>
        </w:rPr>
        <w:t>乙方</w:t>
      </w:r>
      <w:r>
        <w:rPr>
          <w:rFonts w:hint="eastAsia" w:ascii="宋体" w:hAnsi="宋体" w:eastAsia="宋体" w:cs="宋体"/>
          <w:b/>
          <w:bCs w:val="0"/>
          <w:color w:val="auto"/>
          <w:sz w:val="22"/>
          <w:highlight w:val="none"/>
          <w:u w:val="none"/>
        </w:rPr>
        <w:t>免费保养要求不少于1次(含)后，</w:t>
      </w:r>
      <w:r>
        <w:rPr>
          <w:rFonts w:hint="eastAsia" w:ascii="宋体" w:hAnsi="宋体" w:eastAsia="宋体" w:cs="宋体"/>
          <w:b/>
          <w:bCs w:val="0"/>
          <w:color w:val="auto"/>
          <w:sz w:val="22"/>
          <w:highlight w:val="none"/>
          <w:u w:val="none"/>
          <w:lang w:val="en-US" w:eastAsia="zh-CN"/>
        </w:rPr>
        <w:t>甲方支付</w:t>
      </w:r>
      <w:r>
        <w:rPr>
          <w:rFonts w:hint="eastAsia" w:ascii="宋体" w:hAnsi="宋体" w:eastAsia="宋体" w:cs="宋体"/>
          <w:b/>
          <w:bCs w:val="0"/>
          <w:color w:val="auto"/>
          <w:sz w:val="22"/>
          <w:highlight w:val="none"/>
          <w:u w:val="none"/>
          <w:lang w:val="zh-CN" w:eastAsia="zh-CN"/>
        </w:rPr>
        <w:t>最终合同结算款</w:t>
      </w:r>
      <w:r>
        <w:rPr>
          <w:rFonts w:hint="eastAsia" w:ascii="宋体" w:hAnsi="宋体" w:eastAsia="宋体" w:cs="宋体"/>
          <w:b/>
          <w:bCs w:val="0"/>
          <w:color w:val="auto"/>
          <w:sz w:val="22"/>
          <w:highlight w:val="none"/>
          <w:u w:val="none"/>
          <w:lang w:val="en-US" w:eastAsia="zh-CN"/>
        </w:rPr>
        <w:t>的5</w:t>
      </w:r>
      <w:r>
        <w:rPr>
          <w:rFonts w:hint="eastAsia" w:ascii="宋体" w:hAnsi="宋体" w:eastAsia="宋体" w:cs="宋体"/>
          <w:b/>
          <w:bCs w:val="0"/>
          <w:color w:val="auto"/>
          <w:sz w:val="22"/>
          <w:highlight w:val="none"/>
          <w:u w:val="none"/>
        </w:rPr>
        <w:t>%</w:t>
      </w:r>
      <w:r>
        <w:rPr>
          <w:rFonts w:hint="eastAsia" w:ascii="宋体" w:hAnsi="宋体" w:eastAsia="宋体" w:cs="宋体"/>
          <w:b/>
          <w:bCs w:val="0"/>
          <w:color w:val="auto"/>
          <w:sz w:val="22"/>
          <w:highlight w:val="none"/>
          <w:u w:val="none"/>
          <w:lang w:val="en-US" w:eastAsia="zh-CN"/>
        </w:rPr>
        <w:t>。</w:t>
      </w:r>
    </w:p>
    <w:p w14:paraId="15CDB212">
      <w:pPr>
        <w:pStyle w:val="135"/>
        <w:pageBreakBefore w:val="0"/>
        <w:kinsoku/>
        <w:wordWrap/>
        <w:topLinePunct w:val="0"/>
        <w:bidi w:val="0"/>
        <w:spacing w:line="360" w:lineRule="auto"/>
        <w:ind w:firstLine="442" w:firstLineChars="200"/>
        <w:rPr>
          <w:rFonts w:hint="eastAsia" w:ascii="宋体" w:hAnsi="宋体" w:eastAsia="宋体" w:cs="宋体"/>
          <w:b/>
          <w:bCs w:val="0"/>
          <w:color w:val="auto"/>
          <w:sz w:val="22"/>
          <w:highlight w:val="none"/>
          <w:u w:val="none"/>
          <w:lang w:val="en-US" w:eastAsia="zh-CN"/>
        </w:rPr>
      </w:pPr>
      <w:r>
        <w:rPr>
          <w:rFonts w:hint="eastAsia" w:ascii="宋体" w:hAnsi="宋体" w:eastAsia="宋体" w:cs="宋体"/>
          <w:b/>
          <w:color w:val="auto"/>
          <w:sz w:val="22"/>
          <w:highlight w:val="none"/>
          <w:u w:val="single"/>
          <w:lang w:val="en-US" w:eastAsia="zh-CN"/>
        </w:rPr>
        <w:t>采购人</w:t>
      </w:r>
      <w:r>
        <w:rPr>
          <w:rFonts w:hint="eastAsia" w:ascii="宋体" w:hAnsi="宋体" w:eastAsia="宋体" w:cs="宋体"/>
          <w:b/>
          <w:color w:val="auto"/>
          <w:sz w:val="22"/>
          <w:highlight w:val="none"/>
          <w:u w:val="single"/>
        </w:rPr>
        <w:t>可根据实际情况调整订单数量，</w:t>
      </w:r>
      <w:r>
        <w:rPr>
          <w:rFonts w:hint="eastAsia" w:ascii="宋体" w:hAnsi="宋体" w:eastAsia="宋体" w:cs="宋体"/>
          <w:b/>
          <w:color w:val="auto"/>
          <w:sz w:val="22"/>
          <w:highlight w:val="none"/>
          <w:u w:val="single"/>
          <w:lang w:val="zh-CN" w:eastAsia="zh-CN"/>
        </w:rPr>
        <w:t>本项目</w:t>
      </w:r>
      <w:r>
        <w:rPr>
          <w:rFonts w:hint="eastAsia" w:ascii="宋体" w:hAnsi="宋体" w:eastAsia="宋体" w:cs="宋体"/>
          <w:b/>
          <w:color w:val="auto"/>
          <w:sz w:val="22"/>
          <w:highlight w:val="none"/>
          <w:u w:val="single"/>
          <w:lang w:val="en-US" w:eastAsia="zh-CN"/>
        </w:rPr>
        <w:t>货物均以投标综合单价作为</w:t>
      </w:r>
      <w:r>
        <w:rPr>
          <w:rFonts w:hint="eastAsia" w:ascii="宋体" w:hAnsi="宋体" w:eastAsia="宋体" w:cs="宋体"/>
          <w:b/>
          <w:color w:val="auto"/>
          <w:sz w:val="22"/>
          <w:highlight w:val="none"/>
          <w:u w:val="single"/>
          <w:lang w:val="zh-CN" w:eastAsia="zh-CN"/>
        </w:rPr>
        <w:t>合同签署及最终结算依据；最终合同结算款</w:t>
      </w:r>
      <w:r>
        <w:rPr>
          <w:rFonts w:hint="eastAsia" w:ascii="宋体" w:hAnsi="宋体" w:eastAsia="宋体" w:cs="宋体"/>
          <w:b/>
          <w:color w:val="auto"/>
          <w:sz w:val="22"/>
          <w:highlight w:val="none"/>
          <w:u w:val="single"/>
          <w:lang w:val="en-US" w:eastAsia="zh-CN"/>
        </w:rPr>
        <w:t>=实际采购数量*投标综合单价</w:t>
      </w:r>
      <w:r>
        <w:rPr>
          <w:rFonts w:hint="eastAsia" w:ascii="宋体" w:hAnsi="宋体" w:eastAsia="宋体" w:cs="宋体"/>
          <w:b/>
          <w:color w:val="auto"/>
          <w:sz w:val="22"/>
          <w:highlight w:val="none"/>
          <w:u w:val="single"/>
          <w:lang w:val="zh-CN" w:eastAsia="zh-CN"/>
        </w:rPr>
        <w:t>。</w:t>
      </w:r>
    </w:p>
    <w:p w14:paraId="62580733">
      <w:pPr>
        <w:pStyle w:val="19"/>
        <w:pageBreakBefore w:val="0"/>
        <w:kinsoku/>
        <w:wordWrap/>
        <w:topLinePunct w:val="0"/>
        <w:bidi w:val="0"/>
        <w:snapToGrid w:val="0"/>
        <w:spacing w:line="360" w:lineRule="auto"/>
        <w:rPr>
          <w:rFonts w:hint="eastAsia" w:ascii="宋体" w:hAnsi="宋体" w:eastAsia="宋体" w:cs="宋体"/>
          <w:b w:val="0"/>
          <w:color w:val="auto"/>
          <w:sz w:val="22"/>
          <w:szCs w:val="22"/>
          <w:highlight w:val="none"/>
        </w:rPr>
      </w:pPr>
      <w:r>
        <w:rPr>
          <w:rFonts w:hint="eastAsia" w:ascii="宋体" w:hAnsi="宋体" w:eastAsia="宋体" w:cs="宋体"/>
          <w:b/>
          <w:bCs/>
          <w:color w:val="auto"/>
          <w:sz w:val="22"/>
          <w:szCs w:val="22"/>
          <w:highlight w:val="none"/>
          <w:lang w:val="en-US" w:eastAsia="zh-CN"/>
        </w:rPr>
        <w:t xml:space="preserve">3.4 </w:t>
      </w:r>
      <w:r>
        <w:rPr>
          <w:rFonts w:hint="eastAsia" w:ascii="宋体" w:hAnsi="宋体" w:eastAsia="宋体" w:cs="宋体"/>
          <w:b w:val="0"/>
          <w:color w:val="auto"/>
          <w:sz w:val="22"/>
          <w:szCs w:val="22"/>
          <w:highlight w:val="none"/>
        </w:rPr>
        <w:t>售后服务</w:t>
      </w:r>
    </w:p>
    <w:p w14:paraId="4F16AD6D">
      <w:pPr>
        <w:pStyle w:val="19"/>
        <w:pageBreakBefore w:val="0"/>
        <w:kinsoku/>
        <w:wordWrap/>
        <w:topLinePunct w:val="0"/>
        <w:bidi w:val="0"/>
        <w:snapToGrid w:val="0"/>
        <w:spacing w:line="360" w:lineRule="auto"/>
        <w:ind w:firstLine="440" w:firstLineChars="200"/>
        <w:rPr>
          <w:rFonts w:hint="eastAsia" w:ascii="宋体" w:hAnsi="宋体" w:eastAsia="宋体" w:cs="宋体"/>
          <w:b/>
          <w:color w:val="auto"/>
          <w:sz w:val="22"/>
          <w:highlight w:val="none"/>
          <w:u w:val="singl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成交供应商承诺售后服务按照</w:t>
      </w:r>
      <w:r>
        <w:rPr>
          <w:rFonts w:hint="eastAsia" w:ascii="宋体" w:hAnsi="宋体" w:eastAsia="宋体" w:cs="宋体"/>
          <w:b w:val="0"/>
          <w:color w:val="auto"/>
          <w:sz w:val="22"/>
          <w:szCs w:val="22"/>
          <w:highlight w:val="none"/>
          <w:lang w:val="en-US" w:eastAsia="zh-CN"/>
        </w:rPr>
        <w:t>技术资信标中</w:t>
      </w:r>
      <w:r>
        <w:rPr>
          <w:rFonts w:hint="eastAsia" w:ascii="宋体" w:hAnsi="宋体" w:eastAsia="宋体" w:cs="宋体"/>
          <w:b w:val="0"/>
          <w:color w:val="auto"/>
          <w:sz w:val="22"/>
          <w:szCs w:val="22"/>
          <w:highlight w:val="none"/>
        </w:rPr>
        <w:t>承诺的</w:t>
      </w:r>
      <w:r>
        <w:rPr>
          <w:rFonts w:hint="eastAsia" w:ascii="宋体" w:hAnsi="宋体" w:eastAsia="宋体" w:cs="宋体"/>
          <w:b w:val="0"/>
          <w:color w:val="auto"/>
          <w:sz w:val="22"/>
          <w:szCs w:val="22"/>
          <w:highlight w:val="none"/>
          <w:lang w:val="en-US" w:eastAsia="zh-CN"/>
        </w:rPr>
        <w:t>售后服务</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还</w:t>
      </w:r>
      <w:r>
        <w:rPr>
          <w:rFonts w:hint="eastAsia" w:ascii="宋体" w:hAnsi="宋体" w:eastAsia="宋体" w:cs="宋体"/>
          <w:b w:val="0"/>
          <w:color w:val="auto"/>
          <w:sz w:val="22"/>
          <w:szCs w:val="22"/>
          <w:highlight w:val="none"/>
        </w:rPr>
        <w:t>包括培训</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人员配备</w:t>
      </w:r>
      <w:r>
        <w:rPr>
          <w:rFonts w:hint="eastAsia" w:ascii="宋体" w:hAnsi="宋体" w:eastAsia="宋体" w:cs="宋体"/>
          <w:b w:val="0"/>
          <w:color w:val="auto"/>
          <w:sz w:val="22"/>
          <w:szCs w:val="22"/>
          <w:highlight w:val="none"/>
        </w:rPr>
        <w:t>。</w:t>
      </w:r>
    </w:p>
    <w:p w14:paraId="606AB377">
      <w:pPr>
        <w:pStyle w:val="19"/>
        <w:pageBreakBefore w:val="0"/>
        <w:kinsoku/>
        <w:wordWrap/>
        <w:topLinePunct w:val="0"/>
        <w:bidi w:val="0"/>
        <w:snapToGrid w:val="0"/>
        <w:spacing w:line="360" w:lineRule="auto"/>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(2)供应商定期（每3个月、“春节”、“五一”“十一”等重要的节假期）派员走访，检查车辆状况，排除安全隐患，确保安全运行。</w:t>
      </w:r>
    </w:p>
    <w:p w14:paraId="00F36A7A">
      <w:pPr>
        <w:pStyle w:val="19"/>
        <w:pageBreakBefore w:val="0"/>
        <w:kinsoku/>
        <w:wordWrap/>
        <w:topLinePunct w:val="0"/>
        <w:bidi w:val="0"/>
        <w:snapToGrid w:val="0"/>
        <w:spacing w:line="360" w:lineRule="auto"/>
        <w:ind w:firstLine="442" w:firstLineChars="2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color w:val="auto"/>
          <w:sz w:val="22"/>
          <w:highlight w:val="none"/>
          <w:u w:val="single"/>
        </w:rPr>
        <w:t>▲</w:t>
      </w:r>
      <w:r>
        <w:rPr>
          <w:rFonts w:hint="eastAsia" w:ascii="宋体" w:hAnsi="宋体" w:eastAsia="宋体" w:cs="宋体"/>
          <w:b/>
          <w:bCs/>
          <w:color w:val="auto"/>
          <w:sz w:val="22"/>
          <w:szCs w:val="22"/>
          <w:highlight w:val="none"/>
          <w:u w:val="single"/>
          <w:lang w:val="en-US" w:eastAsia="zh-CN"/>
        </w:rPr>
        <w:t>在1年质保期内（乙方</w:t>
      </w:r>
      <w:r>
        <w:rPr>
          <w:rFonts w:hint="eastAsia" w:ascii="宋体" w:hAnsi="宋体" w:eastAsia="宋体" w:cs="宋体"/>
          <w:b/>
          <w:bCs/>
          <w:color w:val="auto"/>
          <w:sz w:val="22"/>
          <w:szCs w:val="22"/>
          <w:highlight w:val="none"/>
          <w:u w:val="single"/>
        </w:rPr>
        <w:t>本身承诺的质保期高于采购文件要求的则按照</w:t>
      </w:r>
      <w:r>
        <w:rPr>
          <w:rFonts w:hint="eastAsia" w:ascii="宋体" w:hAnsi="宋体" w:eastAsia="宋体" w:cs="宋体"/>
          <w:b/>
          <w:bCs/>
          <w:color w:val="auto"/>
          <w:sz w:val="22"/>
          <w:szCs w:val="22"/>
          <w:highlight w:val="none"/>
          <w:u w:val="single"/>
          <w:lang w:val="en-US" w:eastAsia="zh-CN"/>
        </w:rPr>
        <w:t>乙方</w:t>
      </w:r>
      <w:r>
        <w:rPr>
          <w:rFonts w:hint="eastAsia" w:ascii="宋体" w:hAnsi="宋体" w:eastAsia="宋体" w:cs="宋体"/>
          <w:b/>
          <w:bCs/>
          <w:color w:val="auto"/>
          <w:sz w:val="22"/>
          <w:szCs w:val="22"/>
          <w:highlight w:val="none"/>
          <w:u w:val="single"/>
        </w:rPr>
        <w:t>承诺执行</w:t>
      </w:r>
      <w:r>
        <w:rPr>
          <w:rFonts w:hint="eastAsia" w:ascii="宋体" w:hAnsi="宋体" w:eastAsia="宋体" w:cs="宋体"/>
          <w:b/>
          <w:bCs/>
          <w:color w:val="auto"/>
          <w:sz w:val="22"/>
          <w:szCs w:val="22"/>
          <w:highlight w:val="none"/>
          <w:u w:val="single"/>
          <w:lang w:val="en-US" w:eastAsia="zh-CN"/>
        </w:rPr>
        <w:t>），有集中使用该批次车辆的大型活动时，中标供应商必须至少委派1名专业技术人员到场处置技术问题；如未按规定派员到场的，视为严重违约，将全额扣除质保金。</w:t>
      </w:r>
    </w:p>
    <w:p w14:paraId="1C91B519">
      <w:pPr>
        <w:pStyle w:val="19"/>
        <w:pageBreakBefore w:val="0"/>
        <w:kinsoku/>
        <w:wordWrap/>
        <w:topLinePunct w:val="0"/>
        <w:bidi w:val="0"/>
        <w:snapToGrid w:val="0"/>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）成交供应商需提供7*24小时的售后服务；温州地区有专门的售后服务机构设置或温州地区配置不少于1-2名的固定维护人员配备。</w:t>
      </w:r>
    </w:p>
    <w:p w14:paraId="1C467000">
      <w:pPr>
        <w:pStyle w:val="19"/>
        <w:pageBreakBefore w:val="0"/>
        <w:kinsoku/>
        <w:wordWrap/>
        <w:topLinePunct w:val="0"/>
        <w:bidi w:val="0"/>
        <w:snapToGrid w:val="0"/>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lang w:eastAsia="zh-CN"/>
        </w:rPr>
        <w:t>）接到采购人维修通知后，应在1小时内响应，维修人员需在24小时内赶到现场，提供不间断的维修服务直到结束。</w:t>
      </w:r>
    </w:p>
    <w:p w14:paraId="4D6E5EBC">
      <w:pPr>
        <w:pStyle w:val="19"/>
        <w:pageBreakBefore w:val="0"/>
        <w:kinsoku/>
        <w:wordWrap/>
        <w:topLinePunct w:val="0"/>
        <w:bidi w:val="0"/>
        <w:snapToGrid w:val="0"/>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lang w:eastAsia="zh-CN"/>
        </w:rPr>
        <w:t>）成交供应商应提供足够的备件以适应采购人维修需求。</w:t>
      </w:r>
    </w:p>
    <w:p w14:paraId="6FD97F9A">
      <w:pPr>
        <w:pStyle w:val="19"/>
        <w:pageBreakBefore w:val="0"/>
        <w:kinsoku/>
        <w:wordWrap/>
        <w:topLinePunct w:val="0"/>
        <w:bidi w:val="0"/>
        <w:snapToGrid w:val="0"/>
        <w:spacing w:line="360" w:lineRule="auto"/>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lang w:eastAsia="zh-CN"/>
        </w:rPr>
        <w:t>）由于采购人人为操作失误引起的事故，由成交供应商维修，费用协商解决。</w:t>
      </w:r>
    </w:p>
    <w:p w14:paraId="5E513365">
      <w:pPr>
        <w:pStyle w:val="19"/>
        <w:pageBreakBefore w:val="0"/>
        <w:kinsoku/>
        <w:wordWrap/>
        <w:topLinePunct w:val="0"/>
        <w:bidi w:val="0"/>
        <w:snapToGrid w:val="0"/>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3.5 其他</w:t>
      </w:r>
    </w:p>
    <w:p w14:paraId="0354A319">
      <w:pPr>
        <w:pStyle w:val="19"/>
        <w:pageBreakBefore w:val="0"/>
        <w:kinsoku/>
        <w:wordWrap/>
        <w:topLinePunct w:val="0"/>
        <w:bidi w:val="0"/>
        <w:snapToGrid w:val="0"/>
        <w:spacing w:line="360" w:lineRule="auto"/>
        <w:ind w:firstLine="440" w:firstLineChars="200"/>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lang w:eastAsia="zh-CN"/>
        </w:rPr>
        <w:t>）</w:t>
      </w:r>
      <w:r>
        <w:rPr>
          <w:rFonts w:hint="eastAsia" w:ascii="宋体" w:hAnsi="宋体" w:eastAsia="宋体" w:cs="宋体"/>
          <w:b/>
          <w:color w:val="auto"/>
          <w:sz w:val="22"/>
          <w:highlight w:val="none"/>
          <w:u w:val="single"/>
        </w:rPr>
        <w:t>▲</w:t>
      </w:r>
      <w:r>
        <w:rPr>
          <w:rFonts w:hint="eastAsia" w:ascii="宋体" w:hAnsi="宋体" w:eastAsia="宋体" w:cs="宋体"/>
          <w:b/>
          <w:bCs/>
          <w:color w:val="auto"/>
          <w:sz w:val="22"/>
          <w:szCs w:val="22"/>
          <w:highlight w:val="none"/>
          <w:u w:val="single"/>
          <w:lang w:val="en-US" w:eastAsia="zh-CN"/>
        </w:rPr>
        <w:t>供应商必须配合采购人进行车辆上牌工作，车辆必须符合国家有关上牌要求和标准，因供应商车辆原因导致无法上牌的，验收不通过，采购人不支付合同费用，采购人有权退还本合同中无法上牌的车辆，采购人已经支付的合同费用需退还采购人。</w:t>
      </w:r>
    </w:p>
    <w:p w14:paraId="3FD120D6">
      <w:pPr>
        <w:pStyle w:val="19"/>
        <w:pageBreakBefore w:val="0"/>
        <w:kinsoku/>
        <w:wordWrap/>
        <w:topLinePunct w:val="0"/>
        <w:bidi w:val="0"/>
        <w:snapToGrid w:val="0"/>
        <w:spacing w:line="360" w:lineRule="auto"/>
        <w:ind w:firstLine="440" w:firstLineChars="200"/>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lang w:eastAsia="zh-CN"/>
        </w:rPr>
        <w:t>成交供应商应配合采购人完成技术、安全和实操培训，培训组织由采购人负责，技术指导及实操培训由成交供应商负责，培训形式、培训时间、培训场地等由双方协商决定。</w:t>
      </w:r>
    </w:p>
    <w:p w14:paraId="4206CB28">
      <w:pPr>
        <w:pStyle w:val="4"/>
        <w:numPr>
          <w:ilvl w:val="0"/>
          <w:numId w:val="31"/>
        </w:numPr>
        <w:rPr>
          <w:rFonts w:hint="eastAsia" w:ascii="宋体" w:hAnsi="宋体" w:eastAsia="宋体" w:cs="宋体"/>
          <w:color w:val="auto"/>
          <w:sz w:val="36"/>
          <w:szCs w:val="36"/>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sz w:val="36"/>
          <w:szCs w:val="36"/>
          <w:highlight w:val="none"/>
        </w:rPr>
        <w:t xml:space="preserve">    </w:t>
      </w:r>
      <w:bookmarkStart w:id="160" w:name="_Toc12944"/>
      <w:r>
        <w:rPr>
          <w:rFonts w:hint="eastAsia" w:ascii="宋体" w:hAnsi="宋体" w:eastAsia="宋体" w:cs="宋体"/>
          <w:color w:val="auto"/>
          <w:sz w:val="36"/>
          <w:szCs w:val="36"/>
          <w:highlight w:val="none"/>
        </w:rPr>
        <w:t>评标原则及方法</w:t>
      </w:r>
      <w:bookmarkEnd w:id="160"/>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57C16458">
      <w:pPr>
        <w:tabs>
          <w:tab w:val="left" w:pos="2880"/>
        </w:tabs>
        <w:spacing w:line="440" w:lineRule="exact"/>
        <w:rPr>
          <w:rFonts w:hint="eastAsia" w:ascii="宋体" w:hAnsi="宋体" w:eastAsia="宋体" w:cs="宋体"/>
          <w:b/>
          <w:color w:val="auto"/>
          <w:sz w:val="22"/>
          <w:szCs w:val="22"/>
          <w:highlight w:val="none"/>
        </w:rPr>
      </w:pPr>
    </w:p>
    <w:p w14:paraId="0DA8E42C">
      <w:pPr>
        <w:adjustRightInd w:val="0"/>
        <w:snapToGrid w:val="0"/>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 总  则</w:t>
      </w:r>
    </w:p>
    <w:p w14:paraId="498E401D">
      <w:pPr>
        <w:adjustRightInd w:val="0"/>
        <w:snapToGrid w:val="0"/>
        <w:spacing w:line="44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对投标文件进行综合评定，提出优选方案，编写评标报告。对落标单位，评委会不作任何落标解释。投标人不得以任何方式干扰招投标工作的进行，一经发现其投标文件将被拒绝。</w:t>
      </w:r>
    </w:p>
    <w:p w14:paraId="1B1A6361">
      <w:pPr>
        <w:adjustRightInd w:val="0"/>
        <w:snapToGrid w:val="0"/>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二、评标组织</w:t>
      </w:r>
    </w:p>
    <w:p w14:paraId="43424B88">
      <w:pPr>
        <w:adjustRightInd w:val="0"/>
        <w:snapToGrid w:val="0"/>
        <w:spacing w:line="44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评标工作由采购人依法组建的评标委员会负责，评标全过程由有关部门指导监督。</w:t>
      </w:r>
    </w:p>
    <w:p w14:paraId="60581D72">
      <w:pPr>
        <w:adjustRightInd w:val="0"/>
        <w:snapToGrid w:val="0"/>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三、评标办法</w:t>
      </w:r>
    </w:p>
    <w:p w14:paraId="7AFF9FC9">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本次评标采用综合评分法，总分100分，其中技术资信</w:t>
      </w:r>
      <w:r>
        <w:rPr>
          <w:rFonts w:hint="eastAsia" w:ascii="宋体" w:hAnsi="宋体" w:eastAsia="宋体" w:cs="宋体"/>
          <w:color w:val="auto"/>
          <w:sz w:val="22"/>
          <w:szCs w:val="22"/>
          <w:highlight w:val="none"/>
          <w:lang w:val="en-US" w:eastAsia="zh-CN"/>
        </w:rPr>
        <w:t>70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商务报价30分，</w:t>
      </w:r>
      <w:r>
        <w:rPr>
          <w:rFonts w:hint="eastAsia" w:ascii="宋体" w:hAnsi="宋体" w:eastAsia="宋体" w:cs="宋体"/>
          <w:color w:val="auto"/>
          <w:sz w:val="22"/>
          <w:szCs w:val="22"/>
          <w:highlight w:val="none"/>
        </w:rPr>
        <w:t>以在最大限度地满足采购文件实质性要求前提下，按照采购文件中规定的各项评分内容评审后，</w:t>
      </w:r>
      <w:r>
        <w:rPr>
          <w:rFonts w:hint="eastAsia" w:ascii="宋体" w:hAnsi="宋体" w:eastAsia="宋体" w:cs="宋体"/>
          <w:color w:val="auto"/>
          <w:sz w:val="22"/>
          <w:szCs w:val="22"/>
          <w:highlight w:val="none"/>
          <w:lang w:val="en-US" w:eastAsia="zh-CN"/>
        </w:rPr>
        <w:t>根据有效投标供应商家数推荐相应数量的投标供应商</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val="en-US" w:eastAsia="zh-CN"/>
        </w:rPr>
        <w:t>中标候选人</w:t>
      </w:r>
      <w:r>
        <w:rPr>
          <w:rFonts w:hint="eastAsia" w:ascii="宋体" w:hAnsi="宋体" w:eastAsia="宋体" w:cs="宋体"/>
          <w:color w:val="auto"/>
          <w:sz w:val="22"/>
          <w:szCs w:val="22"/>
          <w:highlight w:val="none"/>
        </w:rPr>
        <w:t>的评标方法。</w:t>
      </w:r>
    </w:p>
    <w:p w14:paraId="369A3A44">
      <w:pPr>
        <w:numPr>
          <w:ilvl w:val="0"/>
          <w:numId w:val="32"/>
        </w:num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0A80C38">
      <w:pPr>
        <w:numPr>
          <w:ilvl w:val="0"/>
          <w:numId w:val="32"/>
        </w:num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评标委员会依据法律、法规及采购文件有关规定在有效标中按投标人的综合得分（即技术资信分与商务（报价）分之和）高低进行排序，综合得分第一的投标人推荐为中标候选人。</w:t>
      </w:r>
    </w:p>
    <w:p w14:paraId="0F63234E">
      <w:pPr>
        <w:pStyle w:val="134"/>
        <w:snapToGrid w:val="0"/>
        <w:spacing w:line="440" w:lineRule="exact"/>
        <w:outlineLvl w:val="1"/>
        <w:rPr>
          <w:rFonts w:hint="eastAsia" w:ascii="宋体" w:hAnsi="宋体" w:eastAsia="宋体" w:cs="宋体"/>
          <w:b/>
          <w:color w:val="auto"/>
          <w:sz w:val="22"/>
          <w:szCs w:val="22"/>
          <w:highlight w:val="none"/>
        </w:rPr>
      </w:pPr>
      <w:bookmarkStart w:id="161" w:name="_Toc24768"/>
      <w:bookmarkEnd w:id="161"/>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b/>
          <w:bCs/>
          <w:color w:val="auto"/>
          <w:sz w:val="22"/>
          <w:szCs w:val="22"/>
          <w:highlight w:val="none"/>
          <w:u w:val="single"/>
        </w:rPr>
        <w:t>投标截止时间止及评审期间，本项目出现有效投标供应商不足</w:t>
      </w:r>
      <w:r>
        <w:rPr>
          <w:rFonts w:hint="eastAsia" w:ascii="宋体" w:hAnsi="宋体" w:eastAsia="宋体" w:cs="宋体"/>
          <w:b/>
          <w:bCs/>
          <w:color w:val="auto"/>
          <w:sz w:val="22"/>
          <w:szCs w:val="22"/>
          <w:highlight w:val="none"/>
          <w:u w:val="single"/>
          <w:lang w:val="en-US" w:eastAsia="zh-CN"/>
        </w:rPr>
        <w:t>3</w:t>
      </w:r>
      <w:r>
        <w:rPr>
          <w:rFonts w:hint="eastAsia" w:ascii="宋体" w:hAnsi="宋体" w:eastAsia="宋体" w:cs="宋体"/>
          <w:b/>
          <w:bCs/>
          <w:color w:val="auto"/>
          <w:sz w:val="22"/>
          <w:szCs w:val="22"/>
          <w:highlight w:val="none"/>
          <w:u w:val="single"/>
        </w:rPr>
        <w:t>家的，本项目按废标处理，重新组织采购。</w:t>
      </w:r>
    </w:p>
    <w:p w14:paraId="013D673E">
      <w:pPr>
        <w:pStyle w:val="134"/>
        <w:snapToGrid w:val="0"/>
        <w:spacing w:line="440" w:lineRule="exact"/>
        <w:outlineLvl w:val="1"/>
        <w:rPr>
          <w:rFonts w:hint="eastAsia" w:ascii="宋体" w:hAnsi="宋体" w:eastAsia="宋体" w:cs="宋体"/>
          <w:b/>
          <w:color w:val="auto"/>
          <w:sz w:val="22"/>
          <w:szCs w:val="22"/>
          <w:highlight w:val="none"/>
        </w:rPr>
      </w:pPr>
      <w:bookmarkStart w:id="162" w:name="_Toc22599"/>
      <w:bookmarkEnd w:id="162"/>
      <w:r>
        <w:rPr>
          <w:rFonts w:hint="eastAsia" w:ascii="宋体" w:hAnsi="宋体" w:eastAsia="宋体" w:cs="宋体"/>
          <w:b/>
          <w:color w:val="auto"/>
          <w:sz w:val="22"/>
          <w:szCs w:val="22"/>
          <w:highlight w:val="none"/>
          <w:lang w:val="en-US" w:eastAsia="zh-CN"/>
        </w:rPr>
        <w:t>四</w:t>
      </w:r>
      <w:r>
        <w:rPr>
          <w:rFonts w:hint="eastAsia" w:ascii="宋体" w:hAnsi="宋体" w:eastAsia="宋体" w:cs="宋体"/>
          <w:b/>
          <w:color w:val="auto"/>
          <w:sz w:val="22"/>
          <w:szCs w:val="22"/>
          <w:highlight w:val="none"/>
        </w:rPr>
        <w:t>、评分细则</w:t>
      </w:r>
    </w:p>
    <w:p w14:paraId="1EC02B1A">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1.技术资信分的评定（</w:t>
      </w:r>
      <w:r>
        <w:rPr>
          <w:rFonts w:hint="eastAsia" w:ascii="宋体" w:hAnsi="宋体" w:eastAsia="宋体" w:cs="宋体"/>
          <w:b/>
          <w:color w:val="auto"/>
          <w:sz w:val="22"/>
          <w:szCs w:val="22"/>
          <w:highlight w:val="none"/>
          <w:lang w:val="en-US" w:eastAsia="zh-CN"/>
        </w:rPr>
        <w:t>70</w:t>
      </w:r>
      <w:r>
        <w:rPr>
          <w:rFonts w:hint="eastAsia" w:ascii="宋体" w:hAnsi="宋体" w:eastAsia="宋体" w:cs="宋体"/>
          <w:b/>
          <w:color w:val="auto"/>
          <w:sz w:val="22"/>
          <w:szCs w:val="22"/>
          <w:highlight w:val="none"/>
        </w:rPr>
        <w:t>分）</w:t>
      </w:r>
    </w:p>
    <w:p w14:paraId="01C0103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评委成员按下列评分内容进行评定，每人一张评分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四舍五入，保留小数点后二位）。</w:t>
      </w:r>
    </w:p>
    <w:tbl>
      <w:tblPr>
        <w:tblStyle w:val="34"/>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88"/>
        <w:gridCol w:w="702"/>
        <w:gridCol w:w="720"/>
        <w:gridCol w:w="6757"/>
      </w:tblGrid>
      <w:tr w14:paraId="2311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ign w:val="center"/>
          </w:tcPr>
          <w:p w14:paraId="7E056AB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序号</w:t>
            </w:r>
          </w:p>
        </w:tc>
        <w:tc>
          <w:tcPr>
            <w:tcW w:w="1290" w:type="dxa"/>
            <w:gridSpan w:val="2"/>
            <w:shd w:val="clear" w:color="auto" w:fill="auto"/>
            <w:noWrap/>
            <w:vAlign w:val="center"/>
          </w:tcPr>
          <w:p w14:paraId="5BD9AC6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评分项目</w:t>
            </w:r>
          </w:p>
        </w:tc>
        <w:tc>
          <w:tcPr>
            <w:tcW w:w="720" w:type="dxa"/>
            <w:noWrap/>
            <w:vAlign w:val="center"/>
          </w:tcPr>
          <w:p w14:paraId="7A439BF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757" w:type="dxa"/>
            <w:noWrap/>
            <w:vAlign w:val="center"/>
          </w:tcPr>
          <w:p w14:paraId="0710812D">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0220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98" w:type="dxa"/>
            <w:noWrap/>
            <w:vAlign w:val="center"/>
          </w:tcPr>
          <w:p w14:paraId="427FC007">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290" w:type="dxa"/>
            <w:gridSpan w:val="2"/>
            <w:shd w:val="clear" w:color="auto" w:fill="auto"/>
            <w:noWrap/>
            <w:vAlign w:val="center"/>
          </w:tcPr>
          <w:p w14:paraId="15140252">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投标人业绩</w:t>
            </w:r>
          </w:p>
        </w:tc>
        <w:tc>
          <w:tcPr>
            <w:tcW w:w="720" w:type="dxa"/>
            <w:noWrap/>
            <w:vAlign w:val="center"/>
          </w:tcPr>
          <w:p w14:paraId="37F1F369">
            <w:pPr>
              <w:keepNext w:val="0"/>
              <w:keepLines w:val="0"/>
              <w:pageBreakBefore w:val="0"/>
              <w:kinsoku/>
              <w:wordWrap/>
              <w:overflowPunct/>
              <w:topLinePunct w:val="0"/>
              <w:autoSpaceDE w:val="0"/>
              <w:autoSpaceDN w:val="0"/>
              <w:bidi w:val="0"/>
              <w:adjustRightIn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pacing w:val="4"/>
                <w:sz w:val="21"/>
                <w:szCs w:val="21"/>
                <w:highlight w:val="none"/>
              </w:rPr>
              <w:t>3</w:t>
            </w:r>
          </w:p>
        </w:tc>
        <w:tc>
          <w:tcPr>
            <w:tcW w:w="6757" w:type="dxa"/>
            <w:noWrap/>
            <w:vAlign w:val="center"/>
          </w:tcPr>
          <w:p w14:paraId="26B35C0A">
            <w:pPr>
              <w:keepNext w:val="0"/>
              <w:keepLines w:val="0"/>
              <w:pageBreakBefore w:val="0"/>
              <w:kinsoku/>
              <w:wordWrap/>
              <w:overflowPunct/>
              <w:topLinePunct w:val="0"/>
              <w:bidi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月1日以来至投标截止日（以合同签订之日为准），具有类似观光电动车供货业绩的，每个得1分，最高得3分。</w:t>
            </w:r>
          </w:p>
          <w:p w14:paraId="1083A574">
            <w:pPr>
              <w:pStyle w:val="73"/>
              <w:keepNext w:val="0"/>
              <w:keepLines w:val="0"/>
              <w:pageBreakBefore w:val="0"/>
              <w:kinsoku/>
              <w:wordWrap/>
              <w:overflowPunct/>
              <w:topLinePunct w:val="0"/>
              <w:bidi w:val="0"/>
              <w:adjustRightInd w:val="0"/>
              <w:snapToGrid w:val="0"/>
              <w:spacing w:line="320" w:lineRule="exact"/>
              <w:ind w:left="0" w:leftChars="0" w:right="14" w:firstLine="0" w:firstLineChars="0"/>
              <w:jc w:val="both"/>
              <w:textAlignment w:val="auto"/>
              <w:rPr>
                <w:rFonts w:hint="eastAsia" w:ascii="宋体" w:hAnsi="宋体" w:eastAsia="宋体" w:cs="宋体"/>
                <w:b/>
                <w:bCs w:val="0"/>
                <w:color w:val="auto"/>
                <w:sz w:val="21"/>
                <w:szCs w:val="21"/>
                <w:highlight w:val="none"/>
              </w:rPr>
            </w:pPr>
            <w:r>
              <w:rPr>
                <w:rFonts w:hint="eastAsia" w:ascii="宋体" w:hAnsi="宋体" w:eastAsia="宋体" w:cs="宋体"/>
                <w:b/>
                <w:color w:val="auto"/>
                <w:sz w:val="21"/>
                <w:szCs w:val="21"/>
                <w:highlight w:val="none"/>
              </w:rPr>
              <w:t>证明材料</w:t>
            </w:r>
            <w:r>
              <w:rPr>
                <w:rFonts w:hint="eastAsia" w:ascii="宋体" w:hAnsi="宋体" w:eastAsia="宋体" w:cs="宋体"/>
                <w:b/>
                <w:color w:val="auto"/>
                <w:spacing w:val="4"/>
                <w:sz w:val="21"/>
                <w:szCs w:val="21"/>
                <w:highlight w:val="none"/>
              </w:rPr>
              <w:t>：</w:t>
            </w:r>
            <w:r>
              <w:rPr>
                <w:rFonts w:hint="eastAsia" w:ascii="宋体" w:hAnsi="宋体" w:eastAsia="宋体" w:cs="宋体"/>
                <w:b/>
                <w:color w:val="auto"/>
                <w:spacing w:val="4"/>
                <w:sz w:val="21"/>
                <w:szCs w:val="21"/>
                <w:highlight w:val="none"/>
                <w:lang w:val="en-US" w:eastAsia="zh-CN"/>
              </w:rPr>
              <w:t>同时</w:t>
            </w:r>
            <w:r>
              <w:rPr>
                <w:rFonts w:hint="eastAsia" w:ascii="宋体" w:hAnsi="宋体" w:eastAsia="宋体" w:cs="宋体"/>
                <w:b/>
                <w:color w:val="auto"/>
                <w:spacing w:val="4"/>
                <w:sz w:val="21"/>
                <w:szCs w:val="21"/>
                <w:highlight w:val="none"/>
              </w:rPr>
              <w:t>提供</w:t>
            </w:r>
            <w:r>
              <w:rPr>
                <w:rFonts w:hint="eastAsia" w:ascii="宋体" w:hAnsi="宋体" w:eastAsia="宋体" w:cs="宋体"/>
                <w:b/>
                <w:color w:val="auto"/>
                <w:sz w:val="21"/>
                <w:szCs w:val="21"/>
                <w:highlight w:val="none"/>
              </w:rPr>
              <w:t>合同</w:t>
            </w:r>
            <w:r>
              <w:rPr>
                <w:rFonts w:hint="eastAsia" w:ascii="宋体" w:hAnsi="宋体" w:eastAsia="宋体" w:cs="宋体"/>
                <w:b/>
                <w:color w:val="auto"/>
                <w:spacing w:val="4"/>
                <w:sz w:val="21"/>
                <w:szCs w:val="21"/>
                <w:highlight w:val="none"/>
                <w:lang w:eastAsia="zh-CN"/>
              </w:rPr>
              <w:t>及中标通知书复印件加盖单位公章</w:t>
            </w:r>
            <w:r>
              <w:rPr>
                <w:rFonts w:hint="eastAsia" w:ascii="宋体" w:hAnsi="宋体" w:eastAsia="宋体" w:cs="宋体"/>
                <w:b/>
                <w:color w:val="auto"/>
                <w:sz w:val="21"/>
                <w:szCs w:val="21"/>
                <w:highlight w:val="none"/>
              </w:rPr>
              <w:t>，应体现供货内容、金额、签字盖章关键页，未提供或提供不符合或提供不清晰导致无法判断的不得分。</w:t>
            </w:r>
          </w:p>
        </w:tc>
      </w:tr>
      <w:tr w14:paraId="0941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ign w:val="center"/>
          </w:tcPr>
          <w:p w14:paraId="7B8E9685">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290" w:type="dxa"/>
            <w:gridSpan w:val="2"/>
            <w:shd w:val="clear" w:color="auto" w:fill="auto"/>
            <w:noWrap/>
            <w:vAlign w:val="center"/>
          </w:tcPr>
          <w:p w14:paraId="2567E175">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c>
          <w:tcPr>
            <w:tcW w:w="720" w:type="dxa"/>
            <w:noWrap/>
            <w:vAlign w:val="center"/>
          </w:tcPr>
          <w:p w14:paraId="0C835992">
            <w:pPr>
              <w:keepNext w:val="0"/>
              <w:keepLines w:val="0"/>
              <w:pageBreakBefore w:val="0"/>
              <w:kinsoku/>
              <w:wordWrap/>
              <w:overflowPunct/>
              <w:topLinePunct w:val="0"/>
              <w:autoSpaceDE w:val="0"/>
              <w:autoSpaceDN w:val="0"/>
              <w:bidi w:val="0"/>
              <w:adjustRightIn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757" w:type="dxa"/>
            <w:noWrap/>
            <w:vAlign w:val="center"/>
          </w:tcPr>
          <w:p w14:paraId="0DBFE9FC">
            <w:pPr>
              <w:keepNext w:val="0"/>
              <w:keepLines w:val="0"/>
              <w:pageBreakBefore w:val="0"/>
              <w:tabs>
                <w:tab w:val="left" w:pos="562"/>
                <w:tab w:val="left" w:pos="3372"/>
                <w:tab w:val="left" w:pos="3653"/>
              </w:tabs>
              <w:kinsoku/>
              <w:wordWrap/>
              <w:overflowPunct/>
              <w:topLinePunct w:val="0"/>
              <w:bidi w:val="0"/>
              <w:spacing w:after="60"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投标人或所投车辆制造商提供以下有效的管理体系认证证书的扫描件或复印件，每提供一项得1分，本项最高得4分。</w:t>
            </w:r>
          </w:p>
          <w:p w14:paraId="36C98D2A">
            <w:pPr>
              <w:keepNext w:val="0"/>
              <w:keepLines w:val="0"/>
              <w:pageBreakBefore w:val="0"/>
              <w:numPr>
                <w:ilvl w:val="0"/>
                <w:numId w:val="33"/>
              </w:numPr>
              <w:tabs>
                <w:tab w:val="left" w:pos="562"/>
                <w:tab w:val="left" w:pos="3372"/>
                <w:tab w:val="left" w:pos="3653"/>
              </w:tabs>
              <w:kinsoku/>
              <w:wordWrap/>
              <w:overflowPunct/>
              <w:topLinePunct w:val="0"/>
              <w:bidi w:val="0"/>
              <w:spacing w:after="60"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质量管理体系认证证书；</w:t>
            </w:r>
          </w:p>
          <w:p w14:paraId="520577AE">
            <w:pPr>
              <w:keepNext w:val="0"/>
              <w:keepLines w:val="0"/>
              <w:pageBreakBefore w:val="0"/>
              <w:numPr>
                <w:ilvl w:val="0"/>
                <w:numId w:val="33"/>
              </w:numPr>
              <w:tabs>
                <w:tab w:val="left" w:pos="562"/>
                <w:tab w:val="left" w:pos="3372"/>
                <w:tab w:val="left" w:pos="3653"/>
              </w:tabs>
              <w:kinsoku/>
              <w:wordWrap/>
              <w:overflowPunct/>
              <w:topLinePunct w:val="0"/>
              <w:bidi w:val="0"/>
              <w:spacing w:after="60"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环境管理体系认证证书；</w:t>
            </w:r>
          </w:p>
          <w:p w14:paraId="4147E3B2">
            <w:pPr>
              <w:keepNext w:val="0"/>
              <w:keepLines w:val="0"/>
              <w:pageBreakBefore w:val="0"/>
              <w:numPr>
                <w:ilvl w:val="0"/>
                <w:numId w:val="33"/>
              </w:numPr>
              <w:tabs>
                <w:tab w:val="left" w:pos="562"/>
                <w:tab w:val="left" w:pos="3372"/>
                <w:tab w:val="left" w:pos="3653"/>
              </w:tabs>
              <w:kinsoku/>
              <w:wordWrap/>
              <w:overflowPunct/>
              <w:topLinePunct w:val="0"/>
              <w:bidi w:val="0"/>
              <w:spacing w:after="60"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职业健康安全管理体系认证证书；</w:t>
            </w:r>
          </w:p>
          <w:p w14:paraId="4EB92C7A">
            <w:pPr>
              <w:keepNext w:val="0"/>
              <w:keepLines w:val="0"/>
              <w:pageBreakBefore w:val="0"/>
              <w:numPr>
                <w:ilvl w:val="0"/>
                <w:numId w:val="33"/>
              </w:numPr>
              <w:tabs>
                <w:tab w:val="left" w:pos="562"/>
                <w:tab w:val="left" w:pos="3372"/>
                <w:tab w:val="left" w:pos="3653"/>
              </w:tabs>
              <w:kinsoku/>
              <w:wordWrap/>
              <w:overflowPunct/>
              <w:topLinePunct w:val="0"/>
              <w:bidi w:val="0"/>
              <w:spacing w:after="60"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能源管理体系认证证书；</w:t>
            </w:r>
          </w:p>
          <w:p w14:paraId="1C566152">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t>注：须</w:t>
            </w:r>
            <w:r>
              <w:rPr>
                <w:rFonts w:hint="eastAsia" w:ascii="宋体" w:hAnsi="宋体" w:eastAsia="宋体" w:cs="宋体"/>
                <w:b/>
                <w:bCs w:val="0"/>
                <w:color w:val="auto"/>
                <w:sz w:val="21"/>
                <w:szCs w:val="21"/>
                <w:highlight w:val="none"/>
                <w:lang w:val="en-US" w:eastAsia="zh-CN"/>
              </w:rPr>
              <w:t>同时</w:t>
            </w:r>
            <w:r>
              <w:rPr>
                <w:rFonts w:hint="eastAsia" w:ascii="宋体" w:hAnsi="宋体" w:eastAsia="宋体" w:cs="宋体"/>
                <w:b/>
                <w:bCs w:val="0"/>
                <w:color w:val="auto"/>
                <w:sz w:val="21"/>
                <w:szCs w:val="21"/>
                <w:highlight w:val="none"/>
              </w:rPr>
              <w:t>提供认证证书</w:t>
            </w:r>
            <w:r>
              <w:rPr>
                <w:rFonts w:hint="eastAsia" w:ascii="宋体" w:hAnsi="宋体" w:eastAsia="宋体" w:cs="宋体"/>
                <w:b/>
                <w:bCs w:val="0"/>
                <w:color w:val="auto"/>
                <w:sz w:val="21"/>
                <w:szCs w:val="21"/>
                <w:highlight w:val="none"/>
                <w:lang w:val="en-US" w:eastAsia="zh-CN"/>
              </w:rPr>
              <w:t>复印件</w:t>
            </w:r>
            <w:r>
              <w:rPr>
                <w:rFonts w:hint="eastAsia" w:ascii="宋体" w:hAnsi="宋体" w:eastAsia="宋体" w:cs="宋体"/>
                <w:b/>
                <w:bCs w:val="0"/>
                <w:color w:val="auto"/>
                <w:spacing w:val="4"/>
                <w:sz w:val="21"/>
                <w:szCs w:val="21"/>
                <w:highlight w:val="none"/>
                <w:lang w:eastAsia="zh-CN"/>
              </w:rPr>
              <w:t>加盖单位公章</w:t>
            </w:r>
            <w:r>
              <w:rPr>
                <w:rFonts w:hint="eastAsia" w:ascii="宋体" w:hAnsi="宋体" w:eastAsia="宋体" w:cs="宋体"/>
                <w:b/>
                <w:bCs w:val="0"/>
                <w:color w:val="auto"/>
                <w:sz w:val="21"/>
                <w:szCs w:val="21"/>
                <w:highlight w:val="none"/>
                <w:lang w:val="en-US" w:eastAsia="zh-CN"/>
              </w:rPr>
              <w:t>以及</w:t>
            </w:r>
            <w:r>
              <w:rPr>
                <w:rFonts w:hint="eastAsia" w:ascii="宋体" w:hAnsi="宋体" w:eastAsia="宋体" w:cs="宋体"/>
                <w:b/>
                <w:bCs w:val="0"/>
                <w:color w:val="auto"/>
                <w:sz w:val="21"/>
                <w:szCs w:val="21"/>
                <w:highlight w:val="none"/>
              </w:rPr>
              <w:t>在全国认证认可信息公共服务平台http://www.cnca.gov.cn中的查询截图</w:t>
            </w:r>
            <w:r>
              <w:rPr>
                <w:rFonts w:hint="eastAsia" w:ascii="宋体" w:hAnsi="宋体" w:eastAsia="宋体" w:cs="宋体"/>
                <w:b/>
                <w:bCs w:val="0"/>
                <w:color w:val="auto"/>
                <w:spacing w:val="4"/>
                <w:sz w:val="21"/>
                <w:szCs w:val="21"/>
                <w:highlight w:val="none"/>
                <w:lang w:eastAsia="zh-CN"/>
              </w:rPr>
              <w:t>加盖单位公章</w:t>
            </w:r>
            <w:r>
              <w:rPr>
                <w:rFonts w:hint="eastAsia" w:ascii="宋体" w:hAnsi="宋体" w:eastAsia="宋体" w:cs="宋体"/>
                <w:b/>
                <w:bCs w:val="0"/>
                <w:color w:val="auto"/>
                <w:sz w:val="21"/>
                <w:szCs w:val="21"/>
                <w:highlight w:val="none"/>
              </w:rPr>
              <w:t>，且以上认证证书的认证范围须包含非道路行驶电动车或电瓶车的生产或销售，不符合要求的不得分；如投标人属于代理商的，代理商与制造商证书同类证书不可重复计分。</w:t>
            </w:r>
          </w:p>
        </w:tc>
      </w:tr>
      <w:tr w14:paraId="0C20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ign w:val="center"/>
          </w:tcPr>
          <w:p w14:paraId="6FECAF14">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90" w:type="dxa"/>
            <w:gridSpan w:val="2"/>
            <w:shd w:val="clear" w:color="auto" w:fill="auto"/>
            <w:noWrap/>
            <w:vAlign w:val="center"/>
          </w:tcPr>
          <w:p w14:paraId="2760B79D">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产品参数</w:t>
            </w:r>
          </w:p>
        </w:tc>
        <w:tc>
          <w:tcPr>
            <w:tcW w:w="720" w:type="dxa"/>
            <w:noWrap/>
            <w:vAlign w:val="center"/>
          </w:tcPr>
          <w:p w14:paraId="7E8470DC">
            <w:pPr>
              <w:keepNext w:val="0"/>
              <w:keepLines w:val="0"/>
              <w:pageBreakBefore w:val="0"/>
              <w:kinsoku/>
              <w:wordWrap/>
              <w:overflowPunct/>
              <w:topLinePunct w:val="0"/>
              <w:autoSpaceDE w:val="0"/>
              <w:autoSpaceDN w:val="0"/>
              <w:bidi w:val="0"/>
              <w:adjustRightIn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38</w:t>
            </w:r>
          </w:p>
        </w:tc>
        <w:tc>
          <w:tcPr>
            <w:tcW w:w="6757" w:type="dxa"/>
            <w:noWrap/>
            <w:vAlign w:val="center"/>
          </w:tcPr>
          <w:p w14:paraId="42E572F9">
            <w:pPr>
              <w:keepNext w:val="0"/>
              <w:keepLines w:val="0"/>
              <w:pageBreakBefore w:val="0"/>
              <w:widowControl/>
              <w:kinsoku/>
              <w:wordWrap/>
              <w:overflowPunct/>
              <w:topLinePunct w:val="0"/>
              <w:bidi w:val="0"/>
              <w:spacing w:line="320" w:lineRule="exact"/>
              <w:ind w:right="140"/>
              <w:jc w:val="both"/>
              <w:textAlignment w:val="auto"/>
              <w:rPr>
                <w:rFonts w:hint="eastAsia" w:ascii="宋体" w:hAnsi="宋体" w:eastAsia="宋体" w:cs="宋体"/>
                <w:color w:val="auto"/>
                <w:spacing w:val="4"/>
                <w:sz w:val="21"/>
                <w:szCs w:val="21"/>
                <w:highlight w:val="none"/>
                <w:lang w:val="zh-CN"/>
              </w:rPr>
            </w:pPr>
            <w:r>
              <w:rPr>
                <w:rFonts w:hint="eastAsia" w:ascii="宋体" w:hAnsi="宋体" w:eastAsia="宋体" w:cs="宋体"/>
                <w:color w:val="auto"/>
                <w:spacing w:val="4"/>
                <w:sz w:val="21"/>
                <w:szCs w:val="21"/>
                <w:highlight w:val="none"/>
                <w:lang w:val="zh-CN"/>
              </w:rPr>
              <w:t>根据投标人提供的技术参数响应情况打分：</w:t>
            </w:r>
          </w:p>
          <w:p w14:paraId="1AFC0231">
            <w:pPr>
              <w:keepNext w:val="0"/>
              <w:keepLines w:val="0"/>
              <w:pageBreakBefore w:val="0"/>
              <w:widowControl/>
              <w:kinsoku/>
              <w:wordWrap/>
              <w:overflowPunct/>
              <w:topLinePunct w:val="0"/>
              <w:bidi w:val="0"/>
              <w:spacing w:line="320" w:lineRule="exact"/>
              <w:ind w:right="140"/>
              <w:jc w:val="both"/>
              <w:textAlignment w:val="auto"/>
              <w:rPr>
                <w:rFonts w:hint="eastAsia" w:ascii="宋体" w:hAnsi="宋体" w:eastAsia="宋体" w:cs="宋体"/>
                <w:color w:val="auto"/>
                <w:spacing w:val="4"/>
                <w:sz w:val="21"/>
                <w:szCs w:val="21"/>
                <w:highlight w:val="none"/>
                <w:lang w:val="zh-CN"/>
              </w:rPr>
            </w:pPr>
            <w:r>
              <w:rPr>
                <w:rFonts w:hint="eastAsia" w:ascii="宋体" w:hAnsi="宋体" w:eastAsia="宋体" w:cs="宋体"/>
                <w:color w:val="auto"/>
                <w:spacing w:val="4"/>
                <w:sz w:val="21"/>
                <w:szCs w:val="21"/>
                <w:highlight w:val="none"/>
                <w:lang w:val="zh-CN"/>
              </w:rPr>
              <w:t>无负偏离的得满分3</w:t>
            </w:r>
            <w:r>
              <w:rPr>
                <w:rFonts w:hint="eastAsia" w:ascii="宋体" w:hAnsi="宋体" w:eastAsia="宋体" w:cs="宋体"/>
                <w:color w:val="auto"/>
                <w:spacing w:val="4"/>
                <w:sz w:val="21"/>
                <w:szCs w:val="21"/>
                <w:highlight w:val="none"/>
              </w:rPr>
              <w:t>8</w:t>
            </w:r>
            <w:r>
              <w:rPr>
                <w:rFonts w:hint="eastAsia" w:ascii="宋体" w:hAnsi="宋体" w:eastAsia="宋体" w:cs="宋体"/>
                <w:color w:val="auto"/>
                <w:spacing w:val="4"/>
                <w:sz w:val="21"/>
                <w:szCs w:val="21"/>
                <w:highlight w:val="none"/>
                <w:lang w:val="zh-CN"/>
              </w:rPr>
              <w:t>分，标“</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lang w:val="zh-CN"/>
              </w:rPr>
              <w:t>”的技术参数每负偏离一项扣</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4"/>
                <w:sz w:val="21"/>
                <w:szCs w:val="21"/>
                <w:highlight w:val="none"/>
                <w:lang w:val="zh-CN"/>
              </w:rPr>
              <w:t>分，</w:t>
            </w:r>
          </w:p>
          <w:p w14:paraId="24512D94">
            <w:pPr>
              <w:keepNext w:val="0"/>
              <w:keepLines w:val="0"/>
              <w:pageBreakBefore w:val="0"/>
              <w:kinsoku/>
              <w:wordWrap/>
              <w:overflowPunct/>
              <w:topLinePunct w:val="0"/>
              <w:bidi w:val="0"/>
              <w:adjustRightIn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对其他性能指标及技术参数属负偏离或缺漏项的每项扣1分</w:t>
            </w:r>
            <w:r>
              <w:rPr>
                <w:rFonts w:hint="eastAsia" w:ascii="宋体" w:hAnsi="宋体" w:eastAsia="宋体" w:cs="宋体"/>
                <w:color w:val="auto"/>
                <w:spacing w:val="4"/>
                <w:sz w:val="21"/>
                <w:szCs w:val="21"/>
                <w:highlight w:val="none"/>
                <w:lang w:val="zh-CN"/>
              </w:rPr>
              <w:t>，扣完为止。</w:t>
            </w:r>
          </w:p>
          <w:p w14:paraId="46DE0BED">
            <w:pPr>
              <w:keepNext w:val="0"/>
              <w:keepLines w:val="0"/>
              <w:pageBreakBefore w:val="0"/>
              <w:kinsoku/>
              <w:wordWrap/>
              <w:overflowPunct/>
              <w:topLinePunct w:val="0"/>
              <w:bidi w:val="0"/>
              <w:adjustRightIn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标“▲”为实质性参数，负偏离的作无效标处理。</w:t>
            </w:r>
          </w:p>
          <w:p w14:paraId="0FCB4061">
            <w:pPr>
              <w:keepNext w:val="0"/>
              <w:keepLines w:val="0"/>
              <w:pageBreakBefore w:val="0"/>
              <w:kinsoku/>
              <w:wordWrap/>
              <w:overflowPunct/>
              <w:topLinePunct w:val="0"/>
              <w:bidi w:val="0"/>
              <w:spacing w:line="32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证明材料：1、</w:t>
            </w:r>
            <w:r>
              <w:rPr>
                <w:rFonts w:hint="eastAsia" w:ascii="宋体" w:hAnsi="宋体" w:eastAsia="宋体" w:cs="宋体"/>
                <w:b/>
                <w:color w:val="auto"/>
                <w:sz w:val="21"/>
                <w:szCs w:val="21"/>
                <w:highlight w:val="none"/>
                <w:lang w:eastAsia="zh-CN"/>
              </w:rPr>
              <w:t>14座非封闭式蓄电池观光车技术参数中的序号1-9的技术参数须提供国家认可的具有CMA或CNAS机构出具的特种设备型式试验报告，6座高尔夫球车技术参数中的序号1-9的技术参数须提供国家认可的具有CMA或CNAS机构出具的型式试验报告，投标人未提供的，相应技术参数视作负偏离处理；</w:t>
            </w:r>
          </w:p>
          <w:p w14:paraId="49DE4A96">
            <w:pPr>
              <w:keepNext w:val="0"/>
              <w:keepLines w:val="0"/>
              <w:pageBreakBefore w:val="0"/>
              <w:kinsoku/>
              <w:wordWrap/>
              <w:overflowPunct/>
              <w:topLinePunct w:val="0"/>
              <w:bidi w:val="0"/>
              <w:spacing w:line="3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2、招标技术参数中要求提供的相关证明材料，投标人未提供的，相应技术参数视作负偏离处理</w:t>
            </w:r>
            <w:r>
              <w:rPr>
                <w:rFonts w:hint="eastAsia" w:ascii="宋体" w:hAnsi="宋体" w:eastAsia="宋体" w:cs="宋体"/>
                <w:b/>
                <w:bCs/>
                <w:color w:val="auto"/>
                <w:spacing w:val="4"/>
                <w:sz w:val="21"/>
                <w:szCs w:val="21"/>
                <w:highlight w:val="none"/>
                <w:lang w:val="zh-CN"/>
              </w:rPr>
              <w:t>。</w:t>
            </w:r>
          </w:p>
        </w:tc>
      </w:tr>
      <w:tr w14:paraId="5A51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ign w:val="center"/>
          </w:tcPr>
          <w:p w14:paraId="124DE5D2">
            <w:pPr>
              <w:keepNext w:val="0"/>
              <w:keepLines w:val="0"/>
              <w:pageBreakBefore w:val="0"/>
              <w:widowControl/>
              <w:kinsoku/>
              <w:wordWrap/>
              <w:overflowPunct/>
              <w:topLinePunct w:val="0"/>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90" w:type="dxa"/>
            <w:gridSpan w:val="2"/>
            <w:shd w:val="clear" w:color="auto" w:fill="auto"/>
            <w:noWrap/>
            <w:vAlign w:val="center"/>
          </w:tcPr>
          <w:p w14:paraId="4F16B0E2">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所投品牌的综合实力</w:t>
            </w:r>
          </w:p>
        </w:tc>
        <w:tc>
          <w:tcPr>
            <w:tcW w:w="720" w:type="dxa"/>
            <w:noWrap/>
            <w:vAlign w:val="center"/>
          </w:tcPr>
          <w:p w14:paraId="4E7C5EAC">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757" w:type="dxa"/>
            <w:noWrap/>
            <w:vAlign w:val="center"/>
          </w:tcPr>
          <w:p w14:paraId="6ED0A4F3">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所投车辆的品牌</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市场投放时间</w:t>
            </w:r>
            <w:r>
              <w:rPr>
                <w:rFonts w:hint="eastAsia" w:ascii="宋体" w:hAnsi="宋体" w:eastAsia="宋体" w:cs="宋体"/>
                <w:color w:val="auto"/>
                <w:sz w:val="21"/>
                <w:szCs w:val="21"/>
                <w:highlight w:val="none"/>
              </w:rPr>
              <w:t>、产地、技术性能方面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相关行业测评资料、获得的各种评价证书等</w:t>
            </w:r>
            <w:r>
              <w:rPr>
                <w:rFonts w:hint="eastAsia" w:ascii="宋体" w:hAnsi="宋体" w:eastAsia="宋体" w:cs="宋体"/>
                <w:color w:val="auto"/>
                <w:sz w:val="21"/>
                <w:szCs w:val="21"/>
                <w:highlight w:val="none"/>
                <w:lang w:eastAsia="zh-CN"/>
              </w:rPr>
              <w:t>情况</w:t>
            </w:r>
            <w:r>
              <w:rPr>
                <w:rFonts w:hint="eastAsia" w:ascii="宋体" w:hAnsi="宋体" w:eastAsia="宋体" w:cs="宋体"/>
                <w:color w:val="auto"/>
                <w:sz w:val="21"/>
                <w:szCs w:val="21"/>
                <w:highlight w:val="none"/>
              </w:rPr>
              <w:t>，由专家</w:t>
            </w:r>
            <w:r>
              <w:rPr>
                <w:rFonts w:hint="eastAsia" w:ascii="宋体" w:hAnsi="宋体" w:eastAsia="宋体" w:cs="宋体"/>
                <w:color w:val="auto"/>
                <w:sz w:val="21"/>
                <w:szCs w:val="21"/>
                <w:highlight w:val="none"/>
                <w:lang w:eastAsia="zh-CN"/>
              </w:rPr>
              <w:t>进行评审</w:t>
            </w:r>
            <w:r>
              <w:rPr>
                <w:rFonts w:hint="eastAsia" w:ascii="宋体" w:hAnsi="宋体" w:eastAsia="宋体" w:cs="宋体"/>
                <w:color w:val="auto"/>
                <w:kern w:val="0"/>
                <w:sz w:val="21"/>
                <w:szCs w:val="21"/>
                <w:highlight w:val="none"/>
              </w:rPr>
              <w:t>。</w:t>
            </w:r>
          </w:p>
          <w:p w14:paraId="19E089D2">
            <w:pPr>
              <w:keepNext w:val="0"/>
              <w:keepLines w:val="0"/>
              <w:pageBreakBefore w:val="0"/>
              <w:kinsoku/>
              <w:wordWrap/>
              <w:overflowPunct/>
              <w:topLinePunct w:val="0"/>
              <w:bidi w:val="0"/>
              <w:spacing w:line="320" w:lineRule="exact"/>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A档</w:t>
            </w:r>
            <w:r>
              <w:rPr>
                <w:rFonts w:hint="eastAsia" w:ascii="宋体" w:hAnsi="宋体" w:eastAsia="宋体" w:cs="宋体"/>
                <w:color w:val="auto"/>
                <w:kern w:val="0"/>
                <w:sz w:val="21"/>
                <w:szCs w:val="21"/>
                <w:highlight w:val="none"/>
                <w:lang w:val="en-US" w:eastAsia="zh-CN"/>
              </w:rPr>
              <w:t>5-3.6</w:t>
            </w:r>
            <w:r>
              <w:rPr>
                <w:rFonts w:hint="eastAsia" w:ascii="宋体" w:hAnsi="宋体" w:eastAsia="宋体" w:cs="宋体"/>
                <w:color w:val="auto"/>
                <w:kern w:val="0"/>
                <w:sz w:val="21"/>
                <w:szCs w:val="21"/>
                <w:highlight w:val="none"/>
              </w:rPr>
              <w:t>分，B档</w:t>
            </w:r>
            <w:r>
              <w:rPr>
                <w:rFonts w:hint="eastAsia" w:ascii="宋体" w:hAnsi="宋体" w:eastAsia="宋体" w:cs="宋体"/>
                <w:color w:val="auto"/>
                <w:kern w:val="0"/>
                <w:sz w:val="21"/>
                <w:szCs w:val="21"/>
                <w:highlight w:val="none"/>
                <w:lang w:val="en-US" w:eastAsia="zh-CN"/>
              </w:rPr>
              <w:t>3.5-2.1</w:t>
            </w:r>
            <w:r>
              <w:rPr>
                <w:rFonts w:hint="eastAsia" w:ascii="宋体" w:hAnsi="宋体" w:eastAsia="宋体" w:cs="宋体"/>
                <w:color w:val="auto"/>
                <w:kern w:val="0"/>
                <w:sz w:val="21"/>
                <w:szCs w:val="21"/>
                <w:highlight w:val="none"/>
              </w:rPr>
              <w:t>分，C档</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p>
        </w:tc>
      </w:tr>
      <w:tr w14:paraId="6958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ign w:val="center"/>
          </w:tcPr>
          <w:p w14:paraId="6A5B8F5B">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0" w:type="dxa"/>
            <w:gridSpan w:val="2"/>
            <w:shd w:val="clear" w:color="auto" w:fill="auto"/>
            <w:noWrap/>
            <w:vAlign w:val="center"/>
          </w:tcPr>
          <w:p w14:paraId="3179329D">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项目总体</w:t>
            </w:r>
          </w:p>
          <w:p w14:paraId="0321B319">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p>
          <w:p w14:paraId="61716700">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720" w:type="dxa"/>
            <w:noWrap/>
            <w:vAlign w:val="center"/>
          </w:tcPr>
          <w:p w14:paraId="60046F69">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6757" w:type="dxa"/>
            <w:noWrap/>
            <w:vAlign w:val="center"/>
          </w:tcPr>
          <w:p w14:paraId="7A946B7F">
            <w:pPr>
              <w:keepNext w:val="0"/>
              <w:keepLines w:val="0"/>
              <w:pageBreakBefore w:val="0"/>
              <w:kinsoku/>
              <w:wordWrap/>
              <w:overflowPunct/>
              <w:topLinePunct w:val="0"/>
              <w:bidi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针对本项目的产品生产（或采购）、供货、运输、</w:t>
            </w:r>
            <w:r>
              <w:rPr>
                <w:rFonts w:hint="eastAsia" w:ascii="宋体" w:hAnsi="宋体" w:eastAsia="宋体" w:cs="宋体"/>
                <w:bCs/>
                <w:color w:val="auto"/>
                <w:sz w:val="21"/>
                <w:szCs w:val="21"/>
                <w:highlight w:val="none"/>
              </w:rPr>
              <w:t>进度计划、</w:t>
            </w:r>
            <w:r>
              <w:rPr>
                <w:rFonts w:hint="eastAsia" w:ascii="宋体" w:hAnsi="宋体" w:eastAsia="宋体" w:cs="宋体"/>
                <w:color w:val="auto"/>
                <w:sz w:val="21"/>
                <w:szCs w:val="21"/>
                <w:highlight w:val="none"/>
              </w:rPr>
              <w:t>安装与调试、验收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协助上牌</w:t>
            </w:r>
            <w:r>
              <w:rPr>
                <w:rFonts w:hint="eastAsia" w:ascii="宋体" w:hAnsi="宋体" w:eastAsia="宋体" w:cs="宋体"/>
                <w:color w:val="auto"/>
                <w:sz w:val="21"/>
                <w:szCs w:val="21"/>
                <w:highlight w:val="none"/>
              </w:rPr>
              <w:t>等方案进行综合评分：</w:t>
            </w:r>
          </w:p>
          <w:p w14:paraId="3C665A0D">
            <w:pPr>
              <w:pStyle w:val="16"/>
              <w:keepNext w:val="0"/>
              <w:keepLines w:val="0"/>
              <w:pageBreakBefore w:val="0"/>
              <w:kinsoku/>
              <w:wordWrap/>
              <w:overflowPunct/>
              <w:topLinePunct w:val="0"/>
              <w:bidi w:val="0"/>
              <w:spacing w:after="0" w:line="32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lang w:bidi="ar"/>
              </w:rPr>
              <w:t>合理、可行、针对性强，</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分；</w:t>
            </w:r>
          </w:p>
          <w:p w14:paraId="28F22993">
            <w:pPr>
              <w:pStyle w:val="16"/>
              <w:keepNext w:val="0"/>
              <w:keepLines w:val="0"/>
              <w:pageBreakBefore w:val="0"/>
              <w:kinsoku/>
              <w:wordWrap/>
              <w:overflowPunct/>
              <w:topLinePunct w:val="0"/>
              <w:bidi w:val="0"/>
              <w:spacing w:after="0" w:line="320" w:lineRule="exact"/>
              <w:jc w:val="both"/>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lang w:bidi="ar"/>
              </w:rPr>
              <w:t>较合理，有一定可行性和针对性，</w:t>
            </w:r>
            <w:r>
              <w:rPr>
                <w:rFonts w:hint="eastAsia" w:ascii="宋体" w:hAnsi="宋体" w:eastAsia="宋体" w:cs="宋体"/>
                <w:bCs/>
                <w:color w:val="auto"/>
                <w:kern w:val="0"/>
                <w:sz w:val="21"/>
                <w:szCs w:val="21"/>
                <w:highlight w:val="none"/>
              </w:rPr>
              <w:t>2.</w:t>
            </w: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4.0</w:t>
            </w:r>
            <w:r>
              <w:rPr>
                <w:rFonts w:hint="eastAsia" w:ascii="宋体" w:hAnsi="宋体" w:eastAsia="宋体" w:cs="宋体"/>
                <w:color w:val="auto"/>
                <w:kern w:val="0"/>
                <w:sz w:val="21"/>
                <w:szCs w:val="21"/>
                <w:highlight w:val="none"/>
                <w:lang w:bidi="ar"/>
              </w:rPr>
              <w:t>分；</w:t>
            </w:r>
          </w:p>
          <w:p w14:paraId="73960574">
            <w:pPr>
              <w:pStyle w:val="16"/>
              <w:keepNext w:val="0"/>
              <w:keepLines w:val="0"/>
              <w:pageBreakBefore w:val="0"/>
              <w:kinsoku/>
              <w:wordWrap/>
              <w:overflowPunct/>
              <w:topLinePunct w:val="0"/>
              <w:bidi w:val="0"/>
              <w:spacing w:after="0"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sz w:val="21"/>
                <w:szCs w:val="21"/>
                <w:highlight w:val="none"/>
              </w:rPr>
              <w:t>方案</w:t>
            </w:r>
            <w:r>
              <w:rPr>
                <w:rFonts w:hint="eastAsia" w:ascii="宋体" w:hAnsi="宋体" w:eastAsia="宋体" w:cs="宋体"/>
                <w:color w:val="auto"/>
                <w:kern w:val="0"/>
                <w:sz w:val="21"/>
                <w:szCs w:val="21"/>
                <w:highlight w:val="none"/>
                <w:lang w:bidi="ar"/>
              </w:rPr>
              <w:t>不甚合理，可行性和针对性差，0-2</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分；</w:t>
            </w:r>
          </w:p>
        </w:tc>
      </w:tr>
      <w:tr w14:paraId="602D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98" w:type="dxa"/>
            <w:vMerge w:val="restart"/>
            <w:noWrap/>
            <w:vAlign w:val="center"/>
          </w:tcPr>
          <w:p w14:paraId="7019DE22">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88" w:type="dxa"/>
            <w:vMerge w:val="restart"/>
            <w:shd w:val="clear" w:color="auto" w:fill="auto"/>
            <w:noWrap/>
            <w:vAlign w:val="center"/>
          </w:tcPr>
          <w:p w14:paraId="07829A8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售后服务能力</w:t>
            </w:r>
          </w:p>
          <w:p w14:paraId="5872B678">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702" w:type="dxa"/>
            <w:shd w:val="clear" w:color="auto" w:fill="auto"/>
            <w:noWrap/>
            <w:vAlign w:val="center"/>
          </w:tcPr>
          <w:p w14:paraId="732AA123">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免费质保期</w:t>
            </w:r>
          </w:p>
        </w:tc>
        <w:tc>
          <w:tcPr>
            <w:tcW w:w="720" w:type="dxa"/>
            <w:noWrap/>
            <w:vAlign w:val="center"/>
          </w:tcPr>
          <w:p w14:paraId="7CCA6CDA">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6757" w:type="dxa"/>
            <w:noWrap/>
            <w:vAlign w:val="center"/>
          </w:tcPr>
          <w:p w14:paraId="2E9B7135">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在招标文件按要求（1年）的基础上，每增加6个月得1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分，最高加</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689E1CE7">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承诺书格式自拟，未提供或提供不全的不得分。</w:t>
            </w:r>
          </w:p>
        </w:tc>
      </w:tr>
      <w:tr w14:paraId="3909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98" w:type="dxa"/>
            <w:vMerge w:val="continue"/>
            <w:noWrap/>
            <w:vAlign w:val="center"/>
          </w:tcPr>
          <w:p w14:paraId="2E4A1E74">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sz w:val="21"/>
                <w:szCs w:val="21"/>
                <w:highlight w:val="none"/>
                <w:lang w:val="en-US" w:eastAsia="zh-CN"/>
              </w:rPr>
            </w:pPr>
          </w:p>
        </w:tc>
        <w:tc>
          <w:tcPr>
            <w:tcW w:w="588" w:type="dxa"/>
            <w:vMerge w:val="continue"/>
            <w:shd w:val="clear" w:color="auto" w:fill="auto"/>
            <w:noWrap/>
            <w:vAlign w:val="center"/>
          </w:tcPr>
          <w:p w14:paraId="2D71CA83">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702" w:type="dxa"/>
            <w:shd w:val="clear" w:color="auto" w:fill="auto"/>
            <w:noWrap/>
            <w:vAlign w:val="center"/>
          </w:tcPr>
          <w:p w14:paraId="0CED28D4">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售后响应</w:t>
            </w:r>
          </w:p>
        </w:tc>
        <w:tc>
          <w:tcPr>
            <w:tcW w:w="720" w:type="dxa"/>
            <w:noWrap/>
            <w:vAlign w:val="center"/>
          </w:tcPr>
          <w:p w14:paraId="2DC76FE6">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757" w:type="dxa"/>
            <w:noWrap/>
            <w:vAlign w:val="center"/>
          </w:tcPr>
          <w:p w14:paraId="7F19C121">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承诺做到全年365天7*24小时</w:t>
            </w:r>
            <w:r>
              <w:rPr>
                <w:rFonts w:hint="eastAsia" w:ascii="宋体" w:hAnsi="宋体" w:eastAsia="宋体" w:cs="宋体"/>
                <w:b w:val="0"/>
                <w:color w:val="auto"/>
                <w:sz w:val="21"/>
                <w:szCs w:val="21"/>
                <w:highlight w:val="none"/>
                <w:lang w:eastAsia="zh-CN"/>
              </w:rPr>
              <w:t>售后服务</w:t>
            </w:r>
            <w:r>
              <w:rPr>
                <w:rFonts w:hint="eastAsia" w:ascii="宋体" w:hAnsi="宋体" w:eastAsia="宋体" w:cs="宋体"/>
                <w:color w:val="auto"/>
                <w:sz w:val="21"/>
                <w:szCs w:val="21"/>
                <w:highlight w:val="none"/>
                <w:lang w:val="en-US" w:eastAsia="zh-CN"/>
              </w:rPr>
              <w:t>响应，</w:t>
            </w:r>
            <w:r>
              <w:rPr>
                <w:rFonts w:hint="eastAsia" w:ascii="宋体" w:hAnsi="宋体" w:eastAsia="宋体" w:cs="宋体"/>
                <w:b w:val="0"/>
                <w:color w:val="auto"/>
                <w:sz w:val="21"/>
                <w:szCs w:val="21"/>
                <w:highlight w:val="none"/>
                <w:lang w:eastAsia="zh-CN"/>
              </w:rPr>
              <w:t>接到采购人维修通知后，在1小时内响应，维修人员在24小时内赶到现场</w:t>
            </w:r>
            <w:r>
              <w:rPr>
                <w:rFonts w:hint="eastAsia" w:ascii="宋体" w:hAnsi="宋体" w:eastAsia="宋体" w:cs="宋体"/>
                <w:color w:val="auto"/>
                <w:sz w:val="21"/>
                <w:szCs w:val="21"/>
                <w:highlight w:val="none"/>
                <w:lang w:val="en-US" w:eastAsia="zh-CN"/>
              </w:rPr>
              <w:t>，具备得2分。</w:t>
            </w: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承诺书格式自拟，未提供或提供不全的不得分。</w:t>
            </w:r>
          </w:p>
        </w:tc>
      </w:tr>
      <w:tr w14:paraId="5EFD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98" w:type="dxa"/>
            <w:vMerge w:val="continue"/>
            <w:noWrap/>
            <w:vAlign w:val="center"/>
          </w:tcPr>
          <w:p w14:paraId="0241326B">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sz w:val="21"/>
                <w:szCs w:val="21"/>
                <w:highlight w:val="none"/>
                <w:lang w:val="en-US" w:eastAsia="zh-CN"/>
              </w:rPr>
            </w:pPr>
          </w:p>
        </w:tc>
        <w:tc>
          <w:tcPr>
            <w:tcW w:w="588" w:type="dxa"/>
            <w:vMerge w:val="continue"/>
            <w:shd w:val="clear" w:color="auto" w:fill="auto"/>
            <w:noWrap/>
            <w:vAlign w:val="center"/>
          </w:tcPr>
          <w:p w14:paraId="2A2D3724">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kern w:val="2"/>
                <w:sz w:val="21"/>
                <w:szCs w:val="21"/>
                <w:highlight w:val="none"/>
                <w:lang w:val="en-US" w:eastAsia="zh-CN" w:bidi="ar-SA"/>
              </w:rPr>
            </w:pPr>
          </w:p>
        </w:tc>
        <w:tc>
          <w:tcPr>
            <w:tcW w:w="702" w:type="dxa"/>
            <w:vMerge w:val="restart"/>
            <w:shd w:val="clear" w:color="auto" w:fill="auto"/>
            <w:noWrap/>
            <w:vAlign w:val="center"/>
          </w:tcPr>
          <w:p w14:paraId="51142E20">
            <w:pPr>
              <w:keepNext w:val="0"/>
              <w:keepLines w:val="0"/>
              <w:pageBreakBefore w:val="0"/>
              <w:kinsoku/>
              <w:wordWrap/>
              <w:overflowPunct/>
              <w:topLinePunct w:val="0"/>
              <w:bidi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售后服务情况</w:t>
            </w:r>
          </w:p>
        </w:tc>
        <w:tc>
          <w:tcPr>
            <w:tcW w:w="720" w:type="dxa"/>
            <w:vMerge w:val="restart"/>
            <w:noWrap/>
            <w:vAlign w:val="center"/>
          </w:tcPr>
          <w:p w14:paraId="0BE9733C">
            <w:pPr>
              <w:keepNext w:val="0"/>
              <w:keepLines w:val="0"/>
              <w:pageBreakBefore w:val="0"/>
              <w:kinsoku/>
              <w:wordWrap/>
              <w:overflowPunct/>
              <w:topLinePunct w:val="0"/>
              <w:bidi w:val="0"/>
              <w:adjustRightInd w:val="0"/>
              <w:snapToGrid w:val="0"/>
              <w:spacing w:line="3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757" w:type="dxa"/>
            <w:noWrap/>
            <w:vAlign w:val="center"/>
          </w:tcPr>
          <w:p w14:paraId="5B4ADED5">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售后服务情况：</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设有的特约维修站（4S店和非4S店）情况（属地远近、数量、规模等），对售后服务有利性横向比较、综合评价</w:t>
            </w:r>
            <w:r>
              <w:rPr>
                <w:rFonts w:hint="eastAsia" w:ascii="宋体" w:hAnsi="宋体" w:eastAsia="宋体" w:cs="宋体"/>
                <w:color w:val="auto"/>
                <w:sz w:val="21"/>
                <w:szCs w:val="21"/>
                <w:highlight w:val="none"/>
                <w:lang w:eastAsia="zh-CN"/>
              </w:rPr>
              <w:t>。</w:t>
            </w:r>
          </w:p>
          <w:p w14:paraId="186C9AD6">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A档</w:t>
            </w:r>
            <w:r>
              <w:rPr>
                <w:rFonts w:hint="eastAsia" w:ascii="宋体" w:hAnsi="宋体" w:eastAsia="宋体" w:cs="宋体"/>
                <w:color w:val="auto"/>
                <w:kern w:val="0"/>
                <w:sz w:val="21"/>
                <w:szCs w:val="21"/>
                <w:highlight w:val="none"/>
                <w:lang w:val="en-US" w:eastAsia="zh-CN"/>
              </w:rPr>
              <w:t>3.0-2.1</w:t>
            </w:r>
            <w:r>
              <w:rPr>
                <w:rFonts w:hint="eastAsia" w:ascii="宋体" w:hAnsi="宋体" w:eastAsia="宋体" w:cs="宋体"/>
                <w:color w:val="auto"/>
                <w:kern w:val="0"/>
                <w:sz w:val="21"/>
                <w:szCs w:val="21"/>
                <w:highlight w:val="none"/>
              </w:rPr>
              <w:t>分，B档</w:t>
            </w:r>
            <w:r>
              <w:rPr>
                <w:rFonts w:hint="eastAsia" w:ascii="宋体" w:hAnsi="宋体" w:eastAsia="宋体" w:cs="宋体"/>
                <w:color w:val="auto"/>
                <w:kern w:val="0"/>
                <w:sz w:val="21"/>
                <w:szCs w:val="21"/>
                <w:highlight w:val="none"/>
                <w:lang w:val="en-US" w:eastAsia="zh-CN"/>
              </w:rPr>
              <w:t>2.0-1.1</w:t>
            </w:r>
            <w:r>
              <w:rPr>
                <w:rFonts w:hint="eastAsia" w:ascii="宋体" w:hAnsi="宋体" w:eastAsia="宋体" w:cs="宋体"/>
                <w:color w:val="auto"/>
                <w:kern w:val="0"/>
                <w:sz w:val="21"/>
                <w:szCs w:val="21"/>
                <w:highlight w:val="none"/>
              </w:rPr>
              <w:t>分，C档</w:t>
            </w:r>
            <w:r>
              <w:rPr>
                <w:rFonts w:hint="eastAsia" w:ascii="宋体" w:hAnsi="宋体" w:eastAsia="宋体" w:cs="宋体"/>
                <w:color w:val="auto"/>
                <w:kern w:val="0"/>
                <w:sz w:val="21"/>
                <w:szCs w:val="21"/>
                <w:highlight w:val="none"/>
                <w:lang w:val="en-US" w:eastAsia="zh-CN"/>
              </w:rPr>
              <w:t>1.0-0</w:t>
            </w:r>
            <w:r>
              <w:rPr>
                <w:rFonts w:hint="eastAsia" w:ascii="宋体" w:hAnsi="宋体" w:eastAsia="宋体" w:cs="宋体"/>
                <w:color w:val="auto"/>
                <w:kern w:val="0"/>
                <w:sz w:val="21"/>
                <w:szCs w:val="21"/>
                <w:highlight w:val="none"/>
              </w:rPr>
              <w:t>分。</w:t>
            </w:r>
          </w:p>
          <w:p w14:paraId="2548CE40">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须提供厂家维修授权书</w:t>
            </w:r>
            <w:r>
              <w:rPr>
                <w:rFonts w:hint="eastAsia" w:ascii="宋体" w:hAnsi="宋体" w:eastAsia="宋体" w:cs="宋体"/>
                <w:color w:val="auto"/>
                <w:sz w:val="21"/>
                <w:szCs w:val="21"/>
                <w:highlight w:val="none"/>
                <w:lang w:val="en-US" w:eastAsia="zh-CN"/>
              </w:rPr>
              <w:t>或合作协议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营业执照</w:t>
            </w:r>
            <w:r>
              <w:rPr>
                <w:rFonts w:hint="eastAsia" w:ascii="宋体" w:hAnsi="宋体" w:eastAsia="宋体" w:cs="宋体"/>
                <w:color w:val="auto"/>
                <w:sz w:val="21"/>
                <w:szCs w:val="21"/>
                <w:highlight w:val="none"/>
              </w:rPr>
              <w:t>复印件加盖投标人公章，</w:t>
            </w:r>
            <w:r>
              <w:rPr>
                <w:rFonts w:hint="eastAsia" w:ascii="宋体" w:hAnsi="宋体" w:eastAsia="宋体" w:cs="宋体"/>
                <w:color w:val="auto"/>
                <w:sz w:val="21"/>
                <w:szCs w:val="21"/>
                <w:highlight w:val="none"/>
                <w:lang w:val="en-US" w:eastAsia="zh-CN"/>
              </w:rPr>
              <w:t>否则</w:t>
            </w:r>
            <w:r>
              <w:rPr>
                <w:rFonts w:hint="eastAsia" w:ascii="宋体" w:hAnsi="宋体" w:eastAsia="宋体" w:cs="宋体"/>
                <w:color w:val="auto"/>
                <w:sz w:val="21"/>
                <w:szCs w:val="21"/>
                <w:highlight w:val="none"/>
              </w:rPr>
              <w:t>不得分。</w:t>
            </w:r>
          </w:p>
        </w:tc>
      </w:tr>
      <w:tr w14:paraId="2434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98" w:type="dxa"/>
            <w:vMerge w:val="continue"/>
            <w:noWrap/>
            <w:vAlign w:val="center"/>
          </w:tcPr>
          <w:p w14:paraId="5932BDCA">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p>
        </w:tc>
        <w:tc>
          <w:tcPr>
            <w:tcW w:w="588" w:type="dxa"/>
            <w:vMerge w:val="continue"/>
            <w:shd w:val="clear" w:color="auto" w:fill="auto"/>
            <w:noWrap/>
            <w:vAlign w:val="center"/>
          </w:tcPr>
          <w:p w14:paraId="38F01E41">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p>
        </w:tc>
        <w:tc>
          <w:tcPr>
            <w:tcW w:w="702" w:type="dxa"/>
            <w:vMerge w:val="continue"/>
            <w:shd w:val="clear" w:color="auto" w:fill="auto"/>
            <w:noWrap/>
            <w:vAlign w:val="center"/>
          </w:tcPr>
          <w:p w14:paraId="7DB783A4">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p>
        </w:tc>
        <w:tc>
          <w:tcPr>
            <w:tcW w:w="720" w:type="dxa"/>
            <w:vMerge w:val="continue"/>
            <w:noWrap/>
            <w:vAlign w:val="center"/>
          </w:tcPr>
          <w:p w14:paraId="0E2ADAD9">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p>
        </w:tc>
        <w:tc>
          <w:tcPr>
            <w:tcW w:w="6757" w:type="dxa"/>
            <w:noWrap/>
            <w:vAlign w:val="center"/>
          </w:tcPr>
          <w:p w14:paraId="59DC0843">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根据本项目实际情况，编写详细的质保期内售后服务方案</w:t>
            </w:r>
            <w:r>
              <w:rPr>
                <w:rFonts w:hint="eastAsia" w:ascii="宋体" w:hAnsi="宋体" w:eastAsia="宋体" w:cs="宋体"/>
                <w:color w:val="auto"/>
                <w:sz w:val="21"/>
                <w:szCs w:val="21"/>
                <w:highlight w:val="none"/>
                <w:lang w:eastAsia="zh-CN"/>
              </w:rPr>
              <w:t>以及质保外的售后主要配件价目</w:t>
            </w:r>
            <w:r>
              <w:rPr>
                <w:rFonts w:hint="eastAsia" w:ascii="宋体" w:hAnsi="宋体" w:eastAsia="宋体" w:cs="宋体"/>
                <w:color w:val="auto"/>
                <w:sz w:val="21"/>
                <w:szCs w:val="21"/>
                <w:highlight w:val="none"/>
              </w:rPr>
              <w:t>，质保期内售后服务承诺，包括修复时间、技术人员配置、售后服务荣誉证明</w:t>
            </w:r>
            <w:r>
              <w:rPr>
                <w:rFonts w:hint="eastAsia" w:ascii="宋体" w:hAnsi="宋体" w:eastAsia="宋体" w:cs="宋体"/>
                <w:color w:val="auto"/>
                <w:sz w:val="21"/>
                <w:szCs w:val="21"/>
                <w:highlight w:val="none"/>
                <w:lang w:eastAsia="zh-CN"/>
              </w:rPr>
              <w:t>以及质保外的主要售后配件价格</w:t>
            </w:r>
            <w:r>
              <w:rPr>
                <w:rFonts w:hint="eastAsia" w:ascii="宋体" w:hAnsi="宋体" w:eastAsia="宋体" w:cs="宋体"/>
                <w:color w:val="auto"/>
                <w:sz w:val="21"/>
                <w:szCs w:val="21"/>
                <w:highlight w:val="none"/>
              </w:rPr>
              <w:t>等进行打分：</w:t>
            </w:r>
          </w:p>
          <w:p w14:paraId="347BBA8C">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1.售后服务方案对本项目针对性强，详细、可行、合理的得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6C9B835C">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2.售后服务方案对本项目针对性一般，较详细、可行、合理的得</w:t>
            </w:r>
            <w:r>
              <w:rPr>
                <w:rFonts w:hint="eastAsia" w:ascii="宋体" w:hAnsi="宋体" w:eastAsia="宋体" w:cs="宋体"/>
                <w:color w:val="auto"/>
                <w:sz w:val="21"/>
                <w:szCs w:val="21"/>
                <w:highlight w:val="none"/>
                <w:lang w:val="en-US" w:eastAsia="zh-CN"/>
              </w:rPr>
              <w:t>0.8-1.4</w:t>
            </w:r>
            <w:r>
              <w:rPr>
                <w:rFonts w:hint="eastAsia" w:ascii="宋体" w:hAnsi="宋体" w:eastAsia="宋体" w:cs="宋体"/>
                <w:color w:val="auto"/>
                <w:sz w:val="21"/>
                <w:szCs w:val="21"/>
                <w:highlight w:val="none"/>
              </w:rPr>
              <w:t>分；</w:t>
            </w:r>
          </w:p>
          <w:p w14:paraId="26EA2EC6">
            <w:pPr>
              <w:keepNext w:val="0"/>
              <w:keepLines w:val="0"/>
              <w:pageBreakBefore w:val="0"/>
              <w:kinsoku/>
              <w:wordWrap/>
              <w:overflowPunct/>
              <w:topLinePunct w:val="0"/>
              <w:bidi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3.售后服务方案对本项目针对性差的得0-</w:t>
            </w:r>
            <w:r>
              <w:rPr>
                <w:rFonts w:hint="eastAsia" w:ascii="宋体" w:hAnsi="宋体" w:eastAsia="宋体" w:cs="宋体"/>
                <w:color w:val="auto"/>
                <w:sz w:val="21"/>
                <w:szCs w:val="21"/>
                <w:highlight w:val="none"/>
                <w:lang w:val="en-US" w:eastAsia="zh-CN"/>
              </w:rPr>
              <w:t>0.7</w:t>
            </w:r>
            <w:r>
              <w:rPr>
                <w:rFonts w:hint="eastAsia" w:ascii="宋体" w:hAnsi="宋体" w:eastAsia="宋体" w:cs="宋体"/>
                <w:color w:val="auto"/>
                <w:sz w:val="21"/>
                <w:szCs w:val="21"/>
                <w:highlight w:val="none"/>
              </w:rPr>
              <w:t>分；</w:t>
            </w:r>
          </w:p>
        </w:tc>
      </w:tr>
      <w:tr w14:paraId="45DC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8" w:type="dxa"/>
            <w:noWrap/>
            <w:vAlign w:val="center"/>
          </w:tcPr>
          <w:p w14:paraId="09453765">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290" w:type="dxa"/>
            <w:gridSpan w:val="2"/>
            <w:noWrap/>
            <w:vAlign w:val="center"/>
          </w:tcPr>
          <w:p w14:paraId="40C4817B">
            <w:pPr>
              <w:pStyle w:val="16"/>
              <w:keepNext w:val="0"/>
              <w:keepLines w:val="0"/>
              <w:pageBreakBefore w:val="0"/>
              <w:kinsoku/>
              <w:wordWrap/>
              <w:overflowPunct/>
              <w:topLinePunct w:val="0"/>
              <w:bidi w:val="0"/>
              <w:spacing w:after="0"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车辆外观</w:t>
            </w:r>
          </w:p>
        </w:tc>
        <w:tc>
          <w:tcPr>
            <w:tcW w:w="720" w:type="dxa"/>
            <w:noWrap/>
            <w:vAlign w:val="center"/>
          </w:tcPr>
          <w:p w14:paraId="43324245">
            <w:pPr>
              <w:pStyle w:val="3"/>
              <w:keepNext w:val="0"/>
              <w:keepLines w:val="0"/>
              <w:pageBreakBefore w:val="0"/>
              <w:kinsoku/>
              <w:wordWrap/>
              <w:overflowPunct/>
              <w:topLinePunct w:val="0"/>
              <w:bidi w:val="0"/>
              <w:spacing w:after="0" w:line="320" w:lineRule="exact"/>
              <w:ind w:left="420" w:lef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757" w:type="dxa"/>
            <w:noWrap/>
            <w:vAlign w:val="center"/>
          </w:tcPr>
          <w:p w14:paraId="2D934B8F">
            <w:pPr>
              <w:keepNext w:val="0"/>
              <w:keepLines w:val="0"/>
              <w:pageBreakBefore w:val="0"/>
              <w:kinsoku/>
              <w:wordWrap/>
              <w:overflowPunct/>
              <w:topLinePunct w:val="0"/>
              <w:bidi w:val="0"/>
              <w:adjustRightIn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提供拟投标车辆的外观设计图或效果图</w:t>
            </w:r>
            <w:r>
              <w:rPr>
                <w:rFonts w:hint="eastAsia" w:ascii="宋体" w:hAnsi="宋体" w:eastAsia="宋体" w:cs="宋体"/>
                <w:color w:val="auto"/>
                <w:sz w:val="21"/>
                <w:szCs w:val="21"/>
                <w:highlight w:val="none"/>
                <w:lang w:val="en-US" w:eastAsia="zh-CN"/>
              </w:rPr>
              <w:t>或实物照片</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（提供实物照片为佳）</w:t>
            </w:r>
            <w:r>
              <w:rPr>
                <w:rFonts w:hint="eastAsia" w:ascii="宋体" w:hAnsi="宋体" w:eastAsia="宋体" w:cs="宋体"/>
                <w:color w:val="auto"/>
                <w:sz w:val="21"/>
                <w:szCs w:val="21"/>
                <w:highlight w:val="none"/>
              </w:rPr>
              <w:t>，根据车辆外观设计的美观度、安全性、实用性等方面进行打分，</w:t>
            </w:r>
            <w:r>
              <w:rPr>
                <w:rFonts w:hint="eastAsia" w:ascii="宋体" w:hAnsi="宋体" w:eastAsia="宋体" w:cs="宋体"/>
                <w:color w:val="auto"/>
                <w:sz w:val="21"/>
                <w:szCs w:val="21"/>
                <w:highlight w:val="none"/>
                <w:lang w:val="en-US" w:eastAsia="zh-CN"/>
              </w:rPr>
              <w:t>6座高尔夫球车</w:t>
            </w:r>
            <w:r>
              <w:rPr>
                <w:rFonts w:hint="eastAsia" w:ascii="宋体" w:hAnsi="宋体" w:eastAsia="宋体" w:cs="宋体"/>
                <w:color w:val="auto"/>
                <w:sz w:val="21"/>
                <w:szCs w:val="21"/>
                <w:highlight w:val="none"/>
              </w:rPr>
              <w:t>0-2分，</w:t>
            </w:r>
            <w:r>
              <w:rPr>
                <w:rFonts w:hint="eastAsia" w:ascii="宋体" w:hAnsi="宋体" w:eastAsia="宋体" w:cs="宋体"/>
                <w:color w:val="auto"/>
                <w:sz w:val="21"/>
                <w:szCs w:val="21"/>
                <w:highlight w:val="none"/>
                <w:lang w:eastAsia="zh-CN"/>
              </w:rPr>
              <w:t>14座非封闭式蓄电池观光车</w:t>
            </w:r>
            <w:r>
              <w:rPr>
                <w:rFonts w:hint="eastAsia" w:ascii="宋体" w:hAnsi="宋体" w:eastAsia="宋体" w:cs="宋体"/>
                <w:color w:val="auto"/>
                <w:sz w:val="21"/>
                <w:szCs w:val="21"/>
                <w:highlight w:val="none"/>
              </w:rPr>
              <w:t>0-2分，满分4分。</w:t>
            </w:r>
          </w:p>
          <w:p w14:paraId="10E51663">
            <w:pPr>
              <w:pStyle w:val="3"/>
              <w:keepNext w:val="0"/>
              <w:keepLines w:val="0"/>
              <w:pageBreakBefore w:val="0"/>
              <w:kinsoku/>
              <w:wordWrap/>
              <w:overflowPunct/>
              <w:topLinePunct w:val="0"/>
              <w:bidi w:val="0"/>
              <w:adjustRightInd w:val="0"/>
              <w:snapToGrid w:val="0"/>
              <w:spacing w:after="0" w:line="320" w:lineRule="exact"/>
              <w:ind w:left="422"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注：未提供该项内容不得分。</w:t>
            </w:r>
          </w:p>
        </w:tc>
      </w:tr>
    </w:tbl>
    <w:p w14:paraId="37BF3119">
      <w:pPr>
        <w:adjustRightInd w:val="0"/>
        <w:snapToGrid w:val="0"/>
        <w:spacing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2、报价分的评定（</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0分）</w:t>
      </w:r>
    </w:p>
    <w:p w14:paraId="2DB83D39">
      <w:pPr>
        <w:spacing w:line="440" w:lineRule="exact"/>
        <w:ind w:left="328" w:leftChars="156"/>
        <w:rPr>
          <w:rFonts w:hint="eastAsia" w:ascii="宋体" w:hAnsi="宋体" w:eastAsia="宋体" w:cs="宋体"/>
          <w:color w:val="auto"/>
          <w:sz w:val="22"/>
          <w:highlight w:val="none"/>
        </w:rPr>
      </w:pPr>
      <w:r>
        <w:rPr>
          <w:rFonts w:hint="eastAsia" w:ascii="宋体" w:hAnsi="宋体" w:eastAsia="宋体" w:cs="宋体"/>
          <w:color w:val="auto"/>
          <w:sz w:val="22"/>
          <w:highlight w:val="none"/>
        </w:rPr>
        <w:t>满足采购文件要求且价格最低的投标报价为投标基准价。</w:t>
      </w:r>
    </w:p>
    <w:p w14:paraId="7D823965">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1）有效投标人的投标报价等于投标基准价时其商务分为满分</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0分；</w:t>
      </w:r>
    </w:p>
    <w:p w14:paraId="691485D7">
      <w:pPr>
        <w:spacing w:line="44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2）其他投标人的价格分按以下公式计算：</w:t>
      </w:r>
    </w:p>
    <w:p w14:paraId="535CC1CF">
      <w:pPr>
        <w:spacing w:line="440" w:lineRule="exact"/>
        <w:ind w:left="657" w:leftChars="313"/>
        <w:rPr>
          <w:rFonts w:hint="eastAsia" w:ascii="宋体" w:hAnsi="宋体" w:eastAsia="宋体" w:cs="宋体"/>
          <w:color w:val="auto"/>
          <w:sz w:val="22"/>
          <w:highlight w:val="none"/>
        </w:rPr>
      </w:pPr>
      <w:r>
        <w:rPr>
          <w:rFonts w:hint="eastAsia" w:ascii="宋体" w:hAnsi="宋体" w:eastAsia="宋体" w:cs="宋体"/>
          <w:color w:val="auto"/>
          <w:sz w:val="22"/>
          <w:highlight w:val="none"/>
        </w:rPr>
        <w:t>商务分得分=（投标基准价/投标人投标报价）×</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 ×100（四舍五入后保留小数2位）</w:t>
      </w:r>
    </w:p>
    <w:p w14:paraId="036D9A5B">
      <w:pPr>
        <w:spacing w:line="400" w:lineRule="exact"/>
        <w:ind w:firstLine="221" w:firstLineChars="100"/>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color w:val="auto"/>
          <w:sz w:val="22"/>
          <w:szCs w:val="22"/>
          <w:highlight w:val="none"/>
          <w:u w:val="single"/>
        </w:rPr>
        <w:t>▲本项目采购预算为</w:t>
      </w:r>
      <w:r>
        <w:rPr>
          <w:rFonts w:hint="eastAsia" w:ascii="宋体" w:hAnsi="宋体" w:eastAsia="宋体" w:cs="宋体"/>
          <w:b/>
          <w:color w:val="auto"/>
          <w:sz w:val="22"/>
          <w:szCs w:val="22"/>
          <w:highlight w:val="none"/>
          <w:u w:val="single"/>
          <w:lang w:eastAsia="zh-CN"/>
        </w:rPr>
        <w:t>55万元</w:t>
      </w:r>
      <w:r>
        <w:rPr>
          <w:rFonts w:hint="eastAsia" w:ascii="宋体" w:hAnsi="宋体" w:eastAsia="宋体" w:cs="宋体"/>
          <w:b/>
          <w:color w:val="auto"/>
          <w:sz w:val="22"/>
          <w:szCs w:val="22"/>
          <w:highlight w:val="none"/>
          <w:u w:val="single"/>
        </w:rPr>
        <w:t>，</w:t>
      </w:r>
      <w:r>
        <w:rPr>
          <w:rFonts w:hint="eastAsia" w:ascii="宋体" w:hAnsi="宋体" w:eastAsia="宋体" w:cs="宋体"/>
          <w:b/>
          <w:bCs/>
          <w:color w:val="auto"/>
          <w:kern w:val="0"/>
          <w:sz w:val="22"/>
          <w:szCs w:val="22"/>
          <w:highlight w:val="none"/>
          <w:u w:val="single"/>
        </w:rPr>
        <w:t>如投标人报价超过采购预算</w:t>
      </w:r>
      <w:r>
        <w:rPr>
          <w:rFonts w:hint="eastAsia" w:ascii="宋体" w:hAnsi="宋体" w:eastAsia="宋体" w:cs="宋体"/>
          <w:b/>
          <w:bCs/>
          <w:color w:val="auto"/>
          <w:kern w:val="0"/>
          <w:sz w:val="22"/>
          <w:szCs w:val="22"/>
          <w:highlight w:val="none"/>
          <w:u w:val="single"/>
          <w:lang w:val="en-US" w:eastAsia="zh-CN"/>
        </w:rPr>
        <w:t>或投标综合单价超过单价最高限价的，</w:t>
      </w:r>
      <w:r>
        <w:rPr>
          <w:rFonts w:hint="eastAsia" w:ascii="宋体" w:hAnsi="宋体" w:eastAsia="宋体" w:cs="宋体"/>
          <w:b/>
          <w:bCs/>
          <w:color w:val="auto"/>
          <w:kern w:val="0"/>
          <w:sz w:val="22"/>
          <w:szCs w:val="22"/>
          <w:highlight w:val="none"/>
          <w:u w:val="single"/>
        </w:rPr>
        <w:t>其投标文件作无效标处理</w:t>
      </w:r>
      <w:r>
        <w:rPr>
          <w:rFonts w:hint="eastAsia" w:ascii="宋体" w:hAnsi="宋体" w:eastAsia="宋体" w:cs="宋体"/>
          <w:color w:val="auto"/>
          <w:sz w:val="22"/>
          <w:highlight w:val="none"/>
        </w:rPr>
        <w:t>。</w:t>
      </w:r>
    </w:p>
    <w:p w14:paraId="3B88F9CE">
      <w:pPr>
        <w:spacing w:line="40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r>
        <w:rPr>
          <w:rFonts w:hint="eastAsia" w:ascii="宋体" w:hAnsi="宋体" w:eastAsia="宋体" w:cs="宋体"/>
          <w:color w:val="auto"/>
          <w:sz w:val="22"/>
          <w:szCs w:val="22"/>
          <w:highlight w:val="none"/>
        </w:rPr>
        <w:t>所有投标人商务报价均超采购预算，采购人无法支付的,重新组织采购</w:t>
      </w:r>
      <w:r>
        <w:rPr>
          <w:rFonts w:hint="eastAsia" w:ascii="宋体" w:hAnsi="宋体" w:eastAsia="宋体" w:cs="宋体"/>
          <w:color w:val="auto"/>
          <w:sz w:val="22"/>
          <w:highlight w:val="none"/>
        </w:rPr>
        <w:t>。</w:t>
      </w:r>
    </w:p>
    <w:p w14:paraId="2EAAB9D2">
      <w:pPr>
        <w:spacing w:line="44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3、有效投标人的综合得分为商务技术得分和投标报价得分的总和。</w:t>
      </w:r>
    </w:p>
    <w:p w14:paraId="1303A5D8">
      <w:pPr>
        <w:adjustRightInd w:val="0"/>
        <w:snapToGrid w:val="0"/>
        <w:spacing w:line="440" w:lineRule="exac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4、评标委员会依据法律、法规及采购文件有关规定在有效标中按投标人的综合得分（商务技术分及报价分之和）高低进行排序，综合得分排序前2名投标人为中标候选人，并提交评标报告。综合得分相同的以报价分得分高的优先；综合</w:t>
      </w:r>
      <w:r>
        <w:rPr>
          <w:rFonts w:hint="eastAsia" w:ascii="宋体" w:hAnsi="宋体" w:eastAsia="宋体" w:cs="宋体"/>
          <w:color w:val="auto"/>
          <w:kern w:val="0"/>
          <w:sz w:val="22"/>
          <w:szCs w:val="22"/>
          <w:highlight w:val="none"/>
        </w:rPr>
        <w:t>得分相同且</w:t>
      </w:r>
      <w:r>
        <w:rPr>
          <w:rFonts w:hint="eastAsia" w:ascii="宋体" w:hAnsi="宋体" w:eastAsia="宋体" w:cs="宋体"/>
          <w:color w:val="auto"/>
          <w:sz w:val="22"/>
          <w:szCs w:val="22"/>
          <w:highlight w:val="none"/>
        </w:rPr>
        <w:t>报价分得分相同的，由评标委员会随机抽签决定排序。</w:t>
      </w:r>
    </w:p>
    <w:p w14:paraId="23E121E9">
      <w:pPr>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五、定标办法</w:t>
      </w:r>
    </w:p>
    <w:p w14:paraId="754A6D0F">
      <w:pPr>
        <w:spacing w:line="44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采购由评标委员会推荐中标候选人。采购人根据评标委员会的推荐结果进行最终确认。若中标候选人放弃中标资格；因不可抗力提出不能履行合同；或未能在规定时间内与采购人签订合同的；或者经质疑，采购人审查后，确因排名中标候选人在本次采购活动中存在违法违规行为或其他原因使质疑成立的，采购人可以视具体情况确定是否由排名后续的备选中标候选人依次递补为中标人。如备选中标候选人因前款规定的同样原因不能签订合同的，本次采购失败，重新组织采购。</w:t>
      </w:r>
    </w:p>
    <w:p w14:paraId="1D9C6F35">
      <w:pPr>
        <w:adjustRightInd w:val="0"/>
        <w:snapToGrid w:val="0"/>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六、确定中标人</w:t>
      </w:r>
    </w:p>
    <w:p w14:paraId="30E58A80">
      <w:pPr>
        <w:adjustRightInd w:val="0"/>
        <w:snapToGrid w:val="0"/>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评标结束后，采购人将在浙江政府采购网上公示中标结果。公示期结束，且在规定期限内采购代理机构将向中标人发出中标通知书。</w:t>
      </w:r>
    </w:p>
    <w:p w14:paraId="3513A817">
      <w:pPr>
        <w:adjustRightInd w:val="0"/>
        <w:snapToGrid w:val="0"/>
        <w:spacing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七、投标人义务</w:t>
      </w:r>
    </w:p>
    <w:p w14:paraId="6364CCA0">
      <w:pPr>
        <w:adjustRightInd w:val="0"/>
        <w:snapToGrid w:val="0"/>
        <w:spacing w:line="440" w:lineRule="exact"/>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w:t>
      </w:r>
    </w:p>
    <w:p w14:paraId="2C0B1655">
      <w:pPr>
        <w:pStyle w:val="4"/>
        <w:spacing w:line="400" w:lineRule="exact"/>
        <w:rPr>
          <w:rFonts w:hint="eastAsia" w:ascii="宋体" w:hAnsi="宋体" w:eastAsia="宋体" w:cs="宋体"/>
          <w:color w:val="auto"/>
          <w:sz w:val="36"/>
          <w:szCs w:val="36"/>
          <w:highlight w:val="none"/>
        </w:rPr>
      </w:pPr>
      <w:bookmarkStart w:id="163" w:name="_Toc245191320"/>
      <w:bookmarkStart w:id="164" w:name="_Toc222114885"/>
      <w:bookmarkStart w:id="165" w:name="_Toc221356957"/>
      <w:bookmarkStart w:id="166" w:name="_Toc221423625"/>
      <w:bookmarkStart w:id="167" w:name="_Toc241404208"/>
      <w:bookmarkStart w:id="168" w:name="_Toc262105510"/>
      <w:bookmarkStart w:id="169" w:name="_Toc223716004"/>
      <w:bookmarkStart w:id="170" w:name="_Toc249758871"/>
      <w:bookmarkStart w:id="171" w:name="_Toc239145360"/>
      <w:bookmarkStart w:id="172" w:name="_Toc249758721"/>
      <w:bookmarkStart w:id="173" w:name="_Toc262049425"/>
      <w:bookmarkStart w:id="174" w:name="_Toc221356894"/>
      <w:bookmarkStart w:id="175" w:name="_Toc246261271"/>
      <w:bookmarkStart w:id="176" w:name="_Toc245722287"/>
      <w:bookmarkStart w:id="177" w:name="_Toc221374632"/>
      <w:r>
        <w:rPr>
          <w:rFonts w:hint="eastAsia" w:ascii="宋体" w:hAnsi="宋体" w:eastAsia="宋体" w:cs="宋体"/>
          <w:color w:val="auto"/>
          <w:sz w:val="36"/>
          <w:szCs w:val="36"/>
          <w:highlight w:val="none"/>
        </w:rPr>
        <w:br w:type="page"/>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8" w:name="_Toc23884103"/>
      <w:bookmarkStart w:id="179" w:name="_Toc2621"/>
      <w:r>
        <w:rPr>
          <w:rFonts w:hint="eastAsia" w:ascii="宋体" w:hAnsi="宋体" w:eastAsia="宋体" w:cs="宋体"/>
          <w:color w:val="auto"/>
          <w:sz w:val="36"/>
          <w:szCs w:val="36"/>
          <w:highlight w:val="none"/>
        </w:rPr>
        <w:t>第四部分   合同格式</w:t>
      </w:r>
      <w:bookmarkEnd w:id="178"/>
      <w:bookmarkEnd w:id="179"/>
    </w:p>
    <w:p w14:paraId="73D72E07">
      <w:pPr>
        <w:spacing w:line="420" w:lineRule="exact"/>
        <w:ind w:firstLine="440" w:firstLineChars="200"/>
        <w:rPr>
          <w:rFonts w:hint="eastAsia" w:ascii="宋体" w:hAnsi="宋体" w:eastAsia="宋体" w:cs="宋体"/>
          <w:color w:val="auto"/>
          <w:sz w:val="22"/>
          <w:szCs w:val="22"/>
          <w:highlight w:val="none"/>
        </w:rPr>
      </w:pPr>
      <w:bookmarkStart w:id="180" w:name="_Toc221374633"/>
      <w:bookmarkStart w:id="181" w:name="_Toc222114886"/>
      <w:bookmarkStart w:id="182" w:name="_Toc239145361"/>
      <w:bookmarkStart w:id="183" w:name="_Toc241404209"/>
      <w:bookmarkStart w:id="184" w:name="_Toc223716005"/>
      <w:bookmarkStart w:id="185" w:name="_Toc221356897"/>
      <w:bookmarkStart w:id="186" w:name="_Toc245191321"/>
      <w:bookmarkStart w:id="187" w:name="_Toc221356960"/>
      <w:bookmarkStart w:id="188" w:name="_Toc249758872"/>
      <w:bookmarkStart w:id="189" w:name="_Toc262049426"/>
      <w:bookmarkStart w:id="190" w:name="_Toc246261272"/>
      <w:bookmarkStart w:id="191" w:name="_Toc221423626"/>
      <w:bookmarkStart w:id="192" w:name="_Toc245722288"/>
      <w:bookmarkStart w:id="193" w:name="_Toc249758722"/>
      <w:bookmarkStart w:id="194" w:name="_Toc262105511"/>
      <w:r>
        <w:rPr>
          <w:rFonts w:hint="eastAsia" w:ascii="宋体" w:hAnsi="宋体" w:eastAsia="宋体" w:cs="宋体"/>
          <w:color w:val="auto"/>
          <w:sz w:val="22"/>
          <w:szCs w:val="22"/>
          <w:highlight w:val="none"/>
        </w:rPr>
        <w:t>说明：如甲、乙双方同意，合同格式也可以按照其他形式。但合同条款的基本内容应与本合同要求的内容相一致。</w:t>
      </w:r>
    </w:p>
    <w:p w14:paraId="4DCFFB1F">
      <w:pPr>
        <w:spacing w:line="420" w:lineRule="exact"/>
        <w:ind w:firstLine="437" w:firstLineChars="198"/>
        <w:rPr>
          <w:rFonts w:hint="eastAsia" w:ascii="宋体" w:hAnsi="宋体" w:eastAsia="宋体" w:cs="宋体"/>
          <w:b/>
          <w:bCs/>
          <w:color w:val="auto"/>
          <w:sz w:val="22"/>
          <w:szCs w:val="22"/>
          <w:highlight w:val="none"/>
        </w:rPr>
      </w:pPr>
    </w:p>
    <w:p w14:paraId="487E4BE0">
      <w:pPr>
        <w:keepNext w:val="0"/>
        <w:keepLines w:val="0"/>
        <w:pageBreakBefore w:val="0"/>
        <w:widowControl w:val="0"/>
        <w:kinsoku/>
        <w:wordWrap/>
        <w:overflowPunct/>
        <w:topLinePunct w:val="0"/>
        <w:autoSpaceDE/>
        <w:autoSpaceDN/>
        <w:bidi w:val="0"/>
        <w:adjustRightInd/>
        <w:snapToGrid/>
        <w:spacing w:line="360" w:lineRule="auto"/>
        <w:ind w:left="-78" w:leftChars="-37" w:firstLine="101" w:firstLineChars="4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甲</w:t>
      </w:r>
      <w:r>
        <w:rPr>
          <w:rFonts w:hint="eastAsia" w:ascii="宋体" w:hAnsi="宋体" w:eastAsia="宋体" w:cs="宋体"/>
          <w:b/>
          <w:color w:val="auto"/>
          <w:sz w:val="24"/>
          <w:szCs w:val="24"/>
          <w:highlight w:val="none"/>
          <w:lang w:eastAsia="zh-CN"/>
        </w:rPr>
        <w:t>方</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买</w:t>
      </w:r>
      <w:r>
        <w:rPr>
          <w:rFonts w:hint="eastAsia" w:ascii="宋体" w:hAnsi="宋体" w:eastAsia="宋体" w:cs="宋体"/>
          <w:b/>
          <w:color w:val="auto"/>
          <w:sz w:val="24"/>
          <w:szCs w:val="24"/>
          <w:highlight w:val="none"/>
        </w:rPr>
        <w:t>方）</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u w:val="single"/>
          <w:lang w:val="en-US" w:eastAsia="zh-CN"/>
        </w:rPr>
        <w:t>温州市鹿城区旅游发展投资有限公司</w:t>
      </w:r>
    </w:p>
    <w:p w14:paraId="02726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val="en-US" w:eastAsia="zh-CN"/>
        </w:rPr>
        <w:t>乙</w:t>
      </w:r>
      <w:r>
        <w:rPr>
          <w:rFonts w:hint="eastAsia" w:ascii="宋体" w:hAnsi="宋体" w:eastAsia="宋体" w:cs="宋体"/>
          <w:b/>
          <w:color w:val="auto"/>
          <w:sz w:val="24"/>
          <w:szCs w:val="24"/>
          <w:highlight w:val="none"/>
          <w:lang w:eastAsia="zh-CN"/>
        </w:rPr>
        <w:t>方</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卖</w:t>
      </w:r>
      <w:r>
        <w:rPr>
          <w:rFonts w:hint="eastAsia" w:ascii="宋体" w:hAnsi="宋体" w:eastAsia="宋体" w:cs="宋体"/>
          <w:b/>
          <w:color w:val="auto"/>
          <w:sz w:val="24"/>
          <w:szCs w:val="24"/>
          <w:highlight w:val="none"/>
        </w:rPr>
        <w:t>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63EB508E">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鉴于甲方于   年  月  日接受乙方对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（采购项目名称、编号）的中标资格，双方根据《中华人民共和国民法典》和本项目的投标文件、采购文件及其报价中的承诺，经双方协商，同意签订本合同，共同遵守以下条款：</w:t>
      </w:r>
    </w:p>
    <w:p w14:paraId="30C48D6C">
      <w:pPr>
        <w:spacing w:afterLines="50" w:line="360" w:lineRule="auto"/>
        <w:ind w:left="-78" w:leftChars="-37" w:firstLine="101" w:firstLineChars="4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一、产品的规格、数量、价格如下表：</w:t>
      </w:r>
    </w:p>
    <w:tbl>
      <w:tblPr>
        <w:tblStyle w:val="34"/>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536"/>
        <w:gridCol w:w="1410"/>
        <w:gridCol w:w="1035"/>
        <w:gridCol w:w="1485"/>
        <w:gridCol w:w="1920"/>
        <w:gridCol w:w="1289"/>
      </w:tblGrid>
      <w:tr w14:paraId="4376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46FF5F7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74ED57B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24B7FB8">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C0DA571">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数量</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40BA9F7">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单价</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137DAEB0">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总价</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0AEFC3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963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4648F9EC">
            <w:pPr>
              <w:tabs>
                <w:tab w:val="left" w:pos="720"/>
              </w:tabs>
              <w:snapToGrid w:val="0"/>
              <w:spacing w:line="460" w:lineRule="exact"/>
              <w:ind w:right="210" w:rightChars="100"/>
              <w:jc w:val="center"/>
              <w:rPr>
                <w:rFonts w:hint="eastAsia" w:ascii="宋体" w:hAnsi="宋体" w:eastAsia="宋体" w:cs="宋体"/>
                <w:color w:val="auto"/>
                <w:sz w:val="24"/>
                <w:highlight w:val="none"/>
              </w:rPr>
            </w:pPr>
            <w:r>
              <w:rPr>
                <w:rFonts w:hint="eastAsia" w:ascii="宋体" w:hAnsi="宋体" w:eastAsia="宋体" w:cs="宋体"/>
                <w:color w:val="auto"/>
                <w:szCs w:val="28"/>
                <w:highlight w:val="none"/>
                <w:lang w:val="en-US" w:eastAsia="zh-CN"/>
              </w:rPr>
              <w:t>1</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03D04912">
            <w:pPr>
              <w:widowControl/>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kern w:val="0"/>
                <w:sz w:val="24"/>
                <w:szCs w:val="24"/>
                <w:highlight w:val="none"/>
                <w:lang w:eastAsia="zh-CN"/>
              </w:rPr>
              <w:t>14座非封闭式蓄电池观光车</w:t>
            </w:r>
          </w:p>
        </w:tc>
        <w:tc>
          <w:tcPr>
            <w:tcW w:w="1410" w:type="dxa"/>
            <w:tcBorders>
              <w:top w:val="single" w:color="auto" w:sz="4" w:space="0"/>
              <w:left w:val="single" w:color="auto" w:sz="4" w:space="0"/>
              <w:bottom w:val="single" w:color="auto" w:sz="4" w:space="0"/>
              <w:right w:val="single" w:color="auto" w:sz="4" w:space="0"/>
            </w:tcBorders>
            <w:noWrap w:val="0"/>
            <w:vAlign w:val="top"/>
          </w:tcPr>
          <w:p w14:paraId="7CE5BBD7">
            <w:pPr>
              <w:pStyle w:val="133"/>
              <w:spacing w:before="91" w:line="183" w:lineRule="auto"/>
              <w:jc w:val="center"/>
              <w:rPr>
                <w:rFonts w:hint="eastAsia" w:ascii="宋体" w:hAnsi="宋体" w:eastAsia="宋体" w:cs="宋体"/>
                <w:color w:val="auto"/>
                <w:sz w:val="24"/>
                <w:highlight w:val="none"/>
              </w:rPr>
            </w:pPr>
            <w:r>
              <w:rPr>
                <w:rFonts w:hint="eastAsia" w:ascii="宋体" w:hAnsi="宋体" w:eastAsia="宋体" w:cs="宋体"/>
                <w:color w:val="auto"/>
                <w:spacing w:val="-2"/>
                <w:highlight w:val="none"/>
                <w:lang w:val="en-US" w:eastAsia="zh-CN"/>
              </w:rPr>
              <w:t xml:space="preserve"> </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0CFB0A">
            <w:pPr>
              <w:widowControl/>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辆</w:t>
            </w:r>
          </w:p>
        </w:tc>
        <w:tc>
          <w:tcPr>
            <w:tcW w:w="1485" w:type="dxa"/>
            <w:tcBorders>
              <w:top w:val="single" w:color="auto" w:sz="4" w:space="0"/>
              <w:left w:val="single" w:color="auto" w:sz="4" w:space="0"/>
              <w:bottom w:val="single" w:color="auto" w:sz="4" w:space="0"/>
              <w:right w:val="single" w:color="auto" w:sz="4" w:space="0"/>
            </w:tcBorders>
            <w:noWrap w:val="0"/>
            <w:vAlign w:val="top"/>
          </w:tcPr>
          <w:p w14:paraId="18076462">
            <w:pPr>
              <w:pStyle w:val="133"/>
              <w:spacing w:before="91" w:line="183" w:lineRule="auto"/>
              <w:jc w:val="center"/>
              <w:rPr>
                <w:rFonts w:hint="eastAsia" w:ascii="宋体" w:hAnsi="宋体" w:eastAsia="宋体" w:cs="宋体"/>
                <w:color w:val="auto"/>
                <w:sz w:val="24"/>
                <w:highlight w:val="none"/>
              </w:rPr>
            </w:pPr>
            <w:r>
              <w:rPr>
                <w:rFonts w:hint="eastAsia" w:ascii="宋体" w:hAnsi="宋体" w:eastAsia="宋体" w:cs="宋体"/>
                <w:color w:val="auto"/>
                <w:spacing w:val="-3"/>
                <w:highlight w:val="none"/>
                <w:lang w:val="en-US" w:eastAsia="zh-CN"/>
              </w:rPr>
              <w:t xml:space="preserve"> </w:t>
            </w:r>
          </w:p>
        </w:tc>
        <w:tc>
          <w:tcPr>
            <w:tcW w:w="1920" w:type="dxa"/>
            <w:tcBorders>
              <w:top w:val="single" w:color="auto" w:sz="4" w:space="0"/>
              <w:left w:val="single" w:color="auto" w:sz="4" w:space="0"/>
              <w:bottom w:val="single" w:color="auto" w:sz="4" w:space="0"/>
              <w:right w:val="single" w:color="auto" w:sz="4" w:space="0"/>
            </w:tcBorders>
            <w:noWrap w:val="0"/>
            <w:vAlign w:val="top"/>
          </w:tcPr>
          <w:p w14:paraId="13C549BC">
            <w:pPr>
              <w:pStyle w:val="133"/>
              <w:spacing w:before="91" w:line="183" w:lineRule="auto"/>
              <w:jc w:val="center"/>
              <w:rPr>
                <w:rFonts w:hint="eastAsia" w:ascii="宋体" w:hAnsi="宋体" w:eastAsia="宋体" w:cs="宋体"/>
                <w:b/>
                <w:bCs/>
                <w:color w:val="auto"/>
                <w:sz w:val="24"/>
                <w:highlight w:val="none"/>
              </w:rPr>
            </w:pPr>
            <w:r>
              <w:rPr>
                <w:rFonts w:hint="eastAsia" w:ascii="宋体" w:hAnsi="宋体" w:eastAsia="宋体" w:cs="宋体"/>
                <w:color w:val="auto"/>
                <w:spacing w:val="-3"/>
                <w:highlight w:val="none"/>
                <w:lang w:val="en-US" w:eastAsia="zh-CN"/>
              </w:rPr>
              <w:t xml:space="preserve"> </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431AA30E">
            <w:pPr>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3"/>
                <w:highlight w:val="none"/>
                <w:lang w:val="en-US" w:eastAsia="zh-CN"/>
              </w:rPr>
              <w:t xml:space="preserve"> </w:t>
            </w:r>
          </w:p>
        </w:tc>
      </w:tr>
      <w:tr w14:paraId="0F33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14:paraId="330597DB">
            <w:pPr>
              <w:tabs>
                <w:tab w:val="left" w:pos="720"/>
              </w:tabs>
              <w:snapToGrid w:val="0"/>
              <w:spacing w:line="460" w:lineRule="exact"/>
              <w:ind w:right="210" w:rightChars="100"/>
              <w:jc w:val="center"/>
              <w:rPr>
                <w:rFonts w:hint="eastAsia" w:ascii="宋体" w:hAnsi="宋体" w:eastAsia="宋体" w:cs="宋体"/>
                <w:color w:val="auto"/>
                <w:sz w:val="24"/>
                <w:highlight w:val="none"/>
              </w:rPr>
            </w:pPr>
            <w:r>
              <w:rPr>
                <w:rFonts w:hint="eastAsia" w:ascii="宋体" w:hAnsi="宋体" w:eastAsia="宋体" w:cs="宋体"/>
                <w:color w:val="auto"/>
                <w:szCs w:val="28"/>
                <w:highlight w:val="none"/>
                <w:lang w:val="en-US" w:eastAsia="zh-CN"/>
              </w:rPr>
              <w:t>2</w:t>
            </w:r>
          </w:p>
        </w:tc>
        <w:tc>
          <w:tcPr>
            <w:tcW w:w="2536" w:type="dxa"/>
            <w:tcBorders>
              <w:top w:val="single" w:color="auto" w:sz="4" w:space="0"/>
              <w:left w:val="single" w:color="auto" w:sz="4" w:space="0"/>
              <w:bottom w:val="single" w:color="auto" w:sz="4" w:space="0"/>
              <w:right w:val="single" w:color="auto" w:sz="4" w:space="0"/>
            </w:tcBorders>
            <w:noWrap w:val="0"/>
            <w:vAlign w:val="center"/>
          </w:tcPr>
          <w:p w14:paraId="78C42F62">
            <w:pPr>
              <w:widowControl/>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36"/>
                <w:sz w:val="24"/>
                <w:szCs w:val="24"/>
                <w:highlight w:val="none"/>
                <w:lang w:val="en-US" w:eastAsia="zh-CN"/>
              </w:rPr>
              <w:t>6座高尔夫球车</w:t>
            </w:r>
          </w:p>
        </w:tc>
        <w:tc>
          <w:tcPr>
            <w:tcW w:w="1410" w:type="dxa"/>
            <w:tcBorders>
              <w:top w:val="single" w:color="auto" w:sz="4" w:space="0"/>
              <w:left w:val="single" w:color="auto" w:sz="4" w:space="0"/>
              <w:bottom w:val="single" w:color="auto" w:sz="4" w:space="0"/>
              <w:right w:val="single" w:color="auto" w:sz="4" w:space="0"/>
            </w:tcBorders>
            <w:noWrap w:val="0"/>
            <w:vAlign w:val="top"/>
          </w:tcPr>
          <w:p w14:paraId="497DF7C2">
            <w:pPr>
              <w:pStyle w:val="133"/>
              <w:spacing w:before="91" w:line="183"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pacing w:val="-1"/>
                <w:highlight w:val="none"/>
                <w:lang w:val="en-US" w:eastAsia="zh-CN"/>
              </w:rPr>
              <w:t xml:space="preserve"> </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0B8F357">
            <w:pPr>
              <w:widowControl/>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辆</w:t>
            </w:r>
          </w:p>
        </w:tc>
        <w:tc>
          <w:tcPr>
            <w:tcW w:w="1485" w:type="dxa"/>
            <w:tcBorders>
              <w:top w:val="single" w:color="auto" w:sz="4" w:space="0"/>
              <w:left w:val="single" w:color="auto" w:sz="4" w:space="0"/>
              <w:bottom w:val="single" w:color="auto" w:sz="4" w:space="0"/>
              <w:right w:val="single" w:color="auto" w:sz="4" w:space="0"/>
            </w:tcBorders>
            <w:noWrap w:val="0"/>
            <w:vAlign w:val="top"/>
          </w:tcPr>
          <w:p w14:paraId="48D23FE8">
            <w:pPr>
              <w:pStyle w:val="133"/>
              <w:spacing w:before="91" w:line="183" w:lineRule="auto"/>
              <w:jc w:val="center"/>
              <w:rPr>
                <w:rFonts w:hint="eastAsia" w:ascii="宋体" w:hAnsi="宋体" w:eastAsia="宋体" w:cs="宋体"/>
                <w:color w:val="auto"/>
                <w:sz w:val="24"/>
                <w:highlight w:val="none"/>
              </w:rPr>
            </w:pPr>
            <w:r>
              <w:rPr>
                <w:rFonts w:hint="eastAsia" w:ascii="宋体" w:hAnsi="宋体" w:eastAsia="宋体" w:cs="宋体"/>
                <w:color w:val="auto"/>
                <w:spacing w:val="-3"/>
                <w:highlight w:val="none"/>
                <w:lang w:val="en-US" w:eastAsia="zh-CN"/>
              </w:rPr>
              <w:t xml:space="preserve"> </w:t>
            </w:r>
          </w:p>
        </w:tc>
        <w:tc>
          <w:tcPr>
            <w:tcW w:w="1920" w:type="dxa"/>
            <w:tcBorders>
              <w:top w:val="single" w:color="auto" w:sz="4" w:space="0"/>
              <w:left w:val="single" w:color="auto" w:sz="4" w:space="0"/>
              <w:bottom w:val="single" w:color="auto" w:sz="4" w:space="0"/>
              <w:right w:val="single" w:color="auto" w:sz="4" w:space="0"/>
            </w:tcBorders>
            <w:noWrap w:val="0"/>
            <w:vAlign w:val="top"/>
          </w:tcPr>
          <w:p w14:paraId="6B02D32D">
            <w:pPr>
              <w:pStyle w:val="133"/>
              <w:spacing w:before="91" w:line="184" w:lineRule="auto"/>
              <w:jc w:val="center"/>
              <w:rPr>
                <w:rFonts w:hint="eastAsia" w:ascii="宋体" w:hAnsi="宋体" w:eastAsia="宋体" w:cs="宋体"/>
                <w:b/>
                <w:bCs/>
                <w:color w:val="auto"/>
                <w:sz w:val="24"/>
                <w:highlight w:val="none"/>
              </w:rPr>
            </w:pPr>
            <w:r>
              <w:rPr>
                <w:rFonts w:hint="eastAsia" w:ascii="宋体" w:hAnsi="宋体" w:eastAsia="宋体" w:cs="宋体"/>
                <w:color w:val="auto"/>
                <w:spacing w:val="-6"/>
                <w:highlight w:val="none"/>
                <w:lang w:val="en-US" w:eastAsia="zh-CN"/>
              </w:rPr>
              <w:t xml:space="preserve"> </w:t>
            </w:r>
          </w:p>
        </w:tc>
        <w:tc>
          <w:tcPr>
            <w:tcW w:w="1289" w:type="dxa"/>
            <w:tcBorders>
              <w:top w:val="single" w:color="auto" w:sz="4" w:space="0"/>
              <w:left w:val="single" w:color="auto" w:sz="4" w:space="0"/>
              <w:bottom w:val="single" w:color="auto" w:sz="4" w:space="0"/>
              <w:right w:val="single" w:color="auto" w:sz="4" w:space="0"/>
            </w:tcBorders>
            <w:noWrap w:val="0"/>
            <w:vAlign w:val="top"/>
          </w:tcPr>
          <w:p w14:paraId="1A04739A">
            <w:pPr>
              <w:spacing w:line="360" w:lineRule="auto"/>
              <w:rPr>
                <w:rFonts w:hint="eastAsia" w:ascii="宋体" w:hAnsi="宋体" w:eastAsia="宋体" w:cs="宋体"/>
                <w:color w:val="auto"/>
                <w:sz w:val="24"/>
                <w:highlight w:val="none"/>
              </w:rPr>
            </w:pPr>
            <w:r>
              <w:rPr>
                <w:rFonts w:hint="eastAsia" w:ascii="宋体" w:hAnsi="宋体" w:eastAsia="宋体" w:cs="宋体"/>
                <w:color w:val="auto"/>
                <w:spacing w:val="-6"/>
                <w:highlight w:val="none"/>
                <w:lang w:val="en-US" w:eastAsia="zh-CN"/>
              </w:rPr>
              <w:t xml:space="preserve"> </w:t>
            </w:r>
          </w:p>
        </w:tc>
      </w:tr>
      <w:tr w14:paraId="33E9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75" w:type="dxa"/>
            <w:gridSpan w:val="7"/>
            <w:tcBorders>
              <w:top w:val="single" w:color="auto" w:sz="4" w:space="0"/>
              <w:left w:val="single" w:color="auto" w:sz="4" w:space="0"/>
              <w:bottom w:val="single" w:color="auto" w:sz="4" w:space="0"/>
              <w:right w:val="single" w:color="auto" w:sz="4" w:space="0"/>
            </w:tcBorders>
            <w:noWrap w:val="0"/>
            <w:vAlign w:val="center"/>
          </w:tcPr>
          <w:p w14:paraId="07939048">
            <w:pPr>
              <w:spacing w:line="360" w:lineRule="auto"/>
              <w:rPr>
                <w:rFonts w:hint="eastAsia" w:ascii="宋体" w:hAnsi="宋体" w:eastAsia="宋体" w:cs="宋体"/>
                <w:color w:val="auto"/>
                <w:sz w:val="24"/>
                <w:highlight w:val="none"/>
              </w:rPr>
            </w:pPr>
          </w:p>
          <w:p w14:paraId="0375916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合同总金额：人民币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元整 </w:t>
            </w:r>
            <w:r>
              <w:rPr>
                <w:rFonts w:hint="eastAsia" w:ascii="宋体" w:hAnsi="宋体" w:eastAsia="宋体" w:cs="宋体"/>
                <w:color w:val="auto"/>
                <w:sz w:val="24"/>
                <w:highlight w:val="none"/>
              </w:rPr>
              <w:t>）</w:t>
            </w:r>
          </w:p>
          <w:p w14:paraId="540BE2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（含税含运费</w:t>
            </w:r>
            <w:r>
              <w:rPr>
                <w:rFonts w:hint="eastAsia" w:ascii="宋体" w:hAnsi="宋体" w:eastAsia="宋体" w:cs="宋体"/>
                <w:color w:val="auto"/>
                <w:sz w:val="24"/>
                <w:highlight w:val="none"/>
                <w:lang w:val="en-US" w:eastAsia="zh-CN"/>
              </w:rPr>
              <w:t>含装卸费用</w:t>
            </w:r>
            <w:r>
              <w:rPr>
                <w:rFonts w:hint="eastAsia" w:ascii="宋体" w:hAnsi="宋体" w:eastAsia="宋体" w:cs="宋体"/>
                <w:color w:val="auto"/>
                <w:sz w:val="24"/>
                <w:szCs w:val="24"/>
                <w:highlight w:val="none"/>
                <w:lang w:val="en-US" w:eastAsia="zh-CN"/>
              </w:rPr>
              <w:t>等乙方实际产生的一切费用</w:t>
            </w:r>
            <w:r>
              <w:rPr>
                <w:rFonts w:hint="eastAsia" w:ascii="宋体" w:hAnsi="宋体" w:eastAsia="宋体" w:cs="宋体"/>
                <w:color w:val="auto"/>
                <w:sz w:val="24"/>
                <w:highlight w:val="none"/>
              </w:rPr>
              <w:t>）</w:t>
            </w:r>
          </w:p>
          <w:p w14:paraId="59E4CFD4">
            <w:pPr>
              <w:spacing w:line="360" w:lineRule="auto"/>
              <w:rPr>
                <w:rFonts w:hint="eastAsia" w:ascii="宋体" w:hAnsi="宋体" w:eastAsia="宋体" w:cs="宋体"/>
                <w:color w:val="auto"/>
                <w:sz w:val="24"/>
                <w:highlight w:val="none"/>
                <w:lang w:eastAsia="zh-CN"/>
              </w:rPr>
            </w:pPr>
            <w:r>
              <w:rPr>
                <w:rFonts w:hint="eastAsia" w:ascii="宋体" w:hAnsi="宋体" w:eastAsia="宋体" w:cs="宋体"/>
                <w:b/>
                <w:color w:val="auto"/>
                <w:sz w:val="24"/>
                <w:szCs w:val="24"/>
                <w:highlight w:val="none"/>
                <w:u w:val="single"/>
                <w:lang w:val="en-US" w:eastAsia="zh-CN"/>
              </w:rPr>
              <w:t>注：甲方</w:t>
            </w:r>
            <w:r>
              <w:rPr>
                <w:rFonts w:hint="eastAsia" w:ascii="宋体" w:hAnsi="宋体" w:eastAsia="宋体" w:cs="宋体"/>
                <w:b/>
                <w:color w:val="auto"/>
                <w:sz w:val="24"/>
                <w:szCs w:val="24"/>
                <w:highlight w:val="none"/>
                <w:u w:val="single"/>
              </w:rPr>
              <w:t>可根据实际情况调整订单数量</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按批次</w:t>
            </w:r>
            <w:r>
              <w:rPr>
                <w:rFonts w:hint="eastAsia" w:ascii="宋体" w:hAnsi="宋体" w:eastAsia="宋体" w:cs="宋体"/>
                <w:b/>
                <w:color w:val="auto"/>
                <w:sz w:val="24"/>
                <w:szCs w:val="24"/>
                <w:highlight w:val="none"/>
                <w:u w:val="single"/>
                <w:lang w:val="en-US" w:eastAsia="zh-CN"/>
              </w:rPr>
              <w:t>要求</w:t>
            </w:r>
            <w:r>
              <w:rPr>
                <w:rFonts w:hint="eastAsia" w:ascii="宋体" w:hAnsi="宋体" w:eastAsia="宋体" w:cs="宋体"/>
                <w:b/>
                <w:color w:val="auto"/>
                <w:sz w:val="24"/>
                <w:szCs w:val="24"/>
                <w:highlight w:val="none"/>
                <w:u w:val="single"/>
              </w:rPr>
              <w:t>交货</w:t>
            </w:r>
            <w:r>
              <w:rPr>
                <w:rFonts w:hint="eastAsia" w:ascii="宋体" w:hAnsi="宋体" w:eastAsia="宋体" w:cs="宋体"/>
                <w:b/>
                <w:color w:val="auto"/>
                <w:sz w:val="24"/>
                <w:szCs w:val="24"/>
                <w:highlight w:val="none"/>
                <w:u w:val="single"/>
                <w:lang w:eastAsia="zh-CN"/>
              </w:rPr>
              <w:t>。</w:t>
            </w:r>
          </w:p>
        </w:tc>
      </w:tr>
      <w:tr w14:paraId="47DA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275" w:type="dxa"/>
            <w:gridSpan w:val="7"/>
            <w:tcBorders>
              <w:top w:val="single" w:color="auto" w:sz="4" w:space="0"/>
              <w:left w:val="single" w:color="auto" w:sz="4" w:space="0"/>
              <w:bottom w:val="single" w:color="auto" w:sz="4" w:space="0"/>
              <w:right w:val="single" w:color="auto" w:sz="4" w:space="0"/>
            </w:tcBorders>
            <w:noWrap w:val="0"/>
            <w:vAlign w:val="center"/>
          </w:tcPr>
          <w:p w14:paraId="1C67D72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附：充电器、合格证，说明书</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w:t>
            </w:r>
          </w:p>
        </w:tc>
      </w:tr>
    </w:tbl>
    <w:p w14:paraId="7AE70828">
      <w:pPr>
        <w:spacing w:line="360" w:lineRule="auto"/>
        <w:rPr>
          <w:rFonts w:hint="eastAsia" w:ascii="宋体" w:hAnsi="宋体" w:eastAsia="宋体" w:cs="宋体"/>
          <w:b/>
          <w:color w:val="auto"/>
          <w:sz w:val="24"/>
          <w:highlight w:val="none"/>
        </w:rPr>
      </w:pPr>
    </w:p>
    <w:p w14:paraId="79EBFAE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质量标准和要求</w:t>
      </w:r>
    </w:p>
    <w:p w14:paraId="5E301742">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0B23E09D">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所出售的货物还应符合国家和浙江省有关安全、环保、卫生之规定。</w:t>
      </w:r>
    </w:p>
    <w:p w14:paraId="47E00F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权利瑕疵担保</w:t>
      </w:r>
    </w:p>
    <w:p w14:paraId="51697AD0">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保证对其出售的货物享有合法的权利。</w:t>
      </w:r>
    </w:p>
    <w:p w14:paraId="68CB82B9">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保证在其出售的货物上不存在任何担保物权，如抵押权、质押权、留置权等。</w:t>
      </w:r>
    </w:p>
    <w:p w14:paraId="626C5F3E">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保证其所出售的货物没有侵犯任何第三人的知识产权和商业秘密等权利。</w:t>
      </w:r>
    </w:p>
    <w:p w14:paraId="0211B5BA">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4、如</w:t>
      </w:r>
      <w:r>
        <w:rPr>
          <w:rFonts w:hint="eastAsia" w:ascii="宋体" w:hAnsi="宋体" w:eastAsia="宋体" w:cs="宋体"/>
          <w:b w:val="0"/>
          <w:bCs/>
          <w:color w:val="auto"/>
          <w:sz w:val="24"/>
          <w:highlight w:val="none"/>
          <w:lang w:eastAsia="zh-CN"/>
        </w:rPr>
        <w:t>甲方</w:t>
      </w:r>
      <w:r>
        <w:rPr>
          <w:rFonts w:hint="eastAsia" w:ascii="宋体" w:hAnsi="宋体" w:eastAsia="宋体" w:cs="宋体"/>
          <w:b w:val="0"/>
          <w:bCs/>
          <w:color w:val="auto"/>
          <w:sz w:val="24"/>
          <w:highlight w:val="none"/>
        </w:rPr>
        <w:t>使用该货物构成上述侵权的，则由</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承担全部责任。</w:t>
      </w:r>
    </w:p>
    <w:p w14:paraId="5ACDB33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包装要求</w:t>
      </w:r>
    </w:p>
    <w:p w14:paraId="65D3C9A0">
      <w:pPr>
        <w:spacing w:line="360" w:lineRule="auto"/>
        <w:ind w:firstLine="480" w:firstLineChars="200"/>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所出售的全部货物均应按标准保护措施进行包装，这类包装应适应于远距离运输、防潮、防震、防锈和防野蛮装卸等要求，以确保货物安全无损地运抵指定现场。</w:t>
      </w:r>
      <w:bookmarkStart w:id="195" w:name="No1902_B3P2Z9T604K1"/>
      <w:bookmarkEnd w:id="195"/>
      <w:r>
        <w:rPr>
          <w:rFonts w:hint="eastAsia" w:ascii="宋体" w:hAnsi="宋体" w:eastAsia="宋体" w:cs="宋体"/>
          <w:b w:val="0"/>
          <w:bCs/>
          <w:color w:val="auto"/>
          <w:sz w:val="24"/>
          <w:highlight w:val="none"/>
          <w:lang w:val="en-US" w:eastAsia="zh-CN"/>
        </w:rPr>
        <w:t>货物经甲方初步验收合格之前</w:t>
      </w:r>
      <w:r>
        <w:rPr>
          <w:rFonts w:hint="eastAsia" w:ascii="宋体" w:hAnsi="宋体" w:eastAsia="宋体" w:cs="宋体"/>
          <w:bCs/>
          <w:i w:val="0"/>
          <w:iCs w:val="0"/>
          <w:caps w:val="0"/>
          <w:color w:val="auto"/>
          <w:spacing w:val="0"/>
          <w:kern w:val="2"/>
          <w:sz w:val="24"/>
          <w:szCs w:val="24"/>
          <w:highlight w:val="none"/>
          <w:u w:val="none"/>
          <w:lang w:val="en-US" w:eastAsia="zh-CN" w:bidi="ar"/>
        </w:rPr>
        <w:t>毁损、灭失的风险均由乙方承担。</w:t>
      </w:r>
    </w:p>
    <w:p w14:paraId="6C8B50E7">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2、每一个包装箱内应附一份详细装箱单、质量证书和保修保养证书。 </w:t>
      </w:r>
    </w:p>
    <w:p w14:paraId="4516998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、交货时间</w:t>
      </w:r>
    </w:p>
    <w:p w14:paraId="68AF2369">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本合同签订后，</w:t>
      </w:r>
      <w:r>
        <w:rPr>
          <w:rFonts w:hint="eastAsia" w:ascii="宋体" w:hAnsi="宋体" w:eastAsia="宋体" w:cs="宋体"/>
          <w:b w:val="0"/>
          <w:bCs/>
          <w:color w:val="auto"/>
          <w:sz w:val="24"/>
          <w:highlight w:val="none"/>
          <w:lang w:eastAsia="zh-CN"/>
        </w:rPr>
        <w:t>乙方</w:t>
      </w:r>
      <w:r>
        <w:rPr>
          <w:rFonts w:hint="eastAsia" w:ascii="宋体" w:hAnsi="宋体" w:eastAsia="宋体" w:cs="宋体"/>
          <w:b w:val="0"/>
          <w:bCs/>
          <w:color w:val="auto"/>
          <w:sz w:val="24"/>
          <w:highlight w:val="none"/>
        </w:rPr>
        <w:t>于收到</w:t>
      </w:r>
      <w:r>
        <w:rPr>
          <w:rFonts w:hint="eastAsia" w:ascii="宋体" w:hAnsi="宋体" w:eastAsia="宋体" w:cs="宋体"/>
          <w:b w:val="0"/>
          <w:bCs/>
          <w:color w:val="auto"/>
          <w:sz w:val="24"/>
          <w:highlight w:val="none"/>
          <w:lang w:eastAsia="zh-CN"/>
        </w:rPr>
        <w:t>甲方</w:t>
      </w:r>
      <w:r>
        <w:rPr>
          <w:rFonts w:hint="eastAsia" w:ascii="宋体" w:hAnsi="宋体" w:eastAsia="宋体" w:cs="宋体"/>
          <w:b w:val="0"/>
          <w:bCs/>
          <w:color w:val="auto"/>
          <w:sz w:val="24"/>
          <w:highlight w:val="none"/>
        </w:rPr>
        <w:t>支付合同金额</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0%的预付款后开始计算交货时间，交货时间为</w:t>
      </w:r>
      <w:r>
        <w:rPr>
          <w:rFonts w:hint="eastAsia" w:ascii="宋体" w:hAnsi="宋体" w:eastAsia="宋体" w:cs="宋体"/>
          <w:b w:val="0"/>
          <w:bCs/>
          <w:color w:val="auto"/>
          <w:sz w:val="24"/>
          <w:highlight w:val="none"/>
          <w:lang w:val="en-US" w:eastAsia="zh-CN"/>
        </w:rPr>
        <w:t>乙方收到上述预付款之日起15天</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乙方应当保证在该交货时间内自行运输或委托第三方将全部货物运输并卸货至甲方指定地点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完成供货、调试，并通过验收。</w:t>
      </w:r>
    </w:p>
    <w:p w14:paraId="4B2E1F2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、送货及运输</w:t>
      </w:r>
    </w:p>
    <w:p w14:paraId="6153CDF0">
      <w:pPr>
        <w:widowControl/>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送货地点：</w:t>
      </w:r>
      <w:r>
        <w:rPr>
          <w:rFonts w:hint="eastAsia" w:ascii="宋体" w:hAnsi="宋体" w:eastAsia="宋体" w:cs="宋体"/>
          <w:color w:val="auto"/>
          <w:sz w:val="24"/>
          <w:highlight w:val="none"/>
          <w:u w:val="single"/>
          <w:lang w:val="en-US" w:eastAsia="zh-CN"/>
        </w:rPr>
        <w:t xml:space="preserve">                       </w:t>
      </w:r>
    </w:p>
    <w:p w14:paraId="3757C79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收货人：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6375C57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运输方式及费用承担：</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承担运费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装卸费用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并安排运输到</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指定地点，</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val="en-US" w:eastAsia="zh-CN"/>
        </w:rPr>
        <w:t>对接景区卸货事项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乙方安排卸货人员将全部货物卸货至甲方指定地点</w:t>
      </w:r>
      <w:r>
        <w:rPr>
          <w:rFonts w:hint="eastAsia" w:ascii="宋体" w:hAnsi="宋体" w:eastAsia="宋体" w:cs="宋体"/>
          <w:color w:val="auto"/>
          <w:sz w:val="24"/>
          <w:highlight w:val="none"/>
        </w:rPr>
        <w:t>。</w:t>
      </w:r>
    </w:p>
    <w:p w14:paraId="0CE8969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七</w:t>
      </w:r>
      <w:r>
        <w:rPr>
          <w:rFonts w:hint="eastAsia" w:ascii="宋体" w:hAnsi="宋体" w:eastAsia="宋体" w:cs="宋体"/>
          <w:b/>
          <w:color w:val="auto"/>
          <w:sz w:val="24"/>
          <w:highlight w:val="none"/>
        </w:rPr>
        <w:t xml:space="preserve">、验货时间及标准 </w:t>
      </w:r>
    </w:p>
    <w:p w14:paraId="0BA8466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1、乙方</w:t>
      </w:r>
      <w:r>
        <w:rPr>
          <w:rFonts w:hint="eastAsia" w:ascii="宋体" w:hAnsi="宋体" w:eastAsia="宋体" w:cs="宋体"/>
          <w:color w:val="auto"/>
          <w:sz w:val="24"/>
          <w:highlight w:val="none"/>
        </w:rPr>
        <w:t>完成全部货物的生产、运输、安装、调试</w:t>
      </w:r>
      <w:r>
        <w:rPr>
          <w:rFonts w:hint="eastAsia" w:ascii="宋体" w:hAnsi="宋体" w:eastAsia="宋体" w:cs="宋体"/>
          <w:color w:val="auto"/>
          <w:sz w:val="24"/>
          <w:highlight w:val="none"/>
          <w:lang w:eastAsia="zh-CN"/>
        </w:rPr>
        <w:t>后交甲方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甲方进行检查验收，初步验收合格后正式交付使用。待</w:t>
      </w:r>
      <w:r>
        <w:rPr>
          <w:rFonts w:hint="eastAsia" w:ascii="宋体" w:hAnsi="宋体" w:eastAsia="宋体" w:cs="宋体"/>
          <w:color w:val="auto"/>
          <w:sz w:val="24"/>
          <w:highlight w:val="none"/>
        </w:rPr>
        <w:t>办理上牌</w:t>
      </w:r>
      <w:r>
        <w:rPr>
          <w:rFonts w:hint="eastAsia" w:ascii="宋体" w:hAnsi="宋体" w:eastAsia="宋体" w:cs="宋体"/>
          <w:color w:val="auto"/>
          <w:sz w:val="24"/>
          <w:highlight w:val="none"/>
          <w:lang w:val="en-US" w:eastAsia="zh-CN"/>
        </w:rPr>
        <w:t>后甲方进行最终验收</w:t>
      </w:r>
      <w:r>
        <w:rPr>
          <w:rFonts w:hint="eastAsia" w:ascii="宋体" w:hAnsi="宋体" w:eastAsia="宋体" w:cs="宋体"/>
          <w:color w:val="auto"/>
          <w:sz w:val="24"/>
          <w:highlight w:val="none"/>
          <w:lang w:eastAsia="zh-CN"/>
        </w:rPr>
        <w:t>。</w:t>
      </w:r>
    </w:p>
    <w:p w14:paraId="20D9EC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在验收过程中发现数量不足或有质量、技术等问题，</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应负责按照</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的要求采取补足、更换或退货等处理措施，并承担由此发生的一切费用和损失。</w:t>
      </w:r>
    </w:p>
    <w:p w14:paraId="42B823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按合同规定交货和安装、调试后，无正当理由而拖延接收、验收或拒绝接收、验收的，应承担由此而造成的</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直接损失。</w:t>
      </w:r>
    </w:p>
    <w:p w14:paraId="7BC5AB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协助</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上牌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上牌费用由甲方自行承担</w:t>
      </w:r>
      <w:r>
        <w:rPr>
          <w:rFonts w:hint="eastAsia" w:ascii="宋体" w:hAnsi="宋体" w:eastAsia="宋体" w:cs="宋体"/>
          <w:color w:val="auto"/>
          <w:sz w:val="24"/>
          <w:highlight w:val="none"/>
        </w:rPr>
        <w:t xml:space="preserve">。 </w:t>
      </w:r>
    </w:p>
    <w:p w14:paraId="5EEC7A7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八</w:t>
      </w:r>
      <w:r>
        <w:rPr>
          <w:rFonts w:hint="eastAsia" w:ascii="宋体" w:hAnsi="宋体" w:eastAsia="宋体" w:cs="宋体"/>
          <w:b/>
          <w:color w:val="auto"/>
          <w:sz w:val="24"/>
          <w:highlight w:val="none"/>
        </w:rPr>
        <w:t>、付款条件</w:t>
      </w:r>
    </w:p>
    <w:p w14:paraId="03C182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1、合同签订之日起20个工作日内支付合同价款的40%为预付款；</w:t>
      </w:r>
    </w:p>
    <w:p w14:paraId="036D13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2、待车辆安装调试完成后交付甲方并最终验收合格，且14座非封闭式蓄电池观光车辆通过温州市特种设备检测科学研究院检验并办理上牌后20个工作日内，支付至合同规定的两种车型实际到货数量价款的95%。</w:t>
      </w:r>
    </w:p>
    <w:p w14:paraId="1FAF75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3、</w:t>
      </w:r>
      <w:r>
        <w:rPr>
          <w:rFonts w:hint="eastAsia" w:ascii="宋体" w:hAnsi="宋体" w:eastAsia="宋体" w:cs="宋体"/>
          <w:b/>
          <w:bCs w:val="0"/>
          <w:color w:val="auto"/>
          <w:kern w:val="2"/>
          <w:sz w:val="24"/>
          <w:szCs w:val="24"/>
          <w:highlight w:val="none"/>
          <w:u w:val="none"/>
          <w:lang w:val="zh-CN" w:eastAsia="zh-CN" w:bidi="ar-SA"/>
        </w:rPr>
        <w:t>最终合同结算款</w:t>
      </w:r>
      <w:r>
        <w:rPr>
          <w:rFonts w:hint="eastAsia" w:ascii="宋体" w:hAnsi="宋体" w:eastAsia="宋体" w:cs="宋体"/>
          <w:b/>
          <w:bCs w:val="0"/>
          <w:color w:val="auto"/>
          <w:kern w:val="2"/>
          <w:sz w:val="24"/>
          <w:szCs w:val="24"/>
          <w:highlight w:val="none"/>
          <w:u w:val="none"/>
          <w:lang w:val="en-US" w:eastAsia="zh-CN" w:bidi="ar-SA"/>
        </w:rPr>
        <w:t>的5%作为质保金，质量保证金质保期(不少于1年(含)，</w:t>
      </w:r>
      <w:r>
        <w:rPr>
          <w:rFonts w:hint="eastAsia" w:ascii="宋体" w:hAnsi="宋体" w:eastAsia="宋体" w:cs="宋体"/>
          <w:b/>
          <w:bCs w:val="0"/>
          <w:color w:val="auto"/>
          <w:sz w:val="24"/>
          <w:szCs w:val="24"/>
          <w:highlight w:val="none"/>
          <w:u w:val="none"/>
          <w:lang w:val="en-US" w:eastAsia="zh-CN"/>
        </w:rPr>
        <w:t>乙方</w:t>
      </w:r>
      <w:r>
        <w:rPr>
          <w:rFonts w:hint="eastAsia" w:ascii="宋体" w:hAnsi="宋体" w:eastAsia="宋体" w:cs="宋体"/>
          <w:b/>
          <w:bCs w:val="0"/>
          <w:color w:val="auto"/>
          <w:sz w:val="24"/>
          <w:szCs w:val="24"/>
          <w:highlight w:val="none"/>
          <w:u w:val="none"/>
        </w:rPr>
        <w:t>本身承诺的产品质保期高于采购文件要求的则按照</w:t>
      </w:r>
      <w:r>
        <w:rPr>
          <w:rFonts w:hint="eastAsia" w:ascii="宋体" w:hAnsi="宋体" w:eastAsia="宋体" w:cs="宋体"/>
          <w:b/>
          <w:bCs w:val="0"/>
          <w:color w:val="auto"/>
          <w:sz w:val="24"/>
          <w:szCs w:val="24"/>
          <w:highlight w:val="none"/>
          <w:u w:val="none"/>
          <w:lang w:val="en-US" w:eastAsia="zh-CN"/>
        </w:rPr>
        <w:t>乙方</w:t>
      </w:r>
      <w:r>
        <w:rPr>
          <w:rFonts w:hint="eastAsia" w:ascii="宋体" w:hAnsi="宋体" w:eastAsia="宋体" w:cs="宋体"/>
          <w:b/>
          <w:bCs w:val="0"/>
          <w:color w:val="auto"/>
          <w:sz w:val="24"/>
          <w:szCs w:val="24"/>
          <w:highlight w:val="none"/>
          <w:u w:val="none"/>
        </w:rPr>
        <w:t>承诺执行</w:t>
      </w:r>
      <w:r>
        <w:rPr>
          <w:rFonts w:hint="eastAsia" w:ascii="宋体" w:hAnsi="宋体" w:eastAsia="宋体" w:cs="宋体"/>
          <w:b/>
          <w:bCs w:val="0"/>
          <w:color w:val="auto"/>
          <w:kern w:val="2"/>
          <w:sz w:val="24"/>
          <w:szCs w:val="24"/>
          <w:highlight w:val="none"/>
          <w:u w:val="none"/>
          <w:lang w:val="en-US" w:eastAsia="zh-CN" w:bidi="ar-SA"/>
        </w:rPr>
        <w:t>)满后，无质量及服务问题的，且所购买车辆新车实际行驶三个月后，乙方免费保养要求不少于1次(含)后，甲方支付</w:t>
      </w:r>
      <w:r>
        <w:rPr>
          <w:rFonts w:hint="eastAsia" w:ascii="宋体" w:hAnsi="宋体" w:eastAsia="宋体" w:cs="宋体"/>
          <w:b/>
          <w:bCs w:val="0"/>
          <w:color w:val="auto"/>
          <w:kern w:val="2"/>
          <w:sz w:val="24"/>
          <w:szCs w:val="24"/>
          <w:highlight w:val="none"/>
          <w:u w:val="none"/>
          <w:lang w:val="zh-CN" w:eastAsia="zh-CN" w:bidi="ar-SA"/>
        </w:rPr>
        <w:t>最终合同结算款</w:t>
      </w:r>
      <w:r>
        <w:rPr>
          <w:rFonts w:hint="eastAsia" w:ascii="宋体" w:hAnsi="宋体" w:eastAsia="宋体" w:cs="宋体"/>
          <w:b/>
          <w:bCs w:val="0"/>
          <w:color w:val="auto"/>
          <w:kern w:val="2"/>
          <w:sz w:val="24"/>
          <w:szCs w:val="24"/>
          <w:highlight w:val="none"/>
          <w:u w:val="none"/>
          <w:lang w:val="en-US" w:eastAsia="zh-CN" w:bidi="ar-SA"/>
        </w:rPr>
        <w:t>的5%。</w:t>
      </w:r>
    </w:p>
    <w:p w14:paraId="0B6E07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u w:val="none"/>
          <w:lang w:val="zh-CN" w:eastAsia="zh-CN" w:bidi="ar-SA"/>
        </w:rPr>
      </w:pPr>
      <w:r>
        <w:rPr>
          <w:rFonts w:hint="eastAsia" w:ascii="宋体" w:hAnsi="宋体" w:eastAsia="宋体" w:cs="宋体"/>
          <w:b/>
          <w:bCs w:val="0"/>
          <w:color w:val="auto"/>
          <w:kern w:val="2"/>
          <w:sz w:val="24"/>
          <w:szCs w:val="24"/>
          <w:highlight w:val="none"/>
          <w:u w:val="none"/>
          <w:lang w:val="en-US" w:eastAsia="zh-CN" w:bidi="ar-SA"/>
        </w:rPr>
        <w:t>4、甲方可根据实际情况调整订单数量，</w:t>
      </w:r>
      <w:r>
        <w:rPr>
          <w:rFonts w:hint="eastAsia" w:ascii="宋体" w:hAnsi="宋体" w:eastAsia="宋体" w:cs="宋体"/>
          <w:b/>
          <w:bCs w:val="0"/>
          <w:color w:val="auto"/>
          <w:kern w:val="2"/>
          <w:sz w:val="24"/>
          <w:szCs w:val="24"/>
          <w:highlight w:val="none"/>
          <w:u w:val="none"/>
          <w:lang w:val="zh-CN" w:eastAsia="zh-CN" w:bidi="ar-SA"/>
        </w:rPr>
        <w:t>本项目</w:t>
      </w:r>
      <w:r>
        <w:rPr>
          <w:rFonts w:hint="eastAsia" w:ascii="宋体" w:hAnsi="宋体" w:eastAsia="宋体" w:cs="宋体"/>
          <w:b/>
          <w:bCs w:val="0"/>
          <w:color w:val="auto"/>
          <w:kern w:val="2"/>
          <w:sz w:val="24"/>
          <w:szCs w:val="24"/>
          <w:highlight w:val="none"/>
          <w:u w:val="none"/>
          <w:lang w:val="en-US" w:eastAsia="zh-CN" w:bidi="ar-SA"/>
        </w:rPr>
        <w:t>货物均以投标综合单价作为</w:t>
      </w:r>
      <w:r>
        <w:rPr>
          <w:rFonts w:hint="eastAsia" w:ascii="宋体" w:hAnsi="宋体" w:eastAsia="宋体" w:cs="宋体"/>
          <w:b/>
          <w:bCs w:val="0"/>
          <w:color w:val="auto"/>
          <w:kern w:val="2"/>
          <w:sz w:val="24"/>
          <w:szCs w:val="24"/>
          <w:highlight w:val="none"/>
          <w:u w:val="none"/>
          <w:lang w:val="zh-CN" w:eastAsia="zh-CN" w:bidi="ar-SA"/>
        </w:rPr>
        <w:t>合同签署及最终结算依据；最终合同结算款</w:t>
      </w:r>
      <w:r>
        <w:rPr>
          <w:rFonts w:hint="eastAsia" w:ascii="宋体" w:hAnsi="宋体" w:eastAsia="宋体" w:cs="宋体"/>
          <w:b/>
          <w:bCs w:val="0"/>
          <w:color w:val="auto"/>
          <w:kern w:val="2"/>
          <w:sz w:val="24"/>
          <w:szCs w:val="24"/>
          <w:highlight w:val="none"/>
          <w:u w:val="none"/>
          <w:lang w:val="en-US" w:eastAsia="zh-CN" w:bidi="ar-SA"/>
        </w:rPr>
        <w:t>=实际采购数量*投标综合单价</w:t>
      </w:r>
      <w:r>
        <w:rPr>
          <w:rFonts w:hint="eastAsia" w:ascii="宋体" w:hAnsi="宋体" w:eastAsia="宋体" w:cs="宋体"/>
          <w:b/>
          <w:bCs w:val="0"/>
          <w:color w:val="auto"/>
          <w:kern w:val="2"/>
          <w:sz w:val="24"/>
          <w:szCs w:val="24"/>
          <w:highlight w:val="none"/>
          <w:u w:val="none"/>
          <w:lang w:val="zh-CN" w:eastAsia="zh-CN" w:bidi="ar-SA"/>
        </w:rPr>
        <w:t>。</w:t>
      </w:r>
    </w:p>
    <w:p w14:paraId="27962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val="0"/>
          <w:color w:val="auto"/>
          <w:kern w:val="2"/>
          <w:sz w:val="24"/>
          <w:szCs w:val="24"/>
          <w:highlight w:val="none"/>
          <w:u w:val="none"/>
          <w:lang w:val="en-US" w:eastAsia="zh-CN" w:bidi="ar-SA"/>
        </w:rPr>
        <w:t>5、乙方必须配合甲方进行车辆上牌工作，车辆必须符合国家有关上牌要求和标准，因乙方车辆原因导致无法上牌的，验收不通过，甲方不支付合同费用，甲方有权退还本合同中无法上牌的车辆，甲方已经支付的合同费用需退还甲方。</w:t>
      </w:r>
    </w:p>
    <w:p w14:paraId="53AA93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6、货款可采用电汇、支票等方式结算。</w:t>
      </w:r>
    </w:p>
    <w:p w14:paraId="4886A7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7、每次付款前，乙方必须开具正规有效的增值税专用发票，否则甲方有权拒绝付款，且不构成违约。</w:t>
      </w:r>
    </w:p>
    <w:p w14:paraId="7274658D">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九</w:t>
      </w:r>
      <w:r>
        <w:rPr>
          <w:rFonts w:hint="eastAsia" w:ascii="宋体" w:hAnsi="宋体" w:eastAsia="宋体" w:cs="宋体"/>
          <w:b/>
          <w:color w:val="auto"/>
          <w:sz w:val="24"/>
          <w:szCs w:val="24"/>
          <w:highlight w:val="none"/>
        </w:rPr>
        <w:t>、保修及条件</w:t>
      </w:r>
    </w:p>
    <w:p w14:paraId="08EBB1B2">
      <w:pPr>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w:t>
      </w:r>
      <w:r>
        <w:rPr>
          <w:rFonts w:hint="eastAsia" w:ascii="宋体" w:hAnsi="宋体" w:eastAsia="宋体" w:cs="宋体"/>
          <w:color w:val="auto"/>
          <w:sz w:val="24"/>
          <w:szCs w:val="24"/>
          <w:highlight w:val="none"/>
          <w:u w:val="none"/>
          <w:lang w:val="en-US" w:eastAsia="zh-CN"/>
        </w:rPr>
        <w:t>乙方</w:t>
      </w:r>
      <w:r>
        <w:rPr>
          <w:rFonts w:hint="eastAsia" w:ascii="宋体" w:hAnsi="宋体" w:eastAsia="宋体" w:cs="宋体"/>
          <w:color w:val="auto"/>
          <w:sz w:val="24"/>
          <w:szCs w:val="24"/>
          <w:highlight w:val="none"/>
          <w:u w:val="none"/>
        </w:rPr>
        <w:t>承诺提供售后服务</w:t>
      </w:r>
      <w:r>
        <w:rPr>
          <w:rFonts w:hint="eastAsia" w:ascii="宋体" w:hAnsi="宋体" w:eastAsia="宋体" w:cs="宋体"/>
          <w:b w:val="0"/>
          <w:color w:val="auto"/>
          <w:sz w:val="24"/>
          <w:szCs w:val="24"/>
          <w:highlight w:val="none"/>
          <w:u w:val="none"/>
        </w:rPr>
        <w:t>按照</w:t>
      </w:r>
      <w:r>
        <w:rPr>
          <w:rFonts w:hint="eastAsia" w:ascii="宋体" w:hAnsi="宋体" w:eastAsia="宋体" w:cs="宋体"/>
          <w:b w:val="0"/>
          <w:color w:val="auto"/>
          <w:sz w:val="24"/>
          <w:szCs w:val="24"/>
          <w:highlight w:val="none"/>
          <w:u w:val="none"/>
          <w:lang w:val="en-US" w:eastAsia="zh-CN"/>
        </w:rPr>
        <w:t>技术资信标中</w:t>
      </w:r>
      <w:r>
        <w:rPr>
          <w:rFonts w:hint="eastAsia" w:ascii="宋体" w:hAnsi="宋体" w:eastAsia="宋体" w:cs="宋体"/>
          <w:b w:val="0"/>
          <w:color w:val="auto"/>
          <w:sz w:val="24"/>
          <w:szCs w:val="24"/>
          <w:highlight w:val="none"/>
          <w:u w:val="none"/>
        </w:rPr>
        <w:t>承诺的</w:t>
      </w:r>
      <w:r>
        <w:rPr>
          <w:rFonts w:hint="eastAsia" w:ascii="宋体" w:hAnsi="宋体" w:eastAsia="宋体" w:cs="宋体"/>
          <w:b w:val="0"/>
          <w:color w:val="auto"/>
          <w:sz w:val="24"/>
          <w:szCs w:val="24"/>
          <w:highlight w:val="none"/>
          <w:u w:val="none"/>
          <w:lang w:val="en-US" w:eastAsia="zh-CN"/>
        </w:rPr>
        <w:t>售后服务</w:t>
      </w:r>
      <w:r>
        <w:rPr>
          <w:rFonts w:hint="eastAsia" w:ascii="宋体" w:hAnsi="宋体" w:eastAsia="宋体" w:cs="宋体"/>
          <w:color w:val="auto"/>
          <w:sz w:val="24"/>
          <w:szCs w:val="24"/>
          <w:highlight w:val="none"/>
          <w:u w:val="none"/>
        </w:rPr>
        <w:t>，包括但不仅限于培训、人员配备。</w:t>
      </w:r>
    </w:p>
    <w:p w14:paraId="75CE3919">
      <w:pPr>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2、乙方定期(每3个月、“春节”、“五一”“十一”等重要的节假期)派员走访，检查车辆状况，排除安全隐患，确保安全运行。</w:t>
      </w:r>
    </w:p>
    <w:p w14:paraId="7F60E4E9">
      <w:pPr>
        <w:pStyle w:val="19"/>
        <w:pageBreakBefore w:val="0"/>
        <w:kinsoku/>
        <w:wordWrap/>
        <w:topLinePunct w:val="0"/>
        <w:bidi w:val="0"/>
        <w:snapToGrid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none"/>
          <w:lang w:val="en-US" w:eastAsia="zh-CN"/>
        </w:rPr>
        <w:t>3、在1年质保期内（乙方</w:t>
      </w:r>
      <w:r>
        <w:rPr>
          <w:rFonts w:hint="eastAsia" w:ascii="宋体" w:hAnsi="宋体" w:eastAsia="宋体" w:cs="宋体"/>
          <w:b/>
          <w:bCs/>
          <w:color w:val="auto"/>
          <w:sz w:val="24"/>
          <w:szCs w:val="24"/>
          <w:highlight w:val="none"/>
          <w:u w:val="none"/>
        </w:rPr>
        <w:t>本身承诺的质保期高于采购文件要求的则按照</w:t>
      </w:r>
      <w:r>
        <w:rPr>
          <w:rFonts w:hint="eastAsia" w:ascii="宋体" w:hAnsi="宋体" w:eastAsia="宋体" w:cs="宋体"/>
          <w:b/>
          <w:bCs/>
          <w:color w:val="auto"/>
          <w:sz w:val="24"/>
          <w:szCs w:val="24"/>
          <w:highlight w:val="none"/>
          <w:u w:val="none"/>
          <w:lang w:val="en-US" w:eastAsia="zh-CN"/>
        </w:rPr>
        <w:t>乙方</w:t>
      </w:r>
      <w:r>
        <w:rPr>
          <w:rFonts w:hint="eastAsia" w:ascii="宋体" w:hAnsi="宋体" w:eastAsia="宋体" w:cs="宋体"/>
          <w:b/>
          <w:bCs/>
          <w:color w:val="auto"/>
          <w:sz w:val="24"/>
          <w:szCs w:val="24"/>
          <w:highlight w:val="none"/>
          <w:u w:val="none"/>
        </w:rPr>
        <w:t>承诺执行</w:t>
      </w:r>
      <w:r>
        <w:rPr>
          <w:rFonts w:hint="eastAsia" w:ascii="宋体" w:hAnsi="宋体" w:eastAsia="宋体" w:cs="宋体"/>
          <w:b/>
          <w:bCs/>
          <w:color w:val="auto"/>
          <w:sz w:val="24"/>
          <w:szCs w:val="24"/>
          <w:highlight w:val="none"/>
          <w:u w:val="none"/>
          <w:lang w:val="en-US" w:eastAsia="zh-CN"/>
        </w:rPr>
        <w:t>），有集中使用该批次车辆的大型活动时，乙方必须至少委派1名专业技术人员到场处置技术问题；如未按规定派员到场的，视为严重违约，将全额扣除质保金。</w:t>
      </w:r>
    </w:p>
    <w:p w14:paraId="00D938FD">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、保修及条件</w:t>
      </w:r>
    </w:p>
    <w:p w14:paraId="0EC790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送交车辆后，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提供的使用手册对车辆维护保养、调试等方面进行维护保养。自</w:t>
      </w:r>
      <w:r>
        <w:rPr>
          <w:rFonts w:hint="eastAsia" w:ascii="宋体" w:hAnsi="宋体" w:eastAsia="宋体" w:cs="宋体"/>
          <w:color w:val="auto"/>
          <w:sz w:val="24"/>
          <w:szCs w:val="24"/>
          <w:highlight w:val="none"/>
          <w:lang w:eastAsia="zh-CN"/>
        </w:rPr>
        <w:t>初步验收合格，</w:t>
      </w:r>
      <w:r>
        <w:rPr>
          <w:rFonts w:hint="eastAsia" w:ascii="宋体" w:hAnsi="宋体" w:eastAsia="宋体" w:cs="宋体"/>
          <w:color w:val="auto"/>
          <w:sz w:val="24"/>
          <w:szCs w:val="24"/>
          <w:highlight w:val="none"/>
        </w:rPr>
        <w:t>正式交付使用之日，车辆由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免费保修一年（其中易损件保修三个月</w:t>
      </w:r>
      <w:r>
        <w:rPr>
          <w:rFonts w:hint="eastAsia" w:ascii="宋体" w:hAnsi="宋体" w:eastAsia="宋体" w:cs="宋体"/>
          <w:color w:val="auto"/>
          <w:sz w:val="24"/>
          <w:szCs w:val="24"/>
          <w:highlight w:val="none"/>
          <w:lang w:eastAsia="zh-CN"/>
        </w:rPr>
        <w:t>，</w:t>
      </w:r>
      <w:r>
        <w:rPr>
          <w:rFonts w:hint="eastAsia" w:ascii="宋体" w:hAnsi="宋体" w:eastAsia="宋体" w:cs="宋体"/>
          <w:b/>
          <w:bCs w:val="0"/>
          <w:color w:val="auto"/>
          <w:sz w:val="24"/>
          <w:szCs w:val="24"/>
          <w:highlight w:val="none"/>
          <w:u w:val="none"/>
          <w:lang w:val="en-US" w:eastAsia="zh-CN"/>
        </w:rPr>
        <w:t>乙方</w:t>
      </w:r>
      <w:r>
        <w:rPr>
          <w:rFonts w:hint="eastAsia" w:ascii="宋体" w:hAnsi="宋体" w:eastAsia="宋体" w:cs="宋体"/>
          <w:b/>
          <w:bCs w:val="0"/>
          <w:color w:val="auto"/>
          <w:sz w:val="24"/>
          <w:szCs w:val="24"/>
          <w:highlight w:val="none"/>
          <w:u w:val="none"/>
        </w:rPr>
        <w:t>本身承诺的产品质保期高于采购文件要求的则按照</w:t>
      </w:r>
      <w:r>
        <w:rPr>
          <w:rFonts w:hint="eastAsia" w:ascii="宋体" w:hAnsi="宋体" w:eastAsia="宋体" w:cs="宋体"/>
          <w:b/>
          <w:bCs w:val="0"/>
          <w:color w:val="auto"/>
          <w:sz w:val="24"/>
          <w:szCs w:val="24"/>
          <w:highlight w:val="none"/>
          <w:u w:val="none"/>
          <w:lang w:val="en-US" w:eastAsia="zh-CN"/>
        </w:rPr>
        <w:t>乙方</w:t>
      </w:r>
      <w:r>
        <w:rPr>
          <w:rFonts w:hint="eastAsia" w:ascii="宋体" w:hAnsi="宋体" w:eastAsia="宋体" w:cs="宋体"/>
          <w:b/>
          <w:bCs w:val="0"/>
          <w:color w:val="auto"/>
          <w:sz w:val="24"/>
          <w:szCs w:val="24"/>
          <w:highlight w:val="none"/>
          <w:u w:val="none"/>
        </w:rPr>
        <w:t>承诺执行</w:t>
      </w:r>
      <w:r>
        <w:rPr>
          <w:rFonts w:hint="eastAsia" w:ascii="宋体" w:hAnsi="宋体" w:eastAsia="宋体" w:cs="宋体"/>
          <w:color w:val="auto"/>
          <w:sz w:val="24"/>
          <w:szCs w:val="24"/>
          <w:highlight w:val="none"/>
        </w:rPr>
        <w:t>），此处的保修是指保修期内，对于符合本协议保修政策的车辆，</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负责配合</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rPr>
        <w:t>提供以旧换新的配件给</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rPr>
        <w:t>上门和维护、维修等服务工作。</w:t>
      </w:r>
    </w:p>
    <w:p w14:paraId="57CC798B">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质保期从</w:t>
      </w: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rPr>
        <w:t>验收合格，正式交付使用之日起计算，</w:t>
      </w:r>
      <w:r>
        <w:rPr>
          <w:rFonts w:hint="eastAsia" w:ascii="宋体" w:hAnsi="宋体" w:eastAsia="宋体" w:cs="宋体"/>
          <w:b/>
          <w:bCs/>
          <w:color w:val="auto"/>
          <w:sz w:val="24"/>
          <w:szCs w:val="24"/>
          <w:highlight w:val="none"/>
        </w:rPr>
        <w:t>质量保证期内因产品本身缺陷(非人为因素)造成各种故障应由</w:t>
      </w:r>
      <w:r>
        <w:rPr>
          <w:rFonts w:hint="eastAsia" w:ascii="宋体" w:hAnsi="宋体" w:eastAsia="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免费技术服务和维修，</w:t>
      </w:r>
      <w:r>
        <w:rPr>
          <w:rFonts w:hint="eastAsia" w:ascii="宋体" w:hAnsi="宋体" w:eastAsia="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应对修复好的设备进行再次验收；同时，</w:t>
      </w:r>
      <w:r>
        <w:rPr>
          <w:rFonts w:hint="eastAsia" w:ascii="宋体" w:hAnsi="宋体" w:eastAsia="宋体" w:cs="宋体"/>
          <w:b/>
          <w:bCs/>
          <w:color w:val="auto"/>
          <w:sz w:val="24"/>
          <w:szCs w:val="24"/>
          <w:highlight w:val="none"/>
          <w:lang w:eastAsia="zh-CN"/>
        </w:rPr>
        <w:t>该修复好的设备</w:t>
      </w:r>
      <w:r>
        <w:rPr>
          <w:rFonts w:hint="eastAsia" w:ascii="宋体" w:hAnsi="宋体" w:eastAsia="宋体" w:cs="宋体"/>
          <w:b/>
          <w:bCs/>
          <w:color w:val="auto"/>
          <w:sz w:val="24"/>
          <w:szCs w:val="24"/>
          <w:highlight w:val="none"/>
        </w:rPr>
        <w:t>质保期从产品再次验收合格之日起重新计算一年</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val="0"/>
          <w:color w:val="auto"/>
          <w:sz w:val="24"/>
          <w:szCs w:val="24"/>
          <w:highlight w:val="none"/>
          <w:u w:val="none"/>
          <w:lang w:val="en-US" w:eastAsia="zh-CN"/>
        </w:rPr>
        <w:t>乙方</w:t>
      </w:r>
      <w:r>
        <w:rPr>
          <w:rFonts w:hint="eastAsia" w:ascii="宋体" w:hAnsi="宋体" w:eastAsia="宋体" w:cs="宋体"/>
          <w:b/>
          <w:bCs w:val="0"/>
          <w:color w:val="auto"/>
          <w:sz w:val="24"/>
          <w:szCs w:val="24"/>
          <w:highlight w:val="none"/>
          <w:u w:val="none"/>
        </w:rPr>
        <w:t>本身承诺的产品质保期高于采购文件要求的则按照</w:t>
      </w:r>
      <w:r>
        <w:rPr>
          <w:rFonts w:hint="eastAsia" w:ascii="宋体" w:hAnsi="宋体" w:eastAsia="宋体" w:cs="宋体"/>
          <w:b/>
          <w:bCs w:val="0"/>
          <w:color w:val="auto"/>
          <w:sz w:val="24"/>
          <w:szCs w:val="24"/>
          <w:highlight w:val="none"/>
          <w:u w:val="none"/>
          <w:lang w:val="en-US" w:eastAsia="zh-CN"/>
        </w:rPr>
        <w:t>乙方</w:t>
      </w:r>
      <w:r>
        <w:rPr>
          <w:rFonts w:hint="eastAsia" w:ascii="宋体" w:hAnsi="宋体" w:eastAsia="宋体" w:cs="宋体"/>
          <w:b/>
          <w:bCs w:val="0"/>
          <w:color w:val="auto"/>
          <w:sz w:val="24"/>
          <w:szCs w:val="24"/>
          <w:highlight w:val="none"/>
          <w:u w:val="none"/>
        </w:rPr>
        <w:t>承诺执行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，质量保证金待重新计算的质保期期满后按照本合同第八条第3款进行结算。</w:t>
      </w:r>
    </w:p>
    <w:p w14:paraId="0850ED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易损件明细：熔断器、继电器、闪光器、单音电喇叭、保险丝、汽车插片保险、各种橡胶套、各种胶套、中央摇臂衬套总成、开口销、整车各种灯泡、雨刮片、全车轴承、全车油封、轮胎上防尘罩、后钢板弹簧衬套</w:t>
      </w:r>
      <w:r>
        <w:rPr>
          <w:rFonts w:hint="eastAsia" w:ascii="宋体" w:hAnsi="宋体" w:eastAsia="宋体" w:cs="宋体"/>
          <w:color w:val="auto"/>
          <w:sz w:val="24"/>
          <w:szCs w:val="24"/>
          <w:highlight w:val="none"/>
          <w:lang w:eastAsia="zh-CN"/>
        </w:rPr>
        <w:t>。</w:t>
      </w:r>
    </w:p>
    <w:p w14:paraId="66F6C59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、轮胎、整车玻璃和侧视镜不保修。</w:t>
      </w:r>
    </w:p>
    <w:p w14:paraId="7C1B3C6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、人为原因及不按照</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要求使用、维护保养车辆造成的问题不保修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可收取一定的成本费用予以维修。</w:t>
      </w:r>
    </w:p>
    <w:p w14:paraId="6DA17B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、车辆已过保修期则不在保修之列，</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可以有偿提供配件及维修。</w:t>
      </w:r>
    </w:p>
    <w:p w14:paraId="300916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7、在质保期内，乙方应负责对其提供的设备进行现场维修、损坏件更换，不收取额外费用，响应时间必须满足设备正常使用和甲方的要求。</w:t>
      </w:r>
    </w:p>
    <w:p w14:paraId="76BE079E">
      <w:pPr>
        <w:pStyle w:val="19"/>
        <w:pageBreakBefore w:val="0"/>
        <w:kinsoku/>
        <w:wordWrap/>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8、免费质保期内，乙方应保证7×24小时电话响应技术咨询；温州地区有专门的售后服务机构设置或温州地区配置不少于1-2名的固定维护人员配备。乙方须在接到甲方维修要求电话后，应在1小时内响应，维修人员需在24小时内赶到现场，维修过程中所需零配件乙方在接到通知后应及时提供，最长不超过3天必须送达甲方</w:t>
      </w:r>
      <w:r>
        <w:rPr>
          <w:rFonts w:hint="eastAsia" w:ascii="宋体" w:hAnsi="宋体" w:eastAsia="宋体" w:cs="宋体"/>
          <w:color w:val="auto"/>
          <w:sz w:val="24"/>
          <w:highlight w:val="none"/>
          <w:lang w:val="en-US" w:eastAsia="zh-CN"/>
        </w:rPr>
        <w:t>。若短期无法修复的，应及时提供相应备用设备并负责安装调试。</w:t>
      </w:r>
    </w:p>
    <w:p w14:paraId="1EA5B8E7">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9、乙方在针对本项目的报价文件中提供的在保质期内的其他服务承诺也须执行。</w:t>
      </w:r>
    </w:p>
    <w:p w14:paraId="52CAF83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10、乙方须对设备质量负责，无论零部件是标配或选配。</w:t>
      </w:r>
    </w:p>
    <w:p w14:paraId="6B6184D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、违约责任：</w:t>
      </w:r>
    </w:p>
    <w:p w14:paraId="269167A2">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1、乙方</w:t>
      </w:r>
      <w:r>
        <w:rPr>
          <w:rFonts w:hint="eastAsia" w:ascii="宋体" w:hAnsi="宋体" w:eastAsia="宋体" w:cs="宋体"/>
          <w:color w:val="auto"/>
          <w:sz w:val="24"/>
          <w:highlight w:val="none"/>
        </w:rPr>
        <w:t>逾期交付设备的，每逾期1天，向</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偿付10000元的违约金，不足1天按1天计，逾期交货超过5天，</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w:t>
      </w:r>
      <w:r>
        <w:rPr>
          <w:rFonts w:hint="eastAsia" w:ascii="宋体" w:hAnsi="宋体" w:eastAsia="宋体" w:cs="宋体"/>
          <w:color w:val="auto"/>
          <w:sz w:val="24"/>
          <w:highlight w:val="none"/>
          <w:lang w:val="en-US" w:eastAsia="zh-CN"/>
        </w:rPr>
        <w:t>解除</w:t>
      </w:r>
      <w:r>
        <w:rPr>
          <w:rFonts w:hint="eastAsia" w:ascii="宋体" w:hAnsi="宋体" w:eastAsia="宋体" w:cs="宋体"/>
          <w:color w:val="auto"/>
          <w:sz w:val="24"/>
          <w:highlight w:val="none"/>
        </w:rPr>
        <w:t>合同，并要求</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收到甲方解除合同通知之日起</w:t>
      </w:r>
      <w:r>
        <w:rPr>
          <w:rFonts w:hint="eastAsia" w:ascii="宋体" w:hAnsi="宋体" w:eastAsia="宋体" w:cs="宋体"/>
          <w:color w:val="auto"/>
          <w:sz w:val="24"/>
          <w:highlight w:val="none"/>
        </w:rPr>
        <w:t>5个工作日内退还已经支付的合同货款。由此造成的损失(包括预期利益损失，下同)由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保留诉讼的</w:t>
      </w:r>
      <w:r>
        <w:rPr>
          <w:rFonts w:hint="eastAsia" w:ascii="宋体" w:hAnsi="宋体" w:eastAsia="宋体" w:cs="宋体"/>
          <w:color w:val="auto"/>
          <w:sz w:val="24"/>
          <w:highlight w:val="none"/>
          <w:lang w:eastAsia="zh-CN"/>
        </w:rPr>
        <w:t>权利。</w:t>
      </w:r>
    </w:p>
    <w:p w14:paraId="10A8BBA0">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2、乙方</w:t>
      </w:r>
      <w:r>
        <w:rPr>
          <w:rFonts w:hint="eastAsia" w:ascii="宋体" w:hAnsi="宋体" w:eastAsia="宋体" w:cs="宋体"/>
          <w:color w:val="auto"/>
          <w:sz w:val="24"/>
          <w:highlight w:val="none"/>
        </w:rPr>
        <w:t>所交的设备、型号、规格不符合合同规定的，</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有权退货，</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lang w:val="en-US" w:eastAsia="zh-CN"/>
        </w:rPr>
        <w:t>收到甲方退货通知之日起</w:t>
      </w:r>
      <w:r>
        <w:rPr>
          <w:rFonts w:hint="eastAsia" w:ascii="宋体" w:hAnsi="宋体" w:eastAsia="宋体" w:cs="宋体"/>
          <w:color w:val="auto"/>
          <w:sz w:val="24"/>
          <w:highlight w:val="none"/>
        </w:rPr>
        <w:t>5个工作日内退回全部货款</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并赔偿</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因此遭受的损失。</w:t>
      </w:r>
    </w:p>
    <w:p w14:paraId="0689D99E">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3、乙方</w:t>
      </w:r>
      <w:r>
        <w:rPr>
          <w:rFonts w:hint="eastAsia" w:ascii="宋体" w:hAnsi="宋体" w:eastAsia="宋体" w:cs="宋体"/>
          <w:color w:val="auto"/>
          <w:sz w:val="24"/>
          <w:highlight w:val="none"/>
        </w:rPr>
        <w:t>所供设备必须权属清楚，不得侵害他人的知识产权，否则构成对</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违约，并承担相应的损失赔偿责任。</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所提供的设备(含软件),如发生侵犯专利权的行为时，其侵权责任与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无关，应由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承担相应的责任，并不得损害</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的利益。</w:t>
      </w:r>
    </w:p>
    <w:p w14:paraId="356587B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应确保本合同所有设备的途径合法。</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如有任何违法行为均与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无关，由此产生的所有责任和损失均由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负责。如给</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造成(含精神)损失的，</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负责赔偿，</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保留诉讼的权利。</w:t>
      </w:r>
    </w:p>
    <w:p w14:paraId="3FC3042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必要时，</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所提供设备(含软件)的合法性进行审核，如发现</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所提供的设备(</w:t>
      </w:r>
      <w:r>
        <w:rPr>
          <w:rFonts w:hint="eastAsia" w:ascii="宋体" w:hAnsi="宋体" w:eastAsia="宋体" w:cs="宋体"/>
          <w:color w:val="auto"/>
          <w:sz w:val="24"/>
          <w:highlight w:val="none"/>
          <w:lang w:val="en-US" w:eastAsia="zh-CN"/>
        </w:rPr>
        <w:t>含</w:t>
      </w:r>
    </w:p>
    <w:p w14:paraId="4B9B7B4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软件)有违法情况存在时，</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将拒付所有的款项，由此造成的损失由</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负责，同时</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保留追究其相关责任的权利。</w:t>
      </w:r>
    </w:p>
    <w:p w14:paraId="18E74E1B">
      <w:pPr>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6、质量差异</w:t>
      </w:r>
    </w:p>
    <w:p w14:paraId="3E0711F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（1）在本合同条款规定的质量保证期内发现设备有质量缺陷，甲方向乙方提出书面通知，并保留索赔权利。</w:t>
      </w:r>
    </w:p>
    <w:p w14:paraId="3E91DF5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（2）如果乙方在收到甲方的索赔通知后10日之内未能予以答复，索赔将被视为被乙方接受，乙方应承担由此发生的一切损失和费用。</w:t>
      </w:r>
    </w:p>
    <w:p w14:paraId="32EAC768">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乙方存在其他违反本合同约定的行为的，应当按照甲方的要求进行整改并向甲方支付10000元/次的违约金，乙方拒不整改的，甲方有权解除本合同，由此造成的损失由乙方负责，同时甲方保留追究其相关责任的权利。</w:t>
      </w:r>
    </w:p>
    <w:p w14:paraId="04B0E802">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第十二条：不可抗力</w:t>
      </w:r>
    </w:p>
    <w:p w14:paraId="3A185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1、如果合同双方因不可抗力而导致合同实施延误或不能履行合同义务的话，不应该承担误期赔偿或不能履行合同义务的责任。</w:t>
      </w:r>
    </w:p>
    <w:p w14:paraId="59B7737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2、本条所述的“不可抗力”系指那些双方不可预见、不可避免、不可克服的事件，但不包括双方的违约或疏忽。这些事件包括但不限于：战争、严重火灾、洪水、台风、地震、国家政策的重大变化，以及双方商定的其他事件。        </w:t>
      </w:r>
      <w:r>
        <w:rPr>
          <w:rFonts w:hint="eastAsia" w:ascii="宋体" w:hAnsi="宋体" w:eastAsia="宋体" w:cs="宋体"/>
          <w:b/>
          <w:color w:val="auto"/>
          <w:sz w:val="24"/>
          <w:highlight w:val="none"/>
        </w:rPr>
        <w:t xml:space="preserve">                                                 </w:t>
      </w:r>
    </w:p>
    <w:p w14:paraId="2C5A0439">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在不可抗力事件发生后，当事方应尽快以书面形式将不可抗力的情况和原因通知对方。合同双方应尽可能继续履行合同义务，并积极寻求采取合理的措施履行不受不可抗力影响的其他事项。合同双方应通过友好协商在合理的时间内达成进一步履行合同。</w:t>
      </w:r>
    </w:p>
    <w:p w14:paraId="215F76AB">
      <w:pPr>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第十三条：争议解决</w:t>
      </w:r>
    </w:p>
    <w:p w14:paraId="5DFFBD2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凡由本合同引起的或与解释或执行本合同有关的任何争议，甲乙双方应首先通过友好协商或调解解决。若协商或调解不成，双方约定：向甲方所在地的人民法院诉讼解决。</w:t>
      </w:r>
    </w:p>
    <w:p w14:paraId="259C9BF3">
      <w:pPr>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第十四条：合同转让和分包</w:t>
      </w:r>
    </w:p>
    <w:p w14:paraId="6D3B36F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除甲方事先书面同意外，乙方不得转让和分包其应履行的合同义务。</w:t>
      </w:r>
    </w:p>
    <w:p w14:paraId="18273A91">
      <w:pPr>
        <w:snapToGrid w:val="0"/>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第十五条：合同生效及其他</w:t>
      </w:r>
    </w:p>
    <w:p w14:paraId="02ADB796">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1、合同在双方盖章后开始生效。</w:t>
      </w:r>
    </w:p>
    <w:p w14:paraId="6142E9A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2、本合同一式</w:t>
      </w:r>
      <w:r>
        <w:rPr>
          <w:rFonts w:hint="eastAsia" w:ascii="宋体" w:hAnsi="宋体" w:eastAsia="宋体" w:cs="宋体"/>
          <w:color w:val="auto"/>
          <w:sz w:val="24"/>
          <w:highlight w:val="none"/>
        </w:rPr>
        <w:t>贰</w:t>
      </w:r>
      <w:r>
        <w:rPr>
          <w:rFonts w:hint="eastAsia" w:ascii="宋体" w:hAnsi="宋体" w:eastAsia="宋体" w:cs="宋体"/>
          <w:color w:val="auto"/>
          <w:sz w:val="24"/>
          <w:highlight w:val="none"/>
          <w:lang w:val="en-US" w:eastAsia="zh-CN"/>
        </w:rPr>
        <w:t>份，双方各执</w:t>
      </w:r>
      <w:r>
        <w:rPr>
          <w:rFonts w:hint="eastAsia" w:ascii="宋体" w:hAnsi="宋体" w:eastAsia="宋体" w:cs="宋体"/>
          <w:color w:val="auto"/>
          <w:sz w:val="24"/>
          <w:highlight w:val="none"/>
        </w:rPr>
        <w:t>壹</w:t>
      </w:r>
      <w:r>
        <w:rPr>
          <w:rFonts w:hint="eastAsia" w:ascii="宋体" w:hAnsi="宋体" w:eastAsia="宋体" w:cs="宋体"/>
          <w:color w:val="auto"/>
          <w:sz w:val="24"/>
          <w:highlight w:val="none"/>
          <w:lang w:val="en-US" w:eastAsia="zh-CN"/>
        </w:rPr>
        <w:t>份，具有同等法律效力。</w:t>
      </w:r>
    </w:p>
    <w:p w14:paraId="790425F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3、如需修改或补充合同内容，经协商，双方应签署书面修改或补充协议，该协议将作为本合同的一个组成部分。</w:t>
      </w:r>
    </w:p>
    <w:p w14:paraId="43DDAE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（以下无正文）</w:t>
      </w:r>
    </w:p>
    <w:p w14:paraId="6771D84D">
      <w:pPr>
        <w:snapToGrid w:val="0"/>
        <w:spacing w:line="360" w:lineRule="auto"/>
        <w:ind w:firstLine="0" w:firstLineChars="0"/>
        <w:rPr>
          <w:rFonts w:hint="eastAsia" w:ascii="宋体" w:hAnsi="宋体" w:eastAsia="宋体" w:cs="宋体"/>
          <w:color w:val="auto"/>
          <w:highlight w:val="none"/>
        </w:rPr>
      </w:pPr>
    </w:p>
    <w:p w14:paraId="09DF87BF">
      <w:pPr>
        <w:spacing w:line="360" w:lineRule="auto"/>
        <w:rPr>
          <w:rFonts w:hint="eastAsia" w:ascii="宋体" w:hAnsi="宋体" w:eastAsia="宋体" w:cs="宋体"/>
          <w:color w:val="auto"/>
          <w:sz w:val="24"/>
          <w:highlight w:val="none"/>
        </w:rPr>
      </w:pPr>
    </w:p>
    <w:p w14:paraId="5773636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甲  方（盖章）：</w:t>
      </w:r>
      <w:r>
        <w:rPr>
          <w:rFonts w:hint="eastAsia" w:ascii="宋体" w:hAnsi="宋体" w:eastAsia="宋体" w:cs="宋体"/>
          <w:color w:val="auto"/>
          <w:kern w:val="0"/>
          <w:sz w:val="24"/>
          <w:szCs w:val="24"/>
          <w:highlight w:val="none"/>
          <w:u w:val="single"/>
          <w:lang w:val="en-US" w:eastAsia="zh-CN"/>
        </w:rPr>
        <w:t>温州市鹿城区旅游发展投资有限公司</w:t>
      </w:r>
      <w:r>
        <w:rPr>
          <w:rFonts w:hint="eastAsia" w:ascii="宋体" w:hAnsi="宋体" w:eastAsia="宋体" w:cs="宋体"/>
          <w:color w:val="auto"/>
          <w:sz w:val="24"/>
          <w:highlight w:val="none"/>
          <w:lang w:val="en-US" w:eastAsia="zh-CN"/>
        </w:rPr>
        <w:t xml:space="preserve"> </w:t>
      </w:r>
    </w:p>
    <w:p w14:paraId="0896C5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p>
    <w:p w14:paraId="119D40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p>
    <w:p w14:paraId="5A36205A">
      <w:pPr>
        <w:tabs>
          <w:tab w:val="left" w:pos="51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p>
    <w:p w14:paraId="5FCC56C1">
      <w:pPr>
        <w:tabs>
          <w:tab w:val="left" w:pos="51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p>
    <w:p w14:paraId="13E680FA">
      <w:pPr>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账    号：</w:t>
      </w:r>
    </w:p>
    <w:p w14:paraId="59D6DC62">
      <w:pPr>
        <w:spacing w:line="360" w:lineRule="auto"/>
        <w:rPr>
          <w:rFonts w:hint="eastAsia" w:ascii="宋体" w:hAnsi="宋体" w:eastAsia="宋体" w:cs="宋体"/>
          <w:color w:val="auto"/>
          <w:sz w:val="24"/>
          <w:highlight w:val="none"/>
        </w:rPr>
      </w:pPr>
    </w:p>
    <w:p w14:paraId="248713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  方（盖章）：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14:paraId="5CF165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z w:val="24"/>
          <w:highlight w:val="none"/>
          <w:lang w:val="en-US" w:eastAsia="zh-CN"/>
        </w:rPr>
        <w:t xml:space="preserve">     </w:t>
      </w:r>
    </w:p>
    <w:p w14:paraId="64507A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p>
    <w:p w14:paraId="4E8B1567">
      <w:pPr>
        <w:tabs>
          <w:tab w:val="left" w:pos="51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w:t>
      </w:r>
    </w:p>
    <w:p w14:paraId="294C8F09">
      <w:pPr>
        <w:tabs>
          <w:tab w:val="left" w:pos="51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开户名称：</w:t>
      </w:r>
    </w:p>
    <w:p w14:paraId="28FBCA5B">
      <w:pPr>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账    号：</w:t>
      </w:r>
    </w:p>
    <w:p w14:paraId="7A9D8105">
      <w:pPr>
        <w:snapToGrid w:val="0"/>
        <w:spacing w:line="360" w:lineRule="auto"/>
        <w:rPr>
          <w:rFonts w:hint="eastAsia" w:ascii="宋体" w:hAnsi="宋体" w:eastAsia="宋体" w:cs="宋体"/>
          <w:b/>
          <w:color w:val="auto"/>
          <w:sz w:val="24"/>
          <w:highlight w:val="none"/>
          <w:lang w:eastAsia="zh-CN"/>
        </w:rPr>
        <w:sectPr>
          <w:headerReference r:id="rId3" w:type="default"/>
          <w:footerReference r:id="rId4" w:type="default"/>
          <w:pgSz w:w="11900" w:h="16840"/>
          <w:pgMar w:top="964" w:right="964" w:bottom="962" w:left="964" w:header="0" w:footer="827" w:gutter="0"/>
          <w:pgNumType w:fmt="decimal" w:start="1"/>
          <w:cols w:space="720" w:num="1"/>
        </w:sectPr>
      </w:pPr>
      <w:r>
        <w:rPr>
          <w:rFonts w:hint="eastAsia" w:ascii="宋体" w:hAnsi="宋体" w:eastAsia="宋体" w:cs="宋体"/>
          <w:color w:val="auto"/>
          <w:sz w:val="24"/>
          <w:highlight w:val="none"/>
        </w:rPr>
        <w:t xml:space="preserve"> </w:t>
      </w:r>
    </w:p>
    <w:p w14:paraId="1ECF706B">
      <w:pPr>
        <w:spacing w:line="360" w:lineRule="auto"/>
        <w:rPr>
          <w:rFonts w:hint="eastAsia" w:ascii="宋体" w:hAnsi="宋体" w:eastAsia="宋体" w:cs="宋体"/>
          <w:color w:val="auto"/>
          <w:sz w:val="36"/>
          <w:szCs w:val="36"/>
          <w:highlight w:val="none"/>
        </w:rPr>
      </w:pPr>
      <w:bookmarkStart w:id="196" w:name="_Toc8971"/>
    </w:p>
    <w:p w14:paraId="0CBA2DCD">
      <w:pPr>
        <w:pStyle w:val="4"/>
        <w:spacing w:line="400" w:lineRule="exac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第五部分   </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hint="eastAsia" w:ascii="宋体" w:hAnsi="宋体" w:eastAsia="宋体" w:cs="宋体"/>
          <w:color w:val="auto"/>
          <w:sz w:val="36"/>
          <w:szCs w:val="36"/>
          <w:highlight w:val="none"/>
        </w:rPr>
        <w:t>附件</w:t>
      </w:r>
      <w:bookmarkEnd w:id="196"/>
    </w:p>
    <w:p w14:paraId="24B7E499">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附件一</w:t>
      </w:r>
    </w:p>
    <w:p w14:paraId="5A093620">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w:t>
      </w:r>
    </w:p>
    <w:p w14:paraId="5E289412">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（1-1）法定代表人声明书</w:t>
      </w:r>
    </w:p>
    <w:p w14:paraId="4067D6F8">
      <w:pPr>
        <w:spacing w:line="400" w:lineRule="exact"/>
        <w:rPr>
          <w:rFonts w:hint="eastAsia" w:ascii="宋体" w:hAnsi="宋体" w:eastAsia="宋体" w:cs="宋体"/>
          <w:color w:val="auto"/>
          <w:highlight w:val="none"/>
        </w:rPr>
      </w:pPr>
    </w:p>
    <w:p w14:paraId="4834485A">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温州市鹿城区旅游发展投资有限公司</w:t>
      </w:r>
      <w:r>
        <w:rPr>
          <w:rFonts w:hint="eastAsia" w:ascii="宋体" w:hAnsi="宋体" w:eastAsia="宋体" w:cs="宋体"/>
          <w:color w:val="auto"/>
          <w:sz w:val="22"/>
          <w:szCs w:val="22"/>
          <w:highlight w:val="none"/>
        </w:rPr>
        <w:t>：</w:t>
      </w:r>
    </w:p>
    <w:p w14:paraId="5599E0BE">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浙江德丰项目管理有限公司</w:t>
      </w:r>
      <w:r>
        <w:rPr>
          <w:rFonts w:hint="eastAsia" w:ascii="宋体" w:hAnsi="宋体" w:eastAsia="宋体" w:cs="宋体"/>
          <w:color w:val="auto"/>
          <w:sz w:val="22"/>
          <w:szCs w:val="22"/>
          <w:highlight w:val="none"/>
        </w:rPr>
        <w:t>：</w:t>
      </w:r>
    </w:p>
    <w:p w14:paraId="46FC2CED">
      <w:pPr>
        <w:spacing w:line="460" w:lineRule="exact"/>
        <w:rPr>
          <w:rFonts w:hint="eastAsia" w:ascii="宋体" w:hAnsi="宋体" w:eastAsia="宋体" w:cs="宋体"/>
          <w:color w:val="auto"/>
          <w:sz w:val="22"/>
          <w:szCs w:val="22"/>
          <w:highlight w:val="none"/>
          <w:u w:val="single"/>
        </w:rPr>
      </w:pPr>
    </w:p>
    <w:p w14:paraId="4B511FDA">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（投标人全称）</w:t>
      </w:r>
      <w:r>
        <w:rPr>
          <w:rFonts w:hint="eastAsia" w:ascii="宋体" w:hAnsi="宋体" w:eastAsia="宋体" w:cs="宋体"/>
          <w:color w:val="auto"/>
          <w:sz w:val="22"/>
          <w:szCs w:val="22"/>
          <w:highlight w:val="none"/>
        </w:rPr>
        <w:t>的法定代表人。我公司参加贵单位组织的</w:t>
      </w:r>
      <w:r>
        <w:rPr>
          <w:rFonts w:hint="eastAsia" w:ascii="宋体" w:hAnsi="宋体" w:eastAsia="宋体" w:cs="宋体"/>
          <w:color w:val="auto"/>
          <w:sz w:val="22"/>
          <w:szCs w:val="22"/>
          <w:highlight w:val="none"/>
          <w:u w:val="single"/>
        </w:rPr>
        <w:t>（采购项目、采购编号）</w:t>
      </w:r>
      <w:r>
        <w:rPr>
          <w:rFonts w:hint="eastAsia" w:ascii="宋体" w:hAnsi="宋体" w:eastAsia="宋体" w:cs="宋体"/>
          <w:color w:val="auto"/>
          <w:sz w:val="22"/>
          <w:szCs w:val="22"/>
          <w:highlight w:val="none"/>
        </w:rPr>
        <w:t>的采购活动，由我本人全权代表我方处理采购活动中的一切事宜。联系方式如下：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14:paraId="02E76AEF">
      <w:pPr>
        <w:spacing w:line="400" w:lineRule="exact"/>
        <w:rPr>
          <w:rFonts w:hint="eastAsia" w:ascii="宋体" w:hAnsi="宋体" w:eastAsia="宋体" w:cs="宋体"/>
          <w:color w:val="auto"/>
          <w:highlight w:val="none"/>
        </w:rPr>
      </w:pPr>
    </w:p>
    <w:p w14:paraId="5DE92FAF">
      <w:pPr>
        <w:spacing w:line="400" w:lineRule="exact"/>
        <w:rPr>
          <w:rFonts w:hint="eastAsia" w:ascii="宋体" w:hAnsi="宋体" w:eastAsia="宋体" w:cs="宋体"/>
          <w:color w:val="auto"/>
          <w:highlight w:val="none"/>
        </w:rPr>
      </w:pPr>
    </w:p>
    <w:p w14:paraId="0EE3E9EE">
      <w:pPr>
        <w:spacing w:line="400" w:lineRule="exact"/>
        <w:rPr>
          <w:rFonts w:hint="eastAsia" w:ascii="宋体" w:hAnsi="宋体" w:eastAsia="宋体" w:cs="宋体"/>
          <w:color w:val="auto"/>
          <w:highlight w:val="none"/>
        </w:rPr>
      </w:pPr>
    </w:p>
    <w:p w14:paraId="574AFB6D">
      <w:pPr>
        <w:spacing w:line="460" w:lineRule="exact"/>
        <w:ind w:firstLine="3971" w:firstLineChars="1805"/>
        <w:rPr>
          <w:rFonts w:hint="eastAsia" w:ascii="宋体" w:hAnsi="宋体" w:eastAsia="宋体" w:cs="宋体"/>
          <w:color w:val="auto"/>
          <w:sz w:val="22"/>
          <w:szCs w:val="22"/>
          <w:highlight w:val="none"/>
        </w:rPr>
      </w:pPr>
    </w:p>
    <w:p w14:paraId="73D8DB9E">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投标人名称（盖章）：</w:t>
      </w:r>
    </w:p>
    <w:p w14:paraId="77A514BB">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6017B16A">
      <w:pPr>
        <w:spacing w:line="460" w:lineRule="exact"/>
        <w:rPr>
          <w:rFonts w:hint="eastAsia" w:ascii="宋体" w:hAnsi="宋体" w:eastAsia="宋体" w:cs="宋体"/>
          <w:color w:val="auto"/>
          <w:sz w:val="22"/>
          <w:szCs w:val="22"/>
          <w:highlight w:val="none"/>
        </w:rPr>
      </w:pPr>
    </w:p>
    <w:p w14:paraId="56B5F56C">
      <w:pPr>
        <w:widowControl/>
        <w:jc w:val="left"/>
        <w:rPr>
          <w:rFonts w:hint="eastAsia" w:ascii="宋体" w:hAnsi="宋体" w:eastAsia="宋体" w:cs="宋体"/>
          <w:color w:val="auto"/>
          <w:szCs w:val="21"/>
          <w:highlight w:val="none"/>
        </w:rPr>
      </w:pPr>
    </w:p>
    <w:p w14:paraId="704D2B80">
      <w:pPr>
        <w:widowControl/>
        <w:jc w:val="left"/>
        <w:rPr>
          <w:rFonts w:hint="eastAsia" w:ascii="宋体" w:hAnsi="宋体" w:eastAsia="宋体" w:cs="宋体"/>
          <w:color w:val="auto"/>
          <w:szCs w:val="21"/>
          <w:highlight w:val="none"/>
        </w:rPr>
      </w:pPr>
    </w:p>
    <w:p w14:paraId="2A55907C">
      <w:pPr>
        <w:widowControl/>
        <w:jc w:val="left"/>
        <w:rPr>
          <w:rFonts w:hint="eastAsia" w:ascii="宋体" w:hAnsi="宋体" w:eastAsia="宋体" w:cs="宋体"/>
          <w:color w:val="auto"/>
          <w:szCs w:val="21"/>
          <w:highlight w:val="none"/>
        </w:rPr>
      </w:pPr>
      <w:r>
        <w:rPr>
          <w:rFonts w:hint="eastAsia" w:ascii="宋体" w:hAnsi="宋体" w:eastAsia="宋体" w:cs="宋体"/>
          <w:b/>
          <w:color w:val="auto"/>
          <w:sz w:val="22"/>
          <w:szCs w:val="22"/>
          <w:highlight w:val="none"/>
        </w:rPr>
        <w:t>附：法定代表人身份证正反面复印件</w:t>
      </w:r>
      <w:r>
        <w:rPr>
          <w:rFonts w:hint="eastAsia" w:ascii="宋体" w:hAnsi="宋体" w:eastAsia="宋体" w:cs="宋体"/>
          <w:color w:val="auto"/>
          <w:szCs w:val="21"/>
          <w:highlight w:val="none"/>
        </w:rPr>
        <w:br w:type="page"/>
      </w:r>
    </w:p>
    <w:p w14:paraId="7331E4A6">
      <w:pPr>
        <w:spacing w:line="380" w:lineRule="exact"/>
        <w:jc w:val="center"/>
        <w:rPr>
          <w:rFonts w:hint="eastAsia" w:ascii="宋体" w:hAnsi="宋体" w:eastAsia="宋体" w:cs="宋体"/>
          <w:b/>
          <w:color w:val="auto"/>
          <w:sz w:val="22"/>
          <w:szCs w:val="22"/>
          <w:highlight w:val="none"/>
        </w:rPr>
      </w:pPr>
    </w:p>
    <w:p w14:paraId="60F3767D">
      <w:pPr>
        <w:spacing w:line="3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（1-2）法定代表人授权书</w:t>
      </w:r>
    </w:p>
    <w:p w14:paraId="28888F12">
      <w:pPr>
        <w:spacing w:line="400" w:lineRule="exact"/>
        <w:jc w:val="center"/>
        <w:rPr>
          <w:rFonts w:hint="eastAsia" w:ascii="宋体" w:hAnsi="宋体" w:eastAsia="宋体" w:cs="宋体"/>
          <w:b/>
          <w:bCs/>
          <w:color w:val="auto"/>
          <w:sz w:val="28"/>
          <w:szCs w:val="28"/>
          <w:highlight w:val="none"/>
        </w:rPr>
      </w:pPr>
    </w:p>
    <w:p w14:paraId="7B7E2C93">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温州市鹿城区旅游发展投资有限公司</w:t>
      </w:r>
      <w:r>
        <w:rPr>
          <w:rFonts w:hint="eastAsia" w:ascii="宋体" w:hAnsi="宋体" w:eastAsia="宋体" w:cs="宋体"/>
          <w:color w:val="auto"/>
          <w:sz w:val="22"/>
          <w:szCs w:val="22"/>
          <w:highlight w:val="none"/>
        </w:rPr>
        <w:t>：</w:t>
      </w:r>
    </w:p>
    <w:p w14:paraId="0ADE565B">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浙江德丰项目管理有限公司</w:t>
      </w:r>
      <w:r>
        <w:rPr>
          <w:rFonts w:hint="eastAsia" w:ascii="宋体" w:hAnsi="宋体" w:eastAsia="宋体" w:cs="宋体"/>
          <w:color w:val="auto"/>
          <w:sz w:val="22"/>
          <w:szCs w:val="22"/>
          <w:highlight w:val="none"/>
        </w:rPr>
        <w:t>：</w:t>
      </w:r>
    </w:p>
    <w:p w14:paraId="4ADE46EE">
      <w:pPr>
        <w:spacing w:line="460" w:lineRule="exact"/>
        <w:rPr>
          <w:rFonts w:hint="eastAsia" w:ascii="宋体" w:hAnsi="宋体" w:eastAsia="宋体" w:cs="宋体"/>
          <w:color w:val="auto"/>
          <w:sz w:val="22"/>
          <w:szCs w:val="22"/>
          <w:highlight w:val="none"/>
          <w:u w:val="single"/>
        </w:rPr>
      </w:pPr>
    </w:p>
    <w:p w14:paraId="38F020F6">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（投标人全称）</w:t>
      </w:r>
      <w:r>
        <w:rPr>
          <w:rFonts w:hint="eastAsia" w:ascii="宋体" w:hAnsi="宋体" w:eastAsia="宋体" w:cs="宋体"/>
          <w:color w:val="auto"/>
          <w:sz w:val="22"/>
          <w:szCs w:val="22"/>
          <w:highlight w:val="none"/>
        </w:rPr>
        <w:t xml:space="preserve">法定代表人 </w:t>
      </w:r>
      <w:r>
        <w:rPr>
          <w:rFonts w:hint="eastAsia" w:ascii="宋体" w:hAnsi="宋体" w:eastAsia="宋体" w:cs="宋体"/>
          <w:color w:val="auto"/>
          <w:sz w:val="22"/>
          <w:szCs w:val="22"/>
          <w:highlight w:val="none"/>
          <w:u w:val="single"/>
        </w:rPr>
        <w:t>（法定代表人姓名）</w:t>
      </w:r>
      <w:r>
        <w:rPr>
          <w:rFonts w:hint="eastAsia" w:ascii="宋体" w:hAnsi="宋体" w:eastAsia="宋体" w:cs="宋体"/>
          <w:color w:val="auto"/>
          <w:sz w:val="22"/>
          <w:szCs w:val="22"/>
          <w:highlight w:val="none"/>
        </w:rPr>
        <w:t xml:space="preserve"> 授权</w:t>
      </w:r>
      <w:r>
        <w:rPr>
          <w:rFonts w:hint="eastAsia" w:ascii="宋体" w:hAnsi="宋体" w:eastAsia="宋体" w:cs="宋体"/>
          <w:color w:val="auto"/>
          <w:sz w:val="22"/>
          <w:szCs w:val="22"/>
          <w:highlight w:val="none"/>
          <w:u w:val="single"/>
        </w:rPr>
        <w:t>（全权代表姓名）</w:t>
      </w:r>
      <w:r>
        <w:rPr>
          <w:rFonts w:hint="eastAsia" w:ascii="宋体" w:hAnsi="宋体" w:eastAsia="宋体" w:cs="宋体"/>
          <w:color w:val="auto"/>
          <w:sz w:val="22"/>
          <w:szCs w:val="22"/>
          <w:highlight w:val="none"/>
        </w:rPr>
        <w:t>为本项目全权代表，参加贵单位组织的</w:t>
      </w:r>
      <w:r>
        <w:rPr>
          <w:rFonts w:hint="eastAsia" w:ascii="宋体" w:hAnsi="宋体" w:eastAsia="宋体" w:cs="宋体"/>
          <w:color w:val="auto"/>
          <w:sz w:val="22"/>
          <w:szCs w:val="22"/>
          <w:highlight w:val="none"/>
          <w:u w:val="single"/>
        </w:rPr>
        <w:t>（采购项目、采购编号）</w:t>
      </w:r>
      <w:r>
        <w:rPr>
          <w:rFonts w:hint="eastAsia" w:ascii="宋体" w:hAnsi="宋体" w:eastAsia="宋体" w:cs="宋体"/>
          <w:color w:val="auto"/>
          <w:sz w:val="22"/>
          <w:szCs w:val="22"/>
          <w:highlight w:val="none"/>
        </w:rPr>
        <w:t>的采购活动，全权代表我方处理采购活动中的一切事宜。联系方式如下：</w:t>
      </w:r>
      <w:r>
        <w:rPr>
          <w:rFonts w:hint="eastAsia" w:ascii="宋体" w:hAnsi="宋体" w:eastAsia="宋体" w:cs="宋体"/>
          <w:color w:val="auto"/>
          <w:sz w:val="22"/>
          <w:szCs w:val="22"/>
          <w:highlight w:val="none"/>
          <w:u w:val="single"/>
        </w:rPr>
        <w:t xml:space="preserve">手机号码：       联系邮箱:         详细通讯地址：             </w:t>
      </w:r>
      <w:r>
        <w:rPr>
          <w:rFonts w:hint="eastAsia" w:ascii="宋体" w:hAnsi="宋体" w:eastAsia="宋体" w:cs="宋体"/>
          <w:color w:val="auto"/>
          <w:sz w:val="22"/>
          <w:szCs w:val="22"/>
          <w:highlight w:val="none"/>
        </w:rPr>
        <w:t xml:space="preserve"> 。  </w:t>
      </w:r>
    </w:p>
    <w:p w14:paraId="3311DA43">
      <w:pPr>
        <w:spacing w:line="460" w:lineRule="exact"/>
        <w:ind w:firstLine="220" w:firstLineChars="100"/>
        <w:rPr>
          <w:rFonts w:hint="eastAsia" w:ascii="宋体" w:hAnsi="宋体" w:eastAsia="宋体" w:cs="宋体"/>
          <w:color w:val="auto"/>
          <w:sz w:val="22"/>
          <w:szCs w:val="22"/>
          <w:highlight w:val="none"/>
        </w:rPr>
      </w:pPr>
    </w:p>
    <w:p w14:paraId="30C1689D">
      <w:pPr>
        <w:spacing w:line="460" w:lineRule="exact"/>
        <w:ind w:firstLine="550" w:firstLineChars="250"/>
        <w:rPr>
          <w:rFonts w:hint="eastAsia" w:ascii="宋体" w:hAnsi="宋体" w:eastAsia="宋体" w:cs="宋体"/>
          <w:color w:val="auto"/>
          <w:sz w:val="22"/>
          <w:szCs w:val="22"/>
          <w:highlight w:val="none"/>
        </w:rPr>
      </w:pPr>
    </w:p>
    <w:p w14:paraId="7B89EC2A">
      <w:pPr>
        <w:spacing w:line="460" w:lineRule="exact"/>
        <w:ind w:firstLine="2955"/>
        <w:rPr>
          <w:rFonts w:hint="eastAsia" w:ascii="宋体" w:hAnsi="宋体" w:eastAsia="宋体" w:cs="宋体"/>
          <w:color w:val="auto"/>
          <w:sz w:val="22"/>
          <w:szCs w:val="22"/>
          <w:highlight w:val="none"/>
        </w:rPr>
      </w:pPr>
    </w:p>
    <w:p w14:paraId="59D8305D">
      <w:pPr>
        <w:spacing w:line="460" w:lineRule="exact"/>
        <w:ind w:firstLine="2955"/>
        <w:rPr>
          <w:rFonts w:hint="eastAsia" w:ascii="宋体" w:hAnsi="宋体" w:eastAsia="宋体" w:cs="宋体"/>
          <w:color w:val="auto"/>
          <w:sz w:val="22"/>
          <w:szCs w:val="22"/>
          <w:highlight w:val="none"/>
        </w:rPr>
      </w:pPr>
    </w:p>
    <w:p w14:paraId="6BB6BFB3">
      <w:pPr>
        <w:spacing w:line="460" w:lineRule="exact"/>
        <w:ind w:firstLine="3971" w:firstLineChars="18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 (签字或盖章)：</w:t>
      </w:r>
    </w:p>
    <w:p w14:paraId="1D50F263">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投标人名称（盖章）：</w:t>
      </w:r>
    </w:p>
    <w:p w14:paraId="5564C2BF">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日期：     年    月   日</w:t>
      </w:r>
    </w:p>
    <w:p w14:paraId="52ED905D">
      <w:pPr>
        <w:spacing w:line="460" w:lineRule="exact"/>
        <w:rPr>
          <w:rFonts w:hint="eastAsia" w:ascii="宋体" w:hAnsi="宋体" w:eastAsia="宋体" w:cs="宋体"/>
          <w:color w:val="auto"/>
          <w:sz w:val="22"/>
          <w:szCs w:val="22"/>
          <w:highlight w:val="none"/>
        </w:rPr>
      </w:pPr>
    </w:p>
    <w:p w14:paraId="726A43CF">
      <w:pPr>
        <w:spacing w:line="460" w:lineRule="exact"/>
        <w:rPr>
          <w:rFonts w:hint="eastAsia" w:ascii="宋体" w:hAnsi="宋体" w:eastAsia="宋体" w:cs="宋体"/>
          <w:color w:val="auto"/>
          <w:sz w:val="22"/>
          <w:szCs w:val="22"/>
          <w:highlight w:val="none"/>
        </w:rPr>
      </w:pPr>
    </w:p>
    <w:p w14:paraId="39CC1641">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附：法定代表人及授权代表的身份证正反面复印件</w:t>
      </w:r>
    </w:p>
    <w:p w14:paraId="3169F9BE">
      <w:pPr>
        <w:widowControl/>
        <w:jc w:val="left"/>
        <w:rPr>
          <w:rFonts w:hint="eastAsia" w:ascii="宋体" w:hAnsi="宋体" w:eastAsia="宋体" w:cs="宋体"/>
          <w:b/>
          <w:bCs/>
          <w:color w:val="auto"/>
          <w:highlight w:val="none"/>
        </w:rPr>
      </w:pPr>
    </w:p>
    <w:p w14:paraId="6B8F3403">
      <w:pPr>
        <w:widowControl/>
        <w:jc w:val="left"/>
        <w:rPr>
          <w:rFonts w:hint="eastAsia" w:ascii="宋体" w:hAnsi="宋体" w:eastAsia="宋体" w:cs="宋体"/>
          <w:b/>
          <w:bCs/>
          <w:color w:val="auto"/>
          <w:highlight w:val="none"/>
        </w:rPr>
      </w:pPr>
    </w:p>
    <w:p w14:paraId="4F9AE330">
      <w:pPr>
        <w:widowControl/>
        <w:jc w:val="left"/>
        <w:rPr>
          <w:rFonts w:hint="eastAsia" w:ascii="宋体" w:hAnsi="宋体" w:eastAsia="宋体" w:cs="宋体"/>
          <w:b/>
          <w:bCs/>
          <w:color w:val="auto"/>
          <w:highlight w:val="none"/>
        </w:rPr>
      </w:pPr>
    </w:p>
    <w:p w14:paraId="354A0B03">
      <w:pPr>
        <w:widowControl/>
        <w:jc w:val="left"/>
        <w:rPr>
          <w:rFonts w:hint="eastAsia" w:ascii="宋体" w:hAnsi="宋体" w:eastAsia="宋体" w:cs="宋体"/>
          <w:b/>
          <w:bCs/>
          <w:color w:val="auto"/>
          <w:highlight w:val="none"/>
        </w:rPr>
      </w:pPr>
    </w:p>
    <w:p w14:paraId="7C20B897">
      <w:pPr>
        <w:widowControl/>
        <w:jc w:val="left"/>
        <w:rPr>
          <w:rFonts w:hint="eastAsia" w:ascii="宋体" w:hAnsi="宋体" w:eastAsia="宋体" w:cs="宋体"/>
          <w:b/>
          <w:bCs/>
          <w:color w:val="auto"/>
          <w:highlight w:val="none"/>
        </w:rPr>
      </w:pPr>
    </w:p>
    <w:p w14:paraId="33E68704">
      <w:pPr>
        <w:widowControl/>
        <w:jc w:val="left"/>
        <w:rPr>
          <w:rFonts w:hint="eastAsia" w:ascii="宋体" w:hAnsi="宋体" w:eastAsia="宋体" w:cs="宋体"/>
          <w:b/>
          <w:bCs/>
          <w:color w:val="auto"/>
          <w:highlight w:val="none"/>
        </w:rPr>
      </w:pPr>
    </w:p>
    <w:p w14:paraId="7081237E">
      <w:pPr>
        <w:widowControl/>
        <w:jc w:val="left"/>
        <w:rPr>
          <w:rFonts w:hint="eastAsia" w:ascii="宋体" w:hAnsi="宋体" w:eastAsia="宋体" w:cs="宋体"/>
          <w:b/>
          <w:bCs/>
          <w:color w:val="auto"/>
          <w:highlight w:val="none"/>
        </w:rPr>
      </w:pPr>
    </w:p>
    <w:p w14:paraId="05D1A918">
      <w:pPr>
        <w:widowControl/>
        <w:jc w:val="left"/>
        <w:rPr>
          <w:rFonts w:hint="eastAsia" w:ascii="宋体" w:hAnsi="宋体" w:eastAsia="宋体" w:cs="宋体"/>
          <w:b/>
          <w:bCs/>
          <w:color w:val="auto"/>
          <w:highlight w:val="none"/>
        </w:rPr>
      </w:pPr>
    </w:p>
    <w:p w14:paraId="553659E6">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0A975DBC">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1、若投标人代表为法定代表人，应提供声明书（1-1）并提交法定代表人身份证正反面复印件；</w:t>
      </w:r>
    </w:p>
    <w:p w14:paraId="0160CFE6">
      <w:pPr>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2、若投标人代表为法定代表人授权的委托代理人，应提供授权书（1-2），并附法定代表人及授权代表的身份证正反面复印件。</w:t>
      </w:r>
    </w:p>
    <w:p w14:paraId="119E0930">
      <w:pPr>
        <w:spacing w:line="460" w:lineRule="exact"/>
        <w:rPr>
          <w:rFonts w:hint="eastAsia" w:ascii="宋体" w:hAnsi="宋体" w:eastAsia="宋体" w:cs="宋体"/>
          <w:color w:val="auto"/>
          <w:sz w:val="22"/>
          <w:szCs w:val="22"/>
          <w:highlight w:val="none"/>
        </w:rPr>
      </w:pPr>
    </w:p>
    <w:p w14:paraId="44E83264">
      <w:pPr>
        <w:spacing w:line="380" w:lineRule="exact"/>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br w:type="page"/>
      </w:r>
    </w:p>
    <w:p w14:paraId="339C4185">
      <w:pPr>
        <w:spacing w:line="380" w:lineRule="exact"/>
        <w:jc w:val="center"/>
        <w:rPr>
          <w:rFonts w:hint="eastAsia" w:ascii="宋体" w:hAnsi="宋体" w:eastAsia="宋体" w:cs="宋体"/>
          <w:b/>
          <w:bCs/>
          <w:color w:val="auto"/>
          <w:sz w:val="32"/>
          <w:highlight w:val="none"/>
        </w:rPr>
      </w:pPr>
    </w:p>
    <w:p w14:paraId="2A806719">
      <w:pPr>
        <w:widowControl/>
        <w:adjustRightInd w:val="0"/>
        <w:snapToGrid w:val="0"/>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（2）投标投标人参与国企采购活动投标资格声明函</w:t>
      </w:r>
    </w:p>
    <w:p w14:paraId="1A3605B2">
      <w:pPr>
        <w:widowControl/>
        <w:adjustRightInd w:val="0"/>
        <w:snapToGrid w:val="0"/>
        <w:spacing w:line="360" w:lineRule="auto"/>
        <w:jc w:val="left"/>
        <w:rPr>
          <w:rFonts w:hint="eastAsia" w:ascii="宋体" w:hAnsi="宋体" w:eastAsia="宋体" w:cs="宋体"/>
          <w:color w:val="auto"/>
          <w:kern w:val="0"/>
          <w:sz w:val="22"/>
          <w:szCs w:val="22"/>
          <w:highlight w:val="none"/>
        </w:rPr>
      </w:pPr>
    </w:p>
    <w:p w14:paraId="169FC1C8">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eastAsia="zh-CN"/>
        </w:rPr>
        <w:t>温州市鹿城区旅游发展投资有限公司</w:t>
      </w:r>
      <w:r>
        <w:rPr>
          <w:rFonts w:hint="eastAsia" w:ascii="宋体" w:hAnsi="宋体" w:eastAsia="宋体" w:cs="宋体"/>
          <w:color w:val="auto"/>
          <w:kern w:val="0"/>
          <w:sz w:val="22"/>
          <w:szCs w:val="22"/>
          <w:highlight w:val="none"/>
        </w:rPr>
        <w:t>：</w:t>
      </w:r>
    </w:p>
    <w:p w14:paraId="5A075E5E">
      <w:pPr>
        <w:widowControl/>
        <w:adjustRightInd w:val="0"/>
        <w:snapToGrid w:val="0"/>
        <w:spacing w:line="360" w:lineRule="auto"/>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浙江德丰项目管理有限公司</w:t>
      </w:r>
      <w:r>
        <w:rPr>
          <w:rFonts w:hint="eastAsia" w:ascii="宋体" w:hAnsi="宋体" w:eastAsia="宋体" w:cs="宋体"/>
          <w:color w:val="auto"/>
          <w:kern w:val="0"/>
          <w:sz w:val="22"/>
          <w:szCs w:val="22"/>
          <w:highlight w:val="none"/>
        </w:rPr>
        <w:t>：</w:t>
      </w:r>
    </w:p>
    <w:p w14:paraId="40138EFF">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我单位参与</w:t>
      </w:r>
      <w:r>
        <w:rPr>
          <w:rFonts w:hint="eastAsia" w:ascii="宋体" w:hAnsi="宋体" w:eastAsia="宋体" w:cs="宋体"/>
          <w:color w:val="auto"/>
          <w:sz w:val="22"/>
          <w:szCs w:val="22"/>
          <w:highlight w:val="none"/>
          <w:u w:val="single"/>
        </w:rPr>
        <w:t xml:space="preserve">（项目名称） </w:t>
      </w:r>
      <w:r>
        <w:rPr>
          <w:rFonts w:hint="eastAsia" w:ascii="宋体" w:hAnsi="宋体" w:eastAsia="宋体" w:cs="宋体"/>
          <w:color w:val="auto"/>
          <w:kern w:val="0"/>
          <w:sz w:val="22"/>
          <w:szCs w:val="22"/>
          <w:highlight w:val="none"/>
        </w:rPr>
        <w:t>项目的采购活动，现声明如下：</w:t>
      </w:r>
    </w:p>
    <w:p w14:paraId="6000F732">
      <w:pPr>
        <w:adjustRightInd w:val="0"/>
        <w:snapToGrid w:val="0"/>
        <w:spacing w:line="360" w:lineRule="auto"/>
        <w:ind w:firstLine="416" w:firstLineChars="200"/>
        <w:jc w:val="left"/>
        <w:rPr>
          <w:rFonts w:hint="eastAsia" w:ascii="宋体" w:hAnsi="宋体" w:eastAsia="宋体" w:cs="宋体"/>
          <w:color w:val="auto"/>
          <w:highlight w:val="none"/>
        </w:rPr>
      </w:pPr>
      <w:r>
        <w:rPr>
          <w:rFonts w:hint="eastAsia" w:ascii="宋体" w:hAnsi="宋体" w:eastAsia="宋体" w:cs="宋体"/>
          <w:color w:val="auto"/>
          <w:spacing w:val="-6"/>
          <w:sz w:val="22"/>
          <w:szCs w:val="22"/>
          <w:highlight w:val="none"/>
        </w:rPr>
        <w:t>一、我方具备符合以下对供应商参加本次国企采购活动应当具备的条件</w:t>
      </w:r>
      <w:r>
        <w:rPr>
          <w:rFonts w:hint="eastAsia" w:ascii="宋体" w:hAnsi="宋体" w:eastAsia="宋体" w:cs="宋体"/>
          <w:color w:val="auto"/>
          <w:spacing w:val="-6"/>
          <w:sz w:val="22"/>
          <w:szCs w:val="22"/>
          <w:highlight w:val="none"/>
          <w:lang w:eastAsia="zh-CN"/>
        </w:rPr>
        <w:t>：</w:t>
      </w:r>
    </w:p>
    <w:p w14:paraId="4A17B8B4">
      <w:pPr>
        <w:adjustRightInd w:val="0"/>
        <w:snapToGrid w:val="0"/>
        <w:spacing w:line="360" w:lineRule="auto"/>
        <w:ind w:firstLine="832" w:firstLineChars="4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1、具有独立承担民事责任的能力；</w:t>
      </w:r>
    </w:p>
    <w:p w14:paraId="79840C7D">
      <w:pPr>
        <w:adjustRightInd w:val="0"/>
        <w:snapToGrid w:val="0"/>
        <w:spacing w:line="360" w:lineRule="auto"/>
        <w:ind w:firstLine="832" w:firstLineChars="4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2、具有良好的商业信誉和健全的财务会计制度；</w:t>
      </w:r>
    </w:p>
    <w:p w14:paraId="4BC43153">
      <w:pPr>
        <w:adjustRightInd w:val="0"/>
        <w:snapToGrid w:val="0"/>
        <w:spacing w:line="360" w:lineRule="auto"/>
        <w:ind w:firstLine="832" w:firstLineChars="4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3、具有履行合同所必需的设备和专业技术能力；</w:t>
      </w:r>
    </w:p>
    <w:p w14:paraId="2F44D69D">
      <w:pPr>
        <w:adjustRightInd w:val="0"/>
        <w:snapToGrid w:val="0"/>
        <w:spacing w:line="360" w:lineRule="auto"/>
        <w:ind w:firstLine="832" w:firstLineChars="4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4、有依法缴纳税收和社会保障资金的良好记录；</w:t>
      </w:r>
    </w:p>
    <w:p w14:paraId="35823B64">
      <w:pPr>
        <w:adjustRightInd w:val="0"/>
        <w:snapToGrid w:val="0"/>
        <w:spacing w:line="360" w:lineRule="auto"/>
        <w:ind w:firstLine="832" w:firstLineChars="4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5、参加本项目国企采购活动前三年内，在经营活动中</w:t>
      </w:r>
      <w:r>
        <w:rPr>
          <w:rFonts w:hint="eastAsia" w:ascii="宋体" w:hAnsi="宋体" w:eastAsia="宋体" w:cs="宋体"/>
          <w:b/>
          <w:bCs/>
          <w:color w:val="auto"/>
          <w:spacing w:val="-6"/>
          <w:sz w:val="22"/>
          <w:szCs w:val="22"/>
          <w:highlight w:val="none"/>
          <w:u w:val="single"/>
        </w:rPr>
        <w:t xml:space="preserve">  </w:t>
      </w:r>
      <w:r>
        <w:rPr>
          <w:rFonts w:hint="eastAsia" w:ascii="宋体" w:hAnsi="宋体" w:eastAsia="宋体" w:cs="宋体"/>
          <w:b/>
          <w:color w:val="auto"/>
          <w:sz w:val="22"/>
          <w:szCs w:val="22"/>
          <w:highlight w:val="none"/>
          <w:u w:val="single"/>
        </w:rPr>
        <w:t>没有</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重大违法记录。（重大违法记录是指供应商因违法经营受到刑事处罚或者责令停产停业、吊销许可证或者执照、较大数额罚款等行政处罚）；</w:t>
      </w:r>
    </w:p>
    <w:p w14:paraId="1466FA74">
      <w:pPr>
        <w:adjustRightInd w:val="0"/>
        <w:snapToGrid w:val="0"/>
        <w:spacing w:line="360" w:lineRule="auto"/>
        <w:ind w:firstLine="832" w:firstLineChars="400"/>
        <w:jc w:val="lef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6、法律、行政法规规定的其他条件。</w:t>
      </w:r>
    </w:p>
    <w:p w14:paraId="2EA8AF96">
      <w:pPr>
        <w:adjustRightInd w:val="0"/>
        <w:snapToGrid w:val="0"/>
        <w:spacing w:line="360" w:lineRule="auto"/>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二、我方郑重承诺，我方此次参加项目的投标，与参加本次项目同一合同项下国企采购活动的其他供应商不存在单位负责人为同一人或者直接控股、管理关系。如有虚假或隐瞒，愿意承担一切后果。</w:t>
      </w:r>
    </w:p>
    <w:p w14:paraId="0015C3EC">
      <w:pPr>
        <w:adjustRightInd w:val="0"/>
        <w:snapToGrid w:val="0"/>
        <w:spacing w:line="360" w:lineRule="auto"/>
        <w:ind w:firstLine="416" w:firstLineChars="200"/>
        <w:jc w:val="lef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三、未被信用中国（www.creditchina.gov.cn）、中国政府采购网（www.ccgp.gov.cn）列入失信被执行人、重大税收违法案件当事人名单、政府采购严重违法失信行为记录名单。</w:t>
      </w:r>
    </w:p>
    <w:p w14:paraId="0AA018DF">
      <w:pPr>
        <w:widowControl/>
        <w:adjustRightInd w:val="0"/>
        <w:snapToGrid w:val="0"/>
        <w:spacing w:line="360" w:lineRule="auto"/>
        <w:ind w:left="216" w:leftChars="103" w:firstLine="200" w:firstLineChars="91"/>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、我单位符合本项目特定资格条件：</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的要求，并在投标文件中提供了相应的证明材料（采购文件没有要求特定资格条件的，本条款空格处可以空白）</w:t>
      </w:r>
    </w:p>
    <w:p w14:paraId="4F08AD56">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五、</w:t>
      </w:r>
      <w:r>
        <w:rPr>
          <w:rFonts w:hint="eastAsia" w:ascii="宋体" w:hAnsi="宋体" w:eastAsia="宋体" w:cs="宋体"/>
          <w:color w:val="auto"/>
          <w:kern w:val="0"/>
          <w:sz w:val="22"/>
          <w:szCs w:val="22"/>
          <w:highlight w:val="none"/>
        </w:rPr>
        <w:t>以上事项如有虚假，采购人可取消我方任何资格（投标/中标/签订合同），我方对此无任何异议。</w:t>
      </w:r>
    </w:p>
    <w:p w14:paraId="41ABDE58">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2EC2E707">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14:paraId="0059DDCE">
      <w:pPr>
        <w:widowControl/>
        <w:adjustRightInd w:val="0"/>
        <w:snapToGrid w:val="0"/>
        <w:spacing w:line="360" w:lineRule="auto"/>
        <w:ind w:firstLine="440" w:firstLineChars="200"/>
        <w:jc w:val="left"/>
        <w:rPr>
          <w:rFonts w:hint="eastAsia" w:ascii="宋体" w:hAnsi="宋体" w:eastAsia="宋体" w:cs="宋体"/>
          <w:color w:val="auto"/>
          <w:kern w:val="0"/>
          <w:sz w:val="22"/>
          <w:szCs w:val="22"/>
          <w:highlight w:val="none"/>
        </w:rPr>
      </w:pPr>
    </w:p>
    <w:p w14:paraId="60B4AD21">
      <w:pPr>
        <w:pStyle w:val="16"/>
        <w:rPr>
          <w:rFonts w:hint="eastAsia" w:ascii="宋体" w:hAnsi="宋体" w:eastAsia="宋体" w:cs="宋体"/>
          <w:color w:val="auto"/>
          <w:highlight w:val="none"/>
        </w:rPr>
      </w:pPr>
    </w:p>
    <w:p w14:paraId="7C3485B2">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投标人名称（盖章） ：</w:t>
      </w:r>
    </w:p>
    <w:p w14:paraId="712FBAB2">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78736DD3">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541D3E63">
      <w:pPr>
        <w:pStyle w:val="16"/>
        <w:rPr>
          <w:rFonts w:hint="eastAsia" w:ascii="宋体" w:hAnsi="宋体" w:eastAsia="宋体" w:cs="宋体"/>
          <w:color w:val="auto"/>
          <w:highlight w:val="none"/>
        </w:rPr>
      </w:pPr>
    </w:p>
    <w:p w14:paraId="4753E905">
      <w:pPr>
        <w:widowControl/>
        <w:adjustRightInd w:val="0"/>
        <w:snapToGrid w:val="0"/>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（3）诚信投标承诺书</w:t>
      </w:r>
    </w:p>
    <w:p w14:paraId="103268FB">
      <w:pPr>
        <w:ind w:right="-153" w:rightChars="-73"/>
        <w:jc w:val="center"/>
        <w:rPr>
          <w:rFonts w:hint="eastAsia" w:ascii="宋体" w:hAnsi="宋体" w:eastAsia="宋体" w:cs="宋体"/>
          <w:color w:val="auto"/>
          <w:sz w:val="22"/>
          <w:szCs w:val="22"/>
          <w:highlight w:val="none"/>
        </w:rPr>
      </w:pPr>
    </w:p>
    <w:p w14:paraId="51BD2D40">
      <w:pPr>
        <w:spacing w:line="520" w:lineRule="exact"/>
        <w:ind w:right="-153" w:rightChars="-7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本企业郑重承诺：</w:t>
      </w:r>
    </w:p>
    <w:p w14:paraId="1C285D93">
      <w:pPr>
        <w:spacing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为了积极配合贵单位组织的</w:t>
      </w:r>
      <w:r>
        <w:rPr>
          <w:rFonts w:hint="eastAsia" w:ascii="宋体" w:hAnsi="宋体" w:eastAsia="宋体" w:cs="宋体"/>
          <w:color w:val="auto"/>
          <w:sz w:val="22"/>
          <w:szCs w:val="22"/>
          <w:highlight w:val="none"/>
          <w:u w:val="single"/>
        </w:rPr>
        <w:t xml:space="preserve"> （项目名称） 采购</w:t>
      </w:r>
      <w:r>
        <w:rPr>
          <w:rFonts w:hint="eastAsia" w:ascii="宋体" w:hAnsi="宋体" w:eastAsia="宋体" w:cs="宋体"/>
          <w:color w:val="auto"/>
          <w:sz w:val="22"/>
          <w:szCs w:val="22"/>
          <w:highlight w:val="none"/>
        </w:rPr>
        <w:t>工作，有效遏制不公平竞争和违规违纪问题的发生，确保采购工作的公平、公正、公开，我们保证认真贯彻</w:t>
      </w:r>
      <w:r>
        <w:rPr>
          <w:rFonts w:hint="eastAsia" w:ascii="宋体" w:hAnsi="宋体" w:eastAsia="宋体" w:cs="宋体"/>
          <w:color w:val="auto"/>
          <w:sz w:val="22"/>
          <w:szCs w:val="22"/>
          <w:highlight w:val="none"/>
          <w:lang w:eastAsia="zh-CN"/>
        </w:rPr>
        <w:t>《温州市鹿城区区属国有企业采购指导意见（试行）》</w:t>
      </w:r>
      <w:r>
        <w:rPr>
          <w:rFonts w:hint="eastAsia" w:ascii="宋体" w:hAnsi="宋体" w:eastAsia="宋体" w:cs="宋体"/>
          <w:color w:val="auto"/>
          <w:sz w:val="22"/>
          <w:szCs w:val="22"/>
          <w:highlight w:val="none"/>
        </w:rPr>
        <w:t>等法律及有关法规相关规定以及有关廉洁要求，特承诺如下事项：</w:t>
      </w:r>
    </w:p>
    <w:p w14:paraId="2F459EA7">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自觉遵守国家法律法规及有关廉政建设制度。</w:t>
      </w:r>
    </w:p>
    <w:p w14:paraId="4C216463">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主动了解采购人招投标纪律，积极配合采购人执行招投标廉政建设的有关规定。</w:t>
      </w:r>
    </w:p>
    <w:p w14:paraId="053DE502">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不使用不正当手段妨碍、排挤其它投标人或串通投标。</w:t>
      </w:r>
    </w:p>
    <w:p w14:paraId="233CA32F">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按照本采购文件规定的方式进行投标，不隐瞒本单位投标资质的真实情况，投标资质符合规定。</w:t>
      </w:r>
    </w:p>
    <w:p w14:paraId="60C11CB1">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C0E2DFB">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不向采购人及个人购置或提供通讯工具、交通工具和高档办公用品等。</w:t>
      </w:r>
    </w:p>
    <w:p w14:paraId="2C54E755">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不向采购人涉及采购的人员的配偶、子女分包此次采购项目。</w:t>
      </w:r>
    </w:p>
    <w:p w14:paraId="548CA2CC">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不向采购人及个人支付好处费、介绍费。</w:t>
      </w:r>
    </w:p>
    <w:p w14:paraId="298D29DF">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一旦发现相关人员在采购过程中的索要财物等不廉洁行为，坚决予以抵制，并及时向有关纪检监察部门举报。</w:t>
      </w:r>
    </w:p>
    <w:p w14:paraId="7052275E">
      <w:pPr>
        <w:numPr>
          <w:ilvl w:val="0"/>
          <w:numId w:val="34"/>
        </w:numPr>
        <w:snapToGrid w:val="0"/>
        <w:spacing w:line="500" w:lineRule="exact"/>
        <w:ind w:left="0" w:firstLine="38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我们若违反上述承诺，愿接受取消投标人资格及其他任何形式的处理。</w:t>
      </w:r>
    </w:p>
    <w:p w14:paraId="1FC5D0A8">
      <w:pPr>
        <w:snapToGrid w:val="0"/>
        <w:spacing w:line="500" w:lineRule="exact"/>
        <w:ind w:firstLine="385" w:firstLineChars="175"/>
        <w:rPr>
          <w:rFonts w:hint="eastAsia" w:ascii="宋体" w:hAnsi="宋体" w:eastAsia="宋体" w:cs="宋体"/>
          <w:color w:val="auto"/>
          <w:sz w:val="22"/>
          <w:szCs w:val="22"/>
          <w:highlight w:val="none"/>
        </w:rPr>
      </w:pPr>
    </w:p>
    <w:p w14:paraId="69CFEC0F">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投标人名称（盖章） ：</w:t>
      </w:r>
    </w:p>
    <w:p w14:paraId="74A01F46">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法定代表人（负责人）或其授权代表（签字或盖章）：</w:t>
      </w:r>
    </w:p>
    <w:p w14:paraId="328DD809">
      <w:pPr>
        <w:widowControl/>
        <w:adjustRightInd w:val="0"/>
        <w:snapToGrid w:val="0"/>
        <w:spacing w:line="44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14:paraId="6F26351F">
      <w:pPr>
        <w:pStyle w:val="33"/>
        <w:ind w:firstLine="210"/>
        <w:rPr>
          <w:rFonts w:hint="eastAsia" w:ascii="宋体" w:hAnsi="宋体" w:eastAsia="宋体" w:cs="宋体"/>
          <w:color w:val="auto"/>
          <w:highlight w:val="none"/>
        </w:rPr>
      </w:pPr>
    </w:p>
    <w:p w14:paraId="734D3244">
      <w:pPr>
        <w:spacing w:line="460" w:lineRule="exact"/>
        <w:rPr>
          <w:rFonts w:hint="eastAsia" w:ascii="宋体" w:hAnsi="宋体" w:eastAsia="宋体" w:cs="宋体"/>
          <w:color w:val="auto"/>
          <w:highlight w:val="none"/>
        </w:rPr>
      </w:pPr>
    </w:p>
    <w:p w14:paraId="5D8A33CA">
      <w:pPr>
        <w:spacing w:line="460" w:lineRule="exact"/>
        <w:rPr>
          <w:rFonts w:hint="eastAsia" w:ascii="宋体" w:hAnsi="宋体" w:eastAsia="宋体" w:cs="宋体"/>
          <w:color w:val="auto"/>
          <w:highlight w:val="none"/>
        </w:rPr>
      </w:pPr>
    </w:p>
    <w:p w14:paraId="2F9051A2">
      <w:pPr>
        <w:pStyle w:val="19"/>
        <w:snapToGrid w:val="0"/>
        <w:spacing w:line="324" w:lineRule="auto"/>
        <w:jc w:val="center"/>
        <w:rPr>
          <w:rFonts w:hint="eastAsia" w:ascii="宋体" w:hAnsi="宋体" w:eastAsia="宋体" w:cs="宋体"/>
          <w:b/>
          <w:bCs/>
          <w:color w:val="auto"/>
          <w:sz w:val="22"/>
          <w:szCs w:val="22"/>
          <w:highlight w:val="none"/>
        </w:rPr>
      </w:pPr>
      <w:r>
        <w:rPr>
          <w:rFonts w:hint="eastAsia" w:ascii="宋体" w:hAnsi="宋体" w:eastAsia="宋体" w:cs="宋体"/>
          <w:color w:val="auto"/>
          <w:highlight w:val="none"/>
        </w:rPr>
        <w:br w:type="page"/>
      </w:r>
    </w:p>
    <w:p w14:paraId="2B3A0447">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附件二 </w:t>
      </w:r>
    </w:p>
    <w:p w14:paraId="77EE7374">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w:t>
      </w:r>
    </w:p>
    <w:p w14:paraId="35FFD661">
      <w:pPr>
        <w:spacing w:line="380" w:lineRule="exact"/>
        <w:jc w:val="center"/>
        <w:rPr>
          <w:rFonts w:hint="eastAsia" w:ascii="宋体" w:hAnsi="宋体" w:eastAsia="宋体" w:cs="宋体"/>
          <w:b/>
          <w:bCs/>
          <w:color w:val="auto"/>
          <w:sz w:val="28"/>
          <w:highlight w:val="none"/>
        </w:rPr>
      </w:pPr>
    </w:p>
    <w:p w14:paraId="42F54B9C">
      <w:pPr>
        <w:spacing w:line="380" w:lineRule="exact"/>
        <w:ind w:firstLine="108" w:firstLineChars="49"/>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color w:val="auto"/>
          <w:sz w:val="22"/>
          <w:szCs w:val="22"/>
          <w:highlight w:val="non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4260"/>
        <w:gridCol w:w="4003"/>
      </w:tblGrid>
      <w:tr w14:paraId="78B4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21" w:type="dxa"/>
            <w:noWrap w:val="0"/>
            <w:vAlign w:val="center"/>
          </w:tcPr>
          <w:p w14:paraId="60BF872D">
            <w:pPr>
              <w:pStyle w:val="19"/>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260" w:type="dxa"/>
            <w:noWrap w:val="0"/>
            <w:vAlign w:val="center"/>
          </w:tcPr>
          <w:p w14:paraId="0281EC03">
            <w:pPr>
              <w:pStyle w:val="19"/>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报价内容</w:t>
            </w:r>
          </w:p>
        </w:tc>
        <w:tc>
          <w:tcPr>
            <w:tcW w:w="4003" w:type="dxa"/>
            <w:noWrap w:val="0"/>
            <w:vAlign w:val="center"/>
          </w:tcPr>
          <w:p w14:paraId="5474422F">
            <w:pPr>
              <w:pStyle w:val="19"/>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免费质保期</w:t>
            </w:r>
          </w:p>
        </w:tc>
      </w:tr>
      <w:tr w14:paraId="2E1F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21" w:type="dxa"/>
            <w:noWrap w:val="0"/>
            <w:vAlign w:val="center"/>
          </w:tcPr>
          <w:p w14:paraId="30E2B01C">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60" w:type="dxa"/>
            <w:noWrap w:val="0"/>
            <w:vAlign w:val="center"/>
          </w:tcPr>
          <w:p w14:paraId="4747B59D">
            <w:pPr>
              <w:spacing w:line="400" w:lineRule="exact"/>
              <w:jc w:val="center"/>
              <w:rPr>
                <w:rFonts w:hint="eastAsia" w:ascii="宋体" w:hAnsi="宋体" w:eastAsia="宋体" w:cs="宋体"/>
                <w:color w:val="auto"/>
                <w:sz w:val="24"/>
                <w:highlight w:val="none"/>
              </w:rPr>
            </w:pPr>
          </w:p>
        </w:tc>
        <w:tc>
          <w:tcPr>
            <w:tcW w:w="4003" w:type="dxa"/>
            <w:noWrap w:val="0"/>
            <w:vAlign w:val="center"/>
          </w:tcPr>
          <w:p w14:paraId="0AED99A7">
            <w:pPr>
              <w:pStyle w:val="19"/>
              <w:spacing w:line="400" w:lineRule="exact"/>
              <w:jc w:val="center"/>
              <w:rPr>
                <w:rFonts w:hint="eastAsia" w:ascii="宋体" w:hAnsi="宋体" w:eastAsia="宋体" w:cs="宋体"/>
                <w:color w:val="auto"/>
                <w:sz w:val="18"/>
                <w:highlight w:val="none"/>
              </w:rPr>
            </w:pPr>
          </w:p>
        </w:tc>
      </w:tr>
      <w:tr w14:paraId="38ED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381" w:type="dxa"/>
            <w:gridSpan w:val="2"/>
            <w:noWrap w:val="0"/>
            <w:vAlign w:val="center"/>
          </w:tcPr>
          <w:p w14:paraId="30BDFB12">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pacing w:val="-6"/>
                <w:sz w:val="22"/>
                <w:szCs w:val="22"/>
                <w:highlight w:val="none"/>
              </w:rPr>
              <w:t xml:space="preserve">投标报价      </w:t>
            </w:r>
          </w:p>
        </w:tc>
        <w:tc>
          <w:tcPr>
            <w:tcW w:w="4003" w:type="dxa"/>
            <w:noWrap w:val="0"/>
            <w:vAlign w:val="center"/>
          </w:tcPr>
          <w:p w14:paraId="27371654">
            <w:pPr>
              <w:tabs>
                <w:tab w:val="left" w:pos="1418"/>
              </w:tabs>
              <w:snapToGrid w:val="0"/>
              <w:spacing w:line="288" w:lineRule="auto"/>
              <w:jc w:val="left"/>
              <w:rPr>
                <w:rFonts w:hint="eastAsia" w:ascii="宋体" w:hAnsi="宋体" w:eastAsia="宋体" w:cs="宋体"/>
                <w:color w:val="auto"/>
                <w:spacing w:val="-6"/>
                <w:sz w:val="22"/>
                <w:szCs w:val="22"/>
                <w:highlight w:val="none"/>
                <w:u w:val="single"/>
              </w:rPr>
            </w:pPr>
            <w:r>
              <w:rPr>
                <w:rFonts w:hint="eastAsia" w:ascii="宋体" w:hAnsi="宋体" w:eastAsia="宋体" w:cs="宋体"/>
                <w:color w:val="auto"/>
                <w:spacing w:val="-6"/>
                <w:sz w:val="22"/>
                <w:szCs w:val="22"/>
                <w:highlight w:val="none"/>
              </w:rPr>
              <w:t>小写：</w:t>
            </w:r>
          </w:p>
          <w:p w14:paraId="587CF963">
            <w:pPr>
              <w:pStyle w:val="19"/>
              <w:spacing w:line="400" w:lineRule="exact"/>
              <w:jc w:val="both"/>
              <w:rPr>
                <w:rFonts w:hint="eastAsia" w:ascii="宋体" w:hAnsi="宋体" w:eastAsia="宋体" w:cs="宋体"/>
                <w:color w:val="auto"/>
                <w:sz w:val="18"/>
                <w:highlight w:val="none"/>
              </w:rPr>
            </w:pPr>
            <w:r>
              <w:rPr>
                <w:rFonts w:hint="eastAsia" w:ascii="宋体" w:hAnsi="宋体" w:eastAsia="宋体" w:cs="宋体"/>
                <w:color w:val="auto"/>
                <w:spacing w:val="-6"/>
                <w:sz w:val="22"/>
                <w:szCs w:val="22"/>
                <w:highlight w:val="none"/>
              </w:rPr>
              <w:t>大写：</w:t>
            </w:r>
          </w:p>
        </w:tc>
      </w:tr>
    </w:tbl>
    <w:p w14:paraId="22AA4A01">
      <w:pPr>
        <w:spacing w:line="360" w:lineRule="auto"/>
        <w:ind w:firstLine="440" w:firstLineChars="200"/>
        <w:outlineLvl w:val="0"/>
        <w:rPr>
          <w:rFonts w:hint="eastAsia" w:ascii="宋体" w:hAnsi="宋体" w:eastAsia="宋体" w:cs="宋体"/>
          <w:color w:val="auto"/>
          <w:sz w:val="22"/>
          <w:szCs w:val="22"/>
          <w:highlight w:val="none"/>
        </w:rPr>
      </w:pPr>
    </w:p>
    <w:p w14:paraId="5C104579">
      <w:pPr>
        <w:spacing w:line="380" w:lineRule="exact"/>
        <w:ind w:left="528" w:leftChars="-15" w:hanging="559" w:hangingChars="253"/>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14:paraId="6433BFCD">
      <w:pPr>
        <w:numPr>
          <w:ilvl w:val="0"/>
          <w:numId w:val="35"/>
        </w:numPr>
        <w:spacing w:line="380" w:lineRule="exact"/>
        <w:ind w:left="530" w:leftChars="-14" w:hanging="559" w:hangingChars="253"/>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不按要求提供开标一览表的投标文件将被视为未实质性响应采购文件。</w:t>
      </w:r>
    </w:p>
    <w:p w14:paraId="57C5BA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none"/>
          <w:lang w:val="en-US" w:eastAsia="zh-CN"/>
        </w:rPr>
        <w:t>2、</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rPr>
        <w:t>投标报价是指投标人为正确地完全履行采购内容及要求的价格体现，包括设备费、标准附件、备品备件、专用工具、包装、运输费、装卸费、车辆调试费、检测费、培训费、验收费、专利技术费（如有）、配合采购人做好车辆第一年保险及上牌工作（保险费、上牌费由采购人负责）、售后服务、利润及税金、采购代理服务费等完成合同所需的一切本身和不可或缺的所有工作开支、政策性文件规定及合同包含的所有风险、责任等各项全部费用。</w:t>
      </w:r>
      <w:r>
        <w:rPr>
          <w:rFonts w:hint="eastAsia" w:ascii="宋体" w:hAnsi="宋体" w:eastAsia="宋体" w:cs="宋体"/>
          <w:b/>
          <w:bCs/>
          <w:color w:val="auto"/>
          <w:sz w:val="22"/>
          <w:szCs w:val="22"/>
          <w:highlight w:val="none"/>
          <w:u w:val="single"/>
          <w:lang w:val="zh-CN"/>
        </w:rPr>
        <w:t>如有漏项，视同已包含在项目报价中，不做调整。</w:t>
      </w:r>
    </w:p>
    <w:p w14:paraId="50139060">
      <w:pPr>
        <w:pStyle w:val="16"/>
        <w:rPr>
          <w:rFonts w:hint="eastAsia" w:ascii="宋体" w:hAnsi="宋体" w:eastAsia="宋体" w:cs="宋体"/>
          <w:color w:val="auto"/>
          <w:highlight w:val="none"/>
        </w:rPr>
      </w:pPr>
    </w:p>
    <w:p w14:paraId="56572390">
      <w:pPr>
        <w:pStyle w:val="2"/>
        <w:ind w:firstLine="480"/>
        <w:rPr>
          <w:rFonts w:hint="eastAsia" w:ascii="宋体" w:hAnsi="宋体" w:eastAsia="宋体" w:cs="宋体"/>
          <w:color w:val="auto"/>
          <w:highlight w:val="none"/>
        </w:rPr>
      </w:pPr>
    </w:p>
    <w:p w14:paraId="20E6496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E598E16">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5304F7A0">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495912C3">
      <w:pPr>
        <w:adjustRightInd w:val="0"/>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p>
    <w:p w14:paraId="44033BA7">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（2）分项报价表</w:t>
      </w:r>
    </w:p>
    <w:p w14:paraId="707DE9DE">
      <w:pPr>
        <w:pStyle w:val="19"/>
        <w:snapToGrid w:val="0"/>
        <w:spacing w:line="288" w:lineRule="auto"/>
        <w:ind w:firstLine="1144" w:firstLineChars="550"/>
        <w:jc w:val="right"/>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金额单位：人民币（元）</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39"/>
        <w:gridCol w:w="2306"/>
        <w:gridCol w:w="1791"/>
        <w:gridCol w:w="1072"/>
        <w:gridCol w:w="1612"/>
        <w:gridCol w:w="1255"/>
        <w:gridCol w:w="1279"/>
      </w:tblGrid>
      <w:tr w14:paraId="34E45391">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539" w:type="dxa"/>
            <w:shd w:val="clear" w:color="auto" w:fill="D9D9D9"/>
            <w:noWrap w:val="0"/>
            <w:vAlign w:val="center"/>
          </w:tcPr>
          <w:p w14:paraId="31B85F5C">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序号</w:t>
            </w:r>
          </w:p>
        </w:tc>
        <w:tc>
          <w:tcPr>
            <w:tcW w:w="2306" w:type="dxa"/>
            <w:shd w:val="clear" w:color="auto" w:fill="D9D9D9"/>
            <w:noWrap w:val="0"/>
            <w:vAlign w:val="center"/>
          </w:tcPr>
          <w:p w14:paraId="4E6717A5">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名称</w:t>
            </w:r>
          </w:p>
        </w:tc>
        <w:tc>
          <w:tcPr>
            <w:tcW w:w="1791" w:type="dxa"/>
            <w:shd w:val="clear" w:color="auto" w:fill="D9D9D9"/>
            <w:noWrap w:val="0"/>
            <w:vAlign w:val="center"/>
          </w:tcPr>
          <w:p w14:paraId="6A1266C0">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型号和规格（如有）</w:t>
            </w:r>
          </w:p>
        </w:tc>
        <w:tc>
          <w:tcPr>
            <w:tcW w:w="1072" w:type="dxa"/>
            <w:shd w:val="clear" w:color="auto" w:fill="D9D9D9"/>
            <w:noWrap w:val="0"/>
            <w:vAlign w:val="center"/>
          </w:tcPr>
          <w:p w14:paraId="2DB9C77D">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数量</w:t>
            </w:r>
          </w:p>
        </w:tc>
        <w:tc>
          <w:tcPr>
            <w:tcW w:w="1612" w:type="dxa"/>
            <w:shd w:val="clear" w:color="auto" w:fill="D9D9D9"/>
            <w:noWrap w:val="0"/>
            <w:vAlign w:val="center"/>
          </w:tcPr>
          <w:p w14:paraId="755FC1BA">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原产地</w:t>
            </w:r>
          </w:p>
          <w:p w14:paraId="1D4103DB">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和制造商</w:t>
            </w:r>
          </w:p>
          <w:p w14:paraId="10375A31">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（如有）</w:t>
            </w:r>
          </w:p>
        </w:tc>
        <w:tc>
          <w:tcPr>
            <w:tcW w:w="1255" w:type="dxa"/>
            <w:shd w:val="clear" w:color="auto" w:fill="D9D9D9"/>
            <w:noWrap w:val="0"/>
            <w:vAlign w:val="center"/>
          </w:tcPr>
          <w:p w14:paraId="63059DED">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lang w:val="en-US" w:eastAsia="zh-CN"/>
              </w:rPr>
              <w:t>综合</w:t>
            </w:r>
            <w:r>
              <w:rPr>
                <w:rFonts w:hint="eastAsia" w:ascii="宋体" w:hAnsi="宋体" w:eastAsia="宋体" w:cs="宋体"/>
                <w:caps/>
                <w:color w:val="auto"/>
                <w:sz w:val="22"/>
                <w:szCs w:val="22"/>
                <w:highlight w:val="none"/>
              </w:rPr>
              <w:t>单价（元）</w:t>
            </w:r>
          </w:p>
        </w:tc>
        <w:tc>
          <w:tcPr>
            <w:tcW w:w="1279" w:type="dxa"/>
            <w:shd w:val="clear" w:color="auto" w:fill="D9D9D9"/>
            <w:noWrap w:val="0"/>
            <w:vAlign w:val="center"/>
          </w:tcPr>
          <w:p w14:paraId="4145831D">
            <w:pPr>
              <w:jc w:val="center"/>
              <w:rPr>
                <w:rFonts w:hint="eastAsia" w:ascii="宋体" w:hAnsi="宋体" w:eastAsia="宋体" w:cs="宋体"/>
                <w:caps/>
                <w:color w:val="auto"/>
                <w:sz w:val="22"/>
                <w:szCs w:val="22"/>
                <w:highlight w:val="none"/>
              </w:rPr>
            </w:pPr>
            <w:r>
              <w:rPr>
                <w:rFonts w:hint="eastAsia" w:ascii="宋体" w:hAnsi="宋体" w:eastAsia="宋体" w:cs="宋体"/>
                <w:caps/>
                <w:color w:val="auto"/>
                <w:sz w:val="22"/>
                <w:szCs w:val="22"/>
                <w:highlight w:val="none"/>
              </w:rPr>
              <w:t>合价（元）</w:t>
            </w:r>
          </w:p>
        </w:tc>
      </w:tr>
      <w:tr w14:paraId="18A82E84">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539" w:type="dxa"/>
            <w:noWrap w:val="0"/>
            <w:vAlign w:val="center"/>
          </w:tcPr>
          <w:p w14:paraId="552F72D1">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p>
        </w:tc>
        <w:tc>
          <w:tcPr>
            <w:tcW w:w="2306" w:type="dxa"/>
            <w:shd w:val="clear" w:color="auto" w:fill="auto"/>
            <w:noWrap w:val="0"/>
            <w:vAlign w:val="center"/>
          </w:tcPr>
          <w:p w14:paraId="06C04841">
            <w:pPr>
              <w:widowControl/>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7"/>
                <w:kern w:val="0"/>
                <w:sz w:val="24"/>
                <w:szCs w:val="24"/>
                <w:highlight w:val="none"/>
                <w:lang w:eastAsia="zh-CN"/>
              </w:rPr>
              <w:t>14座非封闭式蓄电池观光车</w:t>
            </w:r>
          </w:p>
        </w:tc>
        <w:tc>
          <w:tcPr>
            <w:tcW w:w="1791" w:type="dxa"/>
            <w:shd w:val="clear" w:color="auto" w:fill="auto"/>
            <w:noWrap w:val="0"/>
            <w:vAlign w:val="top"/>
          </w:tcPr>
          <w:p w14:paraId="654F6249">
            <w:pPr>
              <w:pStyle w:val="133"/>
              <w:spacing w:before="91" w:line="183" w:lineRule="auto"/>
              <w:jc w:val="center"/>
              <w:rPr>
                <w:rFonts w:hint="eastAsia" w:ascii="宋体" w:hAnsi="宋体" w:eastAsia="宋体" w:cs="宋体"/>
                <w:color w:val="auto"/>
                <w:kern w:val="2"/>
                <w:sz w:val="24"/>
                <w:szCs w:val="28"/>
                <w:highlight w:val="none"/>
                <w:lang w:val="en-US" w:eastAsia="en-US" w:bidi="ar-SA"/>
              </w:rPr>
            </w:pPr>
            <w:r>
              <w:rPr>
                <w:rFonts w:hint="eastAsia" w:ascii="宋体" w:hAnsi="宋体" w:eastAsia="宋体" w:cs="宋体"/>
                <w:color w:val="auto"/>
                <w:spacing w:val="-2"/>
                <w:highlight w:val="none"/>
                <w:lang w:val="en-US" w:eastAsia="zh-CN"/>
              </w:rPr>
              <w:t xml:space="preserve"> </w:t>
            </w:r>
          </w:p>
        </w:tc>
        <w:tc>
          <w:tcPr>
            <w:tcW w:w="1072" w:type="dxa"/>
            <w:shd w:val="clear" w:color="auto" w:fill="auto"/>
            <w:noWrap w:val="0"/>
            <w:vAlign w:val="center"/>
          </w:tcPr>
          <w:p w14:paraId="2C8D2420">
            <w:pPr>
              <w:widowControl/>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辆</w:t>
            </w:r>
          </w:p>
        </w:tc>
        <w:tc>
          <w:tcPr>
            <w:tcW w:w="1612" w:type="dxa"/>
            <w:noWrap w:val="0"/>
            <w:vAlign w:val="center"/>
          </w:tcPr>
          <w:p w14:paraId="1F2E5306">
            <w:pPr>
              <w:jc w:val="center"/>
              <w:rPr>
                <w:rFonts w:hint="eastAsia" w:ascii="宋体" w:hAnsi="宋体" w:eastAsia="宋体" w:cs="宋体"/>
                <w:color w:val="auto"/>
                <w:sz w:val="22"/>
                <w:szCs w:val="22"/>
                <w:highlight w:val="none"/>
              </w:rPr>
            </w:pPr>
          </w:p>
        </w:tc>
        <w:tc>
          <w:tcPr>
            <w:tcW w:w="1255" w:type="dxa"/>
            <w:noWrap w:val="0"/>
            <w:vAlign w:val="center"/>
          </w:tcPr>
          <w:p w14:paraId="3BDCF473">
            <w:pPr>
              <w:jc w:val="center"/>
              <w:rPr>
                <w:rFonts w:hint="eastAsia" w:ascii="宋体" w:hAnsi="宋体" w:eastAsia="宋体" w:cs="宋体"/>
                <w:color w:val="auto"/>
                <w:sz w:val="22"/>
                <w:szCs w:val="22"/>
                <w:highlight w:val="none"/>
              </w:rPr>
            </w:pPr>
          </w:p>
        </w:tc>
        <w:tc>
          <w:tcPr>
            <w:tcW w:w="1279" w:type="dxa"/>
            <w:noWrap w:val="0"/>
            <w:vAlign w:val="center"/>
          </w:tcPr>
          <w:p w14:paraId="0DA268E5">
            <w:pPr>
              <w:jc w:val="center"/>
              <w:rPr>
                <w:rFonts w:hint="eastAsia" w:ascii="宋体" w:hAnsi="宋体" w:eastAsia="宋体" w:cs="宋体"/>
                <w:color w:val="auto"/>
                <w:sz w:val="22"/>
                <w:szCs w:val="22"/>
                <w:highlight w:val="none"/>
              </w:rPr>
            </w:pPr>
          </w:p>
        </w:tc>
      </w:tr>
      <w:tr w14:paraId="30B49069">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539" w:type="dxa"/>
            <w:noWrap w:val="0"/>
            <w:vAlign w:val="center"/>
          </w:tcPr>
          <w:p w14:paraId="3EB58443">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p>
        </w:tc>
        <w:tc>
          <w:tcPr>
            <w:tcW w:w="2306" w:type="dxa"/>
            <w:shd w:val="clear" w:color="auto" w:fill="auto"/>
            <w:noWrap w:val="0"/>
            <w:vAlign w:val="center"/>
          </w:tcPr>
          <w:p w14:paraId="4025F929">
            <w:pPr>
              <w:widowControl/>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36"/>
                <w:sz w:val="24"/>
                <w:szCs w:val="24"/>
                <w:highlight w:val="none"/>
                <w:lang w:val="en-US" w:eastAsia="zh-CN"/>
              </w:rPr>
              <w:t>6座高尔夫球车</w:t>
            </w:r>
          </w:p>
        </w:tc>
        <w:tc>
          <w:tcPr>
            <w:tcW w:w="1791" w:type="dxa"/>
            <w:shd w:val="clear" w:color="auto" w:fill="auto"/>
            <w:noWrap w:val="0"/>
            <w:vAlign w:val="top"/>
          </w:tcPr>
          <w:p w14:paraId="586F2D9D">
            <w:pPr>
              <w:pStyle w:val="133"/>
              <w:spacing w:before="91" w:line="183" w:lineRule="auto"/>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pacing w:val="-1"/>
                <w:highlight w:val="none"/>
                <w:lang w:val="en-US" w:eastAsia="zh-CN"/>
              </w:rPr>
              <w:t xml:space="preserve"> </w:t>
            </w:r>
          </w:p>
        </w:tc>
        <w:tc>
          <w:tcPr>
            <w:tcW w:w="1072" w:type="dxa"/>
            <w:shd w:val="clear" w:color="auto" w:fill="auto"/>
            <w:noWrap w:val="0"/>
            <w:vAlign w:val="center"/>
          </w:tcPr>
          <w:p w14:paraId="5399A434">
            <w:pPr>
              <w:widowControl/>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辆</w:t>
            </w:r>
          </w:p>
        </w:tc>
        <w:tc>
          <w:tcPr>
            <w:tcW w:w="1612" w:type="dxa"/>
            <w:noWrap w:val="0"/>
            <w:vAlign w:val="center"/>
          </w:tcPr>
          <w:p w14:paraId="6A8AB33F">
            <w:pPr>
              <w:jc w:val="center"/>
              <w:rPr>
                <w:rFonts w:hint="eastAsia" w:ascii="宋体" w:hAnsi="宋体" w:eastAsia="宋体" w:cs="宋体"/>
                <w:color w:val="auto"/>
                <w:sz w:val="22"/>
                <w:szCs w:val="22"/>
                <w:highlight w:val="none"/>
              </w:rPr>
            </w:pPr>
          </w:p>
        </w:tc>
        <w:tc>
          <w:tcPr>
            <w:tcW w:w="1255" w:type="dxa"/>
            <w:noWrap w:val="0"/>
            <w:vAlign w:val="center"/>
          </w:tcPr>
          <w:p w14:paraId="1E5CCBC9">
            <w:pPr>
              <w:jc w:val="center"/>
              <w:rPr>
                <w:rFonts w:hint="eastAsia" w:ascii="宋体" w:hAnsi="宋体" w:eastAsia="宋体" w:cs="宋体"/>
                <w:color w:val="auto"/>
                <w:sz w:val="22"/>
                <w:szCs w:val="22"/>
                <w:highlight w:val="none"/>
              </w:rPr>
            </w:pPr>
          </w:p>
        </w:tc>
        <w:tc>
          <w:tcPr>
            <w:tcW w:w="1279" w:type="dxa"/>
            <w:noWrap w:val="0"/>
            <w:vAlign w:val="center"/>
          </w:tcPr>
          <w:p w14:paraId="64595AD6">
            <w:pPr>
              <w:jc w:val="center"/>
              <w:rPr>
                <w:rFonts w:hint="eastAsia" w:ascii="宋体" w:hAnsi="宋体" w:eastAsia="宋体" w:cs="宋体"/>
                <w:color w:val="auto"/>
                <w:sz w:val="22"/>
                <w:szCs w:val="22"/>
                <w:highlight w:val="none"/>
              </w:rPr>
            </w:pPr>
          </w:p>
        </w:tc>
      </w:tr>
      <w:tr w14:paraId="435084A8">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539" w:type="dxa"/>
            <w:noWrap w:val="0"/>
            <w:vAlign w:val="center"/>
          </w:tcPr>
          <w:p w14:paraId="1A32433A">
            <w:pPr>
              <w:jc w:val="center"/>
              <w:rPr>
                <w:rFonts w:hint="eastAsia" w:ascii="宋体" w:hAnsi="宋体" w:eastAsia="宋体" w:cs="宋体"/>
                <w:color w:val="auto"/>
                <w:sz w:val="22"/>
                <w:szCs w:val="22"/>
                <w:highlight w:val="none"/>
              </w:rPr>
            </w:pPr>
          </w:p>
        </w:tc>
        <w:tc>
          <w:tcPr>
            <w:tcW w:w="2306" w:type="dxa"/>
            <w:noWrap w:val="0"/>
            <w:vAlign w:val="center"/>
          </w:tcPr>
          <w:p w14:paraId="0940F98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791" w:type="dxa"/>
            <w:noWrap w:val="0"/>
            <w:vAlign w:val="center"/>
          </w:tcPr>
          <w:p w14:paraId="64CC7D90">
            <w:pPr>
              <w:jc w:val="center"/>
              <w:rPr>
                <w:rFonts w:hint="eastAsia" w:ascii="宋体" w:hAnsi="宋体" w:eastAsia="宋体" w:cs="宋体"/>
                <w:color w:val="auto"/>
                <w:sz w:val="22"/>
                <w:szCs w:val="22"/>
                <w:highlight w:val="none"/>
              </w:rPr>
            </w:pPr>
          </w:p>
        </w:tc>
        <w:tc>
          <w:tcPr>
            <w:tcW w:w="1072" w:type="dxa"/>
            <w:noWrap w:val="0"/>
            <w:vAlign w:val="center"/>
          </w:tcPr>
          <w:p w14:paraId="7CF3F06A">
            <w:pPr>
              <w:jc w:val="center"/>
              <w:rPr>
                <w:rFonts w:hint="eastAsia" w:ascii="宋体" w:hAnsi="宋体" w:eastAsia="宋体" w:cs="宋体"/>
                <w:color w:val="auto"/>
                <w:sz w:val="22"/>
                <w:szCs w:val="22"/>
                <w:highlight w:val="none"/>
              </w:rPr>
            </w:pPr>
          </w:p>
        </w:tc>
        <w:tc>
          <w:tcPr>
            <w:tcW w:w="1612" w:type="dxa"/>
            <w:noWrap w:val="0"/>
            <w:vAlign w:val="center"/>
          </w:tcPr>
          <w:p w14:paraId="0D84BFA2">
            <w:pPr>
              <w:jc w:val="center"/>
              <w:rPr>
                <w:rFonts w:hint="eastAsia" w:ascii="宋体" w:hAnsi="宋体" w:eastAsia="宋体" w:cs="宋体"/>
                <w:color w:val="auto"/>
                <w:sz w:val="22"/>
                <w:szCs w:val="22"/>
                <w:highlight w:val="none"/>
              </w:rPr>
            </w:pPr>
          </w:p>
        </w:tc>
        <w:tc>
          <w:tcPr>
            <w:tcW w:w="1255" w:type="dxa"/>
            <w:noWrap w:val="0"/>
            <w:vAlign w:val="center"/>
          </w:tcPr>
          <w:p w14:paraId="2DD60BFA">
            <w:pPr>
              <w:jc w:val="center"/>
              <w:rPr>
                <w:rFonts w:hint="eastAsia" w:ascii="宋体" w:hAnsi="宋体" w:eastAsia="宋体" w:cs="宋体"/>
                <w:color w:val="auto"/>
                <w:sz w:val="22"/>
                <w:szCs w:val="22"/>
                <w:highlight w:val="none"/>
              </w:rPr>
            </w:pPr>
          </w:p>
        </w:tc>
        <w:tc>
          <w:tcPr>
            <w:tcW w:w="1279" w:type="dxa"/>
            <w:noWrap w:val="0"/>
            <w:vAlign w:val="center"/>
          </w:tcPr>
          <w:p w14:paraId="47358702">
            <w:pPr>
              <w:jc w:val="center"/>
              <w:rPr>
                <w:rFonts w:hint="eastAsia" w:ascii="宋体" w:hAnsi="宋体" w:eastAsia="宋体" w:cs="宋体"/>
                <w:color w:val="auto"/>
                <w:sz w:val="22"/>
                <w:szCs w:val="22"/>
                <w:highlight w:val="none"/>
              </w:rPr>
            </w:pPr>
          </w:p>
        </w:tc>
      </w:tr>
      <w:tr w14:paraId="74C3BFFD">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575" w:type="dxa"/>
            <w:gridSpan w:val="6"/>
            <w:noWrap w:val="0"/>
            <w:vAlign w:val="center"/>
          </w:tcPr>
          <w:p w14:paraId="76364639">
            <w:pPr>
              <w:ind w:right="125"/>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投标总价【</w:t>
            </w:r>
            <w:r>
              <w:rPr>
                <w:rFonts w:hint="eastAsia" w:ascii="宋体" w:hAnsi="宋体" w:eastAsia="宋体" w:cs="宋体"/>
                <w:color w:val="auto"/>
                <w:sz w:val="22"/>
                <w:szCs w:val="22"/>
                <w:highlight w:val="none"/>
              </w:rPr>
              <w:t>需与开标一览表中相一致</w:t>
            </w:r>
            <w:r>
              <w:rPr>
                <w:rFonts w:hint="eastAsia" w:ascii="宋体" w:hAnsi="宋体" w:eastAsia="宋体" w:cs="宋体"/>
                <w:b/>
                <w:color w:val="auto"/>
                <w:sz w:val="22"/>
                <w:szCs w:val="22"/>
                <w:highlight w:val="none"/>
              </w:rPr>
              <w:t>】</w:t>
            </w:r>
          </w:p>
        </w:tc>
        <w:tc>
          <w:tcPr>
            <w:tcW w:w="1279" w:type="dxa"/>
            <w:noWrap w:val="0"/>
            <w:vAlign w:val="top"/>
          </w:tcPr>
          <w:p w14:paraId="0595E1AE">
            <w:pPr>
              <w:rPr>
                <w:rFonts w:hint="eastAsia" w:ascii="宋体" w:hAnsi="宋体" w:eastAsia="宋体" w:cs="宋体"/>
                <w:b/>
                <w:color w:val="auto"/>
                <w:sz w:val="22"/>
                <w:szCs w:val="22"/>
                <w:highlight w:val="none"/>
              </w:rPr>
            </w:pPr>
          </w:p>
        </w:tc>
      </w:tr>
    </w:tbl>
    <w:p w14:paraId="1E5EE243">
      <w:pPr>
        <w:spacing w:line="360" w:lineRule="exac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说明：</w:t>
      </w:r>
      <w:r>
        <w:rPr>
          <w:rFonts w:hint="eastAsia" w:ascii="宋体" w:hAnsi="宋体" w:eastAsia="宋体" w:cs="宋体"/>
          <w:b/>
          <w:color w:val="auto"/>
          <w:sz w:val="22"/>
          <w:szCs w:val="22"/>
          <w:highlight w:val="none"/>
        </w:rPr>
        <w:t>1、此表内投标总价应与“开标一览表”投标报价相一致。</w:t>
      </w:r>
    </w:p>
    <w:p w14:paraId="3DE5430A">
      <w:pPr>
        <w:numPr>
          <w:ilvl w:val="0"/>
          <w:numId w:val="35"/>
        </w:numPr>
        <w:spacing w:line="360" w:lineRule="exact"/>
        <w:ind w:left="530" w:leftChars="-14" w:hanging="559" w:hangingChars="253"/>
        <w:rPr>
          <w:rFonts w:hint="eastAsia"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不提供“投标分项报价表”的报价，视为没有实质性响应采购文件要求。</w:t>
      </w:r>
    </w:p>
    <w:p w14:paraId="5C9A3A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u w:val="single"/>
          <w:lang w:val="en-US" w:eastAsia="zh-CN"/>
        </w:rPr>
        <w:t>综合</w:t>
      </w:r>
      <w:r>
        <w:rPr>
          <w:rFonts w:hint="eastAsia" w:ascii="宋体" w:hAnsi="宋体" w:eastAsia="宋体" w:cs="宋体"/>
          <w:b/>
          <w:bCs/>
          <w:color w:val="auto"/>
          <w:sz w:val="22"/>
          <w:szCs w:val="22"/>
          <w:highlight w:val="none"/>
          <w:u w:val="single"/>
        </w:rPr>
        <w:t>单价是指投标人为正确地完全履行采购内容及要求的价格体现，包括设备费、标准附件、备品备件、专用工具、包装、运输费、装卸费、车辆调试费、检测费、培训费、验收费、专利技术费（如有）、配合采购人做好车辆第一年保险及上牌工作（保险费、上牌费由采购人负责）、售后服务、利润及税金、采购代理服务费等完成合同所需的一切本身和不可或缺的所有工作开支、政策性文件规定及合同包含的所有风险、责任等各项全部费用。</w:t>
      </w:r>
      <w:r>
        <w:rPr>
          <w:rFonts w:hint="eastAsia" w:ascii="宋体" w:hAnsi="宋体" w:eastAsia="宋体" w:cs="宋体"/>
          <w:b/>
          <w:bCs/>
          <w:color w:val="auto"/>
          <w:sz w:val="22"/>
          <w:szCs w:val="22"/>
          <w:highlight w:val="none"/>
          <w:u w:val="single"/>
          <w:lang w:val="zh-CN"/>
        </w:rPr>
        <w:t>如有漏项，视同已包含在项目报价中，不做调整。</w:t>
      </w:r>
    </w:p>
    <w:p w14:paraId="4C5DC404">
      <w:pPr>
        <w:pStyle w:val="16"/>
        <w:numPr>
          <w:ilvl w:val="0"/>
          <w:numId w:val="0"/>
        </w:numPr>
        <w:ind w:leftChars="-267"/>
        <w:rPr>
          <w:rFonts w:hint="eastAsia" w:ascii="宋体" w:hAnsi="宋体" w:eastAsia="宋体" w:cs="宋体"/>
          <w:color w:val="auto"/>
          <w:highlight w:val="none"/>
        </w:rPr>
      </w:pPr>
    </w:p>
    <w:p w14:paraId="490CE5BA">
      <w:pPr>
        <w:adjustRightInd w:val="0"/>
        <w:spacing w:line="360" w:lineRule="auto"/>
        <w:jc w:val="left"/>
        <w:rPr>
          <w:rFonts w:hint="eastAsia" w:ascii="宋体" w:hAnsi="宋体" w:eastAsia="宋体" w:cs="宋体"/>
          <w:color w:val="auto"/>
          <w:sz w:val="22"/>
          <w:szCs w:val="22"/>
          <w:highlight w:val="none"/>
        </w:rPr>
      </w:pPr>
    </w:p>
    <w:p w14:paraId="34C03EF1">
      <w:pPr>
        <w:spacing w:line="440" w:lineRule="exact"/>
        <w:rPr>
          <w:rFonts w:hint="eastAsia" w:ascii="宋体" w:hAnsi="宋体" w:eastAsia="宋体" w:cs="宋体"/>
          <w:color w:val="auto"/>
          <w:sz w:val="22"/>
          <w:szCs w:val="22"/>
          <w:highlight w:val="none"/>
        </w:rPr>
      </w:pPr>
    </w:p>
    <w:p w14:paraId="3C94E9FB">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14:paraId="0E8855CC">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1B607B64">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385B2FE5">
      <w:pPr>
        <w:pStyle w:val="33"/>
        <w:ind w:firstLine="210"/>
        <w:rPr>
          <w:rFonts w:hint="eastAsia" w:ascii="宋体" w:hAnsi="宋体" w:eastAsia="宋体" w:cs="宋体"/>
          <w:color w:val="auto"/>
          <w:highlight w:val="none"/>
        </w:rPr>
      </w:pPr>
    </w:p>
    <w:p w14:paraId="4843F52D">
      <w:pPr>
        <w:pStyle w:val="33"/>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2"/>
          <w:szCs w:val="22"/>
          <w:highlight w:val="none"/>
        </w:rPr>
        <w:t>附件三</w:t>
      </w:r>
    </w:p>
    <w:p w14:paraId="562DD24A">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64EF80FF">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温州市鹿城区旅游发展投资有限公司</w:t>
      </w:r>
      <w:r>
        <w:rPr>
          <w:rFonts w:hint="eastAsia" w:ascii="宋体" w:hAnsi="宋体" w:eastAsia="宋体" w:cs="宋体"/>
          <w:color w:val="auto"/>
          <w:sz w:val="22"/>
          <w:szCs w:val="22"/>
          <w:highlight w:val="none"/>
        </w:rPr>
        <w:t>：</w:t>
      </w:r>
    </w:p>
    <w:p w14:paraId="7D664344">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浙江德丰项目管理有限公司</w:t>
      </w:r>
      <w:r>
        <w:rPr>
          <w:rFonts w:hint="eastAsia" w:ascii="宋体" w:hAnsi="宋体" w:eastAsia="宋体" w:cs="宋体"/>
          <w:color w:val="auto"/>
          <w:sz w:val="22"/>
          <w:szCs w:val="22"/>
          <w:highlight w:val="none"/>
        </w:rPr>
        <w:t>：</w:t>
      </w:r>
    </w:p>
    <w:p w14:paraId="1A013700">
      <w:pPr>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根据贵单位为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项目（采购编号：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w:t>
      </w:r>
    </w:p>
    <w:p w14:paraId="6DD1FAAF">
      <w:pPr>
        <w:pStyle w:val="10"/>
        <w:spacing w:line="42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在此提交的投标文件中，包括如下内</w:t>
      </w:r>
      <w:r>
        <w:rPr>
          <w:rFonts w:hint="eastAsia" w:ascii="宋体" w:hAnsi="宋体" w:eastAsia="宋体" w:cs="宋体"/>
          <w:color w:val="auto"/>
          <w:sz w:val="22"/>
          <w:highlight w:val="none"/>
        </w:rPr>
        <w:t>容：</w:t>
      </w:r>
    </w:p>
    <w:p w14:paraId="7A221F3C">
      <w:pPr>
        <w:spacing w:line="3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1、按“投标人须知”要求编制的投标文件资格文件【正本一份，副本五份】；</w:t>
      </w:r>
    </w:p>
    <w:p w14:paraId="564568D9">
      <w:pPr>
        <w:spacing w:line="3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2、按“投标人须知”要求编制的投标文件商务技术文件【正本一份，副本五份】；</w:t>
      </w:r>
    </w:p>
    <w:p w14:paraId="330B32E5">
      <w:pPr>
        <w:spacing w:line="3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3、按“投标人须知”要求编制的投标文件报价文件【正本一份，副本五份】；</w:t>
      </w:r>
    </w:p>
    <w:p w14:paraId="0994D9F3">
      <w:pPr>
        <w:spacing w:line="360" w:lineRule="exact"/>
        <w:ind w:firstLine="550" w:firstLineChars="250"/>
        <w:rPr>
          <w:rFonts w:hint="eastAsia" w:ascii="宋体" w:hAnsi="宋体" w:eastAsia="宋体" w:cs="宋体"/>
          <w:color w:val="auto"/>
          <w:highlight w:val="none"/>
        </w:rPr>
      </w:pPr>
      <w:r>
        <w:rPr>
          <w:rFonts w:hint="eastAsia" w:ascii="宋体" w:hAnsi="宋体" w:eastAsia="宋体" w:cs="宋体"/>
          <w:color w:val="auto"/>
          <w:sz w:val="22"/>
          <w:highlight w:val="none"/>
        </w:rPr>
        <w:t>4、按“投标人须知”要求编制的投标文件电子投标文件【U盘一份】；</w:t>
      </w:r>
    </w:p>
    <w:p w14:paraId="73077749">
      <w:pPr>
        <w:spacing w:line="42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我方己完全明白采购文件的所有条款要求，并重申以下几点：</w:t>
      </w:r>
    </w:p>
    <w:p w14:paraId="7E09269A">
      <w:pPr>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（一）本投标文件的有效期自投标截止日起</w:t>
      </w: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u w:val="single"/>
        </w:rPr>
        <w:t xml:space="preserve"> 90 </w:t>
      </w:r>
      <w:r>
        <w:rPr>
          <w:rFonts w:hint="eastAsia" w:ascii="宋体" w:hAnsi="宋体" w:eastAsia="宋体" w:cs="宋体"/>
          <w:b/>
          <w:color w:val="auto"/>
          <w:sz w:val="22"/>
          <w:highlight w:val="none"/>
        </w:rPr>
        <w:t>天内</w:t>
      </w:r>
      <w:r>
        <w:rPr>
          <w:rFonts w:hint="eastAsia" w:ascii="宋体" w:hAnsi="宋体" w:eastAsia="宋体" w:cs="宋体"/>
          <w:color w:val="auto"/>
          <w:sz w:val="22"/>
          <w:highlight w:val="none"/>
        </w:rPr>
        <w:t>有效，如中标，有效期将延至合同终止日为止；</w:t>
      </w:r>
    </w:p>
    <w:p w14:paraId="4158553D">
      <w:pPr>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（二）我方已详细研究了采购文件的所有内容包括修改书（如有）和所有已提供的参考资料以及有关附件，我方完全理解并同意放弃在此方面提出含糊意见或误解的一切权力；</w:t>
      </w:r>
    </w:p>
    <w:p w14:paraId="02549D07">
      <w:pPr>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（三）我方同意提供按照贵方可能要求的与投标有关的一切数据或资料；</w:t>
      </w:r>
    </w:p>
    <w:p w14:paraId="404B1A66">
      <w:pPr>
        <w:spacing w:line="42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（四）我方理解贵方不一定接受最低报价。</w:t>
      </w:r>
    </w:p>
    <w:p w14:paraId="160DC161">
      <w:pPr>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（五）我方如果中标，将保证履行采购文件以及采购文件修改书（如有）中的全部责任和义务，按质、按量、按期完成《协议书》中的全部任务。</w:t>
      </w:r>
    </w:p>
    <w:p w14:paraId="60C1826D">
      <w:pPr>
        <w:spacing w:line="420" w:lineRule="exact"/>
        <w:ind w:left="315"/>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（六）所有与本投标有关的函件请发往下列地址：</w:t>
      </w:r>
    </w:p>
    <w:p w14:paraId="08095BB7">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14:paraId="6C0598CB">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14:paraId="0817ADD1">
      <w:pPr>
        <w:spacing w:line="42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79ABABE1">
      <w:pPr>
        <w:spacing w:line="420" w:lineRule="exact"/>
        <w:ind w:firstLine="770" w:firstLineChars="3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62A4D188">
      <w:pPr>
        <w:spacing w:line="420" w:lineRule="exact"/>
        <w:ind w:firstLine="435"/>
        <w:rPr>
          <w:rFonts w:hint="eastAsia" w:ascii="宋体" w:hAnsi="宋体" w:eastAsia="宋体" w:cs="宋体"/>
          <w:color w:val="auto"/>
          <w:sz w:val="22"/>
          <w:szCs w:val="22"/>
          <w:highlight w:val="none"/>
        </w:rPr>
      </w:pPr>
    </w:p>
    <w:p w14:paraId="0F139C9A">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投标人名称（盖章）</w:t>
      </w:r>
      <w:r>
        <w:rPr>
          <w:rFonts w:hint="eastAsia" w:ascii="宋体" w:hAnsi="宋体" w:eastAsia="宋体" w:cs="宋体"/>
          <w:color w:val="auto"/>
          <w:sz w:val="22"/>
          <w:szCs w:val="22"/>
          <w:highlight w:val="none"/>
          <w:u w:val="single"/>
        </w:rPr>
        <w:t xml:space="preserve">                  </w:t>
      </w:r>
    </w:p>
    <w:p w14:paraId="0A07A7C5">
      <w:pPr>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法定代表人（负责人）或授权代表（签字或盖章）</w:t>
      </w:r>
      <w:r>
        <w:rPr>
          <w:rFonts w:hint="eastAsia" w:ascii="宋体" w:hAnsi="宋体" w:eastAsia="宋体" w:cs="宋体"/>
          <w:color w:val="auto"/>
          <w:sz w:val="22"/>
          <w:szCs w:val="22"/>
          <w:highlight w:val="none"/>
          <w:u w:val="single"/>
        </w:rPr>
        <w:t xml:space="preserve">                   </w:t>
      </w:r>
    </w:p>
    <w:p w14:paraId="5B43486C">
      <w:pPr>
        <w:spacing w:line="460" w:lineRule="exact"/>
        <w:ind w:firstLine="43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                                   日期：    年    月   日</w:t>
      </w: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附件四</w:t>
      </w:r>
    </w:p>
    <w:p w14:paraId="16A477AB">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14:paraId="5587803D">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采购项目：                                          采购编号：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31BC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noWrap w:val="0"/>
            <w:vAlign w:val="top"/>
          </w:tcPr>
          <w:p w14:paraId="678F0895">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3CA4F867">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097" w:type="dxa"/>
            <w:noWrap w:val="0"/>
            <w:vAlign w:val="center"/>
          </w:tcPr>
          <w:p w14:paraId="59D9DB2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w:t>
            </w:r>
          </w:p>
          <w:p w14:paraId="73790525">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条目号</w:t>
            </w:r>
          </w:p>
        </w:tc>
        <w:tc>
          <w:tcPr>
            <w:tcW w:w="1992" w:type="dxa"/>
            <w:noWrap w:val="0"/>
            <w:vAlign w:val="center"/>
          </w:tcPr>
          <w:p w14:paraId="1D2B63AE">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w:t>
            </w:r>
          </w:p>
          <w:p w14:paraId="1B387C75">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规范要求</w:t>
            </w:r>
          </w:p>
        </w:tc>
        <w:tc>
          <w:tcPr>
            <w:tcW w:w="1866" w:type="dxa"/>
            <w:noWrap w:val="0"/>
            <w:vAlign w:val="center"/>
          </w:tcPr>
          <w:p w14:paraId="37E2519A">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14:paraId="544FC1FD">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对应规范</w:t>
            </w:r>
          </w:p>
        </w:tc>
        <w:tc>
          <w:tcPr>
            <w:tcW w:w="1592" w:type="dxa"/>
            <w:noWrap w:val="0"/>
            <w:vAlign w:val="center"/>
          </w:tcPr>
          <w:p w14:paraId="0CFCD9C8">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tc>
      </w:tr>
      <w:tr w14:paraId="2D93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noWrap w:val="0"/>
            <w:vAlign w:val="center"/>
          </w:tcPr>
          <w:p w14:paraId="03AF5E4E">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w:t>
            </w:r>
          </w:p>
          <w:p w14:paraId="6F67A52E">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术</w:t>
            </w:r>
          </w:p>
          <w:p w14:paraId="529FD4A8">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w:t>
            </w:r>
          </w:p>
          <w:p w14:paraId="583BAA7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格</w:t>
            </w:r>
          </w:p>
        </w:tc>
        <w:tc>
          <w:tcPr>
            <w:tcW w:w="1364" w:type="dxa"/>
            <w:noWrap w:val="0"/>
            <w:vAlign w:val="center"/>
          </w:tcPr>
          <w:p w14:paraId="7B574343">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492CBE37">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102219AD">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2E9A26C2">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2B1BA654">
            <w:pPr>
              <w:spacing w:line="380" w:lineRule="exact"/>
              <w:jc w:val="center"/>
              <w:rPr>
                <w:rFonts w:hint="eastAsia" w:ascii="宋体" w:hAnsi="宋体" w:eastAsia="宋体" w:cs="宋体"/>
                <w:color w:val="auto"/>
                <w:sz w:val="22"/>
                <w:szCs w:val="22"/>
                <w:highlight w:val="none"/>
              </w:rPr>
            </w:pPr>
          </w:p>
        </w:tc>
      </w:tr>
      <w:tr w14:paraId="5891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5773EC4">
            <w:pPr>
              <w:spacing w:line="380" w:lineRule="exact"/>
              <w:ind w:firstLine="220" w:firstLineChars="100"/>
              <w:rPr>
                <w:rFonts w:hint="eastAsia" w:ascii="宋体" w:hAnsi="宋体" w:eastAsia="宋体" w:cs="宋体"/>
                <w:color w:val="auto"/>
                <w:sz w:val="22"/>
                <w:szCs w:val="22"/>
                <w:highlight w:val="none"/>
              </w:rPr>
            </w:pPr>
          </w:p>
        </w:tc>
        <w:tc>
          <w:tcPr>
            <w:tcW w:w="1364" w:type="dxa"/>
            <w:noWrap w:val="0"/>
            <w:vAlign w:val="center"/>
          </w:tcPr>
          <w:p w14:paraId="49C5FBF7">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191E7CB2">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31821F29">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39894254">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5EE12D96">
            <w:pPr>
              <w:spacing w:line="380" w:lineRule="exact"/>
              <w:jc w:val="center"/>
              <w:rPr>
                <w:rFonts w:hint="eastAsia" w:ascii="宋体" w:hAnsi="宋体" w:eastAsia="宋体" w:cs="宋体"/>
                <w:color w:val="auto"/>
                <w:sz w:val="22"/>
                <w:szCs w:val="22"/>
                <w:highlight w:val="none"/>
              </w:rPr>
            </w:pPr>
          </w:p>
        </w:tc>
      </w:tr>
      <w:tr w14:paraId="32E5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7FA7268E">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746C3DDE">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2E99AAFF">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00294AB1">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0917A0C0">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25654137">
            <w:pPr>
              <w:spacing w:line="380" w:lineRule="exact"/>
              <w:jc w:val="center"/>
              <w:rPr>
                <w:rFonts w:hint="eastAsia" w:ascii="宋体" w:hAnsi="宋体" w:eastAsia="宋体" w:cs="宋体"/>
                <w:color w:val="auto"/>
                <w:sz w:val="22"/>
                <w:szCs w:val="22"/>
                <w:highlight w:val="none"/>
              </w:rPr>
            </w:pPr>
          </w:p>
        </w:tc>
      </w:tr>
      <w:tr w14:paraId="6355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9B96306">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4694362E">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047853D2">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57F1875A">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582C1887">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2CB3D6A7">
            <w:pPr>
              <w:spacing w:line="380" w:lineRule="exact"/>
              <w:jc w:val="center"/>
              <w:rPr>
                <w:rFonts w:hint="eastAsia" w:ascii="宋体" w:hAnsi="宋体" w:eastAsia="宋体" w:cs="宋体"/>
                <w:color w:val="auto"/>
                <w:sz w:val="22"/>
                <w:szCs w:val="22"/>
                <w:highlight w:val="none"/>
              </w:rPr>
            </w:pPr>
          </w:p>
        </w:tc>
      </w:tr>
      <w:tr w14:paraId="4786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28E7984D">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30F81B0D">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0035785C">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19F88F1B">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56543F0B">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7258EE20">
            <w:pPr>
              <w:spacing w:line="380" w:lineRule="exact"/>
              <w:jc w:val="center"/>
              <w:rPr>
                <w:rFonts w:hint="eastAsia" w:ascii="宋体" w:hAnsi="宋体" w:eastAsia="宋体" w:cs="宋体"/>
                <w:color w:val="auto"/>
                <w:sz w:val="22"/>
                <w:szCs w:val="22"/>
                <w:highlight w:val="none"/>
              </w:rPr>
            </w:pPr>
          </w:p>
        </w:tc>
      </w:tr>
      <w:tr w14:paraId="64750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noWrap w:val="0"/>
            <w:vAlign w:val="center"/>
          </w:tcPr>
          <w:p w14:paraId="4ABB3B84">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w:t>
            </w:r>
          </w:p>
          <w:p w14:paraId="6218E1A2">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务</w:t>
            </w:r>
          </w:p>
          <w:p w14:paraId="45068C36">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w:t>
            </w:r>
          </w:p>
          <w:p w14:paraId="1DCAA615">
            <w:pPr>
              <w:spacing w:line="3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款</w:t>
            </w:r>
          </w:p>
        </w:tc>
        <w:tc>
          <w:tcPr>
            <w:tcW w:w="1364" w:type="dxa"/>
            <w:noWrap w:val="0"/>
            <w:vAlign w:val="center"/>
          </w:tcPr>
          <w:p w14:paraId="1B689E7F">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4E2B0458">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7CF830F2">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086D3F0F">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79924F43">
            <w:pPr>
              <w:spacing w:line="380" w:lineRule="exact"/>
              <w:jc w:val="center"/>
              <w:rPr>
                <w:rFonts w:hint="eastAsia" w:ascii="宋体" w:hAnsi="宋体" w:eastAsia="宋体" w:cs="宋体"/>
                <w:color w:val="auto"/>
                <w:sz w:val="22"/>
                <w:szCs w:val="22"/>
                <w:highlight w:val="none"/>
              </w:rPr>
            </w:pPr>
          </w:p>
        </w:tc>
      </w:tr>
      <w:tr w14:paraId="3DD6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6BF936DF">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77D02C0B">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5A816FAA">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49C6CDD6">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0CA7D1EB">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4520BA04">
            <w:pPr>
              <w:spacing w:line="380" w:lineRule="exact"/>
              <w:jc w:val="center"/>
              <w:rPr>
                <w:rFonts w:hint="eastAsia" w:ascii="宋体" w:hAnsi="宋体" w:eastAsia="宋体" w:cs="宋体"/>
                <w:color w:val="auto"/>
                <w:sz w:val="22"/>
                <w:szCs w:val="22"/>
                <w:highlight w:val="none"/>
              </w:rPr>
            </w:pPr>
          </w:p>
        </w:tc>
      </w:tr>
      <w:tr w14:paraId="2897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0F1C3045">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2A0200DC">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4DA02599">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745DD6E7">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73D87BF2">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349AF46B">
            <w:pPr>
              <w:spacing w:line="380" w:lineRule="exact"/>
              <w:jc w:val="center"/>
              <w:rPr>
                <w:rFonts w:hint="eastAsia" w:ascii="宋体" w:hAnsi="宋体" w:eastAsia="宋体" w:cs="宋体"/>
                <w:color w:val="auto"/>
                <w:sz w:val="22"/>
                <w:szCs w:val="22"/>
                <w:highlight w:val="none"/>
              </w:rPr>
            </w:pPr>
          </w:p>
        </w:tc>
      </w:tr>
      <w:tr w14:paraId="0358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1CA1DFC9">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4F5DD387">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612FDBB9">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26FA18EA">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4D47A652">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4F93010B">
            <w:pPr>
              <w:spacing w:line="380" w:lineRule="exact"/>
              <w:jc w:val="center"/>
              <w:rPr>
                <w:rFonts w:hint="eastAsia" w:ascii="宋体" w:hAnsi="宋体" w:eastAsia="宋体" w:cs="宋体"/>
                <w:color w:val="auto"/>
                <w:sz w:val="22"/>
                <w:szCs w:val="22"/>
                <w:highlight w:val="none"/>
              </w:rPr>
            </w:pPr>
          </w:p>
        </w:tc>
      </w:tr>
      <w:tr w14:paraId="2BFE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noWrap w:val="0"/>
            <w:vAlign w:val="top"/>
          </w:tcPr>
          <w:p w14:paraId="30AD95D0">
            <w:pPr>
              <w:spacing w:line="380" w:lineRule="exact"/>
              <w:jc w:val="center"/>
              <w:rPr>
                <w:rFonts w:hint="eastAsia" w:ascii="宋体" w:hAnsi="宋体" w:eastAsia="宋体" w:cs="宋体"/>
                <w:color w:val="auto"/>
                <w:sz w:val="22"/>
                <w:szCs w:val="22"/>
                <w:highlight w:val="none"/>
              </w:rPr>
            </w:pPr>
          </w:p>
        </w:tc>
        <w:tc>
          <w:tcPr>
            <w:tcW w:w="1364" w:type="dxa"/>
            <w:noWrap w:val="0"/>
            <w:vAlign w:val="center"/>
          </w:tcPr>
          <w:p w14:paraId="43516020">
            <w:pPr>
              <w:spacing w:line="380" w:lineRule="exact"/>
              <w:jc w:val="center"/>
              <w:rPr>
                <w:rFonts w:hint="eastAsia" w:ascii="宋体" w:hAnsi="宋体" w:eastAsia="宋体" w:cs="宋体"/>
                <w:color w:val="auto"/>
                <w:sz w:val="22"/>
                <w:szCs w:val="22"/>
                <w:highlight w:val="none"/>
              </w:rPr>
            </w:pPr>
          </w:p>
        </w:tc>
        <w:tc>
          <w:tcPr>
            <w:tcW w:w="2097" w:type="dxa"/>
            <w:noWrap w:val="0"/>
            <w:vAlign w:val="center"/>
          </w:tcPr>
          <w:p w14:paraId="2B8C1288">
            <w:pPr>
              <w:spacing w:line="380" w:lineRule="exact"/>
              <w:jc w:val="center"/>
              <w:rPr>
                <w:rFonts w:hint="eastAsia" w:ascii="宋体" w:hAnsi="宋体" w:eastAsia="宋体" w:cs="宋体"/>
                <w:color w:val="auto"/>
                <w:sz w:val="22"/>
                <w:szCs w:val="22"/>
                <w:highlight w:val="none"/>
              </w:rPr>
            </w:pPr>
          </w:p>
        </w:tc>
        <w:tc>
          <w:tcPr>
            <w:tcW w:w="1992" w:type="dxa"/>
            <w:noWrap w:val="0"/>
            <w:vAlign w:val="center"/>
          </w:tcPr>
          <w:p w14:paraId="1B85A9E7">
            <w:pPr>
              <w:spacing w:line="380" w:lineRule="exact"/>
              <w:jc w:val="center"/>
              <w:rPr>
                <w:rFonts w:hint="eastAsia" w:ascii="宋体" w:hAnsi="宋体" w:eastAsia="宋体" w:cs="宋体"/>
                <w:color w:val="auto"/>
                <w:sz w:val="22"/>
                <w:szCs w:val="22"/>
                <w:highlight w:val="none"/>
              </w:rPr>
            </w:pPr>
          </w:p>
        </w:tc>
        <w:tc>
          <w:tcPr>
            <w:tcW w:w="1866" w:type="dxa"/>
            <w:noWrap w:val="0"/>
            <w:vAlign w:val="center"/>
          </w:tcPr>
          <w:p w14:paraId="53243678">
            <w:pPr>
              <w:spacing w:line="380" w:lineRule="exact"/>
              <w:jc w:val="center"/>
              <w:rPr>
                <w:rFonts w:hint="eastAsia" w:ascii="宋体" w:hAnsi="宋体" w:eastAsia="宋体" w:cs="宋体"/>
                <w:color w:val="auto"/>
                <w:sz w:val="22"/>
                <w:szCs w:val="22"/>
                <w:highlight w:val="none"/>
              </w:rPr>
            </w:pPr>
          </w:p>
        </w:tc>
        <w:tc>
          <w:tcPr>
            <w:tcW w:w="1592" w:type="dxa"/>
            <w:noWrap w:val="0"/>
            <w:vAlign w:val="center"/>
          </w:tcPr>
          <w:p w14:paraId="264BD2C6">
            <w:pPr>
              <w:spacing w:line="380" w:lineRule="exact"/>
              <w:jc w:val="center"/>
              <w:rPr>
                <w:rFonts w:hint="eastAsia" w:ascii="宋体" w:hAnsi="宋体" w:eastAsia="宋体" w:cs="宋体"/>
                <w:color w:val="auto"/>
                <w:sz w:val="22"/>
                <w:szCs w:val="22"/>
                <w:highlight w:val="none"/>
              </w:rPr>
            </w:pPr>
          </w:p>
        </w:tc>
      </w:tr>
    </w:tbl>
    <w:p w14:paraId="7011B2F8">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highlight w:val="none"/>
        </w:rPr>
        <w:t>不填写此表视为完全响应采购文件内容。</w:t>
      </w:r>
    </w:p>
    <w:p w14:paraId="59978D5E">
      <w:pPr>
        <w:spacing w:line="380" w:lineRule="exact"/>
        <w:ind w:firstLine="4417" w:firstLineChars="2000"/>
        <w:rPr>
          <w:rFonts w:hint="eastAsia" w:ascii="宋体" w:hAnsi="宋体" w:eastAsia="宋体" w:cs="宋体"/>
          <w:b/>
          <w:color w:val="auto"/>
          <w:sz w:val="22"/>
          <w:szCs w:val="22"/>
          <w:highlight w:val="none"/>
        </w:rPr>
      </w:pPr>
    </w:p>
    <w:p w14:paraId="1F2BE37F">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投标人名称（盖章）：</w:t>
      </w:r>
    </w:p>
    <w:p w14:paraId="0495675E">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法定代表人（负责人）或授权代表（签字或盖章）：</w:t>
      </w:r>
    </w:p>
    <w:p w14:paraId="09A36B58">
      <w:pPr>
        <w:spacing w:line="38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9773F3E">
      <w:pPr>
        <w:spacing w:line="38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附件五</w:t>
      </w:r>
    </w:p>
    <w:p w14:paraId="72402C96">
      <w:pPr>
        <w:spacing w:line="380" w:lineRule="exact"/>
        <w:rPr>
          <w:rFonts w:hint="eastAsia" w:ascii="宋体" w:hAnsi="宋体" w:eastAsia="宋体" w:cs="宋体"/>
          <w:b/>
          <w:bCs/>
          <w:color w:val="auto"/>
          <w:sz w:val="22"/>
          <w:szCs w:val="22"/>
          <w:highlight w:val="none"/>
        </w:rPr>
      </w:pPr>
    </w:p>
    <w:p w14:paraId="1F3DA127">
      <w:pPr>
        <w:spacing w:line="360" w:lineRule="auto"/>
        <w:ind w:firstLine="590" w:firstLineChars="245"/>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车辆参数配置响应表</w:t>
      </w:r>
    </w:p>
    <w:p w14:paraId="0361BFBC">
      <w:pPr>
        <w:spacing w:line="360" w:lineRule="auto"/>
        <w:ind w:firstLine="517" w:firstLineChars="24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采购项目名称：                                          采购编号：</w:t>
      </w:r>
    </w:p>
    <w:tbl>
      <w:tblPr>
        <w:tblStyle w:val="34"/>
        <w:tblW w:w="498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
        <w:gridCol w:w="707"/>
        <w:gridCol w:w="16"/>
        <w:gridCol w:w="1668"/>
        <w:gridCol w:w="16"/>
        <w:gridCol w:w="4287"/>
        <w:gridCol w:w="16"/>
        <w:gridCol w:w="3091"/>
        <w:gridCol w:w="18"/>
      </w:tblGrid>
      <w:tr w14:paraId="7EF82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trHeight w:val="825" w:hRule="exact"/>
          <w:jc w:val="center"/>
        </w:trPr>
        <w:tc>
          <w:tcPr>
            <w:tcW w:w="368" w:type="pct"/>
            <w:gridSpan w:val="2"/>
            <w:noWrap w:val="0"/>
            <w:vAlign w:val="center"/>
          </w:tcPr>
          <w:p w14:paraId="16D21979">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856" w:type="pct"/>
            <w:gridSpan w:val="2"/>
            <w:noWrap w:val="0"/>
            <w:vAlign w:val="center"/>
          </w:tcPr>
          <w:p w14:paraId="4AE51EB6">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p>
        </w:tc>
        <w:tc>
          <w:tcPr>
            <w:tcW w:w="2187" w:type="pct"/>
            <w:gridSpan w:val="2"/>
            <w:noWrap w:val="0"/>
            <w:vAlign w:val="center"/>
          </w:tcPr>
          <w:p w14:paraId="7195B2BE">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技术要求</w:t>
            </w:r>
          </w:p>
        </w:tc>
        <w:tc>
          <w:tcPr>
            <w:tcW w:w="1580" w:type="pct"/>
            <w:gridSpan w:val="2"/>
            <w:noWrap w:val="0"/>
            <w:vAlign w:val="center"/>
          </w:tcPr>
          <w:p w14:paraId="72A644E8">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投标人响应值</w:t>
            </w:r>
          </w:p>
        </w:tc>
      </w:tr>
      <w:tr w14:paraId="5B727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trHeight w:val="519" w:hRule="exact"/>
          <w:jc w:val="center"/>
        </w:trPr>
        <w:tc>
          <w:tcPr>
            <w:tcW w:w="3412" w:type="pct"/>
            <w:gridSpan w:val="6"/>
            <w:noWrap w:val="0"/>
            <w:vAlign w:val="center"/>
          </w:tcPr>
          <w:p w14:paraId="6BABB0EC">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14座非封闭式蓄电池观光车</w:t>
            </w:r>
            <w:r>
              <w:rPr>
                <w:rFonts w:hint="eastAsia" w:ascii="宋体" w:hAnsi="宋体" w:eastAsia="宋体" w:cs="宋体"/>
                <w:color w:val="auto"/>
                <w:sz w:val="22"/>
                <w:szCs w:val="22"/>
                <w:highlight w:val="none"/>
              </w:rPr>
              <w:t>车辆品牌、产地</w:t>
            </w:r>
          </w:p>
        </w:tc>
        <w:tc>
          <w:tcPr>
            <w:tcW w:w="1580" w:type="pct"/>
            <w:gridSpan w:val="2"/>
            <w:noWrap w:val="0"/>
            <w:vAlign w:val="center"/>
          </w:tcPr>
          <w:p w14:paraId="4828FDA3">
            <w:pPr>
              <w:spacing w:line="440" w:lineRule="exact"/>
              <w:jc w:val="center"/>
              <w:rPr>
                <w:rFonts w:hint="eastAsia" w:ascii="宋体" w:hAnsi="宋体" w:eastAsia="宋体" w:cs="宋体"/>
                <w:color w:val="auto"/>
                <w:sz w:val="22"/>
                <w:szCs w:val="22"/>
                <w:highlight w:val="none"/>
              </w:rPr>
            </w:pPr>
          </w:p>
        </w:tc>
      </w:tr>
      <w:tr w14:paraId="423C8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trHeight w:val="519" w:hRule="exact"/>
          <w:jc w:val="center"/>
        </w:trPr>
        <w:tc>
          <w:tcPr>
            <w:tcW w:w="3412" w:type="pct"/>
            <w:gridSpan w:val="6"/>
            <w:noWrap w:val="0"/>
            <w:vAlign w:val="center"/>
          </w:tcPr>
          <w:p w14:paraId="47B4ADE8">
            <w:pPr>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lang w:eastAsia="zh-CN"/>
              </w:rPr>
              <w:t>14座非封闭式蓄电池观光车</w:t>
            </w:r>
            <w:r>
              <w:rPr>
                <w:rFonts w:hint="eastAsia" w:ascii="宋体" w:hAnsi="宋体" w:eastAsia="宋体" w:cs="宋体"/>
                <w:color w:val="auto"/>
                <w:sz w:val="22"/>
                <w:szCs w:val="22"/>
                <w:highlight w:val="none"/>
              </w:rPr>
              <w:t>车辆型号</w:t>
            </w:r>
          </w:p>
        </w:tc>
        <w:tc>
          <w:tcPr>
            <w:tcW w:w="1580" w:type="pct"/>
            <w:gridSpan w:val="2"/>
            <w:noWrap w:val="0"/>
            <w:vAlign w:val="center"/>
          </w:tcPr>
          <w:p w14:paraId="290A701F">
            <w:pPr>
              <w:spacing w:line="440" w:lineRule="exact"/>
              <w:jc w:val="center"/>
              <w:rPr>
                <w:rFonts w:hint="eastAsia" w:ascii="宋体" w:hAnsi="宋体" w:eastAsia="宋体" w:cs="宋体"/>
                <w:color w:val="auto"/>
                <w:sz w:val="22"/>
                <w:szCs w:val="22"/>
                <w:highlight w:val="none"/>
              </w:rPr>
            </w:pPr>
          </w:p>
        </w:tc>
      </w:tr>
      <w:tr w14:paraId="3F00F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90" w:hRule="atLeast"/>
          <w:jc w:val="center"/>
        </w:trPr>
        <w:tc>
          <w:tcPr>
            <w:tcW w:w="368" w:type="pct"/>
            <w:gridSpan w:val="2"/>
            <w:shd w:val="clear" w:color="auto" w:fill="auto"/>
            <w:noWrap w:val="0"/>
            <w:vAlign w:val="center"/>
          </w:tcPr>
          <w:p w14:paraId="1D81F7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856" w:type="pct"/>
            <w:gridSpan w:val="2"/>
            <w:shd w:val="clear" w:color="auto" w:fill="auto"/>
            <w:noWrap w:val="0"/>
            <w:vAlign w:val="center"/>
          </w:tcPr>
          <w:p w14:paraId="137D182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kern w:val="0"/>
                <w:sz w:val="21"/>
                <w:szCs w:val="21"/>
                <w:highlight w:val="none"/>
                <w:u w:val="single"/>
              </w:rPr>
              <w:t>额定载客量（包括司机）</w:t>
            </w:r>
          </w:p>
        </w:tc>
        <w:tc>
          <w:tcPr>
            <w:tcW w:w="2187" w:type="pct"/>
            <w:gridSpan w:val="2"/>
            <w:shd w:val="clear" w:color="auto" w:fill="auto"/>
            <w:noWrap w:val="0"/>
            <w:vAlign w:val="center"/>
          </w:tcPr>
          <w:p w14:paraId="7CA8B8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rPr>
              <w:t>14人</w:t>
            </w:r>
            <w:r>
              <w:rPr>
                <w:rFonts w:hint="eastAsia" w:ascii="宋体" w:hAnsi="宋体" w:eastAsia="宋体" w:cs="宋体"/>
                <w:b/>
                <w:bCs/>
                <w:color w:val="auto"/>
                <w:kern w:val="0"/>
                <w:sz w:val="21"/>
                <w:szCs w:val="21"/>
                <w:highlight w:val="none"/>
                <w:u w:val="single"/>
                <w:lang w:val="en-US" w:eastAsia="zh-CN"/>
              </w:rPr>
              <w:t xml:space="preserve">   </w:t>
            </w:r>
          </w:p>
        </w:tc>
        <w:tc>
          <w:tcPr>
            <w:tcW w:w="1580" w:type="pct"/>
            <w:gridSpan w:val="2"/>
            <w:noWrap w:val="0"/>
            <w:vAlign w:val="center"/>
          </w:tcPr>
          <w:p w14:paraId="3BDEEDE5">
            <w:pPr>
              <w:spacing w:line="440" w:lineRule="exact"/>
              <w:jc w:val="center"/>
              <w:rPr>
                <w:rFonts w:hint="eastAsia" w:ascii="宋体" w:hAnsi="宋体" w:eastAsia="宋体" w:cs="宋体"/>
                <w:color w:val="auto"/>
                <w:sz w:val="22"/>
                <w:szCs w:val="22"/>
                <w:highlight w:val="none"/>
              </w:rPr>
            </w:pPr>
          </w:p>
        </w:tc>
      </w:tr>
      <w:tr w14:paraId="571C6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70" w:hRule="atLeast"/>
          <w:jc w:val="center"/>
        </w:trPr>
        <w:tc>
          <w:tcPr>
            <w:tcW w:w="368" w:type="pct"/>
            <w:gridSpan w:val="2"/>
            <w:shd w:val="clear" w:color="auto" w:fill="auto"/>
            <w:noWrap w:val="0"/>
            <w:vAlign w:val="center"/>
          </w:tcPr>
          <w:p w14:paraId="050EB26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856" w:type="pct"/>
            <w:gridSpan w:val="2"/>
            <w:shd w:val="clear" w:color="auto" w:fill="auto"/>
            <w:noWrap w:val="0"/>
            <w:vAlign w:val="center"/>
          </w:tcPr>
          <w:p w14:paraId="3D45D67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车身尺寸（长×宽×高</w:t>
            </w:r>
          </w:p>
        </w:tc>
        <w:tc>
          <w:tcPr>
            <w:tcW w:w="2187" w:type="pct"/>
            <w:gridSpan w:val="2"/>
            <w:shd w:val="clear" w:color="auto" w:fill="auto"/>
            <w:noWrap w:val="0"/>
            <w:vAlign w:val="center"/>
          </w:tcPr>
          <w:p w14:paraId="2336679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5000×1500×2050</w:t>
            </w:r>
            <w:r>
              <w:rPr>
                <w:rFonts w:hint="eastAsia" w:ascii="宋体" w:hAnsi="宋体" w:eastAsia="宋体" w:cs="宋体"/>
                <w:color w:val="auto"/>
                <w:kern w:val="0"/>
                <w:sz w:val="21"/>
                <w:szCs w:val="21"/>
                <w:highlight w:val="none"/>
              </w:rPr>
              <w:t>mm（±</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mm，不包括后视镜）</w:t>
            </w:r>
          </w:p>
        </w:tc>
        <w:tc>
          <w:tcPr>
            <w:tcW w:w="1580" w:type="pct"/>
            <w:gridSpan w:val="2"/>
            <w:noWrap w:val="0"/>
            <w:vAlign w:val="center"/>
          </w:tcPr>
          <w:p w14:paraId="6B864A67">
            <w:pPr>
              <w:spacing w:line="440" w:lineRule="exact"/>
              <w:jc w:val="center"/>
              <w:rPr>
                <w:rFonts w:hint="eastAsia" w:ascii="宋体" w:hAnsi="宋体" w:eastAsia="宋体" w:cs="宋体"/>
                <w:color w:val="auto"/>
                <w:sz w:val="22"/>
                <w:szCs w:val="22"/>
                <w:highlight w:val="none"/>
              </w:rPr>
            </w:pPr>
          </w:p>
        </w:tc>
      </w:tr>
      <w:tr w14:paraId="124E6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20" w:hRule="atLeast"/>
          <w:jc w:val="center"/>
        </w:trPr>
        <w:tc>
          <w:tcPr>
            <w:tcW w:w="368" w:type="pct"/>
            <w:gridSpan w:val="2"/>
            <w:shd w:val="clear" w:color="auto" w:fill="auto"/>
            <w:noWrap w:val="0"/>
            <w:vAlign w:val="center"/>
          </w:tcPr>
          <w:p w14:paraId="2C3B99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856" w:type="pct"/>
            <w:gridSpan w:val="2"/>
            <w:shd w:val="clear" w:color="auto" w:fill="auto"/>
            <w:noWrap w:val="0"/>
            <w:vAlign w:val="center"/>
          </w:tcPr>
          <w:p w14:paraId="74169BA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轴距</w:t>
            </w:r>
          </w:p>
        </w:tc>
        <w:tc>
          <w:tcPr>
            <w:tcW w:w="2187" w:type="pct"/>
            <w:gridSpan w:val="2"/>
            <w:shd w:val="clear" w:color="auto" w:fill="auto"/>
            <w:noWrap w:val="0"/>
            <w:vAlign w:val="center"/>
          </w:tcPr>
          <w:p w14:paraId="4E3BD97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≥2650mm</w:t>
            </w:r>
          </w:p>
        </w:tc>
        <w:tc>
          <w:tcPr>
            <w:tcW w:w="1580" w:type="pct"/>
            <w:gridSpan w:val="2"/>
            <w:noWrap w:val="0"/>
            <w:vAlign w:val="center"/>
          </w:tcPr>
          <w:p w14:paraId="233D16C2">
            <w:pPr>
              <w:spacing w:line="440" w:lineRule="exact"/>
              <w:jc w:val="center"/>
              <w:rPr>
                <w:rFonts w:hint="eastAsia" w:ascii="宋体" w:hAnsi="宋体" w:eastAsia="宋体" w:cs="宋体"/>
                <w:color w:val="auto"/>
                <w:sz w:val="22"/>
                <w:szCs w:val="22"/>
                <w:highlight w:val="none"/>
              </w:rPr>
            </w:pPr>
          </w:p>
        </w:tc>
      </w:tr>
      <w:tr w14:paraId="0B60D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1D222F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856" w:type="pct"/>
            <w:gridSpan w:val="2"/>
            <w:shd w:val="clear" w:color="auto" w:fill="auto"/>
            <w:noWrap w:val="0"/>
            <w:vAlign w:val="center"/>
          </w:tcPr>
          <w:p w14:paraId="23D07CA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最小转弯半径</w:t>
            </w:r>
          </w:p>
        </w:tc>
        <w:tc>
          <w:tcPr>
            <w:tcW w:w="2187" w:type="pct"/>
            <w:gridSpan w:val="2"/>
            <w:shd w:val="clear" w:color="auto" w:fill="auto"/>
            <w:noWrap w:val="0"/>
            <w:vAlign w:val="center"/>
          </w:tcPr>
          <w:p w14:paraId="6E1FF5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6.5</w:t>
            </w:r>
            <w:r>
              <w:rPr>
                <w:rFonts w:hint="eastAsia" w:ascii="宋体" w:hAnsi="宋体" w:eastAsia="宋体" w:cs="宋体"/>
                <w:color w:val="auto"/>
                <w:kern w:val="0"/>
                <w:sz w:val="21"/>
                <w:szCs w:val="21"/>
                <w:highlight w:val="none"/>
              </w:rPr>
              <w:t>m</w:t>
            </w:r>
          </w:p>
        </w:tc>
        <w:tc>
          <w:tcPr>
            <w:tcW w:w="1580" w:type="pct"/>
            <w:gridSpan w:val="2"/>
            <w:noWrap w:val="0"/>
            <w:vAlign w:val="center"/>
          </w:tcPr>
          <w:p w14:paraId="2F20042F">
            <w:pPr>
              <w:spacing w:line="440" w:lineRule="exact"/>
              <w:jc w:val="center"/>
              <w:rPr>
                <w:rFonts w:hint="eastAsia" w:ascii="宋体" w:hAnsi="宋体" w:eastAsia="宋体" w:cs="宋体"/>
                <w:color w:val="auto"/>
                <w:sz w:val="22"/>
                <w:szCs w:val="22"/>
                <w:highlight w:val="none"/>
              </w:rPr>
            </w:pPr>
          </w:p>
        </w:tc>
      </w:tr>
      <w:tr w14:paraId="2758D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04" w:hRule="atLeast"/>
          <w:jc w:val="center"/>
        </w:trPr>
        <w:tc>
          <w:tcPr>
            <w:tcW w:w="368" w:type="pct"/>
            <w:gridSpan w:val="2"/>
            <w:shd w:val="clear" w:color="auto" w:fill="auto"/>
            <w:noWrap w:val="0"/>
            <w:vAlign w:val="center"/>
          </w:tcPr>
          <w:p w14:paraId="253751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856" w:type="pct"/>
            <w:gridSpan w:val="2"/>
            <w:shd w:val="clear" w:color="auto" w:fill="auto"/>
            <w:noWrap w:val="0"/>
            <w:vAlign w:val="center"/>
          </w:tcPr>
          <w:p w14:paraId="7D5A692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最小离地间隙（满载）</w:t>
            </w:r>
          </w:p>
        </w:tc>
        <w:tc>
          <w:tcPr>
            <w:tcW w:w="2187" w:type="pct"/>
            <w:gridSpan w:val="2"/>
            <w:shd w:val="clear" w:color="auto" w:fill="auto"/>
            <w:noWrap w:val="0"/>
            <w:vAlign w:val="center"/>
          </w:tcPr>
          <w:p w14:paraId="4BAB1F8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0mm</w:t>
            </w:r>
          </w:p>
        </w:tc>
        <w:tc>
          <w:tcPr>
            <w:tcW w:w="1580" w:type="pct"/>
            <w:gridSpan w:val="2"/>
            <w:noWrap w:val="0"/>
            <w:vAlign w:val="center"/>
          </w:tcPr>
          <w:p w14:paraId="3F170E72">
            <w:pPr>
              <w:spacing w:line="440" w:lineRule="exact"/>
              <w:jc w:val="center"/>
              <w:rPr>
                <w:rFonts w:hint="eastAsia" w:ascii="宋体" w:hAnsi="宋体" w:eastAsia="宋体" w:cs="宋体"/>
                <w:color w:val="auto"/>
                <w:sz w:val="22"/>
                <w:szCs w:val="22"/>
                <w:highlight w:val="none"/>
              </w:rPr>
            </w:pPr>
          </w:p>
        </w:tc>
      </w:tr>
      <w:tr w14:paraId="3B044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6" w:type="pct"/>
          <w:cantSplit/>
          <w:trHeight w:val="410" w:hRule="atLeast"/>
          <w:jc w:val="center"/>
        </w:trPr>
        <w:tc>
          <w:tcPr>
            <w:tcW w:w="368" w:type="pct"/>
            <w:gridSpan w:val="2"/>
            <w:shd w:val="clear" w:color="auto" w:fill="auto"/>
            <w:noWrap w:val="0"/>
            <w:vAlign w:val="center"/>
          </w:tcPr>
          <w:p w14:paraId="0980C5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856" w:type="pct"/>
            <w:gridSpan w:val="2"/>
            <w:shd w:val="clear" w:color="auto" w:fill="auto"/>
            <w:noWrap w:val="0"/>
            <w:vAlign w:val="center"/>
          </w:tcPr>
          <w:p w14:paraId="32CCB2D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最大爬坡度</w:t>
            </w:r>
          </w:p>
        </w:tc>
        <w:tc>
          <w:tcPr>
            <w:tcW w:w="2187" w:type="pct"/>
            <w:gridSpan w:val="2"/>
            <w:shd w:val="clear" w:color="auto" w:fill="auto"/>
            <w:noWrap w:val="0"/>
            <w:vAlign w:val="center"/>
          </w:tcPr>
          <w:p w14:paraId="65DAA1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tc>
        <w:tc>
          <w:tcPr>
            <w:tcW w:w="1580" w:type="pct"/>
            <w:gridSpan w:val="2"/>
            <w:noWrap w:val="0"/>
            <w:vAlign w:val="center"/>
          </w:tcPr>
          <w:p w14:paraId="70D223A9">
            <w:pPr>
              <w:spacing w:line="440" w:lineRule="exact"/>
              <w:jc w:val="center"/>
              <w:rPr>
                <w:rFonts w:hint="eastAsia" w:ascii="宋体" w:hAnsi="宋体" w:eastAsia="宋体" w:cs="宋体"/>
                <w:color w:val="auto"/>
                <w:sz w:val="22"/>
                <w:szCs w:val="22"/>
                <w:highlight w:val="none"/>
              </w:rPr>
            </w:pPr>
          </w:p>
        </w:tc>
      </w:tr>
      <w:tr w14:paraId="14E60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16" w:hRule="atLeast"/>
          <w:jc w:val="center"/>
        </w:trPr>
        <w:tc>
          <w:tcPr>
            <w:tcW w:w="368" w:type="pct"/>
            <w:gridSpan w:val="2"/>
            <w:shd w:val="clear" w:color="auto" w:fill="auto"/>
            <w:noWrap w:val="0"/>
            <w:vAlign w:val="center"/>
          </w:tcPr>
          <w:p w14:paraId="18B9E35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856" w:type="pct"/>
            <w:gridSpan w:val="2"/>
            <w:shd w:val="clear" w:color="auto" w:fill="auto"/>
            <w:noWrap w:val="0"/>
            <w:vAlign w:val="center"/>
          </w:tcPr>
          <w:p w14:paraId="55AA1AFA">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最大运行速度</w:t>
            </w:r>
          </w:p>
        </w:tc>
        <w:tc>
          <w:tcPr>
            <w:tcW w:w="2187" w:type="pct"/>
            <w:gridSpan w:val="2"/>
            <w:shd w:val="clear" w:color="auto" w:fill="auto"/>
            <w:noWrap w:val="0"/>
            <w:vAlign w:val="center"/>
          </w:tcPr>
          <w:p w14:paraId="6D293E6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28-30km/h</w:t>
            </w:r>
          </w:p>
        </w:tc>
        <w:tc>
          <w:tcPr>
            <w:tcW w:w="1580" w:type="pct"/>
            <w:gridSpan w:val="2"/>
            <w:noWrap w:val="0"/>
            <w:vAlign w:val="center"/>
          </w:tcPr>
          <w:p w14:paraId="0CA87F38">
            <w:pPr>
              <w:spacing w:line="440" w:lineRule="exact"/>
              <w:jc w:val="center"/>
              <w:rPr>
                <w:rFonts w:hint="eastAsia" w:ascii="宋体" w:hAnsi="宋体" w:eastAsia="宋体" w:cs="宋体"/>
                <w:color w:val="auto"/>
                <w:sz w:val="22"/>
                <w:szCs w:val="22"/>
                <w:highlight w:val="none"/>
              </w:rPr>
            </w:pPr>
          </w:p>
        </w:tc>
      </w:tr>
      <w:tr w14:paraId="0B900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395" w:hRule="atLeast"/>
          <w:jc w:val="center"/>
        </w:trPr>
        <w:tc>
          <w:tcPr>
            <w:tcW w:w="368" w:type="pct"/>
            <w:gridSpan w:val="2"/>
            <w:shd w:val="clear" w:color="auto" w:fill="auto"/>
            <w:noWrap w:val="0"/>
            <w:vAlign w:val="center"/>
          </w:tcPr>
          <w:p w14:paraId="47D710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856" w:type="pct"/>
            <w:gridSpan w:val="2"/>
            <w:shd w:val="clear" w:color="auto" w:fill="auto"/>
            <w:noWrap w:val="0"/>
            <w:vAlign w:val="center"/>
          </w:tcPr>
          <w:p w14:paraId="62701A1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制动距离</w:t>
            </w:r>
          </w:p>
        </w:tc>
        <w:tc>
          <w:tcPr>
            <w:tcW w:w="2187" w:type="pct"/>
            <w:gridSpan w:val="2"/>
            <w:shd w:val="clear" w:color="auto" w:fill="auto"/>
            <w:noWrap w:val="0"/>
            <w:vAlign w:val="center"/>
          </w:tcPr>
          <w:p w14:paraId="7EF381E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m</w:t>
            </w:r>
          </w:p>
        </w:tc>
        <w:tc>
          <w:tcPr>
            <w:tcW w:w="1580" w:type="pct"/>
            <w:gridSpan w:val="2"/>
            <w:noWrap w:val="0"/>
            <w:vAlign w:val="center"/>
          </w:tcPr>
          <w:p w14:paraId="152003B0">
            <w:pPr>
              <w:spacing w:line="440" w:lineRule="exact"/>
              <w:jc w:val="center"/>
              <w:rPr>
                <w:rFonts w:hint="eastAsia" w:ascii="宋体" w:hAnsi="宋体" w:eastAsia="宋体" w:cs="宋体"/>
                <w:color w:val="auto"/>
                <w:sz w:val="22"/>
                <w:szCs w:val="22"/>
                <w:highlight w:val="none"/>
              </w:rPr>
            </w:pPr>
          </w:p>
        </w:tc>
      </w:tr>
      <w:tr w14:paraId="466F5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28" w:hRule="atLeast"/>
          <w:jc w:val="center"/>
        </w:trPr>
        <w:tc>
          <w:tcPr>
            <w:tcW w:w="368" w:type="pct"/>
            <w:gridSpan w:val="2"/>
            <w:shd w:val="clear" w:color="auto" w:fill="auto"/>
            <w:noWrap w:val="0"/>
            <w:vAlign w:val="center"/>
          </w:tcPr>
          <w:p w14:paraId="15BFC2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856" w:type="pct"/>
            <w:gridSpan w:val="2"/>
            <w:shd w:val="clear" w:color="auto" w:fill="auto"/>
            <w:noWrap w:val="0"/>
            <w:vAlign w:val="center"/>
          </w:tcPr>
          <w:p w14:paraId="279B55D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电机、电机功率</w:t>
            </w:r>
          </w:p>
        </w:tc>
        <w:tc>
          <w:tcPr>
            <w:tcW w:w="2187" w:type="pct"/>
            <w:gridSpan w:val="2"/>
            <w:shd w:val="clear" w:color="auto" w:fill="auto"/>
            <w:noWrap w:val="0"/>
            <w:vAlign w:val="center"/>
          </w:tcPr>
          <w:p w14:paraId="2855BF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采用交流电机，</w:t>
            </w:r>
            <w:r>
              <w:rPr>
                <w:rFonts w:hint="eastAsia" w:ascii="宋体" w:hAnsi="宋体" w:eastAsia="宋体" w:cs="宋体"/>
                <w:b/>
                <w:bCs/>
                <w:color w:val="auto"/>
                <w:kern w:val="0"/>
                <w:sz w:val="21"/>
                <w:szCs w:val="21"/>
                <w:highlight w:val="none"/>
              </w:rPr>
              <w:t>72V，功率</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7.5</w:t>
            </w:r>
            <w:r>
              <w:rPr>
                <w:rFonts w:hint="eastAsia" w:ascii="宋体" w:hAnsi="宋体" w:eastAsia="宋体" w:cs="宋体"/>
                <w:b/>
                <w:bCs/>
                <w:color w:val="auto"/>
                <w:kern w:val="0"/>
                <w:sz w:val="21"/>
                <w:szCs w:val="21"/>
                <w:highlight w:val="none"/>
              </w:rPr>
              <w:t>kw</w:t>
            </w:r>
            <w:r>
              <w:rPr>
                <w:rFonts w:hint="eastAsia" w:ascii="宋体" w:hAnsi="宋体" w:eastAsia="宋体" w:cs="宋体"/>
                <w:color w:val="auto"/>
                <w:kern w:val="0"/>
                <w:sz w:val="21"/>
                <w:szCs w:val="21"/>
                <w:highlight w:val="none"/>
              </w:rPr>
              <w:t>，电机运行含温度监控功能，可防止车辆因违规过载使用，导致电机短路。</w:t>
            </w:r>
          </w:p>
        </w:tc>
        <w:tc>
          <w:tcPr>
            <w:tcW w:w="1580" w:type="pct"/>
            <w:gridSpan w:val="2"/>
            <w:noWrap w:val="0"/>
            <w:vAlign w:val="center"/>
          </w:tcPr>
          <w:p w14:paraId="55C87D9F">
            <w:pPr>
              <w:spacing w:line="440" w:lineRule="exact"/>
              <w:jc w:val="center"/>
              <w:rPr>
                <w:rFonts w:hint="eastAsia" w:ascii="宋体" w:hAnsi="宋体" w:eastAsia="宋体" w:cs="宋体"/>
                <w:color w:val="auto"/>
                <w:sz w:val="22"/>
                <w:szCs w:val="22"/>
                <w:highlight w:val="none"/>
              </w:rPr>
            </w:pPr>
          </w:p>
        </w:tc>
      </w:tr>
      <w:tr w14:paraId="2C9E8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392" w:hRule="atLeast"/>
          <w:jc w:val="center"/>
        </w:trPr>
        <w:tc>
          <w:tcPr>
            <w:tcW w:w="368" w:type="pct"/>
            <w:gridSpan w:val="2"/>
            <w:shd w:val="clear" w:color="auto" w:fill="auto"/>
            <w:noWrap w:val="0"/>
            <w:vAlign w:val="center"/>
          </w:tcPr>
          <w:p w14:paraId="3D016F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w:t>
            </w:r>
          </w:p>
        </w:tc>
        <w:tc>
          <w:tcPr>
            <w:tcW w:w="856" w:type="pct"/>
            <w:gridSpan w:val="2"/>
            <w:shd w:val="clear" w:color="auto" w:fill="auto"/>
            <w:noWrap w:val="0"/>
            <w:vAlign w:val="center"/>
          </w:tcPr>
          <w:p w14:paraId="51A154A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续驶里程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平路</w:t>
            </w:r>
            <w:r>
              <w:rPr>
                <w:rFonts w:hint="eastAsia" w:ascii="宋体" w:hAnsi="宋体" w:eastAsia="宋体" w:cs="宋体"/>
                <w:color w:val="auto"/>
                <w:kern w:val="0"/>
                <w:sz w:val="21"/>
                <w:szCs w:val="21"/>
                <w:highlight w:val="none"/>
                <w:lang w:eastAsia="zh-CN"/>
              </w:rPr>
              <w:t>）</w:t>
            </w:r>
          </w:p>
        </w:tc>
        <w:tc>
          <w:tcPr>
            <w:tcW w:w="2187" w:type="pct"/>
            <w:gridSpan w:val="2"/>
            <w:shd w:val="clear" w:color="auto" w:fill="auto"/>
            <w:noWrap w:val="0"/>
            <w:vAlign w:val="center"/>
          </w:tcPr>
          <w:p w14:paraId="41F6E5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≥100KM</w:t>
            </w:r>
          </w:p>
        </w:tc>
        <w:tc>
          <w:tcPr>
            <w:tcW w:w="1580" w:type="pct"/>
            <w:gridSpan w:val="2"/>
            <w:noWrap w:val="0"/>
            <w:vAlign w:val="center"/>
          </w:tcPr>
          <w:p w14:paraId="2BABDAC1">
            <w:pPr>
              <w:spacing w:line="440" w:lineRule="exact"/>
              <w:jc w:val="center"/>
              <w:rPr>
                <w:rFonts w:hint="eastAsia" w:ascii="宋体" w:hAnsi="宋体" w:eastAsia="宋体" w:cs="宋体"/>
                <w:color w:val="auto"/>
                <w:sz w:val="22"/>
                <w:szCs w:val="22"/>
                <w:highlight w:val="none"/>
              </w:rPr>
            </w:pPr>
          </w:p>
        </w:tc>
      </w:tr>
      <w:tr w14:paraId="5FB8E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526D3B7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11</w:t>
            </w:r>
          </w:p>
        </w:tc>
        <w:tc>
          <w:tcPr>
            <w:tcW w:w="856" w:type="pct"/>
            <w:gridSpan w:val="2"/>
            <w:shd w:val="clear" w:color="auto" w:fill="auto"/>
            <w:noWrap w:val="0"/>
            <w:vAlign w:val="center"/>
          </w:tcPr>
          <w:p w14:paraId="1AB955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整车重量（含电池）</w:t>
            </w:r>
          </w:p>
        </w:tc>
        <w:tc>
          <w:tcPr>
            <w:tcW w:w="2187" w:type="pct"/>
            <w:gridSpan w:val="2"/>
            <w:shd w:val="clear" w:color="auto" w:fill="auto"/>
            <w:noWrap w:val="0"/>
            <w:vAlign w:val="center"/>
          </w:tcPr>
          <w:p w14:paraId="6F0512E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1250kg（±10%）</w:t>
            </w:r>
          </w:p>
        </w:tc>
        <w:tc>
          <w:tcPr>
            <w:tcW w:w="1580" w:type="pct"/>
            <w:gridSpan w:val="2"/>
            <w:noWrap w:val="0"/>
            <w:vAlign w:val="center"/>
          </w:tcPr>
          <w:p w14:paraId="56EF52F5">
            <w:pPr>
              <w:spacing w:line="440" w:lineRule="exact"/>
              <w:jc w:val="center"/>
              <w:rPr>
                <w:rFonts w:hint="eastAsia" w:ascii="宋体" w:hAnsi="宋体" w:eastAsia="宋体" w:cs="宋体"/>
                <w:color w:val="auto"/>
                <w:sz w:val="22"/>
                <w:szCs w:val="22"/>
                <w:highlight w:val="none"/>
              </w:rPr>
            </w:pPr>
          </w:p>
        </w:tc>
      </w:tr>
      <w:tr w14:paraId="24C55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61B0D6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tc>
        <w:tc>
          <w:tcPr>
            <w:tcW w:w="856" w:type="pct"/>
            <w:gridSpan w:val="2"/>
            <w:shd w:val="clear" w:color="auto" w:fill="auto"/>
            <w:noWrap w:val="0"/>
            <w:vAlign w:val="center"/>
          </w:tcPr>
          <w:p w14:paraId="412959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车身材质</w:t>
            </w:r>
          </w:p>
        </w:tc>
        <w:tc>
          <w:tcPr>
            <w:tcW w:w="2187" w:type="pct"/>
            <w:gridSpan w:val="2"/>
            <w:shd w:val="clear" w:color="auto" w:fill="auto"/>
            <w:noWrap w:val="0"/>
            <w:vAlign w:val="center"/>
          </w:tcPr>
          <w:p w14:paraId="1C1979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带顶棚，敞开式十四座观光车款；铝型材顶棚立柱</w:t>
            </w:r>
            <w:r>
              <w:rPr>
                <w:rFonts w:hint="eastAsia" w:ascii="宋体" w:hAnsi="宋体" w:eastAsia="宋体" w:cs="宋体"/>
                <w:color w:val="auto"/>
                <w:sz w:val="21"/>
                <w:szCs w:val="21"/>
                <w:highlight w:val="none"/>
                <w:lang w:eastAsia="zh-CN"/>
              </w:rPr>
              <w:t>或钣金一体式车身。</w:t>
            </w:r>
            <w:r>
              <w:rPr>
                <w:rFonts w:hint="eastAsia" w:ascii="宋体" w:hAnsi="宋体" w:eastAsia="宋体" w:cs="宋体"/>
                <w:color w:val="auto"/>
                <w:sz w:val="21"/>
                <w:szCs w:val="21"/>
                <w:highlight w:val="none"/>
              </w:rPr>
              <w:t>钣金件</w:t>
            </w:r>
            <w:r>
              <w:rPr>
                <w:rFonts w:hint="eastAsia" w:ascii="宋体" w:hAnsi="宋体" w:eastAsia="宋体" w:cs="宋体"/>
                <w:color w:val="auto"/>
                <w:sz w:val="21"/>
                <w:szCs w:val="21"/>
                <w:highlight w:val="none"/>
                <w:lang w:eastAsia="zh-CN"/>
              </w:rPr>
              <w:t>、汽车专用</w:t>
            </w:r>
            <w:r>
              <w:rPr>
                <w:rFonts w:hint="eastAsia" w:ascii="宋体" w:hAnsi="宋体" w:eastAsia="宋体" w:cs="宋体"/>
                <w:color w:val="auto"/>
                <w:sz w:val="21"/>
                <w:szCs w:val="21"/>
                <w:highlight w:val="none"/>
                <w:lang w:val="en-US" w:eastAsia="zh-CN"/>
              </w:rPr>
              <w:t>PP料车身或钢骨架及高强度玻璃钢覆盖车身，钣金</w:t>
            </w:r>
            <w:r>
              <w:rPr>
                <w:rFonts w:hint="eastAsia" w:ascii="宋体" w:hAnsi="宋体" w:eastAsia="宋体" w:cs="宋体"/>
                <w:color w:val="auto"/>
                <w:sz w:val="21"/>
                <w:szCs w:val="21"/>
                <w:highlight w:val="none"/>
              </w:rPr>
              <w:t>制造的车身外壳做电泳防锈防腐烤漆处理</w:t>
            </w:r>
            <w:r>
              <w:rPr>
                <w:rFonts w:hint="eastAsia" w:ascii="宋体" w:hAnsi="宋体" w:eastAsia="宋体" w:cs="宋体"/>
                <w:color w:val="auto"/>
                <w:sz w:val="21"/>
                <w:szCs w:val="21"/>
                <w:highlight w:val="none"/>
                <w:lang w:eastAsia="zh-CN"/>
              </w:rPr>
              <w:t>；注塑、</w:t>
            </w:r>
            <w:r>
              <w:rPr>
                <w:rFonts w:hint="eastAsia" w:ascii="宋体" w:hAnsi="宋体" w:eastAsia="宋体" w:cs="宋体"/>
                <w:color w:val="auto"/>
                <w:sz w:val="21"/>
                <w:szCs w:val="21"/>
                <w:highlight w:val="none"/>
              </w:rPr>
              <w:t>玻璃钢</w:t>
            </w:r>
            <w:r>
              <w:rPr>
                <w:rFonts w:hint="eastAsia" w:ascii="宋体" w:hAnsi="宋体" w:eastAsia="宋体" w:cs="宋体"/>
                <w:color w:val="auto"/>
                <w:sz w:val="21"/>
                <w:szCs w:val="21"/>
                <w:highlight w:val="none"/>
                <w:lang w:eastAsia="zh-CN"/>
              </w:rPr>
              <w:t>或钣金</w:t>
            </w:r>
            <w:r>
              <w:rPr>
                <w:rFonts w:hint="eastAsia" w:ascii="宋体" w:hAnsi="宋体" w:eastAsia="宋体" w:cs="宋体"/>
                <w:color w:val="auto"/>
                <w:sz w:val="21"/>
                <w:szCs w:val="21"/>
                <w:highlight w:val="none"/>
              </w:rPr>
              <w:t>顶棚</w:t>
            </w:r>
            <w:r>
              <w:rPr>
                <w:rFonts w:hint="eastAsia" w:ascii="宋体" w:hAnsi="宋体" w:eastAsia="宋体" w:cs="宋体"/>
                <w:color w:val="auto"/>
                <w:sz w:val="21"/>
                <w:szCs w:val="21"/>
                <w:highlight w:val="none"/>
                <w:lang w:eastAsia="zh-CN"/>
              </w:rPr>
              <w:t>。</w:t>
            </w:r>
          </w:p>
        </w:tc>
        <w:tc>
          <w:tcPr>
            <w:tcW w:w="1580" w:type="pct"/>
            <w:gridSpan w:val="2"/>
            <w:noWrap w:val="0"/>
            <w:vAlign w:val="center"/>
          </w:tcPr>
          <w:p w14:paraId="78AD8B9D">
            <w:pPr>
              <w:spacing w:line="440" w:lineRule="exact"/>
              <w:jc w:val="center"/>
              <w:rPr>
                <w:rFonts w:hint="eastAsia" w:ascii="宋体" w:hAnsi="宋体" w:eastAsia="宋体" w:cs="宋体"/>
                <w:color w:val="auto"/>
                <w:sz w:val="22"/>
                <w:szCs w:val="22"/>
                <w:highlight w:val="none"/>
              </w:rPr>
            </w:pPr>
          </w:p>
        </w:tc>
      </w:tr>
      <w:tr w14:paraId="4D6C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38" w:hRule="atLeast"/>
          <w:jc w:val="center"/>
        </w:trPr>
        <w:tc>
          <w:tcPr>
            <w:tcW w:w="368"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49F07F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856"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2DB5059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车架底盘</w:t>
            </w:r>
          </w:p>
        </w:tc>
        <w:tc>
          <w:tcPr>
            <w:tcW w:w="2187"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5BEDA50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高强度钢材焊接成型的车架底盘，并做电泳防锈防腐烤漆处理</w:t>
            </w:r>
            <w:r>
              <w:rPr>
                <w:rFonts w:hint="eastAsia" w:ascii="宋体" w:hAnsi="宋体" w:eastAsia="宋体" w:cs="宋体"/>
                <w:b/>
                <w:bCs/>
                <w:color w:val="auto"/>
                <w:sz w:val="21"/>
                <w:szCs w:val="21"/>
                <w:highlight w:val="none"/>
              </w:rPr>
              <w:t>。</w:t>
            </w:r>
          </w:p>
        </w:tc>
        <w:tc>
          <w:tcPr>
            <w:tcW w:w="1580" w:type="pct"/>
            <w:gridSpan w:val="2"/>
            <w:tcBorders>
              <w:top w:val="single" w:color="auto" w:sz="6" w:space="0"/>
              <w:left w:val="single" w:color="auto" w:sz="6" w:space="0"/>
              <w:bottom w:val="single" w:color="auto" w:sz="6" w:space="0"/>
              <w:right w:val="single" w:color="auto" w:sz="6" w:space="0"/>
            </w:tcBorders>
            <w:noWrap w:val="0"/>
            <w:vAlign w:val="center"/>
          </w:tcPr>
          <w:p w14:paraId="79609006">
            <w:pPr>
              <w:spacing w:line="440" w:lineRule="exact"/>
              <w:jc w:val="center"/>
              <w:rPr>
                <w:rFonts w:hint="eastAsia" w:ascii="宋体" w:hAnsi="宋体" w:eastAsia="宋体" w:cs="宋体"/>
                <w:color w:val="auto"/>
                <w:sz w:val="22"/>
                <w:szCs w:val="22"/>
                <w:highlight w:val="none"/>
              </w:rPr>
            </w:pPr>
          </w:p>
        </w:tc>
      </w:tr>
      <w:tr w14:paraId="4FC6D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438" w:hRule="atLeast"/>
          <w:jc w:val="center"/>
        </w:trPr>
        <w:tc>
          <w:tcPr>
            <w:tcW w:w="368"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77161884">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856"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4A77B1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控制器</w:t>
            </w:r>
          </w:p>
        </w:tc>
        <w:tc>
          <w:tcPr>
            <w:tcW w:w="2187"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7A9261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采用智能控制器，具有防电磁干扰、防飞车、启动延时、倒车减速等</w:t>
            </w:r>
            <w:r>
              <w:rPr>
                <w:rFonts w:hint="eastAsia" w:ascii="宋体" w:hAnsi="宋体" w:eastAsia="宋体" w:cs="宋体"/>
                <w:b/>
                <w:color w:val="auto"/>
                <w:kern w:val="0"/>
                <w:sz w:val="21"/>
                <w:szCs w:val="21"/>
                <w:highlight w:val="none"/>
              </w:rPr>
              <w:t>安全运行系统</w:t>
            </w:r>
            <w:r>
              <w:rPr>
                <w:rFonts w:hint="eastAsia" w:ascii="宋体" w:hAnsi="宋体" w:eastAsia="宋体" w:cs="宋体"/>
                <w:bCs/>
                <w:color w:val="auto"/>
                <w:kern w:val="0"/>
                <w:sz w:val="21"/>
                <w:szCs w:val="21"/>
                <w:highlight w:val="none"/>
              </w:rPr>
              <w:t>功能，并实现对车辆速度的有效控制</w:t>
            </w:r>
            <w:r>
              <w:rPr>
                <w:rFonts w:hint="eastAsia" w:ascii="宋体" w:hAnsi="宋体" w:eastAsia="宋体" w:cs="宋体"/>
                <w:color w:val="auto"/>
                <w:kern w:val="0"/>
                <w:sz w:val="21"/>
                <w:szCs w:val="21"/>
                <w:highlight w:val="none"/>
              </w:rPr>
              <w:t>，通过控制器及系统可有效控制车辆速度，电机控制器防护等级不小于IP67。</w:t>
            </w:r>
          </w:p>
        </w:tc>
        <w:tc>
          <w:tcPr>
            <w:tcW w:w="1580" w:type="pct"/>
            <w:gridSpan w:val="2"/>
            <w:tcBorders>
              <w:top w:val="single" w:color="auto" w:sz="6" w:space="0"/>
              <w:left w:val="single" w:color="auto" w:sz="6" w:space="0"/>
              <w:bottom w:val="single" w:color="auto" w:sz="6" w:space="0"/>
              <w:right w:val="single" w:color="auto" w:sz="6" w:space="0"/>
            </w:tcBorders>
            <w:noWrap w:val="0"/>
            <w:vAlign w:val="center"/>
          </w:tcPr>
          <w:p w14:paraId="5337E87B">
            <w:pPr>
              <w:spacing w:line="440" w:lineRule="exact"/>
              <w:jc w:val="center"/>
              <w:rPr>
                <w:rFonts w:hint="eastAsia" w:ascii="宋体" w:hAnsi="宋体" w:eastAsia="宋体" w:cs="宋体"/>
                <w:color w:val="auto"/>
                <w:sz w:val="22"/>
                <w:szCs w:val="22"/>
                <w:highlight w:val="none"/>
              </w:rPr>
            </w:pPr>
          </w:p>
        </w:tc>
      </w:tr>
      <w:tr w14:paraId="6BFC6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0D5A9C42">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856" w:type="pct"/>
            <w:gridSpan w:val="2"/>
            <w:shd w:val="clear" w:color="auto" w:fill="auto"/>
            <w:noWrap w:val="0"/>
            <w:vAlign w:val="center"/>
          </w:tcPr>
          <w:p w14:paraId="53BFD79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电池</w:t>
            </w:r>
          </w:p>
        </w:tc>
        <w:tc>
          <w:tcPr>
            <w:tcW w:w="2187" w:type="pct"/>
            <w:gridSpan w:val="2"/>
            <w:shd w:val="clear" w:color="auto" w:fill="auto"/>
            <w:noWrap w:val="0"/>
            <w:vAlign w:val="center"/>
          </w:tcPr>
          <w:p w14:paraId="2C957B4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铅酸免维护电池</w:t>
            </w:r>
            <w:r>
              <w:rPr>
                <w:rFonts w:hint="eastAsia" w:ascii="宋体" w:hAnsi="宋体" w:eastAsia="宋体" w:cs="宋体"/>
                <w:color w:val="auto"/>
                <w:kern w:val="0"/>
                <w:sz w:val="21"/>
                <w:szCs w:val="21"/>
                <w:highlight w:val="none"/>
              </w:rPr>
              <w:t xml:space="preserve">容量≥72V </w:t>
            </w:r>
            <w:r>
              <w:rPr>
                <w:rFonts w:hint="eastAsia" w:ascii="宋体" w:hAnsi="宋体" w:eastAsia="宋体" w:cs="宋体"/>
                <w:color w:val="auto"/>
                <w:kern w:val="0"/>
                <w:sz w:val="21"/>
                <w:szCs w:val="21"/>
                <w:highlight w:val="none"/>
                <w:lang w:val="en-US" w:eastAsia="zh-CN"/>
              </w:rPr>
              <w:t>225</w:t>
            </w:r>
            <w:r>
              <w:rPr>
                <w:rFonts w:hint="eastAsia" w:ascii="宋体" w:hAnsi="宋体" w:eastAsia="宋体" w:cs="宋体"/>
                <w:color w:val="auto"/>
                <w:kern w:val="0"/>
                <w:sz w:val="21"/>
                <w:szCs w:val="21"/>
                <w:highlight w:val="none"/>
              </w:rPr>
              <w:t>AH。</w:t>
            </w:r>
            <w:r>
              <w:rPr>
                <w:rFonts w:hint="eastAsia" w:ascii="宋体" w:hAnsi="宋体" w:eastAsia="宋体" w:cs="宋体"/>
                <w:color w:val="auto"/>
                <w:sz w:val="21"/>
                <w:szCs w:val="21"/>
                <w:highlight w:val="none"/>
              </w:rPr>
              <w:t>具有电池智能损耗检测及警报系统功能</w:t>
            </w:r>
            <w:r>
              <w:rPr>
                <w:rStyle w:val="136"/>
                <w:rFonts w:hint="eastAsia" w:ascii="宋体" w:hAnsi="宋体" w:eastAsia="宋体" w:cs="宋体"/>
                <w:color w:val="auto"/>
                <w:sz w:val="21"/>
                <w:szCs w:val="21"/>
                <w:highlight w:val="none"/>
              </w:rPr>
              <w:t>。</w:t>
            </w:r>
          </w:p>
        </w:tc>
        <w:tc>
          <w:tcPr>
            <w:tcW w:w="1580" w:type="pct"/>
            <w:gridSpan w:val="2"/>
            <w:noWrap w:val="0"/>
            <w:vAlign w:val="center"/>
          </w:tcPr>
          <w:p w14:paraId="016279F1">
            <w:pPr>
              <w:spacing w:line="440" w:lineRule="exact"/>
              <w:jc w:val="center"/>
              <w:rPr>
                <w:rFonts w:hint="eastAsia" w:ascii="宋体" w:hAnsi="宋体" w:eastAsia="宋体" w:cs="宋体"/>
                <w:color w:val="auto"/>
                <w:sz w:val="22"/>
                <w:szCs w:val="22"/>
                <w:highlight w:val="none"/>
              </w:rPr>
            </w:pPr>
          </w:p>
        </w:tc>
      </w:tr>
      <w:tr w14:paraId="6F74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2D97DDA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856" w:type="pct"/>
            <w:gridSpan w:val="2"/>
            <w:shd w:val="clear" w:color="auto" w:fill="auto"/>
            <w:noWrap w:val="0"/>
            <w:vAlign w:val="center"/>
          </w:tcPr>
          <w:p w14:paraId="5464BFB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制动系统</w:t>
            </w:r>
          </w:p>
        </w:tc>
        <w:tc>
          <w:tcPr>
            <w:tcW w:w="2187" w:type="pct"/>
            <w:gridSpan w:val="2"/>
            <w:shd w:val="clear" w:color="auto" w:fill="auto"/>
            <w:noWrap w:val="0"/>
            <w:vAlign w:val="center"/>
          </w:tcPr>
          <w:p w14:paraId="3CE6CE8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四轮液压鼓式制动系统+真空助力刹车，独立的驻车制动，保证车辆的运行的节能性和安全性。</w:t>
            </w:r>
          </w:p>
        </w:tc>
        <w:tc>
          <w:tcPr>
            <w:tcW w:w="1580" w:type="pct"/>
            <w:gridSpan w:val="2"/>
            <w:noWrap w:val="0"/>
            <w:vAlign w:val="center"/>
          </w:tcPr>
          <w:p w14:paraId="20B7395E">
            <w:pPr>
              <w:spacing w:line="440" w:lineRule="exact"/>
              <w:jc w:val="center"/>
              <w:rPr>
                <w:rFonts w:hint="eastAsia" w:ascii="宋体" w:hAnsi="宋体" w:eastAsia="宋体" w:cs="宋体"/>
                <w:color w:val="auto"/>
                <w:sz w:val="22"/>
                <w:szCs w:val="22"/>
                <w:highlight w:val="none"/>
              </w:rPr>
            </w:pPr>
          </w:p>
        </w:tc>
      </w:tr>
      <w:tr w14:paraId="50972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6F335345">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856" w:type="pct"/>
            <w:gridSpan w:val="2"/>
            <w:shd w:val="clear" w:color="auto" w:fill="auto"/>
            <w:noWrap w:val="0"/>
            <w:vAlign w:val="center"/>
          </w:tcPr>
          <w:p w14:paraId="32335F5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转向系统</w:t>
            </w:r>
          </w:p>
        </w:tc>
        <w:tc>
          <w:tcPr>
            <w:tcW w:w="2187" w:type="pct"/>
            <w:gridSpan w:val="2"/>
            <w:shd w:val="clear" w:color="auto" w:fill="auto"/>
            <w:noWrap w:val="0"/>
            <w:vAlign w:val="center"/>
          </w:tcPr>
          <w:p w14:paraId="081111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采用双向齿轮齿条转向系统+电动助力转向功能，转向灵活可靠，操作轻便</w:t>
            </w:r>
            <w:r>
              <w:rPr>
                <w:rFonts w:hint="eastAsia" w:ascii="宋体" w:hAnsi="宋体" w:eastAsia="宋体" w:cs="宋体"/>
                <w:b/>
                <w:bCs/>
                <w:color w:val="auto"/>
                <w:sz w:val="21"/>
                <w:szCs w:val="21"/>
                <w:highlight w:val="none"/>
              </w:rPr>
              <w:t>。</w:t>
            </w:r>
          </w:p>
        </w:tc>
        <w:tc>
          <w:tcPr>
            <w:tcW w:w="1580" w:type="pct"/>
            <w:gridSpan w:val="2"/>
            <w:noWrap w:val="0"/>
            <w:vAlign w:val="center"/>
          </w:tcPr>
          <w:p w14:paraId="7EF63D1C">
            <w:pPr>
              <w:spacing w:line="440" w:lineRule="exact"/>
              <w:jc w:val="center"/>
              <w:rPr>
                <w:rFonts w:hint="eastAsia" w:ascii="宋体" w:hAnsi="宋体" w:eastAsia="宋体" w:cs="宋体"/>
                <w:color w:val="auto"/>
                <w:sz w:val="22"/>
                <w:szCs w:val="22"/>
                <w:highlight w:val="none"/>
              </w:rPr>
            </w:pPr>
          </w:p>
        </w:tc>
      </w:tr>
      <w:tr w14:paraId="1A2F0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35D8A3FB">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c>
          <w:tcPr>
            <w:tcW w:w="856" w:type="pct"/>
            <w:gridSpan w:val="2"/>
            <w:shd w:val="clear" w:color="auto" w:fill="auto"/>
            <w:noWrap w:val="0"/>
            <w:vAlign w:val="center"/>
          </w:tcPr>
          <w:p w14:paraId="24CAB35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悬挂系统</w:t>
            </w:r>
          </w:p>
        </w:tc>
        <w:tc>
          <w:tcPr>
            <w:tcW w:w="2187" w:type="pct"/>
            <w:gridSpan w:val="2"/>
            <w:shd w:val="clear" w:color="auto" w:fill="auto"/>
            <w:noWrap w:val="0"/>
            <w:vAlign w:val="center"/>
          </w:tcPr>
          <w:p w14:paraId="72C8E9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采用麦弗逊式独立前悬挂减震器，纵置钢板弹簧式后悬挂系统，同时保障减震效果的舒适性和承载能力</w:t>
            </w:r>
            <w:r>
              <w:rPr>
                <w:rFonts w:hint="eastAsia" w:ascii="宋体" w:hAnsi="宋体" w:eastAsia="宋体" w:cs="宋体"/>
                <w:b/>
                <w:bCs/>
                <w:color w:val="auto"/>
                <w:sz w:val="21"/>
                <w:szCs w:val="21"/>
                <w:highlight w:val="none"/>
              </w:rPr>
              <w:t>。</w:t>
            </w:r>
          </w:p>
        </w:tc>
        <w:tc>
          <w:tcPr>
            <w:tcW w:w="1580" w:type="pct"/>
            <w:gridSpan w:val="2"/>
            <w:noWrap w:val="0"/>
            <w:vAlign w:val="center"/>
          </w:tcPr>
          <w:p w14:paraId="574618DA">
            <w:pPr>
              <w:spacing w:line="440" w:lineRule="exact"/>
              <w:jc w:val="center"/>
              <w:rPr>
                <w:rFonts w:hint="eastAsia" w:ascii="宋体" w:hAnsi="宋体" w:eastAsia="宋体" w:cs="宋体"/>
                <w:color w:val="auto"/>
                <w:sz w:val="22"/>
                <w:szCs w:val="22"/>
                <w:highlight w:val="none"/>
              </w:rPr>
            </w:pPr>
          </w:p>
        </w:tc>
      </w:tr>
      <w:tr w14:paraId="4EE6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276E6AFB">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p>
        </w:tc>
        <w:tc>
          <w:tcPr>
            <w:tcW w:w="856" w:type="pct"/>
            <w:gridSpan w:val="2"/>
            <w:shd w:val="clear" w:color="auto" w:fill="auto"/>
            <w:noWrap w:val="0"/>
            <w:vAlign w:val="center"/>
          </w:tcPr>
          <w:p w14:paraId="45AB2A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仪表台</w:t>
            </w:r>
          </w:p>
        </w:tc>
        <w:tc>
          <w:tcPr>
            <w:tcW w:w="2187" w:type="pct"/>
            <w:gridSpan w:val="2"/>
            <w:shd w:val="clear" w:color="auto" w:fill="auto"/>
            <w:noWrap w:val="0"/>
            <w:vAlign w:val="center"/>
          </w:tcPr>
          <w:p w14:paraId="3391BD0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w:t>
            </w:r>
            <w:r>
              <w:rPr>
                <w:rFonts w:hint="eastAsia" w:ascii="宋体" w:hAnsi="宋体" w:eastAsia="宋体" w:cs="宋体"/>
                <w:b/>
                <w:bCs/>
                <w:color w:val="auto"/>
                <w:kern w:val="0"/>
                <w:sz w:val="21"/>
                <w:szCs w:val="21"/>
                <w:highlight w:val="none"/>
              </w:rPr>
              <w:t>阻燃塑料材质</w:t>
            </w:r>
            <w:r>
              <w:rPr>
                <w:rFonts w:hint="eastAsia" w:ascii="宋体" w:hAnsi="宋体" w:eastAsia="宋体" w:cs="宋体"/>
                <w:color w:val="auto"/>
                <w:kern w:val="0"/>
                <w:sz w:val="21"/>
                <w:szCs w:val="21"/>
                <w:highlight w:val="none"/>
              </w:rPr>
              <w:t>仪表台，配置</w:t>
            </w:r>
            <w:r>
              <w:rPr>
                <w:rFonts w:hint="eastAsia" w:ascii="宋体" w:hAnsi="宋体" w:eastAsia="宋体" w:cs="宋体"/>
                <w:color w:val="auto"/>
                <w:kern w:val="0"/>
                <w:sz w:val="21"/>
                <w:szCs w:val="21"/>
                <w:highlight w:val="none"/>
                <w:lang w:val="en-US" w:eastAsia="zh-CN"/>
              </w:rPr>
              <w:t>车辆</w:t>
            </w:r>
            <w:r>
              <w:rPr>
                <w:rFonts w:hint="eastAsia" w:ascii="宋体" w:hAnsi="宋体" w:eastAsia="宋体" w:cs="宋体"/>
                <w:color w:val="auto"/>
                <w:kern w:val="0"/>
                <w:sz w:val="21"/>
                <w:szCs w:val="21"/>
                <w:highlight w:val="none"/>
              </w:rPr>
              <w:t>倒车影像，组合仪表、仪表指示灯、组合开关、电量指示仪、转向指示、转向蜂鸣等功能；有收放机，USB接口等配置</w:t>
            </w:r>
            <w:r>
              <w:rPr>
                <w:rFonts w:hint="eastAsia" w:ascii="宋体" w:hAnsi="宋体" w:eastAsia="宋体" w:cs="宋体"/>
                <w:b/>
                <w:bCs/>
                <w:color w:val="auto"/>
                <w:kern w:val="0"/>
                <w:sz w:val="21"/>
                <w:szCs w:val="21"/>
                <w:highlight w:val="none"/>
              </w:rPr>
              <w:t>。</w:t>
            </w:r>
          </w:p>
        </w:tc>
        <w:tc>
          <w:tcPr>
            <w:tcW w:w="1580" w:type="pct"/>
            <w:gridSpan w:val="2"/>
            <w:noWrap w:val="0"/>
            <w:vAlign w:val="center"/>
          </w:tcPr>
          <w:p w14:paraId="0EEFA451">
            <w:pPr>
              <w:spacing w:line="440" w:lineRule="exact"/>
              <w:jc w:val="center"/>
              <w:rPr>
                <w:rFonts w:hint="eastAsia" w:ascii="宋体" w:hAnsi="宋体" w:eastAsia="宋体" w:cs="宋体"/>
                <w:color w:val="auto"/>
                <w:sz w:val="22"/>
                <w:szCs w:val="22"/>
                <w:highlight w:val="none"/>
              </w:rPr>
            </w:pPr>
          </w:p>
        </w:tc>
      </w:tr>
      <w:tr w14:paraId="15C8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22BB3D7E">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856" w:type="pct"/>
            <w:gridSpan w:val="2"/>
            <w:shd w:val="clear" w:color="auto" w:fill="auto"/>
            <w:noWrap w:val="0"/>
            <w:vAlign w:val="center"/>
          </w:tcPr>
          <w:p w14:paraId="4B100CA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充电器</w:t>
            </w:r>
          </w:p>
        </w:tc>
        <w:tc>
          <w:tcPr>
            <w:tcW w:w="2187" w:type="pct"/>
            <w:gridSpan w:val="2"/>
            <w:shd w:val="clear" w:color="auto" w:fill="auto"/>
            <w:noWrap w:val="0"/>
            <w:vAlign w:val="center"/>
          </w:tcPr>
          <w:p w14:paraId="777750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原厂高频脉冲全自动</w:t>
            </w:r>
            <w:r>
              <w:rPr>
                <w:rFonts w:hint="eastAsia" w:ascii="宋体" w:hAnsi="宋体" w:eastAsia="宋体" w:cs="宋体"/>
                <w:color w:val="auto"/>
                <w:kern w:val="0"/>
                <w:sz w:val="21"/>
                <w:szCs w:val="21"/>
                <w:highlight w:val="none"/>
                <w:lang w:eastAsia="zh-CN"/>
              </w:rPr>
              <w:t>车载</w:t>
            </w:r>
            <w:r>
              <w:rPr>
                <w:rFonts w:hint="eastAsia" w:ascii="宋体" w:hAnsi="宋体" w:eastAsia="宋体" w:cs="宋体"/>
                <w:color w:val="auto"/>
                <w:kern w:val="0"/>
                <w:sz w:val="21"/>
                <w:szCs w:val="21"/>
                <w:highlight w:val="none"/>
              </w:rPr>
              <w:t>智能化充电器，具有电源过充过载智能保护系统功能</w:t>
            </w:r>
            <w:r>
              <w:rPr>
                <w:rFonts w:hint="eastAsia" w:ascii="宋体" w:hAnsi="宋体" w:eastAsia="宋体" w:cs="宋体"/>
                <w:b/>
                <w:bCs/>
                <w:color w:val="auto"/>
                <w:kern w:val="0"/>
                <w:sz w:val="21"/>
                <w:szCs w:val="21"/>
                <w:highlight w:val="none"/>
              </w:rPr>
              <w:t>。</w:t>
            </w:r>
          </w:p>
        </w:tc>
        <w:tc>
          <w:tcPr>
            <w:tcW w:w="1580" w:type="pct"/>
            <w:gridSpan w:val="2"/>
            <w:noWrap w:val="0"/>
            <w:vAlign w:val="center"/>
          </w:tcPr>
          <w:p w14:paraId="1531C190">
            <w:pPr>
              <w:spacing w:line="440" w:lineRule="exact"/>
              <w:jc w:val="center"/>
              <w:rPr>
                <w:rFonts w:hint="eastAsia" w:ascii="宋体" w:hAnsi="宋体" w:eastAsia="宋体" w:cs="宋体"/>
                <w:color w:val="auto"/>
                <w:sz w:val="22"/>
                <w:szCs w:val="22"/>
                <w:highlight w:val="none"/>
              </w:rPr>
            </w:pPr>
          </w:p>
        </w:tc>
      </w:tr>
      <w:tr w14:paraId="27EA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339C7EE5">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856" w:type="pct"/>
            <w:gridSpan w:val="2"/>
            <w:shd w:val="clear" w:color="auto" w:fill="auto"/>
            <w:noWrap w:val="0"/>
            <w:vAlign w:val="center"/>
          </w:tcPr>
          <w:p w14:paraId="7D5D44C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挡位</w:t>
            </w:r>
          </w:p>
        </w:tc>
        <w:tc>
          <w:tcPr>
            <w:tcW w:w="2187" w:type="pct"/>
            <w:gridSpan w:val="2"/>
            <w:shd w:val="clear" w:color="auto" w:fill="auto"/>
            <w:noWrap w:val="0"/>
            <w:vAlign w:val="center"/>
          </w:tcPr>
          <w:p w14:paraId="02F7F8A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无级变速，前进、后退及空挡</w:t>
            </w:r>
          </w:p>
        </w:tc>
        <w:tc>
          <w:tcPr>
            <w:tcW w:w="1580" w:type="pct"/>
            <w:gridSpan w:val="2"/>
            <w:noWrap w:val="0"/>
            <w:vAlign w:val="center"/>
          </w:tcPr>
          <w:p w14:paraId="4E371B12">
            <w:pPr>
              <w:spacing w:line="440" w:lineRule="exact"/>
              <w:jc w:val="center"/>
              <w:rPr>
                <w:rFonts w:hint="eastAsia" w:ascii="宋体" w:hAnsi="宋体" w:eastAsia="宋体" w:cs="宋体"/>
                <w:color w:val="auto"/>
                <w:sz w:val="22"/>
                <w:szCs w:val="22"/>
                <w:highlight w:val="none"/>
              </w:rPr>
            </w:pPr>
          </w:p>
        </w:tc>
      </w:tr>
      <w:tr w14:paraId="66379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04E6F3F3">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856" w:type="pct"/>
            <w:gridSpan w:val="2"/>
            <w:shd w:val="clear" w:color="auto" w:fill="auto"/>
            <w:noWrap w:val="0"/>
            <w:vAlign w:val="center"/>
          </w:tcPr>
          <w:p w14:paraId="65C32A7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前挡玻璃</w:t>
            </w:r>
          </w:p>
        </w:tc>
        <w:tc>
          <w:tcPr>
            <w:tcW w:w="2187" w:type="pct"/>
            <w:gridSpan w:val="2"/>
            <w:shd w:val="clear" w:color="auto" w:fill="auto"/>
            <w:noWrap w:val="0"/>
            <w:vAlign w:val="center"/>
          </w:tcPr>
          <w:p w14:paraId="2DE3A82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采用钢化夹胶安全玻璃前挡，配雨刮器。</w:t>
            </w:r>
          </w:p>
        </w:tc>
        <w:tc>
          <w:tcPr>
            <w:tcW w:w="1580" w:type="pct"/>
            <w:gridSpan w:val="2"/>
            <w:noWrap w:val="0"/>
            <w:vAlign w:val="center"/>
          </w:tcPr>
          <w:p w14:paraId="29BC468F">
            <w:pPr>
              <w:spacing w:line="440" w:lineRule="exact"/>
              <w:jc w:val="center"/>
              <w:rPr>
                <w:rFonts w:hint="eastAsia" w:ascii="宋体" w:hAnsi="宋体" w:eastAsia="宋体" w:cs="宋体"/>
                <w:color w:val="auto"/>
                <w:sz w:val="22"/>
                <w:szCs w:val="22"/>
                <w:highlight w:val="none"/>
              </w:rPr>
            </w:pPr>
          </w:p>
        </w:tc>
      </w:tr>
      <w:tr w14:paraId="1924B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3CE415C9">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856" w:type="pct"/>
            <w:gridSpan w:val="2"/>
            <w:shd w:val="clear" w:color="auto" w:fill="auto"/>
            <w:noWrap w:val="0"/>
            <w:vAlign w:val="center"/>
          </w:tcPr>
          <w:p w14:paraId="693B42D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车内地板</w:t>
            </w:r>
          </w:p>
        </w:tc>
        <w:tc>
          <w:tcPr>
            <w:tcW w:w="2187" w:type="pct"/>
            <w:gridSpan w:val="2"/>
            <w:shd w:val="clear" w:color="auto" w:fill="auto"/>
            <w:noWrap w:val="0"/>
            <w:vAlign w:val="center"/>
          </w:tcPr>
          <w:p w14:paraId="1162652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铝合金花纹防滑地板。</w:t>
            </w:r>
          </w:p>
        </w:tc>
        <w:tc>
          <w:tcPr>
            <w:tcW w:w="1580" w:type="pct"/>
            <w:gridSpan w:val="2"/>
            <w:noWrap w:val="0"/>
            <w:vAlign w:val="center"/>
          </w:tcPr>
          <w:p w14:paraId="74BCF9D2">
            <w:pPr>
              <w:spacing w:line="440" w:lineRule="exact"/>
              <w:jc w:val="center"/>
              <w:rPr>
                <w:rFonts w:hint="eastAsia" w:ascii="宋体" w:hAnsi="宋体" w:eastAsia="宋体" w:cs="宋体"/>
                <w:color w:val="auto"/>
                <w:sz w:val="22"/>
                <w:szCs w:val="22"/>
                <w:highlight w:val="none"/>
              </w:rPr>
            </w:pPr>
          </w:p>
        </w:tc>
      </w:tr>
      <w:tr w14:paraId="59AC4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33090009">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856" w:type="pct"/>
            <w:gridSpan w:val="2"/>
            <w:shd w:val="clear" w:color="auto" w:fill="auto"/>
            <w:noWrap w:val="0"/>
            <w:vAlign w:val="center"/>
          </w:tcPr>
          <w:p w14:paraId="5B61B59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座椅</w:t>
            </w:r>
          </w:p>
        </w:tc>
        <w:tc>
          <w:tcPr>
            <w:tcW w:w="2187" w:type="pct"/>
            <w:gridSpan w:val="2"/>
            <w:shd w:val="clear" w:color="auto" w:fill="auto"/>
            <w:noWrap w:val="0"/>
            <w:vAlign w:val="center"/>
          </w:tcPr>
          <w:p w14:paraId="10A4E8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整车共5排座椅，座椅采用防水、防火耐磨皮革面料</w:t>
            </w:r>
            <w:r>
              <w:rPr>
                <w:rFonts w:hint="eastAsia" w:ascii="宋体" w:hAnsi="宋体" w:eastAsia="宋体" w:cs="宋体"/>
                <w:color w:val="auto"/>
                <w:kern w:val="0"/>
                <w:sz w:val="21"/>
                <w:szCs w:val="21"/>
                <w:highlight w:val="none"/>
                <w:lang w:eastAsia="zh-CN"/>
              </w:rPr>
              <w:t>（座椅颜色可根据采购方需求配置）</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座椅配有安全带，座椅外侧安装扶手，副驾右上方安装手握扶手</w:t>
            </w:r>
            <w:r>
              <w:rPr>
                <w:rFonts w:hint="eastAsia" w:ascii="宋体" w:hAnsi="宋体" w:eastAsia="宋体" w:cs="宋体"/>
                <w:color w:val="auto"/>
                <w:kern w:val="0"/>
                <w:sz w:val="21"/>
                <w:szCs w:val="21"/>
                <w:highlight w:val="none"/>
              </w:rPr>
              <w:t>。</w:t>
            </w:r>
          </w:p>
        </w:tc>
        <w:tc>
          <w:tcPr>
            <w:tcW w:w="1580" w:type="pct"/>
            <w:gridSpan w:val="2"/>
            <w:noWrap w:val="0"/>
            <w:vAlign w:val="center"/>
          </w:tcPr>
          <w:p w14:paraId="52251158">
            <w:pPr>
              <w:spacing w:line="440" w:lineRule="exact"/>
              <w:jc w:val="center"/>
              <w:rPr>
                <w:rFonts w:hint="eastAsia" w:ascii="宋体" w:hAnsi="宋体" w:eastAsia="宋体" w:cs="宋体"/>
                <w:color w:val="auto"/>
                <w:sz w:val="22"/>
                <w:szCs w:val="22"/>
                <w:highlight w:val="none"/>
              </w:rPr>
            </w:pPr>
          </w:p>
        </w:tc>
      </w:tr>
      <w:tr w14:paraId="0F94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594CDC03">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856" w:type="pct"/>
            <w:gridSpan w:val="2"/>
            <w:shd w:val="clear" w:color="auto" w:fill="auto"/>
            <w:noWrap w:val="0"/>
            <w:vAlign w:val="center"/>
          </w:tcPr>
          <w:p w14:paraId="5EAA56F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后视镜</w:t>
            </w:r>
          </w:p>
        </w:tc>
        <w:tc>
          <w:tcPr>
            <w:tcW w:w="2187" w:type="pct"/>
            <w:gridSpan w:val="2"/>
            <w:shd w:val="clear" w:color="auto" w:fill="auto"/>
            <w:noWrap w:val="0"/>
            <w:vAlign w:val="center"/>
          </w:tcPr>
          <w:p w14:paraId="048B03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左右各1个可调节角度的后视镜。</w:t>
            </w:r>
          </w:p>
        </w:tc>
        <w:tc>
          <w:tcPr>
            <w:tcW w:w="1580" w:type="pct"/>
            <w:gridSpan w:val="2"/>
            <w:noWrap w:val="0"/>
            <w:vAlign w:val="center"/>
          </w:tcPr>
          <w:p w14:paraId="7607FAEF">
            <w:pPr>
              <w:spacing w:line="440" w:lineRule="exact"/>
              <w:jc w:val="center"/>
              <w:rPr>
                <w:rFonts w:hint="eastAsia" w:ascii="宋体" w:hAnsi="宋体" w:eastAsia="宋体" w:cs="宋体"/>
                <w:color w:val="auto"/>
                <w:sz w:val="22"/>
                <w:szCs w:val="22"/>
                <w:highlight w:val="none"/>
              </w:rPr>
            </w:pPr>
          </w:p>
        </w:tc>
      </w:tr>
      <w:tr w14:paraId="7C0A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0B819087">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w:t>
            </w:r>
          </w:p>
        </w:tc>
        <w:tc>
          <w:tcPr>
            <w:tcW w:w="856" w:type="pct"/>
            <w:gridSpan w:val="2"/>
            <w:shd w:val="clear" w:color="auto" w:fill="auto"/>
            <w:noWrap w:val="0"/>
            <w:vAlign w:val="center"/>
          </w:tcPr>
          <w:p w14:paraId="4DFC0B3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rPr>
              <w:t>灯光信号</w:t>
            </w:r>
          </w:p>
        </w:tc>
        <w:tc>
          <w:tcPr>
            <w:tcW w:w="2187" w:type="pct"/>
            <w:gridSpan w:val="2"/>
            <w:shd w:val="clear" w:color="auto" w:fill="auto"/>
            <w:noWrap w:val="0"/>
            <w:vAlign w:val="center"/>
          </w:tcPr>
          <w:p w14:paraId="4C88DFC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rPr>
              <w:t>包含前大灯、前雾灯、转向灯、刹车灯；有电喇叭，倒车蜂鸣功能。</w:t>
            </w:r>
          </w:p>
        </w:tc>
        <w:tc>
          <w:tcPr>
            <w:tcW w:w="1580" w:type="pct"/>
            <w:gridSpan w:val="2"/>
            <w:noWrap w:val="0"/>
            <w:vAlign w:val="center"/>
          </w:tcPr>
          <w:p w14:paraId="1B6415B1">
            <w:pPr>
              <w:spacing w:line="440" w:lineRule="exact"/>
              <w:jc w:val="center"/>
              <w:rPr>
                <w:rFonts w:hint="eastAsia" w:ascii="宋体" w:hAnsi="宋体" w:eastAsia="宋体" w:cs="宋体"/>
                <w:color w:val="auto"/>
                <w:sz w:val="22"/>
                <w:szCs w:val="22"/>
                <w:highlight w:val="none"/>
              </w:rPr>
            </w:pPr>
          </w:p>
        </w:tc>
      </w:tr>
      <w:tr w14:paraId="74C24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noWrap w:val="0"/>
            <w:vAlign w:val="center"/>
          </w:tcPr>
          <w:p w14:paraId="60C5216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7</w:t>
            </w:r>
          </w:p>
        </w:tc>
        <w:tc>
          <w:tcPr>
            <w:tcW w:w="856" w:type="pct"/>
            <w:gridSpan w:val="2"/>
            <w:shd w:val="clear" w:color="auto" w:fill="auto"/>
            <w:noWrap w:val="0"/>
            <w:vAlign w:val="center"/>
          </w:tcPr>
          <w:p w14:paraId="3B7A0F6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kern w:val="0"/>
                <w:sz w:val="21"/>
                <w:szCs w:val="21"/>
                <w:highlight w:val="none"/>
                <w:u w:val="single"/>
              </w:rPr>
              <w:t>轮胎</w:t>
            </w:r>
          </w:p>
        </w:tc>
        <w:tc>
          <w:tcPr>
            <w:tcW w:w="2187" w:type="pct"/>
            <w:gridSpan w:val="2"/>
            <w:shd w:val="clear" w:color="auto" w:fill="auto"/>
            <w:noWrap w:val="0"/>
            <w:vAlign w:val="center"/>
          </w:tcPr>
          <w:p w14:paraId="7766E50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u w:val="single"/>
                <w:lang w:eastAsia="zh-CN"/>
              </w:rPr>
              <w:t>轮胎直径≤560mm（因景区临水栏杆高度限制，该项为硬性条件）</w:t>
            </w:r>
          </w:p>
        </w:tc>
        <w:tc>
          <w:tcPr>
            <w:tcW w:w="1580" w:type="pct"/>
            <w:gridSpan w:val="2"/>
            <w:noWrap w:val="0"/>
            <w:vAlign w:val="center"/>
          </w:tcPr>
          <w:p w14:paraId="020DF1A2">
            <w:pPr>
              <w:spacing w:line="440" w:lineRule="exact"/>
              <w:jc w:val="center"/>
              <w:rPr>
                <w:rFonts w:hint="eastAsia" w:ascii="宋体" w:hAnsi="宋体" w:eastAsia="宋体" w:cs="宋体"/>
                <w:color w:val="auto"/>
                <w:sz w:val="22"/>
                <w:szCs w:val="22"/>
                <w:highlight w:val="none"/>
              </w:rPr>
            </w:pPr>
          </w:p>
        </w:tc>
      </w:tr>
      <w:tr w14:paraId="44AC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6" w:type="pct"/>
          <w:cantSplit/>
          <w:trHeight w:val="570" w:hRule="atLeast"/>
          <w:jc w:val="center"/>
        </w:trPr>
        <w:tc>
          <w:tcPr>
            <w:tcW w:w="368" w:type="pct"/>
            <w:gridSpan w:val="2"/>
            <w:shd w:val="clear" w:color="auto" w:fill="auto"/>
            <w:vAlign w:val="center"/>
          </w:tcPr>
          <w:p w14:paraId="3B38F7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8</w:t>
            </w:r>
          </w:p>
        </w:tc>
        <w:tc>
          <w:tcPr>
            <w:tcW w:w="856" w:type="pct"/>
            <w:gridSpan w:val="2"/>
            <w:shd w:val="clear" w:color="auto" w:fill="auto"/>
            <w:vAlign w:val="center"/>
          </w:tcPr>
          <w:p w14:paraId="6917033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其它要求</w:t>
            </w:r>
          </w:p>
        </w:tc>
        <w:tc>
          <w:tcPr>
            <w:tcW w:w="2187" w:type="pct"/>
            <w:gridSpan w:val="2"/>
            <w:shd w:val="clear" w:color="auto" w:fill="auto"/>
            <w:vAlign w:val="center"/>
          </w:tcPr>
          <w:p w14:paraId="34A4C79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1、需提供供货非公路用旅游观光车辆特种设备型式试验报告；2、</w:t>
            </w:r>
            <w:r>
              <w:rPr>
                <w:rFonts w:hint="eastAsia" w:ascii="宋体" w:hAnsi="宋体" w:eastAsia="宋体" w:cs="宋体"/>
                <w:color w:val="auto"/>
                <w:kern w:val="0"/>
                <w:sz w:val="21"/>
                <w:szCs w:val="21"/>
                <w:highlight w:val="none"/>
                <w:lang w:eastAsia="zh-CN"/>
              </w:rPr>
              <w:t>车子安装</w:t>
            </w:r>
            <w:r>
              <w:rPr>
                <w:rFonts w:hint="eastAsia" w:ascii="宋体" w:hAnsi="宋体" w:eastAsia="宋体" w:cs="宋体"/>
                <w:color w:val="auto"/>
                <w:kern w:val="0"/>
                <w:sz w:val="21"/>
                <w:szCs w:val="21"/>
                <w:highlight w:val="none"/>
                <w:lang w:val="en-US" w:eastAsia="zh-CN"/>
              </w:rPr>
              <w:t>14座轨道式雨帘（材质透明PVC，雨帘厚度0.6mm，（如有更好方案可双方另行协商），磁吸款或拉链款根据采购方需求决定）；3、</w:t>
            </w:r>
            <w:r>
              <w:rPr>
                <w:rFonts w:hint="eastAsia" w:ascii="宋体" w:hAnsi="宋体" w:eastAsia="宋体" w:cs="宋体"/>
                <w:color w:val="auto"/>
                <w:kern w:val="0"/>
                <w:sz w:val="21"/>
                <w:szCs w:val="21"/>
                <w:highlight w:val="none"/>
              </w:rPr>
              <w:t>车辆</w:t>
            </w:r>
            <w:r>
              <w:rPr>
                <w:rFonts w:hint="eastAsia" w:ascii="宋体" w:hAnsi="宋体" w:eastAsia="宋体" w:cs="宋体"/>
                <w:color w:val="auto"/>
                <w:kern w:val="0"/>
                <w:sz w:val="21"/>
                <w:szCs w:val="21"/>
                <w:highlight w:val="none"/>
                <w:lang w:eastAsia="zh-CN"/>
              </w:rPr>
              <w:t>驾驶位安装车载电风扇，并安装语音避让提醒喇叭、景区车载</w:t>
            </w:r>
            <w:r>
              <w:rPr>
                <w:rFonts w:hint="eastAsia" w:ascii="宋体" w:hAnsi="宋体" w:eastAsia="宋体" w:cs="宋体"/>
                <w:color w:val="auto"/>
                <w:kern w:val="0"/>
                <w:sz w:val="21"/>
                <w:szCs w:val="21"/>
                <w:highlight w:val="none"/>
              </w:rPr>
              <w:t>报</w:t>
            </w:r>
            <w:r>
              <w:rPr>
                <w:rFonts w:hint="eastAsia" w:ascii="宋体" w:hAnsi="宋体" w:eastAsia="宋体" w:cs="宋体"/>
                <w:color w:val="auto"/>
                <w:kern w:val="0"/>
                <w:sz w:val="21"/>
                <w:szCs w:val="21"/>
                <w:highlight w:val="none"/>
                <w:lang w:val="en-US" w:eastAsia="zh-CN"/>
              </w:rPr>
              <w:t>站</w:t>
            </w:r>
            <w:r>
              <w:rPr>
                <w:rFonts w:hint="eastAsia" w:ascii="宋体" w:hAnsi="宋体" w:eastAsia="宋体" w:cs="宋体"/>
                <w:color w:val="auto"/>
                <w:kern w:val="0"/>
                <w:sz w:val="21"/>
                <w:szCs w:val="21"/>
                <w:highlight w:val="none"/>
              </w:rPr>
              <w:t>器</w:t>
            </w:r>
            <w:r>
              <w:rPr>
                <w:rFonts w:hint="eastAsia" w:ascii="宋体" w:hAnsi="宋体" w:eastAsia="宋体" w:cs="宋体"/>
                <w:color w:val="auto"/>
                <w:kern w:val="0"/>
                <w:sz w:val="21"/>
                <w:szCs w:val="21"/>
                <w:highlight w:val="none"/>
                <w:lang w:eastAsia="zh-CN"/>
              </w:rPr>
              <w:t>（根据采购方需求）、</w:t>
            </w:r>
            <w:r>
              <w:rPr>
                <w:rFonts w:hint="eastAsia" w:ascii="宋体" w:hAnsi="宋体" w:eastAsia="宋体" w:cs="宋体"/>
                <w:color w:val="auto"/>
                <w:kern w:val="0"/>
                <w:sz w:val="21"/>
                <w:szCs w:val="21"/>
                <w:highlight w:val="none"/>
                <w:lang w:val="en-US" w:eastAsia="zh-CN"/>
              </w:rPr>
              <w:t>车载灭火器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可按采购方要求加装行车记录仪、监控等景区观光车配件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甲供乙装或乙协助安装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、可按采购方要求定制车身外观颜色及LOGO标志。</w:t>
            </w:r>
          </w:p>
        </w:tc>
        <w:tc>
          <w:tcPr>
            <w:tcW w:w="1580" w:type="pct"/>
            <w:gridSpan w:val="2"/>
          </w:tcPr>
          <w:p w14:paraId="4D8FE236">
            <w:pPr>
              <w:spacing w:line="440" w:lineRule="exact"/>
              <w:jc w:val="center"/>
              <w:rPr>
                <w:rFonts w:hint="eastAsia" w:ascii="宋体" w:hAnsi="宋体" w:eastAsia="宋体" w:cs="宋体"/>
                <w:color w:val="auto"/>
                <w:sz w:val="22"/>
                <w:szCs w:val="22"/>
                <w:highlight w:val="none"/>
              </w:rPr>
            </w:pPr>
          </w:p>
        </w:tc>
      </w:tr>
      <w:tr w14:paraId="5F6BC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trHeight w:val="519" w:hRule="exact"/>
          <w:jc w:val="center"/>
        </w:trPr>
        <w:tc>
          <w:tcPr>
            <w:tcW w:w="3410" w:type="pct"/>
            <w:gridSpan w:val="6"/>
            <w:noWrap w:val="0"/>
            <w:vAlign w:val="center"/>
          </w:tcPr>
          <w:p w14:paraId="79D111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 6座高尔夫球车</w:t>
            </w:r>
            <w:r>
              <w:rPr>
                <w:rFonts w:hint="eastAsia" w:ascii="宋体" w:hAnsi="宋体" w:eastAsia="宋体" w:cs="宋体"/>
                <w:color w:val="auto"/>
                <w:sz w:val="21"/>
                <w:szCs w:val="21"/>
                <w:highlight w:val="none"/>
              </w:rPr>
              <w:t>车辆品牌、产地</w:t>
            </w:r>
          </w:p>
        </w:tc>
        <w:tc>
          <w:tcPr>
            <w:tcW w:w="1580" w:type="pct"/>
            <w:gridSpan w:val="2"/>
            <w:noWrap w:val="0"/>
            <w:vAlign w:val="center"/>
          </w:tcPr>
          <w:p w14:paraId="442171FB">
            <w:pPr>
              <w:spacing w:line="440" w:lineRule="exact"/>
              <w:jc w:val="center"/>
              <w:rPr>
                <w:rFonts w:hint="eastAsia" w:ascii="宋体" w:hAnsi="宋体" w:eastAsia="宋体" w:cs="宋体"/>
                <w:color w:val="auto"/>
                <w:sz w:val="22"/>
                <w:szCs w:val="22"/>
                <w:highlight w:val="none"/>
              </w:rPr>
            </w:pPr>
          </w:p>
        </w:tc>
      </w:tr>
      <w:tr w14:paraId="487CB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trHeight w:val="519" w:hRule="exact"/>
          <w:jc w:val="center"/>
        </w:trPr>
        <w:tc>
          <w:tcPr>
            <w:tcW w:w="3410" w:type="pct"/>
            <w:gridSpan w:val="6"/>
            <w:noWrap w:val="0"/>
            <w:vAlign w:val="center"/>
          </w:tcPr>
          <w:p w14:paraId="5D628D3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 6座高尔夫球车</w:t>
            </w:r>
            <w:r>
              <w:rPr>
                <w:rFonts w:hint="eastAsia" w:ascii="宋体" w:hAnsi="宋体" w:eastAsia="宋体" w:cs="宋体"/>
                <w:color w:val="auto"/>
                <w:sz w:val="21"/>
                <w:szCs w:val="21"/>
                <w:highlight w:val="none"/>
              </w:rPr>
              <w:t>车辆型号</w:t>
            </w:r>
          </w:p>
        </w:tc>
        <w:tc>
          <w:tcPr>
            <w:tcW w:w="1580" w:type="pct"/>
            <w:gridSpan w:val="2"/>
            <w:noWrap w:val="0"/>
            <w:vAlign w:val="center"/>
          </w:tcPr>
          <w:p w14:paraId="0CB0F0F7">
            <w:pPr>
              <w:spacing w:line="440" w:lineRule="exact"/>
              <w:jc w:val="center"/>
              <w:rPr>
                <w:rFonts w:hint="eastAsia" w:ascii="宋体" w:hAnsi="宋体" w:eastAsia="宋体" w:cs="宋体"/>
                <w:color w:val="auto"/>
                <w:sz w:val="22"/>
                <w:szCs w:val="22"/>
                <w:highlight w:val="none"/>
              </w:rPr>
            </w:pPr>
          </w:p>
        </w:tc>
      </w:tr>
      <w:tr w14:paraId="1BA1E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90" w:hRule="atLeast"/>
          <w:jc w:val="center"/>
        </w:trPr>
        <w:tc>
          <w:tcPr>
            <w:tcW w:w="366" w:type="pct"/>
            <w:gridSpan w:val="2"/>
            <w:shd w:val="clear" w:color="auto" w:fill="auto"/>
            <w:noWrap w:val="0"/>
            <w:vAlign w:val="center"/>
          </w:tcPr>
          <w:p w14:paraId="76D3959E">
            <w:pPr>
              <w:keepNext w:val="0"/>
              <w:keepLines w:val="0"/>
              <w:pageBreakBefore w:val="0"/>
              <w:widowControl/>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p>
        </w:tc>
        <w:tc>
          <w:tcPr>
            <w:tcW w:w="856" w:type="pct"/>
            <w:gridSpan w:val="2"/>
            <w:shd w:val="clear" w:color="auto" w:fill="auto"/>
            <w:noWrap w:val="0"/>
            <w:vAlign w:val="center"/>
          </w:tcPr>
          <w:p w14:paraId="4B88BCB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kern w:val="0"/>
                <w:sz w:val="21"/>
                <w:szCs w:val="21"/>
                <w:highlight w:val="none"/>
                <w:u w:val="single"/>
              </w:rPr>
              <w:t>额定载客量（包括司机）</w:t>
            </w:r>
          </w:p>
        </w:tc>
        <w:tc>
          <w:tcPr>
            <w:tcW w:w="2187" w:type="pct"/>
            <w:gridSpan w:val="2"/>
            <w:shd w:val="clear" w:color="auto" w:fill="auto"/>
            <w:noWrap w:val="0"/>
            <w:vAlign w:val="center"/>
          </w:tcPr>
          <w:p w14:paraId="06C3DFA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kern w:val="0"/>
                <w:sz w:val="21"/>
                <w:szCs w:val="21"/>
                <w:highlight w:val="none"/>
                <w:u w:val="single"/>
                <w:lang w:val="en-US" w:eastAsia="zh-CN" w:bidi="ar-SA"/>
              </w:rPr>
            </w:pPr>
            <w:r>
              <w:rPr>
                <w:rFonts w:hint="eastAsia" w:ascii="宋体" w:hAnsi="宋体" w:eastAsia="宋体" w:cs="宋体"/>
                <w:b/>
                <w:bCs/>
                <w:color w:val="auto"/>
                <w:kern w:val="0"/>
                <w:sz w:val="21"/>
                <w:szCs w:val="21"/>
                <w:highlight w:val="none"/>
                <w:u w:val="single"/>
                <w:lang w:val="en-US" w:eastAsia="zh-CN"/>
              </w:rPr>
              <w:t>6</w:t>
            </w:r>
            <w:r>
              <w:rPr>
                <w:rFonts w:hint="eastAsia" w:ascii="宋体" w:hAnsi="宋体" w:eastAsia="宋体" w:cs="宋体"/>
                <w:b/>
                <w:bCs/>
                <w:color w:val="auto"/>
                <w:kern w:val="0"/>
                <w:sz w:val="21"/>
                <w:szCs w:val="21"/>
                <w:highlight w:val="none"/>
                <w:u w:val="single"/>
              </w:rPr>
              <w:t>人</w:t>
            </w:r>
          </w:p>
        </w:tc>
        <w:tc>
          <w:tcPr>
            <w:tcW w:w="1580" w:type="pct"/>
            <w:gridSpan w:val="2"/>
            <w:noWrap w:val="0"/>
            <w:vAlign w:val="center"/>
          </w:tcPr>
          <w:p w14:paraId="20503402">
            <w:pPr>
              <w:spacing w:line="440" w:lineRule="exact"/>
              <w:jc w:val="center"/>
              <w:rPr>
                <w:rFonts w:hint="eastAsia" w:ascii="宋体" w:hAnsi="宋体" w:eastAsia="宋体" w:cs="宋体"/>
                <w:color w:val="auto"/>
                <w:sz w:val="22"/>
                <w:szCs w:val="22"/>
                <w:highlight w:val="none"/>
              </w:rPr>
            </w:pPr>
          </w:p>
        </w:tc>
      </w:tr>
      <w:tr w14:paraId="5DC7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70" w:hRule="atLeast"/>
          <w:jc w:val="center"/>
        </w:trPr>
        <w:tc>
          <w:tcPr>
            <w:tcW w:w="366" w:type="pct"/>
            <w:gridSpan w:val="2"/>
            <w:shd w:val="clear" w:color="auto" w:fill="auto"/>
            <w:noWrap w:val="0"/>
            <w:vAlign w:val="center"/>
          </w:tcPr>
          <w:p w14:paraId="2F32CA44">
            <w:pPr>
              <w:keepNext w:val="0"/>
              <w:keepLines w:val="0"/>
              <w:pageBreakBefore w:val="0"/>
              <w:widowControl/>
              <w:kinsoku/>
              <w:wordWrap/>
              <w:overflowPunct/>
              <w:topLinePunct w:val="0"/>
              <w:autoSpaceDE/>
              <w:autoSpaceDN/>
              <w:bidi w:val="0"/>
              <w:adjustRightInd/>
              <w:snapToGrid/>
              <w:spacing w:line="300" w:lineRule="exact"/>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856" w:type="pct"/>
            <w:gridSpan w:val="2"/>
            <w:shd w:val="clear" w:color="auto" w:fill="auto"/>
            <w:noWrap w:val="0"/>
            <w:vAlign w:val="center"/>
          </w:tcPr>
          <w:p w14:paraId="547DBF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车身尺寸（长×宽×高</w:t>
            </w:r>
          </w:p>
        </w:tc>
        <w:tc>
          <w:tcPr>
            <w:tcW w:w="2187" w:type="pct"/>
            <w:gridSpan w:val="2"/>
            <w:shd w:val="clear" w:color="auto" w:fill="auto"/>
            <w:noWrap w:val="0"/>
            <w:vAlign w:val="center"/>
          </w:tcPr>
          <w:p w14:paraId="399F3BD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700</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kern w:val="0"/>
                <w:sz w:val="21"/>
                <w:szCs w:val="21"/>
                <w:highlight w:val="none"/>
              </w:rPr>
              <w:t>mm（不包括后视镜）</w:t>
            </w:r>
          </w:p>
        </w:tc>
        <w:tc>
          <w:tcPr>
            <w:tcW w:w="1580" w:type="pct"/>
            <w:gridSpan w:val="2"/>
            <w:noWrap w:val="0"/>
            <w:vAlign w:val="center"/>
          </w:tcPr>
          <w:p w14:paraId="09636F04">
            <w:pPr>
              <w:spacing w:line="440" w:lineRule="exact"/>
              <w:jc w:val="center"/>
              <w:rPr>
                <w:rFonts w:hint="eastAsia" w:ascii="宋体" w:hAnsi="宋体" w:eastAsia="宋体" w:cs="宋体"/>
                <w:color w:val="auto"/>
                <w:sz w:val="22"/>
                <w:szCs w:val="22"/>
                <w:highlight w:val="none"/>
              </w:rPr>
            </w:pPr>
          </w:p>
        </w:tc>
      </w:tr>
      <w:tr w14:paraId="0D71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20" w:hRule="atLeast"/>
          <w:jc w:val="center"/>
        </w:trPr>
        <w:tc>
          <w:tcPr>
            <w:tcW w:w="366" w:type="pct"/>
            <w:gridSpan w:val="2"/>
            <w:shd w:val="clear" w:color="auto" w:fill="auto"/>
            <w:noWrap w:val="0"/>
            <w:vAlign w:val="center"/>
          </w:tcPr>
          <w:p w14:paraId="118CB41C">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856" w:type="pct"/>
            <w:gridSpan w:val="2"/>
            <w:shd w:val="clear" w:color="auto" w:fill="auto"/>
            <w:noWrap w:val="0"/>
            <w:vAlign w:val="center"/>
          </w:tcPr>
          <w:p w14:paraId="4F02F71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轴距</w:t>
            </w:r>
          </w:p>
        </w:tc>
        <w:tc>
          <w:tcPr>
            <w:tcW w:w="2187" w:type="pct"/>
            <w:gridSpan w:val="2"/>
            <w:shd w:val="clear" w:color="auto" w:fill="auto"/>
            <w:noWrap w:val="0"/>
            <w:vAlign w:val="center"/>
          </w:tcPr>
          <w:p w14:paraId="2137ED0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rPr>
              <w:t>0mm</w:t>
            </w:r>
          </w:p>
        </w:tc>
        <w:tc>
          <w:tcPr>
            <w:tcW w:w="1580" w:type="pct"/>
            <w:gridSpan w:val="2"/>
            <w:noWrap w:val="0"/>
            <w:vAlign w:val="center"/>
          </w:tcPr>
          <w:p w14:paraId="47598FFA">
            <w:pPr>
              <w:spacing w:line="440" w:lineRule="exact"/>
              <w:jc w:val="center"/>
              <w:rPr>
                <w:rFonts w:hint="eastAsia" w:ascii="宋体" w:hAnsi="宋体" w:eastAsia="宋体" w:cs="宋体"/>
                <w:color w:val="auto"/>
                <w:sz w:val="22"/>
                <w:szCs w:val="22"/>
                <w:highlight w:val="none"/>
              </w:rPr>
            </w:pPr>
          </w:p>
        </w:tc>
      </w:tr>
      <w:tr w14:paraId="5EAD3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09AC33E1">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856" w:type="pct"/>
            <w:gridSpan w:val="2"/>
            <w:shd w:val="clear" w:color="auto" w:fill="auto"/>
            <w:noWrap w:val="0"/>
            <w:vAlign w:val="center"/>
          </w:tcPr>
          <w:p w14:paraId="5A2B85E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最小转弯半径</w:t>
            </w:r>
          </w:p>
        </w:tc>
        <w:tc>
          <w:tcPr>
            <w:tcW w:w="2187" w:type="pct"/>
            <w:gridSpan w:val="2"/>
            <w:shd w:val="clear" w:color="auto" w:fill="auto"/>
            <w:noWrap w:val="0"/>
            <w:vAlign w:val="center"/>
          </w:tcPr>
          <w:p w14:paraId="49F802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≤6m</w:t>
            </w:r>
          </w:p>
        </w:tc>
        <w:tc>
          <w:tcPr>
            <w:tcW w:w="1580" w:type="pct"/>
            <w:gridSpan w:val="2"/>
            <w:noWrap w:val="0"/>
            <w:vAlign w:val="center"/>
          </w:tcPr>
          <w:p w14:paraId="711B57E2">
            <w:pPr>
              <w:spacing w:line="440" w:lineRule="exact"/>
              <w:jc w:val="center"/>
              <w:rPr>
                <w:rFonts w:hint="eastAsia" w:ascii="宋体" w:hAnsi="宋体" w:eastAsia="宋体" w:cs="宋体"/>
                <w:color w:val="auto"/>
                <w:sz w:val="22"/>
                <w:szCs w:val="22"/>
                <w:highlight w:val="none"/>
              </w:rPr>
            </w:pPr>
          </w:p>
        </w:tc>
      </w:tr>
      <w:tr w14:paraId="36240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04" w:hRule="atLeast"/>
          <w:jc w:val="center"/>
        </w:trPr>
        <w:tc>
          <w:tcPr>
            <w:tcW w:w="366" w:type="pct"/>
            <w:gridSpan w:val="2"/>
            <w:shd w:val="clear" w:color="auto" w:fill="auto"/>
            <w:noWrap w:val="0"/>
            <w:vAlign w:val="center"/>
          </w:tcPr>
          <w:p w14:paraId="0B077039">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856" w:type="pct"/>
            <w:gridSpan w:val="2"/>
            <w:shd w:val="clear" w:color="auto" w:fill="auto"/>
            <w:noWrap w:val="0"/>
            <w:vAlign w:val="center"/>
          </w:tcPr>
          <w:p w14:paraId="70193DA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最小离地间隙（满载）</w:t>
            </w:r>
          </w:p>
        </w:tc>
        <w:tc>
          <w:tcPr>
            <w:tcW w:w="2187" w:type="pct"/>
            <w:gridSpan w:val="2"/>
            <w:shd w:val="clear" w:color="auto" w:fill="auto"/>
            <w:noWrap w:val="0"/>
            <w:vAlign w:val="center"/>
          </w:tcPr>
          <w:p w14:paraId="43D2A5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120</w:t>
            </w:r>
            <w:r>
              <w:rPr>
                <w:rFonts w:hint="eastAsia" w:ascii="宋体" w:hAnsi="宋体" w:eastAsia="宋体" w:cs="宋体"/>
                <w:color w:val="auto"/>
                <w:kern w:val="0"/>
                <w:sz w:val="21"/>
                <w:szCs w:val="21"/>
                <w:highlight w:val="none"/>
              </w:rPr>
              <w:t>mm</w:t>
            </w:r>
          </w:p>
        </w:tc>
        <w:tc>
          <w:tcPr>
            <w:tcW w:w="1580" w:type="pct"/>
            <w:gridSpan w:val="2"/>
            <w:noWrap w:val="0"/>
            <w:vAlign w:val="center"/>
          </w:tcPr>
          <w:p w14:paraId="2D6F2E64">
            <w:pPr>
              <w:spacing w:line="440" w:lineRule="exact"/>
              <w:jc w:val="center"/>
              <w:rPr>
                <w:rFonts w:hint="eastAsia" w:ascii="宋体" w:hAnsi="宋体" w:eastAsia="宋体" w:cs="宋体"/>
                <w:color w:val="auto"/>
                <w:sz w:val="22"/>
                <w:szCs w:val="22"/>
                <w:highlight w:val="none"/>
              </w:rPr>
            </w:pPr>
          </w:p>
        </w:tc>
      </w:tr>
      <w:tr w14:paraId="3AE19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10" w:hRule="atLeast"/>
          <w:jc w:val="center"/>
        </w:trPr>
        <w:tc>
          <w:tcPr>
            <w:tcW w:w="366" w:type="pct"/>
            <w:gridSpan w:val="2"/>
            <w:shd w:val="clear" w:color="auto" w:fill="auto"/>
            <w:noWrap w:val="0"/>
            <w:vAlign w:val="center"/>
          </w:tcPr>
          <w:p w14:paraId="1247CD1B">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856" w:type="pct"/>
            <w:gridSpan w:val="2"/>
            <w:shd w:val="clear" w:color="auto" w:fill="auto"/>
            <w:noWrap w:val="0"/>
            <w:vAlign w:val="center"/>
          </w:tcPr>
          <w:p w14:paraId="0EF1380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最大爬坡度</w:t>
            </w:r>
          </w:p>
        </w:tc>
        <w:tc>
          <w:tcPr>
            <w:tcW w:w="2187" w:type="pct"/>
            <w:gridSpan w:val="2"/>
            <w:shd w:val="clear" w:color="auto" w:fill="auto"/>
            <w:noWrap w:val="0"/>
            <w:vAlign w:val="center"/>
          </w:tcPr>
          <w:p w14:paraId="6196BB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p>
        </w:tc>
        <w:tc>
          <w:tcPr>
            <w:tcW w:w="1580" w:type="pct"/>
            <w:gridSpan w:val="2"/>
            <w:noWrap w:val="0"/>
            <w:vAlign w:val="center"/>
          </w:tcPr>
          <w:p w14:paraId="077734A3">
            <w:pPr>
              <w:spacing w:line="440" w:lineRule="exact"/>
              <w:jc w:val="center"/>
              <w:rPr>
                <w:rFonts w:hint="eastAsia" w:ascii="宋体" w:hAnsi="宋体" w:eastAsia="宋体" w:cs="宋体"/>
                <w:color w:val="auto"/>
                <w:sz w:val="22"/>
                <w:szCs w:val="22"/>
                <w:highlight w:val="none"/>
              </w:rPr>
            </w:pPr>
          </w:p>
        </w:tc>
      </w:tr>
      <w:tr w14:paraId="4EE79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16" w:hRule="atLeast"/>
          <w:jc w:val="center"/>
        </w:trPr>
        <w:tc>
          <w:tcPr>
            <w:tcW w:w="366" w:type="pct"/>
            <w:gridSpan w:val="2"/>
            <w:shd w:val="clear" w:color="auto" w:fill="auto"/>
            <w:noWrap w:val="0"/>
            <w:vAlign w:val="center"/>
          </w:tcPr>
          <w:p w14:paraId="59781111">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7</w:t>
            </w:r>
          </w:p>
        </w:tc>
        <w:tc>
          <w:tcPr>
            <w:tcW w:w="856" w:type="pct"/>
            <w:gridSpan w:val="2"/>
            <w:shd w:val="clear" w:color="auto" w:fill="auto"/>
            <w:noWrap w:val="0"/>
            <w:vAlign w:val="center"/>
          </w:tcPr>
          <w:p w14:paraId="683400B1">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最大运行速度</w:t>
            </w:r>
          </w:p>
        </w:tc>
        <w:tc>
          <w:tcPr>
            <w:tcW w:w="2187" w:type="pct"/>
            <w:gridSpan w:val="2"/>
            <w:shd w:val="clear" w:color="auto" w:fill="auto"/>
            <w:noWrap w:val="0"/>
            <w:vAlign w:val="center"/>
          </w:tcPr>
          <w:p w14:paraId="0DF9599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20-25km/h</w:t>
            </w:r>
          </w:p>
        </w:tc>
        <w:tc>
          <w:tcPr>
            <w:tcW w:w="1580" w:type="pct"/>
            <w:gridSpan w:val="2"/>
            <w:noWrap w:val="0"/>
            <w:vAlign w:val="center"/>
          </w:tcPr>
          <w:p w14:paraId="6A1AF4DB">
            <w:pPr>
              <w:spacing w:line="440" w:lineRule="exact"/>
              <w:jc w:val="center"/>
              <w:rPr>
                <w:rFonts w:hint="eastAsia" w:ascii="宋体" w:hAnsi="宋体" w:eastAsia="宋体" w:cs="宋体"/>
                <w:color w:val="auto"/>
                <w:sz w:val="22"/>
                <w:szCs w:val="22"/>
                <w:highlight w:val="none"/>
              </w:rPr>
            </w:pPr>
          </w:p>
        </w:tc>
      </w:tr>
      <w:tr w14:paraId="03312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395" w:hRule="atLeast"/>
          <w:jc w:val="center"/>
        </w:trPr>
        <w:tc>
          <w:tcPr>
            <w:tcW w:w="366" w:type="pct"/>
            <w:gridSpan w:val="2"/>
            <w:shd w:val="clear" w:color="auto" w:fill="auto"/>
            <w:noWrap w:val="0"/>
            <w:vAlign w:val="center"/>
          </w:tcPr>
          <w:p w14:paraId="40D877AC">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856" w:type="pct"/>
            <w:gridSpan w:val="2"/>
            <w:shd w:val="clear" w:color="auto" w:fill="auto"/>
            <w:noWrap w:val="0"/>
            <w:vAlign w:val="center"/>
          </w:tcPr>
          <w:p w14:paraId="357ED7E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制动距离</w:t>
            </w:r>
          </w:p>
        </w:tc>
        <w:tc>
          <w:tcPr>
            <w:tcW w:w="2187" w:type="pct"/>
            <w:gridSpan w:val="2"/>
            <w:shd w:val="clear" w:color="auto" w:fill="auto"/>
            <w:noWrap w:val="0"/>
            <w:vAlign w:val="center"/>
          </w:tcPr>
          <w:p w14:paraId="632D88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m</w:t>
            </w:r>
          </w:p>
        </w:tc>
        <w:tc>
          <w:tcPr>
            <w:tcW w:w="1580" w:type="pct"/>
            <w:gridSpan w:val="2"/>
            <w:noWrap w:val="0"/>
            <w:vAlign w:val="center"/>
          </w:tcPr>
          <w:p w14:paraId="0946F9B0">
            <w:pPr>
              <w:spacing w:line="440" w:lineRule="exact"/>
              <w:jc w:val="center"/>
              <w:rPr>
                <w:rFonts w:hint="eastAsia" w:ascii="宋体" w:hAnsi="宋体" w:eastAsia="宋体" w:cs="宋体"/>
                <w:color w:val="auto"/>
                <w:sz w:val="22"/>
                <w:szCs w:val="22"/>
                <w:highlight w:val="none"/>
              </w:rPr>
            </w:pPr>
          </w:p>
        </w:tc>
      </w:tr>
      <w:tr w14:paraId="4113C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28" w:hRule="atLeast"/>
          <w:jc w:val="center"/>
        </w:trPr>
        <w:tc>
          <w:tcPr>
            <w:tcW w:w="366" w:type="pct"/>
            <w:gridSpan w:val="2"/>
            <w:shd w:val="clear" w:color="auto" w:fill="auto"/>
            <w:noWrap w:val="0"/>
            <w:vAlign w:val="center"/>
          </w:tcPr>
          <w:p w14:paraId="4661416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w:t>
            </w:r>
          </w:p>
        </w:tc>
        <w:tc>
          <w:tcPr>
            <w:tcW w:w="856" w:type="pct"/>
            <w:gridSpan w:val="2"/>
            <w:shd w:val="clear" w:color="auto" w:fill="auto"/>
            <w:noWrap w:val="0"/>
            <w:vAlign w:val="center"/>
          </w:tcPr>
          <w:p w14:paraId="248F128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电机、电机功率</w:t>
            </w:r>
          </w:p>
        </w:tc>
        <w:tc>
          <w:tcPr>
            <w:tcW w:w="2187" w:type="pct"/>
            <w:gridSpan w:val="2"/>
            <w:shd w:val="clear" w:color="auto" w:fill="auto"/>
            <w:noWrap w:val="0"/>
            <w:vAlign w:val="center"/>
          </w:tcPr>
          <w:p w14:paraId="6DBB001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交流电机，功率≥4KW。</w:t>
            </w:r>
          </w:p>
        </w:tc>
        <w:tc>
          <w:tcPr>
            <w:tcW w:w="1580" w:type="pct"/>
            <w:gridSpan w:val="2"/>
            <w:noWrap w:val="0"/>
            <w:vAlign w:val="center"/>
          </w:tcPr>
          <w:p w14:paraId="51910858">
            <w:pPr>
              <w:spacing w:line="440" w:lineRule="exact"/>
              <w:jc w:val="center"/>
              <w:rPr>
                <w:rFonts w:hint="eastAsia" w:ascii="宋体" w:hAnsi="宋体" w:eastAsia="宋体" w:cs="宋体"/>
                <w:color w:val="auto"/>
                <w:sz w:val="22"/>
                <w:szCs w:val="22"/>
                <w:highlight w:val="none"/>
              </w:rPr>
            </w:pPr>
          </w:p>
        </w:tc>
      </w:tr>
      <w:tr w14:paraId="1EF24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392" w:hRule="atLeast"/>
          <w:jc w:val="center"/>
        </w:trPr>
        <w:tc>
          <w:tcPr>
            <w:tcW w:w="366" w:type="pct"/>
            <w:gridSpan w:val="2"/>
            <w:shd w:val="clear" w:color="auto" w:fill="auto"/>
            <w:noWrap w:val="0"/>
            <w:vAlign w:val="center"/>
          </w:tcPr>
          <w:p w14:paraId="28E54BD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10</w:t>
            </w:r>
          </w:p>
        </w:tc>
        <w:tc>
          <w:tcPr>
            <w:tcW w:w="856" w:type="pct"/>
            <w:gridSpan w:val="2"/>
            <w:shd w:val="clear" w:color="auto" w:fill="auto"/>
            <w:noWrap w:val="0"/>
            <w:vAlign w:val="center"/>
          </w:tcPr>
          <w:p w14:paraId="483CA44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续驶里程</w:t>
            </w:r>
          </w:p>
        </w:tc>
        <w:tc>
          <w:tcPr>
            <w:tcW w:w="2187" w:type="pct"/>
            <w:gridSpan w:val="2"/>
            <w:shd w:val="clear" w:color="auto" w:fill="auto"/>
            <w:noWrap w:val="0"/>
            <w:vAlign w:val="center"/>
          </w:tcPr>
          <w:p w14:paraId="4EF7C8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80</w:t>
            </w:r>
            <w:r>
              <w:rPr>
                <w:rFonts w:hint="eastAsia" w:ascii="宋体" w:hAnsi="宋体" w:eastAsia="宋体" w:cs="宋体"/>
                <w:color w:val="auto"/>
                <w:kern w:val="0"/>
                <w:sz w:val="21"/>
                <w:szCs w:val="21"/>
                <w:highlight w:val="none"/>
              </w:rPr>
              <w:t>KM</w:t>
            </w:r>
          </w:p>
        </w:tc>
        <w:tc>
          <w:tcPr>
            <w:tcW w:w="1580" w:type="pct"/>
            <w:gridSpan w:val="2"/>
            <w:noWrap w:val="0"/>
            <w:vAlign w:val="center"/>
          </w:tcPr>
          <w:p w14:paraId="4AB94FF9">
            <w:pPr>
              <w:spacing w:line="440" w:lineRule="exact"/>
              <w:jc w:val="center"/>
              <w:rPr>
                <w:rFonts w:hint="eastAsia" w:ascii="宋体" w:hAnsi="宋体" w:eastAsia="宋体" w:cs="宋体"/>
                <w:color w:val="auto"/>
                <w:sz w:val="22"/>
                <w:szCs w:val="22"/>
                <w:highlight w:val="none"/>
              </w:rPr>
            </w:pPr>
          </w:p>
        </w:tc>
      </w:tr>
      <w:tr w14:paraId="52E24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15F5468F">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11</w:t>
            </w:r>
          </w:p>
        </w:tc>
        <w:tc>
          <w:tcPr>
            <w:tcW w:w="856" w:type="pct"/>
            <w:gridSpan w:val="2"/>
            <w:shd w:val="clear" w:color="auto" w:fill="auto"/>
            <w:noWrap w:val="0"/>
            <w:vAlign w:val="center"/>
          </w:tcPr>
          <w:p w14:paraId="3EF9511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整车重量（含电池）</w:t>
            </w:r>
          </w:p>
        </w:tc>
        <w:tc>
          <w:tcPr>
            <w:tcW w:w="2187" w:type="pct"/>
            <w:gridSpan w:val="2"/>
            <w:shd w:val="clear" w:color="auto" w:fill="auto"/>
            <w:noWrap w:val="0"/>
            <w:vAlign w:val="center"/>
          </w:tcPr>
          <w:p w14:paraId="73C1D2D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sz w:val="21"/>
                <w:szCs w:val="21"/>
                <w:highlight w:val="none"/>
              </w:rPr>
              <w:t>650kg（±10%）</w:t>
            </w:r>
          </w:p>
        </w:tc>
        <w:tc>
          <w:tcPr>
            <w:tcW w:w="1580" w:type="pct"/>
            <w:gridSpan w:val="2"/>
            <w:noWrap w:val="0"/>
            <w:vAlign w:val="center"/>
          </w:tcPr>
          <w:p w14:paraId="642B8A45">
            <w:pPr>
              <w:spacing w:line="440" w:lineRule="exact"/>
              <w:jc w:val="center"/>
              <w:rPr>
                <w:rFonts w:hint="eastAsia" w:ascii="宋体" w:hAnsi="宋体" w:eastAsia="宋体" w:cs="宋体"/>
                <w:color w:val="auto"/>
                <w:sz w:val="22"/>
                <w:szCs w:val="22"/>
                <w:highlight w:val="none"/>
              </w:rPr>
            </w:pPr>
          </w:p>
        </w:tc>
      </w:tr>
      <w:tr w14:paraId="0708B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181E21E6">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rPr>
            </w:pPr>
          </w:p>
          <w:p w14:paraId="7380911C">
            <w:pPr>
              <w:keepNext w:val="0"/>
              <w:keepLines w:val="0"/>
              <w:pageBreakBefore w:val="0"/>
              <w:widowControl/>
              <w:kinsoku/>
              <w:wordWrap/>
              <w:overflowPunct/>
              <w:topLinePunct w:val="0"/>
              <w:autoSpaceDE/>
              <w:autoSpaceDN/>
              <w:bidi w:val="0"/>
              <w:adjustRightInd/>
              <w:snapToGrid/>
              <w:spacing w:line="360" w:lineRule="auto"/>
              <w:ind w:left="425" w:hanging="425"/>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2</w:t>
            </w:r>
          </w:p>
          <w:p w14:paraId="0F8CDF4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p>
        </w:tc>
        <w:tc>
          <w:tcPr>
            <w:tcW w:w="856" w:type="pct"/>
            <w:gridSpan w:val="2"/>
            <w:shd w:val="clear" w:color="auto" w:fill="auto"/>
            <w:noWrap w:val="0"/>
            <w:vAlign w:val="center"/>
          </w:tcPr>
          <w:p w14:paraId="751272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车身材质</w:t>
            </w:r>
          </w:p>
        </w:tc>
        <w:tc>
          <w:tcPr>
            <w:tcW w:w="2187" w:type="pct"/>
            <w:gridSpan w:val="2"/>
            <w:shd w:val="clear" w:color="auto" w:fill="auto"/>
            <w:noWrap w:val="0"/>
            <w:vAlign w:val="center"/>
          </w:tcPr>
          <w:p w14:paraId="5AEC43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顶棚：</w:t>
            </w:r>
            <w:r>
              <w:rPr>
                <w:rFonts w:hint="eastAsia" w:ascii="宋体" w:hAnsi="宋体" w:eastAsia="宋体" w:cs="宋体"/>
                <w:color w:val="auto"/>
                <w:kern w:val="0"/>
                <w:sz w:val="21"/>
                <w:szCs w:val="21"/>
                <w:highlight w:val="none"/>
                <w:lang w:eastAsia="zh-CN"/>
              </w:rPr>
              <w:t>一体式注</w:t>
            </w:r>
            <w:r>
              <w:rPr>
                <w:rFonts w:hint="eastAsia" w:ascii="宋体" w:hAnsi="宋体" w:eastAsia="宋体" w:cs="宋体"/>
                <w:color w:val="auto"/>
                <w:kern w:val="0"/>
                <w:sz w:val="21"/>
                <w:szCs w:val="21"/>
                <w:highlight w:val="none"/>
              </w:rPr>
              <w:t>塑</w:t>
            </w:r>
            <w:r>
              <w:rPr>
                <w:rFonts w:hint="eastAsia" w:ascii="宋体" w:hAnsi="宋体" w:eastAsia="宋体" w:cs="宋体"/>
                <w:color w:val="auto"/>
                <w:kern w:val="0"/>
                <w:sz w:val="21"/>
                <w:szCs w:val="21"/>
                <w:highlight w:val="none"/>
                <w:lang w:eastAsia="zh-CN"/>
              </w:rPr>
              <w:t>顶棚</w:t>
            </w:r>
            <w:r>
              <w:rPr>
                <w:rFonts w:hint="eastAsia" w:ascii="宋体" w:hAnsi="宋体" w:eastAsia="宋体" w:cs="宋体"/>
                <w:color w:val="auto"/>
                <w:kern w:val="0"/>
                <w:sz w:val="21"/>
                <w:szCs w:val="21"/>
                <w:highlight w:val="none"/>
              </w:rPr>
              <w:t>。</w:t>
            </w:r>
          </w:p>
          <w:p w14:paraId="55E16B5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车身：敞开式结构，</w:t>
            </w:r>
            <w:r>
              <w:rPr>
                <w:rFonts w:hint="eastAsia" w:ascii="宋体" w:hAnsi="宋体" w:eastAsia="宋体" w:cs="宋体"/>
                <w:color w:val="auto"/>
                <w:sz w:val="21"/>
                <w:szCs w:val="21"/>
                <w:highlight w:val="none"/>
              </w:rPr>
              <w:t>采用</w:t>
            </w:r>
            <w:r>
              <w:rPr>
                <w:rFonts w:hint="eastAsia" w:ascii="宋体" w:hAnsi="宋体" w:eastAsia="宋体" w:cs="宋体"/>
                <w:color w:val="auto"/>
                <w:sz w:val="21"/>
                <w:szCs w:val="21"/>
                <w:highlight w:val="none"/>
                <w:lang w:eastAsia="zh-CN"/>
              </w:rPr>
              <w:t>注塑</w:t>
            </w:r>
            <w:r>
              <w:rPr>
                <w:rFonts w:hint="eastAsia" w:ascii="宋体" w:hAnsi="宋体" w:eastAsia="宋体" w:cs="宋体"/>
                <w:color w:val="auto"/>
                <w:kern w:val="0"/>
                <w:sz w:val="21"/>
                <w:szCs w:val="21"/>
                <w:highlight w:val="none"/>
              </w:rPr>
              <w:t>车身材质</w:t>
            </w:r>
            <w:r>
              <w:rPr>
                <w:rFonts w:hint="eastAsia" w:ascii="宋体" w:hAnsi="宋体" w:eastAsia="宋体" w:cs="宋体"/>
                <w:color w:val="auto"/>
                <w:kern w:val="0"/>
                <w:sz w:val="21"/>
                <w:szCs w:val="21"/>
                <w:highlight w:val="none"/>
                <w:lang w:eastAsia="zh-CN"/>
              </w:rPr>
              <w:t>。</w:t>
            </w:r>
          </w:p>
        </w:tc>
        <w:tc>
          <w:tcPr>
            <w:tcW w:w="1580" w:type="pct"/>
            <w:gridSpan w:val="2"/>
            <w:noWrap w:val="0"/>
            <w:vAlign w:val="center"/>
          </w:tcPr>
          <w:p w14:paraId="768E3B09">
            <w:pPr>
              <w:spacing w:line="440" w:lineRule="exact"/>
              <w:jc w:val="center"/>
              <w:rPr>
                <w:rFonts w:hint="eastAsia" w:ascii="宋体" w:hAnsi="宋体" w:eastAsia="宋体" w:cs="宋体"/>
                <w:color w:val="auto"/>
                <w:sz w:val="22"/>
                <w:szCs w:val="22"/>
                <w:highlight w:val="none"/>
              </w:rPr>
            </w:pPr>
          </w:p>
        </w:tc>
      </w:tr>
      <w:tr w14:paraId="283BA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38" w:hRule="atLeast"/>
          <w:jc w:val="center"/>
        </w:trPr>
        <w:tc>
          <w:tcPr>
            <w:tcW w:w="366"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26805901">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3</w:t>
            </w:r>
          </w:p>
        </w:tc>
        <w:tc>
          <w:tcPr>
            <w:tcW w:w="856"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3CF2D0F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车架底盘</w:t>
            </w:r>
          </w:p>
        </w:tc>
        <w:tc>
          <w:tcPr>
            <w:tcW w:w="2187"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24D2E9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高强度钢材焊接成型的车架底盘，并做电泳防锈防腐烤漆处理</w:t>
            </w:r>
            <w:r>
              <w:rPr>
                <w:rFonts w:hint="eastAsia" w:ascii="宋体" w:hAnsi="宋体" w:eastAsia="宋体" w:cs="宋体"/>
                <w:b/>
                <w:bCs/>
                <w:color w:val="auto"/>
                <w:kern w:val="0"/>
                <w:sz w:val="21"/>
                <w:szCs w:val="21"/>
                <w:highlight w:val="none"/>
              </w:rPr>
              <w:t>。</w:t>
            </w:r>
          </w:p>
        </w:tc>
        <w:tc>
          <w:tcPr>
            <w:tcW w:w="1580" w:type="pct"/>
            <w:gridSpan w:val="2"/>
            <w:tcBorders>
              <w:top w:val="single" w:color="auto" w:sz="6" w:space="0"/>
              <w:left w:val="single" w:color="auto" w:sz="6" w:space="0"/>
              <w:bottom w:val="single" w:color="auto" w:sz="6" w:space="0"/>
              <w:right w:val="single" w:color="auto" w:sz="6" w:space="0"/>
            </w:tcBorders>
            <w:noWrap w:val="0"/>
            <w:vAlign w:val="center"/>
          </w:tcPr>
          <w:p w14:paraId="1084A70F">
            <w:pPr>
              <w:spacing w:line="440" w:lineRule="exact"/>
              <w:jc w:val="center"/>
              <w:rPr>
                <w:rFonts w:hint="eastAsia" w:ascii="宋体" w:hAnsi="宋体" w:eastAsia="宋体" w:cs="宋体"/>
                <w:color w:val="auto"/>
                <w:sz w:val="22"/>
                <w:szCs w:val="22"/>
                <w:highlight w:val="none"/>
              </w:rPr>
            </w:pPr>
          </w:p>
        </w:tc>
      </w:tr>
      <w:tr w14:paraId="31F02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438" w:hRule="atLeast"/>
          <w:jc w:val="center"/>
        </w:trPr>
        <w:tc>
          <w:tcPr>
            <w:tcW w:w="366"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3795F63F">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p>
        </w:tc>
        <w:tc>
          <w:tcPr>
            <w:tcW w:w="856"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7C92C60B">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控制器</w:t>
            </w:r>
          </w:p>
        </w:tc>
        <w:tc>
          <w:tcPr>
            <w:tcW w:w="2187" w:type="pct"/>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14:paraId="64360C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rPr>
              <w:t>智能控制器，</w:t>
            </w:r>
            <w:r>
              <w:rPr>
                <w:rFonts w:hint="eastAsia" w:ascii="宋体" w:hAnsi="宋体" w:eastAsia="宋体" w:cs="宋体"/>
                <w:color w:val="auto"/>
                <w:kern w:val="0"/>
                <w:sz w:val="21"/>
                <w:szCs w:val="21"/>
                <w:highlight w:val="none"/>
              </w:rPr>
              <w:t>电机控制器防护等级不小于IP67</w:t>
            </w:r>
          </w:p>
        </w:tc>
        <w:tc>
          <w:tcPr>
            <w:tcW w:w="1580" w:type="pct"/>
            <w:gridSpan w:val="2"/>
            <w:tcBorders>
              <w:top w:val="single" w:color="auto" w:sz="6" w:space="0"/>
              <w:left w:val="single" w:color="auto" w:sz="6" w:space="0"/>
              <w:bottom w:val="single" w:color="auto" w:sz="6" w:space="0"/>
              <w:right w:val="single" w:color="auto" w:sz="6" w:space="0"/>
            </w:tcBorders>
            <w:noWrap w:val="0"/>
            <w:vAlign w:val="center"/>
          </w:tcPr>
          <w:p w14:paraId="08DB68C2">
            <w:pPr>
              <w:spacing w:line="440" w:lineRule="exact"/>
              <w:jc w:val="center"/>
              <w:rPr>
                <w:rFonts w:hint="eastAsia" w:ascii="宋体" w:hAnsi="宋体" w:eastAsia="宋体" w:cs="宋体"/>
                <w:color w:val="auto"/>
                <w:sz w:val="22"/>
                <w:szCs w:val="22"/>
                <w:highlight w:val="none"/>
              </w:rPr>
            </w:pPr>
          </w:p>
        </w:tc>
      </w:tr>
      <w:tr w14:paraId="56072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1DF7E4F1">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5</w:t>
            </w:r>
          </w:p>
        </w:tc>
        <w:tc>
          <w:tcPr>
            <w:tcW w:w="856" w:type="pct"/>
            <w:gridSpan w:val="2"/>
            <w:shd w:val="clear" w:color="auto" w:fill="auto"/>
            <w:noWrap w:val="0"/>
            <w:vAlign w:val="center"/>
          </w:tcPr>
          <w:p w14:paraId="13D913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电池</w:t>
            </w:r>
          </w:p>
        </w:tc>
        <w:tc>
          <w:tcPr>
            <w:tcW w:w="2187" w:type="pct"/>
            <w:gridSpan w:val="2"/>
            <w:shd w:val="clear" w:color="auto" w:fill="auto"/>
            <w:noWrap w:val="0"/>
            <w:vAlign w:val="center"/>
          </w:tcPr>
          <w:p w14:paraId="0680D4A7">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铅酸蓄电池</w:t>
            </w:r>
            <w:r>
              <w:rPr>
                <w:rFonts w:hint="eastAsia" w:ascii="宋体" w:hAnsi="宋体" w:eastAsia="宋体" w:cs="宋体"/>
                <w:color w:val="auto"/>
                <w:kern w:val="0"/>
                <w:sz w:val="21"/>
                <w:szCs w:val="21"/>
                <w:highlight w:val="none"/>
              </w:rPr>
              <w:t>容量≥48V</w:t>
            </w:r>
            <w:r>
              <w:rPr>
                <w:rFonts w:hint="eastAsia" w:ascii="宋体" w:hAnsi="宋体" w:eastAsia="宋体" w:cs="宋体"/>
                <w:color w:val="auto"/>
                <w:kern w:val="0"/>
                <w:sz w:val="21"/>
                <w:szCs w:val="21"/>
                <w:highlight w:val="none"/>
                <w:lang w:val="en-US" w:eastAsia="zh-CN"/>
              </w:rPr>
              <w:t>180</w:t>
            </w:r>
            <w:r>
              <w:rPr>
                <w:rFonts w:hint="eastAsia" w:ascii="宋体" w:hAnsi="宋体" w:eastAsia="宋体" w:cs="宋体"/>
                <w:color w:val="auto"/>
                <w:kern w:val="0"/>
                <w:sz w:val="21"/>
                <w:szCs w:val="21"/>
                <w:highlight w:val="none"/>
              </w:rPr>
              <w:t>AH</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sz w:val="21"/>
                <w:szCs w:val="21"/>
                <w:highlight w:val="none"/>
              </w:rPr>
              <w:t>具有电池智能损耗检测及警报系统功能</w:t>
            </w:r>
            <w:r>
              <w:rPr>
                <w:rStyle w:val="136"/>
                <w:rFonts w:hint="eastAsia" w:ascii="宋体" w:hAnsi="宋体" w:eastAsia="宋体" w:cs="宋体"/>
                <w:color w:val="auto"/>
                <w:sz w:val="21"/>
                <w:szCs w:val="21"/>
                <w:highlight w:val="none"/>
              </w:rPr>
              <w:t>。</w:t>
            </w:r>
          </w:p>
        </w:tc>
        <w:tc>
          <w:tcPr>
            <w:tcW w:w="1580" w:type="pct"/>
            <w:gridSpan w:val="2"/>
            <w:noWrap w:val="0"/>
            <w:vAlign w:val="center"/>
          </w:tcPr>
          <w:p w14:paraId="0F3405D8">
            <w:pPr>
              <w:spacing w:line="440" w:lineRule="exact"/>
              <w:jc w:val="center"/>
              <w:rPr>
                <w:rFonts w:hint="eastAsia" w:ascii="宋体" w:hAnsi="宋体" w:eastAsia="宋体" w:cs="宋体"/>
                <w:color w:val="auto"/>
                <w:sz w:val="22"/>
                <w:szCs w:val="22"/>
                <w:highlight w:val="none"/>
              </w:rPr>
            </w:pPr>
          </w:p>
        </w:tc>
      </w:tr>
      <w:tr w14:paraId="1A53F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2954FD05">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w:t>
            </w:r>
          </w:p>
        </w:tc>
        <w:tc>
          <w:tcPr>
            <w:tcW w:w="856" w:type="pct"/>
            <w:gridSpan w:val="2"/>
            <w:shd w:val="clear" w:color="auto" w:fill="auto"/>
            <w:noWrap w:val="0"/>
            <w:vAlign w:val="center"/>
          </w:tcPr>
          <w:p w14:paraId="32A9EA4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制动系统</w:t>
            </w:r>
          </w:p>
        </w:tc>
        <w:tc>
          <w:tcPr>
            <w:tcW w:w="2187" w:type="pct"/>
            <w:gridSpan w:val="2"/>
            <w:shd w:val="clear" w:color="auto" w:fill="auto"/>
            <w:noWrap w:val="0"/>
            <w:vAlign w:val="center"/>
          </w:tcPr>
          <w:p w14:paraId="685D9B7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脚踏式制动，后轮鼓刹，驻车系统。</w:t>
            </w:r>
          </w:p>
        </w:tc>
        <w:tc>
          <w:tcPr>
            <w:tcW w:w="1580" w:type="pct"/>
            <w:gridSpan w:val="2"/>
            <w:noWrap w:val="0"/>
            <w:vAlign w:val="center"/>
          </w:tcPr>
          <w:p w14:paraId="226C1D26">
            <w:pPr>
              <w:spacing w:line="440" w:lineRule="exact"/>
              <w:jc w:val="center"/>
              <w:rPr>
                <w:rFonts w:hint="eastAsia" w:ascii="宋体" w:hAnsi="宋体" w:eastAsia="宋体" w:cs="宋体"/>
                <w:color w:val="auto"/>
                <w:sz w:val="22"/>
                <w:szCs w:val="22"/>
                <w:highlight w:val="none"/>
              </w:rPr>
            </w:pPr>
          </w:p>
        </w:tc>
      </w:tr>
      <w:tr w14:paraId="13871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7BF5E461">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7</w:t>
            </w:r>
          </w:p>
        </w:tc>
        <w:tc>
          <w:tcPr>
            <w:tcW w:w="856" w:type="pct"/>
            <w:gridSpan w:val="2"/>
            <w:shd w:val="clear" w:color="auto" w:fill="auto"/>
            <w:noWrap w:val="0"/>
            <w:vAlign w:val="center"/>
          </w:tcPr>
          <w:p w14:paraId="0E1211F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转向系统</w:t>
            </w:r>
          </w:p>
        </w:tc>
        <w:tc>
          <w:tcPr>
            <w:tcW w:w="2187" w:type="pct"/>
            <w:gridSpan w:val="2"/>
            <w:shd w:val="clear" w:color="auto" w:fill="auto"/>
            <w:noWrap w:val="0"/>
            <w:vAlign w:val="center"/>
          </w:tcPr>
          <w:p w14:paraId="1D63F2B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双向齿轮齿条转向系统，带</w:t>
            </w:r>
            <w:r>
              <w:rPr>
                <w:rFonts w:hint="eastAsia" w:ascii="宋体" w:hAnsi="宋体" w:eastAsia="宋体" w:cs="宋体"/>
                <w:color w:val="auto"/>
                <w:kern w:val="0"/>
                <w:sz w:val="21"/>
                <w:szCs w:val="21"/>
                <w:highlight w:val="none"/>
                <w:lang w:eastAsia="en-US"/>
              </w:rPr>
              <w:t>自动间隙补偿功能</w:t>
            </w:r>
            <w:r>
              <w:rPr>
                <w:rFonts w:hint="eastAsia" w:ascii="宋体" w:hAnsi="宋体" w:eastAsia="宋体" w:cs="宋体"/>
                <w:color w:val="auto"/>
                <w:kern w:val="0"/>
                <w:sz w:val="21"/>
                <w:szCs w:val="21"/>
                <w:highlight w:val="none"/>
              </w:rPr>
              <w:t>。</w:t>
            </w:r>
          </w:p>
        </w:tc>
        <w:tc>
          <w:tcPr>
            <w:tcW w:w="1580" w:type="pct"/>
            <w:gridSpan w:val="2"/>
            <w:noWrap w:val="0"/>
            <w:vAlign w:val="center"/>
          </w:tcPr>
          <w:p w14:paraId="31ACB4A7">
            <w:pPr>
              <w:spacing w:line="440" w:lineRule="exact"/>
              <w:jc w:val="center"/>
              <w:rPr>
                <w:rFonts w:hint="eastAsia" w:ascii="宋体" w:hAnsi="宋体" w:eastAsia="宋体" w:cs="宋体"/>
                <w:color w:val="auto"/>
                <w:sz w:val="22"/>
                <w:szCs w:val="22"/>
                <w:highlight w:val="none"/>
              </w:rPr>
            </w:pPr>
          </w:p>
        </w:tc>
      </w:tr>
      <w:tr w14:paraId="1801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3E71C8B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8</w:t>
            </w:r>
          </w:p>
        </w:tc>
        <w:tc>
          <w:tcPr>
            <w:tcW w:w="856" w:type="pct"/>
            <w:gridSpan w:val="2"/>
            <w:shd w:val="clear" w:color="auto" w:fill="auto"/>
            <w:noWrap w:val="0"/>
            <w:vAlign w:val="center"/>
          </w:tcPr>
          <w:p w14:paraId="307FB60E">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rPr>
              <w:t>悬挂系统</w:t>
            </w:r>
          </w:p>
        </w:tc>
        <w:tc>
          <w:tcPr>
            <w:tcW w:w="2187" w:type="pct"/>
            <w:gridSpan w:val="2"/>
            <w:shd w:val="clear" w:color="auto" w:fill="auto"/>
            <w:noWrap w:val="0"/>
            <w:vAlign w:val="center"/>
          </w:tcPr>
          <w:p w14:paraId="640FCEE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麦弗逊独立悬挂</w:t>
            </w:r>
          </w:p>
        </w:tc>
        <w:tc>
          <w:tcPr>
            <w:tcW w:w="1580" w:type="pct"/>
            <w:gridSpan w:val="2"/>
            <w:noWrap w:val="0"/>
            <w:vAlign w:val="center"/>
          </w:tcPr>
          <w:p w14:paraId="0B778DC7">
            <w:pPr>
              <w:spacing w:line="440" w:lineRule="exact"/>
              <w:jc w:val="center"/>
              <w:rPr>
                <w:rFonts w:hint="eastAsia" w:ascii="宋体" w:hAnsi="宋体" w:eastAsia="宋体" w:cs="宋体"/>
                <w:color w:val="auto"/>
                <w:sz w:val="22"/>
                <w:szCs w:val="22"/>
                <w:highlight w:val="none"/>
              </w:rPr>
            </w:pPr>
          </w:p>
        </w:tc>
      </w:tr>
      <w:tr w14:paraId="0EFFA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72965E94">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9</w:t>
            </w:r>
          </w:p>
        </w:tc>
        <w:tc>
          <w:tcPr>
            <w:tcW w:w="856" w:type="pct"/>
            <w:gridSpan w:val="2"/>
            <w:shd w:val="clear" w:color="auto" w:fill="auto"/>
            <w:noWrap w:val="0"/>
            <w:vAlign w:val="center"/>
          </w:tcPr>
          <w:p w14:paraId="76A3D2A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后</w:t>
            </w:r>
            <w:r>
              <w:rPr>
                <w:rFonts w:hint="eastAsia" w:ascii="宋体" w:hAnsi="宋体" w:eastAsia="宋体" w:cs="宋体"/>
                <w:color w:val="auto"/>
                <w:kern w:val="0"/>
                <w:sz w:val="21"/>
                <w:szCs w:val="21"/>
                <w:highlight w:val="none"/>
              </w:rPr>
              <w:t>悬挂系统</w:t>
            </w:r>
          </w:p>
        </w:tc>
        <w:tc>
          <w:tcPr>
            <w:tcW w:w="2187" w:type="pct"/>
            <w:gridSpan w:val="2"/>
            <w:shd w:val="clear" w:color="auto" w:fill="auto"/>
            <w:noWrap w:val="0"/>
            <w:vAlign w:val="center"/>
          </w:tcPr>
          <w:p w14:paraId="2A42046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整体式后桥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筒式液压减震</w:t>
            </w:r>
          </w:p>
        </w:tc>
        <w:tc>
          <w:tcPr>
            <w:tcW w:w="1580" w:type="pct"/>
            <w:gridSpan w:val="2"/>
            <w:noWrap w:val="0"/>
            <w:vAlign w:val="center"/>
          </w:tcPr>
          <w:p w14:paraId="247F9CEF">
            <w:pPr>
              <w:spacing w:line="440" w:lineRule="exact"/>
              <w:jc w:val="center"/>
              <w:rPr>
                <w:rFonts w:hint="eastAsia" w:ascii="宋体" w:hAnsi="宋体" w:eastAsia="宋体" w:cs="宋体"/>
                <w:color w:val="auto"/>
                <w:sz w:val="22"/>
                <w:szCs w:val="22"/>
                <w:highlight w:val="none"/>
              </w:rPr>
            </w:pPr>
          </w:p>
        </w:tc>
      </w:tr>
      <w:tr w14:paraId="49A86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59E68807">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856" w:type="pct"/>
            <w:gridSpan w:val="2"/>
            <w:shd w:val="clear" w:color="auto" w:fill="auto"/>
            <w:noWrap w:val="0"/>
            <w:vAlign w:val="center"/>
          </w:tcPr>
          <w:p w14:paraId="1997F6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仪表台</w:t>
            </w:r>
          </w:p>
        </w:tc>
        <w:tc>
          <w:tcPr>
            <w:tcW w:w="2187" w:type="pct"/>
            <w:gridSpan w:val="2"/>
            <w:shd w:val="clear" w:color="auto" w:fill="auto"/>
            <w:noWrap w:val="0"/>
            <w:vAlign w:val="center"/>
          </w:tcPr>
          <w:p w14:paraId="42D82C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包含电量、行驶速度显示等功能。</w:t>
            </w:r>
          </w:p>
        </w:tc>
        <w:tc>
          <w:tcPr>
            <w:tcW w:w="1580" w:type="pct"/>
            <w:gridSpan w:val="2"/>
            <w:noWrap w:val="0"/>
            <w:vAlign w:val="center"/>
          </w:tcPr>
          <w:p w14:paraId="537ED3BC">
            <w:pPr>
              <w:spacing w:line="440" w:lineRule="exact"/>
              <w:jc w:val="center"/>
              <w:rPr>
                <w:rFonts w:hint="eastAsia" w:ascii="宋体" w:hAnsi="宋体" w:eastAsia="宋体" w:cs="宋体"/>
                <w:color w:val="auto"/>
                <w:sz w:val="22"/>
                <w:szCs w:val="22"/>
                <w:highlight w:val="none"/>
              </w:rPr>
            </w:pPr>
          </w:p>
        </w:tc>
      </w:tr>
      <w:tr w14:paraId="37AC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337E35BD">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1</w:t>
            </w:r>
          </w:p>
        </w:tc>
        <w:tc>
          <w:tcPr>
            <w:tcW w:w="856" w:type="pct"/>
            <w:gridSpan w:val="2"/>
            <w:shd w:val="clear" w:color="auto" w:fill="auto"/>
            <w:noWrap w:val="0"/>
            <w:vAlign w:val="center"/>
          </w:tcPr>
          <w:p w14:paraId="1DE50DE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充电器</w:t>
            </w:r>
          </w:p>
        </w:tc>
        <w:tc>
          <w:tcPr>
            <w:tcW w:w="2187" w:type="pct"/>
            <w:gridSpan w:val="2"/>
            <w:shd w:val="clear" w:color="auto" w:fill="auto"/>
            <w:noWrap w:val="0"/>
            <w:vAlign w:val="center"/>
          </w:tcPr>
          <w:p w14:paraId="65CD7D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48伏国标充电器，高频脉冲全自动</w:t>
            </w:r>
            <w:r>
              <w:rPr>
                <w:rFonts w:hint="eastAsia" w:ascii="宋体" w:hAnsi="宋体" w:eastAsia="宋体" w:cs="宋体"/>
                <w:color w:val="auto"/>
                <w:kern w:val="0"/>
                <w:sz w:val="21"/>
                <w:szCs w:val="21"/>
                <w:highlight w:val="none"/>
                <w:lang w:eastAsia="zh-CN"/>
              </w:rPr>
              <w:t>车载</w:t>
            </w:r>
            <w:r>
              <w:rPr>
                <w:rFonts w:hint="eastAsia" w:ascii="宋体" w:hAnsi="宋体" w:eastAsia="宋体" w:cs="宋体"/>
                <w:color w:val="auto"/>
                <w:kern w:val="0"/>
                <w:sz w:val="21"/>
                <w:szCs w:val="21"/>
                <w:highlight w:val="none"/>
              </w:rPr>
              <w:t>智能化充电器，带电源过充过载智能保护系统功能</w:t>
            </w:r>
            <w:r>
              <w:rPr>
                <w:rFonts w:hint="eastAsia" w:ascii="宋体" w:hAnsi="宋体" w:eastAsia="宋体" w:cs="宋体"/>
                <w:b/>
                <w:bCs/>
                <w:color w:val="auto"/>
                <w:kern w:val="0"/>
                <w:sz w:val="21"/>
                <w:szCs w:val="21"/>
                <w:highlight w:val="none"/>
              </w:rPr>
              <w:t>。</w:t>
            </w:r>
          </w:p>
        </w:tc>
        <w:tc>
          <w:tcPr>
            <w:tcW w:w="1580" w:type="pct"/>
            <w:gridSpan w:val="2"/>
            <w:noWrap w:val="0"/>
            <w:vAlign w:val="center"/>
          </w:tcPr>
          <w:p w14:paraId="5DBF2FF5">
            <w:pPr>
              <w:spacing w:line="440" w:lineRule="exact"/>
              <w:jc w:val="center"/>
              <w:rPr>
                <w:rFonts w:hint="eastAsia" w:ascii="宋体" w:hAnsi="宋体" w:eastAsia="宋体" w:cs="宋体"/>
                <w:color w:val="auto"/>
                <w:sz w:val="22"/>
                <w:szCs w:val="22"/>
                <w:highlight w:val="none"/>
              </w:rPr>
            </w:pPr>
          </w:p>
        </w:tc>
      </w:tr>
      <w:tr w14:paraId="0CFE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35065149">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2</w:t>
            </w:r>
          </w:p>
        </w:tc>
        <w:tc>
          <w:tcPr>
            <w:tcW w:w="856" w:type="pct"/>
            <w:gridSpan w:val="2"/>
            <w:shd w:val="clear" w:color="auto" w:fill="auto"/>
            <w:noWrap w:val="0"/>
            <w:vAlign w:val="center"/>
          </w:tcPr>
          <w:p w14:paraId="4548733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挡位</w:t>
            </w:r>
          </w:p>
        </w:tc>
        <w:tc>
          <w:tcPr>
            <w:tcW w:w="2187" w:type="pct"/>
            <w:gridSpan w:val="2"/>
            <w:shd w:val="clear" w:color="auto" w:fill="auto"/>
            <w:noWrap w:val="0"/>
            <w:vAlign w:val="center"/>
          </w:tcPr>
          <w:p w14:paraId="0E6BAA0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pacing w:val="-4"/>
                <w:sz w:val="21"/>
                <w:szCs w:val="21"/>
                <w:highlight w:val="none"/>
              </w:rPr>
              <w:t>无级变速，前进、后退及空挡。</w:t>
            </w:r>
          </w:p>
        </w:tc>
        <w:tc>
          <w:tcPr>
            <w:tcW w:w="1580" w:type="pct"/>
            <w:gridSpan w:val="2"/>
            <w:noWrap w:val="0"/>
            <w:vAlign w:val="center"/>
          </w:tcPr>
          <w:p w14:paraId="428B6A33">
            <w:pPr>
              <w:spacing w:line="440" w:lineRule="exact"/>
              <w:jc w:val="center"/>
              <w:rPr>
                <w:rFonts w:hint="eastAsia" w:ascii="宋体" w:hAnsi="宋体" w:eastAsia="宋体" w:cs="宋体"/>
                <w:color w:val="auto"/>
                <w:sz w:val="22"/>
                <w:szCs w:val="22"/>
                <w:highlight w:val="none"/>
              </w:rPr>
            </w:pPr>
          </w:p>
        </w:tc>
      </w:tr>
      <w:tr w14:paraId="53349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59F6A5F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3</w:t>
            </w:r>
          </w:p>
        </w:tc>
        <w:tc>
          <w:tcPr>
            <w:tcW w:w="856" w:type="pct"/>
            <w:gridSpan w:val="2"/>
            <w:shd w:val="clear" w:color="auto" w:fill="auto"/>
            <w:noWrap w:val="0"/>
            <w:vAlign w:val="center"/>
          </w:tcPr>
          <w:p w14:paraId="65AF907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前挡玻璃</w:t>
            </w:r>
          </w:p>
        </w:tc>
        <w:tc>
          <w:tcPr>
            <w:tcW w:w="2187" w:type="pct"/>
            <w:gridSpan w:val="2"/>
            <w:shd w:val="clear" w:color="auto" w:fill="auto"/>
            <w:noWrap w:val="0"/>
            <w:vAlign w:val="center"/>
          </w:tcPr>
          <w:p w14:paraId="5112F2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钢化玻璃+雨刮器</w:t>
            </w:r>
          </w:p>
        </w:tc>
        <w:tc>
          <w:tcPr>
            <w:tcW w:w="1580" w:type="pct"/>
            <w:gridSpan w:val="2"/>
            <w:noWrap w:val="0"/>
            <w:vAlign w:val="center"/>
          </w:tcPr>
          <w:p w14:paraId="060050F2">
            <w:pPr>
              <w:spacing w:line="440" w:lineRule="exact"/>
              <w:jc w:val="center"/>
              <w:rPr>
                <w:rFonts w:hint="eastAsia" w:ascii="宋体" w:hAnsi="宋体" w:eastAsia="宋体" w:cs="宋体"/>
                <w:color w:val="auto"/>
                <w:sz w:val="22"/>
                <w:szCs w:val="22"/>
                <w:highlight w:val="none"/>
              </w:rPr>
            </w:pPr>
          </w:p>
        </w:tc>
      </w:tr>
      <w:tr w14:paraId="327BB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00D98ED0">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4</w:t>
            </w:r>
          </w:p>
        </w:tc>
        <w:tc>
          <w:tcPr>
            <w:tcW w:w="856" w:type="pct"/>
            <w:gridSpan w:val="2"/>
            <w:shd w:val="clear" w:color="auto" w:fill="auto"/>
            <w:noWrap w:val="0"/>
            <w:vAlign w:val="center"/>
          </w:tcPr>
          <w:p w14:paraId="1896923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车内地板</w:t>
            </w:r>
          </w:p>
        </w:tc>
        <w:tc>
          <w:tcPr>
            <w:tcW w:w="2187" w:type="pct"/>
            <w:gridSpan w:val="2"/>
            <w:shd w:val="clear" w:color="auto" w:fill="auto"/>
            <w:noWrap w:val="0"/>
            <w:vAlign w:val="center"/>
          </w:tcPr>
          <w:p w14:paraId="1C6712D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橡胶防滑地板或花纹防滑铝地板。</w:t>
            </w:r>
          </w:p>
        </w:tc>
        <w:tc>
          <w:tcPr>
            <w:tcW w:w="1580" w:type="pct"/>
            <w:gridSpan w:val="2"/>
            <w:noWrap w:val="0"/>
            <w:vAlign w:val="center"/>
          </w:tcPr>
          <w:p w14:paraId="36204D74">
            <w:pPr>
              <w:spacing w:line="440" w:lineRule="exact"/>
              <w:jc w:val="center"/>
              <w:rPr>
                <w:rFonts w:hint="eastAsia" w:ascii="宋体" w:hAnsi="宋体" w:eastAsia="宋体" w:cs="宋体"/>
                <w:color w:val="auto"/>
                <w:sz w:val="22"/>
                <w:szCs w:val="22"/>
                <w:highlight w:val="none"/>
              </w:rPr>
            </w:pPr>
          </w:p>
        </w:tc>
      </w:tr>
      <w:tr w14:paraId="6F553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3602C8D2">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5</w:t>
            </w:r>
          </w:p>
        </w:tc>
        <w:tc>
          <w:tcPr>
            <w:tcW w:w="856" w:type="pct"/>
            <w:gridSpan w:val="2"/>
            <w:shd w:val="clear" w:color="auto" w:fill="auto"/>
            <w:noWrap w:val="0"/>
            <w:vAlign w:val="center"/>
          </w:tcPr>
          <w:p w14:paraId="1D2E4CFD">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座椅</w:t>
            </w:r>
          </w:p>
        </w:tc>
        <w:tc>
          <w:tcPr>
            <w:tcW w:w="2187" w:type="pct"/>
            <w:gridSpan w:val="2"/>
            <w:shd w:val="clear" w:color="auto" w:fill="auto"/>
            <w:noWrap w:val="0"/>
            <w:vAlign w:val="center"/>
          </w:tcPr>
          <w:p w14:paraId="66613D4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整车共</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排座椅</w:t>
            </w:r>
            <w:r>
              <w:rPr>
                <w:rFonts w:hint="eastAsia" w:ascii="宋体" w:hAnsi="宋体" w:eastAsia="宋体" w:cs="宋体"/>
                <w:color w:val="auto"/>
                <w:kern w:val="0"/>
                <w:sz w:val="21"/>
                <w:szCs w:val="21"/>
                <w:highlight w:val="none"/>
                <w:lang w:eastAsia="zh-CN"/>
              </w:rPr>
              <w:t>，座椅全部</w:t>
            </w:r>
            <w:r>
              <w:rPr>
                <w:rFonts w:hint="eastAsia" w:ascii="宋体" w:hAnsi="宋体" w:eastAsia="宋体" w:cs="宋体"/>
                <w:color w:val="auto"/>
                <w:kern w:val="0"/>
                <w:sz w:val="21"/>
                <w:szCs w:val="21"/>
                <w:highlight w:val="none"/>
                <w:lang w:val="en-US" w:eastAsia="zh-CN"/>
              </w:rPr>
              <w:t>朝</w:t>
            </w:r>
            <w:r>
              <w:rPr>
                <w:rFonts w:hint="eastAsia" w:ascii="宋体" w:hAnsi="宋体" w:eastAsia="宋体" w:cs="宋体"/>
                <w:color w:val="auto"/>
                <w:kern w:val="0"/>
                <w:sz w:val="21"/>
                <w:szCs w:val="21"/>
                <w:highlight w:val="none"/>
                <w:lang w:eastAsia="zh-CN"/>
              </w:rPr>
              <w:t>前。</w:t>
            </w:r>
            <w:r>
              <w:rPr>
                <w:rFonts w:hint="eastAsia" w:ascii="宋体" w:hAnsi="宋体" w:eastAsia="宋体" w:cs="宋体"/>
                <w:color w:val="auto"/>
                <w:kern w:val="0"/>
                <w:sz w:val="21"/>
                <w:szCs w:val="21"/>
                <w:highlight w:val="none"/>
              </w:rPr>
              <w:t>座椅采用防水、防火耐磨皮革面料；座椅外侧安装扶手。</w:t>
            </w:r>
          </w:p>
        </w:tc>
        <w:tc>
          <w:tcPr>
            <w:tcW w:w="1580" w:type="pct"/>
            <w:gridSpan w:val="2"/>
            <w:noWrap w:val="0"/>
            <w:vAlign w:val="center"/>
          </w:tcPr>
          <w:p w14:paraId="27143A04">
            <w:pPr>
              <w:spacing w:line="440" w:lineRule="exact"/>
              <w:jc w:val="center"/>
              <w:rPr>
                <w:rFonts w:hint="eastAsia" w:ascii="宋体" w:hAnsi="宋体" w:eastAsia="宋体" w:cs="宋体"/>
                <w:color w:val="auto"/>
                <w:sz w:val="22"/>
                <w:szCs w:val="22"/>
                <w:highlight w:val="none"/>
              </w:rPr>
            </w:pPr>
          </w:p>
        </w:tc>
      </w:tr>
      <w:tr w14:paraId="2B4C0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366" w:type="pct"/>
            <w:gridSpan w:val="2"/>
            <w:shd w:val="clear" w:color="auto" w:fill="auto"/>
            <w:noWrap w:val="0"/>
            <w:vAlign w:val="center"/>
          </w:tcPr>
          <w:p w14:paraId="0E997DF6">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6</w:t>
            </w:r>
          </w:p>
        </w:tc>
        <w:tc>
          <w:tcPr>
            <w:tcW w:w="856" w:type="pct"/>
            <w:gridSpan w:val="2"/>
            <w:shd w:val="clear" w:color="auto" w:fill="auto"/>
            <w:noWrap w:val="0"/>
            <w:vAlign w:val="center"/>
          </w:tcPr>
          <w:p w14:paraId="1FD8F82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灯光信号</w:t>
            </w:r>
          </w:p>
        </w:tc>
        <w:tc>
          <w:tcPr>
            <w:tcW w:w="2187" w:type="pct"/>
            <w:gridSpan w:val="2"/>
            <w:shd w:val="clear" w:color="auto" w:fill="auto"/>
            <w:noWrap w:val="0"/>
            <w:vAlign w:val="center"/>
          </w:tcPr>
          <w:p w14:paraId="0148885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包含前大灯、转向灯、电喇叭等功能。</w:t>
            </w:r>
          </w:p>
        </w:tc>
        <w:tc>
          <w:tcPr>
            <w:tcW w:w="1580" w:type="pct"/>
            <w:gridSpan w:val="2"/>
            <w:noWrap w:val="0"/>
            <w:vAlign w:val="center"/>
          </w:tcPr>
          <w:p w14:paraId="2D4C8602">
            <w:pPr>
              <w:spacing w:line="440" w:lineRule="exact"/>
              <w:jc w:val="center"/>
              <w:rPr>
                <w:rFonts w:hint="eastAsia" w:ascii="宋体" w:hAnsi="宋体" w:eastAsia="宋体" w:cs="宋体"/>
                <w:color w:val="auto"/>
                <w:sz w:val="22"/>
                <w:szCs w:val="22"/>
                <w:highlight w:val="none"/>
              </w:rPr>
            </w:pPr>
          </w:p>
        </w:tc>
      </w:tr>
      <w:tr w14:paraId="14347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720" w:type="dxa"/>
            <w:gridSpan w:val="2"/>
            <w:shd w:val="clear" w:color="auto" w:fill="auto"/>
            <w:noWrap w:val="0"/>
            <w:vAlign w:val="center"/>
          </w:tcPr>
          <w:p w14:paraId="531EE39A">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7</w:t>
            </w:r>
          </w:p>
        </w:tc>
        <w:tc>
          <w:tcPr>
            <w:tcW w:w="1684" w:type="dxa"/>
            <w:gridSpan w:val="2"/>
            <w:shd w:val="clear" w:color="auto" w:fill="auto"/>
            <w:noWrap w:val="0"/>
            <w:vAlign w:val="center"/>
          </w:tcPr>
          <w:p w14:paraId="41126E7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轮胎</w:t>
            </w:r>
          </w:p>
        </w:tc>
        <w:tc>
          <w:tcPr>
            <w:tcW w:w="4302" w:type="dxa"/>
            <w:gridSpan w:val="2"/>
            <w:shd w:val="clear" w:color="auto" w:fill="auto"/>
            <w:noWrap w:val="0"/>
            <w:vAlign w:val="center"/>
          </w:tcPr>
          <w:p w14:paraId="298002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采用不于小18*8.5-8的真空轮胎。</w:t>
            </w:r>
          </w:p>
        </w:tc>
        <w:tc>
          <w:tcPr>
            <w:tcW w:w="1580" w:type="pct"/>
            <w:gridSpan w:val="2"/>
            <w:noWrap w:val="0"/>
            <w:vAlign w:val="center"/>
          </w:tcPr>
          <w:p w14:paraId="37D2A10F">
            <w:pPr>
              <w:spacing w:line="440" w:lineRule="exact"/>
              <w:jc w:val="center"/>
              <w:rPr>
                <w:rFonts w:hint="eastAsia" w:ascii="宋体" w:hAnsi="宋体" w:eastAsia="宋体" w:cs="宋体"/>
                <w:color w:val="auto"/>
                <w:sz w:val="22"/>
                <w:szCs w:val="22"/>
                <w:highlight w:val="none"/>
              </w:rPr>
            </w:pPr>
          </w:p>
        </w:tc>
      </w:tr>
      <w:tr w14:paraId="164D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pct"/>
          <w:cantSplit/>
          <w:trHeight w:val="570" w:hRule="atLeast"/>
          <w:jc w:val="center"/>
        </w:trPr>
        <w:tc>
          <w:tcPr>
            <w:tcW w:w="720" w:type="dxa"/>
            <w:gridSpan w:val="2"/>
            <w:shd w:val="clear" w:color="auto" w:fill="auto"/>
            <w:noWrap w:val="0"/>
            <w:vAlign w:val="center"/>
          </w:tcPr>
          <w:p w14:paraId="1051BCE8">
            <w:pPr>
              <w:keepNext w:val="0"/>
              <w:keepLines w:val="0"/>
              <w:pageBreakBefore w:val="0"/>
              <w:widowControl/>
              <w:kinsoku/>
              <w:wordWrap/>
              <w:overflowPunct/>
              <w:topLinePunct w:val="0"/>
              <w:autoSpaceDE/>
              <w:autoSpaceDN/>
              <w:bidi w:val="0"/>
              <w:adjustRightInd/>
              <w:snapToGrid/>
              <w:spacing w:line="360" w:lineRule="auto"/>
              <w:ind w:left="425" w:leftChars="0" w:hanging="425"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28</w:t>
            </w:r>
          </w:p>
        </w:tc>
        <w:tc>
          <w:tcPr>
            <w:tcW w:w="1684" w:type="dxa"/>
            <w:gridSpan w:val="2"/>
            <w:shd w:val="clear" w:color="auto" w:fill="auto"/>
            <w:noWrap w:val="0"/>
            <w:vAlign w:val="center"/>
          </w:tcPr>
          <w:p w14:paraId="4F4773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其它要求</w:t>
            </w:r>
          </w:p>
        </w:tc>
        <w:tc>
          <w:tcPr>
            <w:tcW w:w="4302" w:type="dxa"/>
            <w:gridSpan w:val="2"/>
            <w:shd w:val="clear" w:color="auto" w:fill="auto"/>
            <w:noWrap w:val="0"/>
            <w:vAlign w:val="center"/>
          </w:tcPr>
          <w:p w14:paraId="3FFD962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可按采购方要求定制车身外观颜色及LOGO标志。</w:t>
            </w:r>
          </w:p>
        </w:tc>
        <w:tc>
          <w:tcPr>
            <w:tcW w:w="1580" w:type="pct"/>
            <w:gridSpan w:val="2"/>
            <w:noWrap w:val="0"/>
            <w:vAlign w:val="center"/>
          </w:tcPr>
          <w:p w14:paraId="201A8D39">
            <w:pPr>
              <w:spacing w:line="440" w:lineRule="exact"/>
              <w:jc w:val="center"/>
              <w:rPr>
                <w:rFonts w:hint="eastAsia" w:ascii="宋体" w:hAnsi="宋体" w:eastAsia="宋体" w:cs="宋体"/>
                <w:color w:val="auto"/>
                <w:sz w:val="22"/>
                <w:szCs w:val="22"/>
                <w:highlight w:val="none"/>
              </w:rPr>
            </w:pPr>
          </w:p>
        </w:tc>
      </w:tr>
    </w:tbl>
    <w:p w14:paraId="24FC9F86">
      <w:pPr>
        <w:pStyle w:val="19"/>
        <w:spacing w:line="500" w:lineRule="atLeast"/>
        <w:rPr>
          <w:rFonts w:hint="eastAsia" w:ascii="宋体" w:hAnsi="宋体" w:eastAsia="宋体" w:cs="宋体"/>
          <w:color w:val="auto"/>
          <w:highlight w:val="none"/>
        </w:rPr>
      </w:pPr>
      <w:r>
        <w:rPr>
          <w:rFonts w:hint="eastAsia" w:ascii="宋体" w:hAnsi="宋体" w:eastAsia="宋体" w:cs="宋体"/>
          <w:color w:val="auto"/>
          <w:highlight w:val="none"/>
        </w:rPr>
        <w:t>备注：</w:t>
      </w:r>
    </w:p>
    <w:p w14:paraId="3B8D9F3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投标人在“投标响应值”栏中应如实填写，没有该配置的可以填写“无”，不允许改变表格内容和顺序。</w:t>
      </w:r>
    </w:p>
    <w:p w14:paraId="1C4B79E8">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▲不提供此表格的将视为没有实质性响应采购文件。</w:t>
      </w:r>
    </w:p>
    <w:p w14:paraId="51C1BCF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eastAsia="zh-CN"/>
        </w:rPr>
        <w:t>14座非封闭式蓄电池观光车技术参数中的序号1-9的技术参数须提供国家认可的具有CMA或CNAS机构出具的特种设备型式试验报告，6座高尔夫球车技术参数中的序号1-9的技术参数须提供国家认可的具有CMA或CNAS机构出具的型式试验报告，投标人未提供的，相应技术参数视作负偏离处理；</w:t>
      </w:r>
    </w:p>
    <w:p w14:paraId="697B38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▲招标技术参数中要求提供的相关证明材料，投标人未提供的，相应技术参数视作负偏离处理</w:t>
      </w:r>
      <w:r>
        <w:rPr>
          <w:rFonts w:hint="eastAsia" w:ascii="宋体" w:hAnsi="宋体" w:eastAsia="宋体" w:cs="宋体"/>
          <w:b/>
          <w:bCs/>
          <w:color w:val="auto"/>
          <w:spacing w:val="4"/>
          <w:sz w:val="21"/>
          <w:szCs w:val="21"/>
          <w:highlight w:val="none"/>
          <w:u w:val="single"/>
          <w:lang w:val="zh-CN"/>
        </w:rPr>
        <w:t>。</w:t>
      </w:r>
    </w:p>
    <w:p w14:paraId="5F4ECB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color w:val="auto"/>
          <w:sz w:val="21"/>
          <w:szCs w:val="21"/>
          <w:highlight w:val="none"/>
        </w:rPr>
      </w:pPr>
    </w:p>
    <w:p w14:paraId="56C1498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p>
    <w:p w14:paraId="3AE58405">
      <w:pPr>
        <w:spacing w:line="360" w:lineRule="auto"/>
        <w:rPr>
          <w:rFonts w:hint="eastAsia" w:ascii="宋体" w:hAnsi="宋体" w:eastAsia="宋体" w:cs="宋体"/>
          <w:color w:val="auto"/>
          <w:szCs w:val="21"/>
          <w:highlight w:val="none"/>
        </w:rPr>
      </w:pPr>
    </w:p>
    <w:p w14:paraId="2CAAB61B">
      <w:pPr>
        <w:spacing w:line="360" w:lineRule="auto"/>
        <w:ind w:firstLine="5250" w:firstLineChars="2500"/>
        <w:rPr>
          <w:rFonts w:hint="eastAsia" w:ascii="宋体" w:hAnsi="宋体" w:eastAsia="宋体" w:cs="宋体"/>
          <w:color w:val="auto"/>
          <w:szCs w:val="21"/>
          <w:highlight w:val="none"/>
        </w:rPr>
      </w:pPr>
    </w:p>
    <w:p w14:paraId="518EF8A3">
      <w:pPr>
        <w:spacing w:line="360" w:lineRule="auto"/>
        <w:ind w:firstLine="5250" w:firstLineChars="2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投标人全称（盖章）：</w:t>
      </w:r>
    </w:p>
    <w:p w14:paraId="493B5404">
      <w:pPr>
        <w:spacing w:line="360" w:lineRule="auto"/>
        <w:ind w:firstLine="5250" w:firstLineChars="2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14:paraId="14080C01">
      <w:pPr>
        <w:ind w:firstLine="5241" w:firstLineChars="2496"/>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日 期：  年  月  日</w:t>
      </w:r>
    </w:p>
    <w:p w14:paraId="65F260F1">
      <w:pPr>
        <w:pStyle w:val="3"/>
        <w:ind w:left="0"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D2F1AEA">
      <w:pPr>
        <w:pStyle w:val="3"/>
        <w:ind w:left="0" w:firstLine="0" w:firstLineChars="0"/>
        <w:jc w:val="left"/>
        <w:rPr>
          <w:rFonts w:hint="eastAsia" w:ascii="宋体" w:hAnsi="宋体" w:eastAsia="宋体" w:cs="宋体"/>
          <w:b/>
          <w:bCs/>
          <w:color w:val="auto"/>
          <w:highlight w:val="none"/>
        </w:rPr>
      </w:pPr>
    </w:p>
    <w:p w14:paraId="31915B01">
      <w:pPr>
        <w:ind w:left="0" w:firstLineChars="0"/>
        <w:jc w:val="left"/>
        <w:rPr>
          <w:rFonts w:hint="eastAsia" w:ascii="宋体" w:hAnsi="宋体" w:eastAsia="宋体" w:cs="宋体"/>
          <w:b/>
          <w:bCs w:val="0"/>
          <w:color w:val="auto"/>
          <w:spacing w:val="6"/>
          <w:sz w:val="22"/>
          <w:szCs w:val="22"/>
          <w:highlight w:val="none"/>
        </w:rPr>
      </w:pPr>
      <w:r>
        <w:rPr>
          <w:rFonts w:hint="eastAsia" w:ascii="宋体" w:hAnsi="宋体" w:eastAsia="宋体" w:cs="宋体"/>
          <w:b/>
          <w:bCs w:val="0"/>
          <w:color w:val="auto"/>
          <w:spacing w:val="6"/>
          <w:sz w:val="22"/>
          <w:szCs w:val="22"/>
          <w:highlight w:val="none"/>
        </w:rPr>
        <w:t xml:space="preserve">附件六 </w:t>
      </w:r>
    </w:p>
    <w:p w14:paraId="0CDF5FD9">
      <w:pPr>
        <w:ind w:left="0" w:firstLineChars="0"/>
        <w:jc w:val="center"/>
        <w:rPr>
          <w:rFonts w:hint="eastAsia" w:ascii="宋体" w:hAnsi="宋体" w:eastAsia="宋体" w:cs="宋体"/>
          <w:b/>
          <w:bCs w:val="0"/>
          <w:color w:val="auto"/>
          <w:spacing w:val="6"/>
          <w:sz w:val="24"/>
          <w:szCs w:val="24"/>
          <w:highlight w:val="none"/>
          <w:lang w:val="en-US" w:eastAsia="zh-CN"/>
        </w:rPr>
      </w:pPr>
      <w:r>
        <w:rPr>
          <w:rFonts w:hint="eastAsia" w:ascii="宋体" w:hAnsi="宋体" w:eastAsia="宋体" w:cs="宋体"/>
          <w:b/>
          <w:bCs w:val="0"/>
          <w:color w:val="auto"/>
          <w:spacing w:val="6"/>
          <w:sz w:val="22"/>
          <w:szCs w:val="22"/>
          <w:highlight w:val="none"/>
          <w:lang w:val="en-US" w:eastAsia="zh-CN"/>
        </w:rPr>
        <w:t xml:space="preserve">         </w:t>
      </w:r>
      <w:r>
        <w:rPr>
          <w:rFonts w:hint="eastAsia" w:ascii="宋体" w:hAnsi="宋体" w:eastAsia="宋体" w:cs="宋体"/>
          <w:b/>
          <w:bCs w:val="0"/>
          <w:color w:val="auto"/>
          <w:spacing w:val="6"/>
          <w:sz w:val="24"/>
          <w:szCs w:val="24"/>
          <w:highlight w:val="none"/>
          <w:lang w:val="en-US" w:eastAsia="zh-CN"/>
        </w:rPr>
        <w:t>售后主要配件（含易损件）价目表</w:t>
      </w:r>
    </w:p>
    <w:p w14:paraId="41250BD5">
      <w:pPr>
        <w:ind w:left="0" w:firstLineChars="0"/>
        <w:rPr>
          <w:rFonts w:hint="eastAsia" w:ascii="宋体" w:hAnsi="宋体" w:eastAsia="宋体" w:cs="宋体"/>
          <w:b/>
          <w:bCs/>
          <w:color w:val="auto"/>
          <w:sz w:val="22"/>
          <w:szCs w:val="22"/>
          <w:highlight w:val="none"/>
          <w:lang w:val="en-US"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340"/>
        <w:gridCol w:w="1860"/>
        <w:gridCol w:w="1320"/>
        <w:gridCol w:w="2505"/>
      </w:tblGrid>
      <w:tr w14:paraId="479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6C007F39">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序号</w:t>
            </w:r>
          </w:p>
        </w:tc>
        <w:tc>
          <w:tcPr>
            <w:tcW w:w="2340" w:type="dxa"/>
            <w:vAlign w:val="top"/>
          </w:tcPr>
          <w:p w14:paraId="225A9C99">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配件名称</w:t>
            </w:r>
          </w:p>
        </w:tc>
        <w:tc>
          <w:tcPr>
            <w:tcW w:w="1860" w:type="dxa"/>
            <w:vAlign w:val="top"/>
          </w:tcPr>
          <w:p w14:paraId="7E08F126">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单位</w:t>
            </w:r>
          </w:p>
        </w:tc>
        <w:tc>
          <w:tcPr>
            <w:tcW w:w="1320" w:type="dxa"/>
            <w:shd w:val="clear" w:color="auto" w:fill="auto"/>
            <w:vAlign w:val="top"/>
          </w:tcPr>
          <w:p w14:paraId="765511FA">
            <w:pPr>
              <w:pStyle w:val="3"/>
              <w:ind w:left="0" w:leftChars="0" w:firstLine="0" w:firstLineChars="0"/>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单价</w:t>
            </w:r>
          </w:p>
        </w:tc>
        <w:tc>
          <w:tcPr>
            <w:tcW w:w="2505" w:type="dxa"/>
            <w:shd w:val="clear" w:color="auto" w:fill="auto"/>
            <w:vAlign w:val="top"/>
          </w:tcPr>
          <w:p w14:paraId="610592AA">
            <w:pPr>
              <w:pStyle w:val="3"/>
              <w:ind w:left="442" w:leftChars="0" w:hanging="442" w:hangingChars="200"/>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备注</w:t>
            </w:r>
          </w:p>
        </w:tc>
      </w:tr>
      <w:tr w14:paraId="2CF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7B07AC6C">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1</w:t>
            </w:r>
          </w:p>
        </w:tc>
        <w:tc>
          <w:tcPr>
            <w:tcW w:w="2340" w:type="dxa"/>
            <w:shd w:val="clear" w:color="auto" w:fill="auto"/>
            <w:vAlign w:val="top"/>
          </w:tcPr>
          <w:p w14:paraId="787AC431">
            <w:pPr>
              <w:pStyle w:val="3"/>
              <w:ind w:left="442" w:leftChars="0" w:hanging="442" w:hangingChars="200"/>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电池</w:t>
            </w:r>
          </w:p>
        </w:tc>
        <w:tc>
          <w:tcPr>
            <w:tcW w:w="1860" w:type="dxa"/>
            <w:vAlign w:val="top"/>
          </w:tcPr>
          <w:p w14:paraId="046094D2">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28FA02A3">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48DE5727">
            <w:pPr>
              <w:pStyle w:val="3"/>
              <w:rPr>
                <w:rFonts w:hint="eastAsia" w:ascii="宋体" w:hAnsi="宋体" w:eastAsia="宋体" w:cs="宋体"/>
                <w:b/>
                <w:bCs/>
                <w:color w:val="auto"/>
                <w:sz w:val="22"/>
                <w:szCs w:val="22"/>
                <w:highlight w:val="none"/>
                <w:vertAlign w:val="baseline"/>
                <w:lang w:val="en-US" w:eastAsia="zh-CN"/>
              </w:rPr>
            </w:pPr>
          </w:p>
        </w:tc>
      </w:tr>
      <w:tr w14:paraId="2319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77251271">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2</w:t>
            </w:r>
          </w:p>
        </w:tc>
        <w:tc>
          <w:tcPr>
            <w:tcW w:w="2340" w:type="dxa"/>
            <w:shd w:val="clear" w:color="auto" w:fill="auto"/>
            <w:vAlign w:val="top"/>
          </w:tcPr>
          <w:p w14:paraId="0AD0E329">
            <w:pPr>
              <w:pStyle w:val="3"/>
              <w:ind w:left="442" w:leftChars="0" w:hanging="442" w:hangingChars="200"/>
              <w:jc w:val="center"/>
              <w:rPr>
                <w:rFonts w:hint="eastAsia" w:ascii="宋体" w:hAnsi="宋体" w:eastAsia="宋体" w:cs="宋体"/>
                <w:b/>
                <w:bCs/>
                <w:color w:val="auto"/>
                <w:kern w:val="2"/>
                <w:sz w:val="22"/>
                <w:szCs w:val="22"/>
                <w:highlight w:val="none"/>
                <w:vertAlign w:val="baseline"/>
                <w:lang w:val="en-US" w:eastAsia="zh-CN" w:bidi="ar-SA"/>
              </w:rPr>
            </w:pPr>
            <w:r>
              <w:rPr>
                <w:rFonts w:hint="eastAsia" w:ascii="宋体" w:hAnsi="宋体" w:eastAsia="宋体" w:cs="宋体"/>
                <w:b/>
                <w:bCs/>
                <w:color w:val="auto"/>
                <w:sz w:val="22"/>
                <w:szCs w:val="22"/>
                <w:highlight w:val="none"/>
                <w:vertAlign w:val="baseline"/>
                <w:lang w:val="en-US" w:eastAsia="zh-CN"/>
              </w:rPr>
              <w:t>轮胎</w:t>
            </w:r>
          </w:p>
        </w:tc>
        <w:tc>
          <w:tcPr>
            <w:tcW w:w="1860" w:type="dxa"/>
            <w:vAlign w:val="top"/>
          </w:tcPr>
          <w:p w14:paraId="35573554">
            <w:pPr>
              <w:pStyle w:val="3"/>
              <w:ind w:left="0" w:firstLine="0" w:firstLineChars="0"/>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203FC8D5">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427C1A9C">
            <w:pPr>
              <w:pStyle w:val="3"/>
              <w:rPr>
                <w:rFonts w:hint="eastAsia" w:ascii="宋体" w:hAnsi="宋体" w:eastAsia="宋体" w:cs="宋体"/>
                <w:b/>
                <w:bCs/>
                <w:color w:val="auto"/>
                <w:sz w:val="22"/>
                <w:szCs w:val="22"/>
                <w:highlight w:val="none"/>
                <w:vertAlign w:val="baseline"/>
                <w:lang w:val="en-US" w:eastAsia="zh-CN"/>
              </w:rPr>
            </w:pPr>
          </w:p>
        </w:tc>
      </w:tr>
      <w:tr w14:paraId="4AF4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10B1FC57">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3</w:t>
            </w:r>
          </w:p>
        </w:tc>
        <w:tc>
          <w:tcPr>
            <w:tcW w:w="2340" w:type="dxa"/>
            <w:vAlign w:val="top"/>
          </w:tcPr>
          <w:p w14:paraId="469710FD">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kern w:val="2"/>
                <w:sz w:val="23"/>
                <w:szCs w:val="23"/>
                <w:lang w:val="en-US" w:eastAsia="zh-CN" w:bidi="ar-SA"/>
              </w:rPr>
              <w:t>钢轮辋</w:t>
            </w:r>
          </w:p>
        </w:tc>
        <w:tc>
          <w:tcPr>
            <w:tcW w:w="1860" w:type="dxa"/>
            <w:vAlign w:val="top"/>
          </w:tcPr>
          <w:p w14:paraId="39E11484">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4AF87E49">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37820B0D">
            <w:pPr>
              <w:pStyle w:val="3"/>
              <w:rPr>
                <w:rFonts w:hint="eastAsia" w:ascii="宋体" w:hAnsi="宋体" w:eastAsia="宋体" w:cs="宋体"/>
                <w:b/>
                <w:bCs/>
                <w:color w:val="auto"/>
                <w:sz w:val="22"/>
                <w:szCs w:val="22"/>
                <w:highlight w:val="none"/>
                <w:vertAlign w:val="baseline"/>
                <w:lang w:val="en-US" w:eastAsia="zh-CN"/>
              </w:rPr>
            </w:pPr>
          </w:p>
        </w:tc>
      </w:tr>
      <w:tr w14:paraId="63C9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379E8988">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4</w:t>
            </w:r>
          </w:p>
        </w:tc>
        <w:tc>
          <w:tcPr>
            <w:tcW w:w="2340" w:type="dxa"/>
            <w:vAlign w:val="top"/>
          </w:tcPr>
          <w:p w14:paraId="0FA13D3F">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车载喇叭</w:t>
            </w:r>
          </w:p>
        </w:tc>
        <w:tc>
          <w:tcPr>
            <w:tcW w:w="1860" w:type="dxa"/>
            <w:vAlign w:val="top"/>
          </w:tcPr>
          <w:p w14:paraId="01601BFB">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65AF5A8D">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23A574F7">
            <w:pPr>
              <w:pStyle w:val="3"/>
              <w:rPr>
                <w:rFonts w:hint="eastAsia" w:ascii="宋体" w:hAnsi="宋体" w:eastAsia="宋体" w:cs="宋体"/>
                <w:b/>
                <w:bCs/>
                <w:color w:val="auto"/>
                <w:sz w:val="22"/>
                <w:szCs w:val="22"/>
                <w:highlight w:val="none"/>
                <w:vertAlign w:val="baseline"/>
                <w:lang w:val="en-US" w:eastAsia="zh-CN"/>
              </w:rPr>
            </w:pPr>
          </w:p>
        </w:tc>
      </w:tr>
      <w:tr w14:paraId="0684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626225B2">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5</w:t>
            </w:r>
          </w:p>
        </w:tc>
        <w:tc>
          <w:tcPr>
            <w:tcW w:w="2340" w:type="dxa"/>
            <w:vAlign w:val="top"/>
          </w:tcPr>
          <w:p w14:paraId="3E0AB550">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转向灯、倒车灯</w:t>
            </w:r>
          </w:p>
        </w:tc>
        <w:tc>
          <w:tcPr>
            <w:tcW w:w="1860" w:type="dxa"/>
            <w:vAlign w:val="top"/>
          </w:tcPr>
          <w:p w14:paraId="7DC9BA3A">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6D47FE2B">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762787E2">
            <w:pPr>
              <w:pStyle w:val="3"/>
              <w:rPr>
                <w:rFonts w:hint="eastAsia" w:ascii="宋体" w:hAnsi="宋体" w:eastAsia="宋体" w:cs="宋体"/>
                <w:b/>
                <w:bCs/>
                <w:color w:val="auto"/>
                <w:sz w:val="22"/>
                <w:szCs w:val="22"/>
                <w:highlight w:val="none"/>
                <w:vertAlign w:val="baseline"/>
                <w:lang w:val="en-US" w:eastAsia="zh-CN"/>
              </w:rPr>
            </w:pPr>
          </w:p>
        </w:tc>
      </w:tr>
      <w:tr w14:paraId="42C2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7" w:type="dxa"/>
            <w:vAlign w:val="top"/>
          </w:tcPr>
          <w:p w14:paraId="4B346137">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6</w:t>
            </w:r>
          </w:p>
        </w:tc>
        <w:tc>
          <w:tcPr>
            <w:tcW w:w="2340" w:type="dxa"/>
            <w:vAlign w:val="top"/>
          </w:tcPr>
          <w:p w14:paraId="7CA24AC0">
            <w:pPr>
              <w:pStyle w:val="3"/>
              <w:jc w:val="center"/>
              <w:rPr>
                <w:rFonts w:hint="eastAsia" w:ascii="宋体" w:hAnsi="宋体" w:eastAsia="宋体" w:cs="宋体"/>
                <w:kern w:val="2"/>
                <w:sz w:val="23"/>
                <w:szCs w:val="23"/>
                <w:lang w:val="en-US" w:eastAsia="zh-CN" w:bidi="ar-SA"/>
              </w:rPr>
            </w:pPr>
            <w:r>
              <w:rPr>
                <w:rFonts w:hint="eastAsia" w:ascii="宋体" w:hAnsi="宋体" w:eastAsia="宋体" w:cs="宋体"/>
                <w:color w:val="auto"/>
                <w:kern w:val="2"/>
                <w:sz w:val="23"/>
                <w:szCs w:val="23"/>
                <w:lang w:val="en-US" w:eastAsia="zh-CN" w:bidi="ar-SA"/>
              </w:rPr>
              <w:t>大灯总成</w:t>
            </w:r>
          </w:p>
        </w:tc>
        <w:tc>
          <w:tcPr>
            <w:tcW w:w="1860" w:type="dxa"/>
            <w:vAlign w:val="top"/>
          </w:tcPr>
          <w:p w14:paraId="42F51981">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3ED99039">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1A58B99B">
            <w:pPr>
              <w:pStyle w:val="3"/>
              <w:rPr>
                <w:rFonts w:hint="eastAsia" w:ascii="宋体" w:hAnsi="宋体" w:eastAsia="宋体" w:cs="宋体"/>
                <w:b/>
                <w:bCs/>
                <w:color w:val="auto"/>
                <w:sz w:val="22"/>
                <w:szCs w:val="22"/>
                <w:highlight w:val="none"/>
                <w:vertAlign w:val="baseline"/>
                <w:lang w:val="en-US" w:eastAsia="zh-CN"/>
              </w:rPr>
            </w:pPr>
          </w:p>
        </w:tc>
      </w:tr>
      <w:tr w14:paraId="6921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16BD33A6">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7</w:t>
            </w:r>
          </w:p>
        </w:tc>
        <w:tc>
          <w:tcPr>
            <w:tcW w:w="2340" w:type="dxa"/>
            <w:vAlign w:val="top"/>
          </w:tcPr>
          <w:p w14:paraId="27286EA4">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kern w:val="2"/>
                <w:sz w:val="23"/>
                <w:szCs w:val="23"/>
                <w:lang w:val="en-US" w:eastAsia="zh-CN" w:bidi="ar-SA"/>
              </w:rPr>
              <w:t>充电器72V</w:t>
            </w:r>
          </w:p>
        </w:tc>
        <w:tc>
          <w:tcPr>
            <w:tcW w:w="1860" w:type="dxa"/>
            <w:vAlign w:val="top"/>
          </w:tcPr>
          <w:p w14:paraId="4771D1AA">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0789D0A0">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5866572B">
            <w:pPr>
              <w:pStyle w:val="3"/>
              <w:rPr>
                <w:rFonts w:hint="eastAsia" w:ascii="宋体" w:hAnsi="宋体" w:eastAsia="宋体" w:cs="宋体"/>
                <w:b/>
                <w:bCs/>
                <w:color w:val="auto"/>
                <w:sz w:val="22"/>
                <w:szCs w:val="22"/>
                <w:highlight w:val="none"/>
                <w:vertAlign w:val="baseline"/>
                <w:lang w:val="en-US" w:eastAsia="zh-CN"/>
              </w:rPr>
            </w:pPr>
          </w:p>
        </w:tc>
      </w:tr>
      <w:tr w14:paraId="22CF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77" w:type="dxa"/>
            <w:vAlign w:val="top"/>
          </w:tcPr>
          <w:p w14:paraId="041A51F6">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8</w:t>
            </w:r>
          </w:p>
        </w:tc>
        <w:tc>
          <w:tcPr>
            <w:tcW w:w="2340" w:type="dxa"/>
            <w:vAlign w:val="top"/>
          </w:tcPr>
          <w:p w14:paraId="0CEED43B">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kern w:val="2"/>
                <w:sz w:val="23"/>
                <w:szCs w:val="23"/>
                <w:lang w:val="en-US" w:eastAsia="zh-CN" w:bidi="ar-SA"/>
              </w:rPr>
              <w:t>充电器48V</w:t>
            </w:r>
          </w:p>
        </w:tc>
        <w:tc>
          <w:tcPr>
            <w:tcW w:w="1860" w:type="dxa"/>
            <w:vAlign w:val="top"/>
          </w:tcPr>
          <w:p w14:paraId="6130C5B7">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6E116436">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1D6540D4">
            <w:pPr>
              <w:pStyle w:val="3"/>
              <w:rPr>
                <w:rFonts w:hint="eastAsia" w:ascii="宋体" w:hAnsi="宋体" w:eastAsia="宋体" w:cs="宋体"/>
                <w:b/>
                <w:bCs/>
                <w:color w:val="auto"/>
                <w:sz w:val="22"/>
                <w:szCs w:val="22"/>
                <w:highlight w:val="none"/>
                <w:vertAlign w:val="baseline"/>
                <w:lang w:val="en-US" w:eastAsia="zh-CN"/>
              </w:rPr>
            </w:pPr>
          </w:p>
        </w:tc>
      </w:tr>
      <w:tr w14:paraId="016A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1F9D042C">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9</w:t>
            </w:r>
          </w:p>
        </w:tc>
        <w:tc>
          <w:tcPr>
            <w:tcW w:w="2340" w:type="dxa"/>
            <w:vAlign w:val="top"/>
          </w:tcPr>
          <w:p w14:paraId="6792D8F2">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kern w:val="2"/>
                <w:sz w:val="23"/>
                <w:szCs w:val="23"/>
                <w:lang w:val="en-US" w:eastAsia="zh-CN" w:bidi="ar-SA"/>
              </w:rPr>
              <w:t>转向助力控制器</w:t>
            </w:r>
          </w:p>
        </w:tc>
        <w:tc>
          <w:tcPr>
            <w:tcW w:w="1860" w:type="dxa"/>
            <w:vAlign w:val="top"/>
          </w:tcPr>
          <w:p w14:paraId="4AAB9CCC">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50F3F752">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49C4E17E">
            <w:pPr>
              <w:pStyle w:val="3"/>
              <w:rPr>
                <w:rFonts w:hint="eastAsia" w:ascii="宋体" w:hAnsi="宋体" w:eastAsia="宋体" w:cs="宋体"/>
                <w:b/>
                <w:bCs/>
                <w:color w:val="auto"/>
                <w:sz w:val="22"/>
                <w:szCs w:val="22"/>
                <w:highlight w:val="none"/>
                <w:vertAlign w:val="baseline"/>
                <w:lang w:val="en-US" w:eastAsia="zh-CN"/>
              </w:rPr>
            </w:pPr>
          </w:p>
        </w:tc>
      </w:tr>
      <w:tr w14:paraId="71A0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6E8F2C1D">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10</w:t>
            </w:r>
          </w:p>
        </w:tc>
        <w:tc>
          <w:tcPr>
            <w:tcW w:w="2340" w:type="dxa"/>
            <w:vAlign w:val="top"/>
          </w:tcPr>
          <w:p w14:paraId="5986DA63">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kern w:val="2"/>
                <w:sz w:val="23"/>
                <w:szCs w:val="23"/>
                <w:lang w:val="en-US" w:eastAsia="zh-CN" w:bidi="ar-SA"/>
              </w:rPr>
              <w:t>方向机总成</w:t>
            </w:r>
          </w:p>
        </w:tc>
        <w:tc>
          <w:tcPr>
            <w:tcW w:w="1860" w:type="dxa"/>
            <w:vAlign w:val="top"/>
          </w:tcPr>
          <w:p w14:paraId="6FC7F1F6">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50397F8C">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5BDC106C">
            <w:pPr>
              <w:pStyle w:val="3"/>
              <w:rPr>
                <w:rFonts w:hint="eastAsia" w:ascii="宋体" w:hAnsi="宋体" w:eastAsia="宋体" w:cs="宋体"/>
                <w:b/>
                <w:bCs/>
                <w:color w:val="auto"/>
                <w:sz w:val="22"/>
                <w:szCs w:val="22"/>
                <w:highlight w:val="none"/>
                <w:vertAlign w:val="baseline"/>
                <w:lang w:val="en-US" w:eastAsia="zh-CN"/>
              </w:rPr>
            </w:pPr>
          </w:p>
        </w:tc>
      </w:tr>
      <w:tr w14:paraId="62B3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0941BE19">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w:t>
            </w:r>
          </w:p>
        </w:tc>
        <w:tc>
          <w:tcPr>
            <w:tcW w:w="2340" w:type="dxa"/>
            <w:vAlign w:val="top"/>
          </w:tcPr>
          <w:p w14:paraId="0C689747">
            <w:pPr>
              <w:pStyle w:val="3"/>
              <w:jc w:val="center"/>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w:t>
            </w:r>
          </w:p>
        </w:tc>
        <w:tc>
          <w:tcPr>
            <w:tcW w:w="1860" w:type="dxa"/>
            <w:vAlign w:val="top"/>
          </w:tcPr>
          <w:p w14:paraId="3F4B518E">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1758DA34">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06B37272">
            <w:pPr>
              <w:pStyle w:val="3"/>
              <w:rPr>
                <w:rFonts w:hint="eastAsia" w:ascii="宋体" w:hAnsi="宋体" w:eastAsia="宋体" w:cs="宋体"/>
                <w:b/>
                <w:bCs/>
                <w:color w:val="auto"/>
                <w:sz w:val="22"/>
                <w:szCs w:val="22"/>
                <w:highlight w:val="none"/>
                <w:vertAlign w:val="baseline"/>
                <w:lang w:val="en-US" w:eastAsia="zh-CN"/>
              </w:rPr>
            </w:pPr>
          </w:p>
        </w:tc>
      </w:tr>
      <w:tr w14:paraId="0858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2C8A6F5B">
            <w:pPr>
              <w:pStyle w:val="3"/>
              <w:rPr>
                <w:rFonts w:hint="eastAsia" w:ascii="宋体" w:hAnsi="宋体" w:eastAsia="宋体" w:cs="宋体"/>
                <w:b/>
                <w:bCs/>
                <w:color w:val="auto"/>
                <w:sz w:val="22"/>
                <w:szCs w:val="22"/>
                <w:highlight w:val="none"/>
                <w:vertAlign w:val="baseline"/>
                <w:lang w:val="en-US" w:eastAsia="zh-CN"/>
              </w:rPr>
            </w:pPr>
          </w:p>
        </w:tc>
        <w:tc>
          <w:tcPr>
            <w:tcW w:w="2340" w:type="dxa"/>
            <w:vAlign w:val="top"/>
          </w:tcPr>
          <w:p w14:paraId="73CA6316">
            <w:pPr>
              <w:pStyle w:val="3"/>
              <w:rPr>
                <w:rFonts w:hint="eastAsia" w:ascii="宋体" w:hAnsi="宋体" w:eastAsia="宋体" w:cs="宋体"/>
                <w:b/>
                <w:bCs/>
                <w:color w:val="auto"/>
                <w:sz w:val="22"/>
                <w:szCs w:val="22"/>
                <w:highlight w:val="none"/>
                <w:vertAlign w:val="baseline"/>
                <w:lang w:val="en-US" w:eastAsia="zh-CN"/>
              </w:rPr>
            </w:pPr>
          </w:p>
        </w:tc>
        <w:tc>
          <w:tcPr>
            <w:tcW w:w="1860" w:type="dxa"/>
            <w:vAlign w:val="top"/>
          </w:tcPr>
          <w:p w14:paraId="66045BDB">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44CBCAF3">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0CD71A1F">
            <w:pPr>
              <w:pStyle w:val="3"/>
              <w:rPr>
                <w:rFonts w:hint="eastAsia" w:ascii="宋体" w:hAnsi="宋体" w:eastAsia="宋体" w:cs="宋体"/>
                <w:b/>
                <w:bCs/>
                <w:color w:val="auto"/>
                <w:sz w:val="22"/>
                <w:szCs w:val="22"/>
                <w:highlight w:val="none"/>
                <w:vertAlign w:val="baseline"/>
                <w:lang w:val="en-US" w:eastAsia="zh-CN"/>
              </w:rPr>
            </w:pPr>
          </w:p>
        </w:tc>
      </w:tr>
      <w:tr w14:paraId="460A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7" w:type="dxa"/>
            <w:vAlign w:val="top"/>
          </w:tcPr>
          <w:p w14:paraId="55FEF096">
            <w:pPr>
              <w:pStyle w:val="3"/>
              <w:rPr>
                <w:rFonts w:hint="eastAsia" w:ascii="宋体" w:hAnsi="宋体" w:eastAsia="宋体" w:cs="宋体"/>
                <w:b/>
                <w:bCs/>
                <w:color w:val="auto"/>
                <w:sz w:val="22"/>
                <w:szCs w:val="22"/>
                <w:highlight w:val="none"/>
                <w:vertAlign w:val="baseline"/>
                <w:lang w:val="en-US" w:eastAsia="zh-CN"/>
              </w:rPr>
            </w:pPr>
          </w:p>
        </w:tc>
        <w:tc>
          <w:tcPr>
            <w:tcW w:w="2340" w:type="dxa"/>
            <w:vAlign w:val="top"/>
          </w:tcPr>
          <w:p w14:paraId="469EB225">
            <w:pPr>
              <w:pStyle w:val="3"/>
              <w:rPr>
                <w:rFonts w:hint="eastAsia" w:ascii="宋体" w:hAnsi="宋体" w:eastAsia="宋体" w:cs="宋体"/>
                <w:b/>
                <w:bCs/>
                <w:color w:val="auto"/>
                <w:sz w:val="22"/>
                <w:szCs w:val="22"/>
                <w:highlight w:val="none"/>
                <w:vertAlign w:val="baseline"/>
                <w:lang w:val="en-US" w:eastAsia="zh-CN"/>
              </w:rPr>
            </w:pPr>
          </w:p>
        </w:tc>
        <w:tc>
          <w:tcPr>
            <w:tcW w:w="1860" w:type="dxa"/>
            <w:vAlign w:val="top"/>
          </w:tcPr>
          <w:p w14:paraId="23DFF9ED">
            <w:pPr>
              <w:pStyle w:val="3"/>
              <w:rPr>
                <w:rFonts w:hint="eastAsia" w:ascii="宋体" w:hAnsi="宋体" w:eastAsia="宋体" w:cs="宋体"/>
                <w:b/>
                <w:bCs/>
                <w:color w:val="auto"/>
                <w:sz w:val="22"/>
                <w:szCs w:val="22"/>
                <w:highlight w:val="none"/>
                <w:vertAlign w:val="baseline"/>
                <w:lang w:val="en-US" w:eastAsia="zh-CN"/>
              </w:rPr>
            </w:pPr>
          </w:p>
        </w:tc>
        <w:tc>
          <w:tcPr>
            <w:tcW w:w="1320" w:type="dxa"/>
            <w:vAlign w:val="top"/>
          </w:tcPr>
          <w:p w14:paraId="7A4C327F">
            <w:pPr>
              <w:pStyle w:val="3"/>
              <w:rPr>
                <w:rFonts w:hint="eastAsia" w:ascii="宋体" w:hAnsi="宋体" w:eastAsia="宋体" w:cs="宋体"/>
                <w:b/>
                <w:bCs/>
                <w:color w:val="auto"/>
                <w:sz w:val="22"/>
                <w:szCs w:val="22"/>
                <w:highlight w:val="none"/>
                <w:vertAlign w:val="baseline"/>
                <w:lang w:val="en-US" w:eastAsia="zh-CN"/>
              </w:rPr>
            </w:pPr>
          </w:p>
        </w:tc>
        <w:tc>
          <w:tcPr>
            <w:tcW w:w="2505" w:type="dxa"/>
            <w:vAlign w:val="top"/>
          </w:tcPr>
          <w:p w14:paraId="11FD1FAB">
            <w:pPr>
              <w:pStyle w:val="3"/>
              <w:rPr>
                <w:rFonts w:hint="eastAsia" w:ascii="宋体" w:hAnsi="宋体" w:eastAsia="宋体" w:cs="宋体"/>
                <w:b/>
                <w:bCs/>
                <w:color w:val="auto"/>
                <w:sz w:val="22"/>
                <w:szCs w:val="22"/>
                <w:highlight w:val="none"/>
                <w:vertAlign w:val="baseline"/>
                <w:lang w:val="en-US" w:eastAsia="zh-CN"/>
              </w:rPr>
            </w:pPr>
          </w:p>
        </w:tc>
      </w:tr>
    </w:tbl>
    <w:p w14:paraId="309D10D7">
      <w:pPr>
        <w:pStyle w:val="3"/>
        <w:spacing w:line="360" w:lineRule="auto"/>
        <w:ind w:left="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注：</w:t>
      </w:r>
    </w:p>
    <w:p w14:paraId="48FB05E0">
      <w:pPr>
        <w:pStyle w:val="3"/>
        <w:numPr>
          <w:ilvl w:val="0"/>
          <w:numId w:val="37"/>
        </w:numPr>
        <w:spacing w:line="360" w:lineRule="auto"/>
        <w:ind w:left="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供应商可自行拓展表格；</w:t>
      </w:r>
    </w:p>
    <w:p w14:paraId="3B26D283">
      <w:pPr>
        <w:pStyle w:val="3"/>
        <w:numPr>
          <w:ilvl w:val="0"/>
          <w:numId w:val="37"/>
        </w:numPr>
        <w:spacing w:line="360" w:lineRule="auto"/>
        <w:ind w:left="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color w:val="auto"/>
          <w:sz w:val="21"/>
          <w:szCs w:val="21"/>
          <w:highlight w:val="none"/>
          <w:u w:val="single"/>
        </w:rPr>
        <w:t>▲不提供此表格的将视为没有实质性响应采购文件。</w:t>
      </w:r>
    </w:p>
    <w:p w14:paraId="1090FB2B">
      <w:pPr>
        <w:pStyle w:val="3"/>
        <w:spacing w:line="360" w:lineRule="auto"/>
        <w:ind w:left="0" w:firstLine="0" w:firstLineChars="0"/>
        <w:rPr>
          <w:rFonts w:hint="eastAsia" w:ascii="宋体" w:hAnsi="宋体" w:eastAsia="宋体" w:cs="宋体"/>
          <w:b/>
          <w:bCs/>
          <w:color w:val="auto"/>
          <w:sz w:val="22"/>
          <w:szCs w:val="22"/>
          <w:highlight w:val="none"/>
          <w:lang w:val="en-US" w:eastAsia="zh-CN"/>
        </w:rPr>
      </w:pPr>
    </w:p>
    <w:p w14:paraId="5D32B750">
      <w:pPr>
        <w:spacing w:line="360" w:lineRule="auto"/>
        <w:ind w:firstLine="5250" w:firstLineChars="2500"/>
        <w:rPr>
          <w:rFonts w:hint="eastAsia" w:ascii="宋体" w:hAnsi="宋体" w:eastAsia="宋体" w:cs="宋体"/>
          <w:color w:val="auto"/>
          <w:szCs w:val="21"/>
          <w:highlight w:val="none"/>
        </w:rPr>
      </w:pPr>
    </w:p>
    <w:p w14:paraId="6D0A3192">
      <w:pPr>
        <w:spacing w:line="360" w:lineRule="auto"/>
        <w:ind w:firstLine="5250" w:firstLineChars="2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投标人全称（盖章）：</w:t>
      </w:r>
    </w:p>
    <w:p w14:paraId="5611D9AA">
      <w:pPr>
        <w:spacing w:line="360" w:lineRule="auto"/>
        <w:ind w:firstLine="5250" w:firstLineChars="2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法定代表人或授权代表（签字或盖章）：</w:t>
      </w:r>
    </w:p>
    <w:p w14:paraId="6DC6B0BE">
      <w:pPr>
        <w:ind w:firstLine="5241" w:firstLineChars="2496"/>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日 期：  年  月  日</w:t>
      </w:r>
    </w:p>
    <w:p w14:paraId="7B86CFBC">
      <w:pPr>
        <w:pStyle w:val="3"/>
        <w:ind w:left="0" w:firstLine="0" w:firstLineChars="0"/>
        <w:rPr>
          <w:rFonts w:hint="eastAsia" w:ascii="宋体" w:hAnsi="宋体" w:eastAsia="宋体" w:cs="宋体"/>
          <w:b/>
          <w:bCs/>
          <w:color w:val="auto"/>
          <w:sz w:val="22"/>
          <w:szCs w:val="22"/>
          <w:highlight w:val="none"/>
          <w:lang w:val="en-US" w:eastAsia="zh-CN"/>
        </w:rPr>
      </w:pPr>
    </w:p>
    <w:p w14:paraId="4F62B841">
      <w:pPr>
        <w:ind w:left="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p>
    <w:p w14:paraId="3C5A5468">
      <w:pPr>
        <w:pStyle w:val="3"/>
        <w:ind w:left="0"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附件</w:t>
      </w:r>
      <w:r>
        <w:rPr>
          <w:rFonts w:hint="eastAsia" w:ascii="宋体" w:hAnsi="宋体" w:eastAsia="宋体" w:cs="宋体"/>
          <w:b/>
          <w:bCs/>
          <w:color w:val="auto"/>
          <w:sz w:val="22"/>
          <w:szCs w:val="22"/>
          <w:highlight w:val="none"/>
          <w:lang w:val="en-US" w:eastAsia="zh-CN"/>
        </w:rPr>
        <w:t xml:space="preserve">七   </w:t>
      </w:r>
    </w:p>
    <w:p w14:paraId="1F9FCEF6">
      <w:pPr>
        <w:spacing w:line="380" w:lineRule="exact"/>
        <w:rPr>
          <w:rFonts w:hint="eastAsia" w:ascii="宋体" w:hAnsi="宋体" w:eastAsia="宋体" w:cs="宋体"/>
          <w:b/>
          <w:bCs/>
          <w:color w:val="auto"/>
          <w:sz w:val="22"/>
          <w:szCs w:val="22"/>
          <w:highlight w:val="none"/>
        </w:rPr>
      </w:pPr>
    </w:p>
    <w:p w14:paraId="089A87E1">
      <w:pPr>
        <w:spacing w:line="500" w:lineRule="exact"/>
        <w:rPr>
          <w:rFonts w:hint="eastAsia" w:ascii="宋体" w:hAnsi="宋体" w:eastAsia="宋体" w:cs="宋体"/>
          <w:b/>
          <w:color w:val="auto"/>
          <w:sz w:val="22"/>
          <w:szCs w:val="22"/>
          <w:highlight w:val="none"/>
          <w:u w:val="single"/>
        </w:rPr>
      </w:pPr>
    </w:p>
    <w:p w14:paraId="4A67DD0F">
      <w:pPr>
        <w:jc w:val="center"/>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国企采购活动现场确认声明书</w:t>
      </w:r>
    </w:p>
    <w:p w14:paraId="4A9D27A9">
      <w:pPr>
        <w:tabs>
          <w:tab w:val="left" w:pos="795"/>
          <w:tab w:val="center" w:pos="4873"/>
        </w:tabs>
        <w:overflowPunct w:val="0"/>
        <w:spacing w:line="460" w:lineRule="exact"/>
        <w:ind w:firstLine="118" w:firstLineChars="49"/>
        <w:jc w:val="left"/>
        <w:rPr>
          <w:rFonts w:hint="eastAsia" w:ascii="宋体" w:hAnsi="宋体" w:eastAsia="宋体" w:cs="宋体"/>
          <w:b/>
          <w:bCs/>
          <w:color w:val="auto"/>
          <w:sz w:val="24"/>
          <w:highlight w:val="none"/>
        </w:rPr>
      </w:pPr>
    </w:p>
    <w:p w14:paraId="4506B912">
      <w:pPr>
        <w:pStyle w:val="91"/>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ascii="宋体" w:hAnsi="宋体" w:eastAsia="宋体" w:cs="宋体"/>
          <w:b/>
          <w:color w:val="auto"/>
          <w:spacing w:val="6"/>
          <w:sz w:val="22"/>
          <w:szCs w:val="22"/>
          <w:highlight w:val="none"/>
          <w:u w:val="single"/>
          <w:lang w:eastAsia="zh-CN"/>
        </w:rPr>
        <w:t>温州市鹿城区旅游发展投资有限公司</w:t>
      </w:r>
      <w:r>
        <w:rPr>
          <w:rFonts w:hint="eastAsia" w:ascii="宋体" w:hAnsi="宋体" w:eastAsia="宋体" w:cs="宋体"/>
          <w:b/>
          <w:color w:val="auto"/>
          <w:spacing w:val="6"/>
          <w:sz w:val="22"/>
          <w:szCs w:val="22"/>
          <w:highlight w:val="none"/>
        </w:rPr>
        <w:t>：</w:t>
      </w:r>
    </w:p>
    <w:p w14:paraId="5F2EA986">
      <w:pPr>
        <w:pStyle w:val="91"/>
        <w:widowControl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ascii="宋体" w:hAnsi="宋体" w:eastAsia="宋体" w:cs="宋体"/>
          <w:b/>
          <w:color w:val="auto"/>
          <w:spacing w:val="6"/>
          <w:sz w:val="22"/>
          <w:szCs w:val="22"/>
          <w:highlight w:val="none"/>
          <w:u w:val="single"/>
          <w:lang w:eastAsia="zh-CN"/>
        </w:rPr>
        <w:t>浙江德丰项目管理有限公司</w:t>
      </w:r>
      <w:r>
        <w:rPr>
          <w:rFonts w:hint="eastAsia" w:ascii="宋体" w:hAnsi="宋体" w:eastAsia="宋体" w:cs="宋体"/>
          <w:b/>
          <w:color w:val="auto"/>
          <w:kern w:val="0"/>
          <w:sz w:val="22"/>
          <w:szCs w:val="22"/>
          <w:highlight w:val="none"/>
        </w:rPr>
        <w:t>：</w:t>
      </w:r>
    </w:p>
    <w:p w14:paraId="03D94970">
      <w:pPr>
        <w:pStyle w:val="91"/>
        <w:widowControl w:val="0"/>
        <w:snapToGrid w:val="0"/>
        <w:spacing w:line="440" w:lineRule="exact"/>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w:t>
      </w:r>
      <w:r>
        <w:rPr>
          <w:rFonts w:hint="eastAsia" w:ascii="宋体" w:hAnsi="宋体" w:eastAsia="宋体" w:cs="宋体"/>
          <w:color w:val="auto"/>
          <w:spacing w:val="6"/>
          <w:sz w:val="22"/>
          <w:szCs w:val="22"/>
          <w:highlight w:val="none"/>
          <w:u w:val="single"/>
          <w:lang w:eastAsia="zh-CN"/>
        </w:rPr>
        <w:t>温州市鹿城区旅游发展投资有限公司观光车采购项目</w:t>
      </w:r>
      <w:r>
        <w:rPr>
          <w:rFonts w:hint="eastAsia" w:ascii="宋体" w:hAnsi="宋体" w:eastAsia="宋体" w:cs="宋体"/>
          <w:color w:val="auto"/>
          <w:spacing w:val="6"/>
          <w:sz w:val="22"/>
          <w:szCs w:val="22"/>
          <w:highlight w:val="none"/>
        </w:rPr>
        <w:t>（编号：</w:t>
      </w:r>
      <w:r>
        <w:rPr>
          <w:rFonts w:hint="eastAsia" w:ascii="宋体" w:hAnsi="宋体" w:eastAsia="宋体" w:cs="宋体"/>
          <w:color w:val="auto"/>
          <w:spacing w:val="6"/>
          <w:sz w:val="22"/>
          <w:szCs w:val="22"/>
          <w:highlight w:val="none"/>
          <w:u w:val="single"/>
          <w:lang w:eastAsia="zh-CN"/>
        </w:rPr>
        <w:t>ZJDFZB-2025060175</w:t>
      </w:r>
      <w:r>
        <w:rPr>
          <w:rFonts w:hint="eastAsia" w:ascii="宋体" w:hAnsi="宋体" w:eastAsia="宋体" w:cs="宋体"/>
          <w:color w:val="auto"/>
          <w:spacing w:val="6"/>
          <w:sz w:val="22"/>
          <w:szCs w:val="22"/>
          <w:highlight w:val="none"/>
        </w:rPr>
        <w:t xml:space="preserve">）国企采购活动，经与本单位法人代表（负责人）联系确认，现就有关公平竞争事项郑重声明如下： </w:t>
      </w:r>
    </w:p>
    <w:p w14:paraId="239C593B">
      <w:pPr>
        <w:pStyle w:val="80"/>
        <w:widowControl/>
        <w:numPr>
          <w:ilvl w:val="0"/>
          <w:numId w:val="38"/>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4BC3F541">
      <w:pPr>
        <w:pStyle w:val="80"/>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142D3B8D">
      <w:pPr>
        <w:pStyle w:val="80"/>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2C281D1B">
      <w:pPr>
        <w:pStyle w:val="80"/>
        <w:widowControl/>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现已清楚知道参加本项目采购活动的其他所有投标人名称，本单位 □与其他所有投标人之间均不存在利害关系 □与</w:t>
      </w:r>
      <w:r>
        <w:rPr>
          <w:rFonts w:hint="eastAsia" w:ascii="宋体" w:hAnsi="宋体" w:eastAsia="宋体" w:cs="宋体"/>
          <w:color w:val="auto"/>
          <w:kern w:val="0"/>
          <w:sz w:val="22"/>
          <w:szCs w:val="22"/>
          <w:highlight w:val="none"/>
          <w:u w:val="single"/>
        </w:rPr>
        <w:t xml:space="preserve">           （投标人名称）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14:paraId="6A422BEF">
      <w:pPr>
        <w:pStyle w:val="91"/>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71A76DD8">
      <w:pPr>
        <w:pStyle w:val="91"/>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F69C911">
      <w:pPr>
        <w:pStyle w:val="91"/>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4879F71C">
      <w:pPr>
        <w:pStyle w:val="91"/>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2E10C278">
      <w:pPr>
        <w:pStyle w:val="91"/>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4EA4448A">
      <w:pPr>
        <w:pStyle w:val="91"/>
        <w:widowControl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62EBCDAF">
      <w:pPr>
        <w:pStyle w:val="91"/>
        <w:widowControl w:val="0"/>
        <w:snapToGrid w:val="0"/>
        <w:spacing w:line="440" w:lineRule="exact"/>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97" w:name="_Toc22301"/>
      <w:bookmarkStart w:id="198" w:name="_Toc43827503"/>
      <w:bookmarkStart w:id="199" w:name="_Toc7728"/>
      <w:bookmarkStart w:id="200" w:name="_Toc16722"/>
      <w:r>
        <w:rPr>
          <w:rFonts w:hint="eastAsia" w:ascii="宋体" w:hAnsi="宋体" w:eastAsia="宋体" w:cs="宋体"/>
          <w:color w:val="auto"/>
          <w:kern w:val="0"/>
          <w:sz w:val="22"/>
          <w:szCs w:val="22"/>
          <w:highlight w:val="none"/>
        </w:rPr>
        <w:t>G.存在共同直接或间接投资设立子公司、联营企业和合营企业情况</w:t>
      </w:r>
      <w:bookmarkEnd w:id="197"/>
      <w:bookmarkEnd w:id="198"/>
      <w:bookmarkEnd w:id="199"/>
      <w:bookmarkEnd w:id="200"/>
    </w:p>
    <w:p w14:paraId="4676D7FB">
      <w:pPr>
        <w:pStyle w:val="91"/>
        <w:widowControl w:val="0"/>
        <w:snapToGrid w:val="0"/>
        <w:spacing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0E48E8C5">
      <w:pPr>
        <w:pStyle w:val="91"/>
        <w:widowControl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p>
    <w:p w14:paraId="0CB3464C">
      <w:pPr>
        <w:pStyle w:val="80"/>
        <w:widowControl/>
        <w:numPr>
          <w:ilvl w:val="0"/>
          <w:numId w:val="39"/>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599A3E9F">
      <w:pPr>
        <w:pStyle w:val="80"/>
        <w:widowControl/>
        <w:numPr>
          <w:ilvl w:val="0"/>
          <w:numId w:val="39"/>
        </w:numPr>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投标人之间存在或可能存在上述第二条第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08E2339B">
      <w:pPr>
        <w:pStyle w:val="91"/>
        <w:widowControl w:val="0"/>
        <w:snapToGrid w:val="0"/>
        <w:spacing w:line="440" w:lineRule="exact"/>
        <w:ind w:firstLine="440" w:firstLineChars="200"/>
        <w:jc w:val="both"/>
        <w:rPr>
          <w:rFonts w:hint="eastAsia" w:ascii="宋体" w:hAnsi="宋体" w:eastAsia="宋体" w:cs="宋体"/>
          <w:color w:val="auto"/>
          <w:sz w:val="22"/>
          <w:szCs w:val="22"/>
          <w:highlight w:val="none"/>
        </w:rPr>
      </w:pPr>
    </w:p>
    <w:p w14:paraId="19814DBE">
      <w:pPr>
        <w:pStyle w:val="91"/>
        <w:widowControl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投标人代表签名：</w:t>
      </w:r>
    </w:p>
    <w:p w14:paraId="33B05382">
      <w:pPr>
        <w:pStyle w:val="91"/>
        <w:widowControl w:val="0"/>
        <w:snapToGrid w:val="0"/>
        <w:spacing w:line="440" w:lineRule="exact"/>
        <w:ind w:firstLine="440" w:firstLineChars="200"/>
        <w:jc w:val="both"/>
        <w:rPr>
          <w:rFonts w:hint="eastAsia" w:ascii="宋体" w:hAnsi="宋体" w:eastAsia="宋体" w:cs="宋体"/>
          <w:color w:val="auto"/>
          <w:highlight w:val="none"/>
        </w:rPr>
      </w:pPr>
      <w:r>
        <w:rPr>
          <w:rFonts w:hint="eastAsia" w:ascii="宋体" w:hAnsi="宋体" w:eastAsia="宋体" w:cs="宋体"/>
          <w:color w:val="auto"/>
          <w:sz w:val="22"/>
          <w:szCs w:val="22"/>
          <w:highlight w:val="none"/>
        </w:rPr>
        <w:t xml:space="preserve">                                    年   月   日</w:t>
      </w:r>
      <w:r>
        <w:rPr>
          <w:rFonts w:hint="eastAsia" w:ascii="宋体" w:hAnsi="宋体" w:eastAsia="宋体" w:cs="宋体"/>
          <w:color w:val="auto"/>
          <w:highlight w:val="none"/>
        </w:rPr>
        <w:t xml:space="preserve"> </w:t>
      </w:r>
    </w:p>
    <w:sectPr>
      <w:headerReference r:id="rId5" w:type="default"/>
      <w:footerReference r:id="rId6" w:type="default"/>
      <w:pgSz w:w="11906" w:h="16838"/>
      <w:pgMar w:top="1134" w:right="1134" w:bottom="1134" w:left="1134" w:header="851" w:footer="850"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3000509000000000000"/>
    <w:charset w:val="00"/>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宋体,Verdana,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57B9">
    <w:pPr>
      <w:spacing w:line="174" w:lineRule="auto"/>
      <w:ind w:left="590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C4C9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DC4C91">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C083">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607301">
                          <w:pPr>
                            <w:pStyle w:val="23"/>
                            <w:jc w:val="center"/>
                          </w:pPr>
                          <w:r>
                            <w:fldChar w:fldCharType="begin"/>
                          </w:r>
                          <w:r>
                            <w:instrText xml:space="preserve"> PAGE   \* MERGEFORMAT </w:instrText>
                          </w:r>
                          <w:r>
                            <w:fldChar w:fldCharType="separate"/>
                          </w:r>
                          <w:r>
                            <w:rPr>
                              <w:lang w:val="zh-CN"/>
                            </w:rPr>
                            <w:t>36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A607301">
                    <w:pPr>
                      <w:pStyle w:val="23"/>
                      <w:jc w:val="center"/>
                    </w:pPr>
                    <w:r>
                      <w:fldChar w:fldCharType="begin"/>
                    </w:r>
                    <w:r>
                      <w:instrText xml:space="preserve"> PAGE   \* MERGEFORMAT </w:instrText>
                    </w:r>
                    <w:r>
                      <w:fldChar w:fldCharType="separate"/>
                    </w:r>
                    <w:r>
                      <w:rPr>
                        <w:lang w:val="zh-CN"/>
                      </w:rPr>
                      <w:t>36</w:t>
                    </w:r>
                    <w:r>
                      <w:fldChar w:fldCharType="end"/>
                    </w:r>
                  </w:p>
                </w:txbxContent>
              </v:textbox>
            </v:shape>
          </w:pict>
        </mc:Fallback>
      </mc:AlternateContent>
    </w:r>
  </w:p>
  <w:p w14:paraId="7B96894E">
    <w:pPr>
      <w:pStyle w:val="23"/>
    </w:pPr>
  </w:p>
  <w:p w14:paraId="33C4EF4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298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71A6">
    <w:pPr>
      <w:pStyle w:val="25"/>
      <w:jc w:val="both"/>
      <w:rPr>
        <w:rFonts w:hint="eastAsia" w:ascii="宋体" w:hAnsi="宋体" w:eastAsia="宋体"/>
        <w:lang w:eastAsia="zh-CN"/>
      </w:rPr>
    </w:pPr>
    <w:r>
      <w:rPr>
        <w:rFonts w:hint="eastAsia" w:ascii="宋体" w:hAnsi="宋体"/>
        <w:lang w:eastAsia="zh-CN"/>
      </w:rPr>
      <w:t>温州市鹿城区国有企业采购文件</w:t>
    </w:r>
  </w:p>
  <w:p w14:paraId="2B7B5BB2">
    <w:pPr>
      <w:rPr>
        <w:rFonts w:hint="eastAsia"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266F"/>
    <w:multiLevelType w:val="singleLevel"/>
    <w:tmpl w:val="8263266F"/>
    <w:lvl w:ilvl="0" w:tentative="0">
      <w:start w:val="1"/>
      <w:numFmt w:val="decimal"/>
      <w:suff w:val="nothing"/>
      <w:lvlText w:val="%1）"/>
      <w:lvlJc w:val="left"/>
      <w:pPr>
        <w:ind w:left="7"/>
      </w:pPr>
    </w:lvl>
  </w:abstractNum>
  <w:abstractNum w:abstractNumId="1">
    <w:nsid w:val="A8A9EFC4"/>
    <w:multiLevelType w:val="singleLevel"/>
    <w:tmpl w:val="A8A9EFC4"/>
    <w:lvl w:ilvl="0" w:tentative="0">
      <w:start w:val="3"/>
      <w:numFmt w:val="chineseCounting"/>
      <w:suff w:val="space"/>
      <w:lvlText w:val="第%1部分"/>
      <w:lvlJc w:val="left"/>
      <w:rPr>
        <w:rFonts w:hint="eastAsia"/>
      </w:rPr>
    </w:lvl>
  </w:abstractNum>
  <w:abstractNum w:abstractNumId="2">
    <w:nsid w:val="CCB3DB7B"/>
    <w:multiLevelType w:val="multilevel"/>
    <w:tmpl w:val="CCB3DB7B"/>
    <w:lvl w:ilvl="0" w:tentative="0">
      <w:start w:val="1"/>
      <w:numFmt w:val="decimal"/>
      <w:lvlText w:val="%1."/>
      <w:lvlJc w:val="left"/>
      <w:pPr>
        <w:tabs>
          <w:tab w:val="left" w:pos="420"/>
        </w:tabs>
        <w:ind w:left="420" w:hanging="420"/>
      </w:pPr>
      <w:rPr>
        <w:rFonts w:hint="default" w:ascii="新宋体" w:hAnsi="新宋体" w:eastAsia="新宋体" w:cs="黑体"/>
        <w:b/>
        <w:bC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D10D60C3"/>
    <w:multiLevelType w:val="singleLevel"/>
    <w:tmpl w:val="D10D60C3"/>
    <w:lvl w:ilvl="0" w:tentative="0">
      <w:start w:val="1"/>
      <w:numFmt w:val="decimal"/>
      <w:suff w:val="nothing"/>
      <w:lvlText w:val="%1、"/>
      <w:lvlJc w:val="left"/>
    </w:lvl>
  </w:abstractNum>
  <w:abstractNum w:abstractNumId="4">
    <w:nsid w:val="E0A2AE93"/>
    <w:multiLevelType w:val="singleLevel"/>
    <w:tmpl w:val="E0A2AE93"/>
    <w:lvl w:ilvl="0" w:tentative="0">
      <w:start w:val="1"/>
      <w:numFmt w:val="decimal"/>
      <w:suff w:val="nothing"/>
      <w:lvlText w:val="（%1）"/>
      <w:lvlJc w:val="left"/>
    </w:lvl>
  </w:abstractNum>
  <w:abstractNum w:abstractNumId="5">
    <w:nsid w:val="E163C644"/>
    <w:multiLevelType w:val="singleLevel"/>
    <w:tmpl w:val="E163C644"/>
    <w:lvl w:ilvl="0" w:tentative="0">
      <w:start w:val="1"/>
      <w:numFmt w:val="chineseCounting"/>
      <w:suff w:val="nothing"/>
      <w:lvlText w:val="（%1）"/>
      <w:lvlJc w:val="left"/>
      <w:rPr>
        <w:rFonts w:hint="eastAsia"/>
      </w:rPr>
    </w:lvl>
  </w:abstractNum>
  <w:abstractNum w:abstractNumId="6">
    <w:nsid w:val="FAD3D08E"/>
    <w:multiLevelType w:val="singleLevel"/>
    <w:tmpl w:val="FAD3D08E"/>
    <w:lvl w:ilvl="0" w:tentative="0">
      <w:start w:val="7"/>
      <w:numFmt w:val="chineseCounting"/>
      <w:suff w:val="nothing"/>
      <w:lvlText w:val="%1、"/>
      <w:lvlJc w:val="left"/>
      <w:rPr>
        <w:rFonts w:hint="eastAsia"/>
      </w:rPr>
    </w:lvl>
  </w:abstractNum>
  <w:abstractNum w:abstractNumId="7">
    <w:nsid w:val="FF73117F"/>
    <w:multiLevelType w:val="singleLevel"/>
    <w:tmpl w:val="FF73117F"/>
    <w:lvl w:ilvl="0" w:tentative="0">
      <w:start w:val="2"/>
      <w:numFmt w:val="decimal"/>
      <w:suff w:val="nothing"/>
      <w:lvlText w:val="%1、"/>
      <w:lvlJc w:val="left"/>
    </w:lvl>
  </w:abstractNum>
  <w:abstractNum w:abstractNumId="8">
    <w:nsid w:val="00000001"/>
    <w:multiLevelType w:val="multilevel"/>
    <w:tmpl w:val="00000001"/>
    <w:lvl w:ilvl="0" w:tentative="0">
      <w:start w:val="1"/>
      <w:numFmt w:val="decimal"/>
      <w:lvlText w:val="（%1）"/>
      <w:lvlJc w:val="left"/>
      <w:pPr>
        <w:tabs>
          <w:tab w:val="left" w:pos="420"/>
        </w:tabs>
        <w:ind w:left="420" w:hanging="420"/>
      </w:pPr>
      <w:rPr>
        <w:rFonts w:hint="default" w:ascii="Times New Roman" w:hAnsi="Times New Roman" w:cs="Tahoma"/>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2"/>
    <w:multiLevelType w:val="multilevel"/>
    <w:tmpl w:val="00000002"/>
    <w:lvl w:ilvl="0" w:tentative="0">
      <w:start w:val="1"/>
      <w:numFmt w:val="decimal"/>
      <w:lvlText w:val="%1)"/>
      <w:lvlJc w:val="left"/>
      <w:pPr>
        <w:tabs>
          <w:tab w:val="left" w:pos="780"/>
        </w:tabs>
        <w:ind w:left="780" w:hanging="420"/>
      </w:pPr>
      <w:rPr>
        <w:rFonts w:hint="default" w:ascii="Times New Roman" w:hAnsi="Times New Roman" w:cs="Times New Roman"/>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4"/>
    <w:multiLevelType w:val="multilevel"/>
    <w:tmpl w:val="00000004"/>
    <w:lvl w:ilvl="0" w:tentative="0">
      <w:start w:val="1"/>
      <w:numFmt w:val="none"/>
      <w:lvlText w:val=""/>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06"/>
    <w:multiLevelType w:val="multilevel"/>
    <w:tmpl w:val="00000006"/>
    <w:lvl w:ilvl="0" w:tentative="0">
      <w:start w:val="1"/>
      <w:numFmt w:val="none"/>
      <w:lvlText w:val=""/>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08"/>
    <w:multiLevelType w:val="multilevel"/>
    <w:tmpl w:val="00000008"/>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0000000A"/>
    <w:multiLevelType w:val="multilevel"/>
    <w:tmpl w:val="0000000A"/>
    <w:lvl w:ilvl="0" w:tentative="0">
      <w:start w:val="1"/>
      <w:numFmt w:val="bullet"/>
      <w:pStyle w:val="65"/>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0C"/>
    <w:multiLevelType w:val="multilevel"/>
    <w:tmpl w:val="0000000C"/>
    <w:lvl w:ilvl="0" w:tentative="0">
      <w:start w:val="1"/>
      <w:numFmt w:val="none"/>
      <w:lvlText w:val=""/>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0D"/>
    <w:multiLevelType w:val="multilevel"/>
    <w:tmpl w:val="0000000D"/>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6">
    <w:nsid w:val="0000000F"/>
    <w:multiLevelType w:val="multilevel"/>
    <w:tmpl w:val="0000000F"/>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7">
    <w:nsid w:val="00000015"/>
    <w:multiLevelType w:val="multilevel"/>
    <w:tmpl w:val="00000015"/>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6"/>
    <w:multiLevelType w:val="multilevel"/>
    <w:tmpl w:val="00000016"/>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1277"/>
        </w:tabs>
        <w:ind w:left="1277"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17"/>
    <w:multiLevelType w:val="multilevel"/>
    <w:tmpl w:val="00000017"/>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00000018"/>
    <w:multiLevelType w:val="multilevel"/>
    <w:tmpl w:val="00000018"/>
    <w:lvl w:ilvl="0" w:tentative="0">
      <w:start w:val="1"/>
      <w:numFmt w:val="decimal"/>
      <w:lvlText w:val="%1)"/>
      <w:lvlJc w:val="left"/>
      <w:pPr>
        <w:tabs>
          <w:tab w:val="left" w:pos="530"/>
        </w:tabs>
        <w:ind w:left="53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9"/>
    <w:multiLevelType w:val="multilevel"/>
    <w:tmpl w:val="00000019"/>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0000001D"/>
    <w:multiLevelType w:val="multilevel"/>
    <w:tmpl w:val="0000001D"/>
    <w:lvl w:ilvl="0" w:tentative="0">
      <w:start w:val="1"/>
      <w:numFmt w:val="none"/>
      <w:lvlText w:val=""/>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000001F"/>
    <w:multiLevelType w:val="multilevel"/>
    <w:tmpl w:val="0000001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0000024"/>
    <w:multiLevelType w:val="multilevel"/>
    <w:tmpl w:val="00000024"/>
    <w:lvl w:ilvl="0" w:tentative="0">
      <w:start w:val="1"/>
      <w:numFmt w:val="none"/>
      <w:lvlText w:val=""/>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00000026"/>
    <w:multiLevelType w:val="multilevel"/>
    <w:tmpl w:val="00000026"/>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7"/>
    <w:multiLevelType w:val="multilevel"/>
    <w:tmpl w:val="00000027"/>
    <w:lvl w:ilvl="0" w:tentative="0">
      <w:start w:val="1"/>
      <w:numFmt w:val="none"/>
      <w:lvlText w:val=""/>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00000028"/>
    <w:multiLevelType w:val="multilevel"/>
    <w:tmpl w:val="00000028"/>
    <w:lvl w:ilvl="0" w:tentative="0">
      <w:start w:val="1"/>
      <w:numFmt w:val="none"/>
      <w:lvlText w:val=""/>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0000002B"/>
    <w:multiLevelType w:val="multilevel"/>
    <w:tmpl w:val="0000002B"/>
    <w:lvl w:ilvl="0" w:tentative="0">
      <w:start w:val="1"/>
      <w:numFmt w:val="none"/>
      <w:lvlText w:val=""/>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1E7E801D"/>
    <w:multiLevelType w:val="singleLevel"/>
    <w:tmpl w:val="1E7E801D"/>
    <w:lvl w:ilvl="0" w:tentative="0">
      <w:start w:val="1"/>
      <w:numFmt w:val="decimal"/>
      <w:suff w:val="nothing"/>
      <w:lvlText w:val="%1）"/>
      <w:lvlJc w:val="left"/>
    </w:lvl>
  </w:abstractNum>
  <w:abstractNum w:abstractNumId="30">
    <w:nsid w:val="270517A6"/>
    <w:multiLevelType w:val="multilevel"/>
    <w:tmpl w:val="270517A6"/>
    <w:lvl w:ilvl="0" w:tentative="0">
      <w:start w:val="1"/>
      <w:numFmt w:val="decimal"/>
      <w:lvlText w:val="%1)"/>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27C9C20E"/>
    <w:multiLevelType w:val="singleLevel"/>
    <w:tmpl w:val="27C9C20E"/>
    <w:lvl w:ilvl="0" w:tentative="0">
      <w:start w:val="2"/>
      <w:numFmt w:val="chineseCounting"/>
      <w:suff w:val="nothing"/>
      <w:lvlText w:val="%1、"/>
      <w:lvlJc w:val="left"/>
      <w:rPr>
        <w:rFonts w:hint="eastAsia"/>
      </w:rPr>
    </w:lvl>
  </w:abstractNum>
  <w:abstractNum w:abstractNumId="32">
    <w:nsid w:val="2A4789ED"/>
    <w:multiLevelType w:val="singleLevel"/>
    <w:tmpl w:val="2A4789ED"/>
    <w:lvl w:ilvl="0" w:tentative="0">
      <w:start w:val="1"/>
      <w:numFmt w:val="chineseCounting"/>
      <w:suff w:val="nothing"/>
      <w:lvlText w:val="%1、"/>
      <w:lvlJc w:val="left"/>
      <w:pPr>
        <w:ind w:left="0" w:firstLine="420"/>
      </w:pPr>
      <w:rPr>
        <w:rFonts w:hint="eastAsia"/>
      </w:rPr>
    </w:lvl>
  </w:abstractNum>
  <w:abstractNum w:abstractNumId="33">
    <w:nsid w:val="41546862"/>
    <w:multiLevelType w:val="multilevel"/>
    <w:tmpl w:val="41546862"/>
    <w:lvl w:ilvl="0" w:tentative="0">
      <w:start w:val="1"/>
      <w:numFmt w:val="decimal"/>
      <w:lvlText w:val="%1、"/>
      <w:lvlJc w:val="left"/>
      <w:pPr>
        <w:ind w:left="862" w:hanging="360"/>
      </w:pPr>
      <w:rPr>
        <w:rFonts w:hint="default"/>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abstractNum w:abstractNumId="34">
    <w:nsid w:val="457D49BA"/>
    <w:multiLevelType w:val="singleLevel"/>
    <w:tmpl w:val="457D49BA"/>
    <w:lvl w:ilvl="0" w:tentative="0">
      <w:start w:val="1"/>
      <w:numFmt w:val="decimal"/>
      <w:suff w:val="nothing"/>
      <w:lvlText w:val="%1、"/>
      <w:lvlJc w:val="left"/>
      <w:rPr>
        <w:rFonts w:cs="Times New Roman"/>
      </w:rPr>
    </w:lvl>
  </w:abstractNum>
  <w:abstractNum w:abstractNumId="35">
    <w:nsid w:val="45DC5E2A"/>
    <w:multiLevelType w:val="multilevel"/>
    <w:tmpl w:val="45DC5E2A"/>
    <w:lvl w:ilvl="0" w:tentative="0">
      <w:start w:val="1"/>
      <w:numFmt w:val="decimal"/>
      <w:lvlText w:val="%1."/>
      <w:lvlJc w:val="left"/>
      <w:pPr>
        <w:tabs>
          <w:tab w:val="left" w:pos="0"/>
        </w:tabs>
        <w:ind w:left="805" w:hanging="420"/>
      </w:pPr>
    </w:lvl>
    <w:lvl w:ilvl="1" w:tentative="0">
      <w:start w:val="1"/>
      <w:numFmt w:val="lowerLetter"/>
      <w:lvlText w:val="%2)"/>
      <w:lvlJc w:val="left"/>
      <w:pPr>
        <w:tabs>
          <w:tab w:val="left" w:pos="0"/>
        </w:tabs>
        <w:ind w:left="1225" w:hanging="420"/>
      </w:pPr>
    </w:lvl>
    <w:lvl w:ilvl="2" w:tentative="0">
      <w:start w:val="1"/>
      <w:numFmt w:val="lowerRoman"/>
      <w:lvlText w:val="%3."/>
      <w:lvlJc w:val="right"/>
      <w:pPr>
        <w:tabs>
          <w:tab w:val="left" w:pos="0"/>
        </w:tabs>
        <w:ind w:left="1645" w:hanging="420"/>
      </w:pPr>
    </w:lvl>
    <w:lvl w:ilvl="3" w:tentative="0">
      <w:start w:val="1"/>
      <w:numFmt w:val="decimal"/>
      <w:lvlText w:val="%4."/>
      <w:lvlJc w:val="left"/>
      <w:pPr>
        <w:tabs>
          <w:tab w:val="left" w:pos="0"/>
        </w:tabs>
        <w:ind w:left="2065" w:hanging="420"/>
      </w:pPr>
    </w:lvl>
    <w:lvl w:ilvl="4" w:tentative="0">
      <w:start w:val="1"/>
      <w:numFmt w:val="lowerLetter"/>
      <w:lvlText w:val="%5)"/>
      <w:lvlJc w:val="left"/>
      <w:pPr>
        <w:tabs>
          <w:tab w:val="left" w:pos="0"/>
        </w:tabs>
        <w:ind w:left="2485" w:hanging="420"/>
      </w:pPr>
    </w:lvl>
    <w:lvl w:ilvl="5" w:tentative="0">
      <w:start w:val="1"/>
      <w:numFmt w:val="lowerRoman"/>
      <w:lvlText w:val="%6."/>
      <w:lvlJc w:val="right"/>
      <w:pPr>
        <w:tabs>
          <w:tab w:val="left" w:pos="0"/>
        </w:tabs>
        <w:ind w:left="2905" w:hanging="420"/>
      </w:pPr>
    </w:lvl>
    <w:lvl w:ilvl="6" w:tentative="0">
      <w:start w:val="1"/>
      <w:numFmt w:val="decimal"/>
      <w:lvlText w:val="%7."/>
      <w:lvlJc w:val="left"/>
      <w:pPr>
        <w:tabs>
          <w:tab w:val="left" w:pos="0"/>
        </w:tabs>
        <w:ind w:left="3325" w:hanging="420"/>
      </w:pPr>
    </w:lvl>
    <w:lvl w:ilvl="7" w:tentative="0">
      <w:start w:val="1"/>
      <w:numFmt w:val="lowerLetter"/>
      <w:lvlText w:val="%8)"/>
      <w:lvlJc w:val="left"/>
      <w:pPr>
        <w:tabs>
          <w:tab w:val="left" w:pos="0"/>
        </w:tabs>
        <w:ind w:left="3745" w:hanging="420"/>
      </w:pPr>
    </w:lvl>
    <w:lvl w:ilvl="8" w:tentative="0">
      <w:start w:val="1"/>
      <w:numFmt w:val="lowerRoman"/>
      <w:lvlText w:val="%9."/>
      <w:lvlJc w:val="right"/>
      <w:pPr>
        <w:tabs>
          <w:tab w:val="left" w:pos="0"/>
        </w:tabs>
        <w:ind w:left="4165" w:hanging="420"/>
      </w:pPr>
    </w:lvl>
  </w:abstractNum>
  <w:abstractNum w:abstractNumId="36">
    <w:nsid w:val="54F403B5"/>
    <w:multiLevelType w:val="singleLevel"/>
    <w:tmpl w:val="54F403B5"/>
    <w:lvl w:ilvl="0" w:tentative="0">
      <w:start w:val="1"/>
      <w:numFmt w:val="chineseCounting"/>
      <w:suff w:val="nothing"/>
      <w:lvlText w:val="%1、"/>
      <w:lvlJc w:val="left"/>
      <w:pPr>
        <w:ind w:left="0" w:firstLine="0"/>
      </w:pPr>
    </w:lvl>
  </w:abstractNum>
  <w:abstractNum w:abstractNumId="37">
    <w:nsid w:val="557FD3DA"/>
    <w:multiLevelType w:val="singleLevel"/>
    <w:tmpl w:val="557FD3DA"/>
    <w:lvl w:ilvl="0" w:tentative="0">
      <w:start w:val="3"/>
      <w:numFmt w:val="chineseCounting"/>
      <w:suff w:val="nothing"/>
      <w:lvlText w:val="%1、"/>
      <w:lvlJc w:val="left"/>
      <w:pPr>
        <w:ind w:left="0" w:firstLine="0"/>
      </w:pPr>
    </w:lvl>
  </w:abstractNum>
  <w:abstractNum w:abstractNumId="38">
    <w:nsid w:val="6B1D1232"/>
    <w:multiLevelType w:val="multilevel"/>
    <w:tmpl w:val="6B1D1232"/>
    <w:lvl w:ilvl="0" w:tentative="0">
      <w:start w:val="1"/>
      <w:numFmt w:val="chineseCountingThousand"/>
      <w:lvlText w:val="第%1条"/>
      <w:lvlJc w:val="left"/>
      <w:pPr>
        <w:tabs>
          <w:tab w:val="left" w:pos="5217"/>
        </w:tabs>
        <w:ind w:left="5217" w:hanging="680"/>
      </w:pPr>
      <w:rPr>
        <w:rFonts w:hint="default"/>
        <w:b/>
        <w:i w:val="0"/>
        <w:sz w:val="24"/>
        <w:lang w:val="en-GB"/>
      </w:rPr>
    </w:lvl>
    <w:lvl w:ilvl="1" w:tentative="0">
      <w:start w:val="1"/>
      <w:numFmt w:val="decimal"/>
      <w:pStyle w:val="78"/>
      <w:isLgl/>
      <w:lvlText w:val="%1.%2"/>
      <w:lvlJc w:val="left"/>
      <w:pPr>
        <w:tabs>
          <w:tab w:val="left" w:pos="680"/>
        </w:tabs>
        <w:ind w:left="680" w:hanging="680"/>
      </w:pPr>
      <w:rPr>
        <w:rFonts w:hint="default"/>
        <w:b/>
        <w:i w:val="0"/>
        <w:color w:val="auto"/>
        <w:sz w:val="24"/>
      </w:rPr>
    </w:lvl>
    <w:lvl w:ilvl="2" w:tentative="0">
      <w:start w:val="1"/>
      <w:numFmt w:val="decimal"/>
      <w:isLgl/>
      <w:lvlText w:val="%1.%2.%3"/>
      <w:lvlJc w:val="left"/>
      <w:pPr>
        <w:tabs>
          <w:tab w:val="left" w:pos="1361"/>
        </w:tabs>
        <w:ind w:left="1361" w:hanging="681"/>
      </w:pPr>
      <w:rPr>
        <w:rFonts w:hint="default"/>
        <w:b/>
        <w:i w:val="0"/>
        <w:color w:val="auto"/>
        <w:spacing w:val="-20"/>
        <w:sz w:val="22"/>
      </w:rPr>
    </w:lvl>
    <w:lvl w:ilvl="3" w:tentative="0">
      <w:start w:val="1"/>
      <w:numFmt w:val="lowerRoman"/>
      <w:lvlText w:val="(%4)"/>
      <w:lvlJc w:val="left"/>
      <w:pPr>
        <w:tabs>
          <w:tab w:val="left" w:pos="2041"/>
        </w:tabs>
        <w:ind w:left="2041" w:hanging="680"/>
      </w:pPr>
      <w:rPr>
        <w:rFonts w:hint="default"/>
      </w:rPr>
    </w:lvl>
    <w:lvl w:ilvl="4" w:tentative="0">
      <w:start w:val="1"/>
      <w:numFmt w:val="lowerLetter"/>
      <w:lvlText w:val="(%5)"/>
      <w:lvlJc w:val="left"/>
      <w:pPr>
        <w:tabs>
          <w:tab w:val="left" w:pos="2007"/>
        </w:tabs>
        <w:ind w:left="2007" w:hanging="567"/>
      </w:pPr>
      <w:rPr>
        <w:rFonts w:hint="default"/>
      </w:rPr>
    </w:lvl>
    <w:lvl w:ilvl="5" w:tentative="0">
      <w:start w:val="1"/>
      <w:numFmt w:val="upperRoman"/>
      <w:lvlText w:val="(%6)"/>
      <w:lvlJc w:val="left"/>
      <w:pPr>
        <w:tabs>
          <w:tab w:val="left" w:pos="3288"/>
        </w:tabs>
        <w:ind w:left="3288" w:hanging="680"/>
      </w:pPr>
      <w:rPr>
        <w:rFonts w:hint="default"/>
      </w:rPr>
    </w:lvl>
    <w:lvl w:ilvl="6" w:tentative="0">
      <w:start w:val="1"/>
      <w:numFmt w:val="none"/>
      <w:lvlText w:val=""/>
      <w:lvlJc w:val="left"/>
      <w:pPr>
        <w:tabs>
          <w:tab w:val="left" w:pos="3288"/>
        </w:tabs>
        <w:ind w:left="3288" w:hanging="680"/>
      </w:pPr>
      <w:rPr>
        <w:rFonts w:hint="default"/>
      </w:rPr>
    </w:lvl>
    <w:lvl w:ilvl="7" w:tentative="0">
      <w:start w:val="1"/>
      <w:numFmt w:val="none"/>
      <w:lvlText w:val=""/>
      <w:lvlJc w:val="left"/>
      <w:pPr>
        <w:tabs>
          <w:tab w:val="left" w:pos="3288"/>
        </w:tabs>
        <w:ind w:left="3288" w:hanging="680"/>
      </w:pPr>
      <w:rPr>
        <w:rFonts w:hint="default"/>
      </w:rPr>
    </w:lvl>
    <w:lvl w:ilvl="8" w:tentative="0">
      <w:start w:val="1"/>
      <w:numFmt w:val="none"/>
      <w:lvlText w:val=""/>
      <w:lvlJc w:val="left"/>
      <w:pPr>
        <w:tabs>
          <w:tab w:val="left" w:pos="3288"/>
        </w:tabs>
        <w:ind w:left="3288" w:hanging="680"/>
      </w:pPr>
      <w:rPr>
        <w:rFonts w:hint="default"/>
      </w:rPr>
    </w:lvl>
  </w:abstractNum>
  <w:num w:numId="1">
    <w:abstractNumId w:val="1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6"/>
  </w:num>
  <w:num w:numId="4">
    <w:abstractNumId w:val="33"/>
  </w:num>
  <w:num w:numId="5">
    <w:abstractNumId w:val="30"/>
  </w:num>
  <w:num w:numId="6">
    <w:abstractNumId w:val="32"/>
  </w:num>
  <w:num w:numId="7">
    <w:abstractNumId w:val="5"/>
  </w:num>
  <w:num w:numId="8">
    <w:abstractNumId w:val="16"/>
  </w:num>
  <w:num w:numId="9">
    <w:abstractNumId w:val="15"/>
  </w:num>
  <w:num w:numId="10">
    <w:abstractNumId w:val="12"/>
  </w:num>
  <w:num w:numId="11">
    <w:abstractNumId w:val="27"/>
  </w:num>
  <w:num w:numId="12">
    <w:abstractNumId w:val="9"/>
  </w:num>
  <w:num w:numId="13">
    <w:abstractNumId w:val="20"/>
  </w:num>
  <w:num w:numId="14">
    <w:abstractNumId w:val="17"/>
  </w:num>
  <w:num w:numId="15">
    <w:abstractNumId w:val="22"/>
  </w:num>
  <w:num w:numId="16">
    <w:abstractNumId w:val="14"/>
  </w:num>
  <w:num w:numId="17">
    <w:abstractNumId w:val="26"/>
  </w:num>
  <w:num w:numId="18">
    <w:abstractNumId w:val="21"/>
  </w:num>
  <w:num w:numId="19">
    <w:abstractNumId w:val="24"/>
  </w:num>
  <w:num w:numId="20">
    <w:abstractNumId w:val="10"/>
  </w:num>
  <w:num w:numId="21">
    <w:abstractNumId w:val="19"/>
  </w:num>
  <w:num w:numId="22">
    <w:abstractNumId w:val="23"/>
  </w:num>
  <w:num w:numId="23">
    <w:abstractNumId w:val="18"/>
  </w:num>
  <w:num w:numId="24">
    <w:abstractNumId w:val="25"/>
  </w:num>
  <w:num w:numId="25">
    <w:abstractNumId w:val="8"/>
  </w:num>
  <w:num w:numId="26">
    <w:abstractNumId w:val="28"/>
  </w:num>
  <w:num w:numId="27">
    <w:abstractNumId w:val="11"/>
  </w:num>
  <w:num w:numId="28">
    <w:abstractNumId w:val="2"/>
  </w:num>
  <w:num w:numId="29">
    <w:abstractNumId w:val="31"/>
  </w:num>
  <w:num w:numId="30">
    <w:abstractNumId w:val="7"/>
  </w:num>
  <w:num w:numId="31">
    <w:abstractNumId w:val="1"/>
  </w:num>
  <w:num w:numId="32">
    <w:abstractNumId w:val="4"/>
  </w:num>
  <w:num w:numId="33">
    <w:abstractNumId w:val="34"/>
  </w:num>
  <w:num w:numId="34">
    <w:abstractNumId w:val="35"/>
  </w:num>
  <w:num w:numId="35">
    <w:abstractNumId w:val="3"/>
  </w:num>
  <w:num w:numId="36">
    <w:abstractNumId w:val="0"/>
  </w:num>
  <w:num w:numId="37">
    <w:abstractNumId w:val="29"/>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YzU4NzMyNjdhZWVjYmI0MTU1MzMyNzRkMzc3OWYifQ=="/>
  </w:docVars>
  <w:rsids>
    <w:rsidRoot w:val="00172A27"/>
    <w:rsid w:val="000009F5"/>
    <w:rsid w:val="00001380"/>
    <w:rsid w:val="00002CB1"/>
    <w:rsid w:val="0000340D"/>
    <w:rsid w:val="00003A66"/>
    <w:rsid w:val="00005043"/>
    <w:rsid w:val="000053C0"/>
    <w:rsid w:val="00005E2A"/>
    <w:rsid w:val="000066EF"/>
    <w:rsid w:val="00006E3C"/>
    <w:rsid w:val="00010F67"/>
    <w:rsid w:val="00011067"/>
    <w:rsid w:val="0001120F"/>
    <w:rsid w:val="0001322E"/>
    <w:rsid w:val="00014C8E"/>
    <w:rsid w:val="00015251"/>
    <w:rsid w:val="000157E0"/>
    <w:rsid w:val="00016969"/>
    <w:rsid w:val="00017CFF"/>
    <w:rsid w:val="000237A7"/>
    <w:rsid w:val="000238E0"/>
    <w:rsid w:val="00023A93"/>
    <w:rsid w:val="00024929"/>
    <w:rsid w:val="00025CDD"/>
    <w:rsid w:val="00026538"/>
    <w:rsid w:val="00026C3B"/>
    <w:rsid w:val="00030937"/>
    <w:rsid w:val="000345EB"/>
    <w:rsid w:val="00034BF8"/>
    <w:rsid w:val="00035490"/>
    <w:rsid w:val="00035750"/>
    <w:rsid w:val="00035BA0"/>
    <w:rsid w:val="00035BB6"/>
    <w:rsid w:val="00035CCB"/>
    <w:rsid w:val="00035E87"/>
    <w:rsid w:val="00035F6F"/>
    <w:rsid w:val="00040402"/>
    <w:rsid w:val="00041329"/>
    <w:rsid w:val="00042E2F"/>
    <w:rsid w:val="0005052D"/>
    <w:rsid w:val="000506B4"/>
    <w:rsid w:val="00051166"/>
    <w:rsid w:val="000515F3"/>
    <w:rsid w:val="00052EC4"/>
    <w:rsid w:val="00053B42"/>
    <w:rsid w:val="000548DE"/>
    <w:rsid w:val="00054D5C"/>
    <w:rsid w:val="00054FC6"/>
    <w:rsid w:val="000560AE"/>
    <w:rsid w:val="00060505"/>
    <w:rsid w:val="000611E3"/>
    <w:rsid w:val="000622C1"/>
    <w:rsid w:val="0006286C"/>
    <w:rsid w:val="0006334B"/>
    <w:rsid w:val="00063E50"/>
    <w:rsid w:val="0006448F"/>
    <w:rsid w:val="00066DA0"/>
    <w:rsid w:val="000722C5"/>
    <w:rsid w:val="00072310"/>
    <w:rsid w:val="0007247B"/>
    <w:rsid w:val="00073304"/>
    <w:rsid w:val="00074B78"/>
    <w:rsid w:val="0008019F"/>
    <w:rsid w:val="000803DE"/>
    <w:rsid w:val="00081E28"/>
    <w:rsid w:val="0008207A"/>
    <w:rsid w:val="00082463"/>
    <w:rsid w:val="000832C8"/>
    <w:rsid w:val="000853D3"/>
    <w:rsid w:val="000861D1"/>
    <w:rsid w:val="00087F08"/>
    <w:rsid w:val="000930EA"/>
    <w:rsid w:val="00094254"/>
    <w:rsid w:val="0009425F"/>
    <w:rsid w:val="00095314"/>
    <w:rsid w:val="000968BD"/>
    <w:rsid w:val="00096ABD"/>
    <w:rsid w:val="000A1983"/>
    <w:rsid w:val="000A20B7"/>
    <w:rsid w:val="000A328D"/>
    <w:rsid w:val="000A4DF8"/>
    <w:rsid w:val="000A5466"/>
    <w:rsid w:val="000A5ADF"/>
    <w:rsid w:val="000A63F5"/>
    <w:rsid w:val="000A7715"/>
    <w:rsid w:val="000A7842"/>
    <w:rsid w:val="000B09D6"/>
    <w:rsid w:val="000B1182"/>
    <w:rsid w:val="000B1199"/>
    <w:rsid w:val="000B329E"/>
    <w:rsid w:val="000B36A7"/>
    <w:rsid w:val="000B3735"/>
    <w:rsid w:val="000B5341"/>
    <w:rsid w:val="000B5A18"/>
    <w:rsid w:val="000B5DD6"/>
    <w:rsid w:val="000B5FCA"/>
    <w:rsid w:val="000B6DFD"/>
    <w:rsid w:val="000C362B"/>
    <w:rsid w:val="000C6761"/>
    <w:rsid w:val="000C6EB6"/>
    <w:rsid w:val="000C7809"/>
    <w:rsid w:val="000C7CBF"/>
    <w:rsid w:val="000D0E22"/>
    <w:rsid w:val="000D4A4C"/>
    <w:rsid w:val="000D73D9"/>
    <w:rsid w:val="000E10DB"/>
    <w:rsid w:val="000E2A62"/>
    <w:rsid w:val="000E3530"/>
    <w:rsid w:val="000E39D6"/>
    <w:rsid w:val="000E6B70"/>
    <w:rsid w:val="000E75FB"/>
    <w:rsid w:val="000F0294"/>
    <w:rsid w:val="000F1FBE"/>
    <w:rsid w:val="000F2728"/>
    <w:rsid w:val="000F3619"/>
    <w:rsid w:val="000F6410"/>
    <w:rsid w:val="000F79A4"/>
    <w:rsid w:val="000F7AE5"/>
    <w:rsid w:val="000F7C73"/>
    <w:rsid w:val="00101644"/>
    <w:rsid w:val="00101AC0"/>
    <w:rsid w:val="001020F4"/>
    <w:rsid w:val="001030C6"/>
    <w:rsid w:val="00103AD8"/>
    <w:rsid w:val="0010568D"/>
    <w:rsid w:val="001064A6"/>
    <w:rsid w:val="0010684A"/>
    <w:rsid w:val="00112030"/>
    <w:rsid w:val="0011478A"/>
    <w:rsid w:val="001156FE"/>
    <w:rsid w:val="00115E23"/>
    <w:rsid w:val="00123BAD"/>
    <w:rsid w:val="00123E7C"/>
    <w:rsid w:val="001263CA"/>
    <w:rsid w:val="001265A0"/>
    <w:rsid w:val="001266BF"/>
    <w:rsid w:val="00127F4D"/>
    <w:rsid w:val="00130AF0"/>
    <w:rsid w:val="00131E83"/>
    <w:rsid w:val="0013221F"/>
    <w:rsid w:val="001325EF"/>
    <w:rsid w:val="00132C17"/>
    <w:rsid w:val="00133211"/>
    <w:rsid w:val="00134351"/>
    <w:rsid w:val="001367AF"/>
    <w:rsid w:val="0013760C"/>
    <w:rsid w:val="00137753"/>
    <w:rsid w:val="001377FC"/>
    <w:rsid w:val="00137F40"/>
    <w:rsid w:val="00140223"/>
    <w:rsid w:val="00143117"/>
    <w:rsid w:val="00143A6A"/>
    <w:rsid w:val="0014546D"/>
    <w:rsid w:val="00146114"/>
    <w:rsid w:val="0014791A"/>
    <w:rsid w:val="00150AA7"/>
    <w:rsid w:val="00152443"/>
    <w:rsid w:val="001528EB"/>
    <w:rsid w:val="00155310"/>
    <w:rsid w:val="00156F66"/>
    <w:rsid w:val="001601F3"/>
    <w:rsid w:val="0016030B"/>
    <w:rsid w:val="00161AF3"/>
    <w:rsid w:val="00161CFC"/>
    <w:rsid w:val="00161EA2"/>
    <w:rsid w:val="00162A58"/>
    <w:rsid w:val="00162E8F"/>
    <w:rsid w:val="001632E9"/>
    <w:rsid w:val="00163C20"/>
    <w:rsid w:val="001671DC"/>
    <w:rsid w:val="0016795B"/>
    <w:rsid w:val="0017045C"/>
    <w:rsid w:val="0017187B"/>
    <w:rsid w:val="0017498A"/>
    <w:rsid w:val="00174EB3"/>
    <w:rsid w:val="00175520"/>
    <w:rsid w:val="00180634"/>
    <w:rsid w:val="001831C1"/>
    <w:rsid w:val="00183F0E"/>
    <w:rsid w:val="00184846"/>
    <w:rsid w:val="00186674"/>
    <w:rsid w:val="001866ED"/>
    <w:rsid w:val="00186E54"/>
    <w:rsid w:val="00187CAD"/>
    <w:rsid w:val="00191D9B"/>
    <w:rsid w:val="00192E60"/>
    <w:rsid w:val="00193B17"/>
    <w:rsid w:val="0019491C"/>
    <w:rsid w:val="0019588E"/>
    <w:rsid w:val="00195B99"/>
    <w:rsid w:val="00195C4F"/>
    <w:rsid w:val="00196551"/>
    <w:rsid w:val="00197748"/>
    <w:rsid w:val="00197786"/>
    <w:rsid w:val="00197E7B"/>
    <w:rsid w:val="001A08CC"/>
    <w:rsid w:val="001A0B61"/>
    <w:rsid w:val="001A2495"/>
    <w:rsid w:val="001A30EE"/>
    <w:rsid w:val="001A370B"/>
    <w:rsid w:val="001A57CB"/>
    <w:rsid w:val="001A57FA"/>
    <w:rsid w:val="001A6C5A"/>
    <w:rsid w:val="001B1B9B"/>
    <w:rsid w:val="001B2696"/>
    <w:rsid w:val="001B28CB"/>
    <w:rsid w:val="001B335C"/>
    <w:rsid w:val="001B45D2"/>
    <w:rsid w:val="001B4606"/>
    <w:rsid w:val="001B5B34"/>
    <w:rsid w:val="001C0431"/>
    <w:rsid w:val="001C239E"/>
    <w:rsid w:val="001C2F81"/>
    <w:rsid w:val="001C5EFC"/>
    <w:rsid w:val="001C6F26"/>
    <w:rsid w:val="001D11DE"/>
    <w:rsid w:val="001D21A8"/>
    <w:rsid w:val="001D29FB"/>
    <w:rsid w:val="001D2CF5"/>
    <w:rsid w:val="001D3384"/>
    <w:rsid w:val="001D63C0"/>
    <w:rsid w:val="001D6B9A"/>
    <w:rsid w:val="001D711C"/>
    <w:rsid w:val="001D76AB"/>
    <w:rsid w:val="001E013B"/>
    <w:rsid w:val="001E0520"/>
    <w:rsid w:val="001E376F"/>
    <w:rsid w:val="001E726C"/>
    <w:rsid w:val="001E7C71"/>
    <w:rsid w:val="001F169F"/>
    <w:rsid w:val="001F24A5"/>
    <w:rsid w:val="001F362D"/>
    <w:rsid w:val="001F3B6E"/>
    <w:rsid w:val="001F430D"/>
    <w:rsid w:val="001F5985"/>
    <w:rsid w:val="001F69BE"/>
    <w:rsid w:val="00200121"/>
    <w:rsid w:val="00201E84"/>
    <w:rsid w:val="00201FC4"/>
    <w:rsid w:val="00205213"/>
    <w:rsid w:val="00210979"/>
    <w:rsid w:val="00211497"/>
    <w:rsid w:val="00212117"/>
    <w:rsid w:val="002136D4"/>
    <w:rsid w:val="00213866"/>
    <w:rsid w:val="00214475"/>
    <w:rsid w:val="002161A6"/>
    <w:rsid w:val="00216C1E"/>
    <w:rsid w:val="00216E04"/>
    <w:rsid w:val="00217E22"/>
    <w:rsid w:val="00220A8C"/>
    <w:rsid w:val="00220B37"/>
    <w:rsid w:val="00221867"/>
    <w:rsid w:val="00221D45"/>
    <w:rsid w:val="00221D63"/>
    <w:rsid w:val="002225DC"/>
    <w:rsid w:val="002241B4"/>
    <w:rsid w:val="00224B8F"/>
    <w:rsid w:val="00225F76"/>
    <w:rsid w:val="00226492"/>
    <w:rsid w:val="00227916"/>
    <w:rsid w:val="00231563"/>
    <w:rsid w:val="00231733"/>
    <w:rsid w:val="002352A0"/>
    <w:rsid w:val="002357FB"/>
    <w:rsid w:val="002358F4"/>
    <w:rsid w:val="002376C6"/>
    <w:rsid w:val="00240C65"/>
    <w:rsid w:val="00240D05"/>
    <w:rsid w:val="00241F03"/>
    <w:rsid w:val="00242271"/>
    <w:rsid w:val="00242A63"/>
    <w:rsid w:val="00242B3E"/>
    <w:rsid w:val="00243AC5"/>
    <w:rsid w:val="00243B0E"/>
    <w:rsid w:val="00244F16"/>
    <w:rsid w:val="002461EE"/>
    <w:rsid w:val="00246422"/>
    <w:rsid w:val="0024766D"/>
    <w:rsid w:val="0024772A"/>
    <w:rsid w:val="00250036"/>
    <w:rsid w:val="00251A22"/>
    <w:rsid w:val="0025244C"/>
    <w:rsid w:val="00254330"/>
    <w:rsid w:val="00254A99"/>
    <w:rsid w:val="00256997"/>
    <w:rsid w:val="00256D8D"/>
    <w:rsid w:val="00260378"/>
    <w:rsid w:val="00262E17"/>
    <w:rsid w:val="00263C46"/>
    <w:rsid w:val="002652D9"/>
    <w:rsid w:val="002659A6"/>
    <w:rsid w:val="0026651F"/>
    <w:rsid w:val="00266CE8"/>
    <w:rsid w:val="0026723C"/>
    <w:rsid w:val="00272CB0"/>
    <w:rsid w:val="00273BA2"/>
    <w:rsid w:val="002740B9"/>
    <w:rsid w:val="00275C95"/>
    <w:rsid w:val="0027661D"/>
    <w:rsid w:val="002770B7"/>
    <w:rsid w:val="00277460"/>
    <w:rsid w:val="002804CE"/>
    <w:rsid w:val="00280A65"/>
    <w:rsid w:val="00280FEF"/>
    <w:rsid w:val="0028109A"/>
    <w:rsid w:val="00281DDC"/>
    <w:rsid w:val="00281FBE"/>
    <w:rsid w:val="00282FD5"/>
    <w:rsid w:val="00283114"/>
    <w:rsid w:val="002835DD"/>
    <w:rsid w:val="00286DD8"/>
    <w:rsid w:val="0029043C"/>
    <w:rsid w:val="00291B72"/>
    <w:rsid w:val="00291D32"/>
    <w:rsid w:val="00292455"/>
    <w:rsid w:val="00292814"/>
    <w:rsid w:val="00293606"/>
    <w:rsid w:val="00294454"/>
    <w:rsid w:val="00295F60"/>
    <w:rsid w:val="0029658E"/>
    <w:rsid w:val="00297173"/>
    <w:rsid w:val="00297E08"/>
    <w:rsid w:val="002A051B"/>
    <w:rsid w:val="002A4A0D"/>
    <w:rsid w:val="002A6BD5"/>
    <w:rsid w:val="002B038E"/>
    <w:rsid w:val="002B1C31"/>
    <w:rsid w:val="002B2154"/>
    <w:rsid w:val="002B41F4"/>
    <w:rsid w:val="002B4A6A"/>
    <w:rsid w:val="002B4D23"/>
    <w:rsid w:val="002B5B35"/>
    <w:rsid w:val="002C26CC"/>
    <w:rsid w:val="002C3295"/>
    <w:rsid w:val="002C4012"/>
    <w:rsid w:val="002C6AE5"/>
    <w:rsid w:val="002D1214"/>
    <w:rsid w:val="002D3563"/>
    <w:rsid w:val="002D3D89"/>
    <w:rsid w:val="002D6CCA"/>
    <w:rsid w:val="002D7D4C"/>
    <w:rsid w:val="002E09BA"/>
    <w:rsid w:val="002E12E1"/>
    <w:rsid w:val="002E1F1D"/>
    <w:rsid w:val="002E3588"/>
    <w:rsid w:val="002E414F"/>
    <w:rsid w:val="002E4D98"/>
    <w:rsid w:val="002E4FC2"/>
    <w:rsid w:val="002E621E"/>
    <w:rsid w:val="002E7FC6"/>
    <w:rsid w:val="002F2128"/>
    <w:rsid w:val="002F2CC3"/>
    <w:rsid w:val="002F31D8"/>
    <w:rsid w:val="002F4CE2"/>
    <w:rsid w:val="002F4EE5"/>
    <w:rsid w:val="002F6F42"/>
    <w:rsid w:val="0030021B"/>
    <w:rsid w:val="003005E8"/>
    <w:rsid w:val="00300D84"/>
    <w:rsid w:val="003051A4"/>
    <w:rsid w:val="00306C91"/>
    <w:rsid w:val="00307EEB"/>
    <w:rsid w:val="00307F4F"/>
    <w:rsid w:val="00310B99"/>
    <w:rsid w:val="0031148A"/>
    <w:rsid w:val="00311CAC"/>
    <w:rsid w:val="00313693"/>
    <w:rsid w:val="00314DC2"/>
    <w:rsid w:val="00314E14"/>
    <w:rsid w:val="0031541C"/>
    <w:rsid w:val="00315C51"/>
    <w:rsid w:val="00316675"/>
    <w:rsid w:val="00316A41"/>
    <w:rsid w:val="003202BA"/>
    <w:rsid w:val="003205E8"/>
    <w:rsid w:val="0032241D"/>
    <w:rsid w:val="003227D9"/>
    <w:rsid w:val="00325D8E"/>
    <w:rsid w:val="0032712D"/>
    <w:rsid w:val="003276D1"/>
    <w:rsid w:val="003316FD"/>
    <w:rsid w:val="00331756"/>
    <w:rsid w:val="00333B48"/>
    <w:rsid w:val="00334E84"/>
    <w:rsid w:val="00335FD1"/>
    <w:rsid w:val="0033603E"/>
    <w:rsid w:val="003409C2"/>
    <w:rsid w:val="00341BF5"/>
    <w:rsid w:val="0034506F"/>
    <w:rsid w:val="00346D10"/>
    <w:rsid w:val="00347593"/>
    <w:rsid w:val="003475ED"/>
    <w:rsid w:val="00347A0A"/>
    <w:rsid w:val="00350B66"/>
    <w:rsid w:val="00350E2E"/>
    <w:rsid w:val="003527E3"/>
    <w:rsid w:val="003564E1"/>
    <w:rsid w:val="00356C77"/>
    <w:rsid w:val="00356D20"/>
    <w:rsid w:val="00360BC0"/>
    <w:rsid w:val="00361E7B"/>
    <w:rsid w:val="00362A3D"/>
    <w:rsid w:val="00364206"/>
    <w:rsid w:val="003676A9"/>
    <w:rsid w:val="003706F7"/>
    <w:rsid w:val="00371787"/>
    <w:rsid w:val="00371850"/>
    <w:rsid w:val="00371F2C"/>
    <w:rsid w:val="00372732"/>
    <w:rsid w:val="00372A07"/>
    <w:rsid w:val="00372CDC"/>
    <w:rsid w:val="00372D8B"/>
    <w:rsid w:val="0037534C"/>
    <w:rsid w:val="0037541E"/>
    <w:rsid w:val="00375AEB"/>
    <w:rsid w:val="0037609C"/>
    <w:rsid w:val="003802B8"/>
    <w:rsid w:val="00381DB0"/>
    <w:rsid w:val="00383814"/>
    <w:rsid w:val="00383844"/>
    <w:rsid w:val="00384395"/>
    <w:rsid w:val="00384768"/>
    <w:rsid w:val="0038509B"/>
    <w:rsid w:val="00385288"/>
    <w:rsid w:val="00385F49"/>
    <w:rsid w:val="00385FF4"/>
    <w:rsid w:val="00390522"/>
    <w:rsid w:val="00391BB8"/>
    <w:rsid w:val="00391F5D"/>
    <w:rsid w:val="00395497"/>
    <w:rsid w:val="003A0DB0"/>
    <w:rsid w:val="003A10E2"/>
    <w:rsid w:val="003A1B28"/>
    <w:rsid w:val="003A445D"/>
    <w:rsid w:val="003A4479"/>
    <w:rsid w:val="003A5399"/>
    <w:rsid w:val="003A5B10"/>
    <w:rsid w:val="003A5FE4"/>
    <w:rsid w:val="003A6AC6"/>
    <w:rsid w:val="003A6F84"/>
    <w:rsid w:val="003A7329"/>
    <w:rsid w:val="003B0436"/>
    <w:rsid w:val="003B0B28"/>
    <w:rsid w:val="003B134F"/>
    <w:rsid w:val="003B2058"/>
    <w:rsid w:val="003B316A"/>
    <w:rsid w:val="003B4F56"/>
    <w:rsid w:val="003B5792"/>
    <w:rsid w:val="003B5C88"/>
    <w:rsid w:val="003B69CA"/>
    <w:rsid w:val="003B7911"/>
    <w:rsid w:val="003C1C86"/>
    <w:rsid w:val="003C22CE"/>
    <w:rsid w:val="003C2511"/>
    <w:rsid w:val="003C5025"/>
    <w:rsid w:val="003C527B"/>
    <w:rsid w:val="003C5441"/>
    <w:rsid w:val="003C5F9D"/>
    <w:rsid w:val="003C66ED"/>
    <w:rsid w:val="003C6940"/>
    <w:rsid w:val="003C7017"/>
    <w:rsid w:val="003C7F0C"/>
    <w:rsid w:val="003D06B1"/>
    <w:rsid w:val="003D0900"/>
    <w:rsid w:val="003D1EC8"/>
    <w:rsid w:val="003D49ED"/>
    <w:rsid w:val="003D7CE8"/>
    <w:rsid w:val="003E1388"/>
    <w:rsid w:val="003E1FB3"/>
    <w:rsid w:val="003E25BE"/>
    <w:rsid w:val="003E31BF"/>
    <w:rsid w:val="003E31FB"/>
    <w:rsid w:val="003E3905"/>
    <w:rsid w:val="003E3CFF"/>
    <w:rsid w:val="003E50DF"/>
    <w:rsid w:val="003E73A5"/>
    <w:rsid w:val="003E7E19"/>
    <w:rsid w:val="003F1618"/>
    <w:rsid w:val="003F1DEC"/>
    <w:rsid w:val="003F21CF"/>
    <w:rsid w:val="003F279A"/>
    <w:rsid w:val="003F3104"/>
    <w:rsid w:val="003F46CF"/>
    <w:rsid w:val="003F5868"/>
    <w:rsid w:val="003F6C73"/>
    <w:rsid w:val="00400383"/>
    <w:rsid w:val="00401278"/>
    <w:rsid w:val="0040168C"/>
    <w:rsid w:val="00401AFB"/>
    <w:rsid w:val="00403D22"/>
    <w:rsid w:val="00404353"/>
    <w:rsid w:val="00406893"/>
    <w:rsid w:val="00407A5F"/>
    <w:rsid w:val="004107BC"/>
    <w:rsid w:val="00410D1B"/>
    <w:rsid w:val="00412274"/>
    <w:rsid w:val="00412C8D"/>
    <w:rsid w:val="00412D71"/>
    <w:rsid w:val="00413B2D"/>
    <w:rsid w:val="00415935"/>
    <w:rsid w:val="00415D57"/>
    <w:rsid w:val="004179AC"/>
    <w:rsid w:val="00420438"/>
    <w:rsid w:val="00420A03"/>
    <w:rsid w:val="0042103B"/>
    <w:rsid w:val="00421DA6"/>
    <w:rsid w:val="00422035"/>
    <w:rsid w:val="00424BCF"/>
    <w:rsid w:val="00425EA7"/>
    <w:rsid w:val="00426C0F"/>
    <w:rsid w:val="00426CD8"/>
    <w:rsid w:val="00426F87"/>
    <w:rsid w:val="0042780F"/>
    <w:rsid w:val="004336E3"/>
    <w:rsid w:val="0043374D"/>
    <w:rsid w:val="00434D28"/>
    <w:rsid w:val="004366E2"/>
    <w:rsid w:val="00437627"/>
    <w:rsid w:val="00437BEA"/>
    <w:rsid w:val="00440CB1"/>
    <w:rsid w:val="004415FD"/>
    <w:rsid w:val="0044172D"/>
    <w:rsid w:val="00442574"/>
    <w:rsid w:val="00443264"/>
    <w:rsid w:val="00444956"/>
    <w:rsid w:val="00446780"/>
    <w:rsid w:val="00446A8C"/>
    <w:rsid w:val="00447DCA"/>
    <w:rsid w:val="00450D2A"/>
    <w:rsid w:val="00451453"/>
    <w:rsid w:val="00451F48"/>
    <w:rsid w:val="00453521"/>
    <w:rsid w:val="004552D9"/>
    <w:rsid w:val="004626AB"/>
    <w:rsid w:val="004630D7"/>
    <w:rsid w:val="004652EE"/>
    <w:rsid w:val="004656FD"/>
    <w:rsid w:val="00465E8E"/>
    <w:rsid w:val="00467509"/>
    <w:rsid w:val="004718DC"/>
    <w:rsid w:val="00472B05"/>
    <w:rsid w:val="00472C88"/>
    <w:rsid w:val="00474A33"/>
    <w:rsid w:val="00475851"/>
    <w:rsid w:val="004761D2"/>
    <w:rsid w:val="00476775"/>
    <w:rsid w:val="004819A1"/>
    <w:rsid w:val="00481A01"/>
    <w:rsid w:val="00481E41"/>
    <w:rsid w:val="00485076"/>
    <w:rsid w:val="00486093"/>
    <w:rsid w:val="00486DDE"/>
    <w:rsid w:val="0048774A"/>
    <w:rsid w:val="00487C5F"/>
    <w:rsid w:val="00487FE2"/>
    <w:rsid w:val="00491AC1"/>
    <w:rsid w:val="00495D8E"/>
    <w:rsid w:val="00496FF4"/>
    <w:rsid w:val="00497CC4"/>
    <w:rsid w:val="00497DD5"/>
    <w:rsid w:val="004A0195"/>
    <w:rsid w:val="004A081D"/>
    <w:rsid w:val="004A1DBF"/>
    <w:rsid w:val="004A2722"/>
    <w:rsid w:val="004A5B46"/>
    <w:rsid w:val="004A622C"/>
    <w:rsid w:val="004A7735"/>
    <w:rsid w:val="004A7E57"/>
    <w:rsid w:val="004B2188"/>
    <w:rsid w:val="004B2461"/>
    <w:rsid w:val="004B27CE"/>
    <w:rsid w:val="004B481A"/>
    <w:rsid w:val="004B681A"/>
    <w:rsid w:val="004C1BB5"/>
    <w:rsid w:val="004C40CD"/>
    <w:rsid w:val="004C4CF2"/>
    <w:rsid w:val="004C4D80"/>
    <w:rsid w:val="004C4E12"/>
    <w:rsid w:val="004C6CB1"/>
    <w:rsid w:val="004C7112"/>
    <w:rsid w:val="004D1BE7"/>
    <w:rsid w:val="004D27C2"/>
    <w:rsid w:val="004D2C24"/>
    <w:rsid w:val="004D4717"/>
    <w:rsid w:val="004D58A7"/>
    <w:rsid w:val="004D61B2"/>
    <w:rsid w:val="004D6E68"/>
    <w:rsid w:val="004D7481"/>
    <w:rsid w:val="004D762F"/>
    <w:rsid w:val="004E2A89"/>
    <w:rsid w:val="004E33F4"/>
    <w:rsid w:val="004E5C9F"/>
    <w:rsid w:val="004E5D92"/>
    <w:rsid w:val="004E662E"/>
    <w:rsid w:val="004E7A7B"/>
    <w:rsid w:val="004E7DFD"/>
    <w:rsid w:val="004F0A29"/>
    <w:rsid w:val="004F266F"/>
    <w:rsid w:val="004F2956"/>
    <w:rsid w:val="004F2B35"/>
    <w:rsid w:val="004F31EF"/>
    <w:rsid w:val="004F413C"/>
    <w:rsid w:val="004F4CB1"/>
    <w:rsid w:val="004F4F3B"/>
    <w:rsid w:val="004F5B81"/>
    <w:rsid w:val="004F6D20"/>
    <w:rsid w:val="004F70F5"/>
    <w:rsid w:val="004F7551"/>
    <w:rsid w:val="004F7C05"/>
    <w:rsid w:val="004F7DBE"/>
    <w:rsid w:val="00501542"/>
    <w:rsid w:val="00501E25"/>
    <w:rsid w:val="005022C1"/>
    <w:rsid w:val="00504C8A"/>
    <w:rsid w:val="00505F26"/>
    <w:rsid w:val="00506844"/>
    <w:rsid w:val="00507C38"/>
    <w:rsid w:val="00507DE6"/>
    <w:rsid w:val="00510480"/>
    <w:rsid w:val="005120A7"/>
    <w:rsid w:val="0051280D"/>
    <w:rsid w:val="00513E50"/>
    <w:rsid w:val="0051489B"/>
    <w:rsid w:val="005155A9"/>
    <w:rsid w:val="00515962"/>
    <w:rsid w:val="00517C61"/>
    <w:rsid w:val="00522657"/>
    <w:rsid w:val="00523418"/>
    <w:rsid w:val="005252AC"/>
    <w:rsid w:val="005257AA"/>
    <w:rsid w:val="00526AE5"/>
    <w:rsid w:val="00530372"/>
    <w:rsid w:val="00532116"/>
    <w:rsid w:val="00533354"/>
    <w:rsid w:val="0053581D"/>
    <w:rsid w:val="005361A6"/>
    <w:rsid w:val="005365A4"/>
    <w:rsid w:val="00541069"/>
    <w:rsid w:val="00541AD1"/>
    <w:rsid w:val="00541CCF"/>
    <w:rsid w:val="00541FA4"/>
    <w:rsid w:val="00542910"/>
    <w:rsid w:val="00542A9F"/>
    <w:rsid w:val="00542EC6"/>
    <w:rsid w:val="00544489"/>
    <w:rsid w:val="005449D0"/>
    <w:rsid w:val="00545D1F"/>
    <w:rsid w:val="005464D8"/>
    <w:rsid w:val="00547A63"/>
    <w:rsid w:val="00547D79"/>
    <w:rsid w:val="00550294"/>
    <w:rsid w:val="00550A9D"/>
    <w:rsid w:val="0055146E"/>
    <w:rsid w:val="00552790"/>
    <w:rsid w:val="00553808"/>
    <w:rsid w:val="00554FA5"/>
    <w:rsid w:val="00561A39"/>
    <w:rsid w:val="00562458"/>
    <w:rsid w:val="00563B3E"/>
    <w:rsid w:val="00563E31"/>
    <w:rsid w:val="005649F0"/>
    <w:rsid w:val="00567387"/>
    <w:rsid w:val="00572D35"/>
    <w:rsid w:val="00573929"/>
    <w:rsid w:val="0057403F"/>
    <w:rsid w:val="0057413F"/>
    <w:rsid w:val="00580DAC"/>
    <w:rsid w:val="00581B85"/>
    <w:rsid w:val="00581C75"/>
    <w:rsid w:val="0058232E"/>
    <w:rsid w:val="0058391D"/>
    <w:rsid w:val="00585AE0"/>
    <w:rsid w:val="00586470"/>
    <w:rsid w:val="00586812"/>
    <w:rsid w:val="00590404"/>
    <w:rsid w:val="005908A0"/>
    <w:rsid w:val="00591709"/>
    <w:rsid w:val="00592D16"/>
    <w:rsid w:val="00594266"/>
    <w:rsid w:val="0059433D"/>
    <w:rsid w:val="00594608"/>
    <w:rsid w:val="00594766"/>
    <w:rsid w:val="00595F68"/>
    <w:rsid w:val="0059698F"/>
    <w:rsid w:val="00597270"/>
    <w:rsid w:val="005977E7"/>
    <w:rsid w:val="005A0979"/>
    <w:rsid w:val="005A0C07"/>
    <w:rsid w:val="005A112D"/>
    <w:rsid w:val="005A226E"/>
    <w:rsid w:val="005A2579"/>
    <w:rsid w:val="005A26EF"/>
    <w:rsid w:val="005A43AE"/>
    <w:rsid w:val="005A5577"/>
    <w:rsid w:val="005A5BF6"/>
    <w:rsid w:val="005A6761"/>
    <w:rsid w:val="005B0109"/>
    <w:rsid w:val="005B060E"/>
    <w:rsid w:val="005B07A8"/>
    <w:rsid w:val="005B3421"/>
    <w:rsid w:val="005B56A2"/>
    <w:rsid w:val="005B645C"/>
    <w:rsid w:val="005C0E93"/>
    <w:rsid w:val="005C309B"/>
    <w:rsid w:val="005C38A1"/>
    <w:rsid w:val="005C3E22"/>
    <w:rsid w:val="005C4229"/>
    <w:rsid w:val="005D1AE8"/>
    <w:rsid w:val="005D2FE3"/>
    <w:rsid w:val="005D3C90"/>
    <w:rsid w:val="005D4120"/>
    <w:rsid w:val="005D4A06"/>
    <w:rsid w:val="005D4F28"/>
    <w:rsid w:val="005E052F"/>
    <w:rsid w:val="005E1FEB"/>
    <w:rsid w:val="005E2264"/>
    <w:rsid w:val="005E3D2F"/>
    <w:rsid w:val="005E5CB7"/>
    <w:rsid w:val="005E79EF"/>
    <w:rsid w:val="005E7B5F"/>
    <w:rsid w:val="005E7D8C"/>
    <w:rsid w:val="005F0684"/>
    <w:rsid w:val="005F11D1"/>
    <w:rsid w:val="005F2A2E"/>
    <w:rsid w:val="005F3416"/>
    <w:rsid w:val="005F3A7B"/>
    <w:rsid w:val="005F4425"/>
    <w:rsid w:val="005F67AF"/>
    <w:rsid w:val="005F6C3A"/>
    <w:rsid w:val="006028B0"/>
    <w:rsid w:val="00603948"/>
    <w:rsid w:val="00603D90"/>
    <w:rsid w:val="0060545D"/>
    <w:rsid w:val="00605A96"/>
    <w:rsid w:val="00606128"/>
    <w:rsid w:val="00606BB7"/>
    <w:rsid w:val="00607804"/>
    <w:rsid w:val="006100AD"/>
    <w:rsid w:val="00616EFD"/>
    <w:rsid w:val="00617B4C"/>
    <w:rsid w:val="00621A4A"/>
    <w:rsid w:val="00623496"/>
    <w:rsid w:val="00623903"/>
    <w:rsid w:val="00623F48"/>
    <w:rsid w:val="00624E26"/>
    <w:rsid w:val="00627540"/>
    <w:rsid w:val="006278C8"/>
    <w:rsid w:val="006345CC"/>
    <w:rsid w:val="0063588F"/>
    <w:rsid w:val="00635983"/>
    <w:rsid w:val="00636DB2"/>
    <w:rsid w:val="00637038"/>
    <w:rsid w:val="00637722"/>
    <w:rsid w:val="00640097"/>
    <w:rsid w:val="00641261"/>
    <w:rsid w:val="00641E35"/>
    <w:rsid w:val="00643DDD"/>
    <w:rsid w:val="00643FEB"/>
    <w:rsid w:val="00645BF8"/>
    <w:rsid w:val="00645C8A"/>
    <w:rsid w:val="00650856"/>
    <w:rsid w:val="00651281"/>
    <w:rsid w:val="006512AE"/>
    <w:rsid w:val="00654262"/>
    <w:rsid w:val="00655469"/>
    <w:rsid w:val="00655A9C"/>
    <w:rsid w:val="00655C5B"/>
    <w:rsid w:val="00655DC1"/>
    <w:rsid w:val="00657198"/>
    <w:rsid w:val="006571C6"/>
    <w:rsid w:val="0066150B"/>
    <w:rsid w:val="0066320E"/>
    <w:rsid w:val="0066357C"/>
    <w:rsid w:val="00663BF2"/>
    <w:rsid w:val="00664494"/>
    <w:rsid w:val="00665ED7"/>
    <w:rsid w:val="0066606C"/>
    <w:rsid w:val="006676C2"/>
    <w:rsid w:val="00667822"/>
    <w:rsid w:val="006705A8"/>
    <w:rsid w:val="00671D56"/>
    <w:rsid w:val="00671E40"/>
    <w:rsid w:val="00671EC6"/>
    <w:rsid w:val="0067294F"/>
    <w:rsid w:val="00672EC0"/>
    <w:rsid w:val="0067378A"/>
    <w:rsid w:val="00675441"/>
    <w:rsid w:val="0067733A"/>
    <w:rsid w:val="0068029B"/>
    <w:rsid w:val="0068535D"/>
    <w:rsid w:val="00685C75"/>
    <w:rsid w:val="006913FE"/>
    <w:rsid w:val="00694486"/>
    <w:rsid w:val="0069611F"/>
    <w:rsid w:val="006963B7"/>
    <w:rsid w:val="00696B42"/>
    <w:rsid w:val="0069786B"/>
    <w:rsid w:val="006A2A5D"/>
    <w:rsid w:val="006A2F2D"/>
    <w:rsid w:val="006A4A7F"/>
    <w:rsid w:val="006A4E5B"/>
    <w:rsid w:val="006A4FEC"/>
    <w:rsid w:val="006A598E"/>
    <w:rsid w:val="006A6338"/>
    <w:rsid w:val="006A6CCF"/>
    <w:rsid w:val="006A74B4"/>
    <w:rsid w:val="006B0997"/>
    <w:rsid w:val="006B0EB7"/>
    <w:rsid w:val="006B21D3"/>
    <w:rsid w:val="006B5AF7"/>
    <w:rsid w:val="006B6194"/>
    <w:rsid w:val="006B6E97"/>
    <w:rsid w:val="006B7598"/>
    <w:rsid w:val="006C0444"/>
    <w:rsid w:val="006C24B6"/>
    <w:rsid w:val="006C3B14"/>
    <w:rsid w:val="006C4503"/>
    <w:rsid w:val="006C4BD0"/>
    <w:rsid w:val="006C722E"/>
    <w:rsid w:val="006D038C"/>
    <w:rsid w:val="006D2661"/>
    <w:rsid w:val="006D2C17"/>
    <w:rsid w:val="006D423E"/>
    <w:rsid w:val="006D51E6"/>
    <w:rsid w:val="006D5E5C"/>
    <w:rsid w:val="006D7923"/>
    <w:rsid w:val="006D7F79"/>
    <w:rsid w:val="006E0689"/>
    <w:rsid w:val="006E33B6"/>
    <w:rsid w:val="006E3FED"/>
    <w:rsid w:val="006E649A"/>
    <w:rsid w:val="006E6BF2"/>
    <w:rsid w:val="006E7AA4"/>
    <w:rsid w:val="006F005C"/>
    <w:rsid w:val="006F0AFD"/>
    <w:rsid w:val="006F4F33"/>
    <w:rsid w:val="006F6520"/>
    <w:rsid w:val="006F7670"/>
    <w:rsid w:val="00700BF9"/>
    <w:rsid w:val="00700ECB"/>
    <w:rsid w:val="00707244"/>
    <w:rsid w:val="0070725E"/>
    <w:rsid w:val="007102F3"/>
    <w:rsid w:val="007103F1"/>
    <w:rsid w:val="00711044"/>
    <w:rsid w:val="0071233B"/>
    <w:rsid w:val="007123DF"/>
    <w:rsid w:val="00714281"/>
    <w:rsid w:val="00714C48"/>
    <w:rsid w:val="00715178"/>
    <w:rsid w:val="007155F4"/>
    <w:rsid w:val="007160A3"/>
    <w:rsid w:val="00716A87"/>
    <w:rsid w:val="00716F9F"/>
    <w:rsid w:val="00720B17"/>
    <w:rsid w:val="00721309"/>
    <w:rsid w:val="00722261"/>
    <w:rsid w:val="00725346"/>
    <w:rsid w:val="0072560B"/>
    <w:rsid w:val="00725DFA"/>
    <w:rsid w:val="00725E23"/>
    <w:rsid w:val="0072721A"/>
    <w:rsid w:val="007313BA"/>
    <w:rsid w:val="007313DE"/>
    <w:rsid w:val="00731D53"/>
    <w:rsid w:val="00732ACE"/>
    <w:rsid w:val="00733E26"/>
    <w:rsid w:val="007359AE"/>
    <w:rsid w:val="0073651E"/>
    <w:rsid w:val="007366B7"/>
    <w:rsid w:val="00736D97"/>
    <w:rsid w:val="007370D4"/>
    <w:rsid w:val="0074037D"/>
    <w:rsid w:val="00740701"/>
    <w:rsid w:val="00742441"/>
    <w:rsid w:val="00742446"/>
    <w:rsid w:val="00742BF7"/>
    <w:rsid w:val="00743B0E"/>
    <w:rsid w:val="00743CA6"/>
    <w:rsid w:val="007448E7"/>
    <w:rsid w:val="00744D1F"/>
    <w:rsid w:val="007450B0"/>
    <w:rsid w:val="0074526C"/>
    <w:rsid w:val="0074610C"/>
    <w:rsid w:val="00747C42"/>
    <w:rsid w:val="007515E6"/>
    <w:rsid w:val="0075515B"/>
    <w:rsid w:val="00755444"/>
    <w:rsid w:val="00756EA9"/>
    <w:rsid w:val="00757736"/>
    <w:rsid w:val="007605D6"/>
    <w:rsid w:val="00760AFF"/>
    <w:rsid w:val="0076155E"/>
    <w:rsid w:val="00761CBE"/>
    <w:rsid w:val="007631A6"/>
    <w:rsid w:val="00766A77"/>
    <w:rsid w:val="00766E81"/>
    <w:rsid w:val="00767802"/>
    <w:rsid w:val="00767FA3"/>
    <w:rsid w:val="007703BB"/>
    <w:rsid w:val="007708C4"/>
    <w:rsid w:val="00770C0B"/>
    <w:rsid w:val="0077145F"/>
    <w:rsid w:val="00771FCA"/>
    <w:rsid w:val="00773166"/>
    <w:rsid w:val="00773570"/>
    <w:rsid w:val="00773EB9"/>
    <w:rsid w:val="0077433A"/>
    <w:rsid w:val="007770C9"/>
    <w:rsid w:val="00777B96"/>
    <w:rsid w:val="00777CCA"/>
    <w:rsid w:val="00782B4E"/>
    <w:rsid w:val="007830F7"/>
    <w:rsid w:val="007838AB"/>
    <w:rsid w:val="00783B3A"/>
    <w:rsid w:val="00786543"/>
    <w:rsid w:val="00787D93"/>
    <w:rsid w:val="00787EB1"/>
    <w:rsid w:val="007901F5"/>
    <w:rsid w:val="00791213"/>
    <w:rsid w:val="00791F8A"/>
    <w:rsid w:val="007943F5"/>
    <w:rsid w:val="00795078"/>
    <w:rsid w:val="00796409"/>
    <w:rsid w:val="00797610"/>
    <w:rsid w:val="00797EAC"/>
    <w:rsid w:val="007A03DF"/>
    <w:rsid w:val="007A0DB8"/>
    <w:rsid w:val="007A0E9D"/>
    <w:rsid w:val="007A17D9"/>
    <w:rsid w:val="007A73AD"/>
    <w:rsid w:val="007B015E"/>
    <w:rsid w:val="007B0FA6"/>
    <w:rsid w:val="007B14EC"/>
    <w:rsid w:val="007B30B2"/>
    <w:rsid w:val="007B377B"/>
    <w:rsid w:val="007B3E74"/>
    <w:rsid w:val="007B5D4E"/>
    <w:rsid w:val="007B61EB"/>
    <w:rsid w:val="007B723F"/>
    <w:rsid w:val="007C002A"/>
    <w:rsid w:val="007C3732"/>
    <w:rsid w:val="007C4C2D"/>
    <w:rsid w:val="007C5399"/>
    <w:rsid w:val="007C5F90"/>
    <w:rsid w:val="007C684B"/>
    <w:rsid w:val="007C6978"/>
    <w:rsid w:val="007C724A"/>
    <w:rsid w:val="007D0F36"/>
    <w:rsid w:val="007D101C"/>
    <w:rsid w:val="007D23C5"/>
    <w:rsid w:val="007D3C01"/>
    <w:rsid w:val="007D3C48"/>
    <w:rsid w:val="007D3F67"/>
    <w:rsid w:val="007D5615"/>
    <w:rsid w:val="007D5A11"/>
    <w:rsid w:val="007D5ADA"/>
    <w:rsid w:val="007D63E7"/>
    <w:rsid w:val="007D6543"/>
    <w:rsid w:val="007E005D"/>
    <w:rsid w:val="007E02CB"/>
    <w:rsid w:val="007E0F83"/>
    <w:rsid w:val="007E2036"/>
    <w:rsid w:val="007E273B"/>
    <w:rsid w:val="007E38E0"/>
    <w:rsid w:val="007E40B1"/>
    <w:rsid w:val="007E4CB4"/>
    <w:rsid w:val="007F0893"/>
    <w:rsid w:val="007F2EC6"/>
    <w:rsid w:val="007F51D0"/>
    <w:rsid w:val="007F575E"/>
    <w:rsid w:val="007F65D1"/>
    <w:rsid w:val="007F6E1C"/>
    <w:rsid w:val="00801560"/>
    <w:rsid w:val="0080164C"/>
    <w:rsid w:val="008019F0"/>
    <w:rsid w:val="00803C83"/>
    <w:rsid w:val="00803D9B"/>
    <w:rsid w:val="00805C56"/>
    <w:rsid w:val="00807A3F"/>
    <w:rsid w:val="00810520"/>
    <w:rsid w:val="00810639"/>
    <w:rsid w:val="00810BD8"/>
    <w:rsid w:val="00813781"/>
    <w:rsid w:val="008140F9"/>
    <w:rsid w:val="00814172"/>
    <w:rsid w:val="0081469C"/>
    <w:rsid w:val="008147FC"/>
    <w:rsid w:val="00817A45"/>
    <w:rsid w:val="00817FED"/>
    <w:rsid w:val="0082014B"/>
    <w:rsid w:val="00821DFC"/>
    <w:rsid w:val="00825417"/>
    <w:rsid w:val="00825C77"/>
    <w:rsid w:val="0082654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5B6F"/>
    <w:rsid w:val="00847BF2"/>
    <w:rsid w:val="0085130C"/>
    <w:rsid w:val="00851920"/>
    <w:rsid w:val="00852D8E"/>
    <w:rsid w:val="00853024"/>
    <w:rsid w:val="00853834"/>
    <w:rsid w:val="008538CD"/>
    <w:rsid w:val="008539AD"/>
    <w:rsid w:val="00853B8F"/>
    <w:rsid w:val="00854726"/>
    <w:rsid w:val="0085482F"/>
    <w:rsid w:val="00854CFC"/>
    <w:rsid w:val="00855C37"/>
    <w:rsid w:val="00860805"/>
    <w:rsid w:val="00860D58"/>
    <w:rsid w:val="00860E99"/>
    <w:rsid w:val="00861E96"/>
    <w:rsid w:val="00862243"/>
    <w:rsid w:val="00862F7F"/>
    <w:rsid w:val="00863657"/>
    <w:rsid w:val="0086556D"/>
    <w:rsid w:val="008656B7"/>
    <w:rsid w:val="008678B0"/>
    <w:rsid w:val="00870C2D"/>
    <w:rsid w:val="008718F2"/>
    <w:rsid w:val="00872CB4"/>
    <w:rsid w:val="00874C5B"/>
    <w:rsid w:val="0087616A"/>
    <w:rsid w:val="00876196"/>
    <w:rsid w:val="00876DAA"/>
    <w:rsid w:val="00877E17"/>
    <w:rsid w:val="00877EC3"/>
    <w:rsid w:val="00877F9C"/>
    <w:rsid w:val="00880D9F"/>
    <w:rsid w:val="00882982"/>
    <w:rsid w:val="00882AB9"/>
    <w:rsid w:val="00883BE3"/>
    <w:rsid w:val="0088474C"/>
    <w:rsid w:val="008847B7"/>
    <w:rsid w:val="00884F9D"/>
    <w:rsid w:val="00885F35"/>
    <w:rsid w:val="00890915"/>
    <w:rsid w:val="00892038"/>
    <w:rsid w:val="00892236"/>
    <w:rsid w:val="0089361D"/>
    <w:rsid w:val="008947DF"/>
    <w:rsid w:val="00896C82"/>
    <w:rsid w:val="008A14E9"/>
    <w:rsid w:val="008A211B"/>
    <w:rsid w:val="008A3480"/>
    <w:rsid w:val="008A3CC2"/>
    <w:rsid w:val="008A4AB3"/>
    <w:rsid w:val="008A5B46"/>
    <w:rsid w:val="008A7C91"/>
    <w:rsid w:val="008B01D1"/>
    <w:rsid w:val="008B65EB"/>
    <w:rsid w:val="008B7DD0"/>
    <w:rsid w:val="008C0F76"/>
    <w:rsid w:val="008C4722"/>
    <w:rsid w:val="008C483C"/>
    <w:rsid w:val="008C48C6"/>
    <w:rsid w:val="008C6BD6"/>
    <w:rsid w:val="008C7B9E"/>
    <w:rsid w:val="008D1625"/>
    <w:rsid w:val="008D1E81"/>
    <w:rsid w:val="008D5C12"/>
    <w:rsid w:val="008D6273"/>
    <w:rsid w:val="008D7E34"/>
    <w:rsid w:val="008E1381"/>
    <w:rsid w:val="008E1EB8"/>
    <w:rsid w:val="008E1FDA"/>
    <w:rsid w:val="008E2F28"/>
    <w:rsid w:val="008E42F8"/>
    <w:rsid w:val="008E555E"/>
    <w:rsid w:val="008E63D3"/>
    <w:rsid w:val="008E66A3"/>
    <w:rsid w:val="008E737B"/>
    <w:rsid w:val="008E7684"/>
    <w:rsid w:val="008F0300"/>
    <w:rsid w:val="008F12BA"/>
    <w:rsid w:val="008F1683"/>
    <w:rsid w:val="008F19D4"/>
    <w:rsid w:val="008F1B66"/>
    <w:rsid w:val="008F25A3"/>
    <w:rsid w:val="008F2DE5"/>
    <w:rsid w:val="008F3755"/>
    <w:rsid w:val="008F4252"/>
    <w:rsid w:val="008F4EB5"/>
    <w:rsid w:val="008F6989"/>
    <w:rsid w:val="009020B1"/>
    <w:rsid w:val="00902478"/>
    <w:rsid w:val="0090263B"/>
    <w:rsid w:val="0090617D"/>
    <w:rsid w:val="009061CE"/>
    <w:rsid w:val="00907E0A"/>
    <w:rsid w:val="009136FE"/>
    <w:rsid w:val="0091478E"/>
    <w:rsid w:val="00914C69"/>
    <w:rsid w:val="009162B7"/>
    <w:rsid w:val="009214D4"/>
    <w:rsid w:val="00921B73"/>
    <w:rsid w:val="00927588"/>
    <w:rsid w:val="00930957"/>
    <w:rsid w:val="009330C9"/>
    <w:rsid w:val="00933833"/>
    <w:rsid w:val="00933AB2"/>
    <w:rsid w:val="00933ACA"/>
    <w:rsid w:val="009349B1"/>
    <w:rsid w:val="009351E0"/>
    <w:rsid w:val="0093681E"/>
    <w:rsid w:val="00936952"/>
    <w:rsid w:val="00937ED0"/>
    <w:rsid w:val="0094019C"/>
    <w:rsid w:val="00940C6E"/>
    <w:rsid w:val="00940C9D"/>
    <w:rsid w:val="00940F9C"/>
    <w:rsid w:val="00941943"/>
    <w:rsid w:val="00942021"/>
    <w:rsid w:val="00942873"/>
    <w:rsid w:val="00943357"/>
    <w:rsid w:val="00944762"/>
    <w:rsid w:val="00944F45"/>
    <w:rsid w:val="00945553"/>
    <w:rsid w:val="00947A5E"/>
    <w:rsid w:val="009509AA"/>
    <w:rsid w:val="009509BC"/>
    <w:rsid w:val="00952741"/>
    <w:rsid w:val="00952C9E"/>
    <w:rsid w:val="009540B8"/>
    <w:rsid w:val="00954811"/>
    <w:rsid w:val="00954998"/>
    <w:rsid w:val="00954AAA"/>
    <w:rsid w:val="00954B0A"/>
    <w:rsid w:val="00955AB1"/>
    <w:rsid w:val="009569A1"/>
    <w:rsid w:val="009607AC"/>
    <w:rsid w:val="00960E62"/>
    <w:rsid w:val="009617D5"/>
    <w:rsid w:val="00961CD0"/>
    <w:rsid w:val="00962B3D"/>
    <w:rsid w:val="00963239"/>
    <w:rsid w:val="009645F2"/>
    <w:rsid w:val="009648A2"/>
    <w:rsid w:val="0096536F"/>
    <w:rsid w:val="00965B57"/>
    <w:rsid w:val="009675D5"/>
    <w:rsid w:val="00970F49"/>
    <w:rsid w:val="0097238F"/>
    <w:rsid w:val="00972A9A"/>
    <w:rsid w:val="0097333F"/>
    <w:rsid w:val="009733AC"/>
    <w:rsid w:val="00973DDD"/>
    <w:rsid w:val="00974871"/>
    <w:rsid w:val="00974CC1"/>
    <w:rsid w:val="00975F36"/>
    <w:rsid w:val="009763E3"/>
    <w:rsid w:val="0097791B"/>
    <w:rsid w:val="00977E9B"/>
    <w:rsid w:val="009803A4"/>
    <w:rsid w:val="00980494"/>
    <w:rsid w:val="0098137D"/>
    <w:rsid w:val="00983AE2"/>
    <w:rsid w:val="0098426F"/>
    <w:rsid w:val="00984906"/>
    <w:rsid w:val="00985B1E"/>
    <w:rsid w:val="00985BC5"/>
    <w:rsid w:val="00985D6A"/>
    <w:rsid w:val="00986A07"/>
    <w:rsid w:val="00986E24"/>
    <w:rsid w:val="00987BAA"/>
    <w:rsid w:val="00990093"/>
    <w:rsid w:val="0099275F"/>
    <w:rsid w:val="00994327"/>
    <w:rsid w:val="00995274"/>
    <w:rsid w:val="009953CA"/>
    <w:rsid w:val="00995E8A"/>
    <w:rsid w:val="009A1055"/>
    <w:rsid w:val="009A4B97"/>
    <w:rsid w:val="009A4E6D"/>
    <w:rsid w:val="009A5200"/>
    <w:rsid w:val="009A52D2"/>
    <w:rsid w:val="009A544A"/>
    <w:rsid w:val="009A7092"/>
    <w:rsid w:val="009A712B"/>
    <w:rsid w:val="009B0F8E"/>
    <w:rsid w:val="009B173C"/>
    <w:rsid w:val="009B1AF1"/>
    <w:rsid w:val="009B2BAF"/>
    <w:rsid w:val="009B4596"/>
    <w:rsid w:val="009B5A58"/>
    <w:rsid w:val="009B5DB8"/>
    <w:rsid w:val="009B6327"/>
    <w:rsid w:val="009B6A1C"/>
    <w:rsid w:val="009B76DA"/>
    <w:rsid w:val="009C029F"/>
    <w:rsid w:val="009C43BB"/>
    <w:rsid w:val="009C55EC"/>
    <w:rsid w:val="009C5BEB"/>
    <w:rsid w:val="009C770F"/>
    <w:rsid w:val="009C7BFA"/>
    <w:rsid w:val="009D0946"/>
    <w:rsid w:val="009D0DC3"/>
    <w:rsid w:val="009D3AF4"/>
    <w:rsid w:val="009D433B"/>
    <w:rsid w:val="009D5595"/>
    <w:rsid w:val="009D60A6"/>
    <w:rsid w:val="009D62F3"/>
    <w:rsid w:val="009D6D69"/>
    <w:rsid w:val="009D6E9A"/>
    <w:rsid w:val="009E07FD"/>
    <w:rsid w:val="009E350A"/>
    <w:rsid w:val="009E576D"/>
    <w:rsid w:val="009E6CDF"/>
    <w:rsid w:val="009F2023"/>
    <w:rsid w:val="009F6926"/>
    <w:rsid w:val="009F6BD5"/>
    <w:rsid w:val="009F6CED"/>
    <w:rsid w:val="009F70FB"/>
    <w:rsid w:val="009F7510"/>
    <w:rsid w:val="009F76A2"/>
    <w:rsid w:val="00A01A68"/>
    <w:rsid w:val="00A02A63"/>
    <w:rsid w:val="00A03C7E"/>
    <w:rsid w:val="00A052FA"/>
    <w:rsid w:val="00A05634"/>
    <w:rsid w:val="00A059DC"/>
    <w:rsid w:val="00A05FF7"/>
    <w:rsid w:val="00A126EB"/>
    <w:rsid w:val="00A13D8E"/>
    <w:rsid w:val="00A143C7"/>
    <w:rsid w:val="00A15490"/>
    <w:rsid w:val="00A17099"/>
    <w:rsid w:val="00A1791B"/>
    <w:rsid w:val="00A20AA7"/>
    <w:rsid w:val="00A2142E"/>
    <w:rsid w:val="00A2192D"/>
    <w:rsid w:val="00A230B4"/>
    <w:rsid w:val="00A23EDF"/>
    <w:rsid w:val="00A242AD"/>
    <w:rsid w:val="00A24399"/>
    <w:rsid w:val="00A2490C"/>
    <w:rsid w:val="00A2602D"/>
    <w:rsid w:val="00A26786"/>
    <w:rsid w:val="00A26940"/>
    <w:rsid w:val="00A26A6F"/>
    <w:rsid w:val="00A323E7"/>
    <w:rsid w:val="00A36BAE"/>
    <w:rsid w:val="00A4026A"/>
    <w:rsid w:val="00A41AC2"/>
    <w:rsid w:val="00A421B3"/>
    <w:rsid w:val="00A431B9"/>
    <w:rsid w:val="00A44AEC"/>
    <w:rsid w:val="00A459A9"/>
    <w:rsid w:val="00A46E78"/>
    <w:rsid w:val="00A50A02"/>
    <w:rsid w:val="00A511F6"/>
    <w:rsid w:val="00A51660"/>
    <w:rsid w:val="00A53A52"/>
    <w:rsid w:val="00A54F72"/>
    <w:rsid w:val="00A56352"/>
    <w:rsid w:val="00A57655"/>
    <w:rsid w:val="00A5770C"/>
    <w:rsid w:val="00A6646F"/>
    <w:rsid w:val="00A70250"/>
    <w:rsid w:val="00A70AFC"/>
    <w:rsid w:val="00A7146A"/>
    <w:rsid w:val="00A725BB"/>
    <w:rsid w:val="00A7390B"/>
    <w:rsid w:val="00A73B0D"/>
    <w:rsid w:val="00A740A8"/>
    <w:rsid w:val="00A75479"/>
    <w:rsid w:val="00A75705"/>
    <w:rsid w:val="00A75A21"/>
    <w:rsid w:val="00A761B6"/>
    <w:rsid w:val="00A76E14"/>
    <w:rsid w:val="00A77460"/>
    <w:rsid w:val="00A820A6"/>
    <w:rsid w:val="00A82FC8"/>
    <w:rsid w:val="00A85730"/>
    <w:rsid w:val="00A86473"/>
    <w:rsid w:val="00A865F1"/>
    <w:rsid w:val="00A86DAC"/>
    <w:rsid w:val="00A8723D"/>
    <w:rsid w:val="00A87703"/>
    <w:rsid w:val="00A87FE0"/>
    <w:rsid w:val="00A90341"/>
    <w:rsid w:val="00A91A73"/>
    <w:rsid w:val="00A91C32"/>
    <w:rsid w:val="00A9307B"/>
    <w:rsid w:val="00A950C7"/>
    <w:rsid w:val="00A9749E"/>
    <w:rsid w:val="00A977F2"/>
    <w:rsid w:val="00A97BB5"/>
    <w:rsid w:val="00A97E6E"/>
    <w:rsid w:val="00AA6170"/>
    <w:rsid w:val="00AB199F"/>
    <w:rsid w:val="00AB25E7"/>
    <w:rsid w:val="00AB3C32"/>
    <w:rsid w:val="00AB45EF"/>
    <w:rsid w:val="00AB4EC0"/>
    <w:rsid w:val="00AB5692"/>
    <w:rsid w:val="00AB5E5F"/>
    <w:rsid w:val="00AB6279"/>
    <w:rsid w:val="00AB7A32"/>
    <w:rsid w:val="00AB7CF8"/>
    <w:rsid w:val="00AC2A50"/>
    <w:rsid w:val="00AC2DBE"/>
    <w:rsid w:val="00AC44C3"/>
    <w:rsid w:val="00AC549B"/>
    <w:rsid w:val="00AC607A"/>
    <w:rsid w:val="00AC6E8B"/>
    <w:rsid w:val="00AC7614"/>
    <w:rsid w:val="00AD0000"/>
    <w:rsid w:val="00AD0D40"/>
    <w:rsid w:val="00AD3682"/>
    <w:rsid w:val="00AD4212"/>
    <w:rsid w:val="00AD4A17"/>
    <w:rsid w:val="00AD70E0"/>
    <w:rsid w:val="00AE2456"/>
    <w:rsid w:val="00AE2E69"/>
    <w:rsid w:val="00AE430A"/>
    <w:rsid w:val="00AE59FD"/>
    <w:rsid w:val="00AE5D3D"/>
    <w:rsid w:val="00AE613A"/>
    <w:rsid w:val="00AE6BC6"/>
    <w:rsid w:val="00AE7DA4"/>
    <w:rsid w:val="00AF0B65"/>
    <w:rsid w:val="00AF1159"/>
    <w:rsid w:val="00AF1CD0"/>
    <w:rsid w:val="00AF250C"/>
    <w:rsid w:val="00AF3374"/>
    <w:rsid w:val="00AF601E"/>
    <w:rsid w:val="00AF694A"/>
    <w:rsid w:val="00AF795E"/>
    <w:rsid w:val="00B010E2"/>
    <w:rsid w:val="00B01C39"/>
    <w:rsid w:val="00B02C88"/>
    <w:rsid w:val="00B033CC"/>
    <w:rsid w:val="00B065D5"/>
    <w:rsid w:val="00B104C6"/>
    <w:rsid w:val="00B125BF"/>
    <w:rsid w:val="00B12781"/>
    <w:rsid w:val="00B12D57"/>
    <w:rsid w:val="00B13390"/>
    <w:rsid w:val="00B13C6A"/>
    <w:rsid w:val="00B15A3F"/>
    <w:rsid w:val="00B217B4"/>
    <w:rsid w:val="00B2265E"/>
    <w:rsid w:val="00B23224"/>
    <w:rsid w:val="00B243BB"/>
    <w:rsid w:val="00B27A07"/>
    <w:rsid w:val="00B31690"/>
    <w:rsid w:val="00B3337D"/>
    <w:rsid w:val="00B3467E"/>
    <w:rsid w:val="00B3691B"/>
    <w:rsid w:val="00B36944"/>
    <w:rsid w:val="00B36A21"/>
    <w:rsid w:val="00B3726C"/>
    <w:rsid w:val="00B374A8"/>
    <w:rsid w:val="00B37BEF"/>
    <w:rsid w:val="00B41873"/>
    <w:rsid w:val="00B41CB8"/>
    <w:rsid w:val="00B42517"/>
    <w:rsid w:val="00B42E32"/>
    <w:rsid w:val="00B43061"/>
    <w:rsid w:val="00B4332F"/>
    <w:rsid w:val="00B4353E"/>
    <w:rsid w:val="00B43BA2"/>
    <w:rsid w:val="00B44FA5"/>
    <w:rsid w:val="00B454F7"/>
    <w:rsid w:val="00B46F56"/>
    <w:rsid w:val="00B50773"/>
    <w:rsid w:val="00B509EF"/>
    <w:rsid w:val="00B52E6D"/>
    <w:rsid w:val="00B52ED0"/>
    <w:rsid w:val="00B53A73"/>
    <w:rsid w:val="00B54603"/>
    <w:rsid w:val="00B552DA"/>
    <w:rsid w:val="00B562E2"/>
    <w:rsid w:val="00B56A11"/>
    <w:rsid w:val="00B56DF8"/>
    <w:rsid w:val="00B56ECB"/>
    <w:rsid w:val="00B57429"/>
    <w:rsid w:val="00B6095E"/>
    <w:rsid w:val="00B62B84"/>
    <w:rsid w:val="00B62D66"/>
    <w:rsid w:val="00B63193"/>
    <w:rsid w:val="00B63813"/>
    <w:rsid w:val="00B65049"/>
    <w:rsid w:val="00B658D9"/>
    <w:rsid w:val="00B66398"/>
    <w:rsid w:val="00B71A12"/>
    <w:rsid w:val="00B726D6"/>
    <w:rsid w:val="00B72911"/>
    <w:rsid w:val="00B735C1"/>
    <w:rsid w:val="00B7381C"/>
    <w:rsid w:val="00B73EDF"/>
    <w:rsid w:val="00B76D9A"/>
    <w:rsid w:val="00B80857"/>
    <w:rsid w:val="00B83041"/>
    <w:rsid w:val="00B832B1"/>
    <w:rsid w:val="00B83D78"/>
    <w:rsid w:val="00B85A40"/>
    <w:rsid w:val="00B90617"/>
    <w:rsid w:val="00B9205C"/>
    <w:rsid w:val="00B920E4"/>
    <w:rsid w:val="00B92FBB"/>
    <w:rsid w:val="00B93B24"/>
    <w:rsid w:val="00B94187"/>
    <w:rsid w:val="00B96A2B"/>
    <w:rsid w:val="00B97073"/>
    <w:rsid w:val="00B97620"/>
    <w:rsid w:val="00BA47A8"/>
    <w:rsid w:val="00BA4DDB"/>
    <w:rsid w:val="00BA57D7"/>
    <w:rsid w:val="00BA6CBE"/>
    <w:rsid w:val="00BA7ECA"/>
    <w:rsid w:val="00BB07B8"/>
    <w:rsid w:val="00BB07E1"/>
    <w:rsid w:val="00BB145E"/>
    <w:rsid w:val="00BB1A2E"/>
    <w:rsid w:val="00BB4CF4"/>
    <w:rsid w:val="00BB54DE"/>
    <w:rsid w:val="00BB5D91"/>
    <w:rsid w:val="00BB7ADA"/>
    <w:rsid w:val="00BB7AFC"/>
    <w:rsid w:val="00BC1E07"/>
    <w:rsid w:val="00BC2B1A"/>
    <w:rsid w:val="00BC3C09"/>
    <w:rsid w:val="00BC51B8"/>
    <w:rsid w:val="00BC5675"/>
    <w:rsid w:val="00BC5A9B"/>
    <w:rsid w:val="00BC769F"/>
    <w:rsid w:val="00BC7A4C"/>
    <w:rsid w:val="00BC7FF9"/>
    <w:rsid w:val="00BD11C2"/>
    <w:rsid w:val="00BD13CB"/>
    <w:rsid w:val="00BD3043"/>
    <w:rsid w:val="00BD3855"/>
    <w:rsid w:val="00BD3DCE"/>
    <w:rsid w:val="00BD5628"/>
    <w:rsid w:val="00BD5AF3"/>
    <w:rsid w:val="00BD6C21"/>
    <w:rsid w:val="00BD7681"/>
    <w:rsid w:val="00BD7EF8"/>
    <w:rsid w:val="00BE0514"/>
    <w:rsid w:val="00BE190E"/>
    <w:rsid w:val="00BE1EC4"/>
    <w:rsid w:val="00BE2377"/>
    <w:rsid w:val="00BE3345"/>
    <w:rsid w:val="00BE4BC7"/>
    <w:rsid w:val="00BE5A4D"/>
    <w:rsid w:val="00BE61C8"/>
    <w:rsid w:val="00BE64F5"/>
    <w:rsid w:val="00BE79A6"/>
    <w:rsid w:val="00BF01C1"/>
    <w:rsid w:val="00BF086C"/>
    <w:rsid w:val="00BF0DB9"/>
    <w:rsid w:val="00BF1A73"/>
    <w:rsid w:val="00BF2508"/>
    <w:rsid w:val="00BF33D2"/>
    <w:rsid w:val="00BF37C2"/>
    <w:rsid w:val="00BF3935"/>
    <w:rsid w:val="00BF39BB"/>
    <w:rsid w:val="00BF46BB"/>
    <w:rsid w:val="00C00466"/>
    <w:rsid w:val="00C00A00"/>
    <w:rsid w:val="00C01001"/>
    <w:rsid w:val="00C01112"/>
    <w:rsid w:val="00C01494"/>
    <w:rsid w:val="00C025E7"/>
    <w:rsid w:val="00C0263E"/>
    <w:rsid w:val="00C051C2"/>
    <w:rsid w:val="00C05D4A"/>
    <w:rsid w:val="00C069A8"/>
    <w:rsid w:val="00C07CF0"/>
    <w:rsid w:val="00C10625"/>
    <w:rsid w:val="00C108ED"/>
    <w:rsid w:val="00C1090E"/>
    <w:rsid w:val="00C110A2"/>
    <w:rsid w:val="00C1184C"/>
    <w:rsid w:val="00C12BBE"/>
    <w:rsid w:val="00C12C0D"/>
    <w:rsid w:val="00C134D8"/>
    <w:rsid w:val="00C13FCD"/>
    <w:rsid w:val="00C14282"/>
    <w:rsid w:val="00C20CDF"/>
    <w:rsid w:val="00C23456"/>
    <w:rsid w:val="00C2390A"/>
    <w:rsid w:val="00C2498B"/>
    <w:rsid w:val="00C24E8B"/>
    <w:rsid w:val="00C25CDF"/>
    <w:rsid w:val="00C263A8"/>
    <w:rsid w:val="00C26807"/>
    <w:rsid w:val="00C27618"/>
    <w:rsid w:val="00C30A10"/>
    <w:rsid w:val="00C33D18"/>
    <w:rsid w:val="00C3696D"/>
    <w:rsid w:val="00C414D7"/>
    <w:rsid w:val="00C420DF"/>
    <w:rsid w:val="00C43040"/>
    <w:rsid w:val="00C43E3A"/>
    <w:rsid w:val="00C44D2D"/>
    <w:rsid w:val="00C52C4B"/>
    <w:rsid w:val="00C5351B"/>
    <w:rsid w:val="00C53DDA"/>
    <w:rsid w:val="00C54C15"/>
    <w:rsid w:val="00C56DF6"/>
    <w:rsid w:val="00C5737B"/>
    <w:rsid w:val="00C6038C"/>
    <w:rsid w:val="00C60584"/>
    <w:rsid w:val="00C6060A"/>
    <w:rsid w:val="00C60B28"/>
    <w:rsid w:val="00C62091"/>
    <w:rsid w:val="00C6258D"/>
    <w:rsid w:val="00C62A66"/>
    <w:rsid w:val="00C63628"/>
    <w:rsid w:val="00C67663"/>
    <w:rsid w:val="00C679EE"/>
    <w:rsid w:val="00C705A5"/>
    <w:rsid w:val="00C729D3"/>
    <w:rsid w:val="00C729E7"/>
    <w:rsid w:val="00C72B5E"/>
    <w:rsid w:val="00C73FA9"/>
    <w:rsid w:val="00C76B12"/>
    <w:rsid w:val="00C77E0D"/>
    <w:rsid w:val="00C810B5"/>
    <w:rsid w:val="00C8146A"/>
    <w:rsid w:val="00C81AD4"/>
    <w:rsid w:val="00C832A5"/>
    <w:rsid w:val="00C847BE"/>
    <w:rsid w:val="00C84EB8"/>
    <w:rsid w:val="00C853DA"/>
    <w:rsid w:val="00C85492"/>
    <w:rsid w:val="00C874D6"/>
    <w:rsid w:val="00C87B91"/>
    <w:rsid w:val="00C904F1"/>
    <w:rsid w:val="00C93076"/>
    <w:rsid w:val="00C9363B"/>
    <w:rsid w:val="00C9407F"/>
    <w:rsid w:val="00C9418E"/>
    <w:rsid w:val="00C94270"/>
    <w:rsid w:val="00C9510D"/>
    <w:rsid w:val="00C9524A"/>
    <w:rsid w:val="00C9531E"/>
    <w:rsid w:val="00C96A49"/>
    <w:rsid w:val="00C96D02"/>
    <w:rsid w:val="00C96F79"/>
    <w:rsid w:val="00C97053"/>
    <w:rsid w:val="00CA0E8F"/>
    <w:rsid w:val="00CA1042"/>
    <w:rsid w:val="00CA19D6"/>
    <w:rsid w:val="00CA227B"/>
    <w:rsid w:val="00CA2681"/>
    <w:rsid w:val="00CA3243"/>
    <w:rsid w:val="00CA33BB"/>
    <w:rsid w:val="00CA3F81"/>
    <w:rsid w:val="00CA6FBA"/>
    <w:rsid w:val="00CA7D86"/>
    <w:rsid w:val="00CB049B"/>
    <w:rsid w:val="00CB17AB"/>
    <w:rsid w:val="00CB2AB7"/>
    <w:rsid w:val="00CB2C14"/>
    <w:rsid w:val="00CB319C"/>
    <w:rsid w:val="00CB40E0"/>
    <w:rsid w:val="00CB4268"/>
    <w:rsid w:val="00CB4887"/>
    <w:rsid w:val="00CB5E55"/>
    <w:rsid w:val="00CB7E17"/>
    <w:rsid w:val="00CC0560"/>
    <w:rsid w:val="00CC22F9"/>
    <w:rsid w:val="00CC475F"/>
    <w:rsid w:val="00CC4EB8"/>
    <w:rsid w:val="00CC6A51"/>
    <w:rsid w:val="00CD32E1"/>
    <w:rsid w:val="00CD4064"/>
    <w:rsid w:val="00CD4BB8"/>
    <w:rsid w:val="00CD58EF"/>
    <w:rsid w:val="00CD6873"/>
    <w:rsid w:val="00CD6D47"/>
    <w:rsid w:val="00CE1881"/>
    <w:rsid w:val="00CE2F00"/>
    <w:rsid w:val="00CE3A87"/>
    <w:rsid w:val="00CE444A"/>
    <w:rsid w:val="00CE4555"/>
    <w:rsid w:val="00CE554B"/>
    <w:rsid w:val="00CE6B4D"/>
    <w:rsid w:val="00CE6BE7"/>
    <w:rsid w:val="00CE6D9B"/>
    <w:rsid w:val="00CE71E3"/>
    <w:rsid w:val="00CE755F"/>
    <w:rsid w:val="00CF13B5"/>
    <w:rsid w:val="00CF2191"/>
    <w:rsid w:val="00CF2F3E"/>
    <w:rsid w:val="00CF52F2"/>
    <w:rsid w:val="00CF60A1"/>
    <w:rsid w:val="00CF697C"/>
    <w:rsid w:val="00CF6996"/>
    <w:rsid w:val="00CF6ED6"/>
    <w:rsid w:val="00CF755D"/>
    <w:rsid w:val="00CF7737"/>
    <w:rsid w:val="00CF7C08"/>
    <w:rsid w:val="00D00C78"/>
    <w:rsid w:val="00D01C0A"/>
    <w:rsid w:val="00D0207C"/>
    <w:rsid w:val="00D02C9E"/>
    <w:rsid w:val="00D03193"/>
    <w:rsid w:val="00D046FC"/>
    <w:rsid w:val="00D0549B"/>
    <w:rsid w:val="00D068BA"/>
    <w:rsid w:val="00D06F2E"/>
    <w:rsid w:val="00D07F70"/>
    <w:rsid w:val="00D11242"/>
    <w:rsid w:val="00D11CD6"/>
    <w:rsid w:val="00D13802"/>
    <w:rsid w:val="00D143D3"/>
    <w:rsid w:val="00D15FA4"/>
    <w:rsid w:val="00D163D0"/>
    <w:rsid w:val="00D17D8C"/>
    <w:rsid w:val="00D2041F"/>
    <w:rsid w:val="00D20F72"/>
    <w:rsid w:val="00D21F92"/>
    <w:rsid w:val="00D22A45"/>
    <w:rsid w:val="00D23A07"/>
    <w:rsid w:val="00D249D9"/>
    <w:rsid w:val="00D25053"/>
    <w:rsid w:val="00D251A1"/>
    <w:rsid w:val="00D27CF7"/>
    <w:rsid w:val="00D33E71"/>
    <w:rsid w:val="00D35C26"/>
    <w:rsid w:val="00D4316D"/>
    <w:rsid w:val="00D44ED4"/>
    <w:rsid w:val="00D451A1"/>
    <w:rsid w:val="00D455F3"/>
    <w:rsid w:val="00D45AE4"/>
    <w:rsid w:val="00D46195"/>
    <w:rsid w:val="00D52AD4"/>
    <w:rsid w:val="00D52EE2"/>
    <w:rsid w:val="00D53501"/>
    <w:rsid w:val="00D5386C"/>
    <w:rsid w:val="00D540A6"/>
    <w:rsid w:val="00D5473A"/>
    <w:rsid w:val="00D54D0A"/>
    <w:rsid w:val="00D55EF3"/>
    <w:rsid w:val="00D57BE2"/>
    <w:rsid w:val="00D60B2A"/>
    <w:rsid w:val="00D616A7"/>
    <w:rsid w:val="00D61BE0"/>
    <w:rsid w:val="00D6282C"/>
    <w:rsid w:val="00D62908"/>
    <w:rsid w:val="00D62B56"/>
    <w:rsid w:val="00D6320B"/>
    <w:rsid w:val="00D64599"/>
    <w:rsid w:val="00D64B55"/>
    <w:rsid w:val="00D66151"/>
    <w:rsid w:val="00D664E5"/>
    <w:rsid w:val="00D6767C"/>
    <w:rsid w:val="00D67827"/>
    <w:rsid w:val="00D700A4"/>
    <w:rsid w:val="00D7051B"/>
    <w:rsid w:val="00D7113F"/>
    <w:rsid w:val="00D71D0F"/>
    <w:rsid w:val="00D72FA5"/>
    <w:rsid w:val="00D733E8"/>
    <w:rsid w:val="00D733EC"/>
    <w:rsid w:val="00D73686"/>
    <w:rsid w:val="00D7461D"/>
    <w:rsid w:val="00D74D0B"/>
    <w:rsid w:val="00D775D2"/>
    <w:rsid w:val="00D77738"/>
    <w:rsid w:val="00D802B7"/>
    <w:rsid w:val="00D81187"/>
    <w:rsid w:val="00D8135F"/>
    <w:rsid w:val="00D81716"/>
    <w:rsid w:val="00D81877"/>
    <w:rsid w:val="00D81C55"/>
    <w:rsid w:val="00D83D79"/>
    <w:rsid w:val="00D859B5"/>
    <w:rsid w:val="00D85AB5"/>
    <w:rsid w:val="00D86295"/>
    <w:rsid w:val="00D862F8"/>
    <w:rsid w:val="00D8649C"/>
    <w:rsid w:val="00D878DA"/>
    <w:rsid w:val="00D8793B"/>
    <w:rsid w:val="00D879D1"/>
    <w:rsid w:val="00D91066"/>
    <w:rsid w:val="00D91A7B"/>
    <w:rsid w:val="00D92440"/>
    <w:rsid w:val="00D93CAC"/>
    <w:rsid w:val="00D96558"/>
    <w:rsid w:val="00D967FA"/>
    <w:rsid w:val="00D97AD0"/>
    <w:rsid w:val="00D97F9D"/>
    <w:rsid w:val="00DA0A3E"/>
    <w:rsid w:val="00DA1330"/>
    <w:rsid w:val="00DA1A7E"/>
    <w:rsid w:val="00DA1ADC"/>
    <w:rsid w:val="00DA1BF0"/>
    <w:rsid w:val="00DA3486"/>
    <w:rsid w:val="00DB06C0"/>
    <w:rsid w:val="00DB09D2"/>
    <w:rsid w:val="00DB30B2"/>
    <w:rsid w:val="00DB423A"/>
    <w:rsid w:val="00DB548B"/>
    <w:rsid w:val="00DB5765"/>
    <w:rsid w:val="00DB713F"/>
    <w:rsid w:val="00DC106C"/>
    <w:rsid w:val="00DC2259"/>
    <w:rsid w:val="00DC2C99"/>
    <w:rsid w:val="00DC2D12"/>
    <w:rsid w:val="00DC3718"/>
    <w:rsid w:val="00DC46C9"/>
    <w:rsid w:val="00DC47A4"/>
    <w:rsid w:val="00DC5248"/>
    <w:rsid w:val="00DC5914"/>
    <w:rsid w:val="00DC5C85"/>
    <w:rsid w:val="00DC67A1"/>
    <w:rsid w:val="00DC6A4D"/>
    <w:rsid w:val="00DD00D8"/>
    <w:rsid w:val="00DD058B"/>
    <w:rsid w:val="00DD08A7"/>
    <w:rsid w:val="00DD2029"/>
    <w:rsid w:val="00DD30B2"/>
    <w:rsid w:val="00DD34EF"/>
    <w:rsid w:val="00DD5825"/>
    <w:rsid w:val="00DD785C"/>
    <w:rsid w:val="00DD7874"/>
    <w:rsid w:val="00DE042F"/>
    <w:rsid w:val="00DE0604"/>
    <w:rsid w:val="00DE12D7"/>
    <w:rsid w:val="00DE196C"/>
    <w:rsid w:val="00DE2EF3"/>
    <w:rsid w:val="00DE617C"/>
    <w:rsid w:val="00DE6C7D"/>
    <w:rsid w:val="00DF2382"/>
    <w:rsid w:val="00DF4349"/>
    <w:rsid w:val="00DF47F2"/>
    <w:rsid w:val="00DF62FA"/>
    <w:rsid w:val="00E0062D"/>
    <w:rsid w:val="00E016DB"/>
    <w:rsid w:val="00E0197C"/>
    <w:rsid w:val="00E0237A"/>
    <w:rsid w:val="00E0254F"/>
    <w:rsid w:val="00E02B10"/>
    <w:rsid w:val="00E04084"/>
    <w:rsid w:val="00E04B3B"/>
    <w:rsid w:val="00E07445"/>
    <w:rsid w:val="00E10DED"/>
    <w:rsid w:val="00E111E4"/>
    <w:rsid w:val="00E11F09"/>
    <w:rsid w:val="00E140BB"/>
    <w:rsid w:val="00E142C1"/>
    <w:rsid w:val="00E14BB9"/>
    <w:rsid w:val="00E14F5A"/>
    <w:rsid w:val="00E15B74"/>
    <w:rsid w:val="00E15BF2"/>
    <w:rsid w:val="00E17157"/>
    <w:rsid w:val="00E17D8F"/>
    <w:rsid w:val="00E2032A"/>
    <w:rsid w:val="00E21DE9"/>
    <w:rsid w:val="00E21F15"/>
    <w:rsid w:val="00E2327B"/>
    <w:rsid w:val="00E24AF7"/>
    <w:rsid w:val="00E2632E"/>
    <w:rsid w:val="00E302D9"/>
    <w:rsid w:val="00E31502"/>
    <w:rsid w:val="00E32462"/>
    <w:rsid w:val="00E33189"/>
    <w:rsid w:val="00E3463F"/>
    <w:rsid w:val="00E34B6C"/>
    <w:rsid w:val="00E361F5"/>
    <w:rsid w:val="00E406E1"/>
    <w:rsid w:val="00E40FE6"/>
    <w:rsid w:val="00E40FE8"/>
    <w:rsid w:val="00E41446"/>
    <w:rsid w:val="00E4193F"/>
    <w:rsid w:val="00E41B0C"/>
    <w:rsid w:val="00E42341"/>
    <w:rsid w:val="00E42867"/>
    <w:rsid w:val="00E42BD0"/>
    <w:rsid w:val="00E42CBB"/>
    <w:rsid w:val="00E43520"/>
    <w:rsid w:val="00E43D61"/>
    <w:rsid w:val="00E44B8A"/>
    <w:rsid w:val="00E46295"/>
    <w:rsid w:val="00E47AC6"/>
    <w:rsid w:val="00E513FC"/>
    <w:rsid w:val="00E516D9"/>
    <w:rsid w:val="00E533B7"/>
    <w:rsid w:val="00E54E2C"/>
    <w:rsid w:val="00E55458"/>
    <w:rsid w:val="00E5716A"/>
    <w:rsid w:val="00E60A9C"/>
    <w:rsid w:val="00E6166A"/>
    <w:rsid w:val="00E64356"/>
    <w:rsid w:val="00E65BE5"/>
    <w:rsid w:val="00E6682E"/>
    <w:rsid w:val="00E67A22"/>
    <w:rsid w:val="00E7044D"/>
    <w:rsid w:val="00E704EA"/>
    <w:rsid w:val="00E70611"/>
    <w:rsid w:val="00E70D37"/>
    <w:rsid w:val="00E713CD"/>
    <w:rsid w:val="00E736FF"/>
    <w:rsid w:val="00E764C3"/>
    <w:rsid w:val="00E765EF"/>
    <w:rsid w:val="00E82D9D"/>
    <w:rsid w:val="00E83C85"/>
    <w:rsid w:val="00E84623"/>
    <w:rsid w:val="00E85902"/>
    <w:rsid w:val="00E85CDF"/>
    <w:rsid w:val="00E86896"/>
    <w:rsid w:val="00E872C7"/>
    <w:rsid w:val="00E87808"/>
    <w:rsid w:val="00E8790A"/>
    <w:rsid w:val="00E87CD3"/>
    <w:rsid w:val="00E9064F"/>
    <w:rsid w:val="00E910A9"/>
    <w:rsid w:val="00E91247"/>
    <w:rsid w:val="00E91C68"/>
    <w:rsid w:val="00E92C64"/>
    <w:rsid w:val="00E95222"/>
    <w:rsid w:val="00E958E8"/>
    <w:rsid w:val="00E96623"/>
    <w:rsid w:val="00E96668"/>
    <w:rsid w:val="00EA0652"/>
    <w:rsid w:val="00EA2DB8"/>
    <w:rsid w:val="00EA5168"/>
    <w:rsid w:val="00EA5DFA"/>
    <w:rsid w:val="00EA6F7D"/>
    <w:rsid w:val="00EB1681"/>
    <w:rsid w:val="00EB2CB4"/>
    <w:rsid w:val="00EB3E97"/>
    <w:rsid w:val="00EC26FE"/>
    <w:rsid w:val="00EC3B54"/>
    <w:rsid w:val="00EC412F"/>
    <w:rsid w:val="00EC4979"/>
    <w:rsid w:val="00EC7005"/>
    <w:rsid w:val="00EC7331"/>
    <w:rsid w:val="00EC78FA"/>
    <w:rsid w:val="00ED01AD"/>
    <w:rsid w:val="00ED101D"/>
    <w:rsid w:val="00ED1760"/>
    <w:rsid w:val="00ED2146"/>
    <w:rsid w:val="00ED302F"/>
    <w:rsid w:val="00ED3A4A"/>
    <w:rsid w:val="00ED43BB"/>
    <w:rsid w:val="00ED5710"/>
    <w:rsid w:val="00ED762C"/>
    <w:rsid w:val="00EE5946"/>
    <w:rsid w:val="00EE63FC"/>
    <w:rsid w:val="00EE6849"/>
    <w:rsid w:val="00EF0613"/>
    <w:rsid w:val="00EF2A94"/>
    <w:rsid w:val="00EF52A4"/>
    <w:rsid w:val="00EF5B92"/>
    <w:rsid w:val="00F0078D"/>
    <w:rsid w:val="00F023EE"/>
    <w:rsid w:val="00F04E5C"/>
    <w:rsid w:val="00F0582D"/>
    <w:rsid w:val="00F06F74"/>
    <w:rsid w:val="00F07A2D"/>
    <w:rsid w:val="00F11249"/>
    <w:rsid w:val="00F11F0B"/>
    <w:rsid w:val="00F1265E"/>
    <w:rsid w:val="00F129BB"/>
    <w:rsid w:val="00F13F50"/>
    <w:rsid w:val="00F14A5A"/>
    <w:rsid w:val="00F14C44"/>
    <w:rsid w:val="00F16B52"/>
    <w:rsid w:val="00F17658"/>
    <w:rsid w:val="00F17C0E"/>
    <w:rsid w:val="00F210AC"/>
    <w:rsid w:val="00F21403"/>
    <w:rsid w:val="00F249C2"/>
    <w:rsid w:val="00F253C7"/>
    <w:rsid w:val="00F25FB0"/>
    <w:rsid w:val="00F2733C"/>
    <w:rsid w:val="00F279A4"/>
    <w:rsid w:val="00F3097D"/>
    <w:rsid w:val="00F30C0A"/>
    <w:rsid w:val="00F310D6"/>
    <w:rsid w:val="00F311C7"/>
    <w:rsid w:val="00F35481"/>
    <w:rsid w:val="00F354C5"/>
    <w:rsid w:val="00F3562D"/>
    <w:rsid w:val="00F3664A"/>
    <w:rsid w:val="00F4209F"/>
    <w:rsid w:val="00F42383"/>
    <w:rsid w:val="00F438B4"/>
    <w:rsid w:val="00F43CC8"/>
    <w:rsid w:val="00F4428C"/>
    <w:rsid w:val="00F4468D"/>
    <w:rsid w:val="00F44B88"/>
    <w:rsid w:val="00F469A1"/>
    <w:rsid w:val="00F47BA8"/>
    <w:rsid w:val="00F50150"/>
    <w:rsid w:val="00F5048C"/>
    <w:rsid w:val="00F52791"/>
    <w:rsid w:val="00F54043"/>
    <w:rsid w:val="00F557C1"/>
    <w:rsid w:val="00F574E8"/>
    <w:rsid w:val="00F577C0"/>
    <w:rsid w:val="00F57A69"/>
    <w:rsid w:val="00F613BC"/>
    <w:rsid w:val="00F62E56"/>
    <w:rsid w:val="00F64C25"/>
    <w:rsid w:val="00F6525F"/>
    <w:rsid w:val="00F6533F"/>
    <w:rsid w:val="00F6669A"/>
    <w:rsid w:val="00F67366"/>
    <w:rsid w:val="00F67D49"/>
    <w:rsid w:val="00F70567"/>
    <w:rsid w:val="00F70C85"/>
    <w:rsid w:val="00F70E3F"/>
    <w:rsid w:val="00F70FC0"/>
    <w:rsid w:val="00F7161F"/>
    <w:rsid w:val="00F718F5"/>
    <w:rsid w:val="00F71B14"/>
    <w:rsid w:val="00F731E5"/>
    <w:rsid w:val="00F7330B"/>
    <w:rsid w:val="00F73509"/>
    <w:rsid w:val="00F73D5D"/>
    <w:rsid w:val="00F763B1"/>
    <w:rsid w:val="00F765D2"/>
    <w:rsid w:val="00F81319"/>
    <w:rsid w:val="00F8194F"/>
    <w:rsid w:val="00F819C2"/>
    <w:rsid w:val="00F824E2"/>
    <w:rsid w:val="00F8574E"/>
    <w:rsid w:val="00F86FF1"/>
    <w:rsid w:val="00F92BB1"/>
    <w:rsid w:val="00F95905"/>
    <w:rsid w:val="00F95957"/>
    <w:rsid w:val="00F95B64"/>
    <w:rsid w:val="00F967F6"/>
    <w:rsid w:val="00FA2A9F"/>
    <w:rsid w:val="00FA2F55"/>
    <w:rsid w:val="00FA4DDD"/>
    <w:rsid w:val="00FA51E7"/>
    <w:rsid w:val="00FB01B5"/>
    <w:rsid w:val="00FB0DA0"/>
    <w:rsid w:val="00FB0DD2"/>
    <w:rsid w:val="00FB2D8A"/>
    <w:rsid w:val="00FB3F04"/>
    <w:rsid w:val="00FB3FF4"/>
    <w:rsid w:val="00FB4BBC"/>
    <w:rsid w:val="00FB6B9B"/>
    <w:rsid w:val="00FC1F1B"/>
    <w:rsid w:val="00FC3036"/>
    <w:rsid w:val="00FC359B"/>
    <w:rsid w:val="00FC3A86"/>
    <w:rsid w:val="00FC4760"/>
    <w:rsid w:val="00FD2D9B"/>
    <w:rsid w:val="00FD4696"/>
    <w:rsid w:val="00FD5188"/>
    <w:rsid w:val="00FD52DD"/>
    <w:rsid w:val="00FD740F"/>
    <w:rsid w:val="00FE011D"/>
    <w:rsid w:val="00FE0561"/>
    <w:rsid w:val="00FE0974"/>
    <w:rsid w:val="00FE2FAF"/>
    <w:rsid w:val="00FE504D"/>
    <w:rsid w:val="00FE68A6"/>
    <w:rsid w:val="00FE76FD"/>
    <w:rsid w:val="00FF0C6B"/>
    <w:rsid w:val="00FF36D3"/>
    <w:rsid w:val="00FF3D8E"/>
    <w:rsid w:val="00FF4F02"/>
    <w:rsid w:val="01406FC1"/>
    <w:rsid w:val="01B870A1"/>
    <w:rsid w:val="01DB6127"/>
    <w:rsid w:val="020016E9"/>
    <w:rsid w:val="02184C85"/>
    <w:rsid w:val="0227136C"/>
    <w:rsid w:val="02680801"/>
    <w:rsid w:val="02855198"/>
    <w:rsid w:val="02963DFC"/>
    <w:rsid w:val="032B04B4"/>
    <w:rsid w:val="03345AEF"/>
    <w:rsid w:val="03483348"/>
    <w:rsid w:val="036E42B8"/>
    <w:rsid w:val="037D18F7"/>
    <w:rsid w:val="0486237A"/>
    <w:rsid w:val="04956A61"/>
    <w:rsid w:val="04CE3D21"/>
    <w:rsid w:val="05092745"/>
    <w:rsid w:val="056F3ED5"/>
    <w:rsid w:val="057A5163"/>
    <w:rsid w:val="05B03557"/>
    <w:rsid w:val="05C23886"/>
    <w:rsid w:val="05F15F19"/>
    <w:rsid w:val="06334F94"/>
    <w:rsid w:val="06417DE6"/>
    <w:rsid w:val="06B3208A"/>
    <w:rsid w:val="07764365"/>
    <w:rsid w:val="07893F2F"/>
    <w:rsid w:val="07AE10DC"/>
    <w:rsid w:val="07C75183"/>
    <w:rsid w:val="08430582"/>
    <w:rsid w:val="08716E9D"/>
    <w:rsid w:val="08C54418"/>
    <w:rsid w:val="09263E23"/>
    <w:rsid w:val="09743288"/>
    <w:rsid w:val="098231F1"/>
    <w:rsid w:val="098826F0"/>
    <w:rsid w:val="09F064E7"/>
    <w:rsid w:val="0A075D0B"/>
    <w:rsid w:val="0A84735B"/>
    <w:rsid w:val="0A907BD4"/>
    <w:rsid w:val="0AD53D20"/>
    <w:rsid w:val="0AD6392F"/>
    <w:rsid w:val="0AF132DB"/>
    <w:rsid w:val="0B5036E2"/>
    <w:rsid w:val="0B723658"/>
    <w:rsid w:val="0B7E040B"/>
    <w:rsid w:val="0B894B7C"/>
    <w:rsid w:val="0B907F82"/>
    <w:rsid w:val="0BAF18F9"/>
    <w:rsid w:val="0BBD43B9"/>
    <w:rsid w:val="0C143459"/>
    <w:rsid w:val="0C724A0B"/>
    <w:rsid w:val="0C886EAB"/>
    <w:rsid w:val="0C96783C"/>
    <w:rsid w:val="0CE85287"/>
    <w:rsid w:val="0D03107D"/>
    <w:rsid w:val="0D4B23B2"/>
    <w:rsid w:val="0D505B82"/>
    <w:rsid w:val="0EA21CD4"/>
    <w:rsid w:val="0F0767AD"/>
    <w:rsid w:val="0F4E7F38"/>
    <w:rsid w:val="0F5229B3"/>
    <w:rsid w:val="0F7D4857"/>
    <w:rsid w:val="0F8E6586"/>
    <w:rsid w:val="0FD30707"/>
    <w:rsid w:val="0FE930F8"/>
    <w:rsid w:val="0FEA0DD6"/>
    <w:rsid w:val="104B091B"/>
    <w:rsid w:val="106B4B92"/>
    <w:rsid w:val="106B68C8"/>
    <w:rsid w:val="10912834"/>
    <w:rsid w:val="10A6190E"/>
    <w:rsid w:val="10AE1E21"/>
    <w:rsid w:val="10DE52EC"/>
    <w:rsid w:val="10EF12A7"/>
    <w:rsid w:val="11535A27"/>
    <w:rsid w:val="115B0592"/>
    <w:rsid w:val="11AF0294"/>
    <w:rsid w:val="11B0086C"/>
    <w:rsid w:val="12525F91"/>
    <w:rsid w:val="12872FE0"/>
    <w:rsid w:val="134624E6"/>
    <w:rsid w:val="13710EB6"/>
    <w:rsid w:val="13BA7920"/>
    <w:rsid w:val="13D529D6"/>
    <w:rsid w:val="14123430"/>
    <w:rsid w:val="149908B2"/>
    <w:rsid w:val="14D427FB"/>
    <w:rsid w:val="14D71268"/>
    <w:rsid w:val="153B2D0D"/>
    <w:rsid w:val="15594B55"/>
    <w:rsid w:val="15825823"/>
    <w:rsid w:val="159B6ECC"/>
    <w:rsid w:val="15F250B5"/>
    <w:rsid w:val="161F55A3"/>
    <w:rsid w:val="163B54B6"/>
    <w:rsid w:val="16557DFE"/>
    <w:rsid w:val="16730B9D"/>
    <w:rsid w:val="16846935"/>
    <w:rsid w:val="16E5036D"/>
    <w:rsid w:val="172F6FEF"/>
    <w:rsid w:val="1746570F"/>
    <w:rsid w:val="17525DAB"/>
    <w:rsid w:val="177D4307"/>
    <w:rsid w:val="178C784F"/>
    <w:rsid w:val="17BF1ADD"/>
    <w:rsid w:val="17CD529B"/>
    <w:rsid w:val="17D434C8"/>
    <w:rsid w:val="17DF07E7"/>
    <w:rsid w:val="17FD50E6"/>
    <w:rsid w:val="180B1B5A"/>
    <w:rsid w:val="180D2B8D"/>
    <w:rsid w:val="180F025E"/>
    <w:rsid w:val="18280923"/>
    <w:rsid w:val="18702CCD"/>
    <w:rsid w:val="18820C52"/>
    <w:rsid w:val="18AE37F5"/>
    <w:rsid w:val="18BD7D2B"/>
    <w:rsid w:val="18FA7DD4"/>
    <w:rsid w:val="18FB2E48"/>
    <w:rsid w:val="19120228"/>
    <w:rsid w:val="191F46F3"/>
    <w:rsid w:val="19445F08"/>
    <w:rsid w:val="19537000"/>
    <w:rsid w:val="195E0D90"/>
    <w:rsid w:val="199649B5"/>
    <w:rsid w:val="19AA220F"/>
    <w:rsid w:val="19F354C6"/>
    <w:rsid w:val="1A2A15A2"/>
    <w:rsid w:val="1A4D6613"/>
    <w:rsid w:val="1A654388"/>
    <w:rsid w:val="1A840CB2"/>
    <w:rsid w:val="1ACA4F21"/>
    <w:rsid w:val="1B194B4F"/>
    <w:rsid w:val="1B5D434A"/>
    <w:rsid w:val="1B81258C"/>
    <w:rsid w:val="1BDC0550"/>
    <w:rsid w:val="1C252021"/>
    <w:rsid w:val="1C316F77"/>
    <w:rsid w:val="1C7D00AF"/>
    <w:rsid w:val="1CE45867"/>
    <w:rsid w:val="1D0758FE"/>
    <w:rsid w:val="1D552DD9"/>
    <w:rsid w:val="1D612365"/>
    <w:rsid w:val="1D6762B9"/>
    <w:rsid w:val="1D7238DD"/>
    <w:rsid w:val="1D91151F"/>
    <w:rsid w:val="1DA0383E"/>
    <w:rsid w:val="1DB43015"/>
    <w:rsid w:val="1E2F52AD"/>
    <w:rsid w:val="1E720253"/>
    <w:rsid w:val="1E931436"/>
    <w:rsid w:val="1EB37DB8"/>
    <w:rsid w:val="1EC00764"/>
    <w:rsid w:val="1EF74148"/>
    <w:rsid w:val="1EFA22F3"/>
    <w:rsid w:val="1F0E52D9"/>
    <w:rsid w:val="1F27225A"/>
    <w:rsid w:val="1FC22A64"/>
    <w:rsid w:val="1FD60573"/>
    <w:rsid w:val="20000DDB"/>
    <w:rsid w:val="208A2D9A"/>
    <w:rsid w:val="21254871"/>
    <w:rsid w:val="212C5617"/>
    <w:rsid w:val="21325FE2"/>
    <w:rsid w:val="21507B40"/>
    <w:rsid w:val="219F0AC7"/>
    <w:rsid w:val="21A5222E"/>
    <w:rsid w:val="2208041A"/>
    <w:rsid w:val="22431452"/>
    <w:rsid w:val="224F6E85"/>
    <w:rsid w:val="226F2247"/>
    <w:rsid w:val="229A4BD1"/>
    <w:rsid w:val="22DB176D"/>
    <w:rsid w:val="22DB78DD"/>
    <w:rsid w:val="23415513"/>
    <w:rsid w:val="23582CDC"/>
    <w:rsid w:val="23BB17E3"/>
    <w:rsid w:val="23D33568"/>
    <w:rsid w:val="24257983"/>
    <w:rsid w:val="24294678"/>
    <w:rsid w:val="24530344"/>
    <w:rsid w:val="248746BA"/>
    <w:rsid w:val="24A34335"/>
    <w:rsid w:val="24E87C1F"/>
    <w:rsid w:val="2514641A"/>
    <w:rsid w:val="25242755"/>
    <w:rsid w:val="252F2039"/>
    <w:rsid w:val="256D2DDB"/>
    <w:rsid w:val="25875AFA"/>
    <w:rsid w:val="260809E9"/>
    <w:rsid w:val="262C4D18"/>
    <w:rsid w:val="267F7F87"/>
    <w:rsid w:val="268C786C"/>
    <w:rsid w:val="268E12D6"/>
    <w:rsid w:val="269243E7"/>
    <w:rsid w:val="26C27DF3"/>
    <w:rsid w:val="26C3674A"/>
    <w:rsid w:val="276C4A96"/>
    <w:rsid w:val="27791CF6"/>
    <w:rsid w:val="27BA089A"/>
    <w:rsid w:val="27C33276"/>
    <w:rsid w:val="285717B4"/>
    <w:rsid w:val="287265EE"/>
    <w:rsid w:val="289429CF"/>
    <w:rsid w:val="28A95D87"/>
    <w:rsid w:val="28BF76C2"/>
    <w:rsid w:val="28E35478"/>
    <w:rsid w:val="29257B04"/>
    <w:rsid w:val="2960685A"/>
    <w:rsid w:val="29626725"/>
    <w:rsid w:val="296323DA"/>
    <w:rsid w:val="297E7214"/>
    <w:rsid w:val="298E7457"/>
    <w:rsid w:val="29B35110"/>
    <w:rsid w:val="29EE7EF6"/>
    <w:rsid w:val="2A143B4E"/>
    <w:rsid w:val="2A8A2314"/>
    <w:rsid w:val="2A8B541C"/>
    <w:rsid w:val="2AD12B2F"/>
    <w:rsid w:val="2B084FE7"/>
    <w:rsid w:val="2B2965EE"/>
    <w:rsid w:val="2B5143E8"/>
    <w:rsid w:val="2B69017C"/>
    <w:rsid w:val="2B797161"/>
    <w:rsid w:val="2B91416E"/>
    <w:rsid w:val="2BB84C5F"/>
    <w:rsid w:val="2BF57912"/>
    <w:rsid w:val="2BFD6B16"/>
    <w:rsid w:val="2C572D51"/>
    <w:rsid w:val="2C5D35BA"/>
    <w:rsid w:val="2C694D08"/>
    <w:rsid w:val="2C9A6113"/>
    <w:rsid w:val="2CB01DDA"/>
    <w:rsid w:val="2CD41B13"/>
    <w:rsid w:val="2D0C3C21"/>
    <w:rsid w:val="2D3922D1"/>
    <w:rsid w:val="2D5847AA"/>
    <w:rsid w:val="2D720E3E"/>
    <w:rsid w:val="2D7B19C0"/>
    <w:rsid w:val="2D9235EF"/>
    <w:rsid w:val="2DC65177"/>
    <w:rsid w:val="2DE25E72"/>
    <w:rsid w:val="2DF9330D"/>
    <w:rsid w:val="2E542883"/>
    <w:rsid w:val="2EB86D24"/>
    <w:rsid w:val="2EC76F67"/>
    <w:rsid w:val="2EFE507F"/>
    <w:rsid w:val="2F4D1B62"/>
    <w:rsid w:val="2F8F5CD7"/>
    <w:rsid w:val="2F9F1E99"/>
    <w:rsid w:val="30050C01"/>
    <w:rsid w:val="300872A7"/>
    <w:rsid w:val="304370DB"/>
    <w:rsid w:val="310E70CF"/>
    <w:rsid w:val="311F3B5B"/>
    <w:rsid w:val="320A09D6"/>
    <w:rsid w:val="32230782"/>
    <w:rsid w:val="32B45E84"/>
    <w:rsid w:val="32CC7A5E"/>
    <w:rsid w:val="32CD7A68"/>
    <w:rsid w:val="32DA6D7E"/>
    <w:rsid w:val="32E12CEE"/>
    <w:rsid w:val="333D5A4A"/>
    <w:rsid w:val="33576B0C"/>
    <w:rsid w:val="335D3E22"/>
    <w:rsid w:val="337E08C4"/>
    <w:rsid w:val="338A07B4"/>
    <w:rsid w:val="33B83A6B"/>
    <w:rsid w:val="33D22636"/>
    <w:rsid w:val="33D939C5"/>
    <w:rsid w:val="33E9341A"/>
    <w:rsid w:val="33F91286"/>
    <w:rsid w:val="342C3844"/>
    <w:rsid w:val="343D03F7"/>
    <w:rsid w:val="345179FF"/>
    <w:rsid w:val="348D63C4"/>
    <w:rsid w:val="34A37422"/>
    <w:rsid w:val="34AB3FC5"/>
    <w:rsid w:val="34E11663"/>
    <w:rsid w:val="35020CF9"/>
    <w:rsid w:val="35023129"/>
    <w:rsid w:val="351A356F"/>
    <w:rsid w:val="35646F86"/>
    <w:rsid w:val="359F3EDA"/>
    <w:rsid w:val="35F70AEA"/>
    <w:rsid w:val="364C3D1C"/>
    <w:rsid w:val="364E2474"/>
    <w:rsid w:val="36624145"/>
    <w:rsid w:val="36657792"/>
    <w:rsid w:val="36965119"/>
    <w:rsid w:val="36A15025"/>
    <w:rsid w:val="36AE38A4"/>
    <w:rsid w:val="36D502B0"/>
    <w:rsid w:val="36E032BC"/>
    <w:rsid w:val="37083255"/>
    <w:rsid w:val="371371EE"/>
    <w:rsid w:val="372907BF"/>
    <w:rsid w:val="37296A11"/>
    <w:rsid w:val="3730154B"/>
    <w:rsid w:val="37593B68"/>
    <w:rsid w:val="377C33DF"/>
    <w:rsid w:val="37B072DB"/>
    <w:rsid w:val="37F8642C"/>
    <w:rsid w:val="382F25CF"/>
    <w:rsid w:val="38926838"/>
    <w:rsid w:val="38D34E86"/>
    <w:rsid w:val="38F85F83"/>
    <w:rsid w:val="39700927"/>
    <w:rsid w:val="3A015A23"/>
    <w:rsid w:val="3A296D28"/>
    <w:rsid w:val="3A4D6EBA"/>
    <w:rsid w:val="3AA72FDB"/>
    <w:rsid w:val="3B3B4CAD"/>
    <w:rsid w:val="3B6D0C9B"/>
    <w:rsid w:val="3B946545"/>
    <w:rsid w:val="3BA25687"/>
    <w:rsid w:val="3BF5780A"/>
    <w:rsid w:val="3C0315AF"/>
    <w:rsid w:val="3C417421"/>
    <w:rsid w:val="3C5A459A"/>
    <w:rsid w:val="3C6C7F8D"/>
    <w:rsid w:val="3CBA7A8C"/>
    <w:rsid w:val="3D0F3613"/>
    <w:rsid w:val="3D1F5C24"/>
    <w:rsid w:val="3D5E4F3B"/>
    <w:rsid w:val="3DDD67A7"/>
    <w:rsid w:val="3E48150D"/>
    <w:rsid w:val="3E8336C9"/>
    <w:rsid w:val="3EC8270B"/>
    <w:rsid w:val="3F016242"/>
    <w:rsid w:val="3F632191"/>
    <w:rsid w:val="3F823162"/>
    <w:rsid w:val="3FB55FC2"/>
    <w:rsid w:val="3FE77469"/>
    <w:rsid w:val="402A7AD7"/>
    <w:rsid w:val="40361B80"/>
    <w:rsid w:val="403A46DD"/>
    <w:rsid w:val="408D45F8"/>
    <w:rsid w:val="409C72DA"/>
    <w:rsid w:val="40C41559"/>
    <w:rsid w:val="41307507"/>
    <w:rsid w:val="41406E31"/>
    <w:rsid w:val="414D528E"/>
    <w:rsid w:val="41526B64"/>
    <w:rsid w:val="41C55928"/>
    <w:rsid w:val="41E00614"/>
    <w:rsid w:val="424F7906"/>
    <w:rsid w:val="428D786A"/>
    <w:rsid w:val="42A62394"/>
    <w:rsid w:val="42AF45C7"/>
    <w:rsid w:val="42D737C5"/>
    <w:rsid w:val="42F4322E"/>
    <w:rsid w:val="42FC1E3E"/>
    <w:rsid w:val="43395821"/>
    <w:rsid w:val="437C1E1E"/>
    <w:rsid w:val="43E377B2"/>
    <w:rsid w:val="44166A5A"/>
    <w:rsid w:val="44511355"/>
    <w:rsid w:val="44AA7F43"/>
    <w:rsid w:val="4539547E"/>
    <w:rsid w:val="454D7D6F"/>
    <w:rsid w:val="457E60C5"/>
    <w:rsid w:val="45E408FE"/>
    <w:rsid w:val="465946C4"/>
    <w:rsid w:val="468772B0"/>
    <w:rsid w:val="46937842"/>
    <w:rsid w:val="469A2946"/>
    <w:rsid w:val="46DE1BF8"/>
    <w:rsid w:val="474634C9"/>
    <w:rsid w:val="478657BA"/>
    <w:rsid w:val="47935219"/>
    <w:rsid w:val="47BA0E7D"/>
    <w:rsid w:val="48094A0C"/>
    <w:rsid w:val="483671E0"/>
    <w:rsid w:val="48535060"/>
    <w:rsid w:val="4863504B"/>
    <w:rsid w:val="488E2B78"/>
    <w:rsid w:val="48D03190"/>
    <w:rsid w:val="493F2A37"/>
    <w:rsid w:val="49A168DB"/>
    <w:rsid w:val="4A136E6D"/>
    <w:rsid w:val="4A6242BC"/>
    <w:rsid w:val="4A6F0787"/>
    <w:rsid w:val="4A82670C"/>
    <w:rsid w:val="4AD54A8E"/>
    <w:rsid w:val="4B187071"/>
    <w:rsid w:val="4B3E43DC"/>
    <w:rsid w:val="4B3F3D7D"/>
    <w:rsid w:val="4B3F45FD"/>
    <w:rsid w:val="4B700C5B"/>
    <w:rsid w:val="4BB9615E"/>
    <w:rsid w:val="4BDA577A"/>
    <w:rsid w:val="4C186CE6"/>
    <w:rsid w:val="4C577725"/>
    <w:rsid w:val="4C8C4D53"/>
    <w:rsid w:val="4CA010CC"/>
    <w:rsid w:val="4CE94821"/>
    <w:rsid w:val="4D230685"/>
    <w:rsid w:val="4D3017F6"/>
    <w:rsid w:val="4D6D36A4"/>
    <w:rsid w:val="4DB82445"/>
    <w:rsid w:val="4DEC0201"/>
    <w:rsid w:val="4E342F38"/>
    <w:rsid w:val="4E895320"/>
    <w:rsid w:val="4ED84B4D"/>
    <w:rsid w:val="4F1836D9"/>
    <w:rsid w:val="4F30033E"/>
    <w:rsid w:val="4FB03D44"/>
    <w:rsid w:val="4FF125F5"/>
    <w:rsid w:val="50252BC4"/>
    <w:rsid w:val="503A5AFB"/>
    <w:rsid w:val="506076E4"/>
    <w:rsid w:val="50B45146"/>
    <w:rsid w:val="510115D3"/>
    <w:rsid w:val="510C4306"/>
    <w:rsid w:val="511519AA"/>
    <w:rsid w:val="512C2F2E"/>
    <w:rsid w:val="51ED2ECE"/>
    <w:rsid w:val="523707EA"/>
    <w:rsid w:val="524B3888"/>
    <w:rsid w:val="524C51FA"/>
    <w:rsid w:val="52553FC0"/>
    <w:rsid w:val="529E60AD"/>
    <w:rsid w:val="52D71B51"/>
    <w:rsid w:val="52F7756C"/>
    <w:rsid w:val="531D5B52"/>
    <w:rsid w:val="53803A05"/>
    <w:rsid w:val="538545D7"/>
    <w:rsid w:val="53C102A5"/>
    <w:rsid w:val="53F85F5C"/>
    <w:rsid w:val="54210D44"/>
    <w:rsid w:val="543F566E"/>
    <w:rsid w:val="54432A67"/>
    <w:rsid w:val="54646E83"/>
    <w:rsid w:val="547043E7"/>
    <w:rsid w:val="54BE0739"/>
    <w:rsid w:val="54D97831"/>
    <w:rsid w:val="550D47D3"/>
    <w:rsid w:val="55124B31"/>
    <w:rsid w:val="55143439"/>
    <w:rsid w:val="551D3643"/>
    <w:rsid w:val="5531145B"/>
    <w:rsid w:val="553F127F"/>
    <w:rsid w:val="558A2919"/>
    <w:rsid w:val="55A27C63"/>
    <w:rsid w:val="55BE4B04"/>
    <w:rsid w:val="55C914EE"/>
    <w:rsid w:val="55C929C1"/>
    <w:rsid w:val="55CE0F25"/>
    <w:rsid w:val="561C0DCE"/>
    <w:rsid w:val="56B740FF"/>
    <w:rsid w:val="573C7C43"/>
    <w:rsid w:val="574C257C"/>
    <w:rsid w:val="5750795A"/>
    <w:rsid w:val="576353F8"/>
    <w:rsid w:val="58584F66"/>
    <w:rsid w:val="586C0B52"/>
    <w:rsid w:val="58754FD2"/>
    <w:rsid w:val="58DA3BB7"/>
    <w:rsid w:val="590C20D1"/>
    <w:rsid w:val="595F72AE"/>
    <w:rsid w:val="59EF15D7"/>
    <w:rsid w:val="5A00764E"/>
    <w:rsid w:val="5A0802B0"/>
    <w:rsid w:val="5A2E54EE"/>
    <w:rsid w:val="5A3226AA"/>
    <w:rsid w:val="5A364E1D"/>
    <w:rsid w:val="5A425322"/>
    <w:rsid w:val="5A781FB9"/>
    <w:rsid w:val="5AB55C8B"/>
    <w:rsid w:val="5AE90C2D"/>
    <w:rsid w:val="5B266C40"/>
    <w:rsid w:val="5B382F3D"/>
    <w:rsid w:val="5B4155FA"/>
    <w:rsid w:val="5B5043B3"/>
    <w:rsid w:val="5B745BFD"/>
    <w:rsid w:val="5B7E082A"/>
    <w:rsid w:val="5B911696"/>
    <w:rsid w:val="5BFA6C48"/>
    <w:rsid w:val="5C0056E3"/>
    <w:rsid w:val="5C715372"/>
    <w:rsid w:val="5CA258E5"/>
    <w:rsid w:val="5CE648D9"/>
    <w:rsid w:val="5D283143"/>
    <w:rsid w:val="5DAF2C81"/>
    <w:rsid w:val="5DAF5613"/>
    <w:rsid w:val="5E042564"/>
    <w:rsid w:val="5E101181"/>
    <w:rsid w:val="5E3F1A16"/>
    <w:rsid w:val="5E7B46C5"/>
    <w:rsid w:val="5EC75A8B"/>
    <w:rsid w:val="5ED47D3D"/>
    <w:rsid w:val="5EE25574"/>
    <w:rsid w:val="5F1366BF"/>
    <w:rsid w:val="5F1C085D"/>
    <w:rsid w:val="5F7E529D"/>
    <w:rsid w:val="5FC871D2"/>
    <w:rsid w:val="60483AFC"/>
    <w:rsid w:val="60561D75"/>
    <w:rsid w:val="605E2963"/>
    <w:rsid w:val="60DD3A26"/>
    <w:rsid w:val="60EF0A8D"/>
    <w:rsid w:val="61167757"/>
    <w:rsid w:val="6118527D"/>
    <w:rsid w:val="61CF0EB9"/>
    <w:rsid w:val="61F335F4"/>
    <w:rsid w:val="62092E18"/>
    <w:rsid w:val="6240702B"/>
    <w:rsid w:val="62612C54"/>
    <w:rsid w:val="629217E1"/>
    <w:rsid w:val="62966274"/>
    <w:rsid w:val="62AB4D1B"/>
    <w:rsid w:val="63210C43"/>
    <w:rsid w:val="632F57E5"/>
    <w:rsid w:val="635C2EC9"/>
    <w:rsid w:val="63715D51"/>
    <w:rsid w:val="63FF2099"/>
    <w:rsid w:val="64047801"/>
    <w:rsid w:val="641D5C18"/>
    <w:rsid w:val="642739E1"/>
    <w:rsid w:val="645E2EA8"/>
    <w:rsid w:val="64872E45"/>
    <w:rsid w:val="6510697C"/>
    <w:rsid w:val="651225BC"/>
    <w:rsid w:val="656D07F8"/>
    <w:rsid w:val="65970B1B"/>
    <w:rsid w:val="65C35C4A"/>
    <w:rsid w:val="65DA0D53"/>
    <w:rsid w:val="65DF07DC"/>
    <w:rsid w:val="65F42C7B"/>
    <w:rsid w:val="661131D5"/>
    <w:rsid w:val="661B33AD"/>
    <w:rsid w:val="6637327E"/>
    <w:rsid w:val="668C34D7"/>
    <w:rsid w:val="66B4038B"/>
    <w:rsid w:val="66BE0E26"/>
    <w:rsid w:val="66DC0AFB"/>
    <w:rsid w:val="67306C1F"/>
    <w:rsid w:val="673C76CF"/>
    <w:rsid w:val="67B6759E"/>
    <w:rsid w:val="67E5074E"/>
    <w:rsid w:val="680B005F"/>
    <w:rsid w:val="68BF2482"/>
    <w:rsid w:val="68CE6E01"/>
    <w:rsid w:val="694E2184"/>
    <w:rsid w:val="696372B1"/>
    <w:rsid w:val="69AE2C22"/>
    <w:rsid w:val="69D63CAD"/>
    <w:rsid w:val="6A3D3B3D"/>
    <w:rsid w:val="6A432464"/>
    <w:rsid w:val="6A4E246E"/>
    <w:rsid w:val="6A7D62B1"/>
    <w:rsid w:val="6B047C60"/>
    <w:rsid w:val="6B1E77CF"/>
    <w:rsid w:val="6B38731E"/>
    <w:rsid w:val="6B39044D"/>
    <w:rsid w:val="6B9504FB"/>
    <w:rsid w:val="6BA514A8"/>
    <w:rsid w:val="6BC9513C"/>
    <w:rsid w:val="6BFD1C3F"/>
    <w:rsid w:val="6C163889"/>
    <w:rsid w:val="6C1C72EC"/>
    <w:rsid w:val="6C23574F"/>
    <w:rsid w:val="6C2B6005"/>
    <w:rsid w:val="6C2C6080"/>
    <w:rsid w:val="6C4661F8"/>
    <w:rsid w:val="6C54518C"/>
    <w:rsid w:val="6C685814"/>
    <w:rsid w:val="6CAF118B"/>
    <w:rsid w:val="6D001A97"/>
    <w:rsid w:val="6D21370B"/>
    <w:rsid w:val="6D747CDF"/>
    <w:rsid w:val="6D877A12"/>
    <w:rsid w:val="6DCE947C"/>
    <w:rsid w:val="6DDD5884"/>
    <w:rsid w:val="6DF826BE"/>
    <w:rsid w:val="6DFC63E9"/>
    <w:rsid w:val="6DFFDDB6"/>
    <w:rsid w:val="6E152539"/>
    <w:rsid w:val="6E975E3D"/>
    <w:rsid w:val="6F05256C"/>
    <w:rsid w:val="6F0BBD28"/>
    <w:rsid w:val="6F5F4D81"/>
    <w:rsid w:val="6F8F29CD"/>
    <w:rsid w:val="6F906926"/>
    <w:rsid w:val="6FB12914"/>
    <w:rsid w:val="6FC10021"/>
    <w:rsid w:val="6FC63FDE"/>
    <w:rsid w:val="6FD56030"/>
    <w:rsid w:val="6FE74798"/>
    <w:rsid w:val="700E441B"/>
    <w:rsid w:val="70330D5C"/>
    <w:rsid w:val="70521B20"/>
    <w:rsid w:val="705D67D1"/>
    <w:rsid w:val="70644124"/>
    <w:rsid w:val="70753381"/>
    <w:rsid w:val="70D12818"/>
    <w:rsid w:val="70F8393F"/>
    <w:rsid w:val="71115F8B"/>
    <w:rsid w:val="71193077"/>
    <w:rsid w:val="714F4E19"/>
    <w:rsid w:val="715B3DE8"/>
    <w:rsid w:val="71EF6CCF"/>
    <w:rsid w:val="720E5A2E"/>
    <w:rsid w:val="72496B0C"/>
    <w:rsid w:val="72BC2C46"/>
    <w:rsid w:val="72D72321"/>
    <w:rsid w:val="73345A66"/>
    <w:rsid w:val="73351CBE"/>
    <w:rsid w:val="73E17CFF"/>
    <w:rsid w:val="73E536E4"/>
    <w:rsid w:val="743F7970"/>
    <w:rsid w:val="74975364"/>
    <w:rsid w:val="749E2A1F"/>
    <w:rsid w:val="74F63D21"/>
    <w:rsid w:val="758E2D57"/>
    <w:rsid w:val="76025724"/>
    <w:rsid w:val="760F58AD"/>
    <w:rsid w:val="7625601A"/>
    <w:rsid w:val="763529C8"/>
    <w:rsid w:val="765000A9"/>
    <w:rsid w:val="768E7F77"/>
    <w:rsid w:val="76D812DE"/>
    <w:rsid w:val="770B77C3"/>
    <w:rsid w:val="77416E84"/>
    <w:rsid w:val="776D5F3D"/>
    <w:rsid w:val="77AE0291"/>
    <w:rsid w:val="77E37F3B"/>
    <w:rsid w:val="78507148"/>
    <w:rsid w:val="786D5A56"/>
    <w:rsid w:val="788E5741"/>
    <w:rsid w:val="789E0306"/>
    <w:rsid w:val="78CE2999"/>
    <w:rsid w:val="79777A55"/>
    <w:rsid w:val="79B0209F"/>
    <w:rsid w:val="7A29393E"/>
    <w:rsid w:val="7A307C87"/>
    <w:rsid w:val="7A3D5A83"/>
    <w:rsid w:val="7A7770F7"/>
    <w:rsid w:val="7A851726"/>
    <w:rsid w:val="7AA06934"/>
    <w:rsid w:val="7ABD694C"/>
    <w:rsid w:val="7AC15A36"/>
    <w:rsid w:val="7ACE37D0"/>
    <w:rsid w:val="7AF051F1"/>
    <w:rsid w:val="7BAE0860"/>
    <w:rsid w:val="7BCDB191"/>
    <w:rsid w:val="7BD61794"/>
    <w:rsid w:val="7C3C5E6C"/>
    <w:rsid w:val="7C9B6740"/>
    <w:rsid w:val="7CEC5AE4"/>
    <w:rsid w:val="7D375D4C"/>
    <w:rsid w:val="7D7A188A"/>
    <w:rsid w:val="7DAF3557"/>
    <w:rsid w:val="7E7F0855"/>
    <w:rsid w:val="7F3472CE"/>
    <w:rsid w:val="7F6A2CF0"/>
    <w:rsid w:val="7FBA7941"/>
    <w:rsid w:val="7FCB3784"/>
    <w:rsid w:val="7FF01447"/>
    <w:rsid w:val="7FFC1CCE"/>
    <w:rsid w:val="FFF01F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0"/>
    <w:pPr>
      <w:keepNext/>
      <w:jc w:val="center"/>
      <w:outlineLvl w:val="0"/>
    </w:pPr>
    <w:rPr>
      <w:rFonts w:ascii="楷体_GB2312" w:eastAsia="楷体_GB2312"/>
      <w:b/>
      <w:bCs/>
    </w:rPr>
  </w:style>
  <w:style w:type="paragraph" w:styleId="5">
    <w:name w:val="heading 2"/>
    <w:basedOn w:val="1"/>
    <w:next w:val="1"/>
    <w:link w:val="43"/>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44"/>
    <w:qFormat/>
    <w:uiPriority w:val="0"/>
    <w:pPr>
      <w:keepNext/>
      <w:keepLines/>
      <w:spacing w:before="260" w:after="260" w:line="416" w:lineRule="auto"/>
      <w:outlineLvl w:val="2"/>
    </w:pPr>
    <w:rPr>
      <w:b/>
      <w:bCs/>
      <w:sz w:val="32"/>
      <w:szCs w:val="32"/>
    </w:rPr>
  </w:style>
  <w:style w:type="paragraph" w:styleId="7">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9"/>
    <w:link w:val="46"/>
    <w:qFormat/>
    <w:uiPriority w:val="0"/>
    <w:pPr>
      <w:keepNext/>
      <w:keepLines/>
      <w:tabs>
        <w:tab w:val="left" w:pos="1008"/>
      </w:tabs>
      <w:spacing w:before="280" w:after="290" w:line="376" w:lineRule="auto"/>
      <w:ind w:left="1008" w:hanging="1008"/>
      <w:outlineLvl w:val="4"/>
    </w:pPr>
    <w:rPr>
      <w:b/>
      <w:bCs/>
      <w:sz w:val="28"/>
      <w:szCs w:val="28"/>
      <w:lang w:val="zh-CN"/>
    </w:rPr>
  </w:style>
  <w:style w:type="paragraph" w:styleId="11">
    <w:name w:val="heading 6"/>
    <w:basedOn w:val="1"/>
    <w:next w:val="1"/>
    <w:qFormat/>
    <w:uiPriority w:val="0"/>
    <w:pPr>
      <w:keepNext/>
      <w:keepLines/>
      <w:spacing w:before="240" w:after="64" w:line="320" w:lineRule="auto"/>
      <w:outlineLvl w:val="5"/>
    </w:pPr>
    <w:rPr>
      <w:rFonts w:ascii="Arial" w:hAnsi="Arial" w:eastAsia="黑体" w:cs="Times New Roman"/>
      <w:b/>
      <w:bCs/>
      <w:sz w:val="24"/>
    </w:rPr>
  </w:style>
  <w:style w:type="character" w:default="1" w:styleId="36">
    <w:name w:val="Default Paragraph Font"/>
    <w:qFormat/>
    <w:uiPriority w:val="0"/>
    <w:rPr>
      <w:rFonts w:ascii="Times New Roman" w:hAnsi="Times New Roman" w:eastAsia="宋体" w:cs="Times New Roman"/>
    </w:rPr>
  </w:style>
  <w:style w:type="table" w:default="1" w:styleId="3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ind w:left="480" w:hanging="480" w:hangingChars="200"/>
    </w:pPr>
    <w:rPr>
      <w:rFonts w:ascii="Times New Roman" w:hAnsi="Times New Roman" w:eastAsia="宋体" w:cs="Times New Roman"/>
      <w:sz w:val="24"/>
    </w:rPr>
  </w:style>
  <w:style w:type="paragraph" w:customStyle="1" w:styleId="9">
    <w:name w:val="样式 正文缩进 + 首行缩进:  2 字符"/>
    <w:basedOn w:val="10"/>
    <w:link w:val="48"/>
    <w:qFormat/>
    <w:uiPriority w:val="0"/>
    <w:pPr>
      <w:adjustRightInd/>
      <w:spacing w:line="360" w:lineRule="auto"/>
      <w:ind w:firstLine="200" w:firstLineChars="200"/>
      <w:textAlignment w:val="auto"/>
    </w:pPr>
    <w:rPr>
      <w:kern w:val="2"/>
      <w:sz w:val="24"/>
      <w:lang w:val="zh-CN"/>
    </w:rPr>
  </w:style>
  <w:style w:type="paragraph" w:styleId="10">
    <w:name w:val="Normal Indent"/>
    <w:basedOn w:val="1"/>
    <w:link w:val="47"/>
    <w:qFormat/>
    <w:uiPriority w:val="0"/>
    <w:pPr>
      <w:adjustRightInd w:val="0"/>
      <w:spacing w:line="312" w:lineRule="atLeast"/>
      <w:ind w:firstLine="420"/>
      <w:textAlignment w:val="baseline"/>
    </w:pPr>
    <w:rPr>
      <w:kern w:val="0"/>
      <w:szCs w:val="20"/>
    </w:rPr>
  </w:style>
  <w:style w:type="paragraph" w:styleId="12">
    <w:name w:val="table of authorities"/>
    <w:basedOn w:val="1"/>
    <w:next w:val="1"/>
    <w:unhideWhenUsed/>
    <w:qFormat/>
    <w:uiPriority w:val="99"/>
    <w:pPr>
      <w:ind w:left="420" w:leftChars="200"/>
    </w:pPr>
  </w:style>
  <w:style w:type="paragraph" w:styleId="13">
    <w:name w:val="caption"/>
    <w:basedOn w:val="1"/>
    <w:next w:val="1"/>
    <w:qFormat/>
    <w:uiPriority w:val="35"/>
    <w:pPr>
      <w:widowControl/>
      <w:spacing w:after="120" w:line="360" w:lineRule="auto"/>
      <w:jc w:val="center"/>
    </w:pPr>
    <w:rPr>
      <w:rFonts w:ascii="Times New Roman" w:hAnsi="Times New Roman" w:eastAsia="黑体"/>
      <w:spacing w:val="10"/>
      <w:kern w:val="0"/>
      <w:sz w:val="24"/>
      <w:szCs w:val="20"/>
    </w:rPr>
  </w:style>
  <w:style w:type="paragraph" w:styleId="14">
    <w:name w:val="Document Map"/>
    <w:basedOn w:val="1"/>
    <w:qFormat/>
    <w:uiPriority w:val="0"/>
    <w:pPr>
      <w:shd w:val="clear" w:color="auto" w:fill="000080"/>
    </w:pPr>
    <w:rPr>
      <w:rFonts w:ascii="Times New Roman" w:hAnsi="Times New Roman" w:eastAsia="宋体" w:cs="Times New Roman"/>
    </w:rPr>
  </w:style>
  <w:style w:type="paragraph" w:styleId="15">
    <w:name w:val="annotation text"/>
    <w:basedOn w:val="1"/>
    <w:qFormat/>
    <w:uiPriority w:val="0"/>
    <w:pPr>
      <w:jc w:val="left"/>
    </w:pPr>
    <w:rPr>
      <w:rFonts w:ascii="Times New Roman" w:hAnsi="Times New Roman" w:eastAsia="宋体" w:cs="Times New Roman"/>
    </w:rPr>
  </w:style>
  <w:style w:type="paragraph" w:styleId="16">
    <w:name w:val="Body Text"/>
    <w:basedOn w:val="1"/>
    <w:next w:val="1"/>
    <w:link w:val="49"/>
    <w:qFormat/>
    <w:uiPriority w:val="0"/>
    <w:pPr>
      <w:spacing w:after="120"/>
    </w:pPr>
  </w:style>
  <w:style w:type="paragraph" w:styleId="17">
    <w:name w:val="Block Text"/>
    <w:basedOn w:val="1"/>
    <w:qFormat/>
    <w:uiPriority w:val="99"/>
    <w:pPr>
      <w:adjustRightInd w:val="0"/>
      <w:spacing w:line="360" w:lineRule="atLeast"/>
      <w:ind w:left="1260" w:leftChars="525" w:right="22" w:rightChars="9" w:firstLine="200" w:firstLineChars="200"/>
      <w:jc w:val="left"/>
      <w:textAlignment w:val="baseline"/>
    </w:pPr>
    <w:rPr>
      <w:rFonts w:ascii="DFKai-SB" w:hAnsi="DFKai-SB" w:eastAsia="DFKai-SB" w:cs="DFKai-SB"/>
      <w:kern w:val="0"/>
      <w:sz w:val="28"/>
      <w:szCs w:val="28"/>
      <w:lang w:eastAsia="zh-TW"/>
    </w:rPr>
  </w:style>
  <w:style w:type="paragraph" w:styleId="18">
    <w:name w:val="toc 3"/>
    <w:basedOn w:val="1"/>
    <w:next w:val="1"/>
    <w:qFormat/>
    <w:uiPriority w:val="39"/>
    <w:pPr>
      <w:ind w:left="840" w:leftChars="400"/>
    </w:pPr>
    <w:rPr>
      <w:rFonts w:ascii="Times New Roman" w:hAnsi="Times New Roman" w:eastAsia="宋体" w:cs="Times New Roman"/>
    </w:rPr>
  </w:style>
  <w:style w:type="paragraph" w:styleId="19">
    <w:name w:val="Plain Text"/>
    <w:basedOn w:val="1"/>
    <w:link w:val="5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Date"/>
    <w:basedOn w:val="1"/>
    <w:next w:val="1"/>
    <w:qFormat/>
    <w:uiPriority w:val="0"/>
    <w:pPr>
      <w:ind w:left="100" w:leftChars="2500"/>
    </w:pPr>
    <w:rPr>
      <w:rFonts w:ascii="Times New Roman" w:hAnsi="Times New Roman" w:eastAsia="宋体" w:cs="Times New Roman"/>
    </w:rPr>
  </w:style>
  <w:style w:type="paragraph" w:styleId="21">
    <w:name w:val="Body Text Indent 2"/>
    <w:basedOn w:val="1"/>
    <w:qFormat/>
    <w:uiPriority w:val="0"/>
    <w:pPr>
      <w:spacing w:line="500" w:lineRule="exact"/>
      <w:ind w:firstLine="511" w:firstLineChars="213"/>
    </w:pPr>
    <w:rPr>
      <w:rFonts w:ascii="Times New Roman" w:hAnsi="Times New Roman" w:eastAsia="宋体" w:cs="Times New Roman"/>
      <w:sz w:val="24"/>
    </w:rPr>
  </w:style>
  <w:style w:type="paragraph" w:styleId="22">
    <w:name w:val="Balloon Text"/>
    <w:basedOn w:val="1"/>
    <w:qFormat/>
    <w:uiPriority w:val="0"/>
    <w:rPr>
      <w:rFonts w:ascii="Times New Roman" w:hAnsi="Times New Roman" w:eastAsia="宋体" w:cs="Times New Roman"/>
      <w:sz w:val="18"/>
      <w:szCs w:val="18"/>
    </w:rPr>
  </w:style>
  <w:style w:type="paragraph" w:styleId="23">
    <w:name w:val="footer"/>
    <w:basedOn w:val="1"/>
    <w:link w:val="52"/>
    <w:qFormat/>
    <w:uiPriority w:val="0"/>
    <w:pPr>
      <w:tabs>
        <w:tab w:val="center" w:pos="4153"/>
        <w:tab w:val="right" w:pos="8306"/>
      </w:tabs>
      <w:snapToGrid w:val="0"/>
      <w:jc w:val="left"/>
    </w:pPr>
    <w:rPr>
      <w:sz w:val="18"/>
      <w:szCs w:val="18"/>
    </w:rPr>
  </w:style>
  <w:style w:type="paragraph" w:styleId="24">
    <w:name w:val="envelope return"/>
    <w:basedOn w:val="1"/>
    <w:qFormat/>
    <w:uiPriority w:val="0"/>
    <w:pPr>
      <w:snapToGrid w:val="0"/>
      <w:spacing w:line="360" w:lineRule="auto"/>
      <w:ind w:firstLine="200" w:firstLineChars="200"/>
    </w:pPr>
    <w:rPr>
      <w:rFonts w:ascii="Arial" w:hAnsi="Arial" w:eastAsia="等线" w:cs="等线"/>
      <w:spacing w:val="-10"/>
      <w:szCs w:val="20"/>
    </w:rPr>
  </w:style>
  <w:style w:type="paragraph" w:styleId="2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6">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27">
    <w:name w:val="footnote text"/>
    <w:basedOn w:val="1"/>
    <w:qFormat/>
    <w:uiPriority w:val="0"/>
    <w:pPr>
      <w:widowControl/>
      <w:snapToGrid w:val="0"/>
      <w:spacing w:after="200" w:line="276" w:lineRule="auto"/>
      <w:jc w:val="left"/>
    </w:pPr>
    <w:rPr>
      <w:rFonts w:ascii="Cambria" w:hAnsi="Cambria"/>
      <w:kern w:val="0"/>
      <w:sz w:val="18"/>
      <w:szCs w:val="18"/>
    </w:rPr>
  </w:style>
  <w:style w:type="paragraph" w:styleId="28">
    <w:name w:val="toc 6"/>
    <w:basedOn w:val="1"/>
    <w:next w:val="1"/>
    <w:qFormat/>
    <w:uiPriority w:val="0"/>
    <w:pPr>
      <w:ind w:left="840"/>
      <w:jc w:val="left"/>
    </w:pPr>
    <w:rPr>
      <w:sz w:val="20"/>
    </w:rPr>
  </w:style>
  <w:style w:type="paragraph" w:styleId="29">
    <w:name w:val="Body Text Indent 3"/>
    <w:basedOn w:val="1"/>
    <w:qFormat/>
    <w:uiPriority w:val="0"/>
    <w:pPr>
      <w:spacing w:line="500" w:lineRule="exact"/>
      <w:ind w:left="511" w:hanging="511" w:hangingChars="213"/>
    </w:pPr>
    <w:rPr>
      <w:rFonts w:ascii="Times New Roman" w:hAnsi="Times New Roman" w:eastAsia="宋体" w:cs="Times New Roman"/>
      <w:sz w:val="24"/>
    </w:rPr>
  </w:style>
  <w:style w:type="paragraph" w:styleId="30">
    <w:name w:val="toc 2"/>
    <w:basedOn w:val="1"/>
    <w:next w:val="1"/>
    <w:qFormat/>
    <w:uiPriority w:val="39"/>
    <w:pPr>
      <w:ind w:left="420" w:leftChars="200"/>
    </w:pPr>
    <w:rPr>
      <w:rFonts w:ascii="Times New Roman" w:hAnsi="Times New Roman" w:eastAsia="宋体" w:cs="Times New Roman"/>
    </w:rPr>
  </w:style>
  <w:style w:type="paragraph" w:styleId="3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32">
    <w:name w:val="annotation subject"/>
    <w:basedOn w:val="15"/>
    <w:next w:val="15"/>
    <w:qFormat/>
    <w:uiPriority w:val="0"/>
    <w:rPr>
      <w:rFonts w:ascii="Times New Roman" w:hAnsi="Times New Roman" w:eastAsia="宋体" w:cs="Times New Roman"/>
      <w:b/>
      <w:bCs/>
    </w:rPr>
  </w:style>
  <w:style w:type="paragraph" w:styleId="33">
    <w:name w:val="Body Text First Indent"/>
    <w:basedOn w:val="16"/>
    <w:next w:val="1"/>
    <w:link w:val="50"/>
    <w:qFormat/>
    <w:uiPriority w:val="0"/>
    <w:pPr>
      <w:ind w:firstLine="420" w:firstLineChars="100"/>
    </w:pPr>
  </w:style>
  <w:style w:type="table" w:styleId="35">
    <w:name w:val="Table Grid"/>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22"/>
    <w:rPr>
      <w:rFonts w:ascii="Times New Roman" w:hAnsi="Times New Roman" w:eastAsia="宋体" w:cs="Times New Roman"/>
      <w:b/>
      <w:bCs/>
    </w:rPr>
  </w:style>
  <w:style w:type="character" w:styleId="38">
    <w:name w:val="page number"/>
    <w:qFormat/>
    <w:uiPriority w:val="0"/>
    <w:rPr>
      <w:rFonts w:ascii="Times New Roman" w:hAnsi="Times New Roman" w:eastAsia="宋体" w:cs="Times New Roman"/>
    </w:rPr>
  </w:style>
  <w:style w:type="character" w:styleId="39">
    <w:name w:val="Hyperlink"/>
    <w:qFormat/>
    <w:uiPriority w:val="99"/>
    <w:rPr>
      <w:rFonts w:ascii="Times New Roman" w:hAnsi="Times New Roman" w:eastAsia="宋体" w:cs="Times New Roman"/>
      <w:color w:val="000000"/>
      <w:sz w:val="20"/>
      <w:szCs w:val="20"/>
      <w:u w:val="none"/>
    </w:rPr>
  </w:style>
  <w:style w:type="character" w:styleId="40">
    <w:name w:val="annotation reference"/>
    <w:qFormat/>
    <w:uiPriority w:val="0"/>
    <w:rPr>
      <w:rFonts w:ascii="Times New Roman" w:hAnsi="Times New Roman" w:eastAsia="宋体" w:cs="Times New Roman"/>
      <w:sz w:val="21"/>
      <w:szCs w:val="21"/>
    </w:rPr>
  </w:style>
  <w:style w:type="character" w:styleId="41">
    <w:name w:val="footnote reference"/>
    <w:qFormat/>
    <w:uiPriority w:val="0"/>
    <w:rPr>
      <w:vertAlign w:val="superscript"/>
    </w:rPr>
  </w:style>
  <w:style w:type="character" w:customStyle="1" w:styleId="42">
    <w:name w:val="标题 1 字符"/>
    <w:link w:val="4"/>
    <w:qFormat/>
    <w:locked/>
    <w:uiPriority w:val="0"/>
    <w:rPr>
      <w:rFonts w:ascii="楷体_GB2312" w:eastAsia="楷体_GB2312"/>
      <w:b/>
      <w:bCs/>
      <w:kern w:val="2"/>
      <w:sz w:val="21"/>
      <w:szCs w:val="24"/>
    </w:rPr>
  </w:style>
  <w:style w:type="character" w:customStyle="1" w:styleId="43">
    <w:name w:val="标题 2 字符"/>
    <w:link w:val="5"/>
    <w:qFormat/>
    <w:uiPriority w:val="0"/>
    <w:rPr>
      <w:rFonts w:ascii="Arial" w:hAnsi="Arial" w:eastAsia="黑体" w:cs="Times New Roman"/>
      <w:b/>
      <w:bCs/>
      <w:sz w:val="32"/>
      <w:szCs w:val="32"/>
    </w:rPr>
  </w:style>
  <w:style w:type="character" w:customStyle="1" w:styleId="44">
    <w:name w:val="标题 3 字符"/>
    <w:link w:val="6"/>
    <w:qFormat/>
    <w:uiPriority w:val="0"/>
    <w:rPr>
      <w:rFonts w:ascii="Times New Roman" w:hAnsi="Times New Roman" w:eastAsia="宋体" w:cs="Times New Roman"/>
      <w:b/>
      <w:bCs/>
      <w:kern w:val="2"/>
      <w:sz w:val="32"/>
      <w:szCs w:val="32"/>
      <w:lang w:bidi="ar-SA"/>
    </w:rPr>
  </w:style>
  <w:style w:type="character" w:customStyle="1" w:styleId="45">
    <w:name w:val="标题 4 字符"/>
    <w:link w:val="7"/>
    <w:qFormat/>
    <w:uiPriority w:val="0"/>
    <w:rPr>
      <w:rFonts w:ascii="Cambria" w:hAnsi="Cambria" w:eastAsia="宋体" w:cs="Times New Roman"/>
      <w:b/>
      <w:bCs/>
      <w:kern w:val="2"/>
      <w:sz w:val="28"/>
      <w:szCs w:val="28"/>
      <w:lang w:bidi="ar-SA"/>
    </w:rPr>
  </w:style>
  <w:style w:type="character" w:customStyle="1" w:styleId="46">
    <w:name w:val="标题 5 字符"/>
    <w:link w:val="8"/>
    <w:qFormat/>
    <w:uiPriority w:val="0"/>
    <w:rPr>
      <w:rFonts w:ascii="Times New Roman" w:hAnsi="Times New Roman" w:eastAsia="宋体" w:cs="Times New Roman"/>
      <w:b/>
      <w:bCs/>
      <w:kern w:val="2"/>
      <w:sz w:val="28"/>
      <w:szCs w:val="28"/>
      <w:lang w:val="zh-CN"/>
    </w:rPr>
  </w:style>
  <w:style w:type="character" w:customStyle="1" w:styleId="47">
    <w:name w:val="正文缩进 字符1"/>
    <w:link w:val="10"/>
    <w:qFormat/>
    <w:uiPriority w:val="0"/>
    <w:rPr>
      <w:rFonts w:ascii="Times New Roman" w:hAnsi="Times New Roman" w:eastAsia="宋体" w:cs="Times New Roman"/>
      <w:sz w:val="21"/>
      <w:lang w:val="en-US" w:eastAsia="zh-CN" w:bidi="ar-SA"/>
    </w:rPr>
  </w:style>
  <w:style w:type="character" w:customStyle="1" w:styleId="48">
    <w:name w:val="样式 正文缩进 + 首行缩进:  2 字符 Char"/>
    <w:link w:val="9"/>
    <w:qFormat/>
    <w:uiPriority w:val="0"/>
    <w:rPr>
      <w:kern w:val="2"/>
      <w:sz w:val="24"/>
      <w:lang w:val="zh-CN"/>
    </w:rPr>
  </w:style>
  <w:style w:type="character" w:customStyle="1" w:styleId="49">
    <w:name w:val="正文文本 字符"/>
    <w:link w:val="16"/>
    <w:qFormat/>
    <w:uiPriority w:val="0"/>
    <w:rPr>
      <w:rFonts w:ascii="Times New Roman" w:hAnsi="Times New Roman" w:eastAsia="宋体" w:cs="Times New Roman"/>
      <w:kern w:val="2"/>
      <w:sz w:val="21"/>
      <w:szCs w:val="24"/>
    </w:rPr>
  </w:style>
  <w:style w:type="character" w:customStyle="1" w:styleId="50">
    <w:name w:val="正文首行缩进 字符"/>
    <w:link w:val="33"/>
    <w:qFormat/>
    <w:uiPriority w:val="0"/>
    <w:rPr>
      <w:rFonts w:ascii="Times New Roman" w:hAnsi="Times New Roman" w:eastAsia="宋体" w:cs="Times New Roman"/>
      <w:kern w:val="2"/>
      <w:sz w:val="21"/>
      <w:szCs w:val="24"/>
    </w:rPr>
  </w:style>
  <w:style w:type="character" w:customStyle="1" w:styleId="51">
    <w:name w:val="纯文本 字符"/>
    <w:link w:val="19"/>
    <w:qFormat/>
    <w:uiPriority w:val="0"/>
    <w:rPr>
      <w:rFonts w:ascii="宋体" w:hAnsi="Courier New" w:eastAsia="宋体" w:cs="Times New Roman"/>
      <w:sz w:val="21"/>
      <w:szCs w:val="21"/>
      <w:lang w:val="en-US" w:eastAsia="zh-CN" w:bidi="ar-SA"/>
    </w:rPr>
  </w:style>
  <w:style w:type="character" w:customStyle="1" w:styleId="52">
    <w:name w:val="页脚 字符"/>
    <w:link w:val="23"/>
    <w:qFormat/>
    <w:uiPriority w:val="0"/>
    <w:rPr>
      <w:rFonts w:ascii="Times New Roman" w:hAnsi="Times New Roman" w:eastAsia="宋体" w:cs="Times New Roman"/>
      <w:kern w:val="2"/>
      <w:sz w:val="18"/>
      <w:szCs w:val="18"/>
    </w:rPr>
  </w:style>
  <w:style w:type="paragraph" w:customStyle="1" w:styleId="5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4">
    <w:name w:val="Char Char Char"/>
    <w:qFormat/>
    <w:uiPriority w:val="0"/>
    <w:rPr>
      <w:rFonts w:ascii="宋体" w:hAnsi="Courier New" w:eastAsia="宋体" w:cs="Times New Roman"/>
      <w:sz w:val="21"/>
      <w:szCs w:val="21"/>
      <w:lang w:val="en-US" w:eastAsia="zh-CN" w:bidi="ar-SA"/>
    </w:rPr>
  </w:style>
  <w:style w:type="character" w:customStyle="1" w:styleId="55">
    <w:name w:val="Texte Char Char"/>
    <w:qFormat/>
    <w:uiPriority w:val="0"/>
    <w:rPr>
      <w:rFonts w:ascii="宋体" w:hAnsi="Courier New" w:eastAsia="宋体" w:cs="Times New Roman"/>
      <w:sz w:val="21"/>
      <w:szCs w:val="21"/>
      <w:lang w:val="en-US" w:eastAsia="zh-CN" w:bidi="ar-SA"/>
    </w:rPr>
  </w:style>
  <w:style w:type="character" w:customStyle="1" w:styleId="56">
    <w:name w:val="unnamed51"/>
    <w:qFormat/>
    <w:uiPriority w:val="0"/>
    <w:rPr>
      <w:rFonts w:ascii="Times New Roman" w:hAnsi="Times New Roman" w:eastAsia="宋体" w:cs="Times New Roman"/>
      <w:sz w:val="22"/>
      <w:szCs w:val="22"/>
    </w:rPr>
  </w:style>
  <w:style w:type="character" w:customStyle="1" w:styleId="57">
    <w:name w:val="正文文本 Char2"/>
    <w:qFormat/>
    <w:uiPriority w:val="0"/>
    <w:rPr>
      <w:kern w:val="2"/>
      <w:sz w:val="21"/>
      <w:szCs w:val="24"/>
    </w:rPr>
  </w:style>
  <w:style w:type="character" w:customStyle="1" w:styleId="58">
    <w:name w:val="style21"/>
    <w:qFormat/>
    <w:uiPriority w:val="0"/>
    <w:rPr>
      <w:rFonts w:ascii="Times New Roman" w:hAnsi="Times New Roman" w:eastAsia="宋体" w:cs="Times New Roman"/>
      <w:sz w:val="15"/>
      <w:szCs w:val="15"/>
    </w:rPr>
  </w:style>
  <w:style w:type="character" w:customStyle="1" w:styleId="59">
    <w:name w:val="font11"/>
    <w:qFormat/>
    <w:uiPriority w:val="0"/>
    <w:rPr>
      <w:rFonts w:hint="eastAsia" w:ascii="宋体" w:hAnsi="宋体" w:eastAsia="宋体" w:cs="宋体"/>
      <w:color w:val="000000"/>
      <w:sz w:val="20"/>
      <w:szCs w:val="20"/>
      <w:u w:val="none"/>
    </w:rPr>
  </w:style>
  <w:style w:type="character" w:customStyle="1" w:styleId="60">
    <w:name w:val="font61"/>
    <w:qFormat/>
    <w:uiPriority w:val="0"/>
    <w:rPr>
      <w:rFonts w:hint="eastAsia" w:ascii="微软雅黑" w:hAnsi="微软雅黑" w:eastAsia="微软雅黑" w:cs="微软雅黑"/>
      <w:color w:val="000000"/>
      <w:sz w:val="12"/>
      <w:szCs w:val="12"/>
      <w:u w:val="none"/>
    </w:rPr>
  </w:style>
  <w:style w:type="character" w:customStyle="1" w:styleId="61">
    <w:name w:val="正文缩进 字符"/>
    <w:qFormat/>
    <w:uiPriority w:val="99"/>
    <w:rPr>
      <w:rFonts w:ascii="Times New Roman" w:hAnsi="Times New Roman" w:eastAsia="仿宋" w:cs="Times New Roman"/>
      <w:sz w:val="28"/>
    </w:rPr>
  </w:style>
  <w:style w:type="character" w:customStyle="1" w:styleId="62">
    <w:name w:val="Char Char2"/>
    <w:qFormat/>
    <w:uiPriority w:val="0"/>
    <w:rPr>
      <w:rFonts w:ascii="宋体" w:hAnsi="Courier New" w:eastAsia="宋体" w:cs="Times New Roman"/>
      <w:kern w:val="2"/>
      <w:sz w:val="21"/>
      <w:lang w:val="en-US" w:eastAsia="zh-CN"/>
    </w:rPr>
  </w:style>
  <w:style w:type="character" w:customStyle="1" w:styleId="63">
    <w:name w:val="列表段落 字符"/>
    <w:qFormat/>
    <w:locked/>
    <w:uiPriority w:val="34"/>
  </w:style>
  <w:style w:type="character" w:customStyle="1" w:styleId="64">
    <w:name w:val="样式6 列表并列 Char"/>
    <w:link w:val="65"/>
    <w:qFormat/>
    <w:uiPriority w:val="0"/>
    <w:rPr>
      <w:rFonts w:ascii="Arial" w:hAnsi="Arial"/>
      <w:kern w:val="21"/>
      <w:sz w:val="21"/>
      <w:szCs w:val="24"/>
      <w:lang w:val="en-US" w:eastAsia="zh-CN" w:bidi="ar-SA"/>
    </w:rPr>
  </w:style>
  <w:style w:type="paragraph" w:customStyle="1" w:styleId="65">
    <w:name w:val="样式6 列表并列"/>
    <w:link w:val="64"/>
    <w:qFormat/>
    <w:uiPriority w:val="0"/>
    <w:pPr>
      <w:widowControl w:val="0"/>
      <w:numPr>
        <w:ilvl w:val="0"/>
        <w:numId w:val="1"/>
      </w:numPr>
      <w:spacing w:before="40" w:after="40" w:line="240" w:lineRule="atLeast"/>
      <w:ind w:left="840" w:hanging="420"/>
    </w:pPr>
    <w:rPr>
      <w:rFonts w:ascii="Arial" w:hAnsi="Arial" w:eastAsia="宋体" w:cs="Times New Roman"/>
      <w:kern w:val="21"/>
      <w:sz w:val="21"/>
      <w:szCs w:val="24"/>
      <w:lang w:val="en-US" w:eastAsia="zh-CN" w:bidi="ar-SA"/>
    </w:rPr>
  </w:style>
  <w:style w:type="character" w:customStyle="1" w:styleId="66">
    <w:name w:val="font21"/>
    <w:qFormat/>
    <w:uiPriority w:val="0"/>
    <w:rPr>
      <w:rFonts w:hint="eastAsia" w:ascii="微软雅黑" w:hAnsi="微软雅黑" w:eastAsia="微软雅黑" w:cs="微软雅黑"/>
      <w:color w:val="000000"/>
      <w:sz w:val="18"/>
      <w:szCs w:val="18"/>
      <w:u w:val="none"/>
    </w:rPr>
  </w:style>
  <w:style w:type="character" w:customStyle="1" w:styleId="67">
    <w:name w:val="列出段落 字符"/>
    <w:link w:val="68"/>
    <w:qFormat/>
    <w:uiPriority w:val="0"/>
    <w:rPr>
      <w:rFonts w:ascii="Times New Roman" w:hAnsi="Times New Roman" w:eastAsia="宋体" w:cs="Times New Roman"/>
      <w:kern w:val="2"/>
      <w:sz w:val="21"/>
      <w:szCs w:val="24"/>
    </w:rPr>
  </w:style>
  <w:style w:type="paragraph" w:styleId="68">
    <w:name w:val="List Paragraph"/>
    <w:basedOn w:val="1"/>
    <w:link w:val="67"/>
    <w:qFormat/>
    <w:uiPriority w:val="0"/>
    <w:pPr>
      <w:ind w:firstLine="420" w:firstLineChars="200"/>
    </w:pPr>
  </w:style>
  <w:style w:type="character" w:customStyle="1" w:styleId="69">
    <w:name w:val="纯文本 Char2"/>
    <w:qFormat/>
    <w:uiPriority w:val="0"/>
    <w:rPr>
      <w:rFonts w:ascii="宋体,Verdana,Arial" w:hAnsi="Tahoma" w:eastAsia="宋体,Verdana,Arial" w:cs="Times New Roman"/>
      <w:sz w:val="21"/>
      <w:szCs w:val="21"/>
      <w:lang w:val="en-US" w:eastAsia="zh-CN" w:bidi="ar-SA"/>
    </w:rPr>
  </w:style>
  <w:style w:type="character" w:customStyle="1" w:styleId="70">
    <w:name w:val="List Paragraph Char"/>
    <w:link w:val="71"/>
    <w:qFormat/>
    <w:uiPriority w:val="0"/>
    <w:rPr>
      <w:rFonts w:ascii="Calibri" w:hAnsi="Calibri" w:eastAsia="宋体" w:cs="Times New Roman"/>
      <w:kern w:val="2"/>
      <w:sz w:val="21"/>
      <w:szCs w:val="22"/>
      <w:lang w:val="en-US" w:eastAsia="zh-CN" w:bidi="ar-SA"/>
    </w:rPr>
  </w:style>
  <w:style w:type="paragraph" w:customStyle="1" w:styleId="71">
    <w:name w:val="List Paragraph1"/>
    <w:basedOn w:val="1"/>
    <w:link w:val="70"/>
    <w:qFormat/>
    <w:uiPriority w:val="0"/>
    <w:pPr>
      <w:ind w:firstLine="420" w:firstLineChars="200"/>
    </w:pPr>
    <w:rPr>
      <w:rFonts w:ascii="Calibri" w:hAnsi="Calibri"/>
      <w:szCs w:val="22"/>
    </w:rPr>
  </w:style>
  <w:style w:type="character" w:customStyle="1" w:styleId="72">
    <w:name w:val="文档正文 Char"/>
    <w:link w:val="73"/>
    <w:qFormat/>
    <w:uiPriority w:val="0"/>
    <w:rPr>
      <w:rFonts w:ascii="Tahoma" w:hAnsi="Tahoma" w:eastAsia="仿宋_GB2312" w:cs="Times New Roman"/>
      <w:sz w:val="28"/>
      <w:lang w:val="en-US" w:eastAsia="zh-CN" w:bidi="ar-SA"/>
    </w:rPr>
  </w:style>
  <w:style w:type="paragraph" w:customStyle="1" w:styleId="73">
    <w:name w:val="文档正文"/>
    <w:basedOn w:val="1"/>
    <w:link w:val="72"/>
    <w:qFormat/>
    <w:uiPriority w:val="0"/>
    <w:pPr>
      <w:spacing w:line="360" w:lineRule="auto"/>
      <w:ind w:firstLine="480" w:firstLineChars="200"/>
    </w:pPr>
    <w:rPr>
      <w:rFonts w:ascii="Tahoma" w:hAnsi="Tahoma" w:eastAsia="仿宋_GB2312"/>
      <w:kern w:val="0"/>
      <w:sz w:val="28"/>
      <w:szCs w:val="20"/>
    </w:rPr>
  </w:style>
  <w:style w:type="character" w:customStyle="1" w:styleId="74">
    <w:name w:val="哈哈正文 Char"/>
    <w:link w:val="75"/>
    <w:qFormat/>
    <w:uiPriority w:val="0"/>
    <w:rPr>
      <w:rFonts w:ascii="宋体" w:hAnsi="宋体" w:eastAsia="宋体" w:cs="宋体"/>
      <w:kern w:val="2"/>
      <w:sz w:val="24"/>
      <w:lang w:val="en-US" w:eastAsia="zh-CN" w:bidi="ar-SA"/>
    </w:rPr>
  </w:style>
  <w:style w:type="paragraph" w:customStyle="1" w:styleId="75">
    <w:name w:val="哈哈正文"/>
    <w:basedOn w:val="1"/>
    <w:link w:val="74"/>
    <w:qFormat/>
    <w:uiPriority w:val="0"/>
    <w:pPr>
      <w:spacing w:line="360" w:lineRule="auto"/>
      <w:ind w:firstLine="200" w:firstLineChars="200"/>
    </w:pPr>
    <w:rPr>
      <w:rFonts w:ascii="宋体" w:hAnsi="宋体" w:cs="宋体"/>
      <w:sz w:val="24"/>
      <w:szCs w:val="20"/>
    </w:rPr>
  </w:style>
  <w:style w:type="character" w:customStyle="1" w:styleId="76">
    <w:name w:val="font51"/>
    <w:qFormat/>
    <w:uiPriority w:val="0"/>
    <w:rPr>
      <w:rFonts w:hint="eastAsia" w:ascii="宋体" w:hAnsi="宋体" w:eastAsia="宋体" w:cs="宋体"/>
      <w:b/>
      <w:bCs/>
      <w:color w:val="000000"/>
      <w:sz w:val="20"/>
      <w:szCs w:val="20"/>
      <w:u w:val="none"/>
    </w:rPr>
  </w:style>
  <w:style w:type="paragraph" w:customStyle="1" w:styleId="77">
    <w:name w:val="正文－恩普"/>
    <w:basedOn w:val="10"/>
    <w:qFormat/>
    <w:uiPriority w:val="0"/>
    <w:pPr>
      <w:framePr w:wrap="around" w:vAnchor="text" w:hAnchor="text" w:y="1"/>
      <w:adjustRightInd/>
      <w:spacing w:line="360" w:lineRule="auto"/>
      <w:ind w:firstLine="200" w:firstLineChars="200"/>
      <w:textAlignment w:val="auto"/>
    </w:pPr>
    <w:rPr>
      <w:rFonts w:ascii="Times New Roman" w:hAnsi="Times New Roman" w:eastAsia="宋体" w:cs="Times New Roman"/>
      <w:kern w:val="2"/>
      <w:sz w:val="24"/>
      <w:szCs w:val="24"/>
    </w:rPr>
  </w:style>
  <w:style w:type="paragraph" w:customStyle="1" w:styleId="78">
    <w:name w:val="Level 2"/>
    <w:basedOn w:val="1"/>
    <w:qFormat/>
    <w:uiPriority w:val="0"/>
    <w:pPr>
      <w:widowControl/>
      <w:numPr>
        <w:ilvl w:val="1"/>
        <w:numId w:val="2"/>
      </w:numPr>
      <w:spacing w:after="140" w:line="290" w:lineRule="auto"/>
    </w:pPr>
    <w:rPr>
      <w:rFonts w:ascii="Arial" w:hAnsi="Arial"/>
      <w:kern w:val="20"/>
      <w:sz w:val="20"/>
      <w:szCs w:val="28"/>
      <w:lang w:val="en-GB" w:eastAsia="en-US"/>
    </w:rPr>
  </w:style>
  <w:style w:type="paragraph" w:customStyle="1" w:styleId="7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0">
    <w:name w:val="正文5"/>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
    <w:name w:val="样式 首行缩进:  2 字符5"/>
    <w:basedOn w:val="1"/>
    <w:qFormat/>
    <w:uiPriority w:val="0"/>
    <w:pPr>
      <w:ind w:firstLine="480"/>
    </w:pPr>
    <w:rPr>
      <w:rFonts w:ascii="Times New Roman" w:hAnsi="Times New Roman" w:cs="宋体"/>
      <w:szCs w:val="20"/>
    </w:rPr>
  </w:style>
  <w:style w:type="paragraph" w:customStyle="1" w:styleId="82">
    <w:name w:val="投标文件 正文首行缩进"/>
    <w:basedOn w:val="2"/>
    <w:qFormat/>
    <w:uiPriority w:val="0"/>
    <w:pPr>
      <w:spacing w:after="220"/>
      <w:ind w:left="0" w:leftChars="0" w:firstLine="200" w:firstLineChars="0"/>
    </w:pPr>
    <w:rPr>
      <w:rFonts w:ascii="Arial" w:hAnsi="Arial"/>
      <w:szCs w:val="24"/>
    </w:rPr>
  </w:style>
  <w:style w:type="paragraph" w:customStyle="1" w:styleId="8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kern w:val="0"/>
      <w:sz w:val="24"/>
    </w:rPr>
  </w:style>
  <w:style w:type="paragraph" w:customStyle="1" w:styleId="84">
    <w:name w:val=" 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5">
    <w:name w:val="07-E3-标题三"/>
    <w:basedOn w:val="6"/>
    <w:qFormat/>
    <w:uiPriority w:val="0"/>
    <w:pPr>
      <w:ind w:left="720" w:hanging="720"/>
    </w:pPr>
    <w:rPr>
      <w:rFonts w:ascii="Times New Roman" w:hAnsi="Times New Roman" w:eastAsia="黑体"/>
      <w:b w:val="0"/>
      <w:sz w:val="24"/>
      <w:szCs w:val="24"/>
    </w:rPr>
  </w:style>
  <w:style w:type="paragraph" w:customStyle="1" w:styleId="86">
    <w:name w:val="Table Paragraph"/>
    <w:basedOn w:val="1"/>
    <w:qFormat/>
    <w:uiPriority w:val="1"/>
    <w:rPr>
      <w:rFonts w:ascii="宋体" w:hAnsi="宋体" w:eastAsia="宋体" w:cs="宋体"/>
      <w:lang w:val="zh-CN" w:eastAsia="zh-CN" w:bidi="zh-CN"/>
    </w:rPr>
  </w:style>
  <w:style w:type="paragraph" w:customStyle="1" w:styleId="8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88">
    <w:name w:val="Char Char Char Char Char Char Char Char Char Char Char Char Char1"/>
    <w:basedOn w:val="1"/>
    <w:qFormat/>
    <w:uiPriority w:val="0"/>
    <w:rPr>
      <w:rFonts w:ascii="Tahoma" w:hAnsi="Tahoma" w:eastAsia="宋体" w:cs="Times New Roman"/>
      <w:sz w:val="24"/>
      <w:szCs w:val="20"/>
    </w:r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彩色列表 - 强调文字颜色 11"/>
    <w:basedOn w:val="1"/>
    <w:qFormat/>
    <w:uiPriority w:val="34"/>
    <w:pPr>
      <w:ind w:firstLine="420"/>
    </w:pPr>
    <w:rPr>
      <w:rFonts w:ascii="Times New Roman" w:hAnsi="Times New Roman"/>
      <w:szCs w:val="24"/>
    </w:rPr>
  </w:style>
  <w:style w:type="paragraph" w:customStyle="1" w:styleId="91">
    <w:name w:val="纯文本2"/>
    <w:basedOn w:val="80"/>
    <w:qFormat/>
    <w:uiPriority w:val="0"/>
    <w:pPr>
      <w:widowControl/>
      <w:jc w:val="left"/>
    </w:pPr>
    <w:rPr>
      <w:rFonts w:ascii="宋体" w:hAnsi="Courier New"/>
    </w:rPr>
  </w:style>
  <w:style w:type="paragraph" w:customStyle="1" w:styleId="92">
    <w:name w:val="Default"/>
    <w:next w:val="93"/>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9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 Char Char Char Char Char Char Char"/>
    <w:basedOn w:val="1"/>
    <w:qFormat/>
    <w:uiPriority w:val="0"/>
    <w:rPr>
      <w:rFonts w:ascii="仿宋_GB2312" w:hAnsi="Times New Roman" w:eastAsia="仿宋_GB2312" w:cs="Times New Roman"/>
      <w:b/>
      <w:sz w:val="32"/>
      <w:szCs w:val="32"/>
    </w:rPr>
  </w:style>
  <w:style w:type="paragraph" w:customStyle="1" w:styleId="95">
    <w:name w:val="标题2.1"/>
    <w:basedOn w:val="5"/>
    <w:next w:val="16"/>
    <w:qFormat/>
    <w:uiPriority w:val="0"/>
    <w:pPr>
      <w:widowControl/>
      <w:adjustRightInd w:val="0"/>
      <w:snapToGrid w:val="0"/>
      <w:spacing w:before="0" w:after="0" w:line="360" w:lineRule="auto"/>
      <w:jc w:val="left"/>
    </w:pPr>
    <w:rPr>
      <w:rFonts w:ascii="宋体" w:hAnsi="宋体" w:eastAsia="宋体" w:cs="宋体"/>
      <w:bCs w:val="0"/>
      <w:kern w:val="0"/>
      <w:szCs w:val="20"/>
    </w:rPr>
  </w:style>
  <w:style w:type="paragraph" w:customStyle="1" w:styleId="96">
    <w:name w:val="简单回函地址"/>
    <w:basedOn w:val="1"/>
    <w:qFormat/>
    <w:uiPriority w:val="0"/>
    <w:rPr>
      <w:rFonts w:ascii="Times New Roman" w:hAnsi="Times New Roman" w:eastAsia="宋体" w:cs="Times New Roman"/>
    </w:rPr>
  </w:style>
  <w:style w:type="paragraph" w:customStyle="1" w:styleId="97">
    <w:name w:val="正文标准样式ty"/>
    <w:basedOn w:val="1"/>
    <w:qFormat/>
    <w:uiPriority w:val="0"/>
    <w:pPr>
      <w:ind w:firstLine="480"/>
    </w:pPr>
    <w:rPr>
      <w:rFonts w:ascii="Times New Roman" w:hAnsi="Times New Roman" w:cs="宋体"/>
      <w:szCs w:val="20"/>
    </w:rPr>
  </w:style>
  <w:style w:type="paragraph" w:customStyle="1" w:styleId="98">
    <w:name w:val=" Char1"/>
    <w:basedOn w:val="1"/>
    <w:qFormat/>
    <w:uiPriority w:val="0"/>
    <w:pPr>
      <w:widowControl/>
      <w:adjustRightInd w:val="0"/>
      <w:snapToGrid w:val="0"/>
      <w:spacing w:before="78" w:beforeLines="25" w:after="78" w:afterLines="25" w:line="240" w:lineRule="exact"/>
      <w:ind w:firstLine="403" w:firstLineChars="192"/>
      <w:jc w:val="center"/>
    </w:pPr>
    <w:rPr>
      <w:rFonts w:ascii="宋体" w:hAnsi="宋体"/>
      <w:kern w:val="0"/>
      <w:szCs w:val="21"/>
    </w:rPr>
  </w:style>
  <w:style w:type="paragraph" w:customStyle="1" w:styleId="99">
    <w:name w:val="标准文本"/>
    <w:basedOn w:val="1"/>
    <w:qFormat/>
    <w:uiPriority w:val="0"/>
    <w:pPr>
      <w:ind w:firstLine="480"/>
    </w:pPr>
    <w:rPr>
      <w:rFonts w:ascii="Calibri" w:hAnsi="Calibri" w:cs="宋体"/>
      <w:kern w:val="0"/>
    </w:rPr>
  </w:style>
  <w:style w:type="paragraph" w:customStyle="1" w:styleId="100">
    <w:name w:val="列出段落1"/>
    <w:basedOn w:val="1"/>
    <w:qFormat/>
    <w:uiPriority w:val="34"/>
    <w:pPr>
      <w:ind w:firstLine="420"/>
    </w:pPr>
    <w:rPr>
      <w:rFonts w:ascii="Times New Roman" w:hAnsi="Times New Roman"/>
      <w:szCs w:val="24"/>
    </w:rPr>
  </w:style>
  <w:style w:type="paragraph" w:customStyle="1" w:styleId="10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Char Char"/>
    <w:basedOn w:val="1"/>
    <w:qFormat/>
    <w:uiPriority w:val="0"/>
    <w:rPr>
      <w:rFonts w:ascii="仿宋_GB2312" w:hAnsi="Times New Roman" w:eastAsia="仿宋_GB2312" w:cs="Times New Roman"/>
      <w:b/>
      <w:sz w:val="32"/>
      <w:szCs w:val="32"/>
    </w:rPr>
  </w:style>
  <w:style w:type="paragraph" w:customStyle="1" w:styleId="103">
    <w:name w:val="Char1 Char Char Char"/>
    <w:basedOn w:val="1"/>
    <w:qFormat/>
    <w:uiPriority w:val="0"/>
    <w:rPr>
      <w:rFonts w:ascii="Tahoma" w:hAnsi="Tahoma" w:eastAsia="宋体" w:cs="Times New Roman"/>
      <w:sz w:val="24"/>
      <w:szCs w:val="20"/>
    </w:rPr>
  </w:style>
  <w:style w:type="paragraph" w:customStyle="1" w:styleId="104">
    <w:name w:val="fs-4"/>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5">
    <w:name w:val="样式 Arial 小四 首行缩进:  0.85 厘米"/>
    <w:basedOn w:val="1"/>
    <w:qFormat/>
    <w:uiPriority w:val="0"/>
    <w:pPr>
      <w:spacing w:line="360" w:lineRule="auto"/>
      <w:ind w:firstLine="482"/>
    </w:pPr>
    <w:rPr>
      <w:rFonts w:ascii="Arial" w:hAnsi="Arial" w:eastAsia="宋体" w:cs="宋体"/>
      <w:sz w:val="24"/>
      <w:szCs w:val="20"/>
    </w:rPr>
  </w:style>
  <w:style w:type="paragraph" w:customStyle="1" w:styleId="106">
    <w:name w:val="_Style 105"/>
    <w:qFormat/>
    <w:uiPriority w:val="0"/>
    <w:rPr>
      <w:rFonts w:ascii="Times New Roman" w:hAnsi="Times New Roman" w:eastAsia="宋体" w:cs="Times New Roman"/>
      <w:kern w:val="2"/>
      <w:sz w:val="21"/>
      <w:szCs w:val="24"/>
      <w:lang w:val="en-US" w:eastAsia="zh-CN" w:bidi="ar-SA"/>
    </w:rPr>
  </w:style>
  <w:style w:type="paragraph" w:customStyle="1" w:styleId="107">
    <w:name w:val="保留正文"/>
    <w:basedOn w:val="16"/>
    <w:qFormat/>
    <w:uiPriority w:val="0"/>
    <w:pPr>
      <w:keepNext/>
      <w:spacing w:after="160"/>
    </w:pPr>
    <w:rPr>
      <w:rFonts w:ascii="Times New Roman" w:hAnsi="Times New Roman" w:eastAsia="宋体" w:cs="Times New Roman"/>
    </w:rPr>
  </w:style>
  <w:style w:type="paragraph" w:customStyle="1" w:styleId="108">
    <w:name w:val="表格文字"/>
    <w:basedOn w:val="19"/>
    <w:next w:val="16"/>
    <w:qFormat/>
    <w:uiPriority w:val="99"/>
    <w:pPr>
      <w:adjustRightInd w:val="0"/>
      <w:spacing w:line="420" w:lineRule="atLeast"/>
      <w:jc w:val="left"/>
      <w:textAlignment w:val="baseline"/>
    </w:pPr>
    <w:rPr>
      <w:rFonts w:ascii="Times New Roman" w:hAnsi="Times New Roman"/>
      <w:szCs w:val="24"/>
    </w:rPr>
  </w:style>
  <w:style w:type="paragraph" w:customStyle="1" w:styleId="109">
    <w:name w:val="样式 正文首行缩进 2 + 首行缩进:  2 字符"/>
    <w:basedOn w:val="1"/>
    <w:qFormat/>
    <w:uiPriority w:val="0"/>
    <w:pPr>
      <w:widowControl/>
      <w:adjustRightInd/>
      <w:snapToGrid/>
      <w:ind w:firstLine="480"/>
      <w:jc w:val="left"/>
    </w:pPr>
    <w:rPr>
      <w:rFonts w:ascii="Calibri" w:hAnsi="Calibri" w:eastAsia="宋体"/>
      <w:sz w:val="24"/>
      <w:szCs w:val="21"/>
    </w:rPr>
  </w:style>
  <w:style w:type="paragraph" w:customStyle="1" w:styleId="110">
    <w:name w:val="Char Char Char Char"/>
    <w:basedOn w:val="14"/>
    <w:qFormat/>
    <w:uiPriority w:val="0"/>
    <w:rPr>
      <w:rFonts w:ascii="Tahoma" w:hAnsi="Tahoma" w:eastAsia="宋体" w:cs="Times New Roman"/>
      <w:sz w:val="24"/>
    </w:rPr>
  </w:style>
  <w:style w:type="paragraph" w:customStyle="1" w:styleId="111">
    <w:name w:val="Char Char1 Char Char Char Char Char Char"/>
    <w:basedOn w:val="1"/>
    <w:qFormat/>
    <w:uiPriority w:val="0"/>
    <w:pPr>
      <w:widowControl/>
      <w:spacing w:after="160" w:line="240" w:lineRule="exact"/>
      <w:jc w:val="left"/>
    </w:pPr>
    <w:rPr>
      <w:rFonts w:ascii="宋体" w:hAnsi="宋体" w:eastAsia="宋体" w:cs="宋体"/>
      <w:kern w:val="0"/>
      <w:szCs w:val="20"/>
    </w:rPr>
  </w:style>
  <w:style w:type="paragraph" w:customStyle="1" w:styleId="112">
    <w:name w:val="p0"/>
    <w:basedOn w:val="1"/>
    <w:qFormat/>
    <w:uiPriority w:val="0"/>
    <w:pPr>
      <w:widowControl/>
    </w:pPr>
    <w:rPr>
      <w:rFonts w:cs="宋体"/>
      <w:kern w:val="0"/>
      <w:szCs w:val="21"/>
    </w:rPr>
  </w:style>
  <w:style w:type="paragraph" w:customStyle="1" w:styleId="113">
    <w:name w:val="Char Char Char Char Char Char Char Char Char Char Char Char Char"/>
    <w:basedOn w:val="1"/>
    <w:qFormat/>
    <w:uiPriority w:val="0"/>
    <w:rPr>
      <w:rFonts w:ascii="Tahoma" w:hAnsi="Tahoma" w:eastAsia="宋体" w:cs="Times New Roman"/>
      <w:sz w:val="24"/>
      <w:szCs w:val="20"/>
    </w:rPr>
  </w:style>
  <w:style w:type="paragraph" w:customStyle="1" w:styleId="114">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kern w:val="0"/>
      <w:sz w:val="24"/>
      <w:szCs w:val="20"/>
    </w:rPr>
  </w:style>
  <w:style w:type="paragraph" w:customStyle="1" w:styleId="115">
    <w:name w:val="正文1"/>
    <w:basedOn w:val="1"/>
    <w:qFormat/>
    <w:uiPriority w:val="0"/>
    <w:pPr>
      <w:adjustRightInd w:val="0"/>
      <w:spacing w:after="60" w:line="360" w:lineRule="atLeast"/>
      <w:ind w:firstLine="567"/>
      <w:jc w:val="left"/>
      <w:textAlignment w:val="baseline"/>
    </w:pPr>
    <w:rPr>
      <w:rFonts w:ascii="宋体" w:hAnsi="Times New Roman" w:eastAsia="宋体" w:cs="Times New Roman"/>
      <w:kern w:val="0"/>
      <w:sz w:val="28"/>
      <w:szCs w:val="20"/>
    </w:rPr>
  </w:style>
  <w:style w:type="paragraph" w:customStyle="1" w:styleId="116">
    <w:name w:val="正文标准样式ty Char"/>
    <w:basedOn w:val="1"/>
    <w:qFormat/>
    <w:uiPriority w:val="0"/>
    <w:pPr>
      <w:ind w:firstLine="480"/>
    </w:pPr>
    <w:rPr>
      <w:rFonts w:ascii="Times New Roman" w:hAnsi="Times New Roman" w:cs="宋体"/>
      <w:szCs w:val="20"/>
    </w:rPr>
  </w:style>
  <w:style w:type="paragraph" w:customStyle="1" w:styleId="117">
    <w:name w:val=" Char Char7 Char"/>
    <w:basedOn w:val="1"/>
    <w:qFormat/>
    <w:uiPriority w:val="0"/>
    <w:pPr>
      <w:tabs>
        <w:tab w:val="left" w:pos="425"/>
      </w:tabs>
      <w:ind w:left="420" w:leftChars="200" w:firstLine="270" w:firstLineChars="150"/>
    </w:pPr>
    <w:rPr>
      <w:rFonts w:ascii="Times New Roman" w:hAnsi="Times New Roman" w:eastAsia="宋体" w:cs="Times New Roman"/>
    </w:rPr>
  </w:style>
  <w:style w:type="paragraph" w:customStyle="1" w:styleId="118">
    <w:name w:val="style3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9">
    <w:name w:val="正文(首行缩进)"/>
    <w:basedOn w:val="1"/>
    <w:qFormat/>
    <w:uiPriority w:val="0"/>
    <w:pPr>
      <w:spacing w:line="360" w:lineRule="auto"/>
      <w:ind w:firstLine="200" w:firstLineChars="200"/>
    </w:pPr>
    <w:rPr>
      <w:rFonts w:ascii="Arial Narrow" w:hAnsi="Arial Narrow" w:eastAsia="楷体_GB2312"/>
      <w:sz w:val="24"/>
    </w:rPr>
  </w:style>
  <w:style w:type="paragraph" w:customStyle="1" w:styleId="120">
    <w:name w:val=" Char Char Char Char Char Char Char Char Char Char Char Char Char"/>
    <w:basedOn w:val="1"/>
    <w:qFormat/>
    <w:uiPriority w:val="0"/>
    <w:rPr>
      <w:rFonts w:ascii="Tahoma" w:hAnsi="Tahoma" w:eastAsia="宋体" w:cs="Times New Roman"/>
      <w:sz w:val="24"/>
      <w:szCs w:val="20"/>
    </w:rPr>
  </w:style>
  <w:style w:type="paragraph" w:customStyle="1" w:styleId="121">
    <w:name w:val="_Style 44"/>
    <w:basedOn w:val="10"/>
    <w:qFormat/>
    <w:uiPriority w:val="0"/>
    <w:pPr>
      <w:framePr w:wrap="around" w:vAnchor="text" w:hAnchor="text" w:y="1"/>
      <w:adjustRightInd/>
      <w:spacing w:line="360" w:lineRule="auto"/>
      <w:ind w:firstLine="200" w:firstLineChars="200"/>
      <w:textAlignment w:val="auto"/>
    </w:pPr>
    <w:rPr>
      <w:rFonts w:ascii="Times New Roman" w:hAnsi="Times New Roman" w:eastAsia="宋体" w:cs="Times New Roman"/>
      <w:kern w:val="2"/>
      <w:sz w:val="24"/>
      <w:szCs w:val="24"/>
    </w:rPr>
  </w:style>
  <w:style w:type="paragraph" w:customStyle="1" w:styleId="122">
    <w:name w:val="Char Char Char Char1"/>
    <w:basedOn w:val="1"/>
    <w:qFormat/>
    <w:uiPriority w:val="0"/>
    <w:rPr>
      <w:rFonts w:ascii="Tahoma" w:hAnsi="Tahoma" w:eastAsia="宋体" w:cs="Times New Roman"/>
      <w:sz w:val="24"/>
      <w:szCs w:val="20"/>
    </w:rPr>
  </w:style>
  <w:style w:type="paragraph" w:customStyle="1" w:styleId="123">
    <w:name w:val="_Style 14"/>
    <w:basedOn w:val="16"/>
    <w:next w:val="33"/>
    <w:qFormat/>
    <w:uiPriority w:val="0"/>
    <w:pPr>
      <w:ind w:firstLine="420" w:firstLineChars="100"/>
    </w:pPr>
    <w:rPr>
      <w:rFonts w:ascii="Calibri" w:hAnsi="Calibri"/>
      <w:lang w:val="en-US" w:eastAsia="zh-CN"/>
    </w:rPr>
  </w:style>
  <w:style w:type="paragraph" w:customStyle="1" w:styleId="124">
    <w:name w:val="Char Char Char Char Char Char Char"/>
    <w:basedOn w:val="1"/>
    <w:qFormat/>
    <w:uiPriority w:val="0"/>
    <w:rPr>
      <w:rFonts w:ascii="仿宋_GB2312" w:hAnsi="Times New Roman" w:eastAsia="仿宋_GB2312" w:cs="Times New Roman"/>
      <w:b/>
      <w:sz w:val="32"/>
      <w:szCs w:val="32"/>
    </w:rPr>
  </w:style>
  <w:style w:type="paragraph" w:customStyle="1" w:styleId="125">
    <w:name w:val="表标题"/>
    <w:basedOn w:val="1"/>
    <w:qFormat/>
    <w:uiPriority w:val="0"/>
    <w:pPr>
      <w:jc w:val="center"/>
    </w:pPr>
    <w:rPr>
      <w:rFonts w:ascii="宋体" w:hAnsi="宋体"/>
      <w:szCs w:val="24"/>
    </w:rPr>
  </w:style>
  <w:style w:type="paragraph" w:customStyle="1" w:styleId="126">
    <w:name w:val="样式 首行缩进:  2 字符"/>
    <w:basedOn w:val="1"/>
    <w:qFormat/>
    <w:uiPriority w:val="0"/>
    <w:pPr>
      <w:widowControl/>
      <w:tabs>
        <w:tab w:val="left" w:pos="420"/>
      </w:tabs>
      <w:ind w:left="420" w:hanging="420"/>
    </w:pPr>
    <w:rPr>
      <w:rFonts w:ascii="宋体" w:hAnsi="宋体" w:cs="宋体"/>
      <w:bCs/>
      <w:color w:val="000000"/>
      <w:kern w:val="0"/>
      <w:sz w:val="24"/>
    </w:rPr>
  </w:style>
  <w:style w:type="paragraph" w:customStyle="1" w:styleId="127">
    <w:name w:val="BodyText1I2"/>
    <w:basedOn w:val="3"/>
    <w:qFormat/>
    <w:uiPriority w:val="0"/>
    <w:pPr>
      <w:ind w:firstLine="420" w:firstLineChars="200"/>
    </w:pPr>
    <w:rPr>
      <w:rFonts w:ascii="Times New Roman" w:hAnsi="Times New Roman" w:eastAsia="宋体" w:cs="Times New Roman"/>
    </w:rPr>
  </w:style>
  <w:style w:type="paragraph" w:customStyle="1" w:styleId="128">
    <w:name w:val="Other|1"/>
    <w:basedOn w:val="1"/>
    <w:qFormat/>
    <w:uiPriority w:val="0"/>
    <w:pPr>
      <w:widowControl w:val="0"/>
      <w:shd w:val="clear" w:color="auto" w:fill="auto"/>
      <w:spacing w:after="60" w:line="338" w:lineRule="auto"/>
      <w:ind w:firstLine="400"/>
    </w:pPr>
    <w:rPr>
      <w:rFonts w:ascii="宋体" w:hAnsi="宋体" w:eastAsia="宋体" w:cs="宋体"/>
      <w:sz w:val="26"/>
      <w:szCs w:val="26"/>
      <w:u w:val="none"/>
      <w:shd w:val="clear" w:color="auto" w:fill="auto"/>
      <w:lang w:val="zh-TW" w:eastAsia="zh-TW" w:bidi="zh-TW"/>
    </w:rPr>
  </w:style>
  <w:style w:type="paragraph" w:customStyle="1" w:styleId="129">
    <w:name w:val="Normal1"/>
    <w:basedOn w:val="1"/>
    <w:qFormat/>
    <w:uiPriority w:val="0"/>
    <w:rPr>
      <w:rFonts w:eastAsia="Times New Roman"/>
      <w:kern w:val="0"/>
      <w:szCs w:val="20"/>
      <w:lang w:eastAsia="en-US"/>
    </w:rPr>
  </w:style>
  <w:style w:type="paragraph" w:customStyle="1" w:styleId="130">
    <w:name w:val="正文_1"/>
    <w:basedOn w:val="1"/>
    <w:qFormat/>
    <w:uiPriority w:val="0"/>
    <w:rPr>
      <w:rFonts w:ascii="Calibri" w:hAnsi="Calibri" w:cs="Calibri"/>
      <w:szCs w:val="21"/>
    </w:rPr>
  </w:style>
  <w:style w:type="paragraph" w:customStyle="1" w:styleId="131">
    <w:name w:val="Plain Text1"/>
    <w:basedOn w:val="129"/>
    <w:qFormat/>
    <w:uiPriority w:val="99"/>
    <w:pPr>
      <w:adjustRightInd w:val="0"/>
    </w:pPr>
    <w:rPr>
      <w:rFonts w:ascii="宋体" w:hAnsi="Courier New" w:eastAsia="楷体_GB2312"/>
      <w:sz w:val="28"/>
    </w:rPr>
  </w:style>
  <w:style w:type="paragraph" w:customStyle="1" w:styleId="132">
    <w:name w:val="正文正"/>
    <w:basedOn w:val="1"/>
    <w:qFormat/>
    <w:uiPriority w:val="0"/>
    <w:pPr>
      <w:spacing w:line="560" w:lineRule="exact"/>
      <w:ind w:firstLine="561"/>
    </w:pPr>
    <w:rPr>
      <w:rFonts w:eastAsia="仿宋_GB2312"/>
      <w:sz w:val="28"/>
    </w:rPr>
  </w:style>
  <w:style w:type="paragraph" w:customStyle="1" w:styleId="133">
    <w:name w:val="Table Text"/>
    <w:basedOn w:val="1"/>
    <w:semiHidden/>
    <w:qFormat/>
    <w:uiPriority w:val="0"/>
    <w:rPr>
      <w:rFonts w:ascii="宋体" w:hAnsi="宋体" w:eastAsia="宋体" w:cs="宋体"/>
      <w:sz w:val="28"/>
      <w:szCs w:val="28"/>
      <w:lang w:val="en-US" w:eastAsia="en-US" w:bidi="ar-SA"/>
    </w:rPr>
  </w:style>
  <w:style w:type="paragraph" w:customStyle="1" w:styleId="134">
    <w:name w:val="正文文本1"/>
    <w:basedOn w:val="1"/>
    <w:autoRedefine/>
    <w:qFormat/>
    <w:uiPriority w:val="0"/>
    <w:pPr>
      <w:spacing w:after="120"/>
    </w:pPr>
  </w:style>
  <w:style w:type="paragraph" w:customStyle="1" w:styleId="135">
    <w:name w:val="样式1"/>
    <w:basedOn w:val="1"/>
    <w:qFormat/>
    <w:uiPriority w:val="0"/>
    <w:rPr>
      <w:b/>
      <w:color w:val="538135"/>
      <w:sz w:val="28"/>
    </w:rPr>
  </w:style>
  <w:style w:type="character" w:customStyle="1" w:styleId="136">
    <w:name w:val="NormalCharacter"/>
    <w:basedOn w:val="36"/>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3812</Words>
  <Characters>4312</Characters>
  <Lines>173</Lines>
  <Paragraphs>48</Paragraphs>
  <TotalTime>0</TotalTime>
  <ScaleCrop>false</ScaleCrop>
  <LinksUpToDate>false</LinksUpToDate>
  <CharactersWithSpaces>4399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2020-07-05T02:27:00Z</dcterms:created>
  <dc:creator>LCMZX</dc:creator>
  <cp:lastModifiedBy>Administrator</cp:lastModifiedBy>
  <cp:lastPrinted>2025-07-08T11:10:00Z</cp:lastPrinted>
  <dcterms:modified xsi:type="dcterms:W3CDTF">2025-07-14T15:31:05Z</dcterms:modified>
  <dc:title>温州市政府采购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C296AD8BB1314904BDC1E55708C90166_13</vt:lpwstr>
  </property>
  <property fmtid="{D5CDD505-2E9C-101B-9397-08002B2CF9AE}" pid="4" name="commondata">
    <vt:lpwstr>eyJoZGlkIjoiZDRhNzcwYWMxNDc0YjRjN2UxZDk1NTg4ZWEwNTIzZDUifQ==</vt:lpwstr>
  </property>
  <property fmtid="{D5CDD505-2E9C-101B-9397-08002B2CF9AE}" pid="5" name="KSOTemplateDocerSaveRecord">
    <vt:lpwstr>eyJoZGlkIjoiZTcwY2EwMjg5MmZkNmVhNGIxNGU5MWJhMDFlN2U5MzkiLCJ1c2VySWQiOiIyNDcxMTA3ODcifQ==</vt:lpwstr>
  </property>
</Properties>
</file>